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440605-2024-08049</w:t>
      </w:r>
    </w:p>
    <w:p>
      <w:pPr>
        <w:pStyle w:val="null3"/>
        <w:jc w:val="center"/>
        <w:outlineLvl w:val="3"/>
      </w:pPr>
      <w:r>
        <w:rPr>
          <w:sz w:val="24"/>
          <w:b/>
        </w:rPr>
        <w:t>采购项目编号：</w:t>
      </w:r>
      <w:r>
        <w:rPr>
          <w:sz w:val="24"/>
          <w:b/>
        </w:rPr>
        <w:t>JF2024（NH）WS0117</w:t>
      </w:r>
    </w:p>
    <w:p>
      <w:pPr>
        <w:pStyle w:val="null3"/>
        <w:jc w:val="center"/>
        <w:outlineLvl w:val="3"/>
      </w:pPr>
      <w:r>
        <w:rPr>
          <w:sz w:val="24"/>
          <w:b/>
        </w:rPr>
        <w:t>项目名称：</w:t>
      </w:r>
      <w:r>
        <w:rPr>
          <w:sz w:val="24"/>
          <w:b/>
        </w:rPr>
        <w:t>南海公安数字集群系统维护服务项目</w:t>
      </w:r>
    </w:p>
    <w:p>
      <w:pPr>
        <w:pStyle w:val="null3"/>
        <w:jc w:val="center"/>
        <w:outlineLvl w:val="3"/>
      </w:pPr>
      <w:r>
        <w:rPr>
          <w:sz w:val="24"/>
          <w:b/>
        </w:rPr>
        <w:t>采购人：</w:t>
      </w:r>
      <w:r>
        <w:rPr>
          <w:sz w:val="24"/>
          <w:b/>
        </w:rPr>
        <w:t>佛山市公安局南海分局</w:t>
      </w:r>
    </w:p>
    <w:p>
      <w:pPr>
        <w:pStyle w:val="null3"/>
        <w:jc w:val="center"/>
        <w:outlineLvl w:val="3"/>
      </w:pPr>
      <w:r>
        <w:rPr>
          <w:sz w:val="24"/>
          <w:b/>
        </w:rPr>
        <w:t>采购代理机构：</w:t>
      </w:r>
      <w:r>
        <w:rPr>
          <w:sz w:val="24"/>
          <w:b/>
        </w:rPr>
        <w:t>华睿诚项目管理有限公司佛山分公司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华睿诚项目管理有限公司佛山分公司</w:t>
      </w:r>
      <w:r>
        <w:rPr/>
        <w:t>受</w:t>
      </w:r>
      <w:r>
        <w:rPr/>
        <w:t>佛山市公安局南海分局</w:t>
      </w:r>
      <w:r>
        <w:rPr/>
        <w:t>的委托，采用</w:t>
      </w:r>
      <w:r>
        <w:rPr/>
        <w:t>竞争性磋商</w:t>
      </w:r>
      <w:r>
        <w:rPr/>
        <w:t>方式组织采购</w:t>
      </w:r>
      <w:r>
        <w:rPr/>
        <w:t>南海公安数字集群系统维护服务项目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南海公安数字集群系统维护服务项目</w:t>
      </w:r>
    </w:p>
    <w:p>
      <w:pPr>
        <w:pStyle w:val="null3"/>
        <w:ind w:firstLine="480"/>
      </w:pPr>
      <w:r>
        <w:rPr/>
        <w:t>采购计划编号：</w:t>
      </w:r>
      <w:r>
        <w:rPr/>
        <w:t>440605-2024-08049</w:t>
      </w:r>
    </w:p>
    <w:p>
      <w:pPr>
        <w:pStyle w:val="null3"/>
        <w:ind w:firstLine="480"/>
      </w:pPr>
      <w:r>
        <w:rPr/>
        <w:t>采购项目编号：</w:t>
      </w:r>
      <w:r>
        <w:rPr/>
        <w:t>JF2024（NH）WS0117</w:t>
      </w:r>
    </w:p>
    <w:p>
      <w:pPr>
        <w:pStyle w:val="null3"/>
        <w:ind w:firstLine="480"/>
      </w:pPr>
      <w:r>
        <w:rPr/>
        <w:t>采购方式：</w:t>
      </w:r>
      <w:r>
        <w:rPr/>
        <w:t>竞争性磋商</w:t>
      </w:r>
    </w:p>
    <w:p>
      <w:pPr>
        <w:pStyle w:val="null3"/>
        <w:ind w:firstLine="480"/>
      </w:pPr>
      <w:r>
        <w:rPr/>
        <w:t>预算金额：</w:t>
      </w:r>
      <w:r>
        <w:rPr/>
        <w:t>1,008,596.00</w:t>
      </w:r>
      <w:r>
        <w:rPr/>
        <w:t>元</w:t>
      </w:r>
    </w:p>
    <w:p>
      <w:pPr>
        <w:pStyle w:val="null3"/>
        <w:outlineLvl w:val="3"/>
      </w:pPr>
      <w:r>
        <w:rPr>
          <w:sz w:val="24"/>
          <w:b/>
        </w:rPr>
        <w:t>2.项目内容及需求情况（采购项目技术规格、参数及要求）</w:t>
      </w:r>
    </w:p>
    <w:p>
      <w:pPr>
        <w:pStyle w:val="null3"/>
      </w:pPr>
      <w:r>
        <w:rPr/>
        <w:t>采购包1(南海公安数字集群系统维护服务项目):</w:t>
      </w:r>
    </w:p>
    <w:p>
      <w:pPr>
        <w:pStyle w:val="null3"/>
      </w:pPr>
      <w:r>
        <w:rPr/>
        <w:t>采购包预算金额：1,008,596.00元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其他运行维护服务</w:t>
            </w:r>
          </w:p>
        </w:tc>
        <w:tc>
          <w:tcPr>
            <w:tcW w:type="dxa" w:w="2052"/>
          </w:tcPr>
          <w:p>
            <w:pPr>
              <w:pStyle w:val="null3"/>
            </w:pPr>
            <w:r>
              <w:rPr/>
              <w:t>南海公安数字集群系统维护服务项目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1,008,596.00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合同履行期限：详见“标的提供时间”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1.提供《政府采购供应商资格信用承诺函》，具体要求详见采购公告附件；2.提供2022或2023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p>
      <w:pPr>
        <w:pStyle w:val="null3"/>
      </w:pPr>
      <w:r>
        <w:rPr/>
        <w:t>4）履行合同所必需的设备和专业技术能力：提供以下两种证明材料之一：1.提供《政府采购供应商资格信用承诺函》，具体要求详见采购公告附件；2.按投标（响应）文件格式填报设备及专业技术能力情况。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采购包1（南海公安数字集群系统维护服务项目）：</w:t>
      </w:r>
      <w:r>
        <w:rPr/>
        <w:t>采购包整体专门面向中小企业采购，监狱企业、残疾人福利性单位视同小型、微型企业。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本项目采购标的对应的中小企业划分标准所属行业详见采购文件“技术标准与要求”。 ③ 投标人提交的《中小企业声明函》应按要求完整填报所有信息。 ④涉及多个采购标的且由不同制造商制造或者由不同供应商承建（承接）的，应当逐一填报每个采购标的的制造商或者承建（承接）供应商信息。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 （4）中小企业划型标准详见《关于印发中小企业划型标准规定的通知》（工信部联企业〔2011〕300号）（http://www.gov.cn/zwgk/2011-07/04/content_1898747.htm）</w:t>
      </w:r>
    </w:p>
    <w:p>
      <w:pPr>
        <w:pStyle w:val="null3"/>
        <w:outlineLvl w:val="3"/>
      </w:pPr>
      <w:r>
        <w:rPr>
          <w:sz w:val="24"/>
          <w:b/>
        </w:rPr>
        <w:t>3.本项目特定的资格要求：</w:t>
      </w:r>
    </w:p>
    <w:p>
      <w:pPr>
        <w:pStyle w:val="null3"/>
      </w:pPr>
      <w:r>
        <w:rPr/>
        <w:t>采购包1（南海公安数字集群系统维护服务项目）：</w:t>
      </w:r>
    </w:p>
    <w:p>
      <w:pPr>
        <w:pStyle w:val="null3"/>
      </w:pPr>
      <w:r>
        <w:rPr/>
        <w:t>1)“供应商未被列入“信用中国”网站(www.creditchina.gov.cn)“记录失信被执行人或重大税收违法失信主体(即原“重大税收违法案件当事人名单”)”记录名单;不处于中国政府采购网(www.ccgp.gov.cn)“政府采购严重违法失信行为信息记录”中的禁止参加政府采购活动期间。(注：1、以采购人、采购代理机构于投标(响应)截止时间当天在“信用中国”网站(www.cieditchina.gov.cn)及中国政府采购网(http://www.ccgp.gov.cn/)查询结果为准，如相关失信记录已失效供应商需提供相关证明资料；2、采购人、采购代理机构将其查询结果于开标结束后通过电子文档形式进行留存)。</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广东省公共资源交易平台（佛山市）（https://ygp.gdzwfw.gov.cn/ggzy-portal/#/440600/index），佛山市公共资源交易中心南海分中心栏目（http://www.nanhai.gov.cn/fsnhq/bmdh/sydw/ggzyjyzx/jyxx/content/post_4824621.html）</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佛山市公安局南海分局</w:t>
      </w:r>
    </w:p>
    <w:p>
      <w:pPr>
        <w:pStyle w:val="null3"/>
        <w:ind w:firstLine="480"/>
      </w:pPr>
      <w:r>
        <w:rPr/>
        <w:t>地址：</w:t>
      </w:r>
      <w:r>
        <w:rPr/>
        <w:t>佛山市南海区桂城南桂东路36号</w:t>
      </w:r>
    </w:p>
    <w:p>
      <w:pPr>
        <w:pStyle w:val="null3"/>
        <w:ind w:firstLine="480"/>
      </w:pPr>
      <w:r>
        <w:rPr/>
        <w:t>联系方式：</w:t>
      </w:r>
      <w:r>
        <w:rPr/>
        <w:t>0757-86339931</w:t>
      </w:r>
    </w:p>
    <w:p>
      <w:pPr>
        <w:pStyle w:val="null3"/>
        <w:outlineLvl w:val="3"/>
      </w:pPr>
      <w:r>
        <w:rPr>
          <w:sz w:val="24"/>
          <w:b/>
        </w:rPr>
        <w:t>2.采购代理机构信息</w:t>
      </w:r>
    </w:p>
    <w:p>
      <w:pPr>
        <w:pStyle w:val="null3"/>
        <w:ind w:firstLine="480"/>
      </w:pPr>
      <w:r>
        <w:rPr/>
        <w:t>名称：</w:t>
      </w:r>
      <w:r>
        <w:rPr/>
        <w:t>华睿诚项目管理有限公司佛山分公司</w:t>
      </w:r>
    </w:p>
    <w:p>
      <w:pPr>
        <w:pStyle w:val="null3"/>
        <w:ind w:firstLine="480"/>
      </w:pPr>
      <w:r>
        <w:rPr/>
        <w:t xml:space="preserve"> 地址：</w:t>
      </w:r>
      <w:r>
        <w:rPr/>
        <w:t>佛山市南海区季华东路天安中心3座1410</w:t>
      </w:r>
    </w:p>
    <w:p>
      <w:pPr>
        <w:pStyle w:val="null3"/>
        <w:ind w:firstLine="480"/>
      </w:pPr>
      <w:r>
        <w:rPr/>
        <w:t xml:space="preserve"> 联系方式：</w:t>
      </w:r>
      <w:r>
        <w:rPr/>
        <w:t>0757-81019488</w:t>
      </w:r>
    </w:p>
    <w:p>
      <w:pPr>
        <w:pStyle w:val="null3"/>
        <w:outlineLvl w:val="3"/>
      </w:pPr>
      <w:r>
        <w:rPr>
          <w:sz w:val="24"/>
          <w:b/>
        </w:rPr>
        <w:t xml:space="preserve"> 3.项目联系方式</w:t>
      </w:r>
    </w:p>
    <w:p>
      <w:pPr>
        <w:pStyle w:val="null3"/>
        <w:ind w:firstLine="480"/>
      </w:pPr>
      <w:r>
        <w:rPr/>
        <w:t xml:space="preserve"> 项目联系人：</w:t>
      </w:r>
      <w:r>
        <w:rPr/>
        <w:t>肖东煜</w:t>
      </w:r>
    </w:p>
    <w:p>
      <w:pPr>
        <w:pStyle w:val="null3"/>
        <w:ind w:firstLine="480"/>
      </w:pPr>
      <w:r>
        <w:rPr/>
        <w:t xml:space="preserve"> 电话：</w:t>
      </w:r>
      <w:r>
        <w:rPr/>
        <w:t>0757-81019488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华睿诚项目管理有限公司佛山分公司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确保南海公安数字集群系统都应该保持在正常的运行状态，系统稳定、全天候正常运行，需采购该系统的维护保养服务，通过服务商对系统的日常监控和季度巡检，做到提前发现问题，并主动解决问题，确保系统全天候维持在稳定的运行状态中。</w:t>
      </w:r>
    </w:p>
    <w:p>
      <w:pPr>
        <w:pStyle w:val="null3"/>
      </w:pPr>
      <w:r>
        <w:rPr/>
        <w:t>采购包1（南海公安数字集群系统维护服务项目）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合同生效之日起一年，具体以合同实际签订时间为准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签订合同生效后，维保服务费按季度支付，每季度维保服务费用=合同金额/4×评价等级支付比例-当期考核扣罚金额（如有），成交供应商在每个服务季度结束后的两个星期内，向采购人提交上季度的请款申请资料【付款申请书、当季考核资料、结算相关文件资料、合法合规的有效增值税普通发票】，经采购人审核通过后，在15天内支付上季度维保服务费用。 2、连续2个考核周期的考核得分均低于合格分80分的，采购人有权解除合同。 3、得分为“90 分及以上”的按 100%支付，得分为“80 分及以上至 90 分的(不含 90 分)”的按 90%支付，得分为“80分以下的(不含80 分)”的按 75%支付。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1期：1期：1.详见《服务质量考核表》； 2.成交供应商须为验收提供必需的一切条件及相关费用； 3.文档整理 在服务期结束前一个月开始，将全面整理整个服务项目内完成的各项文档、数据，进行必要的资源移交工作。 4.运维服务质量验收 在运维服务过程中是否有出现以下几种情况，遭到用户投诉3次以上的，视为验收不通过。 1)在运维服务过程中，是否出现重大技术失误情况，导致系统瘫痪。 2)在运维服务过程中，是否出现响应时间过长，处理不及时，以致影响采购人日常工作运作。 在运维服务过程中，维护人员存在服务态度恶劣，不配合采购人处理问题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 1、本项目预算金额（最高限价）为人民币1,008,596..00元，报价方式为广东省佛山市目的地验收交付价。报价中必须包含货物及零配件的购置和安装、供电报装和电力安装、道路挖掘赔补、绿化赔补、网络调试、软件安装调试、系统的对接、系统维护、运输保险、装卸、培训辅导、第三方检测、验收、质保期售后服务、全额含税发票、雇员费用、合同实施过程中的应预见和不可预见费用等完成合同规定责任和义务、达到合同目的的一切费用及企业利润，并应包含应由成交供应商本次招标服务费。 2、供应商须考虑本项目在实施期间的一切可能产生的费用。在项目实施过程中，如项目工作范围发生变更，由成交供应商和采购人双方协商解决；其余情况下，投标总价均不予调整，采购人将不再另行支付与本项目相关的任何费用（另有约定的除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付款要求</w:t>
            </w:r>
          </w:p>
        </w:tc>
        <w:tc>
          <w:tcPr>
            <w:tcW w:type="dxa" w:w="2076"/>
          </w:tcPr>
          <w:p>
            <w:pPr>
              <w:pStyle w:val="null3"/>
              <w:jc w:val="left"/>
            </w:pPr>
            <w:r>
              <w:rPr/>
              <w:t>1、合同款是由区财政局国库支付中心直接支付给成交供应商，故所谓“付款”是指采购人向主管部门发出申请付款文件。 2、结算方式：转账结算（银行转账）。 3、付款方：采购人；收款方：成交供应商。 4、开具发票：成交供应商收款时必须持有效发票。收款方、出具发票方、合同乙方均必须与成交供应商名称一致。开具的发票，必须与双 方签订的合同相关内容一致。 5、成交供应商应理解政府部门付款的相关程序，因采购人使用的是财政资金，采购人在前款规定的付款时间为向政府采购支付部门提出办理财政支付申请手续的时间（不含政府财政支付部门审核的时间），在规定时间内提出支付申请手续后即视为采购人已经按期支付。 6、付款期间如因特殊情况需调整，由双方协商处理。 7、成交供应商按约定履行合同并已提供完整、合规的申请材料，采购人签署考核、验收确认书及申办每期付款手续可在15天内完成；采购人“付款”是指采购人向财政部门发出申请文件；采购人完成约定支付时限，不包含财政部门审核支付的时间。 8、因政府财政部门跨年国库关闸、年底封账，不能按约定时间办理支付进度款，成交供应商可提前办理申请手续；若因此导致逾期付款，采购人不承担逾期付款违约责任。 9、本合同实施过程中,所发生的一切税费及不可预见费均由成交供应商承担。</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1.成交供应商需如约承担合同履行时所应该尽的一切保密义务。成交供应商对项目实施过程中的资料、数据进行保密，未经采购人书面同意不得泄露，且保密责任不因合同的中止或解除而失效。 2.成交供应商需与采购人签订保密协议，配合采购人定期对其单位评估落实保密安全要求的工作，必要时配合采购人开展保密安全实地检查，发现问题的，需按照采购人的整改意见立即整改。 3.成交供应商应对运维人员进行岗位保密审查，组织开展保密教育培训，组织签订保密承诺书，集中登记保管其出国（境）证件，并接受采购人监督，相关记录材料向采购人备案。 4.采购人有权督促成交供应商加强运维人员出国（境）管理。运维人员需要出国（境）的，由本人向成交供应商提出申请，经询问采购人意见后方可批准，对同意出国（境）的人员要进行保密安全谈话，并签订出国（境）期间的保密安全责任书，有关文字材料要向采购人进行备案。保密人员出国（境）审批和管理按照《涉密人员保密管理办法》等相关规定执行。 5.成交供应商需按照采购人要求，对运维人员开展经常性的保密安全检查和提醒谈话，定期对保密人员开展保密教育培训，保密审查，同时加强自身对运维人员的保密安全管理，及时掌握其现实表现和思想动态，并向采购人定期汇报执行情况。 6.采购人有权对成交供应商的保密条件进行严格审查，确保其能够进行有效的保密安全管理，成交供应商应积极配合。</w:t>
            </w:r>
          </w:p>
        </w:tc>
      </w:tr>
      <w:tr>
        <w:tc>
          <w:tcPr>
            <w:tcW w:type="dxa" w:w="2076"/>
          </w:tcPr>
          <w:p/>
        </w:tc>
        <w:tc>
          <w:tcPr>
            <w:tcW w:type="dxa" w:w="2076"/>
          </w:tcPr>
          <w:p>
            <w:pPr>
              <w:pStyle w:val="null3"/>
              <w:jc w:val="center"/>
            </w:pPr>
            <w:r>
              <w:rPr/>
              <w:t>3</w:t>
            </w:r>
          </w:p>
        </w:tc>
        <w:tc>
          <w:tcPr>
            <w:tcW w:type="dxa" w:w="2076"/>
          </w:tcPr>
          <w:p>
            <w:pPr>
              <w:pStyle w:val="null3"/>
              <w:jc w:val="left"/>
            </w:pPr>
            <w:r>
              <w:rPr/>
              <w:t>服务对照执行标准</w:t>
            </w:r>
          </w:p>
        </w:tc>
        <w:tc>
          <w:tcPr>
            <w:tcW w:type="dxa" w:w="2076"/>
          </w:tcPr>
          <w:p>
            <w:pPr>
              <w:pStyle w:val="null3"/>
              <w:jc w:val="left"/>
            </w:pPr>
            <w:r>
              <w:rPr/>
              <w:t>1、符合中华人民共和国国家和履约地相关安全质量标准、行业技术规范标准； 2、符合采购文件和响应承诺中各方共同认可的合理要求；上述各类标准与法规必须是有关官方机构最新发布的现行标准版本。</w:t>
            </w:r>
          </w:p>
        </w:tc>
      </w:tr>
      <w:tr>
        <w:tc>
          <w:tcPr>
            <w:tcW w:type="dxa" w:w="2076"/>
          </w:tcPr>
          <w:p/>
        </w:tc>
        <w:tc>
          <w:tcPr>
            <w:tcW w:type="dxa" w:w="2076"/>
          </w:tcPr>
          <w:p>
            <w:pPr>
              <w:pStyle w:val="null3"/>
              <w:jc w:val="center"/>
            </w:pPr>
            <w:r>
              <w:rPr/>
              <w:t>4</w:t>
            </w:r>
          </w:p>
        </w:tc>
        <w:tc>
          <w:tcPr>
            <w:tcW w:type="dxa" w:w="2076"/>
          </w:tcPr>
          <w:p>
            <w:pPr>
              <w:pStyle w:val="null3"/>
              <w:jc w:val="left"/>
            </w:pPr>
            <w:r>
              <w:rPr/>
              <w:t>投诉跟踪服务要求</w:t>
            </w:r>
          </w:p>
        </w:tc>
        <w:tc>
          <w:tcPr>
            <w:tcW w:type="dxa" w:w="2076"/>
          </w:tcPr>
          <w:p>
            <w:pPr>
              <w:pStyle w:val="null3"/>
              <w:jc w:val="left"/>
            </w:pPr>
            <w:r>
              <w:rPr/>
              <w:t>1.成交供应商提供常设的投诉热线服务，并对投诉内容进行及时跟踪、回访。对采购人的投诉与通知，必须按采购人指定的时间内处理完毕，若特发事件不能在短时间内解决，成交供应商必须采取应急措施，或按采购人认可的应急方案执行，不得影响采购人的正常工作业务。 2.服务期内，采购人有权按本项目的管理要求对成交供应商进行不定期抽查检查，若对不合格的管理服务提出警告后，仍未得到有效解决时，采购人有权终止管理合同。</w:t>
            </w:r>
          </w:p>
        </w:tc>
      </w:tr>
      <w:tr>
        <w:tc>
          <w:tcPr>
            <w:tcW w:type="dxa" w:w="2076"/>
          </w:tcPr>
          <w:p/>
        </w:tc>
        <w:tc>
          <w:tcPr>
            <w:tcW w:type="dxa" w:w="2076"/>
          </w:tcPr>
          <w:p>
            <w:pPr>
              <w:pStyle w:val="null3"/>
              <w:jc w:val="center"/>
            </w:pPr>
            <w:r>
              <w:rPr/>
              <w:t>5</w:t>
            </w:r>
          </w:p>
        </w:tc>
        <w:tc>
          <w:tcPr>
            <w:tcW w:type="dxa" w:w="2076"/>
          </w:tcPr>
          <w:p>
            <w:pPr>
              <w:pStyle w:val="null3"/>
              <w:jc w:val="left"/>
            </w:pPr>
            <w:r>
              <w:rPr/>
              <w:t>人员管理</w:t>
            </w:r>
          </w:p>
        </w:tc>
        <w:tc>
          <w:tcPr>
            <w:tcW w:type="dxa" w:w="2076"/>
          </w:tcPr>
          <w:p>
            <w:pPr>
              <w:pStyle w:val="null3"/>
              <w:jc w:val="left"/>
            </w:pPr>
            <w:r>
              <w:rPr/>
              <w:t>1.成交供应商参与项目人员需符合以下要求： （1）具有中华人民共和国国籍。 （2）无犯罪记录，无不良诚信记录。 （3）为成交供应商可直接调度、管理的人员，具有用人单位证明、工作证，并建立职工名册备查。 （4）掌握计算机网络、网络保密安全及建设运维业务相关专业知识，具备从事公安机关信息系统建设运维的专业能力和保密意识、保密常识。 2.人员管理要求 （1）成交供应商应按投标文件内容，在签订合同时提供项目组的人员名单等作为合同的附件。 （2）在合同生效以后，对采购人认为其能力与本项目所要求的能力不相称而提出更换的项目经理或者技术支持人员，成交供应商应予以更换。 （3）成交供应商对其雇员的人身安全负全部责任。 （4）采购人有权督促成交供应商保持运维人员稳定，在服务期限内一般不更换运维人员。确因特殊原因需要更换的，应当经采购人同意，并按照有关规定办理。运维人员服务期满或者中途离岗的，成交供应商须配合采购人完成以下工作: ①组织清退出入证件，撤销相关区域出入权限。 ②组织移交公安机关信息系统建设运维相关信息设备、档案及文件资料、存储介质、建设运维工具等。 ③注销其信息系统账号，取消访问授权。 ④进行保密提醒谈话，组织签订离岗保密承诺书。 （5）采购人有权督促成交供应商及其人员落实重大事件报告制度。有下列情形之一的,成交供应商应当立即采取补救措施,并及时向采购人报告： ①发生失泄密情况或者重大风险隐患。 ②运维人员遭遇策反或者利诱、胁迫提供国家或者警务工作秘密。 ③其他可能危害国家秘密和警务工作秘密安全的情形。</w:t>
            </w:r>
          </w:p>
        </w:tc>
      </w:tr>
      <w:tr>
        <w:tc>
          <w:tcPr>
            <w:tcW w:type="dxa" w:w="2076"/>
          </w:tcPr>
          <w:p/>
        </w:tc>
        <w:tc>
          <w:tcPr>
            <w:tcW w:type="dxa" w:w="2076"/>
          </w:tcPr>
          <w:p>
            <w:pPr>
              <w:pStyle w:val="null3"/>
              <w:jc w:val="center"/>
            </w:pPr>
            <w:r>
              <w:rPr/>
              <w:t>6</w:t>
            </w:r>
          </w:p>
        </w:tc>
        <w:tc>
          <w:tcPr>
            <w:tcW w:type="dxa" w:w="2076"/>
          </w:tcPr>
          <w:p>
            <w:pPr>
              <w:pStyle w:val="null3"/>
              <w:jc w:val="left"/>
            </w:pPr>
            <w:r>
              <w:rPr/>
              <w:t>信息安全工作要求</w:t>
            </w:r>
          </w:p>
        </w:tc>
        <w:tc>
          <w:tcPr>
            <w:tcW w:type="dxa" w:w="2076"/>
          </w:tcPr>
          <w:p>
            <w:pPr>
              <w:pStyle w:val="null3"/>
              <w:jc w:val="left"/>
            </w:pPr>
            <w:r>
              <w:rPr/>
              <w:t>投标人应符合以下要求： （1）有固定的办公及营业地点。 （2）具备承担信息安全服务项目所需的安全工具。 （3）具备独立解决大部分运维过程中，设备和系统所产生故障的能力。</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平滑过渡要求</w:t>
            </w:r>
          </w:p>
        </w:tc>
        <w:tc>
          <w:tcPr>
            <w:tcW w:type="dxa" w:w="2076"/>
          </w:tcPr>
          <w:p>
            <w:pPr>
              <w:pStyle w:val="null3"/>
              <w:jc w:val="left"/>
            </w:pPr>
            <w:r>
              <w:rPr/>
              <w:t>本项目服务保障属于延续性、非新增、不能间断的运行维护服务，投标人应结合实际情况，充分考虑到项目服务的不可中断性，为采购人提供稳定有效的保障措施。成交供应商需保证在项目进场和退场时配合采购人做好服务交接，确保服务平稳过渡，无缝连接，保障所有运维服务不间断稳定运行。合同签订后在15日内完成交接。（须提供承诺函并加盖投标人公章，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南海公安数字集群系统维护服务项目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1,008,596.00</w:t>
            </w:r>
          </w:p>
        </w:tc>
        <w:tc>
          <w:tcPr>
            <w:tcW w:type="dxa" w:w="933"/>
          </w:tcPr>
          <w:p>
            <w:pPr>
              <w:pStyle w:val="null3"/>
              <w:jc w:val="right"/>
            </w:pPr>
            <w:r>
              <w:rPr/>
              <w:t>1,008,596.00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南海公安数字集群系统维护服务项目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after="150"/>
              <w:jc w:val="left"/>
            </w:pPr>
            <w:r>
              <w:rPr>
                <w:sz w:val="21"/>
                <w:b/>
              </w:rPr>
              <w:t>一、维护范围</w:t>
            </w:r>
          </w:p>
          <w:p>
            <w:pPr>
              <w:pStyle w:val="null3"/>
              <w:jc w:val="both"/>
            </w:pPr>
            <w:r>
              <w:rPr>
                <w:sz w:val="21"/>
              </w:rPr>
              <w:t>南海公安数字集群系统的维护内容主要为</w:t>
            </w:r>
            <w:r>
              <w:rPr>
                <w:sz w:val="21"/>
              </w:rPr>
              <w:t>南海公安</w:t>
            </w:r>
            <w:r>
              <w:rPr>
                <w:sz w:val="21"/>
              </w:rPr>
              <w:t>PDT</w:t>
            </w:r>
            <w:r>
              <w:rPr>
                <w:sz w:val="21"/>
              </w:rPr>
              <w:t>数字集群系统、南海公安</w:t>
            </w:r>
            <w:r>
              <w:rPr>
                <w:sz w:val="21"/>
              </w:rPr>
              <w:t>TETRA</w:t>
            </w:r>
            <w:r>
              <w:rPr>
                <w:sz w:val="21"/>
              </w:rPr>
              <w:t>数字集群系统</w:t>
            </w:r>
            <w:r>
              <w:rPr>
                <w:sz w:val="21"/>
              </w:rPr>
              <w:t>和</w:t>
            </w:r>
            <w:r>
              <w:rPr>
                <w:sz w:val="21"/>
              </w:rPr>
              <w:t>南海公安通讯作战平台</w:t>
            </w:r>
            <w:r>
              <w:rPr>
                <w:sz w:val="21"/>
              </w:rPr>
              <w:t>三</w:t>
            </w:r>
            <w:r>
              <w:rPr>
                <w:sz w:val="21"/>
              </w:rPr>
              <w:t>个系统的维护</w:t>
            </w:r>
            <w:r>
              <w:rPr>
                <w:sz w:val="21"/>
              </w:rPr>
              <w:t>。</w:t>
            </w:r>
          </w:p>
        </w:tc>
      </w:tr>
      <w:tr>
        <w:tc>
          <w:tcPr>
            <w:tcW w:type="dxa" w:w="2076"/>
          </w:tcPr>
          <w:p/>
        </w:tc>
        <w:tc>
          <w:tcPr>
            <w:tcW w:type="dxa" w:w="415"/>
          </w:tcPr>
          <w:p>
            <w:pPr>
              <w:pStyle w:val="null3"/>
            </w:pPr>
            <w:r>
              <w:rPr/>
              <w:t>2</w:t>
            </w:r>
          </w:p>
        </w:tc>
        <w:tc>
          <w:tcPr>
            <w:tcW w:type="dxa" w:w="5814"/>
          </w:tcPr>
          <w:p>
            <w:pPr>
              <w:pStyle w:val="null3"/>
              <w:spacing w:before="150" w:after="150"/>
              <w:jc w:val="left"/>
            </w:pPr>
            <w:r>
              <w:rPr>
                <w:sz w:val="21"/>
                <w:b/>
              </w:rPr>
              <w:t>二、维护主要内容</w:t>
            </w:r>
          </w:p>
          <w:p>
            <w:pPr>
              <w:pStyle w:val="null3"/>
              <w:ind w:firstLine="420"/>
              <w:jc w:val="left"/>
            </w:pPr>
            <w:r>
              <w:rPr>
                <w:sz w:val="21"/>
              </w:rPr>
              <w:t>1</w:t>
            </w:r>
            <w:r>
              <w:rPr>
                <w:sz w:val="21"/>
              </w:rPr>
              <w:t>.</w:t>
            </w:r>
            <w:r>
              <w:rPr>
                <w:sz w:val="21"/>
              </w:rPr>
              <w:t>南海公安</w:t>
            </w:r>
            <w:r>
              <w:rPr>
                <w:sz w:val="21"/>
              </w:rPr>
              <w:t>PDT</w:t>
            </w:r>
            <w:r>
              <w:rPr>
                <w:sz w:val="21"/>
              </w:rPr>
              <w:t>数字集群系统</w:t>
            </w:r>
          </w:p>
          <w:p>
            <w:pPr>
              <w:pStyle w:val="null3"/>
              <w:ind w:firstLine="420"/>
              <w:jc w:val="left"/>
            </w:pPr>
            <w:r>
              <w:rPr>
                <w:sz w:val="21"/>
              </w:rPr>
              <w:t>（</w:t>
            </w:r>
            <w:r>
              <w:rPr>
                <w:sz w:val="21"/>
              </w:rPr>
              <w:t>1</w:t>
            </w:r>
            <w:r>
              <w:rPr>
                <w:sz w:val="21"/>
              </w:rPr>
              <w:t>）</w:t>
            </w:r>
            <w:r>
              <w:rPr>
                <w:sz w:val="21"/>
              </w:rPr>
              <w:t>南海公安</w:t>
            </w:r>
            <w:r>
              <w:rPr>
                <w:sz w:val="21"/>
              </w:rPr>
              <w:t>350</w:t>
            </w:r>
            <w:r>
              <w:rPr>
                <w:sz w:val="21"/>
              </w:rPr>
              <w:t>兆数字集群</w:t>
            </w:r>
            <w:r>
              <w:rPr>
                <w:sz w:val="21"/>
              </w:rPr>
              <w:t>PDT</w:t>
            </w:r>
            <w:r>
              <w:rPr>
                <w:sz w:val="21"/>
              </w:rPr>
              <w:t>系统全网共建有</w:t>
            </w:r>
            <w:r>
              <w:rPr>
                <w:sz w:val="21"/>
              </w:rPr>
              <w:t>22</w:t>
            </w:r>
            <w:r>
              <w:rPr>
                <w:sz w:val="21"/>
              </w:rPr>
              <w:t>套</w:t>
            </w:r>
            <w:r>
              <w:rPr>
                <w:sz w:val="21"/>
              </w:rPr>
              <w:t>PDT</w:t>
            </w:r>
            <w:r>
              <w:rPr>
                <w:sz w:val="21"/>
              </w:rPr>
              <w:t>基站，</w:t>
            </w:r>
            <w:r>
              <w:rPr>
                <w:sz w:val="21"/>
              </w:rPr>
              <w:t>分布在南海区各镇街的重要地理位置。</w:t>
            </w:r>
            <w:r>
              <w:rPr>
                <w:sz w:val="21"/>
              </w:rPr>
              <w:t>南海分局大约配备了</w:t>
            </w:r>
            <w:r>
              <w:rPr>
                <w:sz w:val="21"/>
              </w:rPr>
              <w:t>1</w:t>
            </w:r>
            <w:r>
              <w:rPr>
                <w:sz w:val="21"/>
              </w:rPr>
              <w:t>745</w:t>
            </w:r>
            <w:r>
              <w:rPr>
                <w:sz w:val="21"/>
              </w:rPr>
              <w:t>台数字终端，实现通信盲区快速建立覆盖、火场现场应急补充覆盖，为反恐、防暴和处置突发事件时提供通信保障。</w:t>
            </w:r>
          </w:p>
          <w:p>
            <w:pPr>
              <w:pStyle w:val="null3"/>
              <w:ind w:firstLine="420"/>
              <w:jc w:val="left"/>
            </w:pPr>
            <w:r>
              <w:rPr>
                <w:sz w:val="21"/>
              </w:rPr>
              <w:t>（</w:t>
            </w:r>
            <w:r>
              <w:rPr>
                <w:sz w:val="21"/>
              </w:rPr>
              <w:t>2</w:t>
            </w:r>
            <w:r>
              <w:rPr>
                <w:sz w:val="21"/>
              </w:rPr>
              <w:t>）南海公安</w:t>
            </w:r>
            <w:r>
              <w:rPr>
                <w:sz w:val="21"/>
              </w:rPr>
              <w:t>350</w:t>
            </w:r>
            <w:r>
              <w:rPr>
                <w:sz w:val="21"/>
              </w:rPr>
              <w:t>兆数字集群</w:t>
            </w:r>
            <w:r>
              <w:rPr>
                <w:sz w:val="21"/>
              </w:rPr>
              <w:t>PDT</w:t>
            </w:r>
            <w:r>
              <w:rPr>
                <w:sz w:val="21"/>
              </w:rPr>
              <w:t>系统汇接交换中心</w:t>
            </w:r>
          </w:p>
          <w:p>
            <w:pPr>
              <w:pStyle w:val="null3"/>
              <w:ind w:firstLine="420"/>
              <w:jc w:val="left"/>
            </w:pPr>
            <w:r>
              <w:rPr>
                <w:sz w:val="21"/>
              </w:rPr>
              <w:t>1</w:t>
            </w:r>
            <w:r>
              <w:rPr>
                <w:sz w:val="21"/>
              </w:rPr>
              <w:t>）</w:t>
            </w:r>
            <w:r>
              <w:rPr>
                <w:sz w:val="21"/>
              </w:rPr>
              <w:t>数字汇接交换机</w:t>
            </w:r>
            <w:r>
              <w:rPr>
                <w:sz w:val="21"/>
              </w:rPr>
              <w:t>建在分局大楼机房，通过</w:t>
            </w:r>
            <w:r>
              <w:rPr>
                <w:sz w:val="21"/>
              </w:rPr>
              <w:t>21</w:t>
            </w:r>
            <w:r>
              <w:rPr>
                <w:sz w:val="21"/>
              </w:rPr>
              <w:t>条有线</w:t>
            </w:r>
            <w:r>
              <w:rPr>
                <w:sz w:val="21"/>
              </w:rPr>
              <w:t>E1</w:t>
            </w:r>
            <w:r>
              <w:rPr>
                <w:sz w:val="21"/>
              </w:rPr>
              <w:t>线路</w:t>
            </w:r>
            <w:r>
              <w:rPr>
                <w:sz w:val="21"/>
              </w:rPr>
              <w:t>,</w:t>
            </w:r>
            <w:r>
              <w:rPr>
                <w:sz w:val="21"/>
              </w:rPr>
              <w:t>实现与系统内各</w:t>
            </w:r>
            <w:r>
              <w:rPr>
                <w:sz w:val="21"/>
              </w:rPr>
              <w:t>PDT</w:t>
            </w:r>
            <w:r>
              <w:rPr>
                <w:sz w:val="21"/>
              </w:rPr>
              <w:t>基站的有线联网，把所有基站的信号连接及处理数据交换；</w:t>
            </w:r>
          </w:p>
          <w:p>
            <w:pPr>
              <w:pStyle w:val="null3"/>
              <w:ind w:firstLine="420"/>
              <w:jc w:val="left"/>
            </w:pPr>
            <w:r>
              <w:rPr>
                <w:sz w:val="21"/>
              </w:rPr>
              <w:t>2</w:t>
            </w:r>
            <w:r>
              <w:rPr>
                <w:sz w:val="21"/>
              </w:rPr>
              <w:t>）</w:t>
            </w:r>
            <w:r>
              <w:rPr>
                <w:sz w:val="21"/>
              </w:rPr>
              <w:t>在区局配置网管服务器，通过网管终端，</w:t>
            </w:r>
            <w:r>
              <w:rPr>
                <w:sz w:val="21"/>
              </w:rPr>
              <w:t>可以对全南海区</w:t>
            </w:r>
            <w:r>
              <w:rPr>
                <w:sz w:val="21"/>
              </w:rPr>
              <w:t>PDT</w:t>
            </w:r>
            <w:r>
              <w:rPr>
                <w:sz w:val="21"/>
              </w:rPr>
              <w:t>数字集群系统进行远程参数监控及管理，</w:t>
            </w:r>
            <w:r>
              <w:rPr>
                <w:sz w:val="21"/>
              </w:rPr>
              <w:t>可遥控基站工作状态；接收和显示系统设备报警信号及内容；遥测信道机前向功率、反向功率、工作电压、链路联通状态等参数，实现系统组网控制和统一管理</w:t>
            </w:r>
            <w:r>
              <w:rPr>
                <w:sz w:val="21"/>
              </w:rPr>
              <w:t>；</w:t>
            </w:r>
          </w:p>
          <w:p>
            <w:pPr>
              <w:pStyle w:val="null3"/>
              <w:ind w:firstLine="420"/>
              <w:jc w:val="left"/>
            </w:pPr>
            <w:r>
              <w:rPr>
                <w:sz w:val="21"/>
              </w:rPr>
              <w:t>3</w:t>
            </w:r>
            <w:r>
              <w:rPr>
                <w:sz w:val="21"/>
              </w:rPr>
              <w:t>）</w:t>
            </w:r>
            <w:r>
              <w:rPr>
                <w:sz w:val="21"/>
              </w:rPr>
              <w:t>在区局配置调度服务器，</w:t>
            </w:r>
            <w:r>
              <w:rPr>
                <w:sz w:val="21"/>
              </w:rPr>
              <w:t>提供语音调度</w:t>
            </w:r>
            <w:r>
              <w:rPr>
                <w:sz w:val="21"/>
              </w:rPr>
              <w:t>(</w:t>
            </w:r>
            <w:r>
              <w:rPr>
                <w:sz w:val="21"/>
              </w:rPr>
              <w:t>单呼、组呼、监听、强插</w:t>
            </w:r>
            <w:r>
              <w:rPr>
                <w:sz w:val="21"/>
              </w:rPr>
              <w:t>)</w:t>
            </w:r>
            <w:r>
              <w:rPr>
                <w:sz w:val="21"/>
              </w:rPr>
              <w:t>、强拆、短信</w:t>
            </w:r>
            <w:r>
              <w:rPr>
                <w:sz w:val="21"/>
              </w:rPr>
              <w:t>(</w:t>
            </w:r>
            <w:r>
              <w:rPr>
                <w:sz w:val="21"/>
              </w:rPr>
              <w:t>单发、群发</w:t>
            </w:r>
            <w:r>
              <w:rPr>
                <w:sz w:val="21"/>
              </w:rPr>
              <w:t>)</w:t>
            </w:r>
            <w:r>
              <w:rPr>
                <w:sz w:val="21"/>
              </w:rPr>
              <w:t>、状态消息</w:t>
            </w:r>
            <w:r>
              <w:rPr>
                <w:sz w:val="21"/>
              </w:rPr>
              <w:t>(</w:t>
            </w:r>
            <w:r>
              <w:rPr>
                <w:sz w:val="21"/>
              </w:rPr>
              <w:t>单发、群发</w:t>
            </w:r>
            <w:r>
              <w:rPr>
                <w:sz w:val="21"/>
              </w:rPr>
              <w:t>)</w:t>
            </w:r>
            <w:r>
              <w:rPr>
                <w:sz w:val="21"/>
              </w:rPr>
              <w:t>、动态重组、终端状态等一系列指挥调度功能；</w:t>
            </w:r>
          </w:p>
          <w:p>
            <w:pPr>
              <w:pStyle w:val="null3"/>
              <w:ind w:firstLine="420"/>
              <w:jc w:val="left"/>
            </w:pPr>
            <w:r>
              <w:rPr>
                <w:sz w:val="21"/>
              </w:rPr>
              <w:t>4</w:t>
            </w:r>
            <w:r>
              <w:rPr>
                <w:sz w:val="21"/>
              </w:rPr>
              <w:t>）</w:t>
            </w:r>
            <w:r>
              <w:rPr>
                <w:sz w:val="21"/>
              </w:rPr>
              <w:t>在区局配置定位服务器，具备北斗</w:t>
            </w:r>
            <w:r>
              <w:rPr>
                <w:sz w:val="21"/>
              </w:rPr>
              <w:t>/GPS</w:t>
            </w:r>
            <w:r>
              <w:rPr>
                <w:sz w:val="21"/>
              </w:rPr>
              <w:t>定位功能，</w:t>
            </w:r>
            <w:r>
              <w:rPr>
                <w:sz w:val="21"/>
              </w:rPr>
              <w:t>提供所有终端的实时在线信息与定位信息的采集、存储、转发等一系列功能；</w:t>
            </w:r>
          </w:p>
          <w:p>
            <w:pPr>
              <w:pStyle w:val="null3"/>
              <w:ind w:firstLine="420"/>
              <w:jc w:val="left"/>
            </w:pPr>
            <w:r>
              <w:rPr>
                <w:sz w:val="21"/>
              </w:rPr>
              <w:t>5</w:t>
            </w:r>
            <w:r>
              <w:rPr>
                <w:sz w:val="21"/>
              </w:rPr>
              <w:t>）</w:t>
            </w:r>
            <w:r>
              <w:rPr>
                <w:sz w:val="21"/>
              </w:rPr>
              <w:t>在区局配置全网录音服务器，</w:t>
            </w:r>
            <w:r>
              <w:rPr>
                <w:sz w:val="21"/>
              </w:rPr>
              <w:t>提供实时全网的录音、存储及回放功能；</w:t>
            </w:r>
          </w:p>
          <w:p>
            <w:pPr>
              <w:pStyle w:val="null3"/>
              <w:ind w:firstLine="420"/>
              <w:jc w:val="left"/>
            </w:pPr>
            <w:r>
              <w:rPr>
                <w:sz w:val="21"/>
              </w:rPr>
              <w:t>6</w:t>
            </w:r>
            <w:r>
              <w:rPr>
                <w:sz w:val="21"/>
              </w:rPr>
              <w:t>）</w:t>
            </w:r>
            <w:r>
              <w:rPr>
                <w:sz w:val="21"/>
              </w:rPr>
              <w:t>在区局配置鉴权服务器。系统可在任何需要的时候发起普通鉴权，发起普通鉴权时，系统会要求终端发送自身</w:t>
            </w:r>
            <w:r>
              <w:rPr>
                <w:sz w:val="21"/>
              </w:rPr>
              <w:t>ESN</w:t>
            </w:r>
            <w:r>
              <w:rPr>
                <w:sz w:val="21"/>
              </w:rPr>
              <w:t>码和响应值，鉴权中心根据用户填写的终端</w:t>
            </w:r>
            <w:r>
              <w:rPr>
                <w:sz w:val="21"/>
              </w:rPr>
              <w:t>ESN</w:t>
            </w:r>
            <w:r>
              <w:rPr>
                <w:sz w:val="21"/>
              </w:rPr>
              <w:t>码和响应值来判断移动台是否合法</w:t>
            </w:r>
            <w:r>
              <w:rPr>
                <w:sz w:val="21"/>
              </w:rPr>
              <w:t>；</w:t>
            </w:r>
          </w:p>
          <w:p>
            <w:pPr>
              <w:pStyle w:val="null3"/>
              <w:ind w:firstLine="420"/>
              <w:jc w:val="left"/>
            </w:pPr>
            <w:r>
              <w:rPr>
                <w:sz w:val="21"/>
              </w:rPr>
              <w:t>7</w:t>
            </w:r>
            <w:r>
              <w:rPr>
                <w:sz w:val="21"/>
              </w:rPr>
              <w:t>）在区局配置系统终端管理服务器，对系统终端进行管理设置。</w:t>
            </w:r>
          </w:p>
          <w:p>
            <w:pPr>
              <w:pStyle w:val="null3"/>
              <w:ind w:firstLine="420"/>
              <w:jc w:val="left"/>
            </w:pPr>
            <w:r>
              <w:rPr>
                <w:sz w:val="21"/>
              </w:rPr>
              <w:t>（</w:t>
            </w:r>
            <w:r>
              <w:rPr>
                <w:sz w:val="21"/>
              </w:rPr>
              <w:t>4</w:t>
            </w:r>
            <w:r>
              <w:rPr>
                <w:sz w:val="21"/>
              </w:rPr>
              <w:t>）南海公安</w:t>
            </w:r>
            <w:r>
              <w:rPr>
                <w:sz w:val="21"/>
              </w:rPr>
              <w:t>350</w:t>
            </w:r>
            <w:r>
              <w:rPr>
                <w:sz w:val="21"/>
              </w:rPr>
              <w:t>兆数字集群</w:t>
            </w:r>
            <w:r>
              <w:rPr>
                <w:sz w:val="21"/>
              </w:rPr>
              <w:t>PDT</w:t>
            </w:r>
            <w:r>
              <w:rPr>
                <w:sz w:val="21"/>
              </w:rPr>
              <w:t>系统二次集成</w:t>
            </w:r>
          </w:p>
          <w:p>
            <w:pPr>
              <w:pStyle w:val="null3"/>
              <w:ind w:firstLine="420"/>
              <w:jc w:val="left"/>
            </w:pPr>
            <w:r>
              <w:rPr>
                <w:sz w:val="21"/>
              </w:rPr>
              <w:t>1</w:t>
            </w:r>
            <w:r>
              <w:rPr>
                <w:sz w:val="21"/>
              </w:rPr>
              <w:t>）</w:t>
            </w:r>
            <w:r>
              <w:rPr>
                <w:sz w:val="21"/>
              </w:rPr>
              <w:t>在区局配置</w:t>
            </w:r>
            <w:r>
              <w:rPr>
                <w:sz w:val="21"/>
              </w:rPr>
              <w:t>数据库服务器，存储</w:t>
            </w:r>
            <w:r>
              <w:rPr>
                <w:sz w:val="21"/>
              </w:rPr>
              <w:t>GPS</w:t>
            </w:r>
            <w:r>
              <w:rPr>
                <w:sz w:val="21"/>
              </w:rPr>
              <w:t>定位，短信，</w:t>
            </w:r>
            <w:r>
              <w:rPr>
                <w:sz w:val="21"/>
              </w:rPr>
              <w:t>PDT</w:t>
            </w:r>
            <w:r>
              <w:rPr>
                <w:sz w:val="21"/>
              </w:rPr>
              <w:t>系统运行状态，语音呼叫活动信息等；</w:t>
            </w:r>
          </w:p>
          <w:p>
            <w:pPr>
              <w:pStyle w:val="null3"/>
              <w:ind w:firstLine="420"/>
              <w:jc w:val="left"/>
            </w:pPr>
            <w:r>
              <w:rPr>
                <w:sz w:val="21"/>
              </w:rPr>
              <w:t>2</w:t>
            </w:r>
            <w:r>
              <w:rPr>
                <w:sz w:val="21"/>
              </w:rPr>
              <w:t>）</w:t>
            </w:r>
            <w:r>
              <w:rPr>
                <w:sz w:val="21"/>
              </w:rPr>
              <w:t>在区局配置</w:t>
            </w:r>
            <w:r>
              <w:rPr>
                <w:sz w:val="21"/>
              </w:rPr>
              <w:t>GPS</w:t>
            </w:r>
            <w:r>
              <w:rPr>
                <w:sz w:val="21"/>
              </w:rPr>
              <w:t>定位服务器，提供实时接收</w:t>
            </w:r>
            <w:r>
              <w:rPr>
                <w:sz w:val="21"/>
              </w:rPr>
              <w:t>/</w:t>
            </w:r>
            <w:r>
              <w:rPr>
                <w:sz w:val="21"/>
              </w:rPr>
              <w:t>分发</w:t>
            </w:r>
            <w:r>
              <w:rPr>
                <w:sz w:val="21"/>
              </w:rPr>
              <w:t>/</w:t>
            </w:r>
            <w:r>
              <w:rPr>
                <w:sz w:val="21"/>
              </w:rPr>
              <w:t>存贮对讲机定位信息功能和实时控制对讲机定位数据上报的功能；</w:t>
            </w:r>
          </w:p>
          <w:p>
            <w:pPr>
              <w:pStyle w:val="null3"/>
              <w:ind w:firstLine="420"/>
              <w:jc w:val="left"/>
            </w:pPr>
            <w:r>
              <w:rPr>
                <w:sz w:val="21"/>
              </w:rPr>
              <w:t>3</w:t>
            </w:r>
            <w:r>
              <w:rPr>
                <w:sz w:val="21"/>
              </w:rPr>
              <w:t>）</w:t>
            </w:r>
            <w:r>
              <w:rPr>
                <w:sz w:val="21"/>
              </w:rPr>
              <w:t>在区局配置</w:t>
            </w:r>
            <w:r>
              <w:rPr>
                <w:sz w:val="21"/>
              </w:rPr>
              <w:t>短信服务器，提供对讲机的短信接收、短信发送及短信查询功能</w:t>
            </w:r>
          </w:p>
          <w:p>
            <w:pPr>
              <w:pStyle w:val="null3"/>
              <w:ind w:firstLine="420"/>
              <w:jc w:val="left"/>
            </w:pPr>
            <w:r>
              <w:rPr>
                <w:sz w:val="21"/>
              </w:rPr>
              <w:t>4</w:t>
            </w:r>
            <w:r>
              <w:rPr>
                <w:sz w:val="21"/>
              </w:rPr>
              <w:t>）</w:t>
            </w:r>
            <w:r>
              <w:rPr>
                <w:sz w:val="21"/>
              </w:rPr>
              <w:t>在区局配置</w:t>
            </w:r>
            <w:r>
              <w:rPr>
                <w:sz w:val="21"/>
              </w:rPr>
              <w:t>语音调度网关服务器，负责语音呼叫控制协议的转换和</w:t>
            </w:r>
            <w:r>
              <w:rPr>
                <w:sz w:val="21"/>
              </w:rPr>
              <w:t>IP</w:t>
            </w:r>
            <w:r>
              <w:rPr>
                <w:sz w:val="21"/>
              </w:rPr>
              <w:t>语音流的转发；</w:t>
            </w:r>
          </w:p>
          <w:p>
            <w:pPr>
              <w:pStyle w:val="null3"/>
              <w:ind w:firstLine="420"/>
              <w:jc w:val="left"/>
            </w:pPr>
            <w:r>
              <w:rPr>
                <w:sz w:val="21"/>
              </w:rPr>
              <w:t>5</w:t>
            </w:r>
            <w:r>
              <w:rPr>
                <w:sz w:val="21"/>
              </w:rPr>
              <w:t>）</w:t>
            </w:r>
            <w:r>
              <w:rPr>
                <w:sz w:val="21"/>
              </w:rPr>
              <w:t>在区局配置</w:t>
            </w:r>
            <w:r>
              <w:rPr>
                <w:sz w:val="21"/>
              </w:rPr>
              <w:t>语音调度网守服务器，负责提供语音调度等功能；</w:t>
            </w:r>
          </w:p>
          <w:p>
            <w:pPr>
              <w:pStyle w:val="null3"/>
              <w:ind w:firstLine="420"/>
              <w:jc w:val="left"/>
            </w:pPr>
            <w:r>
              <w:rPr>
                <w:sz w:val="21"/>
              </w:rPr>
              <w:t>6</w:t>
            </w:r>
            <w:r>
              <w:rPr>
                <w:sz w:val="21"/>
              </w:rPr>
              <w:t>）</w:t>
            </w:r>
            <w:r>
              <w:rPr>
                <w:sz w:val="21"/>
              </w:rPr>
              <w:t>在区局配置</w:t>
            </w:r>
            <w:r>
              <w:rPr>
                <w:sz w:val="21"/>
              </w:rPr>
              <w:t>语音调度组播服务器，负责</w:t>
            </w:r>
            <w:r>
              <w:rPr>
                <w:sz w:val="21"/>
              </w:rPr>
              <w:t>IP</w:t>
            </w:r>
            <w:r>
              <w:rPr>
                <w:sz w:val="21"/>
              </w:rPr>
              <w:t>语音流和控制流的组播；</w:t>
            </w:r>
          </w:p>
          <w:p>
            <w:pPr>
              <w:pStyle w:val="null3"/>
              <w:ind w:firstLine="420"/>
              <w:jc w:val="left"/>
            </w:pPr>
            <w:r>
              <w:rPr>
                <w:sz w:val="21"/>
              </w:rPr>
              <w:t>7</w:t>
            </w:r>
            <w:r>
              <w:rPr>
                <w:sz w:val="21"/>
              </w:rPr>
              <w:t>）</w:t>
            </w:r>
            <w:r>
              <w:rPr>
                <w:sz w:val="21"/>
              </w:rPr>
              <w:t>在区局配置</w:t>
            </w:r>
            <w:r>
              <w:rPr>
                <w:sz w:val="21"/>
              </w:rPr>
              <w:t>网管运维服务器，包括</w:t>
            </w:r>
            <w:r>
              <w:rPr>
                <w:sz w:val="21"/>
              </w:rPr>
              <w:t>PDT</w:t>
            </w:r>
            <w:r>
              <w:rPr>
                <w:sz w:val="21"/>
              </w:rPr>
              <w:t>数字集群系统网管服务、</w:t>
            </w:r>
            <w:r>
              <w:rPr>
                <w:sz w:val="21"/>
              </w:rPr>
              <w:t>PDT</w:t>
            </w:r>
            <w:r>
              <w:rPr>
                <w:sz w:val="21"/>
              </w:rPr>
              <w:t>数字集群系统二次开发应用系统的软硬件的运维管理服务和</w:t>
            </w:r>
            <w:r>
              <w:rPr>
                <w:sz w:val="21"/>
              </w:rPr>
              <w:t>PDT</w:t>
            </w:r>
            <w:r>
              <w:rPr>
                <w:sz w:val="21"/>
              </w:rPr>
              <w:t>网基站频率管理三部分；</w:t>
            </w:r>
          </w:p>
          <w:p>
            <w:pPr>
              <w:pStyle w:val="null3"/>
              <w:ind w:firstLine="420"/>
              <w:jc w:val="left"/>
            </w:pPr>
            <w:r>
              <w:rPr>
                <w:sz w:val="21"/>
              </w:rPr>
              <w:t>8</w:t>
            </w:r>
            <w:r>
              <w:rPr>
                <w:sz w:val="21"/>
              </w:rPr>
              <w:t>）</w:t>
            </w:r>
            <w:r>
              <w:rPr>
                <w:sz w:val="21"/>
              </w:rPr>
              <w:t>在区局配置</w:t>
            </w:r>
            <w:r>
              <w:rPr>
                <w:sz w:val="21"/>
              </w:rPr>
              <w:t>终端配置管理服务器，对无线终端用户进行配置管理并将配置数据同步到数字集群应急通信系统内，对无线终端进行实时动态重组、遥开</w:t>
            </w:r>
            <w:r>
              <w:rPr>
                <w:sz w:val="21"/>
              </w:rPr>
              <w:t>/</w:t>
            </w:r>
            <w:r>
              <w:rPr>
                <w:sz w:val="21"/>
              </w:rPr>
              <w:t>遥毙</w:t>
            </w:r>
            <w:r>
              <w:rPr>
                <w:sz w:val="21"/>
              </w:rPr>
              <w:t>/</w:t>
            </w:r>
            <w:r>
              <w:rPr>
                <w:sz w:val="21"/>
              </w:rPr>
              <w:t>遥晕控制等信息；</w:t>
            </w:r>
          </w:p>
          <w:p>
            <w:pPr>
              <w:pStyle w:val="null3"/>
              <w:ind w:firstLine="420"/>
              <w:jc w:val="left"/>
            </w:pPr>
            <w:r>
              <w:rPr>
                <w:sz w:val="21"/>
              </w:rPr>
              <w:t>9</w:t>
            </w:r>
            <w:r>
              <w:rPr>
                <w:sz w:val="21"/>
              </w:rPr>
              <w:t>）在区局配置录音服务器，提供实时全网的录音、存储及回放功能</w:t>
            </w:r>
          </w:p>
          <w:p>
            <w:pPr>
              <w:pStyle w:val="null3"/>
              <w:ind w:firstLine="420"/>
              <w:jc w:val="left"/>
            </w:pPr>
            <w:r>
              <w:rPr>
                <w:sz w:val="21"/>
              </w:rPr>
              <w:t>2.</w:t>
            </w:r>
            <w:r>
              <w:rPr>
                <w:sz w:val="21"/>
              </w:rPr>
              <w:t>南海公安</w:t>
            </w:r>
            <w:r>
              <w:rPr>
                <w:sz w:val="21"/>
              </w:rPr>
              <w:t>TETRA</w:t>
            </w:r>
            <w:r>
              <w:rPr>
                <w:sz w:val="21"/>
              </w:rPr>
              <w:t>数字集群系统</w:t>
            </w:r>
          </w:p>
          <w:p>
            <w:pPr>
              <w:pStyle w:val="null3"/>
              <w:ind w:firstLine="420"/>
              <w:jc w:val="left"/>
            </w:pPr>
            <w:r>
              <w:rPr>
                <w:sz w:val="21"/>
              </w:rPr>
              <w:t>针对全区覆盖盲点及弱区，</w:t>
            </w:r>
            <w:r>
              <w:rPr>
                <w:sz w:val="21"/>
              </w:rPr>
              <w:t>在南海区增加了</w:t>
            </w:r>
            <w:r>
              <w:rPr>
                <w:sz w:val="21"/>
              </w:rPr>
              <w:t>9</w:t>
            </w:r>
            <w:r>
              <w:rPr>
                <w:sz w:val="21"/>
              </w:rPr>
              <w:t>套</w:t>
            </w:r>
            <w:r>
              <w:rPr>
                <w:sz w:val="21"/>
              </w:rPr>
              <w:t>TETRA</w:t>
            </w:r>
            <w:r>
              <w:rPr>
                <w:sz w:val="21"/>
              </w:rPr>
              <w:t>数字集群基站，每个基站提供</w:t>
            </w:r>
            <w:r>
              <w:rPr>
                <w:sz w:val="21"/>
              </w:rPr>
              <w:t>1</w:t>
            </w:r>
            <w:r>
              <w:rPr>
                <w:sz w:val="21"/>
              </w:rPr>
              <w:t>条</w:t>
            </w:r>
            <w:r>
              <w:rPr>
                <w:sz w:val="21"/>
              </w:rPr>
              <w:t>E1</w:t>
            </w:r>
            <w:r>
              <w:rPr>
                <w:sz w:val="21"/>
              </w:rPr>
              <w:t>有线链路汇接到位于佛山市公安局的</w:t>
            </w:r>
            <w:r>
              <w:rPr>
                <w:sz w:val="21"/>
              </w:rPr>
              <w:t>350</w:t>
            </w:r>
            <w:r>
              <w:rPr>
                <w:sz w:val="21"/>
              </w:rPr>
              <w:t>兆数字集群系统交换中心，实现话音和数据的互联互通。基站</w:t>
            </w:r>
            <w:r>
              <w:rPr>
                <w:sz w:val="21"/>
              </w:rPr>
              <w:t>分别</w:t>
            </w:r>
            <w:r>
              <w:rPr>
                <w:sz w:val="21"/>
              </w:rPr>
              <w:t>位于</w:t>
            </w:r>
            <w:r>
              <w:rPr>
                <w:sz w:val="21"/>
              </w:rPr>
              <w:t>在南海区镇街的重要地理位置</w:t>
            </w:r>
            <w:r>
              <w:rPr>
                <w:sz w:val="21"/>
              </w:rPr>
              <w:t>。</w:t>
            </w:r>
          </w:p>
          <w:p>
            <w:pPr>
              <w:pStyle w:val="null3"/>
              <w:ind w:firstLine="420"/>
              <w:jc w:val="left"/>
            </w:pPr>
            <w:r>
              <w:rPr>
                <w:sz w:val="21"/>
              </w:rPr>
              <w:t>3</w:t>
            </w:r>
            <w:r>
              <w:rPr>
                <w:sz w:val="21"/>
              </w:rPr>
              <w:t>.</w:t>
            </w:r>
            <w:r>
              <w:rPr>
                <w:sz w:val="21"/>
              </w:rPr>
              <w:t>南海公安通讯作战平台</w:t>
            </w:r>
          </w:p>
          <w:p>
            <w:pPr>
              <w:pStyle w:val="null3"/>
              <w:ind w:firstLine="420"/>
              <w:jc w:val="left"/>
            </w:pPr>
            <w:r>
              <w:rPr>
                <w:sz w:val="21"/>
              </w:rPr>
              <w:t>（</w:t>
            </w:r>
            <w:r>
              <w:rPr>
                <w:sz w:val="21"/>
              </w:rPr>
              <w:t>1</w:t>
            </w:r>
            <w:r>
              <w:rPr>
                <w:sz w:val="21"/>
              </w:rPr>
              <w:t>）无人机系统：无人机是</w:t>
            </w:r>
            <w:r>
              <w:rPr>
                <w:sz w:val="21"/>
              </w:rPr>
              <w:t>采用</w:t>
            </w:r>
            <w:r>
              <w:rPr>
                <w:sz w:val="21"/>
              </w:rPr>
              <w:t>大疆御</w:t>
            </w:r>
            <w:r>
              <w:rPr>
                <w:sz w:val="21"/>
              </w:rPr>
              <w:t>Mavicpro</w:t>
            </w:r>
            <w:r>
              <w:rPr>
                <w:sz w:val="21"/>
              </w:rPr>
              <w:t>和</w:t>
            </w:r>
            <w:r>
              <w:rPr>
                <w:sz w:val="21"/>
              </w:rPr>
              <w:t>大疆御</w:t>
            </w:r>
            <w:r>
              <w:rPr>
                <w:sz w:val="21"/>
              </w:rPr>
              <w:t>2Mavic2</w:t>
            </w:r>
            <w:r>
              <w:rPr>
                <w:sz w:val="21"/>
              </w:rPr>
              <w:t>两台无人机</w:t>
            </w:r>
            <w:r>
              <w:rPr>
                <w:sz w:val="21"/>
              </w:rPr>
              <w:t>，图像自稳定系统和独立姿态测量传感器保证无人机在飞行过程中拍摄稳定的图像。将无人机地面站的视频接口与车载主机互联，将无人机云台作为车载主机的一个编码器融合到车载监控设备中。使用</w:t>
            </w:r>
            <w:r>
              <w:rPr>
                <w:sz w:val="21"/>
              </w:rPr>
              <w:t>VPN</w:t>
            </w:r>
            <w:r>
              <w:rPr>
                <w:sz w:val="21"/>
              </w:rPr>
              <w:t>链路将无人机视频和</w:t>
            </w:r>
            <w:r>
              <w:rPr>
                <w:sz w:val="21"/>
              </w:rPr>
              <w:t>GPS</w:t>
            </w:r>
            <w:r>
              <w:rPr>
                <w:sz w:val="21"/>
              </w:rPr>
              <w:t>信号传输到公安侧视频专网中，并接入视频监控系统。巡逻车中的用户通过车载显示屏查看无人机画面，同时通过无人机地面站对无人机进行操控，在指挥中心的用户通过视频监控系统或大屏对无人机实时画面和轨迹进行观看。</w:t>
            </w:r>
          </w:p>
          <w:p>
            <w:pPr>
              <w:pStyle w:val="null3"/>
              <w:ind w:firstLine="420"/>
              <w:jc w:val="left"/>
            </w:pPr>
            <w:r>
              <w:rPr>
                <w:sz w:val="21"/>
              </w:rPr>
              <w:t>（</w:t>
            </w:r>
            <w:r>
              <w:rPr>
                <w:sz w:val="21"/>
              </w:rPr>
              <w:t>2</w:t>
            </w:r>
            <w:r>
              <w:rPr>
                <w:sz w:val="21"/>
              </w:rPr>
              <w:t>）车载供电系统：</w:t>
            </w:r>
          </w:p>
          <w:p>
            <w:pPr>
              <w:pStyle w:val="null3"/>
              <w:ind w:firstLine="420"/>
              <w:jc w:val="left"/>
            </w:pPr>
            <w:r>
              <w:rPr>
                <w:sz w:val="21"/>
              </w:rPr>
              <w:t>1</w:t>
            </w:r>
            <w:r>
              <w:rPr>
                <w:sz w:val="21"/>
              </w:rPr>
              <w:t>）</w:t>
            </w:r>
            <w:r>
              <w:rPr>
                <w:sz w:val="21"/>
              </w:rPr>
              <w:t>配电系统（</w:t>
            </w:r>
            <w:r>
              <w:rPr>
                <w:sz w:val="21"/>
              </w:rPr>
              <w:t>微电路智能控制</w:t>
            </w:r>
            <w:r>
              <w:rPr>
                <w:sz w:val="21"/>
              </w:rPr>
              <w:t>）</w:t>
            </w:r>
          </w:p>
          <w:p>
            <w:pPr>
              <w:pStyle w:val="null3"/>
              <w:ind w:firstLine="420"/>
              <w:jc w:val="left"/>
            </w:pPr>
            <w:r>
              <w:rPr>
                <w:sz w:val="21"/>
              </w:rPr>
              <w:t>配电系统由</w:t>
            </w:r>
            <w:r>
              <w:rPr>
                <w:sz w:val="21"/>
              </w:rPr>
              <w:t>以下</w:t>
            </w:r>
            <w:r>
              <w:rPr>
                <w:sz w:val="21"/>
              </w:rPr>
              <w:t>部分组成：</w:t>
            </w:r>
          </w:p>
          <w:p>
            <w:pPr>
              <w:pStyle w:val="null3"/>
              <w:ind w:firstLine="420"/>
              <w:jc w:val="left"/>
            </w:pPr>
            <w:r>
              <w:rPr>
                <w:sz w:val="21"/>
              </w:rPr>
              <w:t>外接</w:t>
            </w:r>
            <w:r>
              <w:rPr>
                <w:sz w:val="21"/>
              </w:rPr>
              <w:t>电源：完成交流电引入、避雷、滤波、地线引接等功能；</w:t>
            </w:r>
          </w:p>
          <w:p>
            <w:pPr>
              <w:pStyle w:val="null3"/>
              <w:ind w:firstLine="420"/>
              <w:jc w:val="left"/>
            </w:pPr>
            <w:r>
              <w:rPr>
                <w:sz w:val="21"/>
              </w:rPr>
              <w:t>车内配电线路：完成集中控制、多路交流输入选择、安全保护等功能；</w:t>
            </w:r>
          </w:p>
          <w:p>
            <w:pPr>
              <w:pStyle w:val="null3"/>
              <w:ind w:firstLine="420"/>
              <w:jc w:val="left"/>
            </w:pPr>
            <w:r>
              <w:rPr>
                <w:sz w:val="21"/>
              </w:rPr>
              <w:t>UPS</w:t>
            </w:r>
            <w:r>
              <w:rPr>
                <w:sz w:val="21"/>
              </w:rPr>
              <w:t>电源：交流输出、</w:t>
            </w:r>
            <w:r>
              <w:rPr>
                <w:sz w:val="21"/>
              </w:rPr>
              <w:t>蓄</w:t>
            </w:r>
            <w:r>
              <w:rPr>
                <w:sz w:val="21"/>
              </w:rPr>
              <w:t>电池组充电等功能；</w:t>
            </w:r>
          </w:p>
          <w:p>
            <w:pPr>
              <w:pStyle w:val="null3"/>
              <w:ind w:firstLine="420"/>
              <w:jc w:val="left"/>
            </w:pPr>
            <w:r>
              <w:rPr>
                <w:sz w:val="21"/>
              </w:rPr>
              <w:t>汽油</w:t>
            </w:r>
            <w:r>
              <w:rPr>
                <w:sz w:val="21"/>
              </w:rPr>
              <w:t>发电机：当不能使用市电时，作为交流</w:t>
            </w:r>
            <w:r>
              <w:rPr>
                <w:sz w:val="21"/>
              </w:rPr>
              <w:t>电</w:t>
            </w:r>
            <w:r>
              <w:rPr>
                <w:sz w:val="21"/>
              </w:rPr>
              <w:t>源</w:t>
            </w:r>
            <w:r>
              <w:rPr>
                <w:sz w:val="21"/>
              </w:rPr>
              <w:t>供应，采用车辆内部发电机，确保可密闭使用发电机</w:t>
            </w:r>
            <w:r>
              <w:rPr>
                <w:sz w:val="21"/>
              </w:rPr>
              <w:t>；</w:t>
            </w:r>
          </w:p>
          <w:p>
            <w:pPr>
              <w:pStyle w:val="null3"/>
              <w:ind w:firstLine="420"/>
              <w:jc w:val="left"/>
            </w:pPr>
            <w:r>
              <w:rPr>
                <w:sz w:val="21"/>
              </w:rPr>
              <w:t>蓄电池组：为不间断供电</w:t>
            </w:r>
            <w:r>
              <w:rPr>
                <w:sz w:val="21"/>
              </w:rPr>
              <w:t>提供短时间</w:t>
            </w:r>
            <w:r>
              <w:rPr>
                <w:sz w:val="21"/>
              </w:rPr>
              <w:t>能量储备；</w:t>
            </w:r>
          </w:p>
          <w:p>
            <w:pPr>
              <w:pStyle w:val="null3"/>
              <w:ind w:firstLine="420"/>
              <w:jc w:val="left"/>
            </w:pPr>
            <w:r>
              <w:rPr>
                <w:sz w:val="21"/>
              </w:rPr>
              <w:t>智能电源管理系统：</w:t>
            </w:r>
            <w:r>
              <w:rPr>
                <w:sz w:val="21"/>
              </w:rPr>
              <w:t>防止</w:t>
            </w:r>
            <w:r>
              <w:rPr>
                <w:sz w:val="21"/>
              </w:rPr>
              <w:t>改装电路与原车电路的不良结合，确保车头电瓶永不溃电</w:t>
            </w:r>
            <w:r>
              <w:rPr>
                <w:sz w:val="21"/>
              </w:rPr>
              <w:t>,</w:t>
            </w:r>
            <w:r>
              <w:rPr>
                <w:sz w:val="21"/>
              </w:rPr>
              <w:t>保障电源系统</w:t>
            </w:r>
            <w:r>
              <w:rPr>
                <w:sz w:val="21"/>
              </w:rPr>
              <w:t>使用安全</w:t>
            </w:r>
          </w:p>
          <w:p>
            <w:pPr>
              <w:pStyle w:val="null3"/>
              <w:ind w:firstLine="420"/>
              <w:jc w:val="left"/>
            </w:pPr>
            <w:r>
              <w:rPr>
                <w:sz w:val="21"/>
              </w:rPr>
              <w:t>2</w:t>
            </w:r>
            <w:r>
              <w:rPr>
                <w:sz w:val="21"/>
              </w:rPr>
              <w:t>）在线</w:t>
            </w:r>
            <w:r>
              <w:rPr>
                <w:sz w:val="21"/>
              </w:rPr>
              <w:t>UPS</w:t>
            </w:r>
            <w:r>
              <w:rPr>
                <w:sz w:val="21"/>
              </w:rPr>
              <w:t>电源</w:t>
            </w:r>
          </w:p>
          <w:p>
            <w:pPr>
              <w:pStyle w:val="null3"/>
              <w:ind w:firstLine="420"/>
              <w:jc w:val="left"/>
            </w:pPr>
            <w:r>
              <w:rPr>
                <w:sz w:val="21"/>
              </w:rPr>
              <w:t>根据系统</w:t>
            </w:r>
            <w:r>
              <w:rPr>
                <w:sz w:val="21"/>
              </w:rPr>
              <w:t>维护需求，成交供应商需配备</w:t>
            </w:r>
            <w:r>
              <w:rPr>
                <w:sz w:val="21"/>
              </w:rPr>
              <w:t>1</w:t>
            </w:r>
            <w:r>
              <w:rPr>
                <w:sz w:val="21"/>
              </w:rPr>
              <w:t>个在线式</w:t>
            </w:r>
            <w:r>
              <w:rPr>
                <w:sz w:val="21"/>
              </w:rPr>
              <w:t>UPS</w:t>
            </w:r>
            <w:r>
              <w:rPr>
                <w:sz w:val="21"/>
              </w:rPr>
              <w:t>电源，</w:t>
            </w:r>
            <w:r>
              <w:rPr>
                <w:sz w:val="21"/>
              </w:rPr>
              <w:t>在应急情况下</w:t>
            </w:r>
            <w:r>
              <w:rPr>
                <w:sz w:val="21"/>
              </w:rPr>
              <w:t>提供稳定可靠的交流电源。根据系统设备总功耗，</w:t>
            </w:r>
            <w:r>
              <w:rPr>
                <w:sz w:val="21"/>
              </w:rPr>
              <w:t>UPS</w:t>
            </w:r>
            <w:r>
              <w:rPr>
                <w:sz w:val="21"/>
              </w:rPr>
              <w:t>电源的额定功率不小于</w:t>
            </w:r>
            <w:r>
              <w:rPr>
                <w:sz w:val="21"/>
              </w:rPr>
              <w:t>3KVA</w:t>
            </w:r>
            <w:r>
              <w:rPr>
                <w:sz w:val="21"/>
              </w:rPr>
              <w:t>。根据系统供电要求，能满足后备时间</w:t>
            </w:r>
            <w:r>
              <w:rPr>
                <w:sz w:val="21"/>
              </w:rPr>
              <w:t>20</w:t>
            </w:r>
            <w:r>
              <w:rPr>
                <w:sz w:val="21"/>
              </w:rPr>
              <w:t>分钟要求</w:t>
            </w:r>
          </w:p>
          <w:p>
            <w:pPr>
              <w:pStyle w:val="null3"/>
              <w:ind w:firstLine="420"/>
              <w:jc w:val="left"/>
            </w:pPr>
            <w:r>
              <w:rPr>
                <w:sz w:val="21"/>
              </w:rPr>
              <w:t>3</w:t>
            </w:r>
            <w:r>
              <w:rPr>
                <w:sz w:val="21"/>
              </w:rPr>
              <w:t>）超静音汽油发电机组</w:t>
            </w:r>
          </w:p>
          <w:p>
            <w:pPr>
              <w:pStyle w:val="null3"/>
              <w:ind w:firstLine="420"/>
              <w:jc w:val="left"/>
            </w:pPr>
            <w:r>
              <w:rPr>
                <w:sz w:val="21"/>
              </w:rPr>
              <w:t>成交供应商</w:t>
            </w:r>
            <w:r>
              <w:rPr>
                <w:sz w:val="21"/>
              </w:rPr>
              <w:t>需配备一台汽油发电机</w:t>
            </w:r>
            <w:r>
              <w:rPr>
                <w:sz w:val="21"/>
              </w:rPr>
              <w:t>，汽油发电机</w:t>
            </w:r>
            <w:r>
              <w:rPr>
                <w:sz w:val="21"/>
              </w:rPr>
              <w:t>的额定功率不小于</w:t>
            </w:r>
            <w:r>
              <w:rPr>
                <w:sz w:val="21"/>
              </w:rPr>
              <w:t>2900VA</w:t>
            </w:r>
            <w:r>
              <w:rPr>
                <w:sz w:val="21"/>
              </w:rPr>
              <w:t>。</w:t>
            </w:r>
          </w:p>
        </w:tc>
      </w:tr>
      <w:tr>
        <w:tc>
          <w:tcPr>
            <w:tcW w:type="dxa" w:w="2076"/>
          </w:tcPr>
          <w:p/>
        </w:tc>
        <w:tc>
          <w:tcPr>
            <w:tcW w:type="dxa" w:w="415"/>
          </w:tcPr>
          <w:p>
            <w:pPr>
              <w:pStyle w:val="null3"/>
            </w:pPr>
            <w:r>
              <w:rPr/>
              <w:t>3</w:t>
            </w:r>
          </w:p>
        </w:tc>
        <w:tc>
          <w:tcPr>
            <w:tcW w:type="dxa" w:w="5814"/>
          </w:tcPr>
          <w:p>
            <w:pPr>
              <w:pStyle w:val="null3"/>
              <w:spacing w:before="150" w:after="150"/>
              <w:jc w:val="left"/>
            </w:pPr>
            <w:r>
              <w:rPr>
                <w:sz w:val="21"/>
                <w:b/>
              </w:rPr>
              <w:t>三</w:t>
            </w:r>
            <w:r>
              <w:rPr>
                <w:sz w:val="21"/>
                <w:b/>
              </w:rPr>
              <w:t>、维护</w:t>
            </w:r>
            <w:r>
              <w:rPr>
                <w:sz w:val="21"/>
                <w:b/>
              </w:rPr>
              <w:t>要求</w:t>
            </w:r>
          </w:p>
          <w:p>
            <w:pPr>
              <w:pStyle w:val="null3"/>
              <w:jc w:val="both"/>
            </w:pPr>
            <w:r>
              <w:rPr>
                <w:sz w:val="21"/>
                <w:b/>
              </w:rPr>
              <w:t>（</w:t>
            </w:r>
            <w:r>
              <w:rPr>
                <w:sz w:val="21"/>
                <w:b/>
              </w:rPr>
              <w:t>一</w:t>
            </w:r>
            <w:r>
              <w:rPr>
                <w:sz w:val="21"/>
                <w:b/>
              </w:rPr>
              <w:t>）</w:t>
            </w:r>
            <w:r>
              <w:rPr>
                <w:sz w:val="21"/>
                <w:b/>
              </w:rPr>
              <w:t>基础设施维护要求</w:t>
            </w:r>
          </w:p>
          <w:p>
            <w:pPr>
              <w:pStyle w:val="null3"/>
              <w:ind w:firstLine="422"/>
              <w:jc w:val="both"/>
            </w:pPr>
            <w:r>
              <w:rPr>
                <w:sz w:val="21"/>
                <w:b/>
              </w:rPr>
              <w:t>1.南海公安PDT数字集群系统</w:t>
            </w:r>
          </w:p>
          <w:p>
            <w:pPr>
              <w:pStyle w:val="null3"/>
              <w:ind w:firstLine="420"/>
              <w:jc w:val="both"/>
            </w:pPr>
            <w:r>
              <w:rPr>
                <w:sz w:val="21"/>
              </w:rPr>
              <w:t>（</w:t>
            </w:r>
            <w:r>
              <w:rPr>
                <w:sz w:val="21"/>
              </w:rPr>
              <w:t>1</w:t>
            </w:r>
            <w:r>
              <w:rPr>
                <w:sz w:val="21"/>
              </w:rPr>
              <w:t>）</w:t>
            </w:r>
            <w:r>
              <w:rPr>
                <w:sz w:val="21"/>
              </w:rPr>
              <w:t>基础设施的日常维护、维修保障和监控等</w:t>
            </w:r>
            <w:r>
              <w:rPr>
                <w:sz w:val="21"/>
              </w:rPr>
              <w:t>。</w:t>
            </w:r>
          </w:p>
          <w:p>
            <w:pPr>
              <w:pStyle w:val="null3"/>
              <w:ind w:firstLine="420"/>
              <w:jc w:val="both"/>
            </w:pPr>
            <w:r>
              <w:rPr>
                <w:sz w:val="21"/>
              </w:rPr>
              <w:t>日常巡检：</w:t>
            </w:r>
            <w:r>
              <w:rPr>
                <w:sz w:val="21"/>
              </w:rPr>
              <w:t>成交供应商</w:t>
            </w:r>
            <w:r>
              <w:rPr>
                <w:sz w:val="21"/>
              </w:rPr>
              <w:t>工作日每天早上对系统进行远程巡检，包括基站在线情况、系统故障告警情况、</w:t>
            </w:r>
            <w:r>
              <w:rPr>
                <w:sz w:val="21"/>
              </w:rPr>
              <w:t>服务软件</w:t>
            </w:r>
            <w:r>
              <w:rPr>
                <w:sz w:val="21"/>
              </w:rPr>
              <w:t>运行情况等，发现故障时当天处理。</w:t>
            </w:r>
          </w:p>
          <w:p>
            <w:pPr>
              <w:pStyle w:val="null3"/>
              <w:ind w:firstLine="420"/>
              <w:jc w:val="both"/>
            </w:pPr>
            <w:r>
              <w:rPr>
                <w:sz w:val="21"/>
              </w:rPr>
              <w:t>每周巡检：成交供应商</w:t>
            </w:r>
            <w:r>
              <w:rPr>
                <w:sz w:val="21"/>
              </w:rPr>
              <w:t>通过管理软件对系统进行详细检查，包括信道机输出功率、接收卫星数量、电源电压、无线终端一周在线情况等。</w:t>
            </w:r>
          </w:p>
          <w:p>
            <w:pPr>
              <w:pStyle w:val="null3"/>
              <w:ind w:firstLine="420"/>
              <w:jc w:val="both"/>
            </w:pPr>
            <w:r>
              <w:rPr>
                <w:sz w:val="21"/>
              </w:rPr>
              <w:t>季度巡检：</w:t>
            </w:r>
            <w:r>
              <w:rPr>
                <w:sz w:val="21"/>
              </w:rPr>
              <w:t>成交供应商</w:t>
            </w:r>
            <w:r>
              <w:rPr>
                <w:sz w:val="21"/>
              </w:rPr>
              <w:t>每个季度对全系统设备进行检测，包括基站设备表面清洁和机房环境清洁、天馈系统的波比参数和输出功率、信道机收发设备是否正常等，每次巡检的时间大约为</w:t>
            </w:r>
            <w:r>
              <w:rPr>
                <w:sz w:val="21"/>
              </w:rPr>
              <w:t>30天。</w:t>
            </w:r>
          </w:p>
          <w:p>
            <w:pPr>
              <w:pStyle w:val="null3"/>
              <w:ind w:firstLine="420"/>
              <w:jc w:val="both"/>
            </w:pPr>
            <w:r>
              <w:rPr>
                <w:sz w:val="21"/>
              </w:rPr>
              <w:t>（</w:t>
            </w:r>
            <w:r>
              <w:rPr>
                <w:sz w:val="21"/>
              </w:rPr>
              <w:t>2</w:t>
            </w:r>
            <w:r>
              <w:rPr>
                <w:sz w:val="21"/>
              </w:rPr>
              <w:t>）</w:t>
            </w:r>
            <w:r>
              <w:rPr>
                <w:sz w:val="21"/>
              </w:rPr>
              <w:t>相关主要设备维护。</w:t>
            </w:r>
          </w:p>
          <w:p>
            <w:pPr>
              <w:pStyle w:val="null3"/>
              <w:ind w:firstLine="420"/>
              <w:jc w:val="both"/>
            </w:pPr>
            <w:r>
              <w:rPr>
                <w:sz w:val="21"/>
              </w:rPr>
              <w:t>成交供应商每天检查相关主要设备运行情况，定期对其进行维护，要求如下：</w:t>
            </w:r>
          </w:p>
          <w:p>
            <w:pPr>
              <w:pStyle w:val="null3"/>
              <w:ind w:firstLine="420"/>
              <w:jc w:val="both"/>
            </w:pPr>
            <w:r>
              <w:rPr>
                <w:sz w:val="21"/>
              </w:rPr>
              <w:t>1)</w:t>
            </w:r>
            <w:r>
              <w:rPr>
                <w:sz w:val="21"/>
              </w:rPr>
              <w:t>设备连接状况检查；</w:t>
            </w:r>
          </w:p>
          <w:p>
            <w:pPr>
              <w:pStyle w:val="null3"/>
              <w:ind w:firstLine="420"/>
              <w:jc w:val="both"/>
            </w:pPr>
            <w:r>
              <w:rPr>
                <w:sz w:val="21"/>
              </w:rPr>
              <w:t>2)</w:t>
            </w:r>
            <w:r>
              <w:rPr>
                <w:sz w:val="21"/>
              </w:rPr>
              <w:t>系统硬件运行情况检查</w:t>
            </w:r>
            <w:r>
              <w:rPr>
                <w:sz w:val="21"/>
              </w:rPr>
              <w:t>;</w:t>
            </w:r>
          </w:p>
          <w:p>
            <w:pPr>
              <w:pStyle w:val="null3"/>
              <w:ind w:firstLine="420"/>
              <w:jc w:val="both"/>
            </w:pPr>
            <w:r>
              <w:rPr>
                <w:sz w:val="21"/>
              </w:rPr>
              <w:t>3)</w:t>
            </w:r>
            <w:r>
              <w:rPr>
                <w:sz w:val="21"/>
              </w:rPr>
              <w:t>系统运行状态、性能检查和优化情况检查</w:t>
            </w:r>
            <w:r>
              <w:rPr>
                <w:sz w:val="21"/>
              </w:rPr>
              <w:t>;</w:t>
            </w:r>
          </w:p>
          <w:p>
            <w:pPr>
              <w:pStyle w:val="null3"/>
              <w:ind w:firstLine="420"/>
              <w:jc w:val="both"/>
            </w:pPr>
            <w:r>
              <w:rPr>
                <w:sz w:val="21"/>
              </w:rPr>
              <w:t>4)</w:t>
            </w:r>
            <w:r>
              <w:rPr>
                <w:sz w:val="21"/>
              </w:rPr>
              <w:t>系统错误日志分析</w:t>
            </w:r>
            <w:r>
              <w:rPr>
                <w:sz w:val="21"/>
              </w:rPr>
              <w:t>;</w:t>
            </w:r>
          </w:p>
          <w:p>
            <w:pPr>
              <w:pStyle w:val="null3"/>
              <w:ind w:firstLine="420"/>
              <w:jc w:val="both"/>
            </w:pPr>
            <w:r>
              <w:rPr>
                <w:sz w:val="21"/>
              </w:rPr>
              <w:t>5)</w:t>
            </w:r>
            <w:r>
              <w:rPr>
                <w:sz w:val="21"/>
              </w:rPr>
              <w:t>文件系统空间使用情况检查</w:t>
            </w:r>
            <w:r>
              <w:rPr>
                <w:sz w:val="21"/>
              </w:rPr>
              <w:t>;</w:t>
            </w:r>
          </w:p>
          <w:p>
            <w:pPr>
              <w:pStyle w:val="null3"/>
              <w:ind w:firstLine="420"/>
              <w:jc w:val="both"/>
            </w:pPr>
            <w:r>
              <w:rPr>
                <w:sz w:val="21"/>
              </w:rPr>
              <w:t>6)</w:t>
            </w:r>
            <w:r>
              <w:rPr>
                <w:sz w:val="21"/>
              </w:rPr>
              <w:t>系统的安全性检查与防范</w:t>
            </w:r>
            <w:r>
              <w:rPr>
                <w:sz w:val="21"/>
              </w:rPr>
              <w:t>;</w:t>
            </w:r>
          </w:p>
          <w:p>
            <w:pPr>
              <w:pStyle w:val="null3"/>
              <w:ind w:firstLine="420"/>
              <w:jc w:val="both"/>
            </w:pPr>
            <w:r>
              <w:rPr>
                <w:sz w:val="21"/>
              </w:rPr>
              <w:t>7)</w:t>
            </w:r>
            <w:r>
              <w:rPr>
                <w:sz w:val="21"/>
              </w:rPr>
              <w:t>操作系统环境检查</w:t>
            </w:r>
          </w:p>
          <w:p>
            <w:pPr>
              <w:pStyle w:val="null3"/>
              <w:ind w:firstLine="420"/>
              <w:jc w:val="both"/>
            </w:pPr>
            <w:r>
              <w:rPr>
                <w:sz w:val="21"/>
              </w:rPr>
              <w:t>8)</w:t>
            </w:r>
            <w:r>
              <w:rPr>
                <w:sz w:val="21"/>
              </w:rPr>
              <w:t>检查系统时，如发现有故障或隐患的部件及时更换，该部分已包含在报价中，采购人不再额外支付。其中，服务器不在更换的范围内；</w:t>
            </w:r>
          </w:p>
          <w:p>
            <w:pPr>
              <w:pStyle w:val="null3"/>
              <w:ind w:firstLine="420"/>
              <w:jc w:val="both"/>
            </w:pPr>
            <w:r>
              <w:rPr>
                <w:sz w:val="21"/>
              </w:rPr>
              <w:t>（</w:t>
            </w:r>
            <w:r>
              <w:rPr>
                <w:sz w:val="21"/>
              </w:rPr>
              <w:t>3）</w:t>
            </w:r>
            <w:r>
              <w:rPr>
                <w:sz w:val="21"/>
              </w:rPr>
              <w:t>网络和信息安全设备维护</w:t>
            </w:r>
            <w:r>
              <w:rPr>
                <w:sz w:val="21"/>
              </w:rPr>
              <w:t>。</w:t>
            </w:r>
          </w:p>
          <w:p>
            <w:pPr>
              <w:pStyle w:val="null3"/>
              <w:ind w:firstLine="420"/>
              <w:jc w:val="both"/>
            </w:pPr>
            <w:r>
              <w:rPr>
                <w:sz w:val="21"/>
              </w:rPr>
              <w:t>南海公安</w:t>
            </w:r>
            <w:r>
              <w:rPr>
                <w:sz w:val="21"/>
              </w:rPr>
              <w:t>350兆数字集群PDT系统汇接交换中心</w:t>
            </w:r>
            <w:r>
              <w:rPr>
                <w:sz w:val="21"/>
              </w:rPr>
              <w:t>为南海公安数字集群系统最重要网络部分：</w:t>
            </w:r>
          </w:p>
          <w:p>
            <w:pPr>
              <w:pStyle w:val="null3"/>
              <w:ind w:firstLine="420"/>
              <w:jc w:val="both"/>
            </w:pPr>
            <w:r>
              <w:rPr>
                <w:sz w:val="21"/>
              </w:rPr>
              <w:t>1</w:t>
            </w:r>
            <w:r>
              <w:rPr>
                <w:sz w:val="21"/>
              </w:rPr>
              <w:t>）</w:t>
            </w:r>
            <w:r>
              <w:rPr>
                <w:sz w:val="21"/>
              </w:rPr>
              <w:t>数字汇接交换机建在分局大楼机房，通过</w:t>
            </w:r>
            <w:r>
              <w:rPr>
                <w:sz w:val="21"/>
              </w:rPr>
              <w:t>21条有线E1线路,实现与系统内各PDT基站的有线联网，把所有基站的信号连接及处理数据交换；</w:t>
            </w:r>
          </w:p>
          <w:p>
            <w:pPr>
              <w:pStyle w:val="null3"/>
              <w:ind w:firstLine="420"/>
              <w:jc w:val="both"/>
            </w:pPr>
            <w:r>
              <w:rPr>
                <w:sz w:val="21"/>
              </w:rPr>
              <w:t>2</w:t>
            </w:r>
            <w:r>
              <w:rPr>
                <w:sz w:val="21"/>
              </w:rPr>
              <w:t>）</w:t>
            </w:r>
            <w:r>
              <w:rPr>
                <w:sz w:val="21"/>
              </w:rPr>
              <w:t>网管服务器</w:t>
            </w:r>
            <w:r>
              <w:rPr>
                <w:sz w:val="21"/>
              </w:rPr>
              <w:t>：</w:t>
            </w:r>
            <w:r>
              <w:rPr>
                <w:sz w:val="21"/>
              </w:rPr>
              <w:t>通过网管终端，</w:t>
            </w:r>
            <w:r>
              <w:rPr>
                <w:sz w:val="21"/>
              </w:rPr>
              <w:t>可以对全南海区</w:t>
            </w:r>
            <w:r>
              <w:rPr>
                <w:sz w:val="21"/>
              </w:rPr>
              <w:t>PDT数字集群系统进行远程参数监控及管理，</w:t>
            </w:r>
            <w:r>
              <w:rPr>
                <w:sz w:val="21"/>
              </w:rPr>
              <w:t>可遥控基站工作状态；接收和显示系统设备报警信号及内容；遥测信道机前向功率、反向功率、工作电压、链路联通状态等参数，实现系统组网控制和统一管理；</w:t>
            </w:r>
          </w:p>
          <w:p>
            <w:pPr>
              <w:pStyle w:val="null3"/>
              <w:ind w:firstLine="420"/>
              <w:jc w:val="both"/>
            </w:pPr>
            <w:r>
              <w:rPr>
                <w:sz w:val="21"/>
              </w:rPr>
              <w:t>3</w:t>
            </w:r>
            <w:r>
              <w:rPr>
                <w:sz w:val="21"/>
              </w:rPr>
              <w:t>）</w:t>
            </w:r>
            <w:r>
              <w:rPr>
                <w:sz w:val="21"/>
              </w:rPr>
              <w:t>调度服务器</w:t>
            </w:r>
            <w:r>
              <w:rPr>
                <w:sz w:val="21"/>
              </w:rPr>
              <w:t>：</w:t>
            </w:r>
            <w:r>
              <w:rPr>
                <w:sz w:val="21"/>
              </w:rPr>
              <w:t>提供语音调度</w:t>
            </w:r>
            <w:r>
              <w:rPr>
                <w:sz w:val="21"/>
              </w:rPr>
              <w:t>( 单呼、组呼、监听、强插)、强拆、短信(单发、群发)、状态消息(单发、群发)、动态重组、终端状态等一系列指挥调度功能；</w:t>
            </w:r>
          </w:p>
          <w:p>
            <w:pPr>
              <w:pStyle w:val="null3"/>
              <w:ind w:firstLine="420"/>
              <w:jc w:val="both"/>
            </w:pPr>
            <w:r>
              <w:rPr>
                <w:sz w:val="21"/>
              </w:rPr>
              <w:t>4</w:t>
            </w:r>
            <w:r>
              <w:rPr>
                <w:sz w:val="21"/>
              </w:rPr>
              <w:t>）</w:t>
            </w:r>
            <w:r>
              <w:rPr>
                <w:sz w:val="21"/>
              </w:rPr>
              <w:t>定位服务器</w:t>
            </w:r>
            <w:r>
              <w:rPr>
                <w:sz w:val="21"/>
              </w:rPr>
              <w:t>：</w:t>
            </w:r>
            <w:r>
              <w:rPr>
                <w:sz w:val="21"/>
              </w:rPr>
              <w:t>提供所有终端的实时在线信息与定位信息的采集、存储、转发等一系列功能；</w:t>
            </w:r>
          </w:p>
          <w:p>
            <w:pPr>
              <w:pStyle w:val="null3"/>
              <w:ind w:firstLine="420"/>
              <w:jc w:val="both"/>
            </w:pPr>
            <w:r>
              <w:rPr>
                <w:sz w:val="21"/>
              </w:rPr>
              <w:t>5</w:t>
            </w:r>
            <w:r>
              <w:rPr>
                <w:sz w:val="21"/>
              </w:rPr>
              <w:t>）</w:t>
            </w:r>
            <w:r>
              <w:rPr>
                <w:sz w:val="21"/>
              </w:rPr>
              <w:t>录音服务器</w:t>
            </w:r>
            <w:r>
              <w:rPr>
                <w:sz w:val="21"/>
              </w:rPr>
              <w:t>：</w:t>
            </w:r>
            <w:r>
              <w:rPr>
                <w:sz w:val="21"/>
              </w:rPr>
              <w:t>提供实时全网的录音、存储及回放功能；</w:t>
            </w:r>
          </w:p>
          <w:p>
            <w:pPr>
              <w:pStyle w:val="null3"/>
              <w:ind w:firstLine="420"/>
              <w:jc w:val="both"/>
            </w:pPr>
            <w:r>
              <w:rPr>
                <w:sz w:val="21"/>
              </w:rPr>
              <w:t>6</w:t>
            </w:r>
            <w:r>
              <w:rPr>
                <w:sz w:val="21"/>
              </w:rPr>
              <w:t>）</w:t>
            </w:r>
            <w:r>
              <w:rPr>
                <w:sz w:val="21"/>
              </w:rPr>
              <w:t>鉴权服务器</w:t>
            </w:r>
            <w:r>
              <w:rPr>
                <w:sz w:val="21"/>
              </w:rPr>
              <w:t>：</w:t>
            </w:r>
            <w:r>
              <w:rPr>
                <w:sz w:val="21"/>
              </w:rPr>
              <w:t>系统可在任何需要的时候发起普通鉴权，发起普通鉴权时，系统会要求终端发送自身</w:t>
            </w:r>
            <w:r>
              <w:rPr>
                <w:sz w:val="21"/>
              </w:rPr>
              <w:t>ESN码和响应值，鉴权中心根据用户填写的终端ESN码和响应值来判断移动台是否合法；</w:t>
            </w:r>
          </w:p>
          <w:p>
            <w:pPr>
              <w:pStyle w:val="null3"/>
              <w:ind w:firstLine="420"/>
              <w:jc w:val="both"/>
            </w:pPr>
            <w:r>
              <w:rPr>
                <w:sz w:val="21"/>
              </w:rPr>
              <w:t>7</w:t>
            </w:r>
            <w:r>
              <w:rPr>
                <w:sz w:val="21"/>
              </w:rPr>
              <w:t>）</w:t>
            </w:r>
            <w:r>
              <w:rPr>
                <w:sz w:val="21"/>
              </w:rPr>
              <w:t>终端管理服务器</w:t>
            </w:r>
            <w:r>
              <w:rPr>
                <w:sz w:val="21"/>
              </w:rPr>
              <w:t>：</w:t>
            </w:r>
            <w:r>
              <w:rPr>
                <w:sz w:val="21"/>
              </w:rPr>
              <w:t>对系统终端进行管理设置。</w:t>
            </w:r>
          </w:p>
          <w:p>
            <w:pPr>
              <w:pStyle w:val="null3"/>
              <w:ind w:firstLine="420"/>
              <w:jc w:val="both"/>
            </w:pPr>
            <w:r>
              <w:rPr>
                <w:sz w:val="21"/>
              </w:rPr>
              <w:t>（</w:t>
            </w:r>
            <w:r>
              <w:rPr>
                <w:sz w:val="21"/>
              </w:rPr>
              <w:t>4</w:t>
            </w:r>
            <w:r>
              <w:rPr>
                <w:sz w:val="21"/>
              </w:rPr>
              <w:t>）</w:t>
            </w:r>
            <w:r>
              <w:rPr>
                <w:sz w:val="21"/>
              </w:rPr>
              <w:t>网络通信维护。</w:t>
            </w:r>
          </w:p>
          <w:p>
            <w:pPr>
              <w:pStyle w:val="null3"/>
              <w:ind w:firstLine="420"/>
              <w:jc w:val="both"/>
            </w:pPr>
            <w:r>
              <w:rPr>
                <w:sz w:val="21"/>
              </w:rPr>
              <w:t>该信息系统要求</w:t>
            </w:r>
            <w:r>
              <w:rPr>
                <w:sz w:val="21"/>
              </w:rPr>
              <w:t>24小时不间断工作，因此每天需检查链路光纤是否畅通稳定，确保系统通讯正常，如发现故障立即通知运营商，并协助运营商进行修复。</w:t>
            </w:r>
          </w:p>
          <w:p>
            <w:pPr>
              <w:pStyle w:val="null3"/>
              <w:ind w:firstLine="420"/>
              <w:jc w:val="both"/>
            </w:pPr>
            <w:r>
              <w:rPr>
                <w:sz w:val="21"/>
              </w:rPr>
              <w:t>由于无线信号受环境影响，可对个别基站进行迁移，但不包含产生场地的租赁费用和链路的迁移费用。</w:t>
            </w:r>
          </w:p>
          <w:p>
            <w:pPr>
              <w:pStyle w:val="null3"/>
              <w:ind w:firstLine="420"/>
              <w:jc w:val="left"/>
            </w:pPr>
            <w:r>
              <w:rPr>
                <w:sz w:val="21"/>
              </w:rPr>
              <w:t>（</w:t>
            </w:r>
            <w:r>
              <w:rPr>
                <w:sz w:val="21"/>
              </w:rPr>
              <w:t>5）</w:t>
            </w:r>
            <w:r>
              <w:rPr>
                <w:sz w:val="21"/>
              </w:rPr>
              <w:t>信号检测</w:t>
            </w:r>
            <w:r>
              <w:rPr>
                <w:sz w:val="21"/>
              </w:rPr>
              <w:t>。</w:t>
            </w:r>
          </w:p>
          <w:p>
            <w:pPr>
              <w:pStyle w:val="null3"/>
              <w:ind w:firstLine="420"/>
              <w:jc w:val="both"/>
            </w:pPr>
            <w:r>
              <w:rPr>
                <w:sz w:val="21"/>
              </w:rPr>
              <w:t>定期检测各基站的无线收发设备、供电系统、控制系统以及天馈系统硬件设备，需要定期到全区测试信号情况，个呼，组呼，群呼各种情况都要测试，并做好相关记录。</w:t>
            </w:r>
          </w:p>
          <w:p>
            <w:pPr>
              <w:pStyle w:val="null3"/>
              <w:ind w:firstLine="420"/>
              <w:jc w:val="both"/>
            </w:pPr>
            <w:r>
              <w:rPr>
                <w:sz w:val="21"/>
              </w:rPr>
              <w:t>有针对性地对部分通话组别进行抽查点名测试，将现存软硬件故障进行了实地解决，排除潜在隐患。</w:t>
            </w:r>
          </w:p>
          <w:p>
            <w:pPr>
              <w:pStyle w:val="null3"/>
              <w:ind w:firstLine="420"/>
              <w:jc w:val="both"/>
            </w:pPr>
            <w:r>
              <w:rPr>
                <w:sz w:val="21"/>
              </w:rPr>
              <w:t>对设备跨片区时的使用情况做回访，重点对车载台的使用情况进行跟踪记录，及时排查隐患。</w:t>
            </w:r>
          </w:p>
          <w:p>
            <w:pPr>
              <w:pStyle w:val="null3"/>
              <w:spacing w:before="150" w:after="150"/>
              <w:ind w:firstLine="422"/>
              <w:jc w:val="both"/>
            </w:pPr>
            <w:r>
              <w:rPr>
                <w:sz w:val="21"/>
                <w:b/>
              </w:rPr>
              <w:t>2.南海公安TETRA数字集群系统</w:t>
            </w:r>
          </w:p>
          <w:p>
            <w:pPr>
              <w:pStyle w:val="null3"/>
              <w:ind w:firstLine="420"/>
              <w:jc w:val="both"/>
            </w:pPr>
            <w:r>
              <w:rPr>
                <w:sz w:val="21"/>
              </w:rPr>
              <w:t>（</w:t>
            </w:r>
            <w:r>
              <w:rPr>
                <w:sz w:val="21"/>
              </w:rPr>
              <w:t>1</w:t>
            </w:r>
            <w:r>
              <w:rPr>
                <w:sz w:val="21"/>
              </w:rPr>
              <w:t>）</w:t>
            </w:r>
            <w:r>
              <w:rPr>
                <w:sz w:val="21"/>
              </w:rPr>
              <w:t>系统</w:t>
            </w:r>
            <w:r>
              <w:rPr>
                <w:sz w:val="21"/>
              </w:rPr>
              <w:t>日常维护</w:t>
            </w:r>
            <w:r>
              <w:rPr>
                <w:sz w:val="21"/>
              </w:rPr>
              <w:t>。</w:t>
            </w:r>
          </w:p>
          <w:p>
            <w:pPr>
              <w:pStyle w:val="null3"/>
              <w:ind w:firstLine="420"/>
              <w:jc w:val="both"/>
            </w:pPr>
            <w:r>
              <w:rPr>
                <w:sz w:val="21"/>
              </w:rPr>
              <w:t>每周巡检：成交供应商</w:t>
            </w:r>
            <w:r>
              <w:rPr>
                <w:sz w:val="21"/>
              </w:rPr>
              <w:t>通过管理软件对系统进行详细检查，包括信道机输出功率、接收卫星数量、电源电压、无线终端一周在线情况等。</w:t>
            </w:r>
          </w:p>
          <w:p>
            <w:pPr>
              <w:pStyle w:val="null3"/>
              <w:ind w:firstLine="420"/>
              <w:jc w:val="both"/>
            </w:pPr>
            <w:r>
              <w:rPr>
                <w:sz w:val="21"/>
              </w:rPr>
              <w:t>季度巡检：</w:t>
            </w:r>
            <w:r>
              <w:rPr>
                <w:sz w:val="21"/>
              </w:rPr>
              <w:t>成交供应商提供</w:t>
            </w:r>
            <w:r>
              <w:rPr>
                <w:sz w:val="21"/>
              </w:rPr>
              <w:t>2次</w:t>
            </w:r>
            <w:r>
              <w:rPr>
                <w:sz w:val="21"/>
              </w:rPr>
              <w:t>对全系统设备进行检测，</w:t>
            </w:r>
            <w:r>
              <w:rPr>
                <w:sz w:val="21"/>
              </w:rPr>
              <w:t>每半年检测</w:t>
            </w:r>
            <w:r>
              <w:rPr>
                <w:sz w:val="21"/>
              </w:rPr>
              <w:t>1次，</w:t>
            </w:r>
            <w:r>
              <w:rPr>
                <w:sz w:val="21"/>
              </w:rPr>
              <w:t>包括基站设备表面清洁和机房环境清洁、天馈系统的波比参数和输出功率、信道机收发设备是否正常等，每次巡检的时间大约为</w:t>
            </w:r>
            <w:r>
              <w:rPr>
                <w:sz w:val="21"/>
              </w:rPr>
              <w:t>30天。</w:t>
            </w:r>
          </w:p>
          <w:p>
            <w:pPr>
              <w:pStyle w:val="null3"/>
              <w:ind w:firstLine="420"/>
              <w:jc w:val="both"/>
            </w:pPr>
            <w:r>
              <w:rPr>
                <w:sz w:val="21"/>
              </w:rPr>
              <w:t>（</w:t>
            </w:r>
            <w:r>
              <w:rPr>
                <w:sz w:val="21"/>
              </w:rPr>
              <w:t>2</w:t>
            </w:r>
            <w:r>
              <w:rPr>
                <w:sz w:val="21"/>
              </w:rPr>
              <w:t>）</w:t>
            </w:r>
            <w:r>
              <w:rPr>
                <w:sz w:val="21"/>
              </w:rPr>
              <w:t>主要设备维护。</w:t>
            </w:r>
          </w:p>
          <w:p>
            <w:pPr>
              <w:pStyle w:val="null3"/>
              <w:ind w:firstLine="420"/>
              <w:jc w:val="both"/>
            </w:pPr>
            <w:r>
              <w:rPr>
                <w:sz w:val="21"/>
              </w:rPr>
              <w:t>成交供应商可更换</w:t>
            </w:r>
            <w:r>
              <w:rPr>
                <w:sz w:val="21"/>
              </w:rPr>
              <w:t>2套基站的零部件及2套基站的天馈线，超出2套基站维修所需更换的零配件由采购人提供，但免收所有的人工服务费用（若属不可抗力，被盗及人为蓄意破坏造成的除外）。</w:t>
            </w:r>
          </w:p>
          <w:p>
            <w:pPr>
              <w:pStyle w:val="null3"/>
              <w:ind w:firstLine="420"/>
              <w:jc w:val="both"/>
            </w:pPr>
            <w:r>
              <w:rPr>
                <w:sz w:val="21"/>
              </w:rPr>
              <w:t>（</w:t>
            </w:r>
            <w:r>
              <w:rPr>
                <w:sz w:val="21"/>
              </w:rPr>
              <w:t>3</w:t>
            </w:r>
            <w:r>
              <w:rPr>
                <w:sz w:val="21"/>
              </w:rPr>
              <w:t>）</w:t>
            </w:r>
            <w:r>
              <w:rPr>
                <w:sz w:val="21"/>
              </w:rPr>
              <w:t>网络通信维护。</w:t>
            </w:r>
          </w:p>
          <w:p>
            <w:pPr>
              <w:pStyle w:val="null3"/>
              <w:ind w:firstLine="420"/>
              <w:jc w:val="both"/>
            </w:pPr>
            <w:r>
              <w:rPr>
                <w:sz w:val="21"/>
              </w:rPr>
              <w:t>该信息系统要求</w:t>
            </w:r>
            <w:r>
              <w:rPr>
                <w:sz w:val="21"/>
              </w:rPr>
              <w:t>24小时不间断工作，因此每天需检查链路光纤是否畅通稳定，确保系统通讯正常。</w:t>
            </w:r>
          </w:p>
          <w:p>
            <w:pPr>
              <w:pStyle w:val="null3"/>
              <w:ind w:firstLine="420"/>
              <w:jc w:val="both"/>
            </w:pPr>
            <w:r>
              <w:rPr>
                <w:sz w:val="21"/>
              </w:rPr>
              <w:t>由于无线信号受环境影响，需对个别基站进行迁移，成交供应商配合用户完成基站的搬迁工作，但搬迁所需的零配件及辅材需用户自行采购提供，不包含产生场地的租赁费用和迁移费用。</w:t>
            </w:r>
          </w:p>
          <w:p>
            <w:pPr>
              <w:pStyle w:val="null3"/>
              <w:spacing w:before="150" w:after="150"/>
              <w:ind w:firstLine="422"/>
              <w:jc w:val="both"/>
            </w:pPr>
            <w:r>
              <w:rPr>
                <w:sz w:val="21"/>
                <w:b/>
              </w:rPr>
              <w:t>3.南海公安通讯作战平台</w:t>
            </w:r>
          </w:p>
          <w:p>
            <w:pPr>
              <w:pStyle w:val="null3"/>
              <w:ind w:firstLine="420"/>
              <w:jc w:val="both"/>
            </w:pPr>
            <w:r>
              <w:rPr>
                <w:sz w:val="21"/>
              </w:rPr>
              <w:t>（</w:t>
            </w:r>
            <w:r>
              <w:rPr>
                <w:sz w:val="21"/>
              </w:rPr>
              <w:t>1</w:t>
            </w:r>
            <w:r>
              <w:rPr>
                <w:sz w:val="21"/>
              </w:rPr>
              <w:t>）</w:t>
            </w:r>
            <w:r>
              <w:rPr>
                <w:sz w:val="21"/>
              </w:rPr>
              <w:t>系统</w:t>
            </w:r>
            <w:r>
              <w:rPr>
                <w:sz w:val="21"/>
              </w:rPr>
              <w:t>日常维护</w:t>
            </w:r>
            <w:r>
              <w:rPr>
                <w:sz w:val="21"/>
              </w:rPr>
              <w:t>。</w:t>
            </w:r>
          </w:p>
          <w:p>
            <w:pPr>
              <w:pStyle w:val="null3"/>
              <w:ind w:firstLine="420"/>
              <w:jc w:val="both"/>
            </w:pPr>
            <w:r>
              <w:rPr>
                <w:sz w:val="21"/>
              </w:rPr>
              <w:t>季度巡检：</w:t>
            </w:r>
            <w:r>
              <w:rPr>
                <w:sz w:val="21"/>
              </w:rPr>
              <w:t>成交供应商</w:t>
            </w:r>
            <w:r>
              <w:rPr>
                <w:sz w:val="21"/>
              </w:rPr>
              <w:t>每个季度对系统设备进行检测。</w:t>
            </w:r>
          </w:p>
          <w:p>
            <w:pPr>
              <w:pStyle w:val="null3"/>
              <w:ind w:firstLine="420"/>
              <w:jc w:val="both"/>
            </w:pPr>
            <w:r>
              <w:rPr>
                <w:sz w:val="21"/>
              </w:rPr>
              <w:t>（</w:t>
            </w:r>
            <w:r>
              <w:rPr>
                <w:sz w:val="21"/>
              </w:rPr>
              <w:t>2</w:t>
            </w:r>
            <w:r>
              <w:rPr>
                <w:sz w:val="21"/>
              </w:rPr>
              <w:t>）</w:t>
            </w:r>
            <w:r>
              <w:rPr>
                <w:sz w:val="21"/>
              </w:rPr>
              <w:t>主要设备维护</w:t>
            </w:r>
          </w:p>
          <w:p>
            <w:pPr>
              <w:pStyle w:val="null3"/>
              <w:ind w:firstLine="420"/>
              <w:jc w:val="both"/>
            </w:pPr>
            <w:r>
              <w:rPr>
                <w:sz w:val="21"/>
              </w:rPr>
              <w:t>成交供应商需为本平台所包含的两套无人机系统提供维护服务。在维护期内，无人机因意外损坏需维修时，成交供应商在累计维修费用不超过</w:t>
            </w:r>
            <w:r>
              <w:rPr>
                <w:sz w:val="21"/>
              </w:rPr>
              <w:t>27800元的范围内承担维修，超出27800元的部分维修费用由</w:t>
            </w:r>
            <w:r>
              <w:rPr>
                <w:sz w:val="21"/>
              </w:rPr>
              <w:t>采购人</w:t>
            </w:r>
            <w:r>
              <w:rPr>
                <w:sz w:val="21"/>
              </w:rPr>
              <w:t>自行承担；因无人机在指定区域内飞行并发生意外事故，导致无人机或无人机上坠落物品造成第三者人身伤亡或财产损失的，成交供应商在累计赔偿金额不超过二百万元的范围内承担责任，超出部分由</w:t>
            </w:r>
            <w:r>
              <w:rPr>
                <w:sz w:val="21"/>
              </w:rPr>
              <w:t>采购人</w:t>
            </w:r>
            <w:r>
              <w:rPr>
                <w:sz w:val="21"/>
              </w:rPr>
              <w:t>自行承担。</w:t>
            </w:r>
          </w:p>
          <w:p>
            <w:pPr>
              <w:pStyle w:val="null3"/>
              <w:spacing w:before="150" w:after="150"/>
              <w:jc w:val="left"/>
            </w:pPr>
            <w:r>
              <w:rPr>
                <w:sz w:val="21"/>
                <w:b/>
              </w:rPr>
              <w:t>（</w:t>
            </w:r>
            <w:r>
              <w:rPr>
                <w:sz w:val="21"/>
                <w:b/>
              </w:rPr>
              <w:t>二</w:t>
            </w:r>
            <w:r>
              <w:rPr>
                <w:sz w:val="21"/>
                <w:b/>
              </w:rPr>
              <w:t>）软件及信息资源维护</w:t>
            </w:r>
          </w:p>
          <w:p>
            <w:pPr>
              <w:pStyle w:val="null3"/>
              <w:ind w:firstLine="422"/>
              <w:jc w:val="left"/>
            </w:pPr>
            <w:r>
              <w:rPr>
                <w:sz w:val="21"/>
                <w:b/>
              </w:rPr>
              <w:t>1．应用系统维护</w:t>
            </w:r>
          </w:p>
          <w:p>
            <w:pPr>
              <w:pStyle w:val="null3"/>
              <w:ind w:firstLine="420"/>
              <w:jc w:val="left"/>
            </w:pPr>
            <w:r>
              <w:rPr>
                <w:sz w:val="21"/>
              </w:rPr>
              <w:t>该系统为全区公安的大型警保卫任务、日常接处警以及交通管理提供了有效的无线通信保障，是</w:t>
            </w:r>
            <w:r>
              <w:rPr>
                <w:sz w:val="21"/>
              </w:rPr>
              <w:t>采购人</w:t>
            </w:r>
            <w:r>
              <w:rPr>
                <w:sz w:val="21"/>
              </w:rPr>
              <w:t>重要且必不可少的通信手段。</w:t>
            </w:r>
            <w:r>
              <w:rPr>
                <w:sz w:val="21"/>
              </w:rPr>
              <w:t>成交供应商需确保该系统需</w:t>
            </w:r>
            <w:r>
              <w:rPr>
                <w:sz w:val="21"/>
              </w:rPr>
              <w:t>24小时不间断工作。</w:t>
            </w:r>
          </w:p>
          <w:p>
            <w:pPr>
              <w:pStyle w:val="null3"/>
              <w:spacing w:before="150" w:after="150"/>
              <w:ind w:firstLine="422"/>
              <w:jc w:val="left"/>
            </w:pPr>
            <w:r>
              <w:rPr>
                <w:sz w:val="21"/>
                <w:b/>
              </w:rPr>
              <w:t>2．信息资源维护</w:t>
            </w:r>
          </w:p>
          <w:p>
            <w:pPr>
              <w:pStyle w:val="null3"/>
              <w:ind w:firstLine="420"/>
              <w:jc w:val="both"/>
            </w:pPr>
            <w:r>
              <w:rPr>
                <w:sz w:val="21"/>
              </w:rPr>
              <w:t>成交供应商</w:t>
            </w:r>
            <w:r>
              <w:rPr>
                <w:sz w:val="21"/>
              </w:rPr>
              <w:t>按系统软件的功能标准提供服务</w:t>
            </w:r>
            <w:r>
              <w:rPr>
                <w:sz w:val="21"/>
              </w:rPr>
              <w:t>,并维护软件故障，确保系统正常运作。如果</w:t>
            </w:r>
            <w:r>
              <w:rPr>
                <w:sz w:val="21"/>
              </w:rPr>
              <w:t>设备厂商</w:t>
            </w:r>
            <w:r>
              <w:rPr>
                <w:sz w:val="21"/>
              </w:rPr>
              <w:t>研发出符合该无线集群通信系统最新控制软件，在不影响系统的运行情况下，经协商，</w:t>
            </w:r>
            <w:r>
              <w:rPr>
                <w:sz w:val="21"/>
              </w:rPr>
              <w:t>成交供应商</w:t>
            </w:r>
            <w:r>
              <w:rPr>
                <w:sz w:val="21"/>
              </w:rPr>
              <w:t>有义务对系统进行升级改造。</w:t>
            </w:r>
          </w:p>
          <w:p>
            <w:pPr>
              <w:pStyle w:val="null3"/>
              <w:ind w:firstLine="420"/>
              <w:jc w:val="both"/>
            </w:pPr>
            <w:r>
              <w:rPr>
                <w:sz w:val="21"/>
              </w:rPr>
              <w:t>确保设备的持续稳定使用，</w:t>
            </w:r>
            <w:r>
              <w:rPr>
                <w:sz w:val="21"/>
              </w:rPr>
              <w:t>成交供应商</w:t>
            </w:r>
            <w:r>
              <w:rPr>
                <w:sz w:val="21"/>
              </w:rPr>
              <w:t>负责提供软件的升级和更新服务。</w:t>
            </w:r>
          </w:p>
          <w:p>
            <w:pPr>
              <w:pStyle w:val="null3"/>
              <w:ind w:firstLine="420"/>
              <w:jc w:val="both"/>
            </w:pPr>
            <w:r>
              <w:rPr>
                <w:sz w:val="21"/>
              </w:rPr>
              <w:t>具体软件件更新计划</w:t>
            </w:r>
            <w:r>
              <w:rPr>
                <w:sz w:val="21"/>
              </w:rPr>
              <w:t>如下：</w:t>
            </w:r>
          </w:p>
          <w:p>
            <w:pPr>
              <w:pStyle w:val="null3"/>
              <w:ind w:firstLine="420"/>
              <w:jc w:val="both"/>
            </w:pPr>
            <w:r>
              <w:rPr>
                <w:sz w:val="21"/>
              </w:rPr>
              <w:t>软件系统：每半年检查更新版本一次；</w:t>
            </w:r>
          </w:p>
          <w:p>
            <w:pPr>
              <w:pStyle w:val="null3"/>
              <w:ind w:firstLine="420"/>
              <w:jc w:val="left"/>
            </w:pPr>
            <w:r>
              <w:rPr>
                <w:sz w:val="21"/>
              </w:rPr>
              <w:t>管理软件：同步更新管理软件，每半年检查更新版本一次。</w:t>
            </w:r>
          </w:p>
          <w:p>
            <w:pPr>
              <w:pStyle w:val="null3"/>
              <w:spacing w:before="150" w:after="150"/>
              <w:jc w:val="both"/>
            </w:pPr>
            <w:r>
              <w:rPr>
                <w:sz w:val="21"/>
                <w:b/>
              </w:rPr>
              <w:t>（三）</w:t>
            </w:r>
            <w:r>
              <w:rPr>
                <w:sz w:val="21"/>
                <w:b/>
              </w:rPr>
              <w:t>本系统主要设备维护清单</w:t>
            </w:r>
          </w:p>
          <w:tbl>
            <w:tblPr>
              <w:tblBorders>
                <w:top w:val="none" w:color="000000" w:sz="4"/>
                <w:left w:val="none" w:color="000000" w:sz="4"/>
                <w:bottom w:val="none" w:color="000000" w:sz="4"/>
                <w:right w:val="none" w:color="000000" w:sz="4"/>
                <w:insideH w:val="none"/>
                <w:insideV w:val="none"/>
              </w:tblBorders>
            </w:tblPr>
            <w:tblGrid>
              <w:gridCol w:w="614"/>
              <w:gridCol w:w="1340"/>
              <w:gridCol w:w="838"/>
              <w:gridCol w:w="1776"/>
              <w:gridCol w:w="525"/>
              <w:gridCol w:w="469"/>
            </w:tblGrid>
            <w:tr>
              <w:tc>
                <w:tcPr>
                  <w:tcW w:type="dxa" w:w="6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序号</w:t>
                  </w:r>
                </w:p>
              </w:tc>
              <w:tc>
                <w:tcPr>
                  <w:tcW w:type="dxa" w:w="217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分项名称</w:t>
                  </w:r>
                </w:p>
              </w:tc>
              <w:tc>
                <w:tcPr>
                  <w:tcW w:type="dxa" w:w="17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制造商</w:t>
                  </w:r>
                </w:p>
              </w:tc>
              <w:tc>
                <w:tcPr>
                  <w:tcW w:type="dxa" w:w="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数量</w:t>
                  </w:r>
                </w:p>
              </w:tc>
              <w:tc>
                <w:tcPr>
                  <w:tcW w:type="dxa" w:w="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单位</w:t>
                  </w:r>
                </w:p>
              </w:tc>
            </w:tr>
            <w:tr>
              <w:tc>
                <w:tcPr>
                  <w:tcW w:type="dxa" w:w="5562"/>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一、南海公安</w:t>
                  </w:r>
                  <w:r>
                    <w:rPr>
                      <w:sz w:val="21"/>
                      <w:b/>
                      <w:color w:val="000000"/>
                    </w:rPr>
                    <w:t>PDT数字集群系统</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17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汇接交换中心</w:t>
                  </w:r>
                </w:p>
              </w:tc>
              <w:tc>
                <w:tcPr>
                  <w:tcW w:type="dxa" w:w="17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w:t>
                  </w:r>
                </w:p>
              </w:tc>
              <w:tc>
                <w:tcPr>
                  <w:tcW w:type="dxa" w:w="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数字汇接交换机</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广州维德科技有限公司</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频率及系统管理服务含软件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IBM</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调度服务软件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IBM</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GPS定位服务软件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IBM</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鉴权服务含软件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IBM</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录音服务含软件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IBM</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系统终端管理服务软件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电脑切换器</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ATEN</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PDT集群基站设备</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22</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基站控制器（含维德数字基站控制软件</w:t>
                  </w:r>
                  <w:r>
                    <w:rPr>
                      <w:sz w:val="21"/>
                      <w:color w:val="000000"/>
                    </w:rPr>
                    <w:t>V1.0）</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广州维德</w:t>
                  </w:r>
                  <w:r>
                    <w:rPr>
                      <w:sz w:val="21"/>
                      <w:color w:val="000000"/>
                    </w:rPr>
                    <w:t>/ALK200</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数模双制式信道机（含维德数字信道控制软件</w:t>
                  </w:r>
                  <w:r>
                    <w:rPr>
                      <w:sz w:val="21"/>
                      <w:color w:val="000000"/>
                    </w:rPr>
                    <w:t>V1.0）</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广州维德</w:t>
                  </w:r>
                  <w:r>
                    <w:rPr>
                      <w:sz w:val="21"/>
                      <w:color w:val="000000"/>
                    </w:rPr>
                    <w:t>/ALK300-35</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146</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载频</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电调合路器</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广州维德科技有限公司</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高架基站天馈设备</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21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8DB全向天线</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广东健博通科技股份有限公司</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条</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1/2馈线（含接头）</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新泰爱克电缆有限公司</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3150</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米</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天馈合分路电调设备</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广州维德科技有限公司</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基站机房</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8</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处</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机房空调系统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格力</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无线终端设备</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海能达</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1745</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台</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系统二次开发软硬件</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电脑切换器</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GPS服务子系统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短信服务子系统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无线语音调度子系统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网管运维服务子系统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终端动态信息服务子系统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终端配置管理子系统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国产</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5562"/>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二、南海公安</w:t>
                  </w:r>
                  <w:r>
                    <w:rPr>
                      <w:sz w:val="21"/>
                      <w:b/>
                      <w:color w:val="000000"/>
                    </w:rPr>
                    <w:t>350兆TETRA数字集群系统</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17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3载波MTS4 (12信道)</w:t>
                  </w:r>
                </w:p>
              </w:tc>
              <w:tc>
                <w:tcPr>
                  <w:tcW w:type="dxa" w:w="17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摩托罗拉</w:t>
                  </w:r>
                </w:p>
              </w:tc>
              <w:tc>
                <w:tcPr>
                  <w:tcW w:type="dxa" w:w="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2载波MTS4 (8信道)</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摩托罗拉</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MUX</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摩托罗拉</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5562"/>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color w:val="000000"/>
                    </w:rPr>
                    <w:t>三、南海分局无人机通讯作战平台</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3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供电系统</w:t>
                  </w:r>
                </w:p>
              </w:tc>
              <w:tc>
                <w:tcPr>
                  <w:tcW w:type="dxa" w:w="8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配电系统</w:t>
                  </w:r>
                </w:p>
              </w:tc>
              <w:tc>
                <w:tcPr>
                  <w:tcW w:type="dxa" w:w="17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中国</w:t>
                  </w:r>
                  <w:r>
                    <w:rPr>
                      <w:sz w:val="21"/>
                      <w:color w:val="000000"/>
                    </w:rPr>
                    <w:t>/HQCAR</w:t>
                  </w:r>
                </w:p>
              </w:tc>
              <w:tc>
                <w:tcPr>
                  <w:tcW w:type="dxa" w:w="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340"/>
                  <w:vMerge/>
                  <w:tcBorders>
                    <w:top w:val="single" w:color="000000" w:sz="4"/>
                    <w:left w:val="non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UPS</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中国</w:t>
                  </w:r>
                  <w:r>
                    <w:rPr>
                      <w:sz w:val="21"/>
                      <w:color w:val="000000"/>
                    </w:rPr>
                    <w:t>/山特</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340"/>
                  <w:vMerge/>
                  <w:tcBorders>
                    <w:top w:val="single" w:color="000000" w:sz="4"/>
                    <w:left w:val="non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静音发电机</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意大利</w:t>
                  </w:r>
                  <w:r>
                    <w:rPr>
                      <w:sz w:val="21"/>
                      <w:color w:val="000000"/>
                    </w:rPr>
                    <w:t>/DOMETIC</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340"/>
                  <w:vMerge/>
                  <w:tcBorders>
                    <w:top w:val="single" w:color="000000" w:sz="4"/>
                    <w:left w:val="non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电器中央控制系统</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中国</w:t>
                  </w:r>
                  <w:r>
                    <w:rPr>
                      <w:sz w:val="21"/>
                      <w:color w:val="000000"/>
                    </w:rPr>
                    <w:t>/HQCAR</w:t>
                  </w:r>
                </w:p>
              </w:tc>
              <w:tc>
                <w:tcPr>
                  <w:tcW w:type="dxa" w:w="52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340"/>
                  <w:vMerge w:val="restart"/>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color w:val="000000"/>
                    </w:rPr>
                    <w:t>无人机</w:t>
                  </w:r>
                </w:p>
              </w:tc>
              <w:tc>
                <w:tcPr>
                  <w:tcW w:type="dxa" w:w="8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大疆御</w:t>
                  </w:r>
                  <w:r>
                    <w:rPr>
                      <w:sz w:val="21"/>
                      <w:color w:val="000000"/>
                    </w:rPr>
                    <w:t>Mavic pro</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大疆</w:t>
                  </w:r>
                </w:p>
              </w:tc>
              <w:tc>
                <w:tcPr>
                  <w:tcW w:type="dxa" w:w="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340"/>
                  <w:vMerge/>
                  <w:tcBorders>
                    <w:top w:val="none" w:color="000000" w:sz="4"/>
                    <w:left w:val="none" w:color="000000" w:sz="4"/>
                    <w:bottom w:val="single" w:color="000000" w:sz="4"/>
                    <w:right w:val="none" w:color="000000" w:sz="4"/>
                  </w:tcBorders>
                </w:tcPr>
                <w:p/>
              </w:tc>
              <w:tc>
                <w:tcPr>
                  <w:tcW w:type="dxa" w:w="8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大疆御</w:t>
                  </w:r>
                  <w:r>
                    <w:rPr>
                      <w:sz w:val="21"/>
                      <w:color w:val="000000"/>
                    </w:rPr>
                    <w:t>2 Mavic 2</w:t>
                  </w:r>
                </w:p>
              </w:tc>
              <w:tc>
                <w:tcPr>
                  <w:tcW w:type="dxa" w:w="1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大疆</w:t>
                  </w:r>
                </w:p>
              </w:tc>
              <w:tc>
                <w:tcPr>
                  <w:tcW w:type="dxa" w:w="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bl>
          <w:p/>
        </w:tc>
      </w:tr>
      <w:tr>
        <w:tc>
          <w:tcPr>
            <w:tcW w:type="dxa" w:w="2076"/>
          </w:tcPr>
          <w:p/>
        </w:tc>
        <w:tc>
          <w:tcPr>
            <w:tcW w:type="dxa" w:w="415"/>
          </w:tcPr>
          <w:p>
            <w:pPr>
              <w:pStyle w:val="null3"/>
            </w:pPr>
            <w:r>
              <w:rPr/>
              <w:t>4</w:t>
            </w:r>
          </w:p>
        </w:tc>
        <w:tc>
          <w:tcPr>
            <w:tcW w:type="dxa" w:w="5814"/>
          </w:tcPr>
          <w:p>
            <w:pPr>
              <w:pStyle w:val="null3"/>
              <w:ind w:firstLine="422"/>
              <w:jc w:val="left"/>
            </w:pPr>
            <w:r>
              <w:rPr>
                <w:sz w:val="21"/>
                <w:b/>
              </w:rPr>
              <w:t>四</w:t>
            </w:r>
            <w:r>
              <w:rPr>
                <w:sz w:val="21"/>
                <w:b/>
              </w:rPr>
              <w:t>、运维</w:t>
            </w:r>
            <w:r>
              <w:rPr>
                <w:sz w:val="21"/>
                <w:b/>
              </w:rPr>
              <w:t>要求</w:t>
            </w:r>
          </w:p>
          <w:p>
            <w:pPr>
              <w:pStyle w:val="null3"/>
              <w:ind w:firstLine="420"/>
              <w:jc w:val="left"/>
            </w:pPr>
            <w:r>
              <w:rPr>
                <w:sz w:val="21"/>
              </w:rPr>
              <w:t>1</w:t>
            </w:r>
            <w:r>
              <w:rPr>
                <w:sz w:val="21"/>
              </w:rPr>
              <w:t>、提供</w:t>
            </w:r>
            <w:r>
              <w:rPr>
                <w:sz w:val="21"/>
              </w:rPr>
              <w:t>24</w:t>
            </w:r>
            <w:r>
              <w:rPr>
                <w:sz w:val="21"/>
              </w:rPr>
              <w:t>小时值班维修热线电话服务，小故障</w:t>
            </w:r>
            <w:r>
              <w:rPr>
                <w:sz w:val="21"/>
              </w:rPr>
              <w:t>4</w:t>
            </w:r>
            <w:r>
              <w:rPr>
                <w:sz w:val="21"/>
              </w:rPr>
              <w:t>小时内解决问题，大故障</w:t>
            </w:r>
            <w:r>
              <w:rPr>
                <w:sz w:val="21"/>
              </w:rPr>
              <w:t>24</w:t>
            </w:r>
            <w:r>
              <w:rPr>
                <w:sz w:val="21"/>
              </w:rPr>
              <w:t>小时内解决问题。对于规定时间内无法修复的</w:t>
            </w:r>
            <w:r>
              <w:rPr>
                <w:sz w:val="21"/>
              </w:rPr>
              <w:t>设备</w:t>
            </w:r>
            <w:r>
              <w:rPr>
                <w:sz w:val="21"/>
              </w:rPr>
              <w:t>，提供能够满足采购人使用需求的</w:t>
            </w:r>
            <w:r>
              <w:rPr>
                <w:sz w:val="21"/>
              </w:rPr>
              <w:t>设备</w:t>
            </w:r>
            <w:r>
              <w:rPr>
                <w:sz w:val="21"/>
              </w:rPr>
              <w:t>进行替换直至修复</w:t>
            </w:r>
            <w:r>
              <w:rPr>
                <w:sz w:val="21"/>
              </w:rPr>
              <w:t>,</w:t>
            </w:r>
            <w:r>
              <w:rPr>
                <w:sz w:val="21"/>
              </w:rPr>
              <w:t>以保证采购人正常的工作不受影响。</w:t>
            </w:r>
          </w:p>
          <w:p>
            <w:pPr>
              <w:pStyle w:val="null3"/>
              <w:ind w:firstLine="420"/>
              <w:jc w:val="left"/>
            </w:pPr>
            <w:r>
              <w:rPr>
                <w:sz w:val="21"/>
              </w:rPr>
              <w:t>2</w:t>
            </w:r>
            <w:r>
              <w:rPr>
                <w:sz w:val="21"/>
              </w:rPr>
              <w:t>、对本信息系统的相关设备进行维护保养，并进行必要的软件升级，确保设备的良好运行。通过定期检修、维护和提供必要的技术支持，保障相关设备运行稳定性，处于正常使状况。</w:t>
            </w:r>
          </w:p>
          <w:p>
            <w:pPr>
              <w:pStyle w:val="null3"/>
              <w:ind w:firstLine="420"/>
              <w:jc w:val="left"/>
            </w:pPr>
            <w:r>
              <w:rPr>
                <w:sz w:val="21"/>
              </w:rPr>
              <w:t>3</w:t>
            </w:r>
            <w:r>
              <w:rPr>
                <w:sz w:val="21"/>
              </w:rPr>
              <w:t>、日常系统巡检：工作日每天早上对系统进行远程巡检，包括基站在线情况、系统故障告警情况、服务软件运行情况等，发现故障时当天处理。</w:t>
            </w:r>
          </w:p>
          <w:p>
            <w:pPr>
              <w:pStyle w:val="null3"/>
              <w:ind w:firstLine="420"/>
              <w:jc w:val="left"/>
            </w:pPr>
            <w:r>
              <w:rPr>
                <w:sz w:val="21"/>
              </w:rPr>
              <w:t>4</w:t>
            </w:r>
            <w:r>
              <w:rPr>
                <w:sz w:val="21"/>
              </w:rPr>
              <w:t>、每周通过管理软件对系统进行详细检查，包括信道机输出功率、接收卫星数量、电源电压、无线终端一周在线情况等，以电子报表形式递交给采购人。</w:t>
            </w:r>
          </w:p>
          <w:p>
            <w:pPr>
              <w:pStyle w:val="null3"/>
              <w:ind w:firstLine="420"/>
              <w:jc w:val="left"/>
            </w:pPr>
            <w:r>
              <w:rPr>
                <w:sz w:val="21"/>
              </w:rPr>
              <w:t>5</w:t>
            </w:r>
            <w:r>
              <w:rPr>
                <w:sz w:val="21"/>
              </w:rPr>
              <w:t>、季度巡检：每个季度对全系统设备进行检测，包括基站设备表面清洁和机房环境清洁、天馈系统的波比参数和输出功率、信道机收发设备是否正常等，每次巡检的时间大约为</w:t>
            </w:r>
            <w:r>
              <w:rPr>
                <w:sz w:val="21"/>
              </w:rPr>
              <w:t>30</w:t>
            </w:r>
            <w:r>
              <w:rPr>
                <w:sz w:val="21"/>
              </w:rPr>
              <w:t>天。</w:t>
            </w:r>
          </w:p>
          <w:p>
            <w:pPr>
              <w:pStyle w:val="null3"/>
              <w:ind w:firstLine="420"/>
              <w:jc w:val="left"/>
            </w:pPr>
            <w:r>
              <w:rPr>
                <w:sz w:val="21"/>
              </w:rPr>
              <w:t>6</w:t>
            </w:r>
            <w:r>
              <w:rPr>
                <w:sz w:val="21"/>
              </w:rPr>
              <w:t>、根据对运维服务项目相关设备的特点，为采购人制订应急方案，以确保不时之需。</w:t>
            </w:r>
          </w:p>
          <w:p>
            <w:pPr>
              <w:pStyle w:val="null3"/>
              <w:ind w:firstLine="420"/>
              <w:jc w:val="left"/>
            </w:pPr>
            <w:r>
              <w:rPr>
                <w:sz w:val="21"/>
              </w:rPr>
              <w:t>7</w:t>
            </w:r>
            <w:r>
              <w:rPr>
                <w:sz w:val="21"/>
              </w:rPr>
              <w:t>、在国家规定的</w:t>
            </w:r>
            <w:r>
              <w:rPr>
                <w:sz w:val="21"/>
              </w:rPr>
              <w:t>4</w:t>
            </w:r>
            <w:r>
              <w:rPr>
                <w:sz w:val="21"/>
              </w:rPr>
              <w:t>大节日期间或遇公安应急通信保障任务，根据采购人的需求，成交供应商必须派出</w:t>
            </w:r>
            <w:r>
              <w:rPr>
                <w:sz w:val="21"/>
              </w:rPr>
              <w:t>2</w:t>
            </w:r>
            <w:r>
              <w:rPr>
                <w:sz w:val="21"/>
              </w:rPr>
              <w:t>人以上技术人员协助采购人做好该系统的通信技术保障，确保通讯畅通。</w:t>
            </w:r>
          </w:p>
          <w:p>
            <w:pPr>
              <w:pStyle w:val="null3"/>
              <w:ind w:firstLine="420"/>
              <w:jc w:val="left"/>
            </w:pPr>
            <w:r>
              <w:rPr>
                <w:sz w:val="21"/>
              </w:rPr>
              <w:t>8</w:t>
            </w:r>
            <w:r>
              <w:rPr>
                <w:sz w:val="21"/>
              </w:rPr>
              <w:t>、</w:t>
            </w:r>
            <w:r>
              <w:rPr>
                <w:sz w:val="21"/>
              </w:rPr>
              <w:t>工具配备：</w:t>
            </w:r>
            <w:r>
              <w:rPr>
                <w:sz w:val="21"/>
              </w:rPr>
              <w:t>南海公安数字集群系统需准备相应的备机、备件以及工具。其中工具包括软性工具和硬性工具，软性工具包括各类服务管理软件系统、知识库系统和驱动程序库等</w:t>
            </w:r>
            <w:r>
              <w:rPr>
                <w:sz w:val="21"/>
              </w:rPr>
              <w:t>；硬件工具指维修、保养、检测工具。例如综测仪器、万用表、线钳和烙铁等。</w:t>
            </w:r>
          </w:p>
          <w:p>
            <w:pPr>
              <w:pStyle w:val="null3"/>
              <w:ind w:firstLine="420"/>
              <w:jc w:val="left"/>
            </w:pPr>
            <w:r>
              <w:rPr>
                <w:sz w:val="21"/>
              </w:rPr>
              <w:t>9</w:t>
            </w:r>
            <w:r>
              <w:rPr>
                <w:sz w:val="21"/>
              </w:rPr>
              <w:t>、</w:t>
            </w:r>
            <w:r>
              <w:rPr>
                <w:sz w:val="21"/>
              </w:rPr>
              <w:t>对本信息系统的相关设备进行维护保养，并进行必要的软件升级，确保设备的良好运行。通过定期检修、维护和提供必要的技术支持，保障相关设备运行稳定性，处于正常使</w:t>
            </w:r>
            <w:r>
              <w:rPr>
                <w:sz w:val="21"/>
              </w:rPr>
              <w:t>用</w:t>
            </w:r>
            <w:r>
              <w:rPr>
                <w:sz w:val="21"/>
              </w:rPr>
              <w:t>状况。</w:t>
            </w:r>
          </w:p>
        </w:tc>
      </w:tr>
      <w:tr>
        <w:tc>
          <w:tcPr>
            <w:tcW w:type="dxa" w:w="2076"/>
          </w:tcPr>
          <w:p/>
        </w:tc>
        <w:tc>
          <w:tcPr>
            <w:tcW w:type="dxa" w:w="415"/>
          </w:tcPr>
          <w:p>
            <w:pPr>
              <w:pStyle w:val="null3"/>
            </w:pPr>
            <w:r>
              <w:rPr/>
              <w:t>5</w:t>
            </w:r>
          </w:p>
        </w:tc>
        <w:tc>
          <w:tcPr>
            <w:tcW w:type="dxa" w:w="5814"/>
          </w:tcPr>
          <w:p>
            <w:pPr>
              <w:pStyle w:val="null3"/>
              <w:spacing w:before="150" w:after="150"/>
              <w:jc w:val="left"/>
            </w:pPr>
            <w:r>
              <w:rPr>
                <w:sz w:val="21"/>
                <w:b/>
              </w:rPr>
              <w:t>五</w:t>
            </w:r>
            <w:r>
              <w:rPr>
                <w:sz w:val="21"/>
                <w:b/>
              </w:rPr>
              <w:t>、运维工作考核办法</w:t>
            </w:r>
          </w:p>
          <w:p>
            <w:pPr>
              <w:pStyle w:val="null3"/>
              <w:ind w:firstLine="420"/>
              <w:jc w:val="both"/>
            </w:pPr>
            <w:r>
              <w:rPr>
                <w:sz w:val="21"/>
              </w:rPr>
              <w:t>采购人将每月对</w:t>
            </w:r>
            <w:r>
              <w:rPr>
                <w:sz w:val="21"/>
              </w:rPr>
              <w:t>成交供应商</w:t>
            </w:r>
            <w:r>
              <w:rPr>
                <w:sz w:val="21"/>
              </w:rPr>
              <w:t>的服务质量进行考核，合同期内，采购人有权对考核的内容进行调整。采购人以三个月为期对该期间</w:t>
            </w:r>
            <w:r>
              <w:rPr>
                <w:sz w:val="21"/>
              </w:rPr>
              <w:t>3</w:t>
            </w:r>
            <w:r>
              <w:rPr>
                <w:sz w:val="21"/>
              </w:rPr>
              <w:t>个月的考核得分进行平均值计算，计算所得为该期的考核得分。该考核得分满分为</w:t>
            </w:r>
            <w:r>
              <w:rPr>
                <w:sz w:val="21"/>
              </w:rPr>
              <w:t>100</w:t>
            </w:r>
            <w:r>
              <w:rPr>
                <w:sz w:val="21"/>
              </w:rPr>
              <w:t>分，合格分为</w:t>
            </w:r>
            <w:r>
              <w:rPr>
                <w:sz w:val="21"/>
              </w:rPr>
              <w:t>80</w:t>
            </w:r>
            <w:r>
              <w:rPr>
                <w:sz w:val="21"/>
              </w:rPr>
              <w:t>分。考核得分为</w:t>
            </w:r>
            <w:r>
              <w:rPr>
                <w:sz w:val="21"/>
              </w:rPr>
              <w:t>80</w:t>
            </w:r>
            <w:r>
              <w:rPr>
                <w:sz w:val="21"/>
              </w:rPr>
              <w:t>分（含）或以上，不扣罚，如在</w:t>
            </w:r>
            <w:r>
              <w:rPr>
                <w:sz w:val="21"/>
              </w:rPr>
              <w:t>80</w:t>
            </w:r>
            <w:r>
              <w:rPr>
                <w:sz w:val="21"/>
              </w:rPr>
              <w:t>分（不含）以下，少</w:t>
            </w:r>
            <w:r>
              <w:rPr>
                <w:sz w:val="21"/>
              </w:rPr>
              <w:t>1</w:t>
            </w:r>
            <w:r>
              <w:rPr>
                <w:sz w:val="21"/>
              </w:rPr>
              <w:t>分，扣罚人民币</w:t>
            </w:r>
            <w:r>
              <w:rPr>
                <w:sz w:val="21"/>
              </w:rPr>
              <w:t>2000</w:t>
            </w:r>
            <w:r>
              <w:rPr>
                <w:sz w:val="21"/>
              </w:rPr>
              <w:t>元。每个考核项目的扣分，当期扣完为止，不影响下一期考核。连续</w:t>
            </w:r>
            <w:r>
              <w:rPr>
                <w:sz w:val="21"/>
              </w:rPr>
              <w:t>2</w:t>
            </w:r>
            <w:r>
              <w:rPr>
                <w:sz w:val="21"/>
              </w:rPr>
              <w:t>个考核周期的考核得分均低于合格分</w:t>
            </w:r>
            <w:r>
              <w:rPr>
                <w:sz w:val="21"/>
              </w:rPr>
              <w:t>80</w:t>
            </w:r>
            <w:r>
              <w:rPr>
                <w:sz w:val="21"/>
              </w:rPr>
              <w:t>分的，采购人有权解除合同。</w:t>
            </w:r>
          </w:p>
          <w:p>
            <w:pPr>
              <w:pStyle w:val="null3"/>
              <w:ind w:firstLine="420"/>
              <w:jc w:val="center"/>
            </w:pPr>
            <w:r>
              <w:rPr>
                <w:sz w:val="21"/>
              </w:rPr>
              <w:t>服务质量考核表</w:t>
            </w:r>
          </w:p>
          <w:tbl>
            <w:tblPr>
              <w:tblInd w:type="dxa" w:w="120"/>
              <w:tblBorders>
                <w:top w:val="none" w:color="000000" w:sz="4"/>
                <w:left w:val="none" w:color="000000" w:sz="4"/>
                <w:bottom w:val="none" w:color="000000" w:sz="4"/>
                <w:right w:val="none" w:color="000000" w:sz="4"/>
                <w:insideH w:val="none"/>
                <w:insideV w:val="none"/>
              </w:tblBorders>
            </w:tblPr>
            <w:tblGrid>
              <w:gridCol w:w="404"/>
              <w:gridCol w:w="1832"/>
              <w:gridCol w:w="3338"/>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3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执行标准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基站机房设施</w:t>
                  </w:r>
                  <w:r>
                    <w:rPr>
                      <w:sz w:val="21"/>
                    </w:rPr>
                    <w:t>”</w:t>
                  </w:r>
                  <w:r>
                    <w:rPr>
                      <w:sz w:val="21"/>
                    </w:rPr>
                    <w:t>维护服务情况（满分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网络通信</w:t>
                  </w:r>
                  <w:r>
                    <w:rPr>
                      <w:sz w:val="21"/>
                    </w:rPr>
                    <w:t>”</w:t>
                  </w:r>
                  <w:r>
                    <w:rPr>
                      <w:sz w:val="21"/>
                    </w:rPr>
                    <w:t>维护服务情况</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服务器</w:t>
                  </w:r>
                  <w:r>
                    <w:rPr>
                      <w:sz w:val="21"/>
                    </w:rPr>
                    <w:t>”</w:t>
                  </w:r>
                  <w:r>
                    <w:rPr>
                      <w:sz w:val="21"/>
                    </w:rPr>
                    <w:t>维护服务情况</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响应速度</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日常巡检服务情况</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数据</w:t>
                  </w:r>
                  <w:r>
                    <w:rPr>
                      <w:sz w:val="24"/>
                    </w:rPr>
                    <w:t>”</w:t>
                  </w:r>
                  <w:r>
                    <w:rPr>
                      <w:sz w:val="21"/>
                    </w:rPr>
                    <w:t>维护服务情况</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故障排除速度</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运维档案</w:t>
                  </w:r>
                </w:p>
                <w:p>
                  <w:pPr>
                    <w:pStyle w:val="null3"/>
                    <w:jc w:val="center"/>
                  </w:pPr>
                  <w:r>
                    <w:rPr>
                      <w:sz w:val="21"/>
                    </w:rPr>
                    <w:t>（满分</w:t>
                  </w:r>
                  <w:r>
                    <w:rPr>
                      <w:sz w:val="21"/>
                    </w:rPr>
                    <w:t>10</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未按时向采购人提交运维有关工作记录或报告等资料，每次扣</w:t>
                  </w:r>
                  <w:r>
                    <w:rPr>
                      <w:sz w:val="21"/>
                    </w:rPr>
                    <w:t>1</w:t>
                  </w:r>
                  <w:r>
                    <w:rPr>
                      <w:sz w:val="21"/>
                    </w:rPr>
                    <w:t>分；提交的运维有关工作记录或报告等资料不符合标准要求的，每项扣</w:t>
                  </w:r>
                  <w:r>
                    <w:rPr>
                      <w:sz w:val="21"/>
                    </w:rPr>
                    <w:t>1</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服务人员技术素质</w:t>
                  </w:r>
                </w:p>
                <w:p>
                  <w:pPr>
                    <w:pStyle w:val="null3"/>
                    <w:jc w:val="center"/>
                  </w:pPr>
                  <w:r>
                    <w:rPr>
                      <w:sz w:val="21"/>
                    </w:rPr>
                    <w:t>（满分</w:t>
                  </w:r>
                  <w:r>
                    <w:rPr>
                      <w:sz w:val="21"/>
                    </w:rPr>
                    <w:t>9</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服务人员因专业技术能力不足无法胜任本项工作，被考核人未能及时更换其他的专业技术人员。每次扣</w:t>
                  </w:r>
                  <w:r>
                    <w:rPr>
                      <w:sz w:val="21"/>
                    </w:rPr>
                    <w:t>3</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服务人员的服务质量</w:t>
                  </w:r>
                </w:p>
                <w:p>
                  <w:pPr>
                    <w:pStyle w:val="null3"/>
                    <w:jc w:val="center"/>
                  </w:pPr>
                  <w:r>
                    <w:rPr>
                      <w:sz w:val="21"/>
                    </w:rPr>
                    <w:t>（满分</w:t>
                  </w:r>
                  <w:r>
                    <w:rPr>
                      <w:sz w:val="21"/>
                    </w:rPr>
                    <w:t>6</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服务人员发生服务质量问题，但不影响系统运行的，每次扣</w:t>
                  </w:r>
                  <w:r>
                    <w:rPr>
                      <w:sz w:val="21"/>
                    </w:rPr>
                    <w:t>2</w:t>
                  </w:r>
                  <w:r>
                    <w:rPr>
                      <w:sz w:val="21"/>
                    </w:rPr>
                    <w:t>分。服务人员发生服务质量问题，影响系统运行的，每次扣</w:t>
                  </w:r>
                  <w:r>
                    <w:rPr>
                      <w:sz w:val="21"/>
                    </w:rPr>
                    <w:t>6</w:t>
                  </w:r>
                  <w:r>
                    <w:rPr>
                      <w:sz w:val="21"/>
                    </w:rPr>
                    <w:t>分。</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服务人员的服务态度</w:t>
                  </w:r>
                </w:p>
                <w:p>
                  <w:pPr>
                    <w:pStyle w:val="null3"/>
                    <w:jc w:val="center"/>
                  </w:pPr>
                  <w:r>
                    <w:rPr>
                      <w:sz w:val="21"/>
                    </w:rPr>
                    <w:t>（满分</w:t>
                  </w:r>
                  <w:r>
                    <w:rPr>
                      <w:sz w:val="21"/>
                    </w:rPr>
                    <w:t>5</w:t>
                  </w:r>
                  <w:r>
                    <w:rPr>
                      <w:sz w:val="21"/>
                    </w:rPr>
                    <w:t>分）</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）语言、行为不文明；（</w:t>
                  </w:r>
                  <w:r>
                    <w:rPr>
                      <w:sz w:val="21"/>
                    </w:rPr>
                    <w:t>2</w:t>
                  </w:r>
                  <w:r>
                    <w:rPr>
                      <w:sz w:val="21"/>
                    </w:rPr>
                    <w:t>）工作态度敷衍、做事拖拉、无责任心。以上情况每人每次扣</w:t>
                  </w:r>
                  <w:r>
                    <w:rPr>
                      <w:sz w:val="21"/>
                    </w:rPr>
                    <w:t>1</w:t>
                  </w:r>
                  <w:r>
                    <w:rPr>
                      <w:sz w:val="21"/>
                    </w:rPr>
                    <w:t>分。</w:t>
                  </w:r>
                </w:p>
              </w:tc>
            </w:tr>
            <w:tr>
              <w:tc>
                <w:tcPr>
                  <w:tcW w:type="dxa" w:w="55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其中，得分为</w:t>
                  </w:r>
                  <w:r>
                    <w:rPr>
                      <w:sz w:val="21"/>
                    </w:rPr>
                    <w:t>“</w:t>
                  </w:r>
                  <w:r>
                    <w:rPr>
                      <w:sz w:val="21"/>
                    </w:rPr>
                    <w:t xml:space="preserve">90 </w:t>
                  </w:r>
                  <w:r>
                    <w:rPr>
                      <w:sz w:val="21"/>
                    </w:rPr>
                    <w:t xml:space="preserve">分及以上”的按 </w:t>
                  </w:r>
                  <w:r>
                    <w:rPr>
                      <w:sz w:val="21"/>
                    </w:rPr>
                    <w:t>100%</w:t>
                  </w:r>
                  <w:r>
                    <w:rPr>
                      <w:sz w:val="21"/>
                    </w:rPr>
                    <w:t>支付，得分为“</w:t>
                  </w:r>
                  <w:r>
                    <w:rPr>
                      <w:sz w:val="21"/>
                    </w:rPr>
                    <w:t xml:space="preserve">80 </w:t>
                  </w:r>
                  <w:r>
                    <w:rPr>
                      <w:sz w:val="21"/>
                    </w:rPr>
                    <w:t xml:space="preserve">分及以上至 </w:t>
                  </w:r>
                  <w:r>
                    <w:rPr>
                      <w:sz w:val="21"/>
                    </w:rPr>
                    <w:t xml:space="preserve">90 </w:t>
                  </w:r>
                  <w:r>
                    <w:rPr>
                      <w:sz w:val="21"/>
                    </w:rPr>
                    <w:t>分的</w:t>
                  </w:r>
                  <w:r>
                    <w:rPr>
                      <w:sz w:val="21"/>
                    </w:rPr>
                    <w:t>(</w:t>
                  </w:r>
                  <w:r>
                    <w:rPr>
                      <w:sz w:val="21"/>
                    </w:rPr>
                    <w:t xml:space="preserve">不含 </w:t>
                  </w:r>
                  <w:r>
                    <w:rPr>
                      <w:sz w:val="21"/>
                    </w:rPr>
                    <w:t xml:space="preserve">90 </w:t>
                  </w:r>
                  <w:r>
                    <w:rPr>
                      <w:sz w:val="21"/>
                    </w:rPr>
                    <w:t>分</w:t>
                  </w:r>
                  <w:r>
                    <w:rPr>
                      <w:sz w:val="21"/>
                    </w:rPr>
                    <w:t>)</w:t>
                  </w:r>
                  <w:r>
                    <w:rPr>
                      <w:sz w:val="21"/>
                    </w:rPr>
                    <w:t xml:space="preserve">”的按 </w:t>
                  </w:r>
                  <w:r>
                    <w:rPr>
                      <w:sz w:val="21"/>
                    </w:rPr>
                    <w:t>90%</w:t>
                  </w:r>
                  <w:r>
                    <w:rPr>
                      <w:sz w:val="21"/>
                    </w:rPr>
                    <w:t>支付，得分为“</w:t>
                  </w:r>
                  <w:r>
                    <w:rPr>
                      <w:sz w:val="21"/>
                    </w:rPr>
                    <w:t>80</w:t>
                  </w:r>
                  <w:r>
                    <w:rPr>
                      <w:sz w:val="21"/>
                    </w:rPr>
                    <w:t>分以下的</w:t>
                  </w:r>
                  <w:r>
                    <w:rPr>
                      <w:sz w:val="21"/>
                    </w:rPr>
                    <w:t>(</w:t>
                  </w:r>
                  <w:r>
                    <w:rPr>
                      <w:sz w:val="21"/>
                    </w:rPr>
                    <w:t>不含</w:t>
                  </w:r>
                  <w:r>
                    <w:rPr>
                      <w:sz w:val="21"/>
                    </w:rPr>
                    <w:t xml:space="preserve">80 </w:t>
                  </w:r>
                  <w:r>
                    <w:rPr>
                      <w:sz w:val="21"/>
                    </w:rPr>
                    <w:t>分</w:t>
                  </w:r>
                  <w:r>
                    <w:rPr>
                      <w:sz w:val="21"/>
                    </w:rPr>
                    <w:t>)</w:t>
                  </w:r>
                  <w:r>
                    <w:rPr>
                      <w:sz w:val="21"/>
                    </w:rPr>
                    <w:t xml:space="preserve">”的按 </w:t>
                  </w:r>
                  <w:r>
                    <w:rPr>
                      <w:sz w:val="21"/>
                    </w:rPr>
                    <w:t>75%</w:t>
                  </w:r>
                  <w:r>
                    <w:rPr>
                      <w:sz w:val="21"/>
                    </w:rPr>
                    <w:t>支付。</w:t>
                  </w:r>
                </w:p>
              </w:tc>
            </w:tr>
            <w:tr>
              <w:tc>
                <w:tcPr>
                  <w:tcW w:type="dxa" w:w="2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3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tc>
        <w:tc>
          <w:tcPr>
            <w:tcW w:type="dxa" w:w="415"/>
          </w:tcPr>
          <w:p>
            <w:pPr>
              <w:pStyle w:val="null3"/>
            </w:pPr>
            <w:r>
              <w:rPr/>
              <w:t>6</w:t>
            </w:r>
          </w:p>
        </w:tc>
        <w:tc>
          <w:tcPr>
            <w:tcW w:type="dxa" w:w="5814"/>
          </w:tcPr>
          <w:p>
            <w:pPr>
              <w:pStyle w:val="null3"/>
              <w:spacing w:before="150" w:after="150"/>
              <w:jc w:val="left"/>
            </w:pPr>
            <w:r>
              <w:rPr>
                <w:sz w:val="21"/>
                <w:b/>
              </w:rPr>
              <w:t>六</w:t>
            </w:r>
            <w:r>
              <w:rPr>
                <w:sz w:val="21"/>
                <w:b/>
              </w:rPr>
              <w:t>、</w:t>
            </w:r>
            <w:r>
              <w:rPr>
                <w:sz w:val="21"/>
                <w:b/>
              </w:rPr>
              <w:t>供应商</w:t>
            </w:r>
            <w:r>
              <w:rPr>
                <w:sz w:val="21"/>
                <w:b/>
              </w:rPr>
              <w:t>要求</w:t>
            </w:r>
          </w:p>
          <w:p>
            <w:pPr>
              <w:pStyle w:val="null3"/>
              <w:ind w:firstLine="420"/>
              <w:jc w:val="both"/>
            </w:pPr>
            <w:r>
              <w:rPr>
                <w:sz w:val="21"/>
              </w:rPr>
              <w:t>1</w:t>
            </w:r>
            <w:r>
              <w:rPr>
                <w:sz w:val="21"/>
              </w:rPr>
              <w:t>、</w:t>
            </w:r>
            <w:r>
              <w:rPr>
                <w:sz w:val="21"/>
              </w:rPr>
              <w:t>项目负责人（一名）：</w:t>
            </w:r>
            <w:r>
              <w:rPr>
                <w:sz w:val="21"/>
              </w:rPr>
              <w:t>负责定期汇报系统运行情况，编写系统维护报告，以便</w:t>
            </w:r>
            <w:r>
              <w:rPr>
                <w:sz w:val="21"/>
              </w:rPr>
              <w:t>采购人</w:t>
            </w:r>
            <w:r>
              <w:rPr>
                <w:sz w:val="21"/>
              </w:rPr>
              <w:t>能够及时了解系统运行情况。</w:t>
            </w:r>
            <w:r>
              <w:rPr>
                <w:sz w:val="21"/>
              </w:rPr>
              <w:t>项目负责人</w:t>
            </w:r>
            <w:r>
              <w:rPr>
                <w:sz w:val="21"/>
              </w:rPr>
              <w:t>还负责组织并参加与项目相关的会议，与</w:t>
            </w:r>
            <w:r>
              <w:rPr>
                <w:sz w:val="21"/>
              </w:rPr>
              <w:t>采购人</w:t>
            </w:r>
            <w:r>
              <w:rPr>
                <w:sz w:val="21"/>
              </w:rPr>
              <w:t>共同监督系统维护情况，商讨与系统维护相关事宜</w:t>
            </w:r>
            <w:r>
              <w:rPr>
                <w:sz w:val="21"/>
              </w:rPr>
              <w:t>，对整体项目进行统筹管理。</w:t>
            </w:r>
          </w:p>
          <w:p>
            <w:pPr>
              <w:pStyle w:val="null3"/>
              <w:ind w:firstLine="420"/>
              <w:jc w:val="both"/>
            </w:pPr>
            <w:r>
              <w:rPr>
                <w:sz w:val="21"/>
              </w:rPr>
              <w:t>2</w:t>
            </w:r>
            <w:r>
              <w:rPr>
                <w:sz w:val="21"/>
              </w:rPr>
              <w:t>、</w:t>
            </w:r>
            <w:r>
              <w:rPr>
                <w:sz w:val="21"/>
              </w:rPr>
              <w:t>团队人员：</w:t>
            </w:r>
          </w:p>
          <w:p>
            <w:pPr>
              <w:pStyle w:val="null3"/>
              <w:ind w:firstLine="400"/>
              <w:jc w:val="both"/>
            </w:pPr>
            <w:r>
              <w:rPr/>
              <w:t>★</w:t>
            </w:r>
            <w:r>
              <w:rPr>
                <w:sz w:val="21"/>
              </w:rPr>
              <w:t>（</w:t>
            </w:r>
            <w:r>
              <w:rPr>
                <w:sz w:val="21"/>
              </w:rPr>
              <w:t>1</w:t>
            </w:r>
            <w:r>
              <w:rPr>
                <w:sz w:val="21"/>
              </w:rPr>
              <w:t>）</w:t>
            </w:r>
            <w:r>
              <w:rPr>
                <w:sz w:val="21"/>
              </w:rPr>
              <w:t>需</w:t>
            </w:r>
            <w:r>
              <w:rPr>
                <w:sz w:val="21"/>
              </w:rPr>
              <w:t>至少一名的团队人员，</w:t>
            </w:r>
            <w:r>
              <w:rPr>
                <w:sz w:val="21"/>
              </w:rPr>
              <w:t>具有市级（或以上）应急管理部门颁发的特种作业操作证（作业类型：电工作业），</w:t>
            </w:r>
            <w:r>
              <w:rPr>
                <w:sz w:val="21"/>
              </w:rPr>
              <w:t>或</w:t>
            </w:r>
            <w:r>
              <w:rPr>
                <w:sz w:val="21"/>
              </w:rPr>
              <w:t>具有市级（或以上）应急管理部门颁发的特种作业操作证（作业类型：高处安装、维护、拆除作业）。</w:t>
            </w:r>
          </w:p>
          <w:p>
            <w:pPr>
              <w:pStyle w:val="null3"/>
              <w:ind w:firstLine="420"/>
              <w:jc w:val="both"/>
            </w:pPr>
            <w:r>
              <w:rPr>
                <w:sz w:val="21"/>
              </w:rPr>
              <w:t>注：供应商须提供相关证书</w:t>
            </w:r>
            <w:r>
              <w:rPr>
                <w:sz w:val="21"/>
              </w:rPr>
              <w:t>扫描件和响应文件提交截止前</w:t>
            </w:r>
            <w:r>
              <w:rPr>
                <w:sz w:val="21"/>
              </w:rPr>
              <w:t>6</w:t>
            </w:r>
            <w:r>
              <w:rPr>
                <w:sz w:val="21"/>
              </w:rPr>
              <w:t>个月内（不含提交截止当月）任意一个月在响应供应商单位为其缴纳社保证明等证明文件扫描件并加盖供应商公章，如依法免税或不需要缴纳社会保障资金的，提供相应证明材料</w:t>
            </w:r>
            <w:r>
              <w:rPr/>
              <w:t>。</w:t>
            </w:r>
          </w:p>
          <w:p>
            <w:pPr>
              <w:pStyle w:val="null3"/>
              <w:ind w:firstLine="420"/>
              <w:jc w:val="both"/>
            </w:pPr>
            <w:r>
              <w:rPr>
                <w:sz w:val="21"/>
              </w:rPr>
              <w:t>（</w:t>
            </w:r>
            <w:r>
              <w:rPr>
                <w:sz w:val="21"/>
              </w:rPr>
              <w:t>2</w:t>
            </w:r>
            <w:r>
              <w:rPr>
                <w:sz w:val="21"/>
              </w:rPr>
              <w:t>）</w:t>
            </w:r>
            <w:r>
              <w:rPr>
                <w:sz w:val="21"/>
              </w:rPr>
              <w:t>团队人员需</w:t>
            </w:r>
            <w:r>
              <w:rPr>
                <w:sz w:val="21"/>
              </w:rPr>
              <w:t>具备通信工程或网络工程或系统规划与管理或</w:t>
            </w:r>
            <w:r>
              <w:rPr>
                <w:sz w:val="21"/>
              </w:rPr>
              <w:t>系统集成项目管理</w:t>
            </w:r>
            <w:r>
              <w:rPr>
                <w:sz w:val="21"/>
              </w:rPr>
              <w:t>类等与本项目相关的专业技术能力，有相关职业认证资质，对整体项目进行统筹管理。</w:t>
            </w:r>
          </w:p>
          <w:p>
            <w:pPr>
              <w:pStyle w:val="null3"/>
              <w:ind w:firstLine="420"/>
              <w:jc w:val="both"/>
            </w:pPr>
            <w:r>
              <w:rPr>
                <w:sz w:val="21"/>
              </w:rPr>
              <w:t>3</w:t>
            </w:r>
            <w:r>
              <w:rPr>
                <w:sz w:val="21"/>
              </w:rPr>
              <w:t>、</w:t>
            </w:r>
            <w:r>
              <w:rPr>
                <w:sz w:val="21"/>
              </w:rPr>
              <w:t>以上人员均不得兼任</w:t>
            </w:r>
            <w:r>
              <w:rPr>
                <w:sz w:val="21"/>
              </w:rPr>
              <w:t>。</w:t>
            </w:r>
          </w:p>
          <w:p>
            <w:pPr>
              <w:pStyle w:val="null3"/>
              <w:ind w:firstLine="420"/>
              <w:jc w:val="both"/>
            </w:pPr>
            <w:r>
              <w:rPr>
                <w:sz w:val="21"/>
              </w:rPr>
              <w:t>4</w:t>
            </w:r>
            <w:r>
              <w:rPr>
                <w:sz w:val="21"/>
              </w:rPr>
              <w:t>、</w:t>
            </w:r>
            <w:r>
              <w:rPr>
                <w:sz w:val="21"/>
              </w:rPr>
              <w:t>供应商需建立关于质量管理、环境管理、职业健康安全相关管理体系制度，规范服务人员行为，以保障采购人的项目质量。</w:t>
            </w:r>
          </w:p>
          <w:p>
            <w:pPr>
              <w:pStyle w:val="null3"/>
              <w:ind w:firstLine="420"/>
              <w:jc w:val="both"/>
            </w:pPr>
            <w:r>
              <w:rPr>
                <w:sz w:val="21"/>
              </w:rPr>
              <w:t>5</w:t>
            </w:r>
            <w:r>
              <w:rPr>
                <w:sz w:val="21"/>
              </w:rPr>
              <w:t>、供应商需为本项目制定总体运维、应急解决、运维重点难点分析以及保障措施、项目技术支持方案及配件管理、服务便捷等方案</w:t>
            </w:r>
            <w:r>
              <w:rPr>
                <w:sz w:val="21"/>
              </w:rPr>
              <w:t>，对维护要求作出响应，以确保本项目顺利实施。</w:t>
            </w:r>
          </w:p>
          <w:p>
            <w:pPr>
              <w:pStyle w:val="null3"/>
              <w:ind w:firstLine="420"/>
              <w:jc w:val="both"/>
            </w:pPr>
            <w:r>
              <w:rPr>
                <w:sz w:val="21"/>
              </w:rPr>
              <w:t>6</w:t>
            </w:r>
            <w:r>
              <w:rPr>
                <w:sz w:val="21"/>
              </w:rPr>
              <w:t>、</w:t>
            </w:r>
            <w:r>
              <w:rPr>
                <w:sz w:val="21"/>
              </w:rPr>
              <w:t>供应商需具有同类项目的相关经验。</w:t>
            </w:r>
          </w:p>
          <w:p>
            <w:pPr>
              <w:pStyle w:val="null3"/>
              <w:ind w:firstLine="420"/>
              <w:jc w:val="both"/>
            </w:pPr>
            <w:r>
              <w:rPr>
                <w:sz w:val="21"/>
              </w:rPr>
              <w:t>7</w:t>
            </w:r>
            <w:r>
              <w:rPr>
                <w:sz w:val="21"/>
              </w:rPr>
              <w:t>、为本项目实际需要，供应商需配备高空作业车和故障抢修工程车。</w:t>
            </w:r>
          </w:p>
        </w:tc>
      </w:tr>
      <w:tr>
        <w:tc>
          <w:tcPr>
            <w:tcW w:type="dxa" w:w="2076"/>
          </w:tcPr>
          <w:p/>
        </w:tc>
        <w:tc>
          <w:tcPr>
            <w:tcW w:type="dxa" w:w="415"/>
          </w:tcPr>
          <w:p>
            <w:pPr>
              <w:pStyle w:val="null3"/>
            </w:pPr>
            <w:r>
              <w:rPr/>
              <w:t>7</w:t>
            </w:r>
          </w:p>
        </w:tc>
        <w:tc>
          <w:tcPr>
            <w:tcW w:type="dxa" w:w="5814"/>
          </w:tcPr>
          <w:p>
            <w:pPr>
              <w:pStyle w:val="null3"/>
              <w:spacing w:before="150" w:after="150"/>
              <w:jc w:val="left"/>
            </w:pPr>
            <w:r>
              <w:rPr>
                <w:sz w:val="21"/>
                <w:b/>
              </w:rPr>
              <w:t>七、其他要求</w:t>
            </w:r>
          </w:p>
          <w:p>
            <w:pPr>
              <w:pStyle w:val="null3"/>
              <w:ind w:firstLine="420"/>
              <w:jc w:val="both"/>
            </w:pPr>
            <w:r>
              <w:rPr>
                <w:sz w:val="21"/>
              </w:rPr>
              <w:t>1</w:t>
            </w:r>
            <w:r>
              <w:rPr>
                <w:sz w:val="21"/>
              </w:rPr>
              <w:t>、</w:t>
            </w:r>
            <w:r>
              <w:rPr>
                <w:sz w:val="21"/>
              </w:rPr>
              <w:t>成交</w:t>
            </w:r>
            <w:r>
              <w:rPr>
                <w:sz w:val="21"/>
              </w:rPr>
              <w:t>供应商需为本项目所有系统涉及到的硬盘（介质）等硬件购买免回收服务，杜绝更换下来的故障硬盘（介质）等被厂家回收导致信息泄露；被替换下来的硬盘（介质）等交由采购人自行处理。</w:t>
            </w:r>
          </w:p>
          <w:p>
            <w:pPr>
              <w:pStyle w:val="null3"/>
              <w:ind w:firstLine="420"/>
            </w:pPr>
            <w:r>
              <w:rPr>
                <w:sz w:val="21"/>
              </w:rPr>
              <w:t>2</w:t>
            </w:r>
            <w:r>
              <w:rPr>
                <w:sz w:val="21"/>
              </w:rPr>
              <w:t>、</w:t>
            </w:r>
            <w:r>
              <w:rPr>
                <w:sz w:val="21"/>
              </w:rPr>
              <w:t>设备出现问题及故障，若故障暂时不能解决，</w:t>
            </w:r>
            <w:r>
              <w:rPr>
                <w:sz w:val="21"/>
              </w:rPr>
              <w:t>成交供应商</w:t>
            </w:r>
            <w:r>
              <w:rPr>
                <w:sz w:val="21"/>
              </w:rPr>
              <w:t>提供常用件的暂代品。</w:t>
            </w:r>
          </w:p>
          <w:p>
            <w:pPr>
              <w:pStyle w:val="null3"/>
              <w:ind w:firstLine="420"/>
            </w:pPr>
            <w:r>
              <w:rPr>
                <w:sz w:val="21"/>
              </w:rPr>
              <w:t>3</w:t>
            </w:r>
            <w:r>
              <w:rPr>
                <w:sz w:val="21"/>
              </w:rPr>
              <w:t>、</w:t>
            </w:r>
            <w:r>
              <w:rPr>
                <w:sz w:val="21"/>
              </w:rPr>
              <w:t>除不可抗力（战争、天灾等）外，系统设备故障、线路故障（光纤除外）由</w:t>
            </w:r>
            <w:r>
              <w:rPr>
                <w:sz w:val="21"/>
              </w:rPr>
              <w:t>成交供应商</w:t>
            </w:r>
            <w:r>
              <w:rPr>
                <w:sz w:val="21"/>
              </w:rPr>
              <w:t>负责修复。</w:t>
            </w:r>
          </w:p>
          <w:p>
            <w:pPr>
              <w:pStyle w:val="null3"/>
              <w:ind w:firstLine="420"/>
            </w:pPr>
            <w:r>
              <w:rPr>
                <w:sz w:val="21"/>
              </w:rPr>
              <w:t>4</w:t>
            </w:r>
            <w:r>
              <w:rPr>
                <w:sz w:val="21"/>
              </w:rPr>
              <w:t>、</w:t>
            </w:r>
            <w:r>
              <w:rPr>
                <w:sz w:val="21"/>
              </w:rPr>
              <w:t>由于人为原因，对系统设备、系统线路造成损坏，由</w:t>
            </w:r>
            <w:r>
              <w:rPr>
                <w:sz w:val="21"/>
              </w:rPr>
              <w:t>成交供应商</w:t>
            </w:r>
            <w:r>
              <w:rPr>
                <w:sz w:val="21"/>
              </w:rPr>
              <w:t>负责修复并向损坏方索赔。</w:t>
            </w:r>
          </w:p>
          <w:p>
            <w:pPr>
              <w:pStyle w:val="null3"/>
              <w:ind w:firstLine="420"/>
            </w:pPr>
            <w:r>
              <w:rPr>
                <w:sz w:val="21"/>
              </w:rPr>
              <w:t>5</w:t>
            </w:r>
            <w:r>
              <w:rPr>
                <w:sz w:val="21"/>
              </w:rPr>
              <w:t>、</w:t>
            </w:r>
            <w:r>
              <w:rPr>
                <w:sz w:val="21"/>
              </w:rPr>
              <w:t>由于市政建设原因，对系统设备、系统线路造成损坏，由</w:t>
            </w:r>
            <w:r>
              <w:rPr>
                <w:sz w:val="21"/>
              </w:rPr>
              <w:t>成交供应商</w:t>
            </w:r>
            <w:r>
              <w:rPr>
                <w:sz w:val="21"/>
              </w:rPr>
              <w:t>负责修复并向损坏方索赔。</w:t>
            </w:r>
          </w:p>
          <w:p>
            <w:pPr>
              <w:pStyle w:val="null3"/>
              <w:ind w:firstLine="420"/>
            </w:pPr>
            <w:r>
              <w:rPr>
                <w:sz w:val="21"/>
              </w:rPr>
              <w:t>6</w:t>
            </w:r>
            <w:r>
              <w:rPr>
                <w:sz w:val="21"/>
              </w:rPr>
              <w:t>、</w:t>
            </w:r>
            <w:r>
              <w:rPr>
                <w:sz w:val="21"/>
              </w:rPr>
              <w:t>不可抗力：</w:t>
            </w:r>
            <w:r>
              <w:rPr>
                <w:sz w:val="21"/>
              </w:rPr>
              <w:t>成交供应商</w:t>
            </w:r>
            <w:r>
              <w:rPr>
                <w:sz w:val="21"/>
              </w:rPr>
              <w:t>由于不可抗力原因（指不能预见，不能避免并不能克服的客观情况，如地震、台风、洪水、战争、国家宏观政策发生重大变化等）不能履行方案时，应在不可抗力事件结束后</w:t>
            </w:r>
            <w:r>
              <w:rPr>
                <w:sz w:val="21"/>
              </w:rPr>
              <w:t>1</w:t>
            </w:r>
            <w:r>
              <w:rPr>
                <w:sz w:val="21"/>
              </w:rPr>
              <w:t>日内向业主通报，以减轻可能给对方造成的损失，在取得有关机构的不可抗力证明或双方谅解确认后，允许延期履行或修订维护方案，并根据情况可部分或全部免于承担违约责任。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1.采购代理机构：本项目是指华睿诚项目管理有限公司佛山分公司，负责整个采购活动的组织，依法负责编制和发布磋商文件，对磋商文件拥有最终的解释权，不以任何身份出任磋商小组成员。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佛山市公安局南海分局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招标代理费收费标准：参照国家计委颁布的《招标代理服务收费管理暂行办法》（计价格[2002]1980号）及发改价格[2011]534号文中的计费类别“服务”的招标代理服务费收费标准95%执行。 计算方法：按差额定率累进法计算。 2、中标人须向采购代理机构交纳招标代理服务费后，凭领取人身份证复印件并加盖公章领取《中标通知书》 。如采用电汇或银行转账，须同时递交招标代理服务费缴费凭证复印件并加盖公章。3.如需开发票，请于开标后5日内将收据扫描件及开票资料（包括联系人、地址、电话）发送至huaruichengfs@163.com，联系电话:0757-81019488。发票默认邮寄到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其他，1、成交供应商投标文件要求，成交供应商领取成交通知书时须将投标文件纸质版正本1份及副本（可以正本复印件）1份送至采购代理机构处归档。其内容须与加密的电子投标文件内容一致。 有关资质、荣誉证书有效期要求，(1)投标文件中提交的所有企业或人员的资质、荣誉证书均须有效；(2)如证书设有有效期的，有效期要求不少于投标截止当日或已办理延期手续；(3)如证书没有有效期且该资质未被取消的，则视为仍在有效期内。(4)有关企业或人员的资质证书如有最新的行业管理规定或政策文件要求的，按照有关要求执行。(5)采用电子化采购的项目，电子投标文件提交的资质、荣誉证书、合同等资料或证明材料，均应提交其正本原件的扫描件。 2、其他说明：由于招标文件格式固化，现将《竞争性磋商文件》“第三章 投标人须知 八、合同签订和履行 1.合同签订 1.1采购人 应当自《成交通知书》发出之日起三十日内 修改为1.1采购人应当自《成交通知书》发出之日起 二十日内”。 3、根据《佛山市政务服务数据管理局 佛山市财政局关于推行政府采购项目“承诺信用制”工作的通知》佛政数〔2023〕2号，供应商在参加全市政府采购活动时，基本资格条件采取“承诺信用制”的，允许供应商提供相关资格信用承诺函（格式见附件1），在投标（响应）文件中无需提供财务状况报告、依法缴纳税收和社会保障资金、没有重大违法记录等证明材料。如供应商提供《政府采购供应商资格信用承诺函》的，须附在投标文件格式九。 4、参与政府采购的中小微企业可凭借中标（成交）通知书或政府采购合同，利用“省中小融”、“粤信融”、“中征应收账款融资服务平台”等平台向金融机构申请融资，获得无财产抵押贷款。 5、①本项目采购标的对应的中小企业划分标准所属行业：软件和信息技术服务业。②中小企业划型标准规定：详见附件。 6、招标文件中若存在投标人的资格要求表述或释义不一致时，按照招标文件第一章投标邀请中投标人的资格要求执行。7、投标人应承诺以下内容真实，并如若中标，同意采购人或其委托的代理机构将下述应公示的内容予以公开：营业执照、资质证书、项目业绩、检验检测报告、履约验收报告及评价、社保证明、设备发票、职称、各种证件（身份证除外）、货物的规格型号及配置参数等。</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30分钟，以代理机构现场设置为准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华睿诚项目管理有限公司佛山分公司</w:t>
      </w:r>
      <w:r>
        <w:rPr/>
        <w:t>代收。具体操作要求详见</w:t>
      </w:r>
      <w:r>
        <w:rPr/>
        <w:t>华睿诚项目管理有限公司佛山分公司</w:t>
      </w:r>
      <w:r>
        <w:rPr/>
        <w:t>有关指引，递交事宜请自行咨询</w:t>
      </w:r>
      <w:r>
        <w:rPr/>
        <w:t>华睿诚项目管理有限公司佛山分公司</w:t>
      </w:r>
      <w:r>
        <w:rPr/>
        <w:t>；请各供应商在响应文件递交截止时间前按须知前附表规定的金额递交至</w:t>
      </w:r>
      <w:r>
        <w:rPr/>
        <w:t>华睿诚项目管理有限公司佛山分公司</w:t>
      </w:r>
      <w:r>
        <w:rPr/>
        <w:t>，到账情况以开启时</w:t>
      </w:r>
      <w:r>
        <w:rPr/>
        <w:t>华睿诚项目管理有限公司佛山分公司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广东省公共资源交易平台（佛山市）（https://ygp.gdzwfw.gov.cn/ggzy-portal/#/440600/index），佛山市公共资源交易中心南海分中心栏目（http://www.nanhai.gov.cn/fsnhq/bmdh/sydw/ggzyjyzx/jyxx/content/post_4824621.html）</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广东省公共资源交易平台（佛山市）（https://ygp.gdzwfw.gov.cn/ggzy-portal/#/440600/index），佛山市公共资源交易中心南海分中心栏目（http://www.nanhai.gov.cn/fsnhq/bmdh/sydw/ggzyjyzx/jyxx/content/post_4824621.html）</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肖东煜</w:t>
      </w:r>
    </w:p>
    <w:p>
      <w:pPr>
        <w:pStyle w:val="null3"/>
        <w:ind w:firstLine="480"/>
      </w:pPr>
      <w:r>
        <w:rPr/>
        <w:t>电话：</w:t>
      </w:r>
      <w:r>
        <w:rPr/>
        <w:t>0757-81019488</w:t>
      </w:r>
    </w:p>
    <w:p>
      <w:pPr>
        <w:pStyle w:val="null3"/>
        <w:ind w:firstLine="480"/>
      </w:pPr>
      <w:r>
        <w:rPr/>
        <w:t>传真：</w:t>
      </w:r>
      <w:r>
        <w:rPr/>
        <w:t>0757-81019488</w:t>
      </w:r>
    </w:p>
    <w:p>
      <w:pPr>
        <w:pStyle w:val="null3"/>
        <w:ind w:firstLine="480"/>
      </w:pPr>
      <w:r>
        <w:rPr/>
        <w:t>邮箱：</w:t>
      </w:r>
      <w:r>
        <w:rPr/>
        <w:t>huaruichengfs@163.com</w:t>
      </w:r>
    </w:p>
    <w:p>
      <w:pPr>
        <w:pStyle w:val="null3"/>
        <w:ind w:firstLine="480"/>
      </w:pPr>
      <w:r>
        <w:rPr/>
        <w:t>地址：</w:t>
      </w:r>
      <w:r>
        <w:rPr/>
        <w:t>佛山市南海区季华东路天安中心3座1410</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海公安数字集群系统维护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华睿诚项目管理有限公司佛山分公司</w:t>
      </w:r>
      <w:r>
        <w:rPr/>
        <w:t>统一对外发布。</w:t>
      </w:r>
    </w:p>
    <w:p>
      <w:pPr>
        <w:pStyle w:val="null3"/>
        <w:ind w:firstLine="480"/>
      </w:pPr>
      <w:r>
        <w:rPr/>
        <w:t>（2）对</w:t>
      </w:r>
      <w:r>
        <w:rPr/>
        <w:t>华睿诚项目管理有限公司佛山分公司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采购包1（南海公安数字集群系统维护服务项目）：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采购包1（南海公安数字集群系统维护服务项目）：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2022或2023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即原“重大税收违法案件当事人名单”)”记录名单;不处于中国政府采购网(www.ccgp.gov.cn)“政府采购严重违法失信行为信息记录”中的禁止参加政府采购活动期间。(注：1、以采购人、采购代理机构于投标(响应)截止时间当天在“信用中国”网站(www.cieditchina.gov.cn)及中国政府采购网(http://www.ccgp.gov.cn/)查询结果为准，如相关失信记录已失效供应商需提供相关证明资料；2、采购人、采购代理机构将其查询结果于开标结束后通过电子文档形式进行留存)。</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本项目采购标的对应的中小企业划分标准所属行业详见采购文件“技术标准与要求”。 ③ 投标人提交的《中小企业声明函》应按要求完整填报所有信息。 ④涉及多个采购标的且由不同制造商制造或者由不同供应商承建（承接）的，应当逐一填报每个采购标的的制造商或者承建（承接）供应商信息。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 （4）中小企业划型标准详见《关于印发中小企业划型标准规定的通知》（工信部联企业〔2011〕300号）（http://www.gov.cn/zwgk/2011-07/04/content_1898747.htm）</w:t>
            </w:r>
          </w:p>
        </w:tc>
      </w:tr>
    </w:tbl>
    <w:p>
      <w:pPr>
        <w:pStyle w:val="null3"/>
        <w:ind w:firstLine="480"/>
      </w:pPr>
      <w:r>
        <w:rPr/>
        <w:t>表二符合性审查表：</w:t>
      </w:r>
    </w:p>
    <w:p>
      <w:pPr>
        <w:pStyle w:val="null3"/>
      </w:pPr>
      <w:r>
        <w:rPr/>
        <w:t>采购包1（南海公安数字集群系统维护服务项目）：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报价方案是唯一确定，在采购文件规定的报价范围内报价。</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投标截止日起90日历天。</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按照磋商文件规定要求签署、盖章且投标文件有法定代表人签署本人姓名（或印盖本人姓名章），或签署人有法定代表人有效授权书的。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完全满足竞争性磋商文件中标注“★”的条款（如有）</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未出现有关法律、法规、规章或竞争性磋商文件规定的属于投标无效的情形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没有其他未实质性响应竞争性磋商文件要求的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采购包1(南海公安数字集群系统维护服务项目):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总体运维方案 (9.0分)</w:t>
            </w:r>
            <w:r>
              <w:rPr/>
              <w:t>，（等次分值选择：</w:t>
            </w:r>
            <w:r>
              <w:rPr/>
              <w:t>0.0;</w:t>
            </w:r>
            <w:r>
              <w:rPr/>
              <w:t>3.0;</w:t>
            </w:r>
            <w:r>
              <w:rPr/>
              <w:t>6.0;</w:t>
            </w:r>
            <w:r>
              <w:rPr/>
              <w:t>9.0;</w:t>
            </w:r>
            <w:r>
              <w:rPr/>
              <w:t>）</w:t>
            </w:r>
          </w:p>
        </w:tc>
        <w:tc>
          <w:tcPr>
            <w:tcW w:type="dxa" w:w="5076"/>
          </w:tcPr>
          <w:p>
            <w:pPr>
              <w:pStyle w:val="null3"/>
              <w:jc w:val="left"/>
            </w:pPr>
            <w:r>
              <w:rPr/>
              <w:t>对项目总体运维方案（包括但不限于进度安排方案、保密方案、运维方案和项目管理方案）的全面性、合理性、条理性进行综合评审： （1）投标人的项目总体方案对上述内容均有详尽描述，方案的全面性、合理性、条理性高的，可行性高，得9分。 （2）投标人的项目总体方案对上述内容均有描述，方案的全面性、合理性、条理性一般，可行性一般得6分。 （3）投标人的项目总体方案均有简单描述，对方案的全面性、合理性、条理性差，可行性差的，得3分。 （4）投标人的项目总体方案存在不全面、不科学不合理或不提供不得分。</w:t>
            </w:r>
          </w:p>
        </w:tc>
      </w:tr>
      <w:tr>
        <w:tc>
          <w:tcPr>
            <w:tcW w:type="dxa" w:w="922"/>
            <w:gridSpan w:val="2"/>
            <w:vMerge/>
          </w:tcPr>
          <w:p/>
        </w:tc>
        <w:tc>
          <w:tcPr>
            <w:tcW w:type="dxa" w:w="2307"/>
          </w:tcPr>
          <w:p>
            <w:pPr>
              <w:pStyle w:val="null3"/>
              <w:jc w:val="left"/>
            </w:pPr>
            <w:r>
              <w:rPr/>
              <w:t>应急解决方案 (9.0分)</w:t>
            </w:r>
            <w:r>
              <w:rPr/>
              <w:t>，（等次分值选择：</w:t>
            </w:r>
            <w:r>
              <w:rPr/>
              <w:t>0.0;</w:t>
            </w:r>
            <w:r>
              <w:rPr/>
              <w:t>1.0;</w:t>
            </w:r>
            <w:r>
              <w:rPr/>
              <w:t>3.0;</w:t>
            </w:r>
            <w:r>
              <w:rPr/>
              <w:t>6.0;</w:t>
            </w:r>
            <w:r>
              <w:rPr/>
              <w:t>9.0;</w:t>
            </w:r>
            <w:r>
              <w:rPr/>
              <w:t>）</w:t>
            </w:r>
          </w:p>
        </w:tc>
        <w:tc>
          <w:tcPr>
            <w:tcW w:type="dxa" w:w="5076"/>
          </w:tcPr>
          <w:p>
            <w:pPr>
              <w:pStyle w:val="null3"/>
              <w:jc w:val="left"/>
            </w:pPr>
            <w:r>
              <w:rPr/>
              <w:t>根据投标人提供突发事件的应急处置方案（包括但不限于现场应急处置措施、应急响应措施、应急保障措施）的全面性、合理性、条理性进行综合评审 （1）对现场应急处置措施、应急响应措施、应急保障措施均有详尽描述，且方案清晰合理的，得9分。 （2）对现场应急处置措施、应急响应措施、应急保障措施均有描述，且方案较为清晰，合理，得6分。 （3）对现场应急处置措施、应急响应措施、应急保障措施均有简单描述，且方案基本清晰，合理，得3分。 （4）对现场应急处置措施、应急响应措施、应急保障措施均有简单描述，且方案不清晰不合理的，得1分。 （5）不提供不得分。</w:t>
            </w:r>
          </w:p>
        </w:tc>
      </w:tr>
      <w:tr>
        <w:tc>
          <w:tcPr>
            <w:tcW w:type="dxa" w:w="922"/>
            <w:gridSpan w:val="2"/>
            <w:vMerge/>
          </w:tcPr>
          <w:p/>
        </w:tc>
        <w:tc>
          <w:tcPr>
            <w:tcW w:type="dxa" w:w="2307"/>
          </w:tcPr>
          <w:p>
            <w:pPr>
              <w:pStyle w:val="null3"/>
              <w:jc w:val="left"/>
            </w:pPr>
            <w:r>
              <w:rPr/>
              <w:t>运维重点难点分析以及保障措施 (9.0分)</w:t>
            </w:r>
            <w:r>
              <w:rPr/>
              <w:t>，（等次分值选择：</w:t>
            </w:r>
            <w:r>
              <w:rPr/>
              <w:t>0.0;</w:t>
            </w:r>
            <w:r>
              <w:rPr/>
              <w:t>1.0;</w:t>
            </w:r>
            <w:r>
              <w:rPr/>
              <w:t>3.0;</w:t>
            </w:r>
            <w:r>
              <w:rPr/>
              <w:t>6.0;</w:t>
            </w:r>
            <w:r>
              <w:rPr/>
              <w:t>9.0;</w:t>
            </w:r>
            <w:r>
              <w:rPr/>
              <w:t>）</w:t>
            </w:r>
          </w:p>
        </w:tc>
        <w:tc>
          <w:tcPr>
            <w:tcW w:type="dxa" w:w="5076"/>
          </w:tcPr>
          <w:p>
            <w:pPr>
              <w:pStyle w:val="null3"/>
              <w:jc w:val="left"/>
            </w:pPr>
            <w:r>
              <w:rPr/>
              <w:t>根据投标人针对本项目提供的运维重点难点分析以及保障措施方案（包括但不限于日常运维保障存在的重点难点以及解决思路、保障措施等）进行综合评审： （1）提供的运维重点难点分析以及保障措施方案全面、具体，对日常运维保障存在的重点难点以及解决思路、保障措施等均有详尽描述，完全满足或优于采购人需求，有利于项目实施，得 9 分； （2）提供的运维重点难点分析以及保障措施方案较全面、具体，对日常运维保障存在的重点难点以及解决思路、保障措施等有较详尽描述，完全满足采购人需求，得6分； （3）提供的运维重点难点分析以及保障措施方案基本全面，对日常运维保障存在的重点难点以及解决思路、保障措施等有基本描述，基本满足采购人需求，得3分； （4）提供的运维重点难点分析以及保障措施方案比较简单，对日常运维保障存在的重点难点以及解决思路、保障措施等有简单描述，部分满足采购人需求，得1分； （5）其他情况或不提供不得分。</w:t>
            </w:r>
          </w:p>
        </w:tc>
      </w:tr>
      <w:tr>
        <w:tc>
          <w:tcPr>
            <w:tcW w:type="dxa" w:w="922"/>
            <w:gridSpan w:val="2"/>
            <w:vMerge/>
          </w:tcPr>
          <w:p/>
        </w:tc>
        <w:tc>
          <w:tcPr>
            <w:tcW w:type="dxa" w:w="2307"/>
          </w:tcPr>
          <w:p>
            <w:pPr>
              <w:pStyle w:val="null3"/>
              <w:jc w:val="left"/>
            </w:pPr>
            <w:r>
              <w:rPr/>
              <w:t>项目技术支持方案及配件管理方案 (9.0分)</w:t>
            </w:r>
            <w:r>
              <w:rPr/>
              <w:t>，（等次分值选择：</w:t>
            </w:r>
            <w:r>
              <w:rPr/>
              <w:t>0.0;</w:t>
            </w:r>
            <w:r>
              <w:rPr/>
              <w:t>1.0;</w:t>
            </w:r>
            <w:r>
              <w:rPr/>
              <w:t>3.0;</w:t>
            </w:r>
            <w:r>
              <w:rPr/>
              <w:t>6.0;</w:t>
            </w:r>
            <w:r>
              <w:rPr/>
              <w:t>9.0;</w:t>
            </w:r>
            <w:r>
              <w:rPr/>
              <w:t>）</w:t>
            </w:r>
          </w:p>
        </w:tc>
        <w:tc>
          <w:tcPr>
            <w:tcW w:type="dxa" w:w="5076"/>
          </w:tcPr>
          <w:p>
            <w:pPr>
              <w:pStyle w:val="null3"/>
              <w:jc w:val="left"/>
            </w:pPr>
            <w:r>
              <w:rPr/>
              <w:t>根据投标人针对本项目提供的项目技术支持方案及配件管理（包括但不限于技术支持方案、配件管理方案等）进行综合评审： （1）对技术支持方案、配件管理方案等均有详尽描述，完全满足或优于采购人需求，有利于项目实施，得 9 分； （2）对技术支持方案、配件管理方案等有较详尽描述，完全满足采购人需求，得6分； （3）对技术支持方案、配件管理方案等有基本描述，基本满足采购人需求，得3分； （4）对技术支持方案、配件管理方案等有简单描述，部分满足采购人需求，得1分； （5）其他情况或不提供不得分。</w:t>
            </w:r>
          </w:p>
        </w:tc>
      </w:tr>
      <w:tr>
        <w:tc>
          <w:tcPr>
            <w:tcW w:type="dxa" w:w="922"/>
            <w:gridSpan w:val="2"/>
            <w:vMerge/>
          </w:tcPr>
          <w:p/>
        </w:tc>
        <w:tc>
          <w:tcPr>
            <w:tcW w:type="dxa" w:w="2307"/>
          </w:tcPr>
          <w:p>
            <w:pPr>
              <w:pStyle w:val="null3"/>
              <w:jc w:val="left"/>
            </w:pPr>
            <w:r>
              <w:rPr/>
              <w:t>服务便捷性 (9.0分)</w:t>
            </w:r>
            <w:r>
              <w:rPr/>
              <w:t>，（等次分值选择：</w:t>
            </w:r>
            <w:r>
              <w:rPr/>
              <w:t>0.0;</w:t>
            </w:r>
            <w:r>
              <w:rPr/>
              <w:t>3.0;</w:t>
            </w:r>
            <w:r>
              <w:rPr/>
              <w:t>6.0;</w:t>
            </w:r>
            <w:r>
              <w:rPr/>
              <w:t>9.0;</w:t>
            </w:r>
            <w:r>
              <w:rPr/>
              <w:t>）</w:t>
            </w:r>
          </w:p>
        </w:tc>
        <w:tc>
          <w:tcPr>
            <w:tcW w:type="dxa" w:w="5076"/>
          </w:tcPr>
          <w:p>
            <w:pPr>
              <w:pStyle w:val="null3"/>
              <w:jc w:val="left"/>
            </w:pPr>
            <w:r>
              <w:rPr/>
              <w:t>根据各供应商为本项目提供服务便捷性、快速响应采购人服务要求的可行性及优越性等进行评审： （1）服务便捷性高，响应时间迅速、服务措施合理，服务计划最全面、详细，服务体系最完善，响应时间≤30分钟的，得9分； （2）服务便捷性较高，响应时间较快、服务措施较好，服务计划较全面、较详细，服务体系较完善，30分钟＜响应时间≤60分钟的，得6分； （3）服务便捷性较差，响应时间较慢、服务措施较差的，服务计划不全面，服务体系完善性较差，60分钟＜响应时间≤90分钟的，得3分； （4）其他或不提供不得分。 注：供应商须提供专项承诺函和能实现承诺响应时间的合理相关证明、说明材料，否则不得分，承诺函格式自拟。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(9.0分)</w:t>
            </w:r>
          </w:p>
        </w:tc>
        <w:tc>
          <w:tcPr>
            <w:tcW w:type="dxa" w:w="5076"/>
          </w:tcPr>
          <w:p>
            <w:pPr>
              <w:pStyle w:val="null3"/>
              <w:jc w:val="left"/>
            </w:pPr>
            <w:r>
              <w:rPr/>
              <w:t>根据供应商具有以下有效证书情况进行评审： 1.质量管理体系认证证书； 2.职业健康安全管理体系认证证书； 3.环境管理体系认证证书； 以上证书每提供1个得3分，最高得9分。 注：需提供有效期内的认证证书扫描件并加盖供应商公章，已失效的不得分。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自2021年1月1日至投标截止时间（以合同签订时间为准），以供应商名义独立完成的同类项目业绩（同类业绩为数字集群类的相关内容），每提供一个得3分，本项最高得12分。 注：提供对应项目的合同关键页扫描件（需包含采购内容、金额、签约日期、双方盖章页）并加盖供应商公章。不提供或提供不全的不得分。</w:t>
            </w:r>
          </w:p>
        </w:tc>
      </w:tr>
      <w:tr>
        <w:tc>
          <w:tcPr>
            <w:tcW w:type="dxa" w:w="922"/>
            <w:gridSpan w:val="2"/>
            <w:vMerge/>
          </w:tcPr>
          <w:p/>
        </w:tc>
        <w:tc>
          <w:tcPr>
            <w:tcW w:type="dxa" w:w="2307"/>
          </w:tcPr>
          <w:p>
            <w:pPr>
              <w:pStyle w:val="null3"/>
              <w:jc w:val="left"/>
            </w:pPr>
            <w:r>
              <w:rPr/>
              <w:t>投入本项目技术人员专业技术能力 (12.0分)</w:t>
            </w:r>
          </w:p>
        </w:tc>
        <w:tc>
          <w:tcPr>
            <w:tcW w:type="dxa" w:w="5076"/>
          </w:tcPr>
          <w:p>
            <w:pPr>
              <w:pStyle w:val="null3"/>
              <w:jc w:val="left"/>
            </w:pPr>
            <w:r>
              <w:rPr/>
              <w:t>拟投入本项目团队成员中（不得兼任），需具备以下能力： 1、具有人力资源和社会保障部门颁发的：机电或电子或网络空间安全技术应用的专业类别的职称证书：中级职称的，每人得2分；高级职称或以上的，得4分，本小项最高得8分； 2、具有系统集成项目管理工程师（中级或以上）职称的，每人得2分，本小项累计最高得4分； 注：本项满分13分。同一人拥有多项证书的，仅按符合专业要求的最高职称等级计算一次，不作重复得分。需提供证书扫描件和响应文件提交截止前6个月内（不含提交截止当月）任意一个月在响应供应商单位为其缴纳社保证明等证明文件扫描件并加盖供应商公章，如依法免税或不需要缴纳社会保障资金的，提供相应证明材料，不提供不得分。</w:t>
            </w:r>
          </w:p>
        </w:tc>
      </w:tr>
      <w:tr>
        <w:tc>
          <w:tcPr>
            <w:tcW w:type="dxa" w:w="922"/>
            <w:gridSpan w:val="2"/>
            <w:vMerge/>
          </w:tcPr>
          <w:p/>
        </w:tc>
        <w:tc>
          <w:tcPr>
            <w:tcW w:type="dxa" w:w="2307"/>
          </w:tcPr>
          <w:p>
            <w:pPr>
              <w:pStyle w:val="null3"/>
              <w:jc w:val="left"/>
            </w:pPr>
            <w:r>
              <w:rPr/>
              <w:t>车辆配置方案 (12.0分)</w:t>
            </w:r>
          </w:p>
        </w:tc>
        <w:tc>
          <w:tcPr>
            <w:tcW w:type="dxa" w:w="5076"/>
          </w:tcPr>
          <w:p>
            <w:pPr>
              <w:pStyle w:val="null3"/>
              <w:jc w:val="left"/>
            </w:pPr>
            <w:r>
              <w:rPr/>
              <w:t>根据供应商拟投入到本项目的作业车辆进行评审： 1.提供1辆自有或租赁的高空作业车辆的得2 分，本小项最高得4分； 2.提供1辆自有或租赁的故障抢修工程车辆，得2分，本小项最高得8分； 注：本项满分12分，车辆可自有或租赁，以上车辆为自有车辆，须同时提供车辆行驶证（包含车辆照片页和车辆信息页）扫描件并加盖公章，未提供的不得分；是租赁车辆须同时提供车辆租赁合同（租赁期须涵盖本项目服务期要求（以招标公告发出之日起一年计算）扫描件、车辆行驶证（包含车辆照片页和车辆信息页）扫描件并加盖公章，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rPr>
        <w:t>佛山市公安局南海分局</w:t>
      </w:r>
    </w:p>
    <w:p>
      <w:pPr>
        <w:pStyle w:val="null3"/>
        <w:ind w:firstLine="480"/>
        <w:jc w:val="center"/>
      </w:pPr>
      <w:r>
        <w:rPr>
          <w:sz w:val="52"/>
        </w:rPr>
        <w:t>合同书</w:t>
      </w:r>
    </w:p>
    <w:p>
      <w:pPr>
        <w:pStyle w:val="null3"/>
        <w:ind w:firstLine="2409"/>
        <w:jc w:val="both"/>
      </w:pPr>
      <w:r>
        <w:rPr>
          <w:sz w:val="24"/>
          <w:b/>
        </w:rPr>
        <w:t>项目编号：</w:t>
      </w:r>
      <w:r>
        <w:rPr>
          <w:sz w:val="24"/>
          <w:b/>
          <w:u w:val="single"/>
        </w:rPr>
        <w:t>JF2024</w:t>
      </w:r>
      <w:r>
        <w:rPr>
          <w:sz w:val="24"/>
          <w:b/>
          <w:u w:val="single"/>
        </w:rPr>
        <w:t>（</w:t>
      </w:r>
      <w:r>
        <w:rPr>
          <w:sz w:val="24"/>
          <w:b/>
          <w:u w:val="single"/>
        </w:rPr>
        <w:t>NH</w:t>
      </w:r>
      <w:r>
        <w:rPr>
          <w:sz w:val="24"/>
          <w:b/>
          <w:u w:val="single"/>
        </w:rPr>
        <w:t>）</w:t>
      </w:r>
      <w:r>
        <w:rPr>
          <w:sz w:val="24"/>
          <w:b/>
          <w:u w:val="single"/>
        </w:rPr>
        <w:t>WS0117</w:t>
      </w:r>
    </w:p>
    <w:p>
      <w:pPr>
        <w:pStyle w:val="null3"/>
        <w:ind w:left="420"/>
        <w:jc w:val="left"/>
      </w:pPr>
      <w:r>
        <w:rPr>
          <w:sz w:val="24"/>
          <w:b/>
        </w:rPr>
        <w:t>项目名称：</w:t>
      </w:r>
      <w:r>
        <w:rPr>
          <w:sz w:val="24"/>
          <w:b/>
          <w:u w:val="single"/>
        </w:rPr>
        <w:t>南海公安数字集群系统维护服务项目</w:t>
      </w:r>
    </w:p>
    <w:tbl>
      <w:tblPr>
        <w:tblW w:w="0" w:type="auto"/>
        <w:tblBorders>
          <w:top w:val="none" w:color="000000" w:sz="4"/>
          <w:left w:val="none" w:color="000000" w:sz="4"/>
          <w:bottom w:val="none" w:color="000000" w:sz="4"/>
          <w:right w:val="none" w:color="000000" w:sz="4"/>
          <w:insideH w:val="none"/>
          <w:insideV w:val="none"/>
        </w:tblBorders>
      </w:tblPr>
      <w:tblGrid>
        <w:gridCol w:w="2263"/>
        <w:gridCol w:w="6027"/>
      </w:tblGrid>
      <w:tr>
        <w:tc>
          <w:tcPr>
            <w:tcW w:type="dxa" w:w="226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center"/>
            </w:pPr>
            <w:r>
              <w:rPr>
                <w:sz w:val="24"/>
              </w:rPr>
              <w:t>甲</w:t>
            </w:r>
            <w:r>
              <w:rPr>
                <w:sz w:val="24"/>
              </w:rPr>
              <w:t xml:space="preserve">   </w:t>
            </w:r>
            <w:r>
              <w:rPr>
                <w:sz w:val="24"/>
              </w:rPr>
              <w:t>方：</w:t>
            </w:r>
          </w:p>
        </w:tc>
        <w:tc>
          <w:tcPr>
            <w:tcW w:type="dxa" w:w="602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left"/>
            </w:pPr>
            <w:r>
              <w:rPr>
                <w:sz w:val="24"/>
                <w:u w:val="single"/>
              </w:rPr>
              <w:t>佛山市公安局南海分局</w:t>
            </w:r>
          </w:p>
        </w:tc>
      </w:tr>
      <w:tr>
        <w:tc>
          <w:tcPr>
            <w:tcW w:type="dxa" w:w="226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center"/>
            </w:pPr>
            <w:r>
              <w:rPr>
                <w:sz w:val="24"/>
              </w:rPr>
              <w:t>乙</w:t>
            </w:r>
            <w:r>
              <w:rPr>
                <w:sz w:val="24"/>
              </w:rPr>
              <w:t xml:space="preserve">   </w:t>
            </w:r>
            <w:r>
              <w:rPr>
                <w:sz w:val="24"/>
              </w:rPr>
              <w:t>方：</w:t>
            </w:r>
          </w:p>
        </w:tc>
        <w:tc>
          <w:tcPr>
            <w:tcW w:type="dxa" w:w="602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left"/>
            </w:pPr>
            <w:r>
              <w:rPr>
                <w:sz w:val="24"/>
                <w:u w:val="single"/>
              </w:rPr>
              <w:t xml:space="preserve">  </w:t>
            </w:r>
            <w:r>
              <w:rPr>
                <w:sz w:val="24"/>
                <w:u w:val="single"/>
              </w:rPr>
              <w:t>（成交供应商名称）</w:t>
            </w:r>
            <w:r>
              <w:rPr>
                <w:sz w:val="24"/>
                <w:u w:val="single"/>
              </w:rPr>
              <w:t xml:space="preserve">     </w:t>
            </w:r>
          </w:p>
        </w:tc>
      </w:tr>
      <w:tr>
        <w:tc>
          <w:tcPr>
            <w:tcW w:type="dxa" w:w="226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center"/>
            </w:pPr>
            <w:r>
              <w:rPr>
                <w:sz w:val="24"/>
              </w:rPr>
              <w:t>签订日期：</w:t>
            </w:r>
          </w:p>
        </w:tc>
        <w:tc>
          <w:tcPr>
            <w:tcW w:type="dxa" w:w="602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left"/>
            </w:pPr>
            <w:r>
              <w:rPr>
                <w:sz w:val="19"/>
                <w:u w:val="single"/>
              </w:rPr>
              <w:t xml:space="preserve">       </w:t>
            </w:r>
            <w:r>
              <w:rPr>
                <w:sz w:val="24"/>
                <w:u w:val="single"/>
              </w:rPr>
              <w:t>年</w:t>
            </w:r>
            <w:r>
              <w:rPr>
                <w:sz w:val="19"/>
                <w:u w:val="single"/>
              </w:rPr>
              <w:t xml:space="preserve">   </w:t>
            </w:r>
            <w:r>
              <w:rPr>
                <w:sz w:val="24"/>
                <w:u w:val="single"/>
              </w:rPr>
              <w:t>月</w:t>
            </w:r>
            <w:r>
              <w:rPr>
                <w:sz w:val="19"/>
                <w:u w:val="single"/>
              </w:rPr>
              <w:t xml:space="preserve">    </w:t>
            </w:r>
            <w:r>
              <w:rPr>
                <w:sz w:val="24"/>
                <w:u w:val="single"/>
              </w:rPr>
              <w:t>日</w:t>
            </w:r>
            <w:r>
              <w:rPr>
                <w:sz w:val="24"/>
                <w:u w:val="single"/>
              </w:rPr>
              <w:t xml:space="preserve">       </w:t>
            </w:r>
          </w:p>
        </w:tc>
      </w:tr>
    </w:tbl>
    <w:p>
      <w:pPr>
        <w:pStyle w:val="null3"/>
        <w:ind w:firstLine="480"/>
        <w:jc w:val="both"/>
      </w:pPr>
      <w:r>
        <w:rPr/>
        <w:t xml:space="preserve"> </w:t>
      </w:r>
    </w:p>
    <w:p>
      <w:pPr>
        <w:pStyle w:val="null3"/>
        <w:ind w:firstLine="480"/>
        <w:jc w:val="center"/>
      </w:pPr>
      <w:r>
        <w:rPr>
          <w:sz w:val="44"/>
          <w:b/>
        </w:rPr>
        <w:t>佛山市政府采购项目合同书</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604"/>
        <w:gridCol w:w="6686"/>
      </w:tblGrid>
      <w:tr>
        <w:tc>
          <w:tcPr>
            <w:tcW w:type="dxa" w:w="160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b/>
              </w:rPr>
              <w:t>项目名称</w:t>
            </w:r>
            <w:r>
              <w:rPr>
                <w:sz w:val="21"/>
                <w:b/>
              </w:rPr>
              <w:t>：</w:t>
            </w:r>
          </w:p>
        </w:tc>
        <w:tc>
          <w:tcPr>
            <w:tcW w:type="dxa" w:w="668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left"/>
            </w:pPr>
            <w:r>
              <w:rPr>
                <w:sz w:val="24"/>
                <w:u w:val="single"/>
              </w:rPr>
              <w:t>南海公安数字集群系统维护服务项目</w:t>
            </w:r>
          </w:p>
        </w:tc>
      </w:tr>
      <w:tr>
        <w:tc>
          <w:tcPr>
            <w:tcW w:type="dxa" w:w="160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b/>
              </w:rPr>
              <w:t>项目编号：</w:t>
            </w:r>
          </w:p>
        </w:tc>
        <w:tc>
          <w:tcPr>
            <w:tcW w:type="dxa" w:w="668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u w:val="single"/>
              </w:rPr>
              <w:t>JF2024</w:t>
            </w:r>
            <w:r>
              <w:rPr>
                <w:sz w:val="24"/>
                <w:u w:val="single"/>
              </w:rPr>
              <w:t>（</w:t>
            </w:r>
            <w:r>
              <w:rPr>
                <w:sz w:val="24"/>
                <w:u w:val="single"/>
              </w:rPr>
              <w:t>NH</w:t>
            </w:r>
            <w:r>
              <w:rPr>
                <w:sz w:val="24"/>
                <w:u w:val="single"/>
              </w:rPr>
              <w:t>）</w:t>
            </w:r>
            <w:r>
              <w:rPr>
                <w:sz w:val="24"/>
                <w:u w:val="single"/>
              </w:rPr>
              <w:t>WS0117</w:t>
            </w:r>
          </w:p>
        </w:tc>
      </w:tr>
      <w:tr>
        <w:tc>
          <w:tcPr>
            <w:tcW w:type="dxa" w:w="160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b/>
              </w:rPr>
              <w:t>甲</w:t>
            </w:r>
            <w:r>
              <w:rPr>
                <w:sz w:val="19"/>
                <w:b/>
              </w:rPr>
              <w:t xml:space="preserve">    </w:t>
            </w:r>
            <w:r>
              <w:rPr>
                <w:sz w:val="24"/>
                <w:b/>
              </w:rPr>
              <w:t>方：</w:t>
            </w:r>
          </w:p>
        </w:tc>
        <w:tc>
          <w:tcPr>
            <w:tcW w:type="dxa" w:w="668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19"/>
                <w:u w:val="single"/>
              </w:rPr>
              <w:t xml:space="preserve"> </w:t>
            </w:r>
            <w:r>
              <w:rPr>
                <w:sz w:val="24"/>
                <w:u w:val="single"/>
              </w:rPr>
              <w:t>佛山市公安局南海分局</w:t>
            </w:r>
          </w:p>
        </w:tc>
      </w:tr>
      <w:tr>
        <w:tc>
          <w:tcPr>
            <w:tcW w:type="dxa" w:w="160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b/>
              </w:rPr>
              <w:t>乙</w:t>
            </w:r>
            <w:r>
              <w:rPr>
                <w:sz w:val="24"/>
                <w:b/>
              </w:rPr>
              <w:t xml:space="preserve">   </w:t>
            </w:r>
            <w:r>
              <w:rPr>
                <w:sz w:val="24"/>
                <w:b/>
              </w:rPr>
              <w:t>方：</w:t>
            </w:r>
          </w:p>
        </w:tc>
        <w:tc>
          <w:tcPr>
            <w:tcW w:type="dxa" w:w="668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u w:val="single"/>
              </w:rPr>
              <w:t>（成交供应商）</w:t>
            </w:r>
            <w:r>
              <w:rPr>
                <w:sz w:val="24"/>
                <w:u w:val="single"/>
              </w:rPr>
              <w:t xml:space="preserve">                                </w:t>
            </w:r>
          </w:p>
        </w:tc>
      </w:tr>
      <w:tr>
        <w:tc>
          <w:tcPr>
            <w:tcW w:type="dxa" w:w="160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b/>
              </w:rPr>
              <w:t>合同性质：</w:t>
            </w:r>
          </w:p>
        </w:tc>
        <w:tc>
          <w:tcPr>
            <w:tcW w:type="dxa" w:w="668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4"/>
                <w:u w:val="single"/>
              </w:rPr>
              <w:t>本合同为中小企业预留合同</w:t>
            </w:r>
          </w:p>
        </w:tc>
      </w:tr>
    </w:tbl>
    <w:p>
      <w:pPr>
        <w:pStyle w:val="null3"/>
        <w:ind w:firstLine="420"/>
        <w:jc w:val="both"/>
      </w:pPr>
      <w:r>
        <w:rPr>
          <w:sz w:val="24"/>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sz w:val="24"/>
          <w:b/>
        </w:rPr>
        <w:t>一、项目主要内容及实现功能目标：</w:t>
      </w:r>
    </w:p>
    <w:p>
      <w:pPr>
        <w:pStyle w:val="null3"/>
        <w:ind w:firstLine="420"/>
        <w:jc w:val="both"/>
      </w:pPr>
      <w:r>
        <w:rPr>
          <w:sz w:val="24"/>
        </w:rPr>
        <w:t>（按照采购文件和投标</w:t>
      </w:r>
      <w:r>
        <w:rPr>
          <w:sz w:val="24"/>
        </w:rPr>
        <w:t>/</w:t>
      </w:r>
      <w:r>
        <w:rPr>
          <w:sz w:val="24"/>
        </w:rPr>
        <w:t>响应文件执行）</w:t>
      </w:r>
    </w:p>
    <w:p>
      <w:pPr>
        <w:pStyle w:val="null3"/>
        <w:ind w:firstLine="480"/>
        <w:jc w:val="both"/>
      </w:pPr>
      <w:r>
        <w:rPr>
          <w:sz w:val="24"/>
          <w:b/>
        </w:rPr>
        <w:t>二、产品及服务供应清单：</w:t>
      </w:r>
      <w:r>
        <w:rPr>
          <w:sz w:val="24"/>
        </w:rPr>
        <w:t>见附件一《报价清单明细表》。</w:t>
      </w:r>
    </w:p>
    <w:p>
      <w:pPr>
        <w:pStyle w:val="null3"/>
        <w:ind w:firstLine="480"/>
        <w:jc w:val="both"/>
      </w:pPr>
      <w:r>
        <w:rPr>
          <w:sz w:val="24"/>
          <w:b/>
        </w:rPr>
        <w:t>三、基本合同条款一览表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9"/>
        <w:gridCol w:w="1424"/>
        <w:gridCol w:w="6207"/>
      </w:tblGrid>
      <w:tr>
        <w:tc>
          <w:tcPr>
            <w:tcW w:type="dxa" w:w="6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合同条款</w:t>
            </w:r>
          </w:p>
        </w:tc>
        <w:tc>
          <w:tcPr>
            <w:tcW w:type="dxa" w:w="6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内容</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1.</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合同总额</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人民币小写：</w:t>
            </w:r>
            <w:r>
              <w:rPr>
                <w:sz w:val="19"/>
                <w:u w:val="single"/>
              </w:rPr>
              <w:t xml:space="preserve">             </w:t>
            </w:r>
            <w:r>
              <w:rPr>
                <w:sz w:val="21"/>
              </w:rPr>
              <w:t>元；</w:t>
            </w:r>
          </w:p>
          <w:p>
            <w:pPr>
              <w:pStyle w:val="null3"/>
              <w:jc w:val="both"/>
            </w:pPr>
            <w:r>
              <w:rPr>
                <w:sz w:val="21"/>
              </w:rPr>
              <w:t>大写：</w:t>
            </w:r>
            <w:r>
              <w:rPr>
                <w:sz w:val="19"/>
                <w:u w:val="single"/>
              </w:rPr>
              <w:t xml:space="preserve">                          </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合同总额内容</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r>
              <w:rPr>
                <w:sz w:val="21"/>
              </w:rPr>
              <w:t>、合同总额包括但不限于</w:t>
            </w:r>
            <w:r>
              <w:rPr>
                <w:sz w:val="21"/>
              </w:rPr>
              <w:t>货物及零配件的购置和安装、供电报装和电力安装、道路挖掘赔补、绿化赔补、网络调试、软件安装调试、系统的对接、系统维护、运输保险、装卸、培训辅导、第三方检测、验收、质保期售后服务、全额含税发票、雇员费用、</w:t>
            </w:r>
            <w:r>
              <w:rPr>
                <w:sz w:val="21"/>
              </w:rPr>
              <w:t>合同实施过程中的应预见和不可预见费用等完成合同规定责任和义务、达到合同目的的一切费用及企业利润。</w:t>
            </w:r>
          </w:p>
          <w:p>
            <w:pPr>
              <w:pStyle w:val="null3"/>
              <w:jc w:val="both"/>
            </w:pPr>
            <w:r>
              <w:rPr>
                <w:sz w:val="21"/>
              </w:rPr>
              <w:t>2</w:t>
            </w:r>
            <w:r>
              <w:rPr>
                <w:sz w:val="21"/>
              </w:rPr>
              <w:t>、价格为固定不变价，天数为公历日。</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3.</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项目服务地点</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甲方（用户）指定地点。详细地址为：</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4.</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服务期</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合同生效之日起一年，具体以合同实际签订时间为准</w:t>
            </w:r>
          </w:p>
          <w:p>
            <w:pPr>
              <w:pStyle w:val="null3"/>
              <w:jc w:val="left"/>
            </w:pPr>
            <w:r>
              <w:rPr>
                <w:sz w:val="21"/>
              </w:rPr>
              <w:t xml:space="preserve">202  </w:t>
            </w:r>
            <w:r>
              <w:rPr>
                <w:sz w:val="21"/>
              </w:rPr>
              <w:t>年   月  日至</w:t>
            </w:r>
            <w:r>
              <w:rPr>
                <w:sz w:val="21"/>
              </w:rPr>
              <w:t xml:space="preserve">202  </w:t>
            </w:r>
            <w:r>
              <w:rPr>
                <w:sz w:val="21"/>
              </w:rPr>
              <w:t>年   月  日</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5.</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合同签订方式及情况</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一次性签订本项目采购合同。</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6.</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付款方式</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合同款项支付阶段和比例如下：</w:t>
            </w:r>
          </w:p>
          <w:p>
            <w:pPr>
              <w:pStyle w:val="null3"/>
              <w:jc w:val="left"/>
            </w:pPr>
            <w:r>
              <w:rPr>
                <w:sz w:val="21"/>
              </w:rPr>
              <w:t>1</w:t>
            </w:r>
            <w:r>
              <w:rPr>
                <w:sz w:val="21"/>
              </w:rPr>
              <w:t>、签订合同生效后，维保服务费按季度支付，每季度维保服务费用</w:t>
            </w:r>
            <w:r>
              <w:rPr>
                <w:sz w:val="21"/>
              </w:rPr>
              <w:t>=</w:t>
            </w:r>
            <w:r>
              <w:rPr>
                <w:sz w:val="21"/>
              </w:rPr>
              <w:t>合同金额</w:t>
            </w:r>
            <w:r>
              <w:rPr>
                <w:sz w:val="21"/>
              </w:rPr>
              <w:t>/4</w:t>
            </w:r>
            <w:r>
              <w:rPr>
                <w:sz w:val="19"/>
              </w:rPr>
              <w:t>×</w:t>
            </w:r>
            <w:r>
              <w:rPr>
                <w:sz w:val="19"/>
              </w:rPr>
              <w:t>评价等级支付</w:t>
            </w:r>
            <w:r>
              <w:rPr>
                <w:sz w:val="19"/>
              </w:rPr>
              <w:t>比例</w:t>
            </w:r>
            <w:r>
              <w:rPr>
                <w:sz w:val="21"/>
              </w:rPr>
              <w:t>-</w:t>
            </w:r>
            <w:r>
              <w:rPr>
                <w:sz w:val="21"/>
              </w:rPr>
              <w:t>当期考核扣罚金额（如有），</w:t>
            </w:r>
            <w:r>
              <w:rPr>
                <w:sz w:val="21"/>
              </w:rPr>
              <w:t>乙方</w:t>
            </w:r>
            <w:r>
              <w:rPr>
                <w:sz w:val="21"/>
              </w:rPr>
              <w:t>在每个服务季度结束后的两个星期内，向</w:t>
            </w:r>
            <w:r>
              <w:rPr>
                <w:sz w:val="21"/>
              </w:rPr>
              <w:t>甲方</w:t>
            </w:r>
            <w:r>
              <w:rPr>
                <w:sz w:val="21"/>
              </w:rPr>
              <w:t>提交上季度的请款申请资料【付款申请书、当季考核资料、结算相关文件资料、合法合规的有效增值税普通发票】，经</w:t>
            </w:r>
            <w:r>
              <w:rPr>
                <w:sz w:val="21"/>
              </w:rPr>
              <w:t>甲方</w:t>
            </w:r>
            <w:r>
              <w:rPr>
                <w:sz w:val="21"/>
              </w:rPr>
              <w:t>审核通过后，在</w:t>
            </w:r>
            <w:r>
              <w:rPr>
                <w:sz w:val="21"/>
              </w:rPr>
              <w:t>15</w:t>
            </w:r>
            <w:r>
              <w:rPr>
                <w:sz w:val="21"/>
              </w:rPr>
              <w:t>天内支付上季度维保服务费用。</w:t>
            </w:r>
          </w:p>
          <w:p>
            <w:pPr>
              <w:pStyle w:val="null3"/>
              <w:jc w:val="left"/>
            </w:pPr>
            <w:r>
              <w:rPr>
                <w:sz w:val="21"/>
              </w:rPr>
              <w:t>2</w:t>
            </w:r>
            <w:r>
              <w:rPr>
                <w:sz w:val="21"/>
              </w:rPr>
              <w:t>、连续</w:t>
            </w:r>
            <w:r>
              <w:rPr>
                <w:sz w:val="21"/>
              </w:rPr>
              <w:t>2</w:t>
            </w:r>
            <w:r>
              <w:rPr>
                <w:sz w:val="21"/>
              </w:rPr>
              <w:t>个考核周期的考核得分均低于合格分</w:t>
            </w:r>
            <w:r>
              <w:rPr>
                <w:sz w:val="21"/>
              </w:rPr>
              <w:t>80</w:t>
            </w:r>
            <w:r>
              <w:rPr>
                <w:sz w:val="21"/>
              </w:rPr>
              <w:t>分的，</w:t>
            </w:r>
            <w:r>
              <w:rPr>
                <w:sz w:val="21"/>
              </w:rPr>
              <w:t>甲方</w:t>
            </w:r>
            <w:r>
              <w:rPr>
                <w:sz w:val="21"/>
              </w:rPr>
              <w:t>有权解除合同。</w:t>
            </w:r>
          </w:p>
          <w:p>
            <w:pPr>
              <w:pStyle w:val="null3"/>
              <w:jc w:val="left"/>
            </w:pPr>
            <w:r>
              <w:rPr>
                <w:sz w:val="21"/>
              </w:rPr>
              <w:t>3</w:t>
            </w:r>
            <w:r>
              <w:rPr>
                <w:sz w:val="21"/>
              </w:rPr>
              <w:t>、</w:t>
            </w:r>
            <w:r>
              <w:rPr>
                <w:sz w:val="19"/>
              </w:rPr>
              <w:t>得分为</w:t>
            </w:r>
            <w:r>
              <w:rPr>
                <w:sz w:val="19"/>
              </w:rPr>
              <w:t>“</w:t>
            </w:r>
            <w:r>
              <w:rPr>
                <w:sz w:val="19"/>
              </w:rPr>
              <w:t xml:space="preserve">90 </w:t>
            </w:r>
            <w:r>
              <w:rPr>
                <w:sz w:val="19"/>
              </w:rPr>
              <w:t xml:space="preserve">分及以上”的按 </w:t>
            </w:r>
            <w:r>
              <w:rPr>
                <w:sz w:val="19"/>
              </w:rPr>
              <w:t>100%</w:t>
            </w:r>
            <w:r>
              <w:rPr>
                <w:sz w:val="19"/>
              </w:rPr>
              <w:t>支付，得分为“</w:t>
            </w:r>
            <w:r>
              <w:rPr>
                <w:sz w:val="19"/>
              </w:rPr>
              <w:t xml:space="preserve">80 </w:t>
            </w:r>
            <w:r>
              <w:rPr>
                <w:sz w:val="19"/>
              </w:rPr>
              <w:t xml:space="preserve">分及以上至 </w:t>
            </w:r>
            <w:r>
              <w:rPr>
                <w:sz w:val="19"/>
              </w:rPr>
              <w:t xml:space="preserve">90 </w:t>
            </w:r>
            <w:r>
              <w:rPr>
                <w:sz w:val="19"/>
              </w:rPr>
              <w:t>分的</w:t>
            </w:r>
            <w:r>
              <w:rPr>
                <w:sz w:val="19"/>
              </w:rPr>
              <w:t>(</w:t>
            </w:r>
            <w:r>
              <w:rPr>
                <w:sz w:val="19"/>
              </w:rPr>
              <w:t xml:space="preserve">不含 </w:t>
            </w:r>
            <w:r>
              <w:rPr>
                <w:sz w:val="19"/>
              </w:rPr>
              <w:t xml:space="preserve">90 </w:t>
            </w:r>
            <w:r>
              <w:rPr>
                <w:sz w:val="19"/>
              </w:rPr>
              <w:t>分</w:t>
            </w:r>
            <w:r>
              <w:rPr>
                <w:sz w:val="19"/>
              </w:rPr>
              <w:t>)</w:t>
            </w:r>
            <w:r>
              <w:rPr>
                <w:sz w:val="19"/>
              </w:rPr>
              <w:t xml:space="preserve">”的按 </w:t>
            </w:r>
            <w:r>
              <w:rPr>
                <w:sz w:val="19"/>
              </w:rPr>
              <w:t>90%</w:t>
            </w:r>
            <w:r>
              <w:rPr>
                <w:sz w:val="19"/>
              </w:rPr>
              <w:t>支付，得分为“</w:t>
            </w:r>
            <w:r>
              <w:rPr>
                <w:sz w:val="19"/>
              </w:rPr>
              <w:t>80</w:t>
            </w:r>
            <w:r>
              <w:rPr>
                <w:sz w:val="19"/>
              </w:rPr>
              <w:t>分以下的</w:t>
            </w:r>
            <w:r>
              <w:rPr>
                <w:sz w:val="19"/>
              </w:rPr>
              <w:t>(</w:t>
            </w:r>
            <w:r>
              <w:rPr>
                <w:sz w:val="19"/>
              </w:rPr>
              <w:t>不含</w:t>
            </w:r>
            <w:r>
              <w:rPr>
                <w:sz w:val="19"/>
              </w:rPr>
              <w:t xml:space="preserve">80 </w:t>
            </w:r>
            <w:r>
              <w:rPr>
                <w:sz w:val="19"/>
              </w:rPr>
              <w:t>分</w:t>
            </w:r>
            <w:r>
              <w:rPr>
                <w:sz w:val="19"/>
              </w:rPr>
              <w:t>)</w:t>
            </w:r>
            <w:r>
              <w:rPr>
                <w:sz w:val="19"/>
              </w:rPr>
              <w:t xml:space="preserve">”的按 </w:t>
            </w:r>
            <w:r>
              <w:rPr>
                <w:sz w:val="19"/>
              </w:rPr>
              <w:t>75%</w:t>
            </w:r>
            <w:r>
              <w:rPr>
                <w:sz w:val="19"/>
              </w:rPr>
              <w:t>支付。</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付款要求</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w:t>
            </w:r>
            <w:r>
              <w:rPr>
                <w:sz w:val="21"/>
              </w:rPr>
              <w:t>、合同款是由区财政局国库支付中心直接支付给乙方，故所谓“付款”是指甲方向主管部门发出申请付款文件。</w:t>
            </w:r>
          </w:p>
          <w:p>
            <w:pPr>
              <w:pStyle w:val="null3"/>
              <w:jc w:val="left"/>
            </w:pPr>
            <w:r>
              <w:rPr>
                <w:sz w:val="21"/>
              </w:rPr>
              <w:t>2</w:t>
            </w:r>
            <w:r>
              <w:rPr>
                <w:sz w:val="21"/>
              </w:rPr>
              <w:t>、结算方式：转账结算（银行转账）。</w:t>
            </w:r>
          </w:p>
          <w:p>
            <w:pPr>
              <w:pStyle w:val="null3"/>
              <w:jc w:val="left"/>
            </w:pPr>
            <w:r>
              <w:rPr>
                <w:sz w:val="21"/>
              </w:rPr>
              <w:t>3</w:t>
            </w:r>
            <w:r>
              <w:rPr>
                <w:sz w:val="21"/>
              </w:rPr>
              <w:t>、付款方：甲方；收款方：乙方。</w:t>
            </w:r>
          </w:p>
          <w:p>
            <w:pPr>
              <w:pStyle w:val="null3"/>
              <w:jc w:val="left"/>
            </w:pPr>
            <w:r>
              <w:rPr>
                <w:sz w:val="21"/>
              </w:rPr>
              <w:t>4</w:t>
            </w:r>
            <w:r>
              <w:rPr>
                <w:sz w:val="21"/>
              </w:rPr>
              <w:t>、开具发票：乙方收款时必须持有效发票。收款方、出具发票方、合同乙方均必须与</w:t>
            </w:r>
            <w:r>
              <w:rPr>
                <w:sz w:val="21"/>
              </w:rPr>
              <w:t>乙方</w:t>
            </w:r>
            <w:r>
              <w:rPr>
                <w:sz w:val="21"/>
              </w:rPr>
              <w:t>名称一致。开具的发票，必须与双</w:t>
            </w:r>
            <w:r>
              <w:rPr>
                <w:sz w:val="21"/>
              </w:rPr>
              <w:t xml:space="preserve">  </w:t>
            </w:r>
            <w:r>
              <w:rPr>
                <w:sz w:val="21"/>
              </w:rPr>
              <w:t>方签订的合同相关内容一致。</w:t>
            </w:r>
          </w:p>
          <w:p>
            <w:pPr>
              <w:pStyle w:val="null3"/>
              <w:jc w:val="left"/>
            </w:pPr>
            <w:r>
              <w:rPr>
                <w:sz w:val="21"/>
              </w:rPr>
              <w:t>5</w:t>
            </w:r>
            <w:r>
              <w:rPr>
                <w:sz w:val="21"/>
              </w:rPr>
              <w:t>、乙方应理解政府部门付款的相关程序，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1"/>
              </w:rPr>
              <w:t>6</w:t>
            </w:r>
            <w:r>
              <w:rPr>
                <w:sz w:val="21"/>
              </w:rPr>
              <w:t>、付款期间如因特殊情况需调整，由双方协商处理。</w:t>
            </w:r>
          </w:p>
          <w:p>
            <w:pPr>
              <w:pStyle w:val="null3"/>
              <w:jc w:val="left"/>
            </w:pPr>
            <w:r>
              <w:rPr>
                <w:sz w:val="21"/>
              </w:rPr>
              <w:t>7</w:t>
            </w:r>
            <w:r>
              <w:rPr>
                <w:sz w:val="21"/>
                <w:shd w:fill="FFFFFF" w:val="clear"/>
              </w:rPr>
              <w:t>、乙方按约定履行合同并已提供完整、合规的申请材料，甲方签署考核、验收确认书及申办每期付款手续可在</w:t>
            </w:r>
            <w:r>
              <w:rPr>
                <w:sz w:val="21"/>
                <w:shd w:fill="FFFFFF" w:val="clear"/>
              </w:rPr>
              <w:t>15</w:t>
            </w:r>
            <w:r>
              <w:rPr>
                <w:sz w:val="21"/>
                <w:shd w:fill="FFFFFF" w:val="clear"/>
              </w:rPr>
              <w:t>天内完成；甲方“付款”是指甲方向财政部门发出申请文件；甲方完成约定支付时限，不包含财政部门审核支付的时间。</w:t>
            </w:r>
          </w:p>
          <w:p>
            <w:pPr>
              <w:pStyle w:val="null3"/>
              <w:jc w:val="left"/>
            </w:pPr>
            <w:r>
              <w:rPr>
                <w:sz w:val="21"/>
                <w:shd w:fill="FFFFFF" w:val="clear"/>
              </w:rPr>
              <w:t>8</w:t>
            </w:r>
            <w:r>
              <w:rPr>
                <w:sz w:val="21"/>
                <w:shd w:fill="FFFFFF" w:val="clear"/>
              </w:rPr>
              <w:t>、因政府财政部门跨年国库关闸、年底封账，不能按约定时间办理支付进度款，乙方可提前办理申请手续；若因此导致逾期付款，甲方不承担逾期付款违约责任。</w:t>
            </w:r>
          </w:p>
          <w:p>
            <w:pPr>
              <w:pStyle w:val="null3"/>
              <w:jc w:val="left"/>
            </w:pPr>
            <w:r>
              <w:rPr>
                <w:sz w:val="21"/>
                <w:shd w:fill="FFFFFF" w:val="clear"/>
              </w:rPr>
              <w:t>9</w:t>
            </w:r>
            <w:r>
              <w:rPr>
                <w:sz w:val="21"/>
                <w:shd w:fill="FFFFFF" w:val="clear"/>
              </w:rPr>
              <w:t>、本合同实施过程中</w:t>
            </w:r>
            <w:r>
              <w:rPr>
                <w:sz w:val="21"/>
                <w:shd w:fill="FFFFFF" w:val="clear"/>
              </w:rPr>
              <w:t>,</w:t>
            </w:r>
            <w:r>
              <w:rPr>
                <w:sz w:val="21"/>
                <w:shd w:fill="FFFFFF" w:val="clear"/>
              </w:rPr>
              <w:t>所发生的一切税费及不可预见费均由乙方承担。</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人员管理</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rPr>
              <w:t>1.</w:t>
            </w:r>
            <w:r>
              <w:rPr>
                <w:sz w:val="19"/>
              </w:rPr>
              <w:t>乙方</w:t>
            </w:r>
            <w:r>
              <w:rPr>
                <w:sz w:val="19"/>
              </w:rPr>
              <w:t>参与项目人员需符合以下要求：</w:t>
            </w:r>
          </w:p>
          <w:p>
            <w:pPr>
              <w:pStyle w:val="null3"/>
              <w:jc w:val="left"/>
            </w:pPr>
            <w:r>
              <w:rPr>
                <w:sz w:val="19"/>
              </w:rPr>
              <w:t>（</w:t>
            </w:r>
            <w:r>
              <w:rPr>
                <w:sz w:val="19"/>
              </w:rPr>
              <w:t>1</w:t>
            </w:r>
            <w:r>
              <w:rPr>
                <w:sz w:val="19"/>
              </w:rPr>
              <w:t>）具有中华人民共和国国籍。</w:t>
            </w:r>
          </w:p>
          <w:p>
            <w:pPr>
              <w:pStyle w:val="null3"/>
              <w:jc w:val="left"/>
            </w:pPr>
            <w:r>
              <w:rPr>
                <w:sz w:val="19"/>
              </w:rPr>
              <w:t>（</w:t>
            </w:r>
            <w:r>
              <w:rPr>
                <w:sz w:val="19"/>
              </w:rPr>
              <w:t>2</w:t>
            </w:r>
            <w:r>
              <w:rPr>
                <w:sz w:val="19"/>
              </w:rPr>
              <w:t>）无犯罪记录，无不良诚信记录。</w:t>
            </w:r>
          </w:p>
          <w:p>
            <w:pPr>
              <w:pStyle w:val="null3"/>
              <w:jc w:val="left"/>
            </w:pPr>
            <w:r>
              <w:rPr>
                <w:sz w:val="19"/>
              </w:rPr>
              <w:t>（</w:t>
            </w:r>
            <w:r>
              <w:rPr>
                <w:sz w:val="19"/>
              </w:rPr>
              <w:t>3</w:t>
            </w:r>
            <w:r>
              <w:rPr>
                <w:sz w:val="19"/>
              </w:rPr>
              <w:t>）为</w:t>
            </w:r>
            <w:r>
              <w:rPr>
                <w:sz w:val="19"/>
              </w:rPr>
              <w:t>乙方</w:t>
            </w:r>
            <w:r>
              <w:rPr>
                <w:sz w:val="19"/>
              </w:rPr>
              <w:t>可直接调度、管理的人员，具有用人单位证明、工作证，并建立职工名册备查。</w:t>
            </w:r>
          </w:p>
          <w:p>
            <w:pPr>
              <w:pStyle w:val="null3"/>
              <w:jc w:val="left"/>
            </w:pPr>
            <w:r>
              <w:rPr>
                <w:sz w:val="19"/>
              </w:rPr>
              <w:t>（</w:t>
            </w:r>
            <w:r>
              <w:rPr>
                <w:sz w:val="19"/>
              </w:rPr>
              <w:t>4</w:t>
            </w:r>
            <w:r>
              <w:rPr>
                <w:sz w:val="19"/>
              </w:rPr>
              <w:t>）掌握计算机网络、网络保密安全及建设运维业务相关专业知识，具备从事公安机关信息系统建设运维的专业能力和保密意识、保密常识。</w:t>
            </w:r>
          </w:p>
          <w:p>
            <w:pPr>
              <w:pStyle w:val="null3"/>
              <w:jc w:val="left"/>
            </w:pPr>
            <w:r>
              <w:rPr>
                <w:sz w:val="19"/>
              </w:rPr>
              <w:t>2.</w:t>
            </w:r>
            <w:r>
              <w:rPr>
                <w:sz w:val="19"/>
              </w:rPr>
              <w:t>人员管理要求</w:t>
            </w:r>
          </w:p>
          <w:p>
            <w:pPr>
              <w:pStyle w:val="null3"/>
              <w:jc w:val="left"/>
            </w:pPr>
            <w:r>
              <w:rPr>
                <w:sz w:val="19"/>
              </w:rPr>
              <w:t>（</w:t>
            </w:r>
            <w:r>
              <w:rPr>
                <w:sz w:val="19"/>
              </w:rPr>
              <w:t>1</w:t>
            </w:r>
            <w:r>
              <w:rPr>
                <w:sz w:val="19"/>
              </w:rPr>
              <w:t>）</w:t>
            </w:r>
            <w:r>
              <w:rPr>
                <w:sz w:val="19"/>
              </w:rPr>
              <w:t>乙方</w:t>
            </w:r>
            <w:r>
              <w:rPr>
                <w:sz w:val="19"/>
              </w:rPr>
              <w:t>应按投标文件内容，在签订合同时提供项目组的人员名单等作为合同的附件。</w:t>
            </w:r>
          </w:p>
          <w:p>
            <w:pPr>
              <w:pStyle w:val="null3"/>
              <w:jc w:val="left"/>
            </w:pPr>
            <w:r>
              <w:rPr>
                <w:sz w:val="19"/>
              </w:rPr>
              <w:t>（</w:t>
            </w:r>
            <w:r>
              <w:rPr>
                <w:sz w:val="19"/>
              </w:rPr>
              <w:t>2</w:t>
            </w:r>
            <w:r>
              <w:rPr>
                <w:sz w:val="19"/>
              </w:rPr>
              <w:t>）在合同生效以后，对</w:t>
            </w:r>
            <w:r>
              <w:rPr>
                <w:sz w:val="19"/>
              </w:rPr>
              <w:t>甲方</w:t>
            </w:r>
            <w:r>
              <w:rPr>
                <w:sz w:val="19"/>
              </w:rPr>
              <w:t>认为其能力与本项目所要求的能力不相称而提出更换的项目经理或者技术支持人员，</w:t>
            </w:r>
            <w:r>
              <w:rPr>
                <w:sz w:val="19"/>
              </w:rPr>
              <w:t>乙方</w:t>
            </w:r>
            <w:r>
              <w:rPr>
                <w:sz w:val="19"/>
              </w:rPr>
              <w:t>应予以更换。</w:t>
            </w:r>
          </w:p>
          <w:p>
            <w:pPr>
              <w:pStyle w:val="null3"/>
              <w:jc w:val="left"/>
            </w:pPr>
            <w:r>
              <w:rPr>
                <w:sz w:val="19"/>
              </w:rPr>
              <w:t>（</w:t>
            </w:r>
            <w:r>
              <w:rPr>
                <w:sz w:val="19"/>
              </w:rPr>
              <w:t>3</w:t>
            </w:r>
            <w:r>
              <w:rPr>
                <w:sz w:val="19"/>
              </w:rPr>
              <w:t>）</w:t>
            </w:r>
            <w:r>
              <w:rPr>
                <w:sz w:val="19"/>
              </w:rPr>
              <w:t>乙方</w:t>
            </w:r>
            <w:r>
              <w:rPr>
                <w:sz w:val="19"/>
              </w:rPr>
              <w:t>对其雇员的人身安全负全部责任。</w:t>
            </w:r>
          </w:p>
          <w:p>
            <w:pPr>
              <w:pStyle w:val="null3"/>
              <w:jc w:val="left"/>
            </w:pPr>
            <w:r>
              <w:rPr>
                <w:sz w:val="19"/>
              </w:rPr>
              <w:t>（</w:t>
            </w:r>
            <w:r>
              <w:rPr>
                <w:sz w:val="19"/>
              </w:rPr>
              <w:t>4</w:t>
            </w:r>
            <w:r>
              <w:rPr>
                <w:sz w:val="19"/>
              </w:rPr>
              <w:t>）</w:t>
            </w:r>
            <w:r>
              <w:rPr>
                <w:sz w:val="19"/>
              </w:rPr>
              <w:t>甲方</w:t>
            </w:r>
            <w:r>
              <w:rPr>
                <w:sz w:val="19"/>
              </w:rPr>
              <w:t>有权督促</w:t>
            </w:r>
            <w:r>
              <w:rPr>
                <w:sz w:val="19"/>
              </w:rPr>
              <w:t>乙方</w:t>
            </w:r>
            <w:r>
              <w:rPr>
                <w:sz w:val="19"/>
              </w:rPr>
              <w:t>保持运维人员稳定，在服务期限内一般不更换运维人员。确因特殊原因需要更换的，应当经</w:t>
            </w:r>
            <w:r>
              <w:rPr>
                <w:sz w:val="19"/>
              </w:rPr>
              <w:t>甲方</w:t>
            </w:r>
            <w:r>
              <w:rPr>
                <w:sz w:val="19"/>
              </w:rPr>
              <w:t>同意，并按照有关规定办理。运维人员服务期满或者中途离岗的，</w:t>
            </w:r>
            <w:r>
              <w:rPr>
                <w:sz w:val="19"/>
              </w:rPr>
              <w:t>乙方</w:t>
            </w:r>
            <w:r>
              <w:rPr>
                <w:sz w:val="19"/>
              </w:rPr>
              <w:t>须配合</w:t>
            </w:r>
            <w:r>
              <w:rPr>
                <w:sz w:val="19"/>
              </w:rPr>
              <w:t>甲方</w:t>
            </w:r>
            <w:r>
              <w:rPr>
                <w:sz w:val="19"/>
              </w:rPr>
              <w:t>完成以下工作</w:t>
            </w:r>
            <w:r>
              <w:rPr>
                <w:sz w:val="19"/>
              </w:rPr>
              <w:t xml:space="preserve">: </w:t>
            </w:r>
            <w:r>
              <w:rPr>
                <w:sz w:val="19"/>
              </w:rPr>
              <w:t>①组织清退出入证件，撤销相关区域出入权限。 ②组织移交公安机关信息系统建设运维相关信息设备、档案及文件资料、存储介质、建设运维工具等。 ③注销其信息系统账号，取消访问授权。 ④进行保密提醒谈话，组织签订离岗保密承诺书。</w:t>
            </w:r>
          </w:p>
          <w:p>
            <w:pPr>
              <w:pStyle w:val="null3"/>
              <w:jc w:val="both"/>
            </w:pPr>
            <w:r>
              <w:rPr>
                <w:sz w:val="19"/>
              </w:rPr>
              <w:t>（</w:t>
            </w:r>
            <w:r>
              <w:rPr>
                <w:sz w:val="19"/>
              </w:rPr>
              <w:t>5</w:t>
            </w:r>
            <w:r>
              <w:rPr>
                <w:sz w:val="19"/>
              </w:rPr>
              <w:t>）</w:t>
            </w:r>
            <w:r>
              <w:rPr>
                <w:sz w:val="19"/>
              </w:rPr>
              <w:t>甲方</w:t>
            </w:r>
            <w:r>
              <w:rPr>
                <w:sz w:val="19"/>
              </w:rPr>
              <w:t>有权督促</w:t>
            </w:r>
            <w:r>
              <w:rPr>
                <w:sz w:val="19"/>
              </w:rPr>
              <w:t>乙方</w:t>
            </w:r>
            <w:r>
              <w:rPr>
                <w:sz w:val="19"/>
              </w:rPr>
              <w:t>及其人员落实重大事件报告制度。有下列情形之一的</w:t>
            </w:r>
            <w:r>
              <w:rPr>
                <w:sz w:val="19"/>
              </w:rPr>
              <w:t>,</w:t>
            </w:r>
            <w:r>
              <w:rPr>
                <w:sz w:val="19"/>
              </w:rPr>
              <w:t>乙方</w:t>
            </w:r>
            <w:r>
              <w:rPr>
                <w:sz w:val="19"/>
              </w:rPr>
              <w:t>应当立即采取补救措施</w:t>
            </w:r>
            <w:r>
              <w:rPr>
                <w:sz w:val="19"/>
              </w:rPr>
              <w:t>,</w:t>
            </w:r>
            <w:r>
              <w:rPr>
                <w:sz w:val="19"/>
              </w:rPr>
              <w:t>并及时向</w:t>
            </w:r>
            <w:r>
              <w:rPr>
                <w:sz w:val="19"/>
              </w:rPr>
              <w:t>甲方</w:t>
            </w:r>
            <w:r>
              <w:rPr>
                <w:sz w:val="19"/>
              </w:rPr>
              <w:t>报告：</w:t>
            </w:r>
            <w:r>
              <w:rPr>
                <w:sz w:val="19"/>
              </w:rPr>
              <w:t>①发生失泄密情况或者重大风险隐患。 ②运维人员遭遇策反或者利诱、胁迫提供国家或者警务工作秘密。 ③其他可能危害国家秘密和警务工作秘密安全的情形。</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rPr>
              <w:t>平滑过渡要求</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rPr>
              <w:t>本项目服务保障属于延续性、非新增、不能间断的运行维护服务，</w:t>
            </w:r>
            <w:r>
              <w:rPr>
                <w:sz w:val="19"/>
              </w:rPr>
              <w:t>乙方</w:t>
            </w:r>
            <w:r>
              <w:rPr>
                <w:sz w:val="19"/>
              </w:rPr>
              <w:t>应结合实际情况，充分考虑到项目服务的不可中断性，为</w:t>
            </w:r>
            <w:r>
              <w:rPr>
                <w:sz w:val="19"/>
              </w:rPr>
              <w:t>甲方</w:t>
            </w:r>
            <w:r>
              <w:rPr>
                <w:sz w:val="19"/>
              </w:rPr>
              <w:t>提供稳定有效的保障措施。</w:t>
            </w:r>
            <w:r>
              <w:rPr>
                <w:sz w:val="19"/>
              </w:rPr>
              <w:t>乙方</w:t>
            </w:r>
            <w:r>
              <w:rPr>
                <w:sz w:val="19"/>
              </w:rPr>
              <w:t>需保证在项目进场和退场时配合</w:t>
            </w:r>
            <w:r>
              <w:rPr>
                <w:sz w:val="19"/>
              </w:rPr>
              <w:t>甲方</w:t>
            </w:r>
            <w:r>
              <w:rPr>
                <w:sz w:val="19"/>
              </w:rPr>
              <w:t>做好服务交接，确保服务平稳过渡，无缝连接，保障所有运维服务不间断稳定运行。合同签订后在</w:t>
            </w:r>
            <w:r>
              <w:rPr>
                <w:sz w:val="19"/>
              </w:rPr>
              <w:t>15</w:t>
            </w:r>
            <w:r>
              <w:rPr>
                <w:sz w:val="19"/>
              </w:rPr>
              <w:t>日内完成交接。（须提供承诺函并加盖</w:t>
            </w:r>
            <w:r>
              <w:rPr>
                <w:sz w:val="19"/>
              </w:rPr>
              <w:t>乙方</w:t>
            </w:r>
            <w:r>
              <w:rPr>
                <w:sz w:val="19"/>
              </w:rPr>
              <w:t>公章，承诺函格式自拟）</w:t>
            </w:r>
          </w:p>
        </w:tc>
      </w:tr>
      <w:tr>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1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rPr>
              <w:t>信息安全工作要求</w:t>
            </w:r>
          </w:p>
        </w:tc>
        <w:tc>
          <w:tcPr>
            <w:tcW w:type="dxa" w:w="6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rPr>
              <w:t>乙方</w:t>
            </w:r>
            <w:r>
              <w:rPr>
                <w:sz w:val="19"/>
              </w:rPr>
              <w:t>应符合以下要求：</w:t>
            </w:r>
          </w:p>
          <w:p>
            <w:pPr>
              <w:pStyle w:val="null3"/>
              <w:jc w:val="left"/>
            </w:pPr>
            <w:r>
              <w:rPr>
                <w:sz w:val="19"/>
              </w:rPr>
              <w:t>（</w:t>
            </w:r>
            <w:r>
              <w:rPr>
                <w:sz w:val="19"/>
              </w:rPr>
              <w:t>1</w:t>
            </w:r>
            <w:r>
              <w:rPr>
                <w:sz w:val="19"/>
              </w:rPr>
              <w:t>）有固定的办公及营业地点。</w:t>
            </w:r>
          </w:p>
          <w:p>
            <w:pPr>
              <w:pStyle w:val="null3"/>
              <w:jc w:val="left"/>
            </w:pPr>
            <w:r>
              <w:rPr>
                <w:sz w:val="19"/>
              </w:rPr>
              <w:t>（</w:t>
            </w:r>
            <w:r>
              <w:rPr>
                <w:sz w:val="19"/>
              </w:rPr>
              <w:t>2</w:t>
            </w:r>
            <w:r>
              <w:rPr>
                <w:sz w:val="19"/>
              </w:rPr>
              <w:t>）具备承担信息安全服务项目所需的安全工具。</w:t>
            </w:r>
          </w:p>
          <w:p>
            <w:pPr>
              <w:pStyle w:val="null3"/>
              <w:jc w:val="left"/>
            </w:pPr>
            <w:r>
              <w:rPr>
                <w:sz w:val="19"/>
              </w:rPr>
              <w:t>（</w:t>
            </w:r>
            <w:r>
              <w:rPr>
                <w:sz w:val="19"/>
              </w:rPr>
              <w:t>3</w:t>
            </w:r>
            <w:r>
              <w:rPr>
                <w:sz w:val="19"/>
              </w:rPr>
              <w:t>）</w:t>
            </w:r>
            <w:r>
              <w:rPr>
                <w:sz w:val="19"/>
              </w:rPr>
              <w:t>具备独立解决大部分运维过程中，设备和系统所产生故障的能力。</w:t>
            </w:r>
          </w:p>
        </w:tc>
      </w:tr>
    </w:tbl>
    <w:p>
      <w:pPr>
        <w:pStyle w:val="null3"/>
        <w:ind w:firstLine="480"/>
        <w:jc w:val="both"/>
      </w:pPr>
      <w:r>
        <w:rPr>
          <w:sz w:val="24"/>
          <w:b/>
        </w:rPr>
        <w:t>四、服务对照执行标准：</w:t>
      </w:r>
    </w:p>
    <w:p>
      <w:pPr>
        <w:pStyle w:val="null3"/>
        <w:ind w:firstLine="480"/>
        <w:jc w:val="both"/>
      </w:pPr>
      <w:r>
        <w:rPr>
          <w:sz w:val="24"/>
        </w:rPr>
        <w:t>1.</w:t>
      </w:r>
      <w:r>
        <w:rPr>
          <w:sz w:val="24"/>
        </w:rPr>
        <w:t>符合中华人民共和国国家和履约地相关安全质量标准、行业技术规范标准；</w:t>
      </w:r>
    </w:p>
    <w:p>
      <w:pPr>
        <w:pStyle w:val="null3"/>
        <w:ind w:firstLine="480"/>
        <w:jc w:val="both"/>
      </w:pPr>
      <w:r>
        <w:rPr>
          <w:sz w:val="24"/>
        </w:rPr>
        <w:t>2.</w:t>
      </w:r>
      <w:r>
        <w:rPr>
          <w:sz w:val="24"/>
        </w:rPr>
        <w:t>符合采购文件和响应承诺中各方共同认可的合理要求；</w:t>
      </w:r>
    </w:p>
    <w:p>
      <w:pPr>
        <w:pStyle w:val="null3"/>
        <w:ind w:firstLine="480"/>
        <w:jc w:val="both"/>
      </w:pPr>
      <w:r>
        <w:rPr>
          <w:sz w:val="24"/>
        </w:rPr>
        <w:t>上述各类标准与法规必须是有关官方机构最新发布的现行标准版本。</w:t>
      </w:r>
    </w:p>
    <w:p>
      <w:pPr>
        <w:pStyle w:val="null3"/>
        <w:ind w:firstLine="480"/>
        <w:jc w:val="both"/>
      </w:pPr>
      <w:r>
        <w:rPr>
          <w:sz w:val="24"/>
          <w:b/>
        </w:rPr>
        <w:t>五、投诉跟踪服务要求：</w:t>
      </w:r>
    </w:p>
    <w:p>
      <w:pPr>
        <w:pStyle w:val="null3"/>
        <w:ind w:firstLine="480"/>
        <w:jc w:val="both"/>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rPr>
        <w:t>2.</w:t>
      </w:r>
      <w:r>
        <w:rPr>
          <w:sz w:val="24"/>
        </w:rPr>
        <w:t>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rPr>
        <w:t>3.</w:t>
      </w:r>
      <w:r>
        <w:rPr>
          <w:sz w:val="24"/>
        </w:rPr>
        <w:t>乙方服务机构名称及地址：</w:t>
      </w:r>
      <w:r>
        <w:rPr/>
        <w:t xml:space="preserve"> </w:t>
      </w:r>
    </w:p>
    <w:p>
      <w:pPr>
        <w:pStyle w:val="null3"/>
        <w:ind w:firstLine="480"/>
        <w:jc w:val="both"/>
      </w:pPr>
      <w:r>
        <w:rPr>
          <w:sz w:val="24"/>
        </w:rPr>
        <w:t>联系人</w:t>
      </w:r>
      <w:r>
        <w:rPr>
          <w:sz w:val="24"/>
        </w:rPr>
        <w:t>1</w:t>
      </w:r>
      <w:r>
        <w:rPr>
          <w:sz w:val="24"/>
        </w:rPr>
        <w:t>：          ，联系电话：            ，手机：          ；</w:t>
      </w:r>
    </w:p>
    <w:p>
      <w:pPr>
        <w:pStyle w:val="null3"/>
        <w:ind w:firstLine="480"/>
        <w:jc w:val="both"/>
      </w:pPr>
      <w:r>
        <w:rPr>
          <w:sz w:val="24"/>
        </w:rPr>
        <w:t>联系人</w:t>
      </w:r>
      <w:r>
        <w:rPr>
          <w:sz w:val="24"/>
        </w:rPr>
        <w:t>2</w:t>
      </w:r>
      <w:r>
        <w:rPr>
          <w:sz w:val="24"/>
        </w:rPr>
        <w:t>：          ，联系电话：            ，手机：          ；</w:t>
      </w:r>
    </w:p>
    <w:p>
      <w:pPr>
        <w:pStyle w:val="null3"/>
        <w:ind w:firstLine="480"/>
        <w:jc w:val="both"/>
      </w:pPr>
      <w:r>
        <w:rPr>
          <w:sz w:val="24"/>
        </w:rPr>
        <w:t>服务专线电话：</w:t>
      </w:r>
    </w:p>
    <w:p>
      <w:pPr>
        <w:pStyle w:val="null3"/>
        <w:ind w:firstLine="480"/>
        <w:jc w:val="both"/>
      </w:pPr>
      <w:r>
        <w:rPr>
          <w:sz w:val="24"/>
        </w:rPr>
        <w:t>4.</w:t>
      </w:r>
      <w:r>
        <w:rPr>
          <w:sz w:val="24"/>
        </w:rPr>
        <w:t>其他服务要求：（补充内容不得对采购文件和投标</w:t>
      </w:r>
      <w:r>
        <w:rPr>
          <w:sz w:val="24"/>
        </w:rPr>
        <w:t>/</w:t>
      </w:r>
      <w:r>
        <w:rPr>
          <w:sz w:val="24"/>
        </w:rPr>
        <w:t>响应文件作实质性修改）</w:t>
      </w:r>
    </w:p>
    <w:p>
      <w:pPr>
        <w:pStyle w:val="null3"/>
        <w:ind w:firstLine="480"/>
        <w:jc w:val="both"/>
      </w:pPr>
      <w:r>
        <w:rPr>
          <w:u w:val="single"/>
        </w:rPr>
        <w:t xml:space="preserve">                                                          </w:t>
      </w:r>
      <w:r>
        <w:rPr>
          <w:sz w:val="24"/>
        </w:rPr>
        <w:t>。</w:t>
      </w:r>
    </w:p>
    <w:p>
      <w:pPr>
        <w:pStyle w:val="null3"/>
        <w:ind w:firstLine="480"/>
        <w:jc w:val="both"/>
      </w:pPr>
      <w:r>
        <w:rPr>
          <w:sz w:val="24"/>
          <w:b/>
        </w:rPr>
        <w:t>六、验收要求：</w:t>
      </w:r>
    </w:p>
    <w:p>
      <w:pPr>
        <w:pStyle w:val="null3"/>
        <w:ind w:firstLine="480"/>
        <w:jc w:val="both"/>
      </w:pPr>
      <w:r>
        <w:rPr>
          <w:sz w:val="24"/>
        </w:rPr>
        <w:t>1.</w:t>
      </w:r>
      <w:r>
        <w:rPr>
          <w:sz w:val="24"/>
        </w:rPr>
        <w:t>甲方在收到乙方项目验收建议之日起</w:t>
      </w:r>
      <w:r>
        <w:rPr>
          <w:sz w:val="24"/>
        </w:rPr>
        <w:t>7</w:t>
      </w:r>
      <w:r>
        <w:rPr>
          <w:sz w:val="24"/>
        </w:rPr>
        <w:t>个工作日内按照合同的约定对履约情况进行验收。乙方需为验收提供必需的一切条件及相关费用，并提供本项目的相关文档和验收所需资料，积极配合甲方完成验收工作。</w:t>
      </w:r>
    </w:p>
    <w:p>
      <w:pPr>
        <w:pStyle w:val="null3"/>
        <w:ind w:firstLine="480"/>
        <w:jc w:val="both"/>
      </w:pPr>
      <w:r>
        <w:rPr>
          <w:sz w:val="24"/>
        </w:rPr>
        <w:t>2.</w:t>
      </w:r>
      <w:r>
        <w:rPr>
          <w:sz w:val="24"/>
        </w:rPr>
        <w:t>其他验收要求：（</w:t>
      </w:r>
      <w:r>
        <w:rPr>
          <w:sz w:val="24"/>
        </w:rPr>
        <w:t>1</w:t>
      </w:r>
      <w:r>
        <w:rPr>
          <w:sz w:val="24"/>
        </w:rPr>
        <w:t>）项目须经佛山市禅城区政务服务数据管理局验收通过；（</w:t>
      </w:r>
      <w:r>
        <w:rPr>
          <w:sz w:val="24"/>
        </w:rPr>
        <w:t>2</w:t>
      </w:r>
      <w:r>
        <w:rPr>
          <w:sz w:val="24"/>
        </w:rPr>
        <w:t>）以甲方的名义作为终端客户，负责办理所有产品设备</w:t>
      </w:r>
      <w:r>
        <w:rPr>
          <w:sz w:val="24"/>
        </w:rPr>
        <w:t>(</w:t>
      </w:r>
      <w:r>
        <w:rPr>
          <w:sz w:val="24"/>
        </w:rPr>
        <w:t>包括保修卡</w:t>
      </w:r>
      <w:r>
        <w:rPr>
          <w:sz w:val="24"/>
        </w:rPr>
        <w:t>)</w:t>
      </w:r>
      <w:r>
        <w:rPr>
          <w:sz w:val="24"/>
        </w:rPr>
        <w:t>的一切保修注册备案手续。（</w:t>
      </w:r>
      <w:r>
        <w:rPr>
          <w:sz w:val="24"/>
        </w:rPr>
        <w:t>3</w:t>
      </w:r>
      <w:r>
        <w:rPr>
          <w:sz w:val="24"/>
        </w:rPr>
        <w:t>）在设备安装调试完毕后</w:t>
      </w:r>
      <w:r>
        <w:rPr>
          <w:sz w:val="24"/>
        </w:rPr>
        <w:t xml:space="preserve">5 </w:t>
      </w:r>
      <w:r>
        <w:rPr>
          <w:sz w:val="24"/>
        </w:rPr>
        <w:t>天内由乙方、甲方或法定专业质检部门共同验收并出具验收确认书，验收交付前的保管安全责任由乙方承担，甲方为此可无偿提供必要的临时仓储场所。</w:t>
      </w:r>
    </w:p>
    <w:p>
      <w:pPr>
        <w:pStyle w:val="null3"/>
        <w:ind w:firstLine="480"/>
        <w:jc w:val="both"/>
      </w:pPr>
      <w:r>
        <w:rPr>
          <w:sz w:val="24"/>
          <w:b/>
        </w:rPr>
        <w:t>七、知识产权和保密要求：</w:t>
      </w:r>
    </w:p>
    <w:p>
      <w:pPr>
        <w:pStyle w:val="null3"/>
        <w:ind w:firstLine="480"/>
        <w:jc w:val="both"/>
      </w:pPr>
      <w:r>
        <w:rPr>
          <w:sz w:val="24"/>
        </w:rPr>
        <w:t>1.</w:t>
      </w:r>
      <w:r>
        <w:rPr>
          <w:sz w:val="24"/>
        </w:rPr>
        <w:t>乙方</w:t>
      </w:r>
      <w:r>
        <w:rPr>
          <w:sz w:val="24"/>
        </w:rPr>
        <w:t>需如约承担合同履行时所应该尽的一切保密义务。</w:t>
      </w:r>
      <w:r>
        <w:rPr>
          <w:sz w:val="24"/>
        </w:rPr>
        <w:t>乙方</w:t>
      </w:r>
      <w:r>
        <w:rPr>
          <w:sz w:val="24"/>
        </w:rPr>
        <w:t>对项目实施过程中的资料、数据进行保密，未经</w:t>
      </w:r>
      <w:r>
        <w:rPr>
          <w:sz w:val="24"/>
        </w:rPr>
        <w:t>甲方</w:t>
      </w:r>
      <w:r>
        <w:rPr>
          <w:sz w:val="24"/>
        </w:rPr>
        <w:t>书面同意不得泄露，且保密责任不因合同的中止或解除而失效。</w:t>
      </w:r>
    </w:p>
    <w:p>
      <w:pPr>
        <w:pStyle w:val="null3"/>
        <w:ind w:firstLine="480"/>
        <w:jc w:val="both"/>
      </w:pPr>
      <w:r>
        <w:rPr>
          <w:sz w:val="24"/>
        </w:rPr>
        <w:t>2.</w:t>
      </w:r>
      <w:r>
        <w:rPr>
          <w:sz w:val="24"/>
        </w:rPr>
        <w:t>乙方</w:t>
      </w:r>
      <w:r>
        <w:rPr>
          <w:sz w:val="24"/>
        </w:rPr>
        <w:t>需与</w:t>
      </w:r>
      <w:r>
        <w:rPr>
          <w:sz w:val="24"/>
        </w:rPr>
        <w:t>甲方</w:t>
      </w:r>
      <w:r>
        <w:rPr>
          <w:sz w:val="24"/>
        </w:rPr>
        <w:t>签订保密协议，配合</w:t>
      </w:r>
      <w:r>
        <w:rPr>
          <w:sz w:val="24"/>
        </w:rPr>
        <w:t>甲方</w:t>
      </w:r>
      <w:r>
        <w:rPr>
          <w:sz w:val="24"/>
        </w:rPr>
        <w:t>定期对其单位评估落实保密安全要求的工作，必要时配合</w:t>
      </w:r>
      <w:r>
        <w:rPr>
          <w:sz w:val="24"/>
        </w:rPr>
        <w:t>甲方</w:t>
      </w:r>
      <w:r>
        <w:rPr>
          <w:sz w:val="24"/>
        </w:rPr>
        <w:t>开展保密安全实地检查，发现问题的，需按照</w:t>
      </w:r>
      <w:r>
        <w:rPr>
          <w:sz w:val="24"/>
        </w:rPr>
        <w:t>甲方</w:t>
      </w:r>
      <w:r>
        <w:rPr>
          <w:sz w:val="24"/>
        </w:rPr>
        <w:t>的整改意见立即整改。</w:t>
      </w:r>
    </w:p>
    <w:p>
      <w:pPr>
        <w:pStyle w:val="null3"/>
        <w:ind w:firstLine="480"/>
        <w:jc w:val="both"/>
      </w:pPr>
      <w:r>
        <w:rPr>
          <w:sz w:val="24"/>
        </w:rPr>
        <w:t>3.</w:t>
      </w:r>
      <w:r>
        <w:rPr>
          <w:sz w:val="24"/>
        </w:rPr>
        <w:t>乙方</w:t>
      </w:r>
      <w:r>
        <w:rPr>
          <w:sz w:val="24"/>
        </w:rPr>
        <w:t>应对运维人员进行岗位保密审查，组织开展保密教育培训，组织签订保密承诺书，集中登记保管其出国（境）证件，并接受</w:t>
      </w:r>
      <w:r>
        <w:rPr>
          <w:sz w:val="24"/>
        </w:rPr>
        <w:t>甲方</w:t>
      </w:r>
      <w:r>
        <w:rPr>
          <w:sz w:val="24"/>
        </w:rPr>
        <w:t>监督，相关记录材料向</w:t>
      </w:r>
      <w:r>
        <w:rPr>
          <w:sz w:val="24"/>
        </w:rPr>
        <w:t>甲方</w:t>
      </w:r>
      <w:r>
        <w:rPr>
          <w:sz w:val="24"/>
        </w:rPr>
        <w:t>备案。</w:t>
      </w:r>
    </w:p>
    <w:p>
      <w:pPr>
        <w:pStyle w:val="null3"/>
        <w:ind w:firstLine="480"/>
        <w:jc w:val="both"/>
      </w:pPr>
      <w:r>
        <w:rPr>
          <w:sz w:val="24"/>
        </w:rPr>
        <w:t>4.</w:t>
      </w:r>
      <w:r>
        <w:rPr>
          <w:sz w:val="24"/>
        </w:rPr>
        <w:t>甲方</w:t>
      </w:r>
      <w:r>
        <w:rPr>
          <w:sz w:val="24"/>
        </w:rPr>
        <w:t>有权督促</w:t>
      </w:r>
      <w:r>
        <w:rPr>
          <w:sz w:val="24"/>
        </w:rPr>
        <w:t>乙方</w:t>
      </w:r>
      <w:r>
        <w:rPr>
          <w:sz w:val="24"/>
        </w:rPr>
        <w:t>加强运维人员出国（境）管理。运维人员需要出国（境）的，由本人向</w:t>
      </w:r>
      <w:r>
        <w:rPr>
          <w:sz w:val="24"/>
        </w:rPr>
        <w:t>乙方</w:t>
      </w:r>
      <w:r>
        <w:rPr>
          <w:sz w:val="24"/>
        </w:rPr>
        <w:t>提出申请，经询问</w:t>
      </w:r>
      <w:r>
        <w:rPr>
          <w:sz w:val="24"/>
        </w:rPr>
        <w:t>甲方</w:t>
      </w:r>
      <w:r>
        <w:rPr>
          <w:sz w:val="24"/>
        </w:rPr>
        <w:t>意见后方可批准，对同意出国（境）的人员要进行保密安全谈话，并签订出国（境）期间的保密安全责任书，有关文字材料要向</w:t>
      </w:r>
      <w:r>
        <w:rPr>
          <w:sz w:val="24"/>
        </w:rPr>
        <w:t>甲方</w:t>
      </w:r>
      <w:r>
        <w:rPr>
          <w:sz w:val="24"/>
        </w:rPr>
        <w:t>进行备案。</w:t>
      </w:r>
      <w:r>
        <w:rPr>
          <w:sz w:val="24"/>
        </w:rPr>
        <w:t>保密</w:t>
      </w:r>
      <w:r>
        <w:rPr>
          <w:sz w:val="24"/>
        </w:rPr>
        <w:t>人员出国（境）审批和管理按照《涉密人员保密管理办法》等相关规定执行。</w:t>
      </w:r>
    </w:p>
    <w:p>
      <w:pPr>
        <w:pStyle w:val="null3"/>
        <w:ind w:firstLine="480"/>
        <w:jc w:val="both"/>
      </w:pPr>
      <w:r>
        <w:rPr>
          <w:sz w:val="24"/>
        </w:rPr>
        <w:t>5.</w:t>
      </w:r>
      <w:r>
        <w:rPr>
          <w:sz w:val="24"/>
        </w:rPr>
        <w:t>乙方</w:t>
      </w:r>
      <w:r>
        <w:rPr>
          <w:sz w:val="24"/>
        </w:rPr>
        <w:t>需按照</w:t>
      </w:r>
      <w:r>
        <w:rPr>
          <w:sz w:val="24"/>
        </w:rPr>
        <w:t>甲方</w:t>
      </w:r>
      <w:r>
        <w:rPr>
          <w:sz w:val="24"/>
        </w:rPr>
        <w:t>要求，对运维人员开展经常性的保密安全检查和提醒谈话，定期对</w:t>
      </w:r>
      <w:r>
        <w:rPr>
          <w:sz w:val="24"/>
        </w:rPr>
        <w:t>保密</w:t>
      </w:r>
      <w:r>
        <w:rPr>
          <w:sz w:val="24"/>
        </w:rPr>
        <w:t>人员开展保密教育培训，保密审查，同时加强自身对运维人员的保密安全管理，及时掌握其现实表现和思想动态，并向</w:t>
      </w:r>
      <w:r>
        <w:rPr>
          <w:sz w:val="24"/>
        </w:rPr>
        <w:t>甲方</w:t>
      </w:r>
      <w:r>
        <w:rPr>
          <w:sz w:val="24"/>
        </w:rPr>
        <w:t>定期汇报执行情况。</w:t>
      </w:r>
    </w:p>
    <w:p>
      <w:pPr>
        <w:pStyle w:val="null3"/>
        <w:ind w:firstLine="480"/>
        <w:jc w:val="both"/>
      </w:pPr>
      <w:r>
        <w:rPr>
          <w:sz w:val="24"/>
        </w:rPr>
        <w:t>6.</w:t>
      </w:r>
      <w:r>
        <w:rPr>
          <w:sz w:val="24"/>
        </w:rPr>
        <w:t>甲方</w:t>
      </w:r>
      <w:r>
        <w:rPr>
          <w:sz w:val="24"/>
        </w:rPr>
        <w:t>有权对</w:t>
      </w:r>
      <w:r>
        <w:rPr>
          <w:sz w:val="24"/>
        </w:rPr>
        <w:t>乙方</w:t>
      </w:r>
      <w:r>
        <w:rPr>
          <w:sz w:val="24"/>
        </w:rPr>
        <w:t>的保密条件进行严格审查，确保其能够进行有效的保密安全管理，</w:t>
      </w:r>
      <w:r>
        <w:rPr>
          <w:sz w:val="24"/>
        </w:rPr>
        <w:t>乙方</w:t>
      </w:r>
      <w:r>
        <w:rPr>
          <w:sz w:val="24"/>
        </w:rPr>
        <w:t>应积极配合。</w:t>
      </w:r>
    </w:p>
    <w:p>
      <w:pPr>
        <w:pStyle w:val="null3"/>
        <w:ind w:firstLine="480"/>
        <w:jc w:val="both"/>
      </w:pPr>
      <w:r>
        <w:rPr>
          <w:sz w:val="24"/>
          <w:b/>
        </w:rPr>
        <w:t>八、违约责任：</w:t>
      </w:r>
    </w:p>
    <w:p>
      <w:pPr>
        <w:pStyle w:val="null3"/>
        <w:ind w:firstLine="480"/>
        <w:jc w:val="both"/>
      </w:pPr>
      <w:r>
        <w:rPr>
          <w:sz w:val="24"/>
        </w:rPr>
        <w:t>1.</w:t>
      </w:r>
      <w:r>
        <w:rPr>
          <w:sz w:val="24"/>
        </w:rPr>
        <w:t>乙方未按要求履行合同义务时，须从违约之日起每日按合同总额的</w:t>
      </w:r>
      <w:r>
        <w:rPr>
          <w:sz w:val="24"/>
        </w:rPr>
        <w:t>___</w:t>
      </w:r>
      <w:r>
        <w:rPr>
          <w:sz w:val="24"/>
        </w:rPr>
        <w:t>向甲方支付违约金；违约</w:t>
      </w:r>
      <w:r>
        <w:rPr>
          <w:sz w:val="24"/>
        </w:rPr>
        <w:t>___</w:t>
      </w:r>
      <w:r>
        <w:rPr>
          <w:sz w:val="24"/>
        </w:rPr>
        <w:t>日以上时，甲方有权解除合同，由此造成甲方的经济损失由乙方承担。违约金不足以弥补损失的，乙方应按全额赔偿。</w:t>
      </w:r>
    </w:p>
    <w:p>
      <w:pPr>
        <w:pStyle w:val="null3"/>
        <w:ind w:firstLine="480"/>
        <w:jc w:val="both"/>
      </w:pPr>
      <w:r>
        <w:rPr>
          <w:sz w:val="24"/>
        </w:rPr>
        <w:t>2.</w:t>
      </w:r>
      <w:r>
        <w:rPr>
          <w:sz w:val="24"/>
        </w:rPr>
        <w:t>甲方未按要求履行合同义务时，或无故拖延验收、付款时，甲方须向乙方支付滞纳金，标准为每日按逾期应付款总额的</w:t>
      </w:r>
      <w:r>
        <w:rPr>
          <w:sz w:val="24"/>
        </w:rPr>
        <w:t>___</w:t>
      </w:r>
      <w:r>
        <w:rPr>
          <w:sz w:val="24"/>
        </w:rPr>
        <w:t>累计。</w:t>
      </w:r>
    </w:p>
    <w:p>
      <w:pPr>
        <w:pStyle w:val="null3"/>
        <w:ind w:firstLine="480"/>
        <w:jc w:val="both"/>
      </w:pPr>
      <w:r>
        <w:rPr>
          <w:sz w:val="24"/>
        </w:rPr>
        <w:t>3.</w:t>
      </w:r>
      <w:r>
        <w:rPr>
          <w:sz w:val="24"/>
        </w:rPr>
        <w:t>一方违约，守约方为追究违约方违约责任所支出的费用（包括但不限于诉讼费、保全费、律师费、鉴定费、公证费及差旅费等）由违约方承担。</w:t>
      </w:r>
    </w:p>
    <w:p>
      <w:pPr>
        <w:pStyle w:val="null3"/>
        <w:ind w:firstLine="480"/>
        <w:jc w:val="both"/>
      </w:pPr>
      <w:r>
        <w:rPr>
          <w:sz w:val="24"/>
          <w:b/>
        </w:rPr>
        <w:t>九、提出异议的时间和方法：</w:t>
      </w:r>
    </w:p>
    <w:p>
      <w:pPr>
        <w:pStyle w:val="null3"/>
        <w:ind w:firstLine="480"/>
        <w:jc w:val="both"/>
      </w:pPr>
      <w:r>
        <w:rPr>
          <w:sz w:val="24"/>
        </w:rPr>
        <w:t>1.</w:t>
      </w:r>
      <w:r>
        <w:rPr>
          <w:sz w:val="24"/>
        </w:rPr>
        <w:t>乙方在接到甲方书面异议后，应在</w:t>
      </w:r>
      <w:r>
        <w:rPr>
          <w:sz w:val="24"/>
        </w:rPr>
        <w:t>3</w:t>
      </w:r>
      <w:r>
        <w:rPr>
          <w:sz w:val="24"/>
        </w:rPr>
        <w:t>天内负责处理并函复甲方处理情况，否则，即视为默认甲方提出的异议和处理意见。</w:t>
      </w:r>
    </w:p>
    <w:p>
      <w:pPr>
        <w:pStyle w:val="null3"/>
        <w:ind w:firstLine="480"/>
        <w:jc w:val="both"/>
      </w:pPr>
      <w:r>
        <w:rPr>
          <w:sz w:val="24"/>
        </w:rPr>
        <w:t>2.</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0"/>
        <w:jc w:val="both"/>
      </w:pPr>
      <w:r>
        <w:rPr>
          <w:sz w:val="24"/>
          <w:b/>
        </w:rPr>
        <w:t>十、争议的解决：</w:t>
      </w:r>
    </w:p>
    <w:p>
      <w:pPr>
        <w:pStyle w:val="null3"/>
        <w:ind w:firstLine="480"/>
        <w:jc w:val="both"/>
      </w:pPr>
      <w:r>
        <w:rPr>
          <w:sz w:val="24"/>
        </w:rPr>
        <w:t>1.</w:t>
      </w:r>
      <w:r>
        <w:rPr>
          <w:sz w:val="24"/>
        </w:rPr>
        <w:t>合同履行过程中发生的任何争议，如双方未能通过友好协商解决，应向佛山市有管辖权的人民法院提起诉讼。</w:t>
      </w:r>
    </w:p>
    <w:p>
      <w:pPr>
        <w:pStyle w:val="null3"/>
        <w:ind w:firstLine="480"/>
        <w:jc w:val="both"/>
      </w:pPr>
      <w:r>
        <w:rPr>
          <w:sz w:val="24"/>
        </w:rPr>
        <w:t>2.</w:t>
      </w:r>
      <w:r>
        <w:rPr>
          <w:sz w:val="24"/>
        </w:rPr>
        <w:t>法院审理期间，除提交法院审理的事项外，其它无争议的事项和条款仍应继续履行。</w:t>
      </w:r>
    </w:p>
    <w:p>
      <w:pPr>
        <w:pStyle w:val="null3"/>
        <w:ind w:firstLine="480"/>
        <w:jc w:val="both"/>
      </w:pPr>
      <w:r>
        <w:rPr>
          <w:sz w:val="24"/>
          <w:b/>
        </w:rPr>
        <w:t>十一、不可抗力：</w:t>
      </w:r>
    </w:p>
    <w:p>
      <w:pPr>
        <w:pStyle w:val="null3"/>
        <w:ind w:firstLine="420"/>
        <w:jc w:val="both"/>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十二、税费：</w:t>
      </w:r>
    </w:p>
    <w:p>
      <w:pPr>
        <w:pStyle w:val="null3"/>
        <w:ind w:firstLine="480"/>
        <w:jc w:val="both"/>
      </w:pPr>
      <w:r>
        <w:rPr>
          <w:sz w:val="24"/>
        </w:rPr>
        <w:t>1.</w:t>
      </w:r>
      <w:r>
        <w:rPr>
          <w:sz w:val="24"/>
        </w:rPr>
        <w:t>本合同实施过程中所发生的一切税费及不可预见费均由乙方承担。</w:t>
      </w:r>
    </w:p>
    <w:p>
      <w:pPr>
        <w:pStyle w:val="null3"/>
        <w:ind w:firstLine="480"/>
        <w:jc w:val="both"/>
      </w:pPr>
      <w:r>
        <w:rPr>
          <w:sz w:val="24"/>
        </w:rPr>
        <w:t>2.</w:t>
      </w:r>
      <w:r>
        <w:rPr>
          <w:sz w:val="24"/>
        </w:rPr>
        <w:t>乙方依照税务规章优先在合同履约地开具发票及纳税，咨询：</w:t>
      </w:r>
      <w:r>
        <w:rPr>
          <w:sz w:val="24"/>
        </w:rPr>
        <w:t>0757-12366</w:t>
      </w:r>
      <w:r>
        <w:rPr>
          <w:sz w:val="24"/>
        </w:rPr>
        <w:t>。</w:t>
      </w:r>
    </w:p>
    <w:p>
      <w:pPr>
        <w:pStyle w:val="null3"/>
        <w:ind w:firstLine="480"/>
        <w:jc w:val="both"/>
      </w:pPr>
      <w:r>
        <w:rPr>
          <w:sz w:val="24"/>
          <w:b/>
        </w:rPr>
        <w:t>十三、合同生效与合同备案：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ind w:firstLine="480"/>
        <w:jc w:val="both"/>
      </w:pPr>
      <w:r>
        <w:rPr>
          <w:sz w:val="24"/>
          <w:b/>
        </w:rPr>
        <w:t>十四、乙方应提供的资料内容：</w:t>
      </w:r>
    </w:p>
    <w:p>
      <w:pPr>
        <w:pStyle w:val="null3"/>
        <w:ind w:firstLine="480"/>
        <w:jc w:val="both"/>
      </w:pPr>
      <w:r>
        <w:rPr>
          <w:u w:val="single"/>
        </w:rPr>
        <w:t xml:space="preserve">                                                            </w:t>
      </w:r>
      <w:r>
        <w:rPr>
          <w:sz w:val="24"/>
        </w:rPr>
        <w:t>。</w:t>
      </w:r>
    </w:p>
    <w:p>
      <w:pPr>
        <w:pStyle w:val="null3"/>
        <w:ind w:firstLine="480"/>
        <w:jc w:val="both"/>
      </w:pPr>
      <w:r>
        <w:rPr>
          <w:sz w:val="24"/>
          <w:b/>
        </w:rPr>
        <w:t>十五、其它：</w:t>
      </w:r>
    </w:p>
    <w:p>
      <w:pPr>
        <w:pStyle w:val="null3"/>
        <w:ind w:firstLine="480"/>
        <w:jc w:val="both"/>
      </w:pPr>
      <w:r>
        <w:rPr>
          <w:sz w:val="24"/>
        </w:rPr>
        <w:t>1.</w:t>
      </w:r>
      <w:r>
        <w:rPr>
          <w:sz w:val="24"/>
        </w:rPr>
        <w:t>所有经一方或双方签署确认的文件（包括会议纪要、补充协议、往来信函）、</w:t>
      </w:r>
    </w:p>
    <w:p>
      <w:pPr>
        <w:pStyle w:val="null3"/>
        <w:ind w:firstLine="480"/>
        <w:jc w:val="both"/>
      </w:pPr>
      <w:r>
        <w:rPr>
          <w:sz w:val="24"/>
        </w:rPr>
        <w:t>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pPr>
        <w:pStyle w:val="null3"/>
        <w:ind w:firstLine="480"/>
        <w:jc w:val="both"/>
      </w:pPr>
      <w:r>
        <w:rPr>
          <w:sz w:val="24"/>
        </w:rPr>
        <w:t>5.</w:t>
      </w:r>
      <w:r>
        <w:rPr>
          <w:sz w:val="24"/>
        </w:rPr>
        <w:t>本合同签约履约地点：广东省佛山市。</w:t>
      </w:r>
    </w:p>
    <w:p>
      <w:pPr>
        <w:pStyle w:val="null3"/>
        <w:ind w:firstLine="480"/>
        <w:jc w:val="both"/>
      </w:pPr>
      <w:r>
        <w:rPr>
          <w:sz w:val="24"/>
        </w:rPr>
        <w:t>6.</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7.</w:t>
      </w:r>
      <w:r>
        <w:rPr>
          <w:sz w:val="24"/>
        </w:rPr>
        <w:t>双方均已对以上各条款及附件作充分了解，并明确理解由此而产生的相关权责。</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3984"/>
        <w:gridCol w:w="3720"/>
        <w:gridCol w:w="571"/>
      </w:tblGrid>
      <w:tr>
        <w:tc>
          <w:tcPr>
            <w:tcW w:type="dxa" w:w="3984"/>
            <w:tcBorders>
              <w:top w:val="none" w:color="000000" w:sz="4"/>
              <w:left w:val="none" w:color="000000" w:sz="4"/>
              <w:bottom w:val="none" w:color="000000" w:sz="4"/>
              <w:right w:val="dashed" w:color="000000" w:sz="4"/>
            </w:tcBorders>
            <w:shd w:fill="FFFFFF"/>
            <w:tcMar>
              <w:top w:type="dxa" w:w="0"/>
              <w:left w:type="dxa" w:w="105"/>
              <w:bottom w:type="dxa" w:w="0"/>
              <w:right w:type="dxa" w:w="105"/>
            </w:tcMar>
            <w:vAlign w:val="top"/>
          </w:tcPr>
          <w:p>
            <w:pPr>
              <w:pStyle w:val="null3"/>
              <w:ind w:firstLine="380"/>
              <w:jc w:val="both"/>
            </w:pPr>
            <w:r>
              <w:rPr>
                <w:sz w:val="21"/>
                <w:b/>
              </w:rPr>
              <w:t>甲方（盖章）：</w:t>
            </w:r>
          </w:p>
          <w:p>
            <w:pPr>
              <w:pStyle w:val="null3"/>
              <w:ind w:firstLine="380"/>
              <w:jc w:val="both"/>
            </w:pPr>
            <w:r>
              <w:rPr>
                <w:sz w:val="21"/>
              </w:rPr>
              <w:t>代表：</w:t>
            </w:r>
            <w:r>
              <w:rPr>
                <w:sz w:val="19"/>
                <w:u w:val="single"/>
              </w:rPr>
              <w:t xml:space="preserve">                              </w:t>
            </w:r>
            <w:r>
              <w:rPr>
                <w:sz w:val="19"/>
              </w:rPr>
              <w:t xml:space="preserve"> </w:t>
            </w:r>
          </w:p>
          <w:p>
            <w:pPr>
              <w:pStyle w:val="null3"/>
              <w:ind w:firstLine="380"/>
              <w:jc w:val="both"/>
            </w:pPr>
            <w:r>
              <w:rPr>
                <w:sz w:val="21"/>
              </w:rPr>
              <w:t>地址：</w:t>
            </w:r>
          </w:p>
          <w:p>
            <w:pPr>
              <w:pStyle w:val="null3"/>
              <w:ind w:firstLine="380"/>
              <w:jc w:val="both"/>
            </w:pPr>
            <w:r>
              <w:rPr>
                <w:sz w:val="21"/>
              </w:rPr>
              <w:t>电话：</w:t>
            </w:r>
          </w:p>
          <w:p>
            <w:pPr>
              <w:pStyle w:val="null3"/>
              <w:ind w:firstLine="380"/>
              <w:jc w:val="both"/>
            </w:pPr>
            <w:r>
              <w:rPr>
                <w:sz w:val="21"/>
              </w:rPr>
              <w:t>传真：</w:t>
            </w:r>
          </w:p>
          <w:p>
            <w:pPr>
              <w:pStyle w:val="null3"/>
              <w:ind w:firstLine="38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72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both"/>
            </w:pPr>
            <w:r>
              <w:rPr>
                <w:sz w:val="21"/>
                <w:b/>
              </w:rPr>
              <w:t>乙方（盖章）：</w:t>
            </w:r>
          </w:p>
          <w:p>
            <w:pPr>
              <w:pStyle w:val="null3"/>
              <w:ind w:firstLine="380"/>
              <w:jc w:val="both"/>
            </w:pPr>
            <w:r>
              <w:rPr>
                <w:sz w:val="21"/>
              </w:rPr>
              <w:t>代表：</w:t>
            </w:r>
            <w:r>
              <w:rPr>
                <w:sz w:val="19"/>
                <w:u w:val="single"/>
              </w:rPr>
              <w:t xml:space="preserve">                           </w:t>
            </w:r>
          </w:p>
          <w:p>
            <w:pPr>
              <w:pStyle w:val="null3"/>
              <w:ind w:firstLine="380"/>
              <w:jc w:val="both"/>
            </w:pPr>
            <w:r>
              <w:rPr>
                <w:sz w:val="21"/>
              </w:rPr>
              <w:t>地址：</w:t>
            </w:r>
          </w:p>
          <w:p>
            <w:pPr>
              <w:pStyle w:val="null3"/>
              <w:ind w:firstLine="380"/>
              <w:jc w:val="both"/>
            </w:pPr>
            <w:r>
              <w:rPr>
                <w:sz w:val="21"/>
              </w:rPr>
              <w:t>电话：</w:t>
            </w:r>
          </w:p>
          <w:p>
            <w:pPr>
              <w:pStyle w:val="null3"/>
              <w:ind w:firstLine="380"/>
              <w:jc w:val="both"/>
            </w:pPr>
            <w:r>
              <w:rPr>
                <w:sz w:val="21"/>
              </w:rPr>
              <w:t>传真：</w:t>
            </w:r>
          </w:p>
          <w:p>
            <w:pPr>
              <w:pStyle w:val="null3"/>
              <w:ind w:firstLine="38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57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ind w:firstLine="380"/>
              <w:jc w:val="both"/>
            </w:pPr>
            <w:r>
              <w:rPr>
                <w:sz w:val="19"/>
              </w:rPr>
              <w:t xml:space="preserve"> </w:t>
            </w:r>
          </w:p>
        </w:tc>
      </w:tr>
      <w:tr>
        <w:tc>
          <w:tcPr>
            <w:tcW w:type="dxa" w:w="3984"/>
            <w:tcBorders>
              <w:top w:val="none" w:color="000000" w:sz="4"/>
              <w:left w:val="none" w:color="000000" w:sz="4"/>
              <w:bottom w:val="single" w:color="FFFFFF" w:sz="4"/>
              <w:right w:val="dashed" w:color="000000" w:sz="4"/>
            </w:tcBorders>
            <w:shd w:fill="FFFFFF"/>
            <w:tcMar>
              <w:top w:type="dxa" w:w="0"/>
              <w:left w:type="dxa" w:w="105"/>
              <w:bottom w:type="dxa" w:w="0"/>
              <w:right w:type="dxa" w:w="105"/>
            </w:tcMar>
            <w:vAlign w:val="top"/>
          </w:tcPr>
          <w:p>
            <w:pPr>
              <w:pStyle w:val="null3"/>
              <w:ind w:firstLine="380"/>
              <w:jc w:val="both"/>
            </w:pPr>
          </w:p>
        </w:tc>
        <w:tc>
          <w:tcPr>
            <w:tcW w:type="dxa" w:w="4291"/>
            <w:gridSpan w:val="2"/>
            <w:tcBorders>
              <w:top w:val="none" w:color="000000" w:sz="4"/>
              <w:left w:val="none" w:color="000000" w:sz="4"/>
              <w:bottom w:val="single" w:color="FFFFFF" w:sz="4"/>
              <w:right w:val="none" w:color="000000" w:sz="4"/>
            </w:tcBorders>
            <w:shd w:fill="FFFFFF"/>
            <w:tcMar>
              <w:top w:type="dxa" w:w="0"/>
              <w:left w:type="dxa" w:w="105"/>
              <w:bottom w:type="dxa" w:w="0"/>
              <w:right w:type="dxa" w:w="105"/>
            </w:tcMar>
            <w:vAlign w:val="top"/>
          </w:tcPr>
          <w:p>
            <w:pPr>
              <w:pStyle w:val="null3"/>
              <w:jc w:val="both"/>
            </w:pPr>
            <w:r>
              <w:rPr>
                <w:sz w:val="21"/>
                <w:b/>
              </w:rPr>
              <w:t>收款方、开票方须与乙方一致，专户为：</w:t>
            </w:r>
          </w:p>
          <w:p>
            <w:pPr>
              <w:pStyle w:val="null3"/>
              <w:ind w:firstLine="380"/>
              <w:jc w:val="both"/>
            </w:pPr>
            <w:r>
              <w:rPr>
                <w:sz w:val="21"/>
              </w:rPr>
              <w:t>开户名称：</w:t>
            </w:r>
          </w:p>
          <w:p>
            <w:pPr>
              <w:pStyle w:val="null3"/>
              <w:ind w:firstLine="380"/>
              <w:jc w:val="both"/>
            </w:pPr>
            <w:r>
              <w:rPr>
                <w:sz w:val="21"/>
              </w:rPr>
              <w:t>银行账号：</w:t>
            </w:r>
          </w:p>
          <w:p>
            <w:pPr>
              <w:pStyle w:val="null3"/>
              <w:ind w:firstLine="380"/>
              <w:jc w:val="both"/>
            </w:pPr>
            <w:r>
              <w:rPr>
                <w:sz w:val="21"/>
              </w:rPr>
              <w:t>开户行：</w:t>
            </w:r>
          </w:p>
        </w:tc>
      </w:tr>
    </w:tbl>
    <w:p>
      <w:pPr>
        <w:pStyle w:val="null3"/>
        <w:ind w:firstLine="480"/>
        <w:jc w:val="both"/>
      </w:pPr>
      <w:r>
        <w:rPr>
          <w:sz w:val="24"/>
          <w:b/>
        </w:rPr>
        <w:t>合同附件清单：</w:t>
      </w:r>
    </w:p>
    <w:p>
      <w:pPr>
        <w:pStyle w:val="null3"/>
        <w:jc w:val="both"/>
      </w:pPr>
      <w:r>
        <w:rPr>
          <w:sz w:val="21"/>
          <w:b/>
        </w:rPr>
        <w:t>附件一、《报价清单明细表》</w:t>
      </w:r>
    </w:p>
    <w:p>
      <w:pPr>
        <w:pStyle w:val="null3"/>
        <w:jc w:val="both"/>
      </w:pPr>
      <w:r>
        <w:rPr>
          <w:sz w:val="21"/>
          <w:b/>
        </w:rPr>
        <w:t>附件二、保密协议</w:t>
      </w:r>
    </w:p>
    <w:p>
      <w:pPr>
        <w:pStyle w:val="null3"/>
        <w:jc w:val="both"/>
      </w:pPr>
      <w:r>
        <w:rPr>
          <w:sz w:val="21"/>
          <w:b/>
        </w:rPr>
        <w:t>附件三、服务质量考核表</w:t>
      </w:r>
    </w:p>
    <w:p>
      <w:pPr>
        <w:pStyle w:val="null3"/>
        <w:jc w:val="center"/>
      </w:pPr>
      <w:r>
        <w:rPr>
          <w:sz w:val="24"/>
        </w:rPr>
        <w:t>附件二、保密协议</w:t>
      </w:r>
    </w:p>
    <w:p>
      <w:pPr>
        <w:pStyle w:val="null3"/>
        <w:jc w:val="center"/>
      </w:pPr>
      <w:r>
        <w:rPr>
          <w:sz w:val="44"/>
          <w:b/>
          <w:color w:val="000000"/>
        </w:rPr>
        <w:t>保密协议</w:t>
      </w:r>
    </w:p>
    <w:p>
      <w:pPr>
        <w:pStyle w:val="null3"/>
        <w:jc w:val="both"/>
      </w:pPr>
      <w:r>
        <w:rPr>
          <w:sz w:val="24"/>
          <w:b/>
          <w:color w:val="000000"/>
        </w:rPr>
        <w:t>甲方：</w:t>
      </w:r>
    </w:p>
    <w:p>
      <w:pPr>
        <w:pStyle w:val="null3"/>
        <w:jc w:val="both"/>
      </w:pPr>
      <w:r>
        <w:rPr>
          <w:sz w:val="24"/>
          <w:b/>
          <w:color w:val="000000"/>
        </w:rPr>
        <w:t>乙方：</w:t>
      </w:r>
    </w:p>
    <w:p>
      <w:pPr>
        <w:pStyle w:val="null3"/>
        <w:ind w:firstLine="480"/>
        <w:jc w:val="left"/>
      </w:pPr>
      <w:r>
        <w:rPr>
          <w:sz w:val="24"/>
        </w:rPr>
        <w:t>乙方因与甲方签订</w:t>
      </w:r>
      <w:r>
        <w:rPr>
          <w:sz w:val="21"/>
          <w:u w:val="single"/>
        </w:rPr>
        <w:t xml:space="preserve">                 </w:t>
      </w:r>
      <w:r>
        <w:rPr>
          <w:sz w:val="24"/>
        </w:rPr>
        <w:t>项目合同书（项目编号：</w:t>
      </w:r>
      <w:r>
        <w:rPr>
          <w:sz w:val="21"/>
          <w:u w:val="single"/>
        </w:rPr>
        <w:t xml:space="preserve">         </w:t>
      </w:r>
      <w:r>
        <w:rPr>
          <w:sz w:val="24"/>
        </w:rPr>
        <w:t>），参与甲方关于该项目的有关工作，已经（或将要）知悉甲方关于该项目的甲方秘密。为明确乙方的保密义务，甲、乙双方本着平等、自愿、公平和诚信原则，订立本保密协议。</w:t>
      </w:r>
    </w:p>
    <w:p>
      <w:pPr>
        <w:pStyle w:val="null3"/>
        <w:ind w:firstLine="482"/>
        <w:jc w:val="left"/>
      </w:pPr>
      <w:r>
        <w:rPr>
          <w:sz w:val="24"/>
          <w:b/>
          <w:color w:val="000000"/>
        </w:rPr>
        <w:t>一、保密的内容和范围</w:t>
      </w:r>
    </w:p>
    <w:p>
      <w:pPr>
        <w:pStyle w:val="null3"/>
        <w:ind w:firstLine="480"/>
        <w:jc w:val="left"/>
      </w:pPr>
      <w:r>
        <w:rPr>
          <w:sz w:val="24"/>
        </w:rPr>
        <w:t>甲、乙双方确认，乙方应承担保密义务的甲方秘密范围包括但不限于以下内容：</w:t>
      </w:r>
    </w:p>
    <w:p>
      <w:pPr>
        <w:pStyle w:val="null3"/>
        <w:ind w:firstLine="480"/>
        <w:jc w:val="left"/>
      </w:pPr>
      <w:r>
        <w:rPr>
          <w:sz w:val="24"/>
        </w:rPr>
        <w:t>1</w:t>
      </w:r>
      <w:r>
        <w:rPr>
          <w:sz w:val="24"/>
        </w:rPr>
        <w:t>、乙方因签订或履行合同所获得的或收到的国家秘密、公安工作秘密以及甲方的商务、财务、技术、产品的信息、用户资料或其他标明保密的文件或信息等内容保守秘密。</w:t>
      </w:r>
    </w:p>
    <w:p>
      <w:pPr>
        <w:pStyle w:val="null3"/>
        <w:ind w:firstLine="480"/>
        <w:jc w:val="left"/>
      </w:pPr>
      <w:r>
        <w:rPr>
          <w:sz w:val="24"/>
        </w:rPr>
        <w:t>2</w:t>
      </w:r>
      <w:r>
        <w:rPr>
          <w:sz w:val="24"/>
        </w:rPr>
        <w:t>、依照法律规定或者有关协议的约定，应对外承担保密义务的事项。</w:t>
      </w:r>
    </w:p>
    <w:p>
      <w:pPr>
        <w:pStyle w:val="null3"/>
        <w:ind w:firstLine="482"/>
        <w:jc w:val="left"/>
      </w:pPr>
      <w:r>
        <w:rPr>
          <w:sz w:val="24"/>
          <w:b/>
          <w:color w:val="000000"/>
        </w:rPr>
        <w:t>二、乙方的保密义务</w:t>
      </w:r>
    </w:p>
    <w:p>
      <w:pPr>
        <w:pStyle w:val="null3"/>
        <w:ind w:firstLine="480"/>
        <w:jc w:val="left"/>
      </w:pPr>
      <w:r>
        <w:rPr>
          <w:sz w:val="24"/>
        </w:rPr>
        <w:t>对第一条所述的甲方秘密，乙方承担以下保密义务：</w:t>
      </w:r>
    </w:p>
    <w:p>
      <w:pPr>
        <w:pStyle w:val="null3"/>
        <w:ind w:firstLine="480"/>
        <w:jc w:val="left"/>
      </w:pPr>
      <w:r>
        <w:rPr>
          <w:sz w:val="24"/>
        </w:rPr>
        <w:t>1</w:t>
      </w:r>
      <w:r>
        <w:rPr>
          <w:sz w:val="24"/>
        </w:rPr>
        <w:t>、</w:t>
      </w:r>
      <w:r>
        <w:rPr>
          <w:sz w:val="24"/>
        </w:rPr>
        <w:t>甲方有权对乙方及其员工遵守安全保密责任进行监管和向乙方指出安全保密隐患和问题。乙方应配合甲方对乙方有关人员进行审查、教育培训，及时调整不合适的人员。</w:t>
      </w:r>
    </w:p>
    <w:p>
      <w:pPr>
        <w:pStyle w:val="null3"/>
        <w:ind w:firstLine="480"/>
        <w:jc w:val="left"/>
      </w:pPr>
      <w:r>
        <w:rPr>
          <w:sz w:val="24"/>
        </w:rPr>
        <w:t>2、</w:t>
      </w:r>
      <w:r>
        <w:rPr>
          <w:sz w:val="24"/>
        </w:rPr>
        <w:t>涉及</w:t>
      </w:r>
      <w:r>
        <w:rPr>
          <w:sz w:val="24"/>
        </w:rPr>
        <w:t>保密信息</w:t>
      </w:r>
      <w:r>
        <w:rPr>
          <w:sz w:val="24"/>
        </w:rPr>
        <w:t>，乙方须制定甲方认可的安全保密管理方案，并采取安全保密技术和措施，有效保障信息安全。</w:t>
      </w:r>
    </w:p>
    <w:p>
      <w:pPr>
        <w:pStyle w:val="null3"/>
        <w:ind w:firstLine="480"/>
        <w:jc w:val="left"/>
      </w:pPr>
      <w:r>
        <w:rPr>
          <w:sz w:val="24"/>
        </w:rPr>
        <w:t>3</w:t>
      </w:r>
      <w:r>
        <w:rPr>
          <w:sz w:val="24"/>
        </w:rPr>
        <w:t>、</w:t>
      </w:r>
      <w:r>
        <w:rPr>
          <w:sz w:val="24"/>
        </w:rPr>
        <w:t>乙方凡使用到项目的文件、资料、图纸</w:t>
      </w:r>
      <w:r>
        <w:rPr>
          <w:sz w:val="24"/>
        </w:rPr>
        <w:t>等资料</w:t>
      </w:r>
      <w:r>
        <w:rPr>
          <w:sz w:val="24"/>
        </w:rPr>
        <w:t>，必须认真履行登记手续，严格控制涉密人员和范围，各项资料要落实专人保管，不得任意扩散、擅自印（复）制；不得丢失，因发生丢失时必须及时向甲方报告。</w:t>
      </w:r>
    </w:p>
    <w:p>
      <w:pPr>
        <w:pStyle w:val="null3"/>
        <w:ind w:firstLine="480"/>
        <w:jc w:val="left"/>
      </w:pPr>
      <w:r>
        <w:rPr>
          <w:sz w:val="24"/>
          <w:color w:val="000000"/>
        </w:rPr>
        <w:t>4</w:t>
      </w:r>
      <w:r>
        <w:rPr>
          <w:sz w:val="24"/>
          <w:color w:val="000000"/>
        </w:rPr>
        <w:t>、主动采取加密措施对上述甲方秘密进行保护，防止不承担同等保密义务的任何第三方知悉及使用。</w:t>
      </w:r>
    </w:p>
    <w:p>
      <w:pPr>
        <w:pStyle w:val="null3"/>
        <w:ind w:firstLine="480"/>
        <w:jc w:val="left"/>
      </w:pPr>
      <w:r>
        <w:rPr>
          <w:sz w:val="24"/>
          <w:color w:val="000000"/>
        </w:rPr>
        <w:t>5</w:t>
      </w:r>
      <w:r>
        <w:rPr>
          <w:sz w:val="24"/>
          <w:color w:val="000000"/>
        </w:rPr>
        <w:t>、不得允许（包括出借、赠与、出租、转让等处分甲方秘密的行为）或协助不承担保密义务的任何第三方使用甲方的保密资料。</w:t>
      </w:r>
    </w:p>
    <w:p>
      <w:pPr>
        <w:pStyle w:val="null3"/>
        <w:ind w:firstLine="480"/>
        <w:jc w:val="left"/>
      </w:pPr>
      <w:r>
        <w:rPr>
          <w:sz w:val="24"/>
          <w:color w:val="000000"/>
        </w:rPr>
        <w:t>6</w:t>
      </w:r>
      <w:r>
        <w:rPr>
          <w:sz w:val="24"/>
          <w:color w:val="000000"/>
        </w:rPr>
        <w:t>、未经甲方书面事先同意，不得向本协议以外的任何第三方披露。乙方仅可为实现上述合同目的向其确有知悉必要的雇员披露甲方提供的保密资料，但同时须指示其雇员遵守本条规定的保密及不披露义务。乙方应仅为上述合同目的而复制和使用保密资料。</w:t>
      </w:r>
    </w:p>
    <w:p>
      <w:pPr>
        <w:pStyle w:val="null3"/>
        <w:ind w:firstLine="480"/>
        <w:jc w:val="left"/>
      </w:pPr>
      <w:r>
        <w:rPr>
          <w:sz w:val="24"/>
          <w:color w:val="000000"/>
        </w:rPr>
        <w:t>7</w:t>
      </w:r>
      <w:r>
        <w:rPr>
          <w:sz w:val="24"/>
          <w:color w:val="000000"/>
        </w:rPr>
        <w:t>、如乙方发现甲方秘密被泄露或者乙方过失泄露秘密，应当立即采取有效措施防止泄密进一步扩大，并及时向甲方告知该情况。</w:t>
      </w:r>
    </w:p>
    <w:p>
      <w:pPr>
        <w:pStyle w:val="null3"/>
        <w:ind w:firstLine="482"/>
        <w:jc w:val="left"/>
      </w:pPr>
      <w:r>
        <w:rPr>
          <w:sz w:val="24"/>
          <w:b/>
          <w:color w:val="000000"/>
        </w:rPr>
        <w:t>三、保密期限</w:t>
      </w:r>
    </w:p>
    <w:p>
      <w:pPr>
        <w:pStyle w:val="null3"/>
        <w:ind w:firstLine="480"/>
        <w:jc w:val="left"/>
      </w:pPr>
      <w:r>
        <w:rPr>
          <w:sz w:val="24"/>
          <w:color w:val="000000"/>
        </w:rPr>
        <w:t>甲、乙双方确认，乙方的保密义务自本协议签订之日开始，到上述甲方秘密公开时止。</w:t>
      </w:r>
      <w:r>
        <w:rPr>
          <w:sz w:val="24"/>
          <w:color w:val="000000"/>
        </w:rPr>
        <w:t>乙方是否继续参与甲方关于该项目的工作，不影响保密义务的承担。</w:t>
      </w:r>
    </w:p>
    <w:p>
      <w:pPr>
        <w:pStyle w:val="null3"/>
        <w:ind w:firstLine="482"/>
        <w:jc w:val="left"/>
      </w:pPr>
      <w:r>
        <w:rPr>
          <w:sz w:val="24"/>
          <w:b/>
          <w:color w:val="000000"/>
        </w:rPr>
        <w:t>四、违约责任</w:t>
      </w:r>
    </w:p>
    <w:p>
      <w:pPr>
        <w:pStyle w:val="null3"/>
        <w:ind w:firstLine="480"/>
        <w:jc w:val="left"/>
      </w:pPr>
      <w:r>
        <w:rPr>
          <w:sz w:val="24"/>
          <w:color w:val="000000"/>
        </w:rPr>
        <w:t>1、若乙方未按约定履行本协议第二条所规定的保密义务，应当承担违约责任，尚未给甲方造成损失或严重后果的，应向甲方支付违约金</w:t>
      </w:r>
      <w:r>
        <w:rPr>
          <w:sz w:val="24"/>
          <w:color w:val="000000"/>
          <w:u w:val="single"/>
        </w:rPr>
        <w:t>1000</w:t>
      </w:r>
      <w:r>
        <w:rPr>
          <w:sz w:val="24"/>
          <w:color w:val="000000"/>
        </w:rPr>
        <w:t>元；</w:t>
      </w:r>
      <w:r>
        <w:rPr>
          <w:sz w:val="24"/>
          <w:color w:val="000000"/>
        </w:rPr>
        <w:t>造成甲方损失或严重后果的，应向甲方支付违约金</w:t>
      </w:r>
      <w:r>
        <w:rPr>
          <w:sz w:val="24"/>
          <w:color w:val="000000"/>
          <w:u w:val="single"/>
        </w:rPr>
        <w:t>10000</w:t>
      </w:r>
      <w:r>
        <w:rPr>
          <w:sz w:val="24"/>
          <w:color w:val="000000"/>
        </w:rPr>
        <w:t>元，约金不足以弥补损失的，乙方应按全额赔偿。</w:t>
      </w:r>
    </w:p>
    <w:p>
      <w:pPr>
        <w:pStyle w:val="null3"/>
        <w:ind w:firstLine="480"/>
        <w:jc w:val="left"/>
      </w:pPr>
      <w:r>
        <w:rPr>
          <w:sz w:val="24"/>
          <w:color w:val="000000"/>
        </w:rPr>
        <w:t>2、</w:t>
      </w:r>
      <w:r>
        <w:rPr>
          <w:sz w:val="24"/>
          <w:color w:val="000000"/>
        </w:rPr>
        <w:t>乙方或其员工违反本协议的行为，构成犯罪的，将依法追究刑事责任。</w:t>
      </w:r>
    </w:p>
    <w:p>
      <w:pPr>
        <w:pStyle w:val="null3"/>
        <w:ind w:firstLine="480"/>
        <w:jc w:val="left"/>
      </w:pPr>
      <w:r>
        <w:rPr>
          <w:sz w:val="24"/>
        </w:rPr>
        <w:t>3</w:t>
      </w:r>
      <w:r>
        <w:rPr>
          <w:sz w:val="24"/>
        </w:rPr>
        <w:t>、</w:t>
      </w:r>
      <w:r>
        <w:rPr>
          <w:sz w:val="24"/>
        </w:rPr>
        <w:t>乙方员工违反本协议所产生的法律责任和后果，由乙方按违约责任条款承担责任，同时甲方有权追究员工个人责任。</w:t>
      </w:r>
    </w:p>
    <w:p>
      <w:pPr>
        <w:pStyle w:val="null3"/>
        <w:ind w:firstLine="480"/>
        <w:jc w:val="left"/>
      </w:pPr>
      <w:r>
        <w:rPr>
          <w:sz w:val="24"/>
          <w:color w:val="000000"/>
        </w:rPr>
        <w:t>4</w:t>
      </w:r>
      <w:r>
        <w:rPr>
          <w:sz w:val="24"/>
          <w:color w:val="000000"/>
        </w:rPr>
        <w:t>、甲方因乙方违约而维权所支出的费用（包括但不限于诉讼费、保全费、律师费、鉴定费、公证费及差旅费等）由乙方承担。</w:t>
      </w:r>
    </w:p>
    <w:p>
      <w:pPr>
        <w:pStyle w:val="null3"/>
        <w:ind w:firstLine="482"/>
        <w:jc w:val="left"/>
      </w:pPr>
      <w:r>
        <w:rPr>
          <w:sz w:val="24"/>
          <w:b/>
          <w:color w:val="000000"/>
        </w:rPr>
        <w:t>五、争议的解决办法</w:t>
      </w:r>
    </w:p>
    <w:p>
      <w:pPr>
        <w:pStyle w:val="null3"/>
        <w:ind w:firstLine="480"/>
        <w:jc w:val="left"/>
      </w:pPr>
      <w:r>
        <w:rPr>
          <w:sz w:val="24"/>
          <w:color w:val="000000"/>
        </w:rPr>
        <w:t>因本协议而发生的纠纷，由双方协商解决或者共同委托双方信任的第三方调解。协商、调解不成或者一方不愿意协商、调解的，可以向甲方所在地的人民法院提起诉讼。</w:t>
      </w:r>
    </w:p>
    <w:p>
      <w:pPr>
        <w:pStyle w:val="null3"/>
        <w:ind w:firstLine="482"/>
        <w:jc w:val="left"/>
      </w:pPr>
      <w:r>
        <w:rPr>
          <w:sz w:val="24"/>
          <w:b/>
          <w:color w:val="000000"/>
        </w:rPr>
        <w:t>六、其他</w:t>
      </w:r>
    </w:p>
    <w:p>
      <w:pPr>
        <w:pStyle w:val="null3"/>
        <w:ind w:firstLine="480"/>
        <w:jc w:val="left"/>
      </w:pPr>
      <w:r>
        <w:rPr>
          <w:sz w:val="24"/>
          <w:color w:val="000000"/>
        </w:rPr>
        <w:t>1、本协议在甲、乙双方法定代表人或其授权代理人签字盖章之日起生效。</w:t>
      </w:r>
    </w:p>
    <w:p>
      <w:pPr>
        <w:pStyle w:val="null3"/>
        <w:ind w:firstLine="480"/>
        <w:jc w:val="left"/>
      </w:pPr>
      <w:r>
        <w:rPr>
          <w:sz w:val="24"/>
          <w:color w:val="000000"/>
        </w:rPr>
        <w:t>2、本协议一式贰份，甲、乙双方各持一份。</w:t>
      </w:r>
    </w:p>
    <w:p>
      <w:pPr>
        <w:pStyle w:val="null3"/>
        <w:ind w:firstLine="480"/>
        <w:jc w:val="left"/>
      </w:pPr>
      <w:r>
        <w:rPr>
          <w:sz w:val="24"/>
          <w:color w:val="000000"/>
        </w:rPr>
        <w:t>3、本协议的任何修改必须经过双方的书面同意，并另行签订补充协议。</w:t>
      </w:r>
    </w:p>
    <w:p>
      <w:pPr>
        <w:pStyle w:val="null3"/>
        <w:ind w:firstLine="480"/>
        <w:jc w:val="left"/>
      </w:pPr>
      <w:r>
        <w:rPr>
          <w:sz w:val="24"/>
          <w:color w:val="000000"/>
        </w:rPr>
        <w:t>4、双方确认在签署本协议前已对以上各条款及附件作充分了解，并明确理解由此产生的相关责任。</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33"/>
        <w:gridCol w:w="4159"/>
      </w:tblGrid>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w:t>
            </w:r>
          </w:p>
        </w:tc>
      </w:tr>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代表：</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代表：</w:t>
            </w:r>
          </w:p>
        </w:tc>
      </w:tr>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r>
              <w:rPr>
                <w:sz w:val="24"/>
                <w:color w:val="000000"/>
              </w:rPr>
              <w:t xml:space="preserve">   </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p>
        </w:tc>
      </w:tr>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p>
        </w:tc>
      </w:tr>
      <w:tr>
        <w:tc>
          <w:tcPr>
            <w:tcW w:type="dxa" w:w="41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jc w:val="both"/>
      </w:pPr>
      <w:r>
        <w:rPr>
          <w:sz w:val="24"/>
        </w:rPr>
        <w:t>附件三、服务质量考核表</w:t>
      </w:r>
    </w:p>
    <w:p>
      <w:pPr>
        <w:pStyle w:val="null3"/>
        <w:ind w:firstLine="420"/>
        <w:jc w:val="center"/>
      </w:pPr>
      <w:r>
        <w:rPr>
          <w:sz w:val="21"/>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540"/>
        <w:gridCol w:w="2445"/>
        <w:gridCol w:w="4455"/>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4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执行标准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基站机房设施</w:t>
            </w:r>
            <w:r>
              <w:rPr>
                <w:sz w:val="21"/>
              </w:rPr>
              <w:t>”</w:t>
            </w:r>
            <w:r>
              <w:rPr>
                <w:sz w:val="21"/>
              </w:rPr>
              <w:t>维护服务情况（满分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网络通信</w:t>
            </w:r>
            <w:r>
              <w:rPr>
                <w:sz w:val="21"/>
              </w:rPr>
              <w:t>”</w:t>
            </w:r>
            <w:r>
              <w:rPr>
                <w:sz w:val="21"/>
              </w:rPr>
              <w:t>维护服务情况</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服务器</w:t>
            </w:r>
            <w:r>
              <w:rPr>
                <w:sz w:val="21"/>
              </w:rPr>
              <w:t>”</w:t>
            </w:r>
            <w:r>
              <w:rPr>
                <w:sz w:val="21"/>
              </w:rPr>
              <w:t>维护服务情况</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响应速度</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日常巡检服务情况</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数据</w:t>
            </w:r>
            <w:r>
              <w:rPr>
                <w:sz w:val="24"/>
              </w:rPr>
              <w:t>”</w:t>
            </w:r>
            <w:r>
              <w:rPr>
                <w:sz w:val="21"/>
              </w:rPr>
              <w:t>维护服务情况</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故障排除速度</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未按要求提供服务的，每次扣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运维档案</w:t>
            </w:r>
          </w:p>
          <w:p>
            <w:pPr>
              <w:pStyle w:val="null3"/>
              <w:jc w:val="center"/>
            </w:pPr>
            <w:r>
              <w:rPr>
                <w:sz w:val="21"/>
              </w:rPr>
              <w:t>（满分</w:t>
            </w:r>
            <w:r>
              <w:rPr>
                <w:sz w:val="21"/>
              </w:rPr>
              <w:t>10</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未按时向采购人提交运维有关工作记录或报告等资料，每次扣</w:t>
            </w:r>
            <w:r>
              <w:rPr>
                <w:sz w:val="21"/>
              </w:rPr>
              <w:t>1</w:t>
            </w:r>
            <w:r>
              <w:rPr>
                <w:sz w:val="21"/>
              </w:rPr>
              <w:t>分；提交的运维有关工作记录或报告等资料不符合标准要求的，每项扣</w:t>
            </w:r>
            <w:r>
              <w:rPr>
                <w:sz w:val="21"/>
              </w:rPr>
              <w:t>1</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服务人员技术素质</w:t>
            </w:r>
          </w:p>
          <w:p>
            <w:pPr>
              <w:pStyle w:val="null3"/>
              <w:jc w:val="center"/>
            </w:pPr>
            <w:r>
              <w:rPr>
                <w:sz w:val="21"/>
              </w:rPr>
              <w:t>（满分</w:t>
            </w:r>
            <w:r>
              <w:rPr>
                <w:sz w:val="21"/>
              </w:rPr>
              <w:t>9</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服务人员因专业技术能力不足无法胜任本项工作，被考核人未能及时更换其他的专业技术人员。每次扣</w:t>
            </w:r>
            <w:r>
              <w:rPr>
                <w:sz w:val="21"/>
              </w:rPr>
              <w:t>3</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服务人员的服务质量</w:t>
            </w:r>
          </w:p>
          <w:p>
            <w:pPr>
              <w:pStyle w:val="null3"/>
              <w:jc w:val="center"/>
            </w:pPr>
            <w:r>
              <w:rPr>
                <w:sz w:val="21"/>
              </w:rPr>
              <w:t>（满分</w:t>
            </w:r>
            <w:r>
              <w:rPr>
                <w:sz w:val="21"/>
              </w:rPr>
              <w:t>6</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服务人员发生服务质量问题，但不影响系统运行的，每次扣</w:t>
            </w:r>
            <w:r>
              <w:rPr>
                <w:sz w:val="21"/>
              </w:rPr>
              <w:t>2</w:t>
            </w:r>
            <w:r>
              <w:rPr>
                <w:sz w:val="21"/>
              </w:rPr>
              <w:t>分。服务人员发生服务质量问题，影响系统运行的，每次扣</w:t>
            </w:r>
            <w:r>
              <w:rPr>
                <w:sz w:val="21"/>
              </w:rPr>
              <w:t>6</w:t>
            </w:r>
            <w:r>
              <w:rPr>
                <w:sz w:val="21"/>
              </w:rPr>
              <w:t>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服务人员的服务态度</w:t>
            </w:r>
          </w:p>
          <w:p>
            <w:pPr>
              <w:pStyle w:val="null3"/>
              <w:jc w:val="center"/>
            </w:pPr>
            <w:r>
              <w:rPr>
                <w:sz w:val="21"/>
              </w:rPr>
              <w:t>（满分</w:t>
            </w:r>
            <w:r>
              <w:rPr>
                <w:sz w:val="21"/>
              </w:rPr>
              <w:t>5</w:t>
            </w:r>
            <w:r>
              <w:rPr>
                <w:sz w:val="21"/>
              </w:rPr>
              <w:t>分）</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）语言、行为不文明；（</w:t>
            </w:r>
            <w:r>
              <w:rPr>
                <w:sz w:val="21"/>
              </w:rPr>
              <w:t>2</w:t>
            </w:r>
            <w:r>
              <w:rPr>
                <w:sz w:val="21"/>
              </w:rPr>
              <w:t>）工作态度敷衍、做事拖拉、无责任心。以上情况每人每次扣</w:t>
            </w:r>
            <w:r>
              <w:rPr>
                <w:sz w:val="21"/>
              </w:rPr>
              <w:t>1</w:t>
            </w:r>
            <w:r>
              <w:rPr>
                <w:sz w:val="21"/>
              </w:rPr>
              <w:t>分。</w:t>
            </w:r>
          </w:p>
        </w:tc>
      </w:tr>
      <w:tr>
        <w:tc>
          <w:tcPr>
            <w:tcW w:type="dxa" w:w="74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其中，得分为</w:t>
            </w:r>
            <w:r>
              <w:rPr>
                <w:sz w:val="21"/>
              </w:rPr>
              <w:t>“</w:t>
            </w:r>
            <w:r>
              <w:rPr>
                <w:sz w:val="21"/>
              </w:rPr>
              <w:t xml:space="preserve">90 </w:t>
            </w:r>
            <w:r>
              <w:rPr>
                <w:sz w:val="21"/>
              </w:rPr>
              <w:t xml:space="preserve">分及以上”的按 </w:t>
            </w:r>
            <w:r>
              <w:rPr>
                <w:sz w:val="21"/>
              </w:rPr>
              <w:t>100%</w:t>
            </w:r>
            <w:r>
              <w:rPr>
                <w:sz w:val="21"/>
              </w:rPr>
              <w:t>支付，得分为“</w:t>
            </w:r>
            <w:r>
              <w:rPr>
                <w:sz w:val="21"/>
              </w:rPr>
              <w:t xml:space="preserve">80 </w:t>
            </w:r>
            <w:r>
              <w:rPr>
                <w:sz w:val="21"/>
              </w:rPr>
              <w:t xml:space="preserve">分及以上至 </w:t>
            </w:r>
            <w:r>
              <w:rPr>
                <w:sz w:val="21"/>
              </w:rPr>
              <w:t xml:space="preserve">90 </w:t>
            </w:r>
            <w:r>
              <w:rPr>
                <w:sz w:val="21"/>
              </w:rPr>
              <w:t>分的</w:t>
            </w:r>
            <w:r>
              <w:rPr>
                <w:sz w:val="21"/>
              </w:rPr>
              <w:t>(</w:t>
            </w:r>
            <w:r>
              <w:rPr>
                <w:sz w:val="21"/>
              </w:rPr>
              <w:t xml:space="preserve">不含 </w:t>
            </w:r>
            <w:r>
              <w:rPr>
                <w:sz w:val="21"/>
              </w:rPr>
              <w:t xml:space="preserve">90 </w:t>
            </w:r>
            <w:r>
              <w:rPr>
                <w:sz w:val="21"/>
              </w:rPr>
              <w:t>分</w:t>
            </w:r>
            <w:r>
              <w:rPr>
                <w:sz w:val="21"/>
              </w:rPr>
              <w:t>)</w:t>
            </w:r>
            <w:r>
              <w:rPr>
                <w:sz w:val="21"/>
              </w:rPr>
              <w:t xml:space="preserve">”的按 </w:t>
            </w:r>
            <w:r>
              <w:rPr>
                <w:sz w:val="21"/>
              </w:rPr>
              <w:t>90%</w:t>
            </w:r>
            <w:r>
              <w:rPr>
                <w:sz w:val="21"/>
              </w:rPr>
              <w:t>支付，得分为“</w:t>
            </w:r>
            <w:r>
              <w:rPr>
                <w:sz w:val="21"/>
              </w:rPr>
              <w:t>80</w:t>
            </w:r>
            <w:r>
              <w:rPr>
                <w:sz w:val="21"/>
              </w:rPr>
              <w:t>分以下的</w:t>
            </w:r>
            <w:r>
              <w:rPr>
                <w:sz w:val="21"/>
              </w:rPr>
              <w:t>(</w:t>
            </w:r>
            <w:r>
              <w:rPr>
                <w:sz w:val="21"/>
              </w:rPr>
              <w:t>不含</w:t>
            </w:r>
            <w:r>
              <w:rPr>
                <w:sz w:val="21"/>
              </w:rPr>
              <w:t xml:space="preserve">80 </w:t>
            </w:r>
            <w:r>
              <w:rPr>
                <w:sz w:val="21"/>
              </w:rPr>
              <w:t>分</w:t>
            </w:r>
            <w:r>
              <w:rPr>
                <w:sz w:val="21"/>
              </w:rPr>
              <w:t>)</w:t>
            </w:r>
            <w:r>
              <w:rPr>
                <w:sz w:val="21"/>
              </w:rPr>
              <w:t xml:space="preserve">”的按 </w:t>
            </w:r>
            <w:r>
              <w:rPr>
                <w:sz w:val="21"/>
              </w:rPr>
              <w:t>75%</w:t>
            </w:r>
            <w:r>
              <w:rPr>
                <w:sz w:val="21"/>
              </w:rPr>
              <w:t>支付。</w:t>
            </w:r>
          </w:p>
        </w:tc>
      </w:tr>
      <w:tr>
        <w:tc>
          <w:tcPr>
            <w:tcW w:type="dxa" w:w="29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440605-2024-08049</w:t>
      </w:r>
    </w:p>
    <w:p>
      <w:pPr>
        <w:pStyle w:val="null3"/>
        <w:jc w:val="center"/>
        <w:outlineLvl w:val="3"/>
      </w:pPr>
      <w:r>
        <w:rPr>
          <w:sz w:val="24"/>
          <w:b/>
        </w:rPr>
        <w:t>采购项目编号：</w:t>
      </w:r>
      <w:r>
        <w:rPr>
          <w:sz w:val="24"/>
          <w:b/>
        </w:rPr>
        <w:t>JF2024（NH）WS0117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华睿诚项目管理有限公司佛山分公司</w:t>
      </w:r>
    </w:p>
    <w:p>
      <w:pPr>
        <w:pStyle w:val="null3"/>
        <w:ind w:firstLine="480"/>
      </w:pPr>
      <w:r>
        <w:rPr/>
        <w:t xml:space="preserve"> 你方组织的</w:t>
      </w:r>
      <w:r>
        <w:rPr>
          <w:u w:val="single"/>
        </w:rPr>
        <w:t>“</w:t>
      </w:r>
      <w:r>
        <w:rPr>
          <w:u w:val="single"/>
        </w:rPr>
        <w:t>南海公安数字集群系统维护服务项目</w:t>
      </w:r>
      <w:r>
        <w:rPr>
          <w:u w:val="single"/>
        </w:rPr>
        <w:t>”</w:t>
      </w:r>
      <w:r>
        <w:rPr/>
        <w:t>项目的竞争性磋商[采购项目编号为：</w:t>
      </w:r>
      <w:r>
        <w:rPr>
          <w:u w:val="single"/>
        </w:rPr>
        <w:t>JF2024（NH）WS0117</w:t>
      </w:r>
      <w:r>
        <w:rPr/>
        <w:t>]，我方愿参与响应。</w:t>
      </w:r>
    </w:p>
    <w:p>
      <w:pPr>
        <w:pStyle w:val="null3"/>
        <w:ind w:firstLine="480"/>
      </w:pPr>
      <w:r>
        <w:rPr/>
        <w:t>我方确认收到贵方提供的</w:t>
      </w:r>
      <w:r>
        <w:rPr>
          <w:u w:val="single"/>
        </w:rPr>
        <w:t>“</w:t>
      </w:r>
      <w:r>
        <w:rPr>
          <w:u w:val="single"/>
        </w:rPr>
        <w:t>南海公安数字集群系统维护服务项目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华睿诚项目管理有限公司佛山分公司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南海公安数字集群系统维护服务项目</w:t>
      </w:r>
      <w:r>
        <w:rPr/>
        <w:t>”项目采购[采购项目编号为</w:t>
      </w:r>
      <w:r>
        <w:rPr/>
        <w:t>JF2024（NH）WS0117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佛山市公安局南海分局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华睿诚项目管理有限公司佛山分公司</w:t>
      </w:r>
    </w:p>
    <w:p>
      <w:pPr>
        <w:pStyle w:val="null3"/>
        <w:ind w:firstLine="480"/>
      </w:pPr>
      <w:r>
        <w:rPr/>
        <w:t>我单位参加贵公司组织的</w:t>
      </w:r>
      <w:r>
        <w:rPr/>
        <w:t>南海公安数字集群系统维护服务项目</w:t>
      </w:r>
      <w:r>
        <w:rPr/>
        <w:t>（采购项目编号：</w:t>
      </w:r>
      <w:r>
        <w:rPr/>
        <w:t>JF2024（NH）WS0117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华睿诚项目管理有限公司佛山分公司</w:t>
      </w:r>
    </w:p>
    <w:p>
      <w:pPr>
        <w:pStyle w:val="null3"/>
        <w:ind w:firstLine="480"/>
      </w:pPr>
      <w:r>
        <w:rPr/>
        <w:t>我单位已登记并准备参与“</w:t>
      </w:r>
      <w:r>
        <w:rPr/>
        <w:t>南海公安数字集群系统维护服务项目</w:t>
      </w:r>
      <w:r>
        <w:rPr/>
        <w:t>”项目（采购项目编号：</w:t>
      </w:r>
      <w:r>
        <w:rPr/>
        <w:t>JF2024（NH）WS0117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