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版本号：N510106202600020220260720001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2026年教职工体检服务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N5101062026000202</w:t>
      </w:r>
    </w:p>
    <w:p>
      <w:pPr>
        <w:pStyle w:val="null3"/>
        <w:jc w:val="left"/>
        <w:outlineLvl w:val="2"/>
      </w:pPr>
      <w:r>
        <w:rPr>
          <w:rFonts w:ascii="仿宋_GB2312" w:hAnsi="仿宋_GB2312" w:cs="仿宋_GB2312" w:eastAsia="仿宋_GB2312"/>
          <w:sz w:val="28"/>
          <w:b/>
        </w:rPr>
        <w:t>成都市第十八中学校</w:t>
      </w:r>
    </w:p>
    <w:p>
      <w:pPr>
        <w:pStyle w:val="null3"/>
        <w:jc w:val="center"/>
        <w:outlineLvl w:val="2"/>
      </w:pPr>
      <w:r>
        <w:rPr>
          <w:rFonts w:ascii="仿宋_GB2312" w:hAnsi="仿宋_GB2312" w:cs="仿宋_GB2312" w:eastAsia="仿宋_GB2312"/>
          <w:sz w:val="28"/>
          <w:b/>
        </w:rPr>
        <w:t>四川益中招标代理有限公司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四川益中招标代理有限公司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成都市第十八中学校</w:t>
      </w:r>
      <w:r>
        <w:rPr>
          <w:rFonts w:ascii="仿宋_GB2312" w:hAnsi="仿宋_GB2312" w:cs="仿宋_GB2312" w:eastAsia="仿宋_GB2312"/>
        </w:rPr>
        <w:t xml:space="preserve"> 委托，拟对 </w:t>
      </w:r>
      <w:r>
        <w:rPr>
          <w:rFonts w:ascii="仿宋_GB2312" w:hAnsi="仿宋_GB2312" w:cs="仿宋_GB2312" w:eastAsia="仿宋_GB2312"/>
        </w:rPr>
        <w:t>2026年教职工体检服务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成都市金牛区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N5101062026000202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2026年教职工体检服务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为保障教职工身体健康，做到疾病早预防、早发现、早治疗、保健康，成都市第十八中学校拟组织2026年教职工人员体检。 参与体检的人数预计为490人，其中男士180人、女士310人（已婚女士290人，未婚女士20人）</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备国家行政主管部门颁发的有效的《医疗机构执业许可证》、《辐射安全许可证》、《放射诊疗许可证》（描述：具备国家行政主管部门颁发的有效的《医疗机构执业许可证》、《辐射安全许可证》、《放射诊疗许可证》，提供上述证书复印件并进行电子签章。（注：供应商已办理多证合一的，只须提供有效的诊疗科目含放射诊断或放射治疗的《医疗机构执业许可证》和有效的《辐射安全许可证》即可)。）</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成都市第十八中学校</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白果林小区金罗路4号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028-87762416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四川益中招标代理有限公司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成都市金牛区蜀西路9号丰德羊西中心13楼1302</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028-60170017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采购包1：549,995.60元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代理服务费收费标准：参照《招标代理服务收费管理暂行办法》（计价格〔2002〕1980号）、《国家发展改革改革委办公厅关于招标代理服务收费有关问题的通知》（发改办价格〔2003〕857号 ）相应标准85%计取，招标代理费计算不足8000元按8000元收取。</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成都市第十八中学校</w:t>
      </w:r>
      <w:r>
        <w:rPr>
          <w:rFonts w:ascii="仿宋_GB2312" w:hAnsi="仿宋_GB2312" w:cs="仿宋_GB2312" w:eastAsia="仿宋_GB2312"/>
        </w:rPr>
        <w:t xml:space="preserve"> 和 </w:t>
      </w:r>
      <w:r>
        <w:rPr>
          <w:rFonts w:ascii="仿宋_GB2312" w:hAnsi="仿宋_GB2312" w:cs="仿宋_GB2312" w:eastAsia="仿宋_GB2312"/>
        </w:rPr>
        <w:t>四川益中招标代理有限公司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成都市第十八中学校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四川益中招标代理有限公司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按招标文件要求及投标文件进行验收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按招标文件要求及投标文件进行验收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按招标文件要求及投标文件进行验收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质量要求和技术指标(包括每一项技术和商务要求的履约情况)、供应商响应文件及承诺与本合同约定标准进行验收；双方如对质量要求和技术指标的约定标准有相互抵触或异议的事项，由采购人在成交供应商响应文件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 号)和采购人相关要求进行验收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成都市第十八中学校</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四川益中招标代理有限公司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四川益中招标代理有限公司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联系人：周老师</w:t>
      </w:r>
    </w:p>
    <w:p>
      <w:pPr>
        <w:pStyle w:val="null3"/>
        <w:jc w:val="left"/>
      </w:pPr>
      <w:r>
        <w:rPr>
          <w:rFonts w:ascii="仿宋_GB2312" w:hAnsi="仿宋_GB2312" w:cs="仿宋_GB2312" w:eastAsia="仿宋_GB2312"/>
        </w:rPr>
        <w:t>联系电话：028-60170017</w:t>
      </w:r>
    </w:p>
    <w:p>
      <w:pPr>
        <w:pStyle w:val="null3"/>
        <w:jc w:val="left"/>
      </w:pPr>
      <w:r>
        <w:rPr>
          <w:rFonts w:ascii="仿宋_GB2312" w:hAnsi="仿宋_GB2312" w:cs="仿宋_GB2312" w:eastAsia="仿宋_GB2312"/>
        </w:rPr>
        <w:t>地址：成都市金牛区蜀西路9号丰德羊西中心13楼1302</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549,995.60</w:t>
      </w:r>
    </w:p>
    <w:p>
      <w:pPr>
        <w:pStyle w:val="null3"/>
        <w:jc w:val="left"/>
      </w:pPr>
      <w:r>
        <w:rPr>
          <w:rFonts w:ascii="仿宋_GB2312" w:hAnsi="仿宋_GB2312" w:cs="仿宋_GB2312" w:eastAsia="仿宋_GB2312"/>
        </w:rPr>
        <w:t>采购包最高限价（元）: 549,995.60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C04070100 体检服务</w:t>
            </w:r>
          </w:p>
        </w:tc>
        <w:tc>
          <w:tcPr>
            <w:tcW w:type="dxa" w:w="821"/>
          </w:tcPr>
          <w:p>
            <w:pPr>
              <w:pStyle w:val="null3"/>
              <w:jc w:val="left"/>
            </w:pPr>
            <w:r>
              <w:rPr>
                <w:rFonts w:ascii="仿宋_GB2312" w:hAnsi="仿宋_GB2312" w:cs="仿宋_GB2312" w:eastAsia="仿宋_GB2312"/>
              </w:rPr>
              <w:t>体检服务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549,995.60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体检服务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549,995.60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标的名称：体检服务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体检项目清单</w:t>
            </w:r>
          </w:p>
        </w:tc>
        <w:tc>
          <w:tcPr>
            <w:tcW w:type="dxa" w:w="5814"/>
          </w:tcPr>
          <w:tbl>
            <w:tblPr>
              <w:tblInd w:type="dxa" w:w="105"/>
              <w:tblBorders>
                <w:top w:val="none" w:color="000000" w:sz="4"/>
                <w:left w:val="none" w:color="000000" w:sz="4"/>
                <w:bottom w:val="none" w:color="000000" w:sz="4"/>
                <w:right w:val="none" w:color="000000" w:sz="4"/>
                <w:insideH w:val="none"/>
                <w:insideV w:val="none"/>
              </w:tblBorders>
            </w:tblPr>
            <w:tblGrid>
              <w:gridCol w:w="976"/>
              <w:gridCol w:w="2211"/>
              <w:gridCol w:w="2231"/>
              <w:gridCol w:w="976"/>
              <w:gridCol w:w="976"/>
              <w:gridCol w:w="986"/>
            </w:tblGrid>
            <w:tr>
              <w:tc>
                <w:tcPr>
                  <w:tcW w:type="dxa" w:w="3187"/>
                  <w:gridSpan w:val="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项目内容</w:t>
                  </w:r>
                </w:p>
              </w:tc>
              <w:tc>
                <w:tcPr>
                  <w:tcW w:type="dxa" w:w="223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检测意义</w:t>
                  </w:r>
                </w:p>
              </w:tc>
              <w:tc>
                <w:tcPr>
                  <w:tcW w:type="dxa" w:w="97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男</w:t>
                  </w:r>
                </w:p>
              </w:tc>
              <w:tc>
                <w:tcPr>
                  <w:tcW w:type="dxa" w:w="97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未婚女</w:t>
                  </w:r>
                </w:p>
              </w:tc>
              <w:tc>
                <w:tcPr>
                  <w:tcW w:type="dxa" w:w="9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已婚女</w:t>
                  </w:r>
                </w:p>
              </w:tc>
            </w:tr>
            <w:tr>
              <w:tc>
                <w:tcPr>
                  <w:tcW w:type="dxa" w:w="9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一般检查</w:t>
                  </w: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问诊个人过去及现有病史、药物过敏史、家族史，检测身高、体重、血压、体重指数。</w:t>
                  </w:r>
                </w:p>
              </w:tc>
              <w:tc>
                <w:tcPr>
                  <w:tcW w:type="dxa" w:w="2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了解身体的基本状况，判断有无血压异常，体重指数是否正常等。</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9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内科检查</w:t>
                  </w: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内科专家进一步了解个人身体基本情况，检查营养、面容、体态、胸廓、心脏、肺部、腹部、肾区叩痛、神经系统等。</w:t>
                  </w:r>
                </w:p>
              </w:tc>
              <w:tc>
                <w:tcPr>
                  <w:tcW w:type="dxa" w:w="2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初步检查内科方面身体有无异常，重点排除一些有明显异常表现的心肺疾病等。</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9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外科检查</w:t>
                  </w: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检查甲状腺、淋巴结、脊柱、四肢、关节、疝气、乳腺。</w:t>
                  </w:r>
                </w:p>
              </w:tc>
              <w:tc>
                <w:tcPr>
                  <w:tcW w:type="dxa" w:w="2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初步检查外科方面身体有无异常，初步排除有无明显增大的甲状腺肿块、乳腺肿块等。</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976"/>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眼科检查</w:t>
                  </w:r>
                </w:p>
              </w:tc>
              <w:tc>
                <w:tcPr>
                  <w:tcW w:type="dxa" w:w="2211"/>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眼底照相</w:t>
                  </w:r>
                </w:p>
              </w:tc>
              <w:tc>
                <w:tcPr>
                  <w:tcW w:type="dxa" w:w="2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视网膜检测、黄斑变性、糖尿病、高血压等慢病筛查、监控。</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976"/>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全数码彩超检查</w:t>
                  </w:r>
                </w:p>
              </w:tc>
              <w:tc>
                <w:tcPr>
                  <w:tcW w:type="dxa" w:w="221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1.上腹部:肝、胆（胆囊、胆总管）、脾、胰、双肾。</w:t>
                  </w:r>
                </w:p>
              </w:tc>
              <w:tc>
                <w:tcPr>
                  <w:tcW w:type="dxa" w:w="2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检查腹部各脏器形态是否正常，腹部脏器的一些常见病，如脂肪肝、肝硬化、肝癌、胆囊炎、胆结石、胰腺肿瘤、肾结石、囊肿等</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976"/>
                  <w:vMerge/>
                  <w:tcBorders>
                    <w:top w:val="single" w:color="000000" w:sz="4"/>
                    <w:left w:val="single" w:color="000000" w:sz="4"/>
                    <w:bottom w:val="single" w:color="000000" w:sz="4"/>
                    <w:right w:val="single" w:color="000000" w:sz="4"/>
                  </w:tcBorders>
                </w:tcP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2.下腹部:男性前列腺、输尿管、膀胱</w:t>
                  </w:r>
                </w:p>
              </w:tc>
              <w:tc>
                <w:tcPr>
                  <w:tcW w:type="dxa" w:w="2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对男性输尿管、膀胱、前列腺的检查，前列腺是否有肥大、增生、结石等。</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976"/>
                  <w:vMerge/>
                  <w:tcBorders>
                    <w:top w:val="single" w:color="000000" w:sz="4"/>
                    <w:left w:val="single" w:color="000000" w:sz="4"/>
                    <w:bottom w:val="single" w:color="000000" w:sz="4"/>
                    <w:right w:val="single" w:color="000000" w:sz="4"/>
                  </w:tcBorders>
                </w:tcP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3.下腹部:女性肾、输尿管、膀胱及子宫附件</w:t>
                  </w:r>
                </w:p>
              </w:tc>
              <w:tc>
                <w:tcPr>
                  <w:tcW w:type="dxa" w:w="2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检查女性子宫肌瘤、卵巢囊肿等。</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976"/>
                  <w:vMerge/>
                  <w:tcBorders>
                    <w:top w:val="single" w:color="000000" w:sz="4"/>
                    <w:left w:val="single" w:color="000000" w:sz="4"/>
                    <w:bottom w:val="single" w:color="000000" w:sz="4"/>
                    <w:right w:val="single" w:color="000000" w:sz="4"/>
                  </w:tcBorders>
                </w:tcP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 甲状腺及淋巴彩超</w:t>
                  </w:r>
                </w:p>
              </w:tc>
              <w:tc>
                <w:tcPr>
                  <w:tcW w:type="dxa" w:w="2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早期发现和诊断甲状腺肿瘤等病变（含图文彩打报告）</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976"/>
                  <w:vMerge/>
                  <w:tcBorders>
                    <w:top w:val="single" w:color="000000" w:sz="4"/>
                    <w:left w:val="single" w:color="000000" w:sz="4"/>
                    <w:bottom w:val="single" w:color="000000" w:sz="4"/>
                    <w:right w:val="single" w:color="000000" w:sz="4"/>
                  </w:tcBorders>
                </w:tcP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5.胸部:女性双乳腺 及腋下淋巴</w:t>
                  </w:r>
                </w:p>
              </w:tc>
              <w:tc>
                <w:tcPr>
                  <w:tcW w:type="dxa" w:w="2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诊断女性乳腺有无小叶增生，有无肿块，初步判断乳腺肿瘤的性质。</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9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静态心电图检查</w:t>
                  </w: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静态心电图（十二导联检查）</w:t>
                  </w:r>
                </w:p>
              </w:tc>
              <w:tc>
                <w:tcPr>
                  <w:tcW w:type="dxa" w:w="2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检测各种心律失常、心肌梗塞、心房心室肥大及心肌缺血缺氧性的改变。</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9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放射检测</w:t>
                  </w: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胸部</w:t>
                  </w:r>
                  <w:r>
                    <w:rPr>
                      <w:rFonts w:ascii="仿宋_GB2312" w:hAnsi="仿宋_GB2312" w:cs="仿宋_GB2312" w:eastAsia="仿宋_GB2312"/>
                      <w:sz w:val="20"/>
                      <w:color w:val="000000"/>
                    </w:rPr>
                    <w:t>CT</w:t>
                  </w:r>
                </w:p>
              </w:tc>
              <w:tc>
                <w:tcPr>
                  <w:tcW w:type="dxa" w:w="2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低剂量螺旋</w:t>
                  </w:r>
                  <w:r>
                    <w:rPr>
                      <w:rFonts w:ascii="仿宋_GB2312" w:hAnsi="仿宋_GB2312" w:cs="仿宋_GB2312" w:eastAsia="仿宋_GB2312"/>
                      <w:sz w:val="20"/>
                      <w:color w:val="000000"/>
                    </w:rPr>
                    <w:t>CT排除肺部、纵隔部肿瘤，是肺癌诊断的黄金标准。</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9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碳</w:t>
                  </w:r>
                  <w:r>
                    <w:rPr>
                      <w:rFonts w:ascii="仿宋_GB2312" w:hAnsi="仿宋_GB2312" w:cs="仿宋_GB2312" w:eastAsia="仿宋_GB2312"/>
                      <w:sz w:val="20"/>
                      <w:color w:val="000000"/>
                    </w:rPr>
                    <w:t>13尿素呼气试验</w:t>
                  </w:r>
                </w:p>
              </w:tc>
              <w:tc>
                <w:tcPr>
                  <w:tcW w:type="dxa" w:w="2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吹气检查幽门螺旋杆菌感染，安全、快捷、无放射性，适用于幽门螺旋杆菌根治疗效的重复检测。</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9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动脉硬化检测</w:t>
                  </w:r>
                </w:p>
              </w:tc>
              <w:tc>
                <w:tcPr>
                  <w:tcW w:type="dxa" w:w="2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测定动脉僵硬度；判定有无早期动脉硬化，预测心血管病风险</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9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数字化双能</w:t>
                  </w:r>
                  <w:r>
                    <w:rPr>
                      <w:rFonts w:ascii="仿宋_GB2312" w:hAnsi="仿宋_GB2312" w:cs="仿宋_GB2312" w:eastAsia="仿宋_GB2312"/>
                      <w:sz w:val="20"/>
                      <w:color w:val="000000"/>
                    </w:rPr>
                    <w:t>X线骨密度检测</w:t>
                  </w:r>
                </w:p>
              </w:tc>
              <w:tc>
                <w:tcPr>
                  <w:tcW w:type="dxa" w:w="2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数字化、低辐射、精准；可进行骨密度、骨结构、骨强度评估</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9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血常规</w:t>
                  </w:r>
                  <w:r>
                    <w:rPr>
                      <w:rFonts w:ascii="仿宋_GB2312" w:hAnsi="仿宋_GB2312" w:cs="仿宋_GB2312" w:eastAsia="仿宋_GB2312"/>
                      <w:sz w:val="20"/>
                      <w:color w:val="000000"/>
                    </w:rPr>
                    <w:t>23项(五分类)</w:t>
                  </w: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1.白细胞 2.粒细胞比值3.淋巴细胞比值4.单核细胞比值5.嗜酸性粒细胞比值6.嗜碱性粒细胞比值7.粒细胞绝对值8.淋巴细胞绝对值9.单核细胞绝对值10.嗜酸性粒细胞绝对值11.嗜碱性粒细胞绝对值12.血小板13.血小板平均体积14.血小板分布宽度15.大血小板比率16.红细胞17.红细胞压积18.血红蛋白19.红细胞分布宽度CV20.红细胞分布宽度SD21.红细胞平均体积22.平均血红蛋白含量23.平均血红蛋白浓度</w:t>
                  </w:r>
                </w:p>
              </w:tc>
              <w:tc>
                <w:tcPr>
                  <w:tcW w:type="dxa" w:w="2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检测贫血、炎症、血液病、肝、脾的病变和临时性感染。</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9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尿液常规</w:t>
                  </w: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1.尿比重2.尿PH值3.亚硝酸盐4.尿蛋白</w:t>
                  </w:r>
                </w:p>
              </w:tc>
              <w:tc>
                <w:tcPr>
                  <w:tcW w:type="dxa" w:w="2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检测有无泌尿系感染，了解肾功能情况，了解尿糖情况。</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9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血糖检测</w:t>
                  </w: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空腹血糖</w:t>
                  </w:r>
                </w:p>
              </w:tc>
              <w:tc>
                <w:tcPr>
                  <w:tcW w:type="dxa" w:w="2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判断有无糖尿病及糖尿病患者的血糖控制情况，有无低血糖。</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976"/>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甲状腺功能检测</w:t>
                  </w:r>
                </w:p>
              </w:tc>
              <w:tc>
                <w:tcPr>
                  <w:tcW w:type="dxa" w:w="2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甲功</w:t>
                  </w:r>
                  <w:r>
                    <w:rPr>
                      <w:rFonts w:ascii="仿宋_GB2312" w:hAnsi="仿宋_GB2312" w:cs="仿宋_GB2312" w:eastAsia="仿宋_GB2312"/>
                      <w:sz w:val="22"/>
                      <w:color w:val="000000"/>
                    </w:rPr>
                    <w:t>3</w:t>
                  </w:r>
                  <w:r>
                    <w:rPr>
                      <w:rFonts w:ascii="仿宋_GB2312" w:hAnsi="仿宋_GB2312" w:cs="仿宋_GB2312" w:eastAsia="仿宋_GB2312"/>
                      <w:sz w:val="22"/>
                      <w:color w:val="000000"/>
                    </w:rPr>
                    <w:t>项（</w:t>
                  </w:r>
                  <w:r>
                    <w:rPr>
                      <w:rFonts w:ascii="仿宋_GB2312" w:hAnsi="仿宋_GB2312" w:cs="仿宋_GB2312" w:eastAsia="仿宋_GB2312"/>
                      <w:sz w:val="22"/>
                      <w:color w:val="000000"/>
                    </w:rPr>
                    <w:t>TSH</w:t>
                  </w:r>
                  <w:r>
                    <w:rPr>
                      <w:rFonts w:ascii="仿宋_GB2312" w:hAnsi="仿宋_GB2312" w:cs="仿宋_GB2312" w:eastAsia="仿宋_GB2312"/>
                      <w:sz w:val="22"/>
                      <w:color w:val="000000"/>
                    </w:rPr>
                    <w:t>、</w:t>
                  </w:r>
                  <w:r>
                    <w:rPr>
                      <w:rFonts w:ascii="仿宋_GB2312" w:hAnsi="仿宋_GB2312" w:cs="仿宋_GB2312" w:eastAsia="仿宋_GB2312"/>
                      <w:sz w:val="22"/>
                      <w:color w:val="000000"/>
                    </w:rPr>
                    <w:t>T3</w:t>
                  </w:r>
                  <w:r>
                    <w:rPr>
                      <w:rFonts w:ascii="仿宋_GB2312" w:hAnsi="仿宋_GB2312" w:cs="仿宋_GB2312" w:eastAsia="仿宋_GB2312"/>
                      <w:sz w:val="22"/>
                      <w:color w:val="000000"/>
                    </w:rPr>
                    <w:t>、</w:t>
                  </w:r>
                  <w:r>
                    <w:rPr>
                      <w:rFonts w:ascii="仿宋_GB2312" w:hAnsi="仿宋_GB2312" w:cs="仿宋_GB2312" w:eastAsia="仿宋_GB2312"/>
                      <w:sz w:val="22"/>
                      <w:color w:val="000000"/>
                    </w:rPr>
                    <w:t>T4</w:t>
                  </w:r>
                  <w:r>
                    <w:rPr>
                      <w:rFonts w:ascii="仿宋_GB2312" w:hAnsi="仿宋_GB2312" w:cs="仿宋_GB2312" w:eastAsia="仿宋_GB2312"/>
                      <w:sz w:val="22"/>
                      <w:color w:val="000000"/>
                    </w:rPr>
                    <w:t>、）</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976"/>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肾功（</w:t>
                  </w:r>
                  <w:r>
                    <w:rPr>
                      <w:rFonts w:ascii="仿宋_GB2312" w:hAnsi="仿宋_GB2312" w:cs="仿宋_GB2312" w:eastAsia="仿宋_GB2312"/>
                      <w:sz w:val="20"/>
                      <w:color w:val="000000"/>
                    </w:rPr>
                    <w:t>6项）</w:t>
                  </w:r>
                </w:p>
              </w:tc>
              <w:tc>
                <w:tcPr>
                  <w:tcW w:type="dxa" w:w="2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肾功</w:t>
                  </w:r>
                  <w:r>
                    <w:rPr>
                      <w:rFonts w:ascii="仿宋_GB2312" w:hAnsi="仿宋_GB2312" w:cs="仿宋_GB2312" w:eastAsia="仿宋_GB2312"/>
                      <w:sz w:val="20"/>
                      <w:color w:val="000000"/>
                    </w:rPr>
                    <w:t>4项+α1微球蛋白测定+β2微球蛋白测定（肾脏方面疾病和肾功能评估）</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976"/>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血尿酸</w:t>
                  </w:r>
                </w:p>
              </w:tc>
              <w:tc>
                <w:tcPr>
                  <w:tcW w:type="dxa" w:w="2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有助于肾脏损伤的早期诊断及痛风的诊断</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97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肝功能检测</w:t>
                  </w: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肝功能（</w:t>
                  </w:r>
                  <w:r>
                    <w:rPr>
                      <w:rFonts w:ascii="仿宋_GB2312" w:hAnsi="仿宋_GB2312" w:cs="仿宋_GB2312" w:eastAsia="仿宋_GB2312"/>
                      <w:sz w:val="20"/>
                      <w:color w:val="000000"/>
                    </w:rPr>
                    <w:t>11项）</w:t>
                  </w:r>
                </w:p>
              </w:tc>
              <w:tc>
                <w:tcPr>
                  <w:tcW w:type="dxa" w:w="2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了解肝脏功能情况，是否肝脏功能损害、胆道梗阻等，急慢性肝炎、酒精性肝炎、脂肪肝、肝硬化等病症筛查（含总蛋白、白蛋白、天门冬氨酸氨基转移酶、丙氨酸氨基转移酶、总胆红素、直接胆红素、间接胆红素、碱性磷酸酶</w:t>
                  </w:r>
                  <w:r>
                    <w:rPr>
                      <w:rFonts w:ascii="仿宋_GB2312" w:hAnsi="仿宋_GB2312" w:cs="仿宋_GB2312" w:eastAsia="仿宋_GB2312"/>
                      <w:sz w:val="20"/>
                      <w:color w:val="000000"/>
                    </w:rPr>
                    <w:t>,胆碱酯酶、谷氨酰基转移酶、总胆汁酸）</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血脂（</w:t>
                  </w:r>
                  <w:r>
                    <w:rPr>
                      <w:rFonts w:ascii="仿宋_GB2312" w:hAnsi="仿宋_GB2312" w:cs="仿宋_GB2312" w:eastAsia="仿宋_GB2312"/>
                      <w:sz w:val="20"/>
                      <w:color w:val="000000"/>
                    </w:rPr>
                    <w:t>4项）</w:t>
                  </w:r>
                </w:p>
              </w:tc>
              <w:tc>
                <w:tcPr>
                  <w:tcW w:type="dxa" w:w="2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血脂（</w:t>
                  </w:r>
                  <w:r>
                    <w:rPr>
                      <w:rFonts w:ascii="仿宋_GB2312" w:hAnsi="仿宋_GB2312" w:cs="仿宋_GB2312" w:eastAsia="仿宋_GB2312"/>
                      <w:sz w:val="20"/>
                      <w:color w:val="000000"/>
                    </w:rPr>
                    <w:t>4项）</w:t>
                  </w:r>
                </w:p>
              </w:tc>
              <w:tc>
                <w:tcPr>
                  <w:tcW w:type="dxa" w:w="2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4项：总胆固醇、甘油三脂、高密度脂蛋白、低密度脂蛋白   </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97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肿瘤检测</w:t>
                  </w: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甲胎蛋白（</w:t>
                  </w:r>
                  <w:r>
                    <w:rPr>
                      <w:rFonts w:ascii="仿宋_GB2312" w:hAnsi="仿宋_GB2312" w:cs="仿宋_GB2312" w:eastAsia="仿宋_GB2312"/>
                      <w:sz w:val="20"/>
                      <w:color w:val="000000"/>
                    </w:rPr>
                    <w:t xml:space="preserve">AFP）     </w:t>
                  </w:r>
                </w:p>
              </w:tc>
              <w:tc>
                <w:tcPr>
                  <w:tcW w:type="dxa" w:w="2231"/>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检测临床上常见的男、女各</w:t>
                  </w:r>
                  <w:r>
                    <w:rPr>
                      <w:rFonts w:ascii="仿宋_GB2312" w:hAnsi="仿宋_GB2312" w:cs="仿宋_GB2312" w:eastAsia="仿宋_GB2312"/>
                      <w:sz w:val="20"/>
                      <w:color w:val="000000"/>
                    </w:rPr>
                    <w:t>7项肿瘤，对判断身体不同脏器肿瘤有指导意义（原发性肝癌、睾丸癌、卵巢癌、消化系统肿瘤、肺癌、乳腺癌、前列腺癌等）</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976"/>
                  <w:vMerge/>
                  <w:tcBorders>
                    <w:top w:val="none" w:color="000000" w:sz="4"/>
                    <w:left w:val="single" w:color="000000" w:sz="4"/>
                    <w:bottom w:val="single" w:color="000000" w:sz="4"/>
                    <w:right w:val="single" w:color="000000" w:sz="4"/>
                  </w:tcBorders>
                </w:tcP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癌胚抗原</w:t>
                  </w:r>
                  <w:r>
                    <w:rPr>
                      <w:rFonts w:ascii="仿宋_GB2312" w:hAnsi="仿宋_GB2312" w:cs="仿宋_GB2312" w:eastAsia="仿宋_GB2312"/>
                      <w:sz w:val="20"/>
                      <w:color w:val="000000"/>
                    </w:rPr>
                    <w:t>CEA（定量）</w:t>
                  </w:r>
                </w:p>
              </w:tc>
              <w:tc>
                <w:tcPr>
                  <w:tcW w:type="dxa" w:w="2231"/>
                  <w:vMerge/>
                  <w:tcBorders>
                    <w:top w:val="none" w:color="000000" w:sz="4"/>
                    <w:left w:val="none" w:color="000000" w:sz="4"/>
                    <w:bottom w:val="none" w:color="000000" w:sz="4"/>
                    <w:right w:val="single" w:color="000000" w:sz="4"/>
                  </w:tcBorders>
                </w:tcP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976"/>
                  <w:vMerge/>
                  <w:tcBorders>
                    <w:top w:val="none" w:color="000000" w:sz="4"/>
                    <w:left w:val="single" w:color="000000" w:sz="4"/>
                    <w:bottom w:val="single" w:color="000000" w:sz="4"/>
                    <w:right w:val="single" w:color="000000" w:sz="4"/>
                  </w:tcBorders>
                </w:tcP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总前列腺特异性抗原测定（</w:t>
                  </w:r>
                  <w:r>
                    <w:rPr>
                      <w:rFonts w:ascii="仿宋_GB2312" w:hAnsi="仿宋_GB2312" w:cs="仿宋_GB2312" w:eastAsia="仿宋_GB2312"/>
                      <w:sz w:val="20"/>
                      <w:color w:val="000000"/>
                    </w:rPr>
                    <w:t>TPSA）</w:t>
                  </w:r>
                </w:p>
              </w:tc>
              <w:tc>
                <w:tcPr>
                  <w:tcW w:type="dxa" w:w="2231"/>
                  <w:vMerge/>
                  <w:tcBorders>
                    <w:top w:val="none" w:color="000000" w:sz="4"/>
                    <w:left w:val="none" w:color="000000" w:sz="4"/>
                    <w:bottom w:val="none" w:color="000000" w:sz="4"/>
                    <w:right w:val="single" w:color="000000" w:sz="4"/>
                  </w:tcBorders>
                </w:tcP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976"/>
                  <w:vMerge/>
                  <w:tcBorders>
                    <w:top w:val="none" w:color="000000" w:sz="4"/>
                    <w:left w:val="single" w:color="000000" w:sz="4"/>
                    <w:bottom w:val="single" w:color="000000" w:sz="4"/>
                    <w:right w:val="single" w:color="000000" w:sz="4"/>
                  </w:tcBorders>
                </w:tcP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游离前列腺特异抗原</w:t>
                  </w:r>
                  <w:r>
                    <w:rPr>
                      <w:rFonts w:ascii="仿宋_GB2312" w:hAnsi="仿宋_GB2312" w:cs="仿宋_GB2312" w:eastAsia="仿宋_GB2312"/>
                      <w:sz w:val="20"/>
                      <w:color w:val="000000"/>
                    </w:rPr>
                    <w:t>FPSA</w:t>
                  </w:r>
                </w:p>
              </w:tc>
              <w:tc>
                <w:tcPr>
                  <w:tcW w:type="dxa" w:w="2231"/>
                  <w:vMerge/>
                  <w:tcBorders>
                    <w:top w:val="none" w:color="000000" w:sz="4"/>
                    <w:left w:val="none" w:color="000000" w:sz="4"/>
                    <w:bottom w:val="none" w:color="000000" w:sz="4"/>
                    <w:right w:val="single" w:color="000000" w:sz="4"/>
                  </w:tcBorders>
                </w:tcP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97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妇科检查</w:t>
                  </w: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1.妇科常规检查阴道、宫颈、子宫、附件等</w:t>
                  </w:r>
                </w:p>
              </w:tc>
              <w:tc>
                <w:tcPr>
                  <w:tcW w:type="dxa" w:w="2231"/>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检查妇科常见疾病，如子宫肌瘤、卵巢囊肿、细菌性阴道炎、霉菌性和滴虫性阴道炎、宫颈有无炎症和少数癌变、有无人乳头瘤病毒感染等。</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976"/>
                  <w:vMerge/>
                  <w:tcBorders>
                    <w:top w:val="none" w:color="000000" w:sz="4"/>
                    <w:left w:val="single" w:color="000000" w:sz="4"/>
                    <w:bottom w:val="single" w:color="000000" w:sz="4"/>
                    <w:right w:val="single" w:color="000000" w:sz="4"/>
                  </w:tcBorders>
                </w:tcP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2.TCT宫颈刮片（已婚女性）</w:t>
                  </w:r>
                </w:p>
              </w:tc>
              <w:tc>
                <w:tcPr>
                  <w:tcW w:type="dxa" w:w="2231"/>
                  <w:vMerge/>
                  <w:tcBorders>
                    <w:top w:val="single" w:color="000000" w:sz="4"/>
                    <w:left w:val="none" w:color="000000" w:sz="4"/>
                    <w:bottom w:val="single" w:color="000000" w:sz="4"/>
                    <w:right w:val="single" w:color="000000" w:sz="4"/>
                  </w:tcBorders>
                </w:tcP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9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营养早餐</w:t>
                  </w: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营养早餐</w:t>
                  </w:r>
                </w:p>
              </w:tc>
              <w:tc>
                <w:tcPr>
                  <w:tcW w:type="dxa" w:w="2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9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报告评估</w:t>
                  </w: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专家团评估</w:t>
                  </w:r>
                </w:p>
              </w:tc>
              <w:tc>
                <w:tcPr>
                  <w:tcW w:type="dxa" w:w="2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至少三位专家进行最后报告汇总分析，防止个人观点的片面性，确保健康建议的科学性、合理性、全面性。</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97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体检后续服务</w:t>
                  </w: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个人书面体检报告一份</w:t>
                  </w:r>
                </w:p>
              </w:tc>
              <w:tc>
                <w:tcPr>
                  <w:tcW w:type="dxa" w:w="2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976"/>
                  <w:vMerge/>
                  <w:tcBorders>
                    <w:top w:val="none" w:color="000000" w:sz="4"/>
                    <w:left w:val="single" w:color="000000" w:sz="4"/>
                    <w:bottom w:val="single" w:color="000000" w:sz="4"/>
                    <w:right w:val="single" w:color="000000" w:sz="4"/>
                  </w:tcBorders>
                </w:tcP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团体体检汇总表（电子版）</w:t>
                  </w:r>
                </w:p>
              </w:tc>
              <w:tc>
                <w:tcPr>
                  <w:tcW w:type="dxa" w:w="2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976"/>
                  <w:vMerge/>
                  <w:tcBorders>
                    <w:top w:val="none" w:color="000000" w:sz="4"/>
                    <w:left w:val="single" w:color="000000" w:sz="4"/>
                    <w:bottom w:val="single" w:color="000000" w:sz="4"/>
                    <w:right w:val="single" w:color="000000" w:sz="4"/>
                  </w:tcBorders>
                </w:tcP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静脉采血及图文报告</w:t>
                  </w:r>
                </w:p>
              </w:tc>
              <w:tc>
                <w:tcPr>
                  <w:tcW w:type="dxa" w:w="2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976"/>
                  <w:vMerge/>
                  <w:tcBorders>
                    <w:top w:val="none" w:color="000000" w:sz="4"/>
                    <w:left w:val="single" w:color="000000" w:sz="4"/>
                    <w:bottom w:val="single" w:color="000000" w:sz="4"/>
                    <w:right w:val="single" w:color="000000" w:sz="4"/>
                  </w:tcBorders>
                </w:tcP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体检后专家一对一上门讲解报告</w:t>
                  </w:r>
                </w:p>
              </w:tc>
              <w:tc>
                <w:tcPr>
                  <w:tcW w:type="dxa" w:w="2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976"/>
                  <w:vMerge/>
                  <w:tcBorders>
                    <w:top w:val="none" w:color="000000" w:sz="4"/>
                    <w:left w:val="single" w:color="000000" w:sz="4"/>
                    <w:bottom w:val="single" w:color="000000" w:sz="4"/>
                    <w:right w:val="single" w:color="000000" w:sz="4"/>
                  </w:tcBorders>
                </w:tcP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阳性结果的定期随访</w:t>
                  </w:r>
                </w:p>
              </w:tc>
              <w:tc>
                <w:tcPr>
                  <w:tcW w:type="dxa" w:w="2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bl>
          <w:p>
            <w:pPr>
              <w:pStyle w:val="null3"/>
              <w:ind w:firstLine="120"/>
              <w:jc w:val="both"/>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120"/>
              <w:jc w:val="both"/>
            </w:pPr>
            <w:r>
              <w:rPr>
                <w:rFonts w:ascii="仿宋_GB2312" w:hAnsi="仿宋_GB2312" w:cs="仿宋_GB2312" w:eastAsia="仿宋_GB2312"/>
                <w:sz w:val="24"/>
              </w:rPr>
              <w:t>（1）体检报告</w:t>
            </w:r>
          </w:p>
          <w:p>
            <w:pPr>
              <w:pStyle w:val="null3"/>
              <w:ind w:firstLine="120"/>
              <w:jc w:val="both"/>
            </w:pPr>
            <w:r>
              <w:rPr>
                <w:rFonts w:ascii="仿宋_GB2312" w:hAnsi="仿宋_GB2312" w:cs="仿宋_GB2312" w:eastAsia="仿宋_GB2312"/>
                <w:sz w:val="24"/>
              </w:rPr>
              <w:t>①供应商体检项目完毕后15个工作日内出具健康体检报告。</w:t>
            </w:r>
          </w:p>
          <w:p>
            <w:pPr>
              <w:pStyle w:val="null3"/>
              <w:ind w:firstLine="120"/>
              <w:jc w:val="both"/>
            </w:pPr>
            <w:r>
              <w:rPr>
                <w:rFonts w:ascii="仿宋_GB2312" w:hAnsi="仿宋_GB2312" w:cs="仿宋_GB2312" w:eastAsia="仿宋_GB2312"/>
                <w:sz w:val="24"/>
              </w:rPr>
              <w:t>②检查结果未经采购人同意，不得以任何形式对外发表或供研究。</w:t>
            </w:r>
          </w:p>
          <w:p>
            <w:pPr>
              <w:pStyle w:val="null3"/>
              <w:ind w:firstLine="120"/>
              <w:jc w:val="both"/>
            </w:pPr>
            <w:r>
              <w:rPr>
                <w:rFonts w:ascii="仿宋_GB2312" w:hAnsi="仿宋_GB2312" w:cs="仿宋_GB2312" w:eastAsia="仿宋_GB2312"/>
                <w:sz w:val="24"/>
              </w:rPr>
              <w:t>（2）检后服务</w:t>
            </w:r>
          </w:p>
          <w:p>
            <w:pPr>
              <w:pStyle w:val="null3"/>
              <w:ind w:firstLine="120"/>
              <w:jc w:val="both"/>
            </w:pPr>
            <w:r>
              <w:rPr>
                <w:rFonts w:ascii="仿宋_GB2312" w:hAnsi="仿宋_GB2312" w:cs="仿宋_GB2312" w:eastAsia="仿宋_GB2312"/>
                <w:sz w:val="24"/>
              </w:rPr>
              <w:t>（</w:t>
            </w:r>
            <w:r>
              <w:rPr>
                <w:rFonts w:ascii="仿宋_GB2312" w:hAnsi="仿宋_GB2312" w:cs="仿宋_GB2312" w:eastAsia="仿宋_GB2312"/>
                <w:sz w:val="24"/>
              </w:rPr>
              <w:t>1）体检中发现重大阳性体征应在48小时内告知采购人。</w:t>
            </w:r>
          </w:p>
          <w:p>
            <w:pPr>
              <w:pStyle w:val="null3"/>
              <w:ind w:firstLine="120"/>
              <w:jc w:val="both"/>
            </w:pPr>
            <w:r>
              <w:rPr>
                <w:rFonts w:ascii="仿宋_GB2312" w:hAnsi="仿宋_GB2312" w:cs="仿宋_GB2312" w:eastAsia="仿宋_GB2312"/>
                <w:sz w:val="24"/>
              </w:rPr>
              <w:t>（</w:t>
            </w:r>
            <w:r>
              <w:rPr>
                <w:rFonts w:ascii="仿宋_GB2312" w:hAnsi="仿宋_GB2312" w:cs="仿宋_GB2312" w:eastAsia="仿宋_GB2312"/>
                <w:sz w:val="24"/>
              </w:rPr>
              <w:t>2）体检后供应商根据采购人需求提供专业医生送报告及讲解。</w:t>
            </w:r>
          </w:p>
          <w:p>
            <w:pPr>
              <w:pStyle w:val="null3"/>
              <w:ind w:firstLine="120"/>
              <w:jc w:val="both"/>
            </w:pPr>
            <w:r>
              <w:rPr>
                <w:rFonts w:ascii="仿宋_GB2312" w:hAnsi="仿宋_GB2312" w:cs="仿宋_GB2312" w:eastAsia="仿宋_GB2312"/>
                <w:sz w:val="24"/>
              </w:rPr>
              <w:t>（3）结果担保</w:t>
            </w:r>
          </w:p>
          <w:p>
            <w:pPr>
              <w:pStyle w:val="null3"/>
              <w:ind w:firstLine="120"/>
              <w:jc w:val="both"/>
            </w:pPr>
            <w:r>
              <w:rPr>
                <w:rFonts w:ascii="仿宋_GB2312" w:hAnsi="仿宋_GB2312" w:cs="仿宋_GB2312" w:eastAsia="仿宋_GB2312"/>
                <w:sz w:val="24"/>
              </w:rPr>
              <w:t>①供应商需保证检验结果具有准确性及质量。</w:t>
            </w:r>
          </w:p>
          <w:p>
            <w:pPr>
              <w:pStyle w:val="null3"/>
              <w:ind w:firstLine="120"/>
              <w:jc w:val="both"/>
            </w:pPr>
            <w:r>
              <w:rPr>
                <w:rFonts w:ascii="仿宋_GB2312" w:hAnsi="仿宋_GB2312" w:cs="仿宋_GB2312" w:eastAsia="仿宋_GB2312"/>
                <w:sz w:val="24"/>
              </w:rPr>
              <w:t>②若有个别人员对体检结果有疑虑，可至双方认可之第三方医疗机构复查，复查结果有重大误差所产生一切后果由供应商承担。</w:t>
            </w:r>
          </w:p>
          <w:p>
            <w:pPr>
              <w:pStyle w:val="null3"/>
              <w:ind w:firstLine="120"/>
              <w:jc w:val="both"/>
            </w:pPr>
            <w:r>
              <w:rPr>
                <w:rFonts w:ascii="仿宋_GB2312" w:hAnsi="仿宋_GB2312" w:cs="仿宋_GB2312" w:eastAsia="仿宋_GB2312"/>
                <w:sz w:val="24"/>
              </w:rPr>
              <w:t>（4）保密义务</w:t>
            </w:r>
            <w:r>
              <w:rPr>
                <w:rFonts w:ascii="仿宋_GB2312" w:hAnsi="仿宋_GB2312" w:cs="仿宋_GB2312" w:eastAsia="仿宋_GB2312"/>
                <w:sz w:val="32"/>
              </w:rPr>
              <w:t xml:space="preserve"> </w:t>
            </w:r>
          </w:p>
          <w:p>
            <w:pPr>
              <w:pStyle w:val="null3"/>
              <w:ind w:firstLine="120"/>
              <w:jc w:val="both"/>
            </w:pPr>
            <w:r>
              <w:rPr>
                <w:rFonts w:ascii="仿宋_GB2312" w:hAnsi="仿宋_GB2312" w:cs="仿宋_GB2312" w:eastAsia="仿宋_GB2312"/>
                <w:sz w:val="24"/>
              </w:rPr>
              <w:t>①供应商因本合约而获得之采购人之营业秘密，供应商均应负保密义务，并保证其员工、履行辅助人亦应上述营业秘密保持完全之机密。未经采购人事先书面同意者，供应商不得将前述应保密之信息交付予任何第三人或自行运用于供应商营业上。</w:t>
            </w:r>
          </w:p>
          <w:p>
            <w:pPr>
              <w:pStyle w:val="null3"/>
              <w:ind w:firstLine="120"/>
              <w:jc w:val="both"/>
            </w:pPr>
            <w:r>
              <w:rPr>
                <w:rFonts w:ascii="仿宋_GB2312" w:hAnsi="仿宋_GB2312" w:cs="仿宋_GB2312" w:eastAsia="仿宋_GB2312"/>
                <w:sz w:val="24"/>
              </w:rPr>
              <w:t>②前项保密约定为永久有效，不因本合约因工作暂停、终止、撤销或解除而受影响。本合约经终止、撤销或解除时，供应商应依采购人要求，返还为履行本合约所制作、取得之任何和采购人有关之信息、记录及表册予采购人，并不应对此等数据制成任何副本而自行留存。</w:t>
            </w:r>
          </w:p>
          <w:p>
            <w:pPr>
              <w:pStyle w:val="null3"/>
              <w:ind w:firstLine="120"/>
              <w:jc w:val="both"/>
            </w:pPr>
            <w:r>
              <w:rPr>
                <w:rFonts w:ascii="仿宋_GB2312" w:hAnsi="仿宋_GB2312" w:cs="仿宋_GB2312" w:eastAsia="仿宋_GB2312"/>
                <w:sz w:val="24"/>
              </w:rPr>
              <w:t>（5）其他要求</w:t>
            </w:r>
          </w:p>
          <w:p>
            <w:pPr>
              <w:pStyle w:val="null3"/>
              <w:ind w:firstLine="120"/>
              <w:jc w:val="both"/>
            </w:pPr>
            <w:r>
              <w:rPr>
                <w:rFonts w:ascii="仿宋_GB2312" w:hAnsi="仿宋_GB2312" w:cs="仿宋_GB2312" w:eastAsia="仿宋_GB2312"/>
                <w:sz w:val="24"/>
              </w:rPr>
              <w:t>①供应商有专门的导医。</w:t>
            </w:r>
          </w:p>
          <w:p>
            <w:pPr>
              <w:pStyle w:val="null3"/>
              <w:ind w:firstLine="120"/>
              <w:jc w:val="both"/>
            </w:pPr>
            <w:r>
              <w:rPr>
                <w:rFonts w:ascii="仿宋_GB2312" w:hAnsi="仿宋_GB2312" w:cs="仿宋_GB2312" w:eastAsia="仿宋_GB2312"/>
                <w:sz w:val="24"/>
              </w:rPr>
              <w:t>②体检机构须有专门人员对接接待。</w:t>
            </w:r>
          </w:p>
          <w:p>
            <w:pPr>
              <w:pStyle w:val="null3"/>
              <w:ind w:firstLine="120"/>
              <w:jc w:val="both"/>
            </w:pPr>
            <w:r>
              <w:rPr>
                <w:rFonts w:ascii="仿宋_GB2312" w:hAnsi="仿宋_GB2312" w:cs="仿宋_GB2312" w:eastAsia="仿宋_GB2312"/>
                <w:sz w:val="24"/>
              </w:rPr>
              <w:t>③体检前向参检人员提供健康检查注意事项。</w:t>
            </w:r>
          </w:p>
          <w:p>
            <w:pPr>
              <w:pStyle w:val="null3"/>
              <w:ind w:firstLine="120"/>
              <w:jc w:val="both"/>
            </w:pPr>
            <w:r>
              <w:rPr>
                <w:rFonts w:ascii="仿宋_GB2312" w:hAnsi="仿宋_GB2312" w:cs="仿宋_GB2312" w:eastAsia="仿宋_GB2312"/>
                <w:sz w:val="24"/>
              </w:rPr>
              <w:t>④</w:t>
            </w:r>
            <w:r>
              <w:rPr>
                <w:rFonts w:ascii="仿宋_GB2312" w:hAnsi="仿宋_GB2312" w:cs="仿宋_GB2312" w:eastAsia="仿宋_GB2312"/>
                <w:sz w:val="24"/>
              </w:rPr>
              <w:t>在体检进行期间，经检查发现异常情况及时通知本人和采购人，并协助预约门诊专家诊疗或转诊。</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签订合同后30日历天内完成体检</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以合同签订为准</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财政部关于进一步加强政府采购需求和履约验收管理的指导意见》（财库(2016)205号)、《则政部关于印发《政府采购需求管理办法》的通知》(财库〔2021)22号）文件等有关规定、采购文件的服务内容及要求、供应商的响应文件及承诺、合同等进行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预付款付款条件：签订合同之后。达到该付款条件起10个工作日内，据实情况为支付合同总金额的 40.00 %</w:t>
            </w:r>
            <w:r>
              <w:br/>
            </w:r>
            <w:r>
              <w:rPr>
                <w:rFonts w:ascii="仿宋_GB2312" w:hAnsi="仿宋_GB2312" w:cs="仿宋_GB2312" w:eastAsia="仿宋_GB2312"/>
              </w:rPr>
              <w:t>2、</w:t>
            </w:r>
            <w:r>
              <w:rPr>
                <w:rFonts w:ascii="仿宋_GB2312" w:hAnsi="仿宋_GB2312" w:cs="仿宋_GB2312" w:eastAsia="仿宋_GB2312"/>
              </w:rPr>
              <w:t>尾款付款条件：成交供应商提交参检人员明细报表给采购人审核和核算无误后。达到该付款条件起10个工作日内，据实情况为参检人员明细表采购人审核通过后按实际参检人数支付结算费用（扣除预付款部分）</w:t>
            </w:r>
            <w:r>
              <w:br/>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1.采购人违约责任 1.1因采购人原因逾期支付合同款的，除应及时付合同款外，应向供应商支付欠款总额万分之一/天的违约金；逾期付款超过30天的，供应商有权终止合同； 1.2采购人支付的违约金不足以弥补供应商损失的，还应按供应商损失尚未弥补的部分，支付赔偿金给供应商。 2.供应商违约责任 2.1供应商不能按时完成工作内容而违约的，除应及时完成工作内容外，应向采购人支付应收金额万分之一/天的违约金；未能按时完工超过30天，采购人有权终止合同。 2.2供应商支付的违约金不足以弥补采购人损失的，还应按采购人损失尚未弥补的部分，支付赔偿金给采购人。 3.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4.有下列情形之一的，当事人可以解除合同： 4.1因不可抗力致使不能实现合同目的(由于非供应商或采购人原因，致使合同实质性条款无法实现的)； 4.2当事人一方迟延履行主要债务，经催告后在合理期限内仍未履行； 4.3当事人一方迟延履行债务或者有其他违约行为致使不能实现合同目的。 5.解决争议的方法 5.1因服务的质量问题发生争议，由采购人或其指定的第三方机构进行质量鉴定。服务符合标准的，鉴定费由采购人承担；服务不符合质量标准的，鉴定费由供应商承担。 5.2合同履行期间，若双方发生争议，可协商或由有关部门调解解决，协商或调解不成的，向采购人所在地有管辖权的人民法院起诉。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供应商针对本项目提供以下资料：1、接待能力：包括（1）为本项目提供体检服务具备独立体检场所（2）单日接待人数.2、医资力量：针对本项目拟派的医师。3、医疗设备：包括腹部彩超仪器、DR仪器、CT仪器。4、服务方案：包括①体检服务人 员配置；②体检流程；③现场服务保障措施；④应急措施及方案。5、应急方案：包括①体检过程中突发疾病的抢 救救治保障；②预防交叉感染处理措施；③晕针晕血处理方案6、后续治疗服务方案：包括①挂号服务；②入院服务；③专家会诊服务；④健康管理方案。7、履约经验：供应商具有类似项目业绩。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1.投标人需在使用投标(响应)客户端编制响应文件时，按要求填写《投标（响应）函》完成承诺并进行电子签章。2.营业执照等证明材料 （1）若投标人为企业法人的，提供具有统一社会信用代码的“营业执照”复印件，未换证的提供“营业执照、税务登记证、组织机构代码证”复印件； （2）若投标人为事业法人的，提供具有统一社会信用代码的“法人登记证书”复印件，未换证的提供“事业法人登记证书、组织机构代码证”复印件；（3）若投标人为其他组织的，提供对应主管部门颁发的准许执业的证明文件或营业执照复印件； （4）若投标人为自然人的，提供相关身份证明材料。</w:t>
            </w:r>
          </w:p>
        </w:tc>
        <w:tc>
          <w:tcPr>
            <w:tcW w:type="dxa" w:w="1661"/>
          </w:tcPr>
          <w:p>
            <w:pPr>
              <w:pStyle w:val="null3"/>
              <w:jc w:val="left"/>
            </w:pPr>
            <w:r>
              <w:rPr>
                <w:rFonts w:ascii="仿宋_GB2312" w:hAnsi="仿宋_GB2312" w:cs="仿宋_GB2312" w:eastAsia="仿宋_GB2312"/>
              </w:rPr>
              <w:t>关于资格要求的承诺函1.docx,投标文件封面,独立承担民事责任能力的证明材料.docx,投标（响应）函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供应商须具备国家行政主管部门颁发的有效的《医疗机构执业许可证》、《辐射安全许可证》、《放射诊疗许可证》</w:t>
            </w:r>
          </w:p>
        </w:tc>
        <w:tc>
          <w:tcPr>
            <w:tcW w:type="dxa" w:w="3322"/>
          </w:tcPr>
          <w:p>
            <w:pPr>
              <w:pStyle w:val="null3"/>
              <w:jc w:val="left"/>
            </w:pPr>
            <w:r>
              <w:rPr>
                <w:rFonts w:ascii="仿宋_GB2312" w:hAnsi="仿宋_GB2312" w:cs="仿宋_GB2312" w:eastAsia="仿宋_GB2312"/>
              </w:rPr>
              <w:t>具备国家行政主管部门颁发的有效的《医疗机构执业许可证》、《辐射安全许可证》、《放射诊疗许可证》，提供上述证书复印件并进行电子签章。（注：供应商已办理多证合一的，只须提供有效的诊疗科目含放射诊断或放射治疗的《医疗机构执业许可证》和有效的《辐射安全许可证》即可)。</w:t>
            </w:r>
          </w:p>
        </w:tc>
        <w:tc>
          <w:tcPr>
            <w:tcW w:type="dxa" w:w="1661"/>
          </w:tcPr>
          <w:p>
            <w:pPr>
              <w:pStyle w:val="null3"/>
              <w:jc w:val="left"/>
            </w:pPr>
            <w:r>
              <w:rPr>
                <w:rFonts w:ascii="仿宋_GB2312" w:hAnsi="仿宋_GB2312" w:cs="仿宋_GB2312" w:eastAsia="仿宋_GB2312"/>
              </w:rPr>
              <w:t>投标（响应）函,特殊条件证明材料.docx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招标文件规定的实质性要求</w:t>
            </w:r>
          </w:p>
        </w:tc>
        <w:tc>
          <w:tcPr>
            <w:tcW w:type="dxa" w:w="3322"/>
          </w:tcPr>
          <w:p>
            <w:pPr>
              <w:pStyle w:val="null3"/>
              <w:jc w:val="left"/>
            </w:pPr>
            <w:r>
              <w:rPr>
                <w:rFonts w:ascii="仿宋_GB2312" w:hAnsi="仿宋_GB2312" w:cs="仿宋_GB2312" w:eastAsia="仿宋_GB2312"/>
              </w:rPr>
              <w:t>满足招标文件规定的实质性要求</w:t>
            </w:r>
          </w:p>
        </w:tc>
        <w:tc>
          <w:tcPr>
            <w:tcW w:type="dxa" w:w="1661"/>
          </w:tcPr>
          <w:p>
            <w:pPr>
              <w:pStyle w:val="null3"/>
              <w:jc w:val="left"/>
            </w:pPr>
            <w:r>
              <w:rPr>
                <w:rFonts w:ascii="仿宋_GB2312" w:hAnsi="仿宋_GB2312" w:cs="仿宋_GB2312" w:eastAsia="仿宋_GB2312"/>
              </w:rPr>
              <w:t>技术要求应答表1.docx,实质性要求承诺函（1）.docx,服务及其他要求应答表.docx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接待能力</w:t>
            </w:r>
          </w:p>
        </w:tc>
        <w:tc>
          <w:tcPr>
            <w:tcW w:type="dxa" w:w="2575"/>
          </w:tcPr>
          <w:p>
            <w:pPr>
              <w:pStyle w:val="null3"/>
              <w:jc w:val="left"/>
            </w:pPr>
            <w:r>
              <w:rPr>
                <w:rFonts w:ascii="仿宋_GB2312" w:hAnsi="仿宋_GB2312" w:cs="仿宋_GB2312" w:eastAsia="仿宋_GB2312"/>
              </w:rPr>
              <w:t>1、为本项目提供体检服务具备独立体检场所得2分，无独立体检场所不得分。（须提供体检场地照片和承诺函）。 2、针对本项目提供单日接待体检人次300人以上得3分，200人（含）-300人（不含）以下得2分， 200人以下得1分。（须提供日接待流水相关证明材料复印件加盖供应商公章或承诺函。）</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接待能力.docx</w:t>
            </w:r>
          </w:p>
        </w:tc>
      </w:tr>
      <w:tr>
        <w:tc>
          <w:tcPr>
            <w:tcW w:type="dxa" w:w="831"/>
            <w:vMerge/>
          </w:tcPr>
          <w:p/>
        </w:tc>
        <w:tc>
          <w:tcPr>
            <w:tcW w:type="dxa" w:w="1661"/>
          </w:tcPr>
          <w:p>
            <w:pPr>
              <w:pStyle w:val="null3"/>
              <w:jc w:val="left"/>
            </w:pPr>
            <w:r>
              <w:rPr>
                <w:rFonts w:ascii="仿宋_GB2312" w:hAnsi="仿宋_GB2312" w:cs="仿宋_GB2312" w:eastAsia="仿宋_GB2312"/>
              </w:rPr>
              <w:t>医资力量</w:t>
            </w:r>
          </w:p>
        </w:tc>
        <w:tc>
          <w:tcPr>
            <w:tcW w:type="dxa" w:w="2575"/>
          </w:tcPr>
          <w:p>
            <w:pPr>
              <w:pStyle w:val="null3"/>
              <w:jc w:val="left"/>
            </w:pPr>
            <w:r>
              <w:rPr>
                <w:rFonts w:ascii="仿宋_GB2312" w:hAnsi="仿宋_GB2312" w:cs="仿宋_GB2312" w:eastAsia="仿宋_GB2312"/>
              </w:rPr>
              <w:t>1.针对本项目拟派的服务人员中每有1名具备主任医师及以上职称的得1分，本项最高得6分。 2.针对本项目拟派的服务人员中每有1名具备副主任医师及以上职称的得0.5分本项最高得6分。 注：①以上人员不重复计分。②提供有效职称证复印件并加盖供应商公章。</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投标人本项目人员情况表.docx</w:t>
            </w:r>
          </w:p>
        </w:tc>
      </w:tr>
      <w:tr>
        <w:tc>
          <w:tcPr>
            <w:tcW w:type="dxa" w:w="831"/>
            <w:vMerge/>
          </w:tcPr>
          <w:p/>
        </w:tc>
        <w:tc>
          <w:tcPr>
            <w:tcW w:type="dxa" w:w="1661"/>
          </w:tcPr>
          <w:p>
            <w:pPr>
              <w:pStyle w:val="null3"/>
              <w:jc w:val="left"/>
            </w:pPr>
            <w:r>
              <w:rPr>
                <w:rFonts w:ascii="仿宋_GB2312" w:hAnsi="仿宋_GB2312" w:cs="仿宋_GB2312" w:eastAsia="仿宋_GB2312"/>
              </w:rPr>
              <w:t>设备配备</w:t>
            </w:r>
          </w:p>
        </w:tc>
        <w:tc>
          <w:tcPr>
            <w:tcW w:type="dxa" w:w="2575"/>
          </w:tcPr>
          <w:p>
            <w:pPr>
              <w:pStyle w:val="null3"/>
              <w:jc w:val="left"/>
            </w:pPr>
            <w:r>
              <w:rPr>
                <w:rFonts w:ascii="仿宋_GB2312" w:hAnsi="仿宋_GB2312" w:cs="仿宋_GB2312" w:eastAsia="仿宋_GB2312"/>
              </w:rPr>
              <w:t>1.用于本项目体检服务的腹部彩超数量有4台的得3分， 每增加1台得0.5分；本项最 高得5分。 2.用于本项目体检服务的DR数量有2台的得2分，每增加1台得0.5分；本 项最高得3分。3.用于本项目体检服务的CT数量每有1台得2分，最高得4分。（注：设备如为自有设备，需提供采购合同扫描件或发票扫描件；如为租赁的设备需提供租赁合同扫描件，租赁合同有效期需覆盖本项目服务期。）</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医疗设备.docx</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供应商针对本项目提供的服 务方案包含：①体检服务人 员配置；②体检流程；③现场服务保障措施；④应急措施及方案；以上4项内容完整不缺项的得24分，每有一项内容缺失扣6分，每有一项内容存在不足扣3分，扣完为止。 注：内容存在不足指：存在项目名称错误、地点区域错误、内容与本项目需求无关、或内容仅有标题或框架缺乏具体说明阐述、适用的标准(方法)错误、明显复制其他项目内容等任意一种情形。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应急方案</w:t>
            </w:r>
          </w:p>
        </w:tc>
        <w:tc>
          <w:tcPr>
            <w:tcW w:type="dxa" w:w="2575"/>
          </w:tcPr>
          <w:p>
            <w:pPr>
              <w:pStyle w:val="null3"/>
              <w:jc w:val="left"/>
            </w:pPr>
            <w:r>
              <w:rPr>
                <w:rFonts w:ascii="仿宋_GB2312" w:hAnsi="仿宋_GB2312" w:cs="仿宋_GB2312" w:eastAsia="仿宋_GB2312"/>
              </w:rPr>
              <w:t>供应商根据本项目的内容及 要求编制的应急方案包括： ①体检过程中突发疾病的抢 救救治保障；②预防交叉感染处理措施；③晕针晕血处 理方案；以上3项内容完整不缺项的得12分，每有一项内容缺失扣4分，每有一项内容存在不足扣2分，扣完为止。 注：内容存在不足指：存在项目名称错误、地点区域错误、内容与本项目需求无关、或内容仅有标题或框架缺乏具体说明阐述、适用的标准(方法)错误、明显复制其他项目内容等任意一种情形。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应急方案.docx</w:t>
            </w:r>
          </w:p>
        </w:tc>
      </w:tr>
      <w:tr>
        <w:tc>
          <w:tcPr>
            <w:tcW w:type="dxa" w:w="831"/>
            <w:vMerge/>
          </w:tcPr>
          <w:p/>
        </w:tc>
        <w:tc>
          <w:tcPr>
            <w:tcW w:type="dxa" w:w="1661"/>
          </w:tcPr>
          <w:p>
            <w:pPr>
              <w:pStyle w:val="null3"/>
              <w:jc w:val="left"/>
            </w:pPr>
            <w:r>
              <w:rPr>
                <w:rFonts w:ascii="仿宋_GB2312" w:hAnsi="仿宋_GB2312" w:cs="仿宋_GB2312" w:eastAsia="仿宋_GB2312"/>
              </w:rPr>
              <w:t>后续治疗服务方案</w:t>
            </w:r>
          </w:p>
        </w:tc>
        <w:tc>
          <w:tcPr>
            <w:tcW w:type="dxa" w:w="2575"/>
          </w:tcPr>
          <w:p>
            <w:pPr>
              <w:pStyle w:val="null3"/>
              <w:jc w:val="left"/>
            </w:pPr>
            <w:r>
              <w:rPr>
                <w:rFonts w:ascii="仿宋_GB2312" w:hAnsi="仿宋_GB2312" w:cs="仿宋_GB2312" w:eastAsia="仿宋_GB2312"/>
              </w:rPr>
              <w:t>供应商根据本项目的内容及 要求编制的后续治疗服务方案包括：①挂号服务；②入院服务；③专家会诊服务；④健康管理方案；以上4项内容完整不缺项的得16分，每有一项内容缺失扣4分，每有一项内容存在不足扣2分，扣完为止。 注：内容存在不足指：存在项目名称错误、地点区域错误、内容与本项目需求无关、或内容仅有标题或框架缺乏具体说明阐述、适用的标准(方法)错误、明显复制其他项目内容等任意一种情形。</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后续治疗服务方案.docx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供应商2023年1月1日以来每具有1个服务项目类似经验得3分，最多得9分。 履约经验应提供中标（成交）通知书或合同（协议）复印件并加盖供应商公章。</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投标人类似项目业绩一览表.docx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详见附件：服务及其他要求应答表.docx</w:t>
      </w:r>
    </w:p>
    <w:p>
      <w:pPr>
        <w:pStyle w:val="null3"/>
        <w:ind w:firstLine="960"/>
        <w:jc w:val="left"/>
      </w:pPr>
      <w:r>
        <w:rPr>
          <w:rFonts w:ascii="仿宋_GB2312" w:hAnsi="仿宋_GB2312" w:cs="仿宋_GB2312" w:eastAsia="仿宋_GB2312"/>
        </w:rPr>
        <w:t>详见附件：关于资格要求的承诺函1.docx</w:t>
      </w:r>
    </w:p>
    <w:p>
      <w:pPr>
        <w:pStyle w:val="null3"/>
        <w:ind w:firstLine="960"/>
        <w:jc w:val="left"/>
      </w:pPr>
      <w:r>
        <w:rPr>
          <w:rFonts w:ascii="仿宋_GB2312" w:hAnsi="仿宋_GB2312" w:cs="仿宋_GB2312" w:eastAsia="仿宋_GB2312"/>
        </w:rPr>
        <w:t>详见附件：后续治疗服务方案.docx</w:t>
      </w:r>
    </w:p>
    <w:p>
      <w:pPr>
        <w:pStyle w:val="null3"/>
        <w:ind w:firstLine="960"/>
        <w:jc w:val="left"/>
      </w:pPr>
      <w:r>
        <w:rPr>
          <w:rFonts w:ascii="仿宋_GB2312" w:hAnsi="仿宋_GB2312" w:cs="仿宋_GB2312" w:eastAsia="仿宋_GB2312"/>
        </w:rPr>
        <w:t>详见附件：技术要求应答表1.docx</w:t>
      </w:r>
    </w:p>
    <w:p>
      <w:pPr>
        <w:pStyle w:val="null3"/>
        <w:ind w:firstLine="960"/>
        <w:jc w:val="left"/>
      </w:pPr>
      <w:r>
        <w:rPr>
          <w:rFonts w:ascii="仿宋_GB2312" w:hAnsi="仿宋_GB2312" w:cs="仿宋_GB2312" w:eastAsia="仿宋_GB2312"/>
        </w:rPr>
        <w:t>详见附件：接待能力.docx</w:t>
      </w:r>
    </w:p>
    <w:p>
      <w:pPr>
        <w:pStyle w:val="null3"/>
        <w:ind w:firstLine="960"/>
        <w:jc w:val="left"/>
      </w:pPr>
      <w:r>
        <w:rPr>
          <w:rFonts w:ascii="仿宋_GB2312" w:hAnsi="仿宋_GB2312" w:cs="仿宋_GB2312" w:eastAsia="仿宋_GB2312"/>
        </w:rPr>
        <w:t>详见附件：实质性要求承诺函（1）.docx</w:t>
      </w:r>
    </w:p>
    <w:p>
      <w:pPr>
        <w:pStyle w:val="null3"/>
        <w:ind w:firstLine="960"/>
        <w:jc w:val="left"/>
      </w:pPr>
      <w:r>
        <w:rPr>
          <w:rFonts w:ascii="仿宋_GB2312" w:hAnsi="仿宋_GB2312" w:cs="仿宋_GB2312" w:eastAsia="仿宋_GB2312"/>
        </w:rPr>
        <w:t>详见附件：投标人本项目人员情况表.docx</w:t>
      </w:r>
    </w:p>
    <w:p>
      <w:pPr>
        <w:pStyle w:val="null3"/>
        <w:ind w:firstLine="960"/>
        <w:jc w:val="left"/>
      </w:pPr>
      <w:r>
        <w:rPr>
          <w:rFonts w:ascii="仿宋_GB2312" w:hAnsi="仿宋_GB2312" w:cs="仿宋_GB2312" w:eastAsia="仿宋_GB2312"/>
        </w:rPr>
        <w:t>详见附件：投标人类似项目业绩一览表.docx</w:t>
      </w:r>
    </w:p>
    <w:p>
      <w:pPr>
        <w:pStyle w:val="null3"/>
        <w:ind w:firstLine="960"/>
        <w:jc w:val="left"/>
      </w:pPr>
      <w:r>
        <w:rPr>
          <w:rFonts w:ascii="仿宋_GB2312" w:hAnsi="仿宋_GB2312" w:cs="仿宋_GB2312" w:eastAsia="仿宋_GB2312"/>
        </w:rPr>
        <w:t>详见附件：特殊条件证明材料.docx</w:t>
      </w:r>
    </w:p>
    <w:p>
      <w:pPr>
        <w:pStyle w:val="null3"/>
        <w:ind w:firstLine="960"/>
        <w:jc w:val="left"/>
      </w:pPr>
      <w:r>
        <w:rPr>
          <w:rFonts w:ascii="仿宋_GB2312" w:hAnsi="仿宋_GB2312" w:cs="仿宋_GB2312" w:eastAsia="仿宋_GB2312"/>
        </w:rPr>
        <w:t>详见附件：医疗设备.docx</w:t>
      </w:r>
    </w:p>
    <w:p>
      <w:pPr>
        <w:pStyle w:val="null3"/>
        <w:ind w:firstLine="960"/>
        <w:jc w:val="left"/>
      </w:pPr>
      <w:r>
        <w:rPr>
          <w:rFonts w:ascii="仿宋_GB2312" w:hAnsi="仿宋_GB2312" w:cs="仿宋_GB2312" w:eastAsia="仿宋_GB2312"/>
        </w:rPr>
        <w:t>详见附件：应急方案.docx</w:t>
      </w:r>
    </w:p>
    <w:p>
      <w:pPr>
        <w:pStyle w:val="null3"/>
        <w:ind w:firstLine="960"/>
        <w:jc w:val="left"/>
      </w:pPr>
      <w:r>
        <w:rPr>
          <w:rFonts w:ascii="仿宋_GB2312" w:hAnsi="仿宋_GB2312" w:cs="仿宋_GB2312" w:eastAsia="仿宋_GB2312"/>
        </w:rPr>
        <w:t>详见附件：独立承担民事责任能力的证明材料.docx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