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color w:val="000000" w:themeColor="text1"/>
          <w:sz w:val="24"/>
          <w:szCs w:val="24"/>
          <w:u w:val="single"/>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u w:val="single"/>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u w:val="single"/>
          <w14:textFill>
            <w14:solidFill>
              <w14:schemeClr w14:val="tx1"/>
            </w14:solidFill>
          </w14:textFill>
        </w:rPr>
      </w:pPr>
    </w:p>
    <w:p>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首都医科大学附属北京友谊医院（西城院区）餐饮服务项目</w:t>
      </w: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t>招 标 文 件</w:t>
      </w:r>
    </w:p>
    <w:p>
      <w:pPr>
        <w:spacing w:line="360" w:lineRule="auto"/>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招标编号：20230424393-118</w:t>
      </w: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32"/>
          <w:szCs w:val="32"/>
          <w14:textFill>
            <w14:solidFill>
              <w14:schemeClr w14:val="tx1"/>
            </w14:solidFill>
          </w14:textFill>
        </w:rPr>
      </w:pPr>
    </w:p>
    <w:p>
      <w:pPr>
        <w:spacing w:line="360" w:lineRule="auto"/>
        <w:ind w:firstLine="803" w:firstLineChars="250"/>
        <w:rPr>
          <w:rFonts w:hint="eastAsia"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采   购   人：首都医科大学附属北京友谊医院</w:t>
      </w:r>
    </w:p>
    <w:p>
      <w:pPr>
        <w:spacing w:line="360" w:lineRule="auto"/>
        <w:ind w:right="315" w:rightChars="150" w:firstLine="803" w:firstLineChars="25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采购代理机构：北京市京发招标有限公司</w:t>
      </w:r>
    </w:p>
    <w:p>
      <w:pPr>
        <w:spacing w:line="360" w:lineRule="auto"/>
        <w:jc w:val="center"/>
        <w:rPr>
          <w:rFonts w:hint="eastAsia" w:ascii="宋体" w:hAnsi="宋体" w:eastAsia="宋体" w:cs="宋体"/>
          <w:b/>
          <w:color w:val="000000" w:themeColor="text1"/>
          <w:sz w:val="30"/>
          <w:szCs w:val="30"/>
          <w14:textFill>
            <w14:solidFill>
              <w14:schemeClr w14:val="tx1"/>
            </w14:solidFill>
          </w14:textFill>
        </w:rPr>
      </w:pPr>
    </w:p>
    <w:p>
      <w:pPr>
        <w:spacing w:line="360" w:lineRule="auto"/>
        <w:jc w:val="center"/>
        <w:rPr>
          <w:rFonts w:hint="eastAsia" w:ascii="宋体" w:hAnsi="宋体" w:eastAsia="宋体" w:cs="宋体"/>
          <w:b/>
          <w:color w:val="000000" w:themeColor="text1"/>
          <w:sz w:val="30"/>
          <w:szCs w:val="30"/>
          <w14:textFill>
            <w14:solidFill>
              <w14:schemeClr w14:val="tx1"/>
            </w14:solidFill>
          </w14:textFill>
        </w:rPr>
      </w:pPr>
    </w:p>
    <w:p>
      <w:pPr>
        <w:spacing w:line="360" w:lineRule="auto"/>
        <w:jc w:val="center"/>
        <w:rPr>
          <w:rFonts w:hint="eastAsia" w:ascii="宋体" w:hAnsi="宋体" w:eastAsia="宋体" w:cs="宋体"/>
          <w:b/>
          <w:color w:val="auto"/>
          <w:sz w:val="30"/>
          <w:szCs w:val="30"/>
        </w:rPr>
        <w:sectPr>
          <w:headerReference r:id="rId3" w:type="default"/>
          <w:footerReference r:id="rId4" w:type="default"/>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b/>
          <w:color w:val="auto"/>
          <w:sz w:val="30"/>
          <w:szCs w:val="30"/>
        </w:rPr>
        <w:t>二〇二四年</w:t>
      </w:r>
      <w:r>
        <w:rPr>
          <w:rFonts w:hint="eastAsia" w:ascii="宋体" w:hAnsi="宋体" w:eastAsia="宋体" w:cs="宋体"/>
          <w:b/>
          <w:color w:val="auto"/>
          <w:sz w:val="30"/>
          <w:szCs w:val="30"/>
          <w:lang w:val="en-US" w:eastAsia="zh-CN"/>
        </w:rPr>
        <w:t>八</w:t>
      </w:r>
      <w:r>
        <w:rPr>
          <w:rFonts w:hint="eastAsia" w:ascii="宋体" w:hAnsi="宋体" w:eastAsia="宋体" w:cs="宋体"/>
          <w:b/>
          <w:color w:val="auto"/>
          <w:sz w:val="30"/>
          <w:szCs w:val="30"/>
        </w:rPr>
        <w:t>月</w:t>
      </w:r>
    </w:p>
    <w:p>
      <w:pPr>
        <w:widowControl/>
        <w:spacing w:line="360" w:lineRule="auto"/>
        <w:jc w:val="center"/>
        <w:rPr>
          <w:rFonts w:hint="eastAsia" w:ascii="宋体" w:hAnsi="宋体" w:eastAsia="宋体" w:cs="宋体"/>
          <w:b/>
          <w:color w:val="000000" w:themeColor="text1"/>
          <w:sz w:val="24"/>
          <w:szCs w:val="24"/>
          <w:lang w:val="zh-CN"/>
          <w14:textFill>
            <w14:solidFill>
              <w14:schemeClr w14:val="tx1"/>
            </w14:solidFill>
          </w14:textFill>
        </w:rPr>
      </w:pPr>
      <w:r>
        <w:rPr>
          <w:rFonts w:hint="eastAsia" w:ascii="宋体" w:hAnsi="宋体" w:eastAsia="宋体" w:cs="宋体"/>
          <w:b/>
          <w:color w:val="000000" w:themeColor="text1"/>
          <w:sz w:val="24"/>
          <w:szCs w:val="24"/>
          <w:lang w:val="zh-CN"/>
          <w14:textFill>
            <w14:solidFill>
              <w14:schemeClr w14:val="tx1"/>
            </w14:solidFill>
          </w14:textFill>
        </w:rPr>
        <w:t>目  录</w:t>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fldChar w:fldCharType="begin"/>
      </w:r>
      <w:r>
        <w:rPr>
          <w:rFonts w:hint="eastAsia" w:ascii="宋体" w:hAnsi="宋体" w:eastAsia="宋体" w:cs="宋体"/>
          <w:color w:val="000000" w:themeColor="text1"/>
          <w:szCs w:val="21"/>
          <w14:textFill>
            <w14:solidFill>
              <w14:schemeClr w14:val="tx1"/>
            </w14:solidFill>
          </w14:textFill>
        </w:rPr>
        <w:instrText xml:space="preserve"> TOC \o "1-3" \h \z \u </w:instrText>
      </w:r>
      <w:r>
        <w:rPr>
          <w:rFonts w:hint="eastAsia" w:ascii="宋体" w:hAnsi="宋体" w:eastAsia="宋体" w:cs="宋体"/>
          <w:color w:val="000000" w:themeColor="text1"/>
          <w:szCs w:val="21"/>
          <w14:textFill>
            <w14:solidFill>
              <w14:schemeClr w14:val="tx1"/>
            </w14:solidFill>
          </w14:textFill>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"_Toc142401495"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第一章  投标邀请</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_Toc142401495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"_Toc142401496"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第二章  投标人须知</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_Toc142401496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"_Toc142401497"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投标人须知资料表</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_Toc142401497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"_Toc142401498"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投标人须知</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_Toc142401498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"_Toc142401499"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（一）说   明</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_Toc142401499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"_Toc142401500"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（二）招标文件</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_Toc142401500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"_Toc142401501"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（三）投标文件的编制</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_Toc142401501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15</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"_Toc142401502"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（四）投标文件的提交</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_Toc142401502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19</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"_Toc142401503"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（五）开  标</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_Toc142401503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20</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"_Toc142401504"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（六）资格审查和评标</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_Toc142401504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21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"_Toc142401505"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（七）确定中标</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_Toc142401505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22</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"_Toc142401506"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（八）纪律和监督</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_Toc142401506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25</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"_Toc142401507"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第三章  拟定签订的合同文本</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_Toc142401507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27</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"_Toc142401508"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第四章  投标文件格式</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_Toc142401508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35</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"_Toc142401509"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附件1  投 标 函（实质性格式）</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_Toc142401509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37</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"_Toc142401510"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附件2  法人代表授权委托书（实质性格式）</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_Toc142401510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39</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"_Toc142401512"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附件3  合同条款偏离表（实质性格式）</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_Toc142401512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"_Toc142401513"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附件4  采购需求偏离表（实质性格式）</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_Toc142401513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42</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"_Toc142401514"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附件5  资格证明文件</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_Toc142401514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"_Toc142401518"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附件6  业绩证明材料</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_Toc142401518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47</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"_Toc142401519"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附件7  企业基本情况</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_Toc142401519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48</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"_Toc142401520"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附件8  拟投入本项目的项目组人员配备情况</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_Toc142401520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49</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"_Toc142401521" </w:instrText>
      </w:r>
      <w:r>
        <w:rPr>
          <w:rFonts w:hint="eastAsia" w:ascii="宋体" w:hAnsi="宋体" w:eastAsia="宋体" w:cs="宋体"/>
        </w:rPr>
        <w:fldChar w:fldCharType="separate"/>
      </w:r>
      <w:r>
        <w:rPr>
          <w:rStyle w:val="52"/>
          <w:rFonts w:hint="eastAsia" w:ascii="宋体" w:hAnsi="宋体" w:eastAsia="宋体" w:cs="宋体"/>
          <w:bCs/>
          <w:color w:val="000000" w:themeColor="text1"/>
          <w14:textFill>
            <w14:solidFill>
              <w14:schemeClr w14:val="tx1"/>
            </w14:solidFill>
          </w14:textFill>
        </w:rPr>
        <w:t>附件9  服务方案</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_Toc142401521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51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"_Toc142401522" </w:instrText>
      </w:r>
      <w:r>
        <w:rPr>
          <w:rFonts w:hint="eastAsia" w:ascii="宋体" w:hAnsi="宋体" w:eastAsia="宋体" w:cs="宋体"/>
        </w:rPr>
        <w:fldChar w:fldCharType="separate"/>
      </w:r>
      <w:r>
        <w:rPr>
          <w:rStyle w:val="52"/>
          <w:rFonts w:hint="eastAsia" w:ascii="宋体" w:hAnsi="宋体" w:eastAsia="宋体" w:cs="宋体"/>
          <w:bCs/>
          <w:color w:val="000000" w:themeColor="text1"/>
          <w14:textFill>
            <w14:solidFill>
              <w14:schemeClr w14:val="tx1"/>
            </w14:solidFill>
          </w14:textFill>
        </w:rPr>
        <w:t>附件10  招标文件要求提供的其他资料</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_Toc142401522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52</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"_Toc142401523" </w:instrText>
      </w:r>
      <w:r>
        <w:rPr>
          <w:rFonts w:hint="eastAsia" w:ascii="宋体" w:hAnsi="宋体" w:eastAsia="宋体" w:cs="宋体"/>
        </w:rPr>
        <w:fldChar w:fldCharType="separate"/>
      </w:r>
      <w:r>
        <w:rPr>
          <w:rStyle w:val="52"/>
          <w:rFonts w:hint="eastAsia" w:ascii="宋体" w:hAnsi="宋体" w:eastAsia="宋体" w:cs="宋体"/>
          <w:bCs/>
          <w:color w:val="000000" w:themeColor="text1"/>
          <w14:textFill>
            <w14:solidFill>
              <w14:schemeClr w14:val="tx1"/>
            </w14:solidFill>
          </w14:textFill>
        </w:rPr>
        <w:t>附件11  投标人认为有必要提交的其他文件</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_Toc142401523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53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"_Toc142401524"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第五章  资格审查</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_Toc142401524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54</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"_Toc142401531"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第六章  评标程序、评标方法和评标标准</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_Toc142401531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56</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pStyle w:val="3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rPr>
        <w:fldChar w:fldCharType="begin"/>
      </w:r>
      <w:r>
        <w:rPr>
          <w:rFonts w:hint="eastAsia" w:ascii="宋体" w:hAnsi="宋体" w:eastAsia="宋体" w:cs="宋体"/>
        </w:rPr>
        <w:instrText xml:space="preserve"> HYPERLINK \l "_Toc142401544" </w:instrText>
      </w:r>
      <w:r>
        <w:rPr>
          <w:rFonts w:hint="eastAsia" w:ascii="宋体" w:hAnsi="宋体" w:eastAsia="宋体" w:cs="宋体"/>
        </w:rPr>
        <w:fldChar w:fldCharType="separate"/>
      </w:r>
      <w:r>
        <w:rPr>
          <w:rStyle w:val="52"/>
          <w:rFonts w:hint="eastAsia" w:ascii="宋体" w:hAnsi="宋体" w:eastAsia="宋体" w:cs="宋体"/>
          <w:color w:val="000000" w:themeColor="text1"/>
          <w14:textFill>
            <w14:solidFill>
              <w14:schemeClr w14:val="tx1"/>
            </w14:solidFill>
          </w14:textFill>
        </w:rPr>
        <w:t>第七章  采购需求</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_Toc142401544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64</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p>
    <w:p>
      <w:pPr>
        <w:spacing w:line="360" w:lineRule="auto"/>
        <w:jc w:val="left"/>
        <w:rPr>
          <w:rFonts w:hint="eastAsia" w:ascii="宋体" w:hAnsi="宋体" w:eastAsia="宋体" w:cs="宋体"/>
          <w:color w:val="000000" w:themeColor="text1"/>
          <w:sz w:val="24"/>
          <w:szCs w:val="24"/>
          <w14:textFill>
            <w14:solidFill>
              <w14:schemeClr w14:val="tx1"/>
            </w14:solidFill>
          </w14:textFill>
        </w:rPr>
        <w:sectPr>
          <w:footerReference r:id="rId5" w:type="default"/>
          <w:pgSz w:w="11906" w:h="16838"/>
          <w:pgMar w:top="1440" w:right="1800" w:bottom="1440" w:left="1800" w:header="851" w:footer="992" w:gutter="0"/>
          <w:pgNumType w:fmt="decimal" w:start="2"/>
          <w:cols w:space="720" w:num="1"/>
          <w:docGrid w:type="lines" w:linePitch="312" w:charSpace="0"/>
        </w:sectPr>
      </w:pPr>
      <w:r>
        <w:rPr>
          <w:rFonts w:hint="eastAsia" w:ascii="宋体" w:hAnsi="宋体" w:eastAsia="宋体" w:cs="宋体"/>
          <w:color w:val="000000" w:themeColor="text1"/>
          <w:szCs w:val="21"/>
          <w14:textFill>
            <w14:solidFill>
              <w14:schemeClr w14:val="tx1"/>
            </w14:solidFill>
          </w14:textFill>
        </w:rPr>
        <w:fldChar w:fldCharType="end"/>
      </w:r>
      <w:bookmarkStart w:id="0" w:name="_Toc447223721"/>
      <w:bookmarkStart w:id="1" w:name="_Toc327274444"/>
      <w:bookmarkStart w:id="2" w:name="_Toc15879"/>
      <w:bookmarkStart w:id="3" w:name="_Toc327277724"/>
      <w:bookmarkStart w:id="4" w:name="_Toc486431020"/>
      <w:bookmarkStart w:id="5" w:name="_Toc486431294"/>
      <w:bookmarkStart w:id="6" w:name="_Toc8323"/>
      <w:bookmarkStart w:id="7" w:name="_Toc327274368"/>
      <w:bookmarkStart w:id="8" w:name="_Toc407175235"/>
      <w:bookmarkStart w:id="9" w:name="_Toc407140553"/>
      <w:bookmarkStart w:id="10" w:name="_Toc29192"/>
    </w:p>
    <w:p>
      <w:pPr>
        <w:pStyle w:val="43"/>
        <w:spacing w:line="360" w:lineRule="auto"/>
        <w:rPr>
          <w:rFonts w:hint="eastAsia" w:ascii="宋体" w:hAnsi="宋体" w:eastAsia="宋体" w:cs="宋体"/>
          <w:color w:val="000000" w:themeColor="text1"/>
          <w:sz w:val="24"/>
          <w:szCs w:val="24"/>
          <w14:textFill>
            <w14:solidFill>
              <w14:schemeClr w14:val="tx1"/>
            </w14:solidFill>
          </w14:textFill>
        </w:rPr>
      </w:pPr>
      <w:bookmarkStart w:id="11" w:name="_Toc142401495"/>
      <w:r>
        <w:rPr>
          <w:rFonts w:hint="eastAsia" w:ascii="宋体" w:hAnsi="宋体" w:eastAsia="宋体" w:cs="宋体"/>
          <w:color w:val="000000" w:themeColor="text1"/>
          <w:sz w:val="30"/>
          <w:szCs w:val="30"/>
          <w14:textFill>
            <w14:solidFill>
              <w14:schemeClr w14:val="tx1"/>
            </w14:solidFill>
          </w14:textFill>
        </w:rPr>
        <w:t>第一章  投标邀请</w:t>
      </w:r>
      <w:bookmarkEnd w:id="11"/>
    </w:p>
    <w:p>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项目概况</w:t>
      </w:r>
    </w:p>
    <w:p>
      <w:pPr>
        <w:spacing w:line="360" w:lineRule="auto"/>
        <w:ind w:firstLine="460" w:firstLineChars="192"/>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首都医科大学附属北京友谊医院（西城院区）餐饮服务项目</w:t>
      </w:r>
      <w:r>
        <w:rPr>
          <w:rFonts w:hint="eastAsia" w:ascii="宋体" w:hAnsi="宋体" w:eastAsia="宋体" w:cs="宋体"/>
          <w:color w:val="000000" w:themeColor="text1"/>
          <w:sz w:val="24"/>
          <w:szCs w:val="24"/>
          <w14:textFill>
            <w14:solidFill>
              <w14:schemeClr w14:val="tx1"/>
            </w14:solidFill>
          </w14:textFill>
        </w:rPr>
        <w:t>招标项目的潜在投标人应在</w:t>
      </w:r>
      <w:r>
        <w:rPr>
          <w:rFonts w:hint="eastAsia" w:ascii="宋体" w:hAnsi="宋体" w:eastAsia="宋体" w:cs="宋体"/>
          <w:color w:val="000000" w:themeColor="text1"/>
          <w:sz w:val="24"/>
          <w:szCs w:val="24"/>
          <w:u w:val="single"/>
          <w14:textFill>
            <w14:solidFill>
              <w14:schemeClr w14:val="tx1"/>
            </w14:solidFill>
          </w14:textFill>
        </w:rPr>
        <w:t>北京市京发招标有限公司705室</w:t>
      </w:r>
      <w:r>
        <w:rPr>
          <w:rFonts w:hint="eastAsia" w:ascii="宋体" w:hAnsi="宋体" w:eastAsia="宋体" w:cs="宋体"/>
          <w:color w:val="000000" w:themeColor="text1"/>
          <w:sz w:val="24"/>
          <w:szCs w:val="24"/>
          <w14:textFill>
            <w14:solidFill>
              <w14:schemeClr w14:val="tx1"/>
            </w14:solidFill>
          </w14:textFill>
        </w:rPr>
        <w:t>获取招标文件，并于</w:t>
      </w:r>
      <w:r>
        <w:rPr>
          <w:rFonts w:hint="eastAsia" w:ascii="宋体" w:hAnsi="宋体" w:eastAsia="宋体" w:cs="宋体"/>
          <w:color w:val="000000" w:themeColor="text1"/>
          <w:sz w:val="24"/>
          <w:szCs w:val="24"/>
          <w:u w:val="single"/>
          <w14:textFill>
            <w14:solidFill>
              <w14:schemeClr w14:val="tx1"/>
            </w14:solidFill>
          </w14:textFill>
        </w:rPr>
        <w:t>2024</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22</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u w:val="single"/>
          <w:lang w:val="en-US" w:eastAsia="zh-CN"/>
          <w14:textFill>
            <w14:solidFill>
              <w14:schemeClr w14:val="tx1"/>
            </w14:solidFill>
          </w14:textFill>
        </w:rPr>
        <w:t>13</w:t>
      </w:r>
      <w:r>
        <w:rPr>
          <w:rFonts w:hint="eastAsia" w:ascii="宋体" w:hAnsi="宋体" w:eastAsia="宋体" w:cs="宋体"/>
          <w:color w:val="000000" w:themeColor="text1"/>
          <w:sz w:val="24"/>
          <w:szCs w:val="24"/>
          <w:u w:val="single"/>
          <w14:textFill>
            <w14:solidFill>
              <w14:schemeClr w14:val="tx1"/>
            </w14:solidFill>
          </w14:textFill>
        </w:rPr>
        <w:t>点30分（北京时间）前递交投标文件。</w:t>
      </w:r>
    </w:p>
    <w:p>
      <w:pPr>
        <w:spacing w:line="360" w:lineRule="auto"/>
        <w:ind w:firstLine="463" w:firstLineChars="19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一、项目基本情况</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项目编号：20230424393-118</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项目名称：首都医科大学附属北京友谊医院（西城院区）餐饮服务项目</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预算金额：0元（采购人不收取管理费，也不向中标人支付其他费用，能源费用除外）。</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最高限价：0元（采购人不收取管理费，也不向中标人支付其他费用，能源费用除外）。</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采购需求：</w:t>
      </w:r>
      <w:r>
        <w:rPr>
          <w:rFonts w:hint="eastAsia" w:ascii="宋体" w:hAnsi="宋体" w:eastAsia="宋体" w:cs="宋体"/>
          <w:sz w:val="24"/>
          <w:szCs w:val="24"/>
        </w:rPr>
        <w:t>首都医科大学附属北京友谊医院西城院区的餐饮服务项目</w:t>
      </w:r>
      <w:r>
        <w:rPr>
          <w:rFonts w:hint="eastAsia" w:ascii="宋体" w:hAnsi="宋体" w:eastAsia="宋体" w:cs="宋体"/>
          <w:color w:val="000000" w:themeColor="text1"/>
          <w:sz w:val="24"/>
          <w:szCs w:val="24"/>
          <w14:textFill>
            <w14:solidFill>
              <w14:schemeClr w14:val="tx1"/>
            </w14:solidFill>
          </w14:textFill>
        </w:rPr>
        <w:t>，服务经营期间食堂水、电、燃气等能源费用、烟道清洗费用、厨具设备维修费用由中标人承担，无需向采购人交纳管理费。项目地点：北京市西城区永安路95号。</w:t>
      </w:r>
    </w:p>
    <w:p>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合同履行期限：本项目服务期为三年，每季度进行考核，</w:t>
      </w:r>
      <w:r>
        <w:rPr>
          <w:rFonts w:hint="eastAsia" w:ascii="宋体" w:hAnsi="宋体" w:eastAsia="宋体" w:cs="宋体"/>
          <w:sz w:val="24"/>
          <w:szCs w:val="24"/>
        </w:rPr>
        <w:t>连续3次考核不达标,视为中标人违约，采购人有权终止协议；由此造成的损失均由中标人承担，同时解除协议委托关系</w:t>
      </w:r>
      <w:r>
        <w:rPr>
          <w:rFonts w:hint="eastAsia" w:ascii="宋体" w:hAnsi="宋体" w:eastAsia="宋体" w:cs="宋体"/>
          <w:color w:val="000000" w:themeColor="text1"/>
          <w:sz w:val="24"/>
          <w:szCs w:val="24"/>
          <w14:textFill>
            <w14:solidFill>
              <w14:schemeClr w14:val="tx1"/>
            </w14:solidFill>
          </w14:textFill>
        </w:rPr>
        <w:t>。</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本项目不接受联合体投标。</w:t>
      </w:r>
    </w:p>
    <w:p>
      <w:pPr>
        <w:spacing w:line="360" w:lineRule="auto"/>
        <w:ind w:firstLine="463" w:firstLineChars="19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二、申请人的资格要求：</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1.满足《中华人民共和国政府采购法》第二十二条规定；</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2.落实政府采购政策需满足的资格要求：无。</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3.本项目的特定资格要求：</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1）供应商须在中华人民共和国境内注册，能够独立承担民事责任，有生产或供应能力的本国供应商，包括法人、其他组织、自然人；</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2）供应商不得存在下列情形之一：</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（1）单位负责人为同一人或者存在直接控股、管理关系的不同供应商，不得参加同一合同项下的政府采购活动；</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（2）除单一来源采购项目外，为采购项目提供整体设计、规范编制或者项目管理、监理、检测等服务的供应商，不得再参加该采购项目的其他采购活动。</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3）供应商不能被列入“信用中国”网站（www.creditchina.gov.cn）失信被执行人、重大税收违法案件当事人名单”和中国政府采购网（www.ccgp.gov.cn）政府采购严重违法失信行为记录名单。否则其投标将被拒绝；</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4）投标人应具有国家规定的从事餐饮行业经营活动的《食品经营许可证》；</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5）本项目是否接受分支机构参与投标：□是   ■否； </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6）本项目是否属于政府购买服务：</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■否</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□是，公益一类事业单位、使用事业编制且由财政拨款保障的群团组织，不得作为承接主体。</w:t>
      </w:r>
    </w:p>
    <w:p>
      <w:pPr>
        <w:spacing w:line="360" w:lineRule="auto"/>
        <w:ind w:firstLine="463" w:firstLineChars="19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三、获取招标文件：</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1.时间：</w:t>
      </w:r>
      <w:r>
        <w:rPr>
          <w:rFonts w:hint="eastAsia" w:ascii="宋体" w:hAnsi="宋体" w:eastAsia="宋体" w:cs="宋体"/>
          <w:color w:val="000000" w:themeColor="text1"/>
          <w:sz w:val="24"/>
          <w:szCs w:val="24"/>
          <w:u w:val="single"/>
          <w14:textFill>
            <w14:solidFill>
              <w14:schemeClr w14:val="tx1"/>
            </w14:solidFill>
          </w14:textFill>
        </w:rPr>
        <w:t>2024</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日至</w:t>
      </w:r>
      <w:r>
        <w:rPr>
          <w:rFonts w:hint="eastAsia" w:ascii="宋体" w:hAnsi="宋体" w:eastAsia="宋体" w:cs="宋体"/>
          <w:color w:val="000000" w:themeColor="text1"/>
          <w:sz w:val="24"/>
          <w:szCs w:val="24"/>
          <w:u w:val="single"/>
          <w14:textFill>
            <w14:solidFill>
              <w14:schemeClr w14:val="tx1"/>
            </w14:solidFill>
          </w14:textFill>
        </w:rPr>
        <w:t>2024</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日。</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2.地点：北京市京发招标有限公司（北京市东城区崇文门外大街90号705室）。</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3.方式：现场购买，需携带购买人个人有效身份证原件和复印件加盖公章。</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4.售价：人民币</w:t>
      </w:r>
      <w:r>
        <w:rPr>
          <w:rFonts w:hint="eastAsia" w:ascii="宋体" w:hAnsi="宋体" w:eastAsia="宋体" w:cs="宋体"/>
          <w:color w:val="000000" w:themeColor="text1"/>
          <w:sz w:val="24"/>
          <w:szCs w:val="24"/>
          <w:u w:val="single"/>
          <w14:textFill>
            <w14:solidFill>
              <w14:schemeClr w14:val="tx1"/>
            </w14:solidFill>
          </w14:textFill>
        </w:rPr>
        <w:t>500元</w:t>
      </w:r>
      <w:r>
        <w:rPr>
          <w:rFonts w:hint="eastAsia" w:ascii="宋体" w:hAnsi="宋体" w:eastAsia="宋体" w:cs="宋体"/>
          <w:color w:val="000000" w:themeColor="text1"/>
          <w:sz w:val="24"/>
          <w:szCs w:val="24"/>
          <w14:textFill>
            <w14:solidFill>
              <w14:schemeClr w14:val="tx1"/>
            </w14:solidFill>
          </w14:textFill>
        </w:rPr>
        <w:t>（招标文件售后不退）。</w:t>
      </w:r>
    </w:p>
    <w:p>
      <w:pPr>
        <w:spacing w:line="360" w:lineRule="auto"/>
        <w:ind w:firstLine="463" w:firstLineChars="19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四、提交投标文件截止时间、开标时间和地点：</w:t>
      </w:r>
    </w:p>
    <w:p>
      <w:pPr>
        <w:spacing w:line="360" w:lineRule="auto"/>
        <w:ind w:firstLine="460" w:firstLineChars="192"/>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投标截止时间、开标时间：</w:t>
      </w:r>
      <w:r>
        <w:rPr>
          <w:rFonts w:hint="eastAsia" w:ascii="宋体" w:hAnsi="宋体" w:eastAsia="宋体" w:cs="宋体"/>
          <w:bCs/>
          <w:color w:val="000000" w:themeColor="text1"/>
          <w:sz w:val="24"/>
          <w:szCs w:val="24"/>
          <w:u w:val="single"/>
          <w14:textFill>
            <w14:solidFill>
              <w14:schemeClr w14:val="tx1"/>
            </w14:solidFill>
          </w14:textFill>
        </w:rPr>
        <w:t>2024</w:t>
      </w:r>
      <w:r>
        <w:rPr>
          <w:rFonts w:hint="eastAsia" w:ascii="宋体" w:hAnsi="宋体" w:eastAsia="宋体" w:cs="宋体"/>
          <w:bCs/>
          <w:color w:val="000000" w:themeColor="text1"/>
          <w:sz w:val="24"/>
          <w:szCs w:val="24"/>
          <w14:textFill>
            <w14:solidFill>
              <w14:schemeClr w14:val="tx1"/>
            </w14:solidFill>
          </w14:textFill>
        </w:rPr>
        <w:t>年</w:t>
      </w:r>
      <w:r>
        <w:rPr>
          <w:rFonts w:hint="eastAsia" w:ascii="宋体" w:hAnsi="宋体" w:eastAsia="宋体" w:cs="宋体"/>
          <w:bCs/>
          <w:color w:val="000000" w:themeColor="text1"/>
          <w:sz w:val="24"/>
          <w:szCs w:val="24"/>
          <w:u w:val="single"/>
          <w:lang w:val="en-US" w:eastAsia="zh-CN"/>
          <w14:textFill>
            <w14:solidFill>
              <w14:schemeClr w14:val="tx1"/>
            </w14:solidFill>
          </w14:textFill>
        </w:rPr>
        <w:t>8</w:t>
      </w:r>
      <w:r>
        <w:rPr>
          <w:rFonts w:hint="eastAsia" w:ascii="宋体" w:hAnsi="宋体" w:eastAsia="宋体" w:cs="宋体"/>
          <w:bCs/>
          <w:color w:val="000000" w:themeColor="text1"/>
          <w:sz w:val="24"/>
          <w:szCs w:val="24"/>
          <w14:textFill>
            <w14:solidFill>
              <w14:schemeClr w14:val="tx1"/>
            </w14:solidFill>
          </w14:textFill>
        </w:rPr>
        <w:t>月</w:t>
      </w:r>
      <w:r>
        <w:rPr>
          <w:rFonts w:hint="eastAsia" w:ascii="宋体" w:hAnsi="宋体" w:eastAsia="宋体" w:cs="宋体"/>
          <w:bCs/>
          <w:color w:val="000000" w:themeColor="text1"/>
          <w:sz w:val="24"/>
          <w:szCs w:val="24"/>
          <w:u w:val="single"/>
          <w:lang w:val="en-US" w:eastAsia="zh-CN"/>
          <w14:textFill>
            <w14:solidFill>
              <w14:schemeClr w14:val="tx1"/>
            </w14:solidFill>
          </w14:textFill>
        </w:rPr>
        <w:t>22</w:t>
      </w:r>
      <w:r>
        <w:rPr>
          <w:rFonts w:hint="eastAsia" w:ascii="宋体" w:hAnsi="宋体" w:eastAsia="宋体" w:cs="宋体"/>
          <w:bCs/>
          <w:color w:val="000000" w:themeColor="text1"/>
          <w:sz w:val="24"/>
          <w:szCs w:val="24"/>
          <w14:textFill>
            <w14:solidFill>
              <w14:schemeClr w14:val="tx1"/>
            </w14:solidFill>
          </w14:textFill>
        </w:rPr>
        <w:t>日</w:t>
      </w:r>
      <w:r>
        <w:rPr>
          <w:rFonts w:hint="eastAsia" w:ascii="宋体" w:hAnsi="宋体" w:cs="宋体"/>
          <w:bCs/>
          <w:color w:val="000000" w:themeColor="text1"/>
          <w:sz w:val="24"/>
          <w:szCs w:val="24"/>
          <w:u w:val="single"/>
          <w:lang w:val="en-US" w:eastAsia="zh-CN"/>
          <w14:textFill>
            <w14:solidFill>
              <w14:schemeClr w14:val="tx1"/>
            </w14:solidFill>
          </w14:textFill>
        </w:rPr>
        <w:t>13</w:t>
      </w:r>
      <w:r>
        <w:rPr>
          <w:rFonts w:hint="eastAsia" w:ascii="宋体" w:hAnsi="宋体" w:eastAsia="宋体" w:cs="宋体"/>
          <w:bCs/>
          <w:color w:val="000000" w:themeColor="text1"/>
          <w:sz w:val="24"/>
          <w:szCs w:val="24"/>
          <w:u w:val="single"/>
          <w14:textFill>
            <w14:solidFill>
              <w14:schemeClr w14:val="tx1"/>
            </w14:solidFill>
          </w14:textFill>
        </w:rPr>
        <w:t>点30分</w:t>
      </w:r>
      <w:r>
        <w:rPr>
          <w:rFonts w:hint="eastAsia" w:ascii="宋体" w:hAnsi="宋体" w:eastAsia="宋体" w:cs="宋体"/>
          <w:bCs/>
          <w:color w:val="000000" w:themeColor="text1"/>
          <w:sz w:val="24"/>
          <w:szCs w:val="24"/>
          <w14:textFill>
            <w14:solidFill>
              <w14:schemeClr w14:val="tx1"/>
            </w14:solidFill>
          </w14:textFill>
        </w:rPr>
        <w:t>（北京时间）</w:t>
      </w:r>
    </w:p>
    <w:p>
      <w:pPr>
        <w:spacing w:line="360" w:lineRule="auto"/>
        <w:ind w:firstLine="460" w:firstLineChars="192"/>
        <w:rPr>
          <w:rFonts w:hint="eastAsia" w:ascii="宋体" w:hAnsi="宋体" w:eastAsia="宋体" w:cs="宋体"/>
          <w:b/>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w:t>
      </w:r>
      <w:r>
        <w:rPr>
          <w:rFonts w:hint="eastAsia" w:ascii="宋体" w:hAnsi="宋体" w:eastAsia="宋体" w:cs="宋体"/>
          <w:color w:val="000000" w:themeColor="text1"/>
          <w:sz w:val="24"/>
          <w:szCs w:val="24"/>
          <w:u w:val="single"/>
          <w14:textFill>
            <w14:solidFill>
              <w14:schemeClr w14:val="tx1"/>
            </w14:solidFill>
          </w14:textFill>
        </w:rPr>
        <w:t>北京市京发招标有限公司3</w:t>
      </w:r>
      <w:r>
        <w:rPr>
          <w:rFonts w:hint="eastAsia" w:ascii="宋体" w:hAnsi="宋体" w:cs="宋体"/>
          <w:color w:val="000000" w:themeColor="text1"/>
          <w:sz w:val="24"/>
          <w:szCs w:val="24"/>
          <w:u w:val="single"/>
          <w:lang w:val="en-US" w:eastAsia="zh-CN"/>
          <w14:textFill>
            <w14:solidFill>
              <w14:schemeClr w14:val="tx1"/>
            </w14:solidFill>
          </w14:textFill>
        </w:rPr>
        <w:t>08</w:t>
      </w:r>
      <w:r>
        <w:rPr>
          <w:rFonts w:hint="eastAsia" w:ascii="宋体" w:hAnsi="宋体" w:eastAsia="宋体" w:cs="宋体"/>
          <w:color w:val="000000" w:themeColor="text1"/>
          <w:sz w:val="24"/>
          <w:szCs w:val="24"/>
          <w:u w:val="single"/>
          <w14:textFill>
            <w14:solidFill>
              <w14:schemeClr w14:val="tx1"/>
            </w14:solidFill>
          </w14:textFill>
        </w:rPr>
        <w:t>会议室</w:t>
      </w:r>
      <w:r>
        <w:rPr>
          <w:rFonts w:hint="eastAsia" w:ascii="宋体" w:hAnsi="宋体" w:eastAsia="宋体" w:cs="宋体"/>
          <w:color w:val="000000" w:themeColor="text1"/>
          <w:sz w:val="24"/>
          <w:szCs w:val="24"/>
          <w14:textFill>
            <w14:solidFill>
              <w14:schemeClr w14:val="tx1"/>
            </w14:solidFill>
          </w14:textFill>
        </w:rPr>
        <w:t>。</w:t>
      </w:r>
    </w:p>
    <w:p>
      <w:pPr>
        <w:spacing w:line="360" w:lineRule="auto"/>
        <w:ind w:firstLine="463" w:firstLineChars="19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五、公告期限：</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自本公告发布之日起5个工作日。</w:t>
      </w:r>
    </w:p>
    <w:p>
      <w:pPr>
        <w:spacing w:line="360" w:lineRule="auto"/>
        <w:ind w:firstLine="463" w:firstLineChars="19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六、其他补充事宜：</w:t>
      </w:r>
    </w:p>
    <w:p>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本次招标公告在《中国政府采购网》上发布。</w:t>
      </w:r>
    </w:p>
    <w:p>
      <w:pPr>
        <w:spacing w:line="360" w:lineRule="auto"/>
        <w:ind w:firstLine="463" w:firstLineChars="19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七、对本次招标提出询问，请按以下方式联系</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1.采购人信息</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bookmarkStart w:id="12" w:name="_Toc28359086"/>
      <w:bookmarkStart w:id="13" w:name="_Toc28359009"/>
      <w:r>
        <w:rPr>
          <w:rFonts w:hint="eastAsia" w:ascii="宋体" w:hAnsi="宋体" w:eastAsia="宋体" w:cs="宋体"/>
          <w:color w:val="000000" w:themeColor="text1"/>
          <w:sz w:val="24"/>
          <w:szCs w:val="24"/>
          <w14:textFill>
            <w14:solidFill>
              <w14:schemeClr w14:val="tx1"/>
            </w14:solidFill>
          </w14:textFill>
        </w:rPr>
        <w:t>名 称：首都医科大学附属北京友谊医院</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 址：北京市西城区永安路95号</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联系方式：许进63138286</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2.采购代理机构信息</w:t>
      </w:r>
      <w:bookmarkEnd w:id="12"/>
      <w:bookmarkEnd w:id="13"/>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 称：北京市京发招标有限公司</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址：北京市东城区崇文门外大街90号 </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w:t>
      </w:r>
      <w:bookmarkStart w:id="14" w:name="_Toc28359087"/>
      <w:bookmarkStart w:id="15" w:name="_Toc28359010"/>
      <w:r>
        <w:rPr>
          <w:rFonts w:hint="eastAsia" w:ascii="宋体" w:hAnsi="宋体" w:eastAsia="宋体" w:cs="宋体"/>
          <w:color w:val="000000" w:themeColor="text1"/>
          <w:sz w:val="24"/>
          <w:szCs w:val="24"/>
          <w14:textFill>
            <w14:solidFill>
              <w14:schemeClr w14:val="tx1"/>
            </w14:solidFill>
          </w14:textFill>
        </w:rPr>
        <w:t>李丁、张超、马若莎 67169727</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3.项目联系方式</w:t>
      </w:r>
      <w:bookmarkEnd w:id="14"/>
      <w:bookmarkEnd w:id="15"/>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项目联系人：李丁、张超、马若莎</w:t>
      </w:r>
    </w:p>
    <w:p>
      <w:pPr>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  话：67169727</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color w:val="000000" w:themeColor="text1"/>
          <w:sz w:val="24"/>
          <w:szCs w:val="24"/>
          <w14:textFill>
            <w14:solidFill>
              <w14:schemeClr w14:val="tx1"/>
            </w14:solidFill>
          </w14:textFill>
        </w:rPr>
        <w:br w:type="page"/>
      </w:r>
      <w:bookmarkStart w:id="16" w:name="_Toc8927"/>
    </w:p>
    <w:p>
      <w:pPr>
        <w:pStyle w:val="43"/>
        <w:spacing w:line="360" w:lineRule="auto"/>
        <w:rPr>
          <w:rFonts w:hint="eastAsia" w:ascii="宋体" w:hAnsi="宋体" w:eastAsia="宋体" w:cs="宋体"/>
          <w:color w:val="000000" w:themeColor="text1"/>
          <w:sz w:val="30"/>
          <w:szCs w:val="30"/>
          <w14:textFill>
            <w14:solidFill>
              <w14:schemeClr w14:val="tx1"/>
            </w14:solidFill>
          </w14:textFill>
        </w:rPr>
      </w:pPr>
      <w:bookmarkStart w:id="17" w:name="_Toc142401496"/>
      <w:r>
        <w:rPr>
          <w:rFonts w:hint="eastAsia" w:ascii="宋体" w:hAnsi="宋体" w:eastAsia="宋体" w:cs="宋体"/>
          <w:color w:val="000000" w:themeColor="text1"/>
          <w:sz w:val="30"/>
          <w:szCs w:val="30"/>
          <w14:textFill>
            <w14:solidFill>
              <w14:schemeClr w14:val="tx1"/>
            </w14:solidFill>
          </w14:textFill>
        </w:rPr>
        <w:t>第二章  投标人须知</w:t>
      </w:r>
      <w:bookmarkEnd w:id="16"/>
      <w:bookmarkEnd w:id="17"/>
    </w:p>
    <w:p>
      <w:pPr>
        <w:pStyle w:val="43"/>
        <w:spacing w:line="360" w:lineRule="auto"/>
        <w:rPr>
          <w:rFonts w:hint="eastAsia" w:ascii="宋体" w:hAnsi="宋体" w:eastAsia="宋体" w:cs="宋体"/>
          <w:color w:val="000000" w:themeColor="text1"/>
          <w:sz w:val="30"/>
          <w:szCs w:val="30"/>
          <w14:textFill>
            <w14:solidFill>
              <w14:schemeClr w14:val="tx1"/>
            </w14:solidFill>
          </w14:textFill>
        </w:rPr>
      </w:pPr>
      <w:bookmarkStart w:id="18" w:name="_Toc142401497"/>
      <w:r>
        <w:rPr>
          <w:rFonts w:hint="eastAsia" w:ascii="宋体" w:hAnsi="宋体" w:eastAsia="宋体" w:cs="宋体"/>
          <w:color w:val="000000" w:themeColor="text1"/>
          <w:sz w:val="30"/>
          <w:szCs w:val="30"/>
          <w14:textFill>
            <w14:solidFill>
              <w14:schemeClr w14:val="tx1"/>
            </w14:solidFill>
          </w14:textFill>
        </w:rPr>
        <w:t>投标人须知资料表</w:t>
      </w:r>
      <w:bookmarkEnd w:id="18"/>
    </w:p>
    <w:p>
      <w:pPr>
        <w:snapToGrid w:val="0"/>
        <w:spacing w:before="100" w:beforeAutospacing="1" w:after="100" w:afterAutospacing="1" w:line="360" w:lineRule="auto"/>
        <w:ind w:firstLine="408" w:firstLineChars="1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本表是对投标人须知的具体补充和修改，如有矛盾，均以本资料表为准。标记“</w:t>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”的选项意为适用于本项目，标记“□”的选项意为不适用于本项目。</w:t>
      </w:r>
    </w:p>
    <w:tbl>
      <w:tblPr>
        <w:tblStyle w:val="45"/>
        <w:tblW w:w="8704" w:type="dxa"/>
        <w:tblInd w:w="-3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324"/>
        <w:gridCol w:w="1717"/>
        <w:gridCol w:w="566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blHeader/>
        </w:trPr>
        <w:tc>
          <w:tcPr>
            <w:tcW w:w="1324" w:type="dxa"/>
            <w:tcBorders>
              <w:top w:val="single" w:color="auto" w:sz="12"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章节号</w:t>
            </w:r>
          </w:p>
        </w:tc>
        <w:tc>
          <w:tcPr>
            <w:tcW w:w="1717" w:type="dxa"/>
            <w:tcBorders>
              <w:top w:val="single" w:color="auto" w:sz="12"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条款名称</w:t>
            </w:r>
          </w:p>
        </w:tc>
        <w:tc>
          <w:tcPr>
            <w:tcW w:w="5663" w:type="dxa"/>
            <w:tcBorders>
              <w:top w:val="single" w:color="auto" w:sz="12" w:space="0"/>
              <w:left w:val="single" w:color="auto" w:sz="6" w:space="0"/>
              <w:bottom w:val="single" w:color="auto" w:sz="6" w:space="0"/>
              <w:right w:val="single" w:color="auto" w:sz="12"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vMerge w:val="restart"/>
            <w:tcBorders>
              <w:top w:val="single" w:color="auto" w:sz="6" w:space="0"/>
              <w:left w:val="single" w:color="auto" w:sz="12"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现场考察</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□不组织。</w:t>
            </w:r>
          </w:p>
          <w:p>
            <w:pPr>
              <w:snapToGrid w:val="0"/>
              <w:spacing w:line="360" w:lineRule="auto"/>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■组织，考察时间：</w:t>
            </w:r>
            <w:r>
              <w:rPr>
                <w:rFonts w:hint="eastAsia" w:ascii="宋体" w:hAnsi="宋体" w:eastAsia="宋体" w:cs="宋体"/>
                <w:color w:val="000000" w:themeColor="text1"/>
                <w:sz w:val="24"/>
                <w:szCs w:val="24"/>
                <w:u w:val="single"/>
                <w14:textFill>
                  <w14:solidFill>
                    <w14:schemeClr w14:val="tx1"/>
                  </w14:solidFill>
                </w14:textFill>
              </w:rPr>
              <w:t>2024</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u w:val="single"/>
                <w14:textFill>
                  <w14:solidFill>
                    <w14:schemeClr w14:val="tx1"/>
                  </w14:solidFill>
                </w14:textFill>
              </w:rPr>
              <w:t>9</w:t>
            </w:r>
            <w:r>
              <w:rPr>
                <w:rFonts w:hint="eastAsia" w:ascii="宋体" w:hAnsi="宋体" w:eastAsia="宋体" w:cs="宋体"/>
                <w:bCs/>
                <w:color w:val="000000" w:themeColor="text1"/>
                <w:sz w:val="24"/>
                <w:szCs w:val="24"/>
                <w14:textFill>
                  <w14:solidFill>
                    <w14:schemeClr w14:val="tx1"/>
                  </w14:solidFill>
                </w14:textFill>
              </w:rPr>
              <w:t>点</w:t>
            </w:r>
            <w:r>
              <w:rPr>
                <w:rFonts w:hint="eastAsia" w:ascii="宋体" w:hAnsi="宋体" w:eastAsia="宋体" w:cs="宋体"/>
                <w:color w:val="000000" w:themeColor="text1"/>
                <w:sz w:val="24"/>
                <w:szCs w:val="24"/>
                <w:u w:val="single"/>
                <w14:textFill>
                  <w14:solidFill>
                    <w14:schemeClr w14:val="tx1"/>
                  </w14:solidFill>
                </w14:textFill>
              </w:rPr>
              <w:t>30分</w:t>
            </w:r>
            <w:r>
              <w:rPr>
                <w:rFonts w:hint="eastAsia" w:ascii="宋体" w:hAnsi="宋体" w:eastAsia="宋体" w:cs="宋体"/>
                <w:bCs/>
                <w:color w:val="000000" w:themeColor="text1"/>
                <w:sz w:val="24"/>
                <w:szCs w:val="24"/>
                <w14:textFill>
                  <w14:solidFill>
                    <w14:schemeClr w14:val="tx1"/>
                  </w14:solidFill>
                </w14:textFill>
              </w:rPr>
              <w:t>。</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考察地点：</w:t>
            </w:r>
            <w:r>
              <w:rPr>
                <w:rFonts w:hint="eastAsia" w:ascii="宋体" w:hAnsi="宋体" w:eastAsia="宋体" w:cs="宋体"/>
                <w:color w:val="000000" w:themeColor="text1"/>
                <w:sz w:val="24"/>
                <w:szCs w:val="24"/>
                <w:u w:val="single"/>
                <w14:textFill>
                  <w14:solidFill>
                    <w14:schemeClr w14:val="tx1"/>
                  </w14:solidFill>
                </w14:textFill>
              </w:rPr>
              <w:t>北京友谊医院西城院区职工食堂。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vMerge w:val="continue"/>
            <w:tcBorders>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开标前答疑会</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■不召开。</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□召开，召开时间：</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点</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分。</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召开地点：</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vMerge w:val="restart"/>
            <w:tcBorders>
              <w:top w:val="single" w:color="auto" w:sz="6" w:space="0"/>
              <w:left w:val="single" w:color="auto" w:sz="12"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1717" w:type="dxa"/>
            <w:vMerge w:val="restart"/>
            <w:tcBorders>
              <w:top w:val="single" w:color="auto" w:sz="6" w:space="0"/>
              <w:left w:val="single" w:color="auto" w:sz="6" w:space="0"/>
              <w:right w:val="single" w:color="auto" w:sz="6" w:space="0"/>
            </w:tcBorders>
            <w:vAlign w:val="center"/>
          </w:tcPr>
          <w:p>
            <w:pPr>
              <w:snapToGrid w:val="0"/>
              <w:spacing w:line="360" w:lineRule="auto"/>
              <w:ind w:firstLine="48" w:firstLineChars="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资金来源</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ind w:firstLine="48" w:firstLineChars="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财政性资金。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vMerge w:val="continue"/>
            <w:tcBorders>
              <w:left w:val="single" w:color="auto" w:sz="12"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717" w:type="dxa"/>
            <w:vMerge w:val="continue"/>
            <w:tcBorders>
              <w:left w:val="single" w:color="auto" w:sz="6" w:space="0"/>
              <w:bottom w:val="single" w:color="auto" w:sz="6" w:space="0"/>
              <w:right w:val="single" w:color="auto" w:sz="6" w:space="0"/>
            </w:tcBorders>
            <w:vAlign w:val="center"/>
          </w:tcPr>
          <w:p>
            <w:pPr>
              <w:snapToGrid w:val="0"/>
              <w:spacing w:line="360" w:lineRule="auto"/>
              <w:ind w:firstLine="48" w:firstLineChars="20"/>
              <w:jc w:val="center"/>
              <w:rPr>
                <w:rFonts w:hint="eastAsia" w:ascii="宋体" w:hAnsi="宋体" w:eastAsia="宋体" w:cs="宋体"/>
                <w:color w:val="000000" w:themeColor="text1"/>
                <w:sz w:val="24"/>
                <w:szCs w:val="24"/>
                <w14:textFill>
                  <w14:solidFill>
                    <w14:schemeClr w14:val="tx1"/>
                  </w14:solidFill>
                </w14:textFill>
              </w:rPr>
            </w:pP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ind w:firstLine="48" w:firstLineChars="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本次招标预算金额为0元（采购人不收取管理费，也不向中标人支付其他费用，能源费用除外），最高限价为0元（采购人不收取管理费，也不向中标人支付其他费用，能源费用除外）。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vMerge w:val="continue"/>
            <w:tcBorders>
              <w:left w:val="single" w:color="auto" w:sz="12" w:space="0"/>
              <w:right w:val="single" w:color="auto" w:sz="6" w:space="0"/>
            </w:tcBorders>
            <w:vAlign w:val="center"/>
          </w:tcPr>
          <w:p>
            <w:pPr>
              <w:snapToGrid w:val="0"/>
              <w:spacing w:line="360" w:lineRule="auto"/>
              <w:ind w:firstLine="42" w:firstLineChars="20"/>
              <w:jc w:val="center"/>
              <w:rPr>
                <w:rFonts w:hint="eastAsia" w:ascii="宋体" w:hAnsi="宋体" w:eastAsia="宋体" w:cs="宋体"/>
                <w:color w:val="000000" w:themeColor="text1"/>
                <w14:textFill>
                  <w14:solidFill>
                    <w14:schemeClr w14:val="tx1"/>
                  </w14:solidFill>
                </w14:textFill>
              </w:rPr>
            </w:pPr>
          </w:p>
        </w:tc>
        <w:tc>
          <w:tcPr>
            <w:tcW w:w="1717" w:type="dxa"/>
            <w:tcBorders>
              <w:left w:val="single" w:color="auto" w:sz="6" w:space="0"/>
              <w:bottom w:val="single" w:color="auto" w:sz="6" w:space="0"/>
              <w:right w:val="single" w:color="auto" w:sz="6" w:space="0"/>
            </w:tcBorders>
            <w:vAlign w:val="center"/>
          </w:tcPr>
          <w:p>
            <w:pPr>
              <w:snapToGrid w:val="0"/>
              <w:spacing w:line="360" w:lineRule="auto"/>
              <w:ind w:firstLine="48" w:firstLineChars="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项目属性</w:t>
            </w:r>
          </w:p>
        </w:tc>
        <w:tc>
          <w:tcPr>
            <w:tcW w:w="566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项目属性：</w:t>
            </w:r>
          </w:p>
          <w:p>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w:t>
            </w:r>
          </w:p>
          <w:p>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□货物。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vMerge w:val="continue"/>
            <w:tcBorders>
              <w:left w:val="single" w:color="auto" w:sz="12" w:space="0"/>
              <w:right w:val="single" w:color="auto" w:sz="6" w:space="0"/>
            </w:tcBorders>
            <w:vAlign w:val="center"/>
          </w:tcPr>
          <w:p>
            <w:pPr>
              <w:snapToGrid w:val="0"/>
              <w:spacing w:line="360" w:lineRule="auto"/>
              <w:ind w:firstLine="42" w:firstLineChars="20"/>
              <w:jc w:val="center"/>
              <w:rPr>
                <w:rFonts w:hint="eastAsia" w:ascii="宋体" w:hAnsi="宋体" w:eastAsia="宋体" w:cs="宋体"/>
                <w:color w:val="000000" w:themeColor="text1"/>
                <w14:textFill>
                  <w14:solidFill>
                    <w14:schemeClr w14:val="tx1"/>
                  </w14:solidFill>
                </w14:textFill>
              </w:rPr>
            </w:pPr>
          </w:p>
        </w:tc>
        <w:tc>
          <w:tcPr>
            <w:tcW w:w="1717" w:type="dxa"/>
            <w:tcBorders>
              <w:left w:val="single" w:color="auto" w:sz="6" w:space="0"/>
              <w:bottom w:val="single" w:color="auto" w:sz="6" w:space="0"/>
              <w:right w:val="single" w:color="auto" w:sz="6" w:space="0"/>
            </w:tcBorders>
            <w:vAlign w:val="center"/>
          </w:tcPr>
          <w:p>
            <w:pPr>
              <w:snapToGrid w:val="0"/>
              <w:spacing w:line="360" w:lineRule="auto"/>
              <w:ind w:firstLine="48" w:firstLineChars="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科研仪器设备</w:t>
            </w:r>
          </w:p>
        </w:tc>
        <w:tc>
          <w:tcPr>
            <w:tcW w:w="566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是否属于科研仪器设备采购项目：</w:t>
            </w:r>
          </w:p>
          <w:p>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w:t>
            </w:r>
          </w:p>
          <w:p>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vMerge w:val="continue"/>
            <w:tcBorders>
              <w:left w:val="single" w:color="auto" w:sz="12" w:space="0"/>
              <w:bottom w:val="single" w:color="auto" w:sz="6" w:space="0"/>
              <w:right w:val="single" w:color="auto" w:sz="6" w:space="0"/>
            </w:tcBorders>
            <w:vAlign w:val="center"/>
          </w:tcPr>
          <w:p>
            <w:pPr>
              <w:snapToGrid w:val="0"/>
              <w:spacing w:line="360" w:lineRule="auto"/>
              <w:ind w:firstLine="42" w:firstLineChars="20"/>
              <w:jc w:val="center"/>
              <w:rPr>
                <w:rFonts w:hint="eastAsia" w:ascii="宋体" w:hAnsi="宋体" w:eastAsia="宋体" w:cs="宋体"/>
                <w:color w:val="000000" w:themeColor="text1"/>
                <w14:textFill>
                  <w14:solidFill>
                    <w14:schemeClr w14:val="tx1"/>
                  </w14:solidFill>
                </w14:textFill>
              </w:rPr>
            </w:pPr>
          </w:p>
        </w:tc>
        <w:tc>
          <w:tcPr>
            <w:tcW w:w="1717" w:type="dxa"/>
            <w:tcBorders>
              <w:left w:val="single" w:color="auto" w:sz="6" w:space="0"/>
              <w:bottom w:val="single" w:color="auto" w:sz="6" w:space="0"/>
              <w:right w:val="single" w:color="auto" w:sz="6" w:space="0"/>
            </w:tcBorders>
            <w:vAlign w:val="center"/>
          </w:tcPr>
          <w:p>
            <w:pPr>
              <w:snapToGrid w:val="0"/>
              <w:spacing w:line="360" w:lineRule="auto"/>
              <w:ind w:firstLine="48" w:firstLineChars="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核心产品</w:t>
            </w:r>
          </w:p>
        </w:tc>
        <w:tc>
          <w:tcPr>
            <w:tcW w:w="5663" w:type="dxa"/>
            <w:tcBorders>
              <w:top w:val="single" w:color="auto" w:sz="6" w:space="0"/>
              <w:left w:val="single" w:color="auto" w:sz="6" w:space="0"/>
              <w:bottom w:val="single" w:color="auto" w:sz="6" w:space="0"/>
              <w:right w:val="single" w:color="auto" w:sz="12" w:space="0"/>
            </w:tcBorders>
            <w:vAlign w:val="center"/>
          </w:tcPr>
          <w:p>
            <w:pPr>
              <w:pStyle w:val="23"/>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■关于核心产品本项目</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包不适用。</w:t>
            </w:r>
          </w:p>
          <w:p>
            <w:pPr>
              <w:pStyle w:val="23"/>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包为单一产品采购项目。</w:t>
            </w:r>
          </w:p>
          <w:p>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包为非单一产品采购项目，核心产品为：</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招标文件的</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询问或质疑</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1．截止时间：收到招标文件之日起7个工作日。</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2．方式：以</w:t>
            </w:r>
            <w:r>
              <w:rPr>
                <w:rFonts w:hint="eastAsia" w:ascii="宋体" w:hAnsi="宋体" w:eastAsia="宋体" w:cs="宋体"/>
                <w:color w:val="000000" w:themeColor="text1"/>
                <w:sz w:val="24"/>
                <w:szCs w:val="24"/>
                <w:u w:val="single"/>
                <w14:textFill>
                  <w14:solidFill>
                    <w14:schemeClr w14:val="tx1"/>
                  </w14:solidFill>
                </w14:textFill>
              </w:rPr>
              <w:t>书面、传真或邮件（扫描原件）</w:t>
            </w:r>
            <w:r>
              <w:rPr>
                <w:rFonts w:hint="eastAsia" w:ascii="宋体" w:hAnsi="宋体" w:eastAsia="宋体" w:cs="宋体"/>
                <w:color w:val="000000" w:themeColor="text1"/>
                <w:sz w:val="24"/>
                <w:szCs w:val="24"/>
                <w14:textFill>
                  <w14:solidFill>
                    <w14:schemeClr w14:val="tx1"/>
                  </w14:solidFill>
                </w14:textFill>
              </w:rPr>
              <w:t>的形式，电子邮箱：</w:t>
            </w:r>
            <w:r>
              <w:rPr>
                <w:rFonts w:hint="eastAsia" w:ascii="宋体" w:hAnsi="宋体" w:eastAsia="宋体" w:cs="宋体"/>
                <w:color w:val="000000" w:themeColor="text1"/>
                <w:sz w:val="24"/>
                <w:szCs w:val="24"/>
                <w:lang w:val="en-US" w:eastAsia="zh-CN"/>
                <w14:textFill>
                  <w14:solidFill>
                    <w14:schemeClr w14:val="tx1"/>
                  </w14:solidFill>
                </w14:textFill>
              </w:rPr>
              <w:t>710280222@qq.com</w:t>
            </w:r>
            <w:r>
              <w:rPr>
                <w:rFonts w:hint="eastAsia" w:ascii="宋体" w:hAnsi="宋体" w:eastAsia="宋体" w:cs="宋体"/>
                <w:color w:val="000000" w:themeColor="text1"/>
                <w:sz w:val="24"/>
                <w:szCs w:val="24"/>
                <w14:textFill>
                  <w14:solidFill>
                    <w14:schemeClr w14:val="tx1"/>
                  </w14:solidFill>
                </w14:textFill>
              </w:rPr>
              <w:t>。</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3、联系电话：</w:t>
            </w:r>
            <w:r>
              <w:rPr>
                <w:rFonts w:hint="eastAsia" w:ascii="宋体" w:hAnsi="宋体" w:eastAsia="宋体" w:cs="宋体"/>
                <w:color w:val="000000" w:themeColor="text1"/>
                <w:sz w:val="24"/>
                <w:szCs w:val="24"/>
                <w:u w:val="single"/>
                <w14:textFill>
                  <w14:solidFill>
                    <w14:schemeClr w14:val="tx1"/>
                  </w14:solidFill>
                </w14:textFill>
              </w:rPr>
              <w:t>67169727</w:t>
            </w:r>
            <w:r>
              <w:rPr>
                <w:rFonts w:hint="eastAsia" w:ascii="宋体" w:hAnsi="宋体" w:eastAsia="宋体" w:cs="宋体"/>
                <w:color w:val="000000" w:themeColor="text1"/>
                <w:sz w:val="24"/>
                <w:szCs w:val="24"/>
                <w14:textFill>
                  <w14:solidFill>
                    <w14:schemeClr w14:val="tx1"/>
                  </w14:solidFill>
                </w14:textFill>
              </w:rPr>
              <w:t>。</w:t>
            </w:r>
          </w:p>
          <w:p>
            <w:pPr>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4、地址：</w:t>
            </w:r>
            <w:r>
              <w:rPr>
                <w:rFonts w:hint="eastAsia" w:ascii="宋体" w:hAnsi="宋体" w:eastAsia="宋体" w:cs="宋体"/>
                <w:color w:val="000000" w:themeColor="text1"/>
                <w:sz w:val="24"/>
                <w:szCs w:val="24"/>
                <w:u w:val="single"/>
                <w14:textFill>
                  <w14:solidFill>
                    <w14:schemeClr w14:val="tx1"/>
                  </w14:solidFill>
                </w14:textFill>
              </w:rPr>
              <w:t>北京市京发招标有限公司705房间。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84" w:hRule="atLeast"/>
        </w:trPr>
        <w:tc>
          <w:tcPr>
            <w:tcW w:w="1324" w:type="dxa"/>
            <w:vMerge w:val="restart"/>
            <w:tcBorders>
              <w:top w:val="single" w:color="auto" w:sz="6" w:space="0"/>
              <w:left w:val="single" w:color="auto" w:sz="12"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w:t>
            </w:r>
          </w:p>
        </w:tc>
        <w:tc>
          <w:tcPr>
            <w:tcW w:w="1717" w:type="dxa"/>
            <w:vMerge w:val="restart"/>
            <w:tcBorders>
              <w:top w:val="single" w:color="auto" w:sz="6" w:space="0"/>
              <w:left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投标保证金</w:t>
            </w:r>
          </w:p>
        </w:tc>
        <w:tc>
          <w:tcPr>
            <w:tcW w:w="5663" w:type="dxa"/>
            <w:tcBorders>
              <w:top w:val="single" w:color="auto" w:sz="6" w:space="0"/>
              <w:left w:val="single" w:color="auto" w:sz="6" w:space="0"/>
              <w:bottom w:val="single" w:color="auto" w:sz="4" w:space="0"/>
              <w:right w:val="single" w:color="auto" w:sz="12" w:space="0"/>
            </w:tcBorders>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□人民币</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元。</w:t>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投标保证金收受人信息：</w:t>
            </w:r>
          </w:p>
          <w:p>
            <w:pPr>
              <w:spacing w:line="360" w:lineRule="auto"/>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开户名（全称）：</w:t>
            </w:r>
            <w:r>
              <w:rPr>
                <w:rFonts w:hint="eastAsia" w:ascii="宋体" w:hAnsi="宋体" w:eastAsia="宋体" w:cs="宋体"/>
                <w:bCs/>
                <w:color w:val="000000" w:themeColor="text1"/>
                <w:sz w:val="24"/>
                <w:u w:val="single"/>
                <w14:textFill>
                  <w14:solidFill>
                    <w14:schemeClr w14:val="tx1"/>
                  </w14:solidFill>
                </w14:textFill>
              </w:rPr>
              <w:t>北京市京发招标有限公司；</w:t>
            </w:r>
          </w:p>
          <w:p>
            <w:pPr>
              <w:spacing w:line="360" w:lineRule="auto"/>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开户银行：</w:t>
            </w:r>
            <w:r>
              <w:rPr>
                <w:rFonts w:hint="eastAsia" w:ascii="宋体" w:hAnsi="宋体" w:eastAsia="宋体" w:cs="宋体"/>
                <w:bCs/>
                <w:color w:val="000000" w:themeColor="text1"/>
                <w:sz w:val="24"/>
                <w:u w:val="single"/>
                <w14:textFill>
                  <w14:solidFill>
                    <w14:schemeClr w14:val="tx1"/>
                  </w14:solidFill>
                </w14:textFill>
              </w:rPr>
              <w:t>招商银行北京分行崇文门支行；</w:t>
            </w:r>
          </w:p>
          <w:p>
            <w:pPr>
              <w:spacing w:line="360" w:lineRule="auto"/>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账    号：</w:t>
            </w:r>
            <w:r>
              <w:rPr>
                <w:rFonts w:hint="eastAsia" w:ascii="宋体" w:hAnsi="宋体" w:eastAsia="宋体" w:cs="宋体"/>
                <w:bCs/>
                <w:color w:val="000000" w:themeColor="text1"/>
                <w:sz w:val="24"/>
                <w:u w:val="single"/>
                <w14:textFill>
                  <w14:solidFill>
                    <w14:schemeClr w14:val="tx1"/>
                  </w14:solidFill>
                </w14:textFill>
              </w:rPr>
              <w:t>1109 1881 6710 6010 0000 00007。</w:t>
            </w:r>
          </w:p>
          <w:p>
            <w:pPr>
              <w:spacing w:line="360" w:lineRule="auto"/>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投标保证金以支票、汇票、本票、网上银行支付等非现金形式提交。</w:t>
            </w:r>
          </w:p>
          <w:p>
            <w:pPr>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■本项目不要求。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56" w:hRule="atLeast"/>
        </w:trPr>
        <w:tc>
          <w:tcPr>
            <w:tcW w:w="1324" w:type="dxa"/>
            <w:vMerge w:val="continue"/>
            <w:tcBorders>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717" w:type="dxa"/>
            <w:vMerge w:val="continue"/>
            <w:tcBorders>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5663" w:type="dxa"/>
            <w:tcBorders>
              <w:top w:val="single" w:color="auto" w:sz="4"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投标保证金可以不予退还的其他情形：</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w:t>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□有，具体情形：</w:t>
            </w:r>
          </w:p>
          <w:p>
            <w:pPr>
              <w:spacing w:line="360" w:lineRule="auto"/>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bCs/>
                <w:color w:val="000000" w:themeColor="text1"/>
                <w:sz w:val="24"/>
                <w:szCs w:val="24"/>
                <w:u w:val="single"/>
                <w14:textFill>
                  <w14:solidFill>
                    <w14:schemeClr w14:val="tx1"/>
                  </w14:solidFill>
                </w14:textFill>
              </w:rPr>
              <w:t>中标人未能在规定期限内提交履约担保或未按本须知第32条规定签订合同的；</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2）中标人不按本须知第35.1条规定交纳中标服务费</w:t>
            </w:r>
            <w:r>
              <w:rPr>
                <w:rFonts w:hint="eastAsia" w:ascii="宋体" w:hAnsi="宋体" w:eastAsia="宋体" w:cs="宋体"/>
                <w:color w:val="000000" w:themeColor="text1"/>
                <w:sz w:val="24"/>
                <w:szCs w:val="24"/>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56" w:hRule="atLeast"/>
        </w:trPr>
        <w:tc>
          <w:tcPr>
            <w:tcW w:w="1324" w:type="dxa"/>
            <w:tcBorders>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1717" w:type="dxa"/>
            <w:tcBorders>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投标报价</w:t>
            </w:r>
          </w:p>
        </w:tc>
        <w:tc>
          <w:tcPr>
            <w:tcW w:w="5663" w:type="dxa"/>
            <w:tcBorders>
              <w:top w:val="single" w:color="auto" w:sz="4" w:space="0"/>
              <w:left w:val="single" w:color="auto" w:sz="6" w:space="0"/>
              <w:bottom w:val="single" w:color="auto" w:sz="6" w:space="0"/>
              <w:right w:val="single" w:color="auto" w:sz="12" w:space="0"/>
            </w:tcBorders>
            <w:vAlign w:val="center"/>
          </w:tcPr>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投标报价的特殊规定：</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无</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有，具体情形：_____。</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4"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13．1</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ind w:left="1592" w:hanging="159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投标有效期</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ind w:left="1592" w:hanging="1592"/>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自提交投标文件的截止之日起算</w:t>
            </w:r>
            <w:r>
              <w:rPr>
                <w:rFonts w:hint="eastAsia" w:ascii="宋体" w:hAnsi="宋体" w:eastAsia="宋体" w:cs="宋体"/>
                <w:color w:val="000000" w:themeColor="text1"/>
                <w:sz w:val="24"/>
                <w:u w:val="single"/>
                <w14:textFill>
                  <w14:solidFill>
                    <w14:schemeClr w14:val="tx1"/>
                  </w14:solidFill>
                </w14:textFill>
              </w:rPr>
              <w:t>_90_</w:t>
            </w:r>
            <w:r>
              <w:rPr>
                <w:rFonts w:hint="eastAsia" w:ascii="宋体" w:hAnsi="宋体" w:eastAsia="宋体" w:cs="宋体"/>
                <w:color w:val="000000" w:themeColor="text1"/>
                <w:sz w:val="24"/>
                <w14:textFill>
                  <w14:solidFill>
                    <w14:schemeClr w14:val="tx1"/>
                  </w14:solidFill>
                </w14:textFill>
              </w:rPr>
              <w:t>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投标文件的</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份数</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投标文件：正本</w:t>
            </w:r>
            <w:r>
              <w:rPr>
                <w:rFonts w:hint="eastAsia" w:ascii="宋体" w:hAnsi="宋体" w:eastAsia="宋体" w:cs="宋体"/>
                <w:color w:val="000000" w:themeColor="text1"/>
                <w:sz w:val="24"/>
                <w:szCs w:val="24"/>
                <w:u w:val="single"/>
                <w14:textFill>
                  <w14:solidFill>
                    <w14:schemeClr w14:val="tx1"/>
                  </w14:solidFill>
                </w14:textFill>
              </w:rPr>
              <w:t>壹</w:t>
            </w:r>
            <w:r>
              <w:rPr>
                <w:rFonts w:hint="eastAsia" w:ascii="宋体" w:hAnsi="宋体" w:eastAsia="宋体" w:cs="宋体"/>
                <w:color w:val="000000" w:themeColor="text1"/>
                <w:sz w:val="24"/>
                <w:szCs w:val="24"/>
                <w14:textFill>
                  <w14:solidFill>
                    <w14:schemeClr w14:val="tx1"/>
                  </w14:solidFill>
                </w14:textFill>
              </w:rPr>
              <w:t>份、副本</w:t>
            </w:r>
            <w:r>
              <w:rPr>
                <w:rFonts w:hint="eastAsia" w:ascii="宋体" w:hAnsi="宋体" w:eastAsia="宋体" w:cs="宋体"/>
                <w:color w:val="000000" w:themeColor="text1"/>
                <w:sz w:val="24"/>
                <w:szCs w:val="24"/>
                <w:u w:val="single"/>
                <w14:textFill>
                  <w14:solidFill>
                    <w14:schemeClr w14:val="tx1"/>
                  </w14:solidFill>
                </w14:textFill>
              </w:rPr>
              <w:t>肆</w:t>
            </w:r>
            <w:r>
              <w:rPr>
                <w:rFonts w:hint="eastAsia" w:ascii="宋体" w:hAnsi="宋体" w:eastAsia="宋体" w:cs="宋体"/>
                <w:color w:val="000000" w:themeColor="text1"/>
                <w:sz w:val="24"/>
                <w:szCs w:val="24"/>
                <w14:textFill>
                  <w14:solidFill>
                    <w14:schemeClr w14:val="tx1"/>
                  </w14:solidFill>
                </w14:textFill>
              </w:rPr>
              <w:t>份，电子版</w:t>
            </w:r>
            <w:r>
              <w:rPr>
                <w:rFonts w:hint="eastAsia" w:ascii="宋体" w:hAnsi="宋体" w:eastAsia="宋体" w:cs="宋体"/>
                <w:color w:val="000000" w:themeColor="text1"/>
                <w:sz w:val="24"/>
                <w:szCs w:val="24"/>
                <w:u w:val="single"/>
                <w14:textFill>
                  <w14:solidFill>
                    <w14:schemeClr w14:val="tx1"/>
                  </w14:solidFill>
                </w14:textFill>
              </w:rPr>
              <w:t>壹</w:t>
            </w:r>
            <w:r>
              <w:rPr>
                <w:rFonts w:hint="eastAsia" w:ascii="宋体" w:hAnsi="宋体" w:eastAsia="宋体" w:cs="宋体"/>
                <w:color w:val="000000" w:themeColor="text1"/>
                <w:sz w:val="24"/>
                <w:szCs w:val="24"/>
                <w14:textFill>
                  <w14:solidFill>
                    <w14:schemeClr w14:val="tx1"/>
                  </w14:solidFill>
                </w14:textFill>
              </w:rPr>
              <w:t>份（word版和正本盖章后彩色扫描pdf版），以</w:t>
            </w:r>
            <w:r>
              <w:rPr>
                <w:rFonts w:hint="eastAsia" w:ascii="宋体" w:hAnsi="宋体" w:eastAsia="宋体" w:cs="宋体"/>
                <w:color w:val="000000" w:themeColor="text1"/>
                <w:sz w:val="24"/>
                <w:szCs w:val="24"/>
                <w:u w:val="single"/>
                <w14:textFill>
                  <w14:solidFill>
                    <w14:schemeClr w14:val="tx1"/>
                  </w14:solidFill>
                </w14:textFill>
              </w:rPr>
              <w:t>光盘或u盘</w:t>
            </w:r>
            <w:r>
              <w:rPr>
                <w:rFonts w:hint="eastAsia" w:ascii="宋体" w:hAnsi="宋体" w:eastAsia="宋体" w:cs="宋体"/>
                <w:color w:val="000000" w:themeColor="text1"/>
                <w:sz w:val="24"/>
                <w:szCs w:val="24"/>
                <w14:textFill>
                  <w14:solidFill>
                    <w14:schemeClr w14:val="tx1"/>
                  </w14:solidFill>
                </w14:textFill>
              </w:rPr>
              <w:t>等形式现场提供。</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开标一览表：单独密封递交纸质文件</w:t>
            </w:r>
            <w:r>
              <w:rPr>
                <w:rFonts w:hint="eastAsia" w:ascii="宋体" w:hAnsi="宋体" w:eastAsia="宋体" w:cs="宋体"/>
                <w:color w:val="000000" w:themeColor="text1"/>
                <w:sz w:val="24"/>
                <w:szCs w:val="24"/>
                <w:u w:val="single"/>
                <w14:textFill>
                  <w14:solidFill>
                    <w14:schemeClr w14:val="tx1"/>
                  </w14:solidFill>
                </w14:textFill>
              </w:rPr>
              <w:t>壹</w:t>
            </w:r>
            <w:r>
              <w:rPr>
                <w:rFonts w:hint="eastAsia" w:ascii="宋体" w:hAnsi="宋体" w:eastAsia="宋体" w:cs="宋体"/>
                <w:color w:val="000000" w:themeColor="text1"/>
                <w:sz w:val="24"/>
                <w:szCs w:val="24"/>
                <w14:textFill>
                  <w14:solidFill>
                    <w14:schemeClr w14:val="tx1"/>
                  </w14:solidFill>
                </w14:textFill>
              </w:rPr>
              <w:t>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3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投标文件的装订、密封和标记</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见《投标人须知》。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18．1</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投标文件的提交和截止时间</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投标文件递交地点：北京市京发招标有限公司3</w:t>
            </w:r>
            <w:r>
              <w:rPr>
                <w:rFonts w:hint="eastAsia" w:ascii="宋体" w:hAnsi="宋体" w:cs="宋体"/>
                <w:color w:val="000000" w:themeColor="text1"/>
                <w:sz w:val="24"/>
                <w:szCs w:val="24"/>
                <w:lang w:val="en-US" w:eastAsia="zh-CN"/>
                <w14:textFill>
                  <w14:solidFill>
                    <w14:schemeClr w14:val="tx1"/>
                  </w14:solidFill>
                </w14:textFill>
              </w:rPr>
              <w:t>08</w:t>
            </w:r>
            <w:bookmarkStart w:id="765" w:name="_GoBack"/>
            <w:bookmarkEnd w:id="765"/>
            <w:r>
              <w:rPr>
                <w:rFonts w:hint="eastAsia" w:ascii="宋体" w:hAnsi="宋体" w:eastAsia="宋体" w:cs="宋体"/>
                <w:color w:val="000000" w:themeColor="text1"/>
                <w:sz w:val="24"/>
                <w:szCs w:val="24"/>
                <w14:textFill>
                  <w14:solidFill>
                    <w14:schemeClr w14:val="tx1"/>
                  </w14:solidFill>
                </w14:textFill>
              </w:rPr>
              <w:t>会议室。</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投标截止时间：</w:t>
            </w:r>
            <w:r>
              <w:rPr>
                <w:rFonts w:hint="eastAsia" w:ascii="宋体" w:hAnsi="宋体" w:eastAsia="宋体" w:cs="宋体"/>
                <w:color w:val="000000" w:themeColor="text1"/>
                <w:sz w:val="24"/>
                <w:szCs w:val="24"/>
                <w:u w:val="single"/>
                <w14:textFill>
                  <w14:solidFill>
                    <w14:schemeClr w14:val="tx1"/>
                  </w14:solidFill>
                </w14:textFill>
              </w:rPr>
              <w:t>2024</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8</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i/>
                <w:iCs/>
                <w:color w:val="000000" w:themeColor="text1"/>
                <w:sz w:val="24"/>
                <w:szCs w:val="24"/>
                <w:u w:val="single"/>
                <w14:textFill>
                  <w14:solidFill>
                    <w14:schemeClr w14:val="tx1"/>
                  </w14:solidFill>
                </w14:textFill>
              </w:rPr>
              <w:t xml:space="preserve"> </w:t>
            </w:r>
            <w:r>
              <w:rPr>
                <w:rFonts w:hint="eastAsia" w:ascii="宋体" w:hAnsi="宋体" w:eastAsia="宋体" w:cs="宋体"/>
                <w:i/>
                <w:iCs/>
                <w:color w:val="000000" w:themeColor="text1"/>
                <w:sz w:val="24"/>
                <w:szCs w:val="24"/>
                <w:u w:val="single"/>
                <w:lang w:val="en-US" w:eastAsia="zh-CN"/>
                <w14:textFill>
                  <w14:solidFill>
                    <w14:schemeClr w14:val="tx1"/>
                  </w14:solidFill>
                </w14:textFill>
              </w:rPr>
              <w:t>22</w:t>
            </w:r>
            <w:r>
              <w:rPr>
                <w:rFonts w:hint="eastAsia" w:ascii="宋体" w:hAnsi="宋体" w:eastAsia="宋体" w:cs="宋体"/>
                <w:i/>
                <w:i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u w:val="single"/>
                <w:lang w:val="en-US" w:eastAsia="zh-CN"/>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时</w:t>
            </w:r>
            <w:r>
              <w:rPr>
                <w:rFonts w:hint="eastAsia" w:ascii="宋体" w:hAnsi="宋体" w:eastAsia="宋体" w:cs="宋体"/>
                <w:color w:val="000000" w:themeColor="text1"/>
                <w:sz w:val="24"/>
                <w:szCs w:val="24"/>
                <w:u w:val="single"/>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21．1</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开标时间和开标地点</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开标时间：</w:t>
            </w:r>
            <w:r>
              <w:rPr>
                <w:rFonts w:hint="eastAsia" w:ascii="宋体" w:hAnsi="宋体" w:eastAsia="宋体" w:cs="宋体"/>
                <w:color w:val="000000" w:themeColor="text1"/>
                <w:sz w:val="24"/>
                <w:szCs w:val="24"/>
                <w:u w:val="single"/>
                <w14:textFill>
                  <w14:solidFill>
                    <w14:schemeClr w14:val="tx1"/>
                  </w14:solidFill>
                </w14:textFill>
              </w:rPr>
              <w:t>2024</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8</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22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u w:val="single"/>
                <w:lang w:val="en-US" w:eastAsia="zh-CN"/>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时</w:t>
            </w:r>
            <w:r>
              <w:rPr>
                <w:rFonts w:hint="eastAsia" w:ascii="宋体" w:hAnsi="宋体" w:eastAsia="宋体" w:cs="宋体"/>
                <w:color w:val="000000" w:themeColor="text1"/>
                <w:sz w:val="24"/>
                <w:szCs w:val="24"/>
                <w:u w:val="single"/>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开标地点：北京市京发招标有限公司3</w:t>
            </w:r>
            <w:r>
              <w:rPr>
                <w:rFonts w:hint="eastAsia" w:ascii="宋体" w:hAnsi="宋体" w:cs="宋体"/>
                <w:color w:val="000000" w:themeColor="text1"/>
                <w:sz w:val="24"/>
                <w:szCs w:val="24"/>
                <w:lang w:val="en-US" w:eastAsia="zh-CN"/>
                <w14:textFill>
                  <w14:solidFill>
                    <w14:schemeClr w14:val="tx1"/>
                  </w14:solidFill>
                </w14:textFill>
              </w:rPr>
              <w:t>08</w:t>
            </w:r>
            <w:r>
              <w:rPr>
                <w:rFonts w:hint="eastAsia" w:ascii="宋体" w:hAnsi="宋体" w:eastAsia="宋体" w:cs="宋体"/>
                <w:color w:val="000000" w:themeColor="text1"/>
                <w:sz w:val="24"/>
                <w:szCs w:val="24"/>
                <w14:textFill>
                  <w14:solidFill>
                    <w14:schemeClr w14:val="tx1"/>
                  </w14:solidFill>
                </w14:textFill>
              </w:rPr>
              <w:t>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26</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评标方法和</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标准</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综合评分法。</w:t>
            </w:r>
          </w:p>
          <w:p>
            <w:pPr>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最低评标价法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中标候选人的推荐原则</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评标委员会按评审后得分由高到低顺序排列，推荐</w:t>
            </w:r>
            <w:r>
              <w:rPr>
                <w:rFonts w:hint="eastAsia" w:ascii="宋体" w:hAnsi="宋体" w:eastAsia="宋体" w:cs="宋体"/>
                <w:color w:val="000000" w:themeColor="text1"/>
                <w:sz w:val="24"/>
                <w:szCs w:val="24"/>
                <w:u w:val="single"/>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名中标候选人。得分相同的，按技术得分由高到低排列。得分且技术得分相同的，采取随机抽取方式确定。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29</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确定中标人</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采购人将在评标报告确定的中标候选人名单中按顺序确定中标人。</w:t>
            </w:r>
          </w:p>
          <w:p>
            <w:pPr>
              <w:snapToGrid w:val="0"/>
              <w:spacing w:line="360" w:lineRule="auto"/>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中标候选人并列的，采购人是否委托评标委员会确定中标人：■否           □是</w:t>
            </w:r>
          </w:p>
          <w:p>
            <w:pPr>
              <w:snapToGrid w:val="0"/>
              <w:spacing w:line="360" w:lineRule="auto"/>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中标候选人并列的，按照以下方式确定中标人： </w:t>
            </w:r>
          </w:p>
          <w:p>
            <w:pPr>
              <w:snapToGrid w:val="0"/>
              <w:spacing w:line="360" w:lineRule="auto"/>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□得分且投标报价均相同的，以</w:t>
            </w:r>
            <w:r>
              <w:rPr>
                <w:rFonts w:hint="eastAsia" w:ascii="宋体" w:hAnsi="宋体" w:eastAsia="宋体" w:cs="宋体"/>
                <w:bCs/>
                <w:color w:val="000000" w:themeColor="text1"/>
                <w:sz w:val="24"/>
                <w:szCs w:val="24"/>
                <w:u w:val="single"/>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得分高者为中标人。</w:t>
            </w:r>
          </w:p>
          <w:p>
            <w:pPr>
              <w:snapToGrid w:val="0"/>
              <w:spacing w:line="360" w:lineRule="auto"/>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■随机抽取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履约保证金</w:t>
            </w:r>
          </w:p>
        </w:tc>
        <w:tc>
          <w:tcPr>
            <w:tcW w:w="5663" w:type="dxa"/>
            <w:tcBorders>
              <w:top w:val="single" w:color="auto" w:sz="6" w:space="0"/>
              <w:left w:val="single" w:color="auto" w:sz="6" w:space="0"/>
              <w:bottom w:val="single" w:color="auto" w:sz="6" w:space="0"/>
              <w:right w:val="single" w:color="auto" w:sz="12" w:space="0"/>
            </w:tcBorders>
            <w:vAlign w:val="center"/>
          </w:tcPr>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中标人应在合同签订后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5</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工作</w:t>
            </w:r>
            <w:r>
              <w:rPr>
                <w:rFonts w:hint="eastAsia" w:ascii="宋体" w:hAnsi="宋体" w:eastAsia="宋体" w:cs="宋体"/>
                <w:color w:val="000000" w:themeColor="text1"/>
                <w:sz w:val="24"/>
                <w:szCs w:val="24"/>
                <w14:textFill>
                  <w14:solidFill>
                    <w14:schemeClr w14:val="tx1"/>
                  </w14:solidFill>
                </w14:textFill>
              </w:rPr>
              <w:t>日内，按约定的方式向采购人提交</w:t>
            </w:r>
            <w:r>
              <w:rPr>
                <w:rFonts w:hint="eastAsia" w:ascii="宋体" w:hAnsi="宋体" w:eastAsia="宋体" w:cs="宋体"/>
                <w:b/>
                <w:bCs/>
                <w:color w:val="auto"/>
                <w:sz w:val="24"/>
                <w:szCs w:val="24"/>
                <w:u w:val="single"/>
              </w:rPr>
              <w:t>叁拾万元人民币</w:t>
            </w:r>
            <w:r>
              <w:rPr>
                <w:rFonts w:hint="eastAsia" w:ascii="宋体" w:hAnsi="宋体" w:eastAsia="宋体" w:cs="宋体"/>
                <w:b/>
                <w:bCs/>
                <w:color w:val="auto"/>
                <w:sz w:val="24"/>
                <w:szCs w:val="24"/>
                <w:u w:val="single"/>
                <w:lang w:bidi="en-US"/>
              </w:rPr>
              <w:t>(</w:t>
            </w:r>
            <w:r>
              <w:rPr>
                <w:rStyle w:val="460"/>
                <w:rFonts w:hint="eastAsia" w:ascii="宋体" w:hAnsi="宋体" w:eastAsia="宋体" w:cs="宋体"/>
                <w:b/>
                <w:bCs/>
                <w:color w:val="auto"/>
                <w:sz w:val="24"/>
                <w:szCs w:val="24"/>
                <w:u w:val="single"/>
                <w:lang w:eastAsia="zh-CN"/>
              </w:rPr>
              <w:t>¥</w:t>
            </w:r>
            <w:r>
              <w:rPr>
                <w:rFonts w:hint="eastAsia" w:ascii="宋体" w:hAnsi="宋体" w:eastAsia="宋体" w:cs="宋体"/>
                <w:b/>
                <w:bCs/>
                <w:color w:val="auto"/>
                <w:sz w:val="24"/>
                <w:szCs w:val="24"/>
                <w:u w:val="single"/>
                <w:lang w:val="en-US" w:bidi="en-US"/>
              </w:rPr>
              <w:t>30</w:t>
            </w:r>
            <w:r>
              <w:rPr>
                <w:rFonts w:hint="eastAsia" w:ascii="宋体" w:hAnsi="宋体" w:eastAsia="宋体" w:cs="宋体"/>
                <w:b/>
                <w:bCs/>
                <w:color w:val="auto"/>
                <w:sz w:val="24"/>
                <w:szCs w:val="24"/>
                <w:u w:val="single"/>
                <w:lang w:bidi="en-US"/>
              </w:rPr>
              <w:t>0000.00)</w:t>
            </w:r>
            <w:r>
              <w:rPr>
                <w:rFonts w:hint="eastAsia" w:ascii="宋体" w:hAnsi="宋体" w:eastAsia="宋体" w:cs="宋体"/>
                <w:color w:val="000000" w:themeColor="text1"/>
                <w:sz w:val="24"/>
                <w:szCs w:val="24"/>
                <w14:textFill>
                  <w14:solidFill>
                    <w14:schemeClr w14:val="tx1"/>
                  </w14:solidFill>
                </w14:textFill>
              </w:rPr>
              <w:t>的履约保证金。</w:t>
            </w:r>
          </w:p>
          <w:p>
            <w:pPr>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□本项目不要求。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32.8</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分包</w:t>
            </w:r>
          </w:p>
        </w:tc>
        <w:tc>
          <w:tcPr>
            <w:tcW w:w="566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本项目的非主体、非关键性工作是否允许分包： </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不允许。</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□允许，具体要求：</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（1）可以分包履行的具体内容：</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（2）允许分包的金额或者比例：</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w:t>
            </w:r>
          </w:p>
          <w:p>
            <w:pPr>
              <w:snapToGrid w:val="0"/>
              <w:spacing w:line="360" w:lineRule="auto"/>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（3）其他要求：</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第三章</w:t>
            </w:r>
          </w:p>
          <w:p>
            <w:pPr>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16</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ind w:firstLine="48" w:firstLineChars="2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样品</w:t>
            </w:r>
          </w:p>
        </w:tc>
        <w:tc>
          <w:tcPr>
            <w:tcW w:w="566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投标样品递交：</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不需要</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□需要，具体要求如下：</w:t>
            </w:r>
          </w:p>
          <w:p>
            <w:pPr>
              <w:spacing w:line="360" w:lineRule="auto"/>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（1）样品制作的标准和要求：</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（2）是否需要随样品提交相关检测报告：</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不需要</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□需要</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（3）样品递交要求：</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（4）未中标人样品退还：</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w:t>
            </w:r>
          </w:p>
          <w:p>
            <w:pPr>
              <w:spacing w:line="360" w:lineRule="auto"/>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（5）中标人样品保管、封存及退还：</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（6）其他要求（如有）：</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1324" w:type="dxa"/>
            <w:tcBorders>
              <w:top w:val="single" w:color="auto" w:sz="6" w:space="0"/>
              <w:left w:val="single" w:color="auto" w:sz="12" w:space="0"/>
              <w:bottom w:val="single" w:color="auto" w:sz="6" w:space="0"/>
              <w:right w:val="single" w:color="auto" w:sz="6" w:space="0"/>
            </w:tcBorders>
            <w:vAlign w:val="center"/>
          </w:tcPr>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w:t>
            </w:r>
          </w:p>
          <w:p>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w:t>
            </w:r>
          </w:p>
        </w:tc>
        <w:tc>
          <w:tcPr>
            <w:tcW w:w="1717" w:type="dxa"/>
            <w:tcBorders>
              <w:top w:val="single" w:color="auto" w:sz="6" w:space="0"/>
              <w:left w:val="single" w:color="auto" w:sz="6" w:space="0"/>
              <w:bottom w:val="single" w:color="auto" w:sz="6" w:space="0"/>
              <w:right w:val="single" w:color="auto" w:sz="6" w:space="0"/>
            </w:tcBorders>
            <w:vAlign w:val="center"/>
          </w:tcPr>
          <w:p>
            <w:pPr>
              <w:snapToGrid w:val="0"/>
              <w:spacing w:line="360" w:lineRule="auto"/>
              <w:ind w:firstLine="48" w:firstLineChars="2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采购代理服务费</w:t>
            </w:r>
          </w:p>
        </w:tc>
        <w:tc>
          <w:tcPr>
            <w:tcW w:w="566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收费对象：</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中标人</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收费标准：</w:t>
            </w:r>
            <w:r>
              <w:rPr>
                <w:rFonts w:hint="eastAsia" w:ascii="宋体" w:hAnsi="宋体" w:eastAsia="宋体" w:cs="宋体"/>
                <w:color w:val="000000" w:themeColor="text1"/>
                <w:sz w:val="24"/>
                <w:u w:val="single"/>
                <w14:textFill>
                  <w14:solidFill>
                    <w14:schemeClr w14:val="tx1"/>
                  </w14:solidFill>
                </w14:textFill>
              </w:rPr>
              <w:t>招标代理机构将向中标单位收取采购代理服务费。</w:t>
            </w:r>
            <w:r>
              <w:rPr>
                <w:rFonts w:hint="eastAsia" w:ascii="宋体" w:hAnsi="宋体" w:eastAsia="宋体" w:cs="宋体"/>
                <w:bCs/>
                <w:color w:val="000000" w:themeColor="text1"/>
                <w:sz w:val="24"/>
                <w:u w:val="single"/>
                <w14:textFill>
                  <w14:solidFill>
                    <w14:schemeClr w14:val="tx1"/>
                  </w14:solidFill>
                </w14:textFill>
              </w:rPr>
              <w:t>本项目代理服务费由中标人支付，代理服务费人民币60000元</w:t>
            </w:r>
            <w:r>
              <w:rPr>
                <w:rFonts w:hint="eastAsia" w:ascii="宋体" w:hAnsi="宋体" w:eastAsia="宋体" w:cs="宋体"/>
                <w:color w:val="000000" w:themeColor="text1"/>
                <w:sz w:val="24"/>
                <w14:textFill>
                  <w14:solidFill>
                    <w14:schemeClr w14:val="tx1"/>
                  </w14:solidFill>
                </w14:textFill>
              </w:rPr>
              <w:t>；</w:t>
            </w:r>
          </w:p>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缴纳时间：</w:t>
            </w:r>
            <w:r>
              <w:rPr>
                <w:rFonts w:hint="eastAsia" w:ascii="宋体" w:hAnsi="宋体" w:eastAsia="宋体" w:cs="宋体"/>
                <w:color w:val="000000" w:themeColor="text1"/>
                <w:sz w:val="24"/>
                <w:u w:val="single"/>
                <w14:textFill>
                  <w14:solidFill>
                    <w14:schemeClr w14:val="tx1"/>
                  </w14:solidFill>
                </w14:textFill>
              </w:rPr>
              <w:t>中标人在中标通知书发出之日起5个工作日内向采购代理机构缴付中标服务费</w:t>
            </w:r>
            <w:r>
              <w:rPr>
                <w:rFonts w:hint="eastAsia" w:ascii="宋体" w:hAnsi="宋体" w:eastAsia="宋体" w:cs="宋体"/>
                <w:color w:val="000000" w:themeColor="text1"/>
                <w:sz w:val="24"/>
                <w14:textFill>
                  <w14:solidFill>
                    <w14:schemeClr w14:val="tx1"/>
                  </w14:solidFill>
                </w14:textFill>
              </w:rPr>
              <w:t>。</w:t>
            </w:r>
          </w:p>
        </w:tc>
      </w:tr>
    </w:tbl>
    <w:p>
      <w:pPr>
        <w:spacing w:line="276" w:lineRule="auto"/>
        <w:ind w:firstLine="410" w:firstLineChars="1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所谓实质上响应的投标文件应该是与招标文件要求的关键条款、条件和规格相符，没有重大偏离的投标。对于关键条款（招标文件中的黑体字部分、招标文件中带有“应、应当、须、必须、不得”等字样的要求），例如关于投标有效期、适用法律等内容的偏离、保留和反对，将被认为是实质上的偏离。</w:t>
      </w:r>
    </w:p>
    <w:p>
      <w:pPr>
        <w:pStyle w:val="43"/>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bookmarkStart w:id="19" w:name="_Toc4409"/>
      <w:bookmarkStart w:id="20" w:name="_Toc142401498"/>
      <w:r>
        <w:rPr>
          <w:rFonts w:hint="eastAsia" w:ascii="宋体" w:hAnsi="宋体" w:eastAsia="宋体" w:cs="宋体"/>
          <w:color w:val="000000" w:themeColor="text1"/>
          <w:sz w:val="30"/>
          <w:szCs w:val="30"/>
          <w14:textFill>
            <w14:solidFill>
              <w14:schemeClr w14:val="tx1"/>
            </w14:solidFill>
          </w14:textFill>
        </w:rPr>
        <w:t>投标人须知</w:t>
      </w:r>
      <w:bookmarkEnd w:id="19"/>
      <w:bookmarkEnd w:id="20"/>
    </w:p>
    <w:p>
      <w:pPr>
        <w:pStyle w:val="3"/>
        <w:spacing w:line="360" w:lineRule="auto"/>
        <w:rPr>
          <w:rFonts w:hint="eastAsia" w:ascii="宋体" w:hAnsi="宋体" w:eastAsia="宋体" w:cs="宋体"/>
          <w:color w:val="000000" w:themeColor="text1"/>
          <w:sz w:val="24"/>
          <w:szCs w:val="24"/>
          <w14:textFill>
            <w14:solidFill>
              <w14:schemeClr w14:val="tx1"/>
            </w14:solidFill>
          </w14:textFill>
        </w:rPr>
      </w:pPr>
      <w:bookmarkStart w:id="21" w:name="_Toc447223725"/>
      <w:bookmarkStart w:id="22" w:name="_Toc21238"/>
      <w:bookmarkStart w:id="23" w:name="_Toc8154"/>
      <w:bookmarkStart w:id="24" w:name="_Toc92789198"/>
      <w:bookmarkStart w:id="25" w:name="_Toc19912"/>
      <w:bookmarkStart w:id="26" w:name="_Toc5034"/>
      <w:bookmarkStart w:id="27" w:name="_Toc142401499"/>
      <w:bookmarkStart w:id="28" w:name="_Toc137744922"/>
      <w:r>
        <w:rPr>
          <w:rFonts w:hint="eastAsia" w:ascii="宋体" w:hAnsi="宋体" w:eastAsia="宋体" w:cs="宋体"/>
          <w:color w:val="000000" w:themeColor="text1"/>
          <w:sz w:val="24"/>
          <w:szCs w:val="24"/>
          <w14:textFill>
            <w14:solidFill>
              <w14:schemeClr w14:val="tx1"/>
            </w14:solidFill>
          </w14:textFill>
        </w:rPr>
        <w:t>（一）</w:t>
      </w:r>
      <w:bookmarkEnd w:id="21"/>
      <w:bookmarkEnd w:id="22"/>
      <w:bookmarkEnd w:id="23"/>
      <w:bookmarkEnd w:id="24"/>
      <w:bookmarkEnd w:id="25"/>
      <w:bookmarkEnd w:id="26"/>
      <w:r>
        <w:rPr>
          <w:rFonts w:hint="eastAsia" w:ascii="宋体" w:hAnsi="宋体" w:eastAsia="宋体" w:cs="宋体"/>
          <w:color w:val="000000" w:themeColor="text1"/>
          <w:sz w:val="24"/>
          <w:szCs w:val="24"/>
          <w14:textFill>
            <w14:solidFill>
              <w14:schemeClr w14:val="tx1"/>
            </w14:solidFill>
          </w14:textFill>
        </w:rPr>
        <w:t>说   明</w:t>
      </w:r>
      <w:bookmarkEnd w:id="27"/>
      <w:bookmarkEnd w:id="28"/>
    </w:p>
    <w:p>
      <w:pPr>
        <w:widowControl/>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  招标采购单位及合格的投标人</w:t>
      </w:r>
    </w:p>
    <w:p>
      <w:pPr>
        <w:widowControl/>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  招标采购单位：</w:t>
      </w:r>
      <w:r>
        <w:rPr>
          <w:rFonts w:hint="eastAsia" w:ascii="宋体" w:hAnsi="宋体" w:eastAsia="宋体" w:cs="宋体"/>
          <w:color w:val="000000" w:themeColor="text1"/>
          <w:sz w:val="24"/>
          <w14:textFill>
            <w14:solidFill>
              <w14:schemeClr w14:val="tx1"/>
            </w14:solidFill>
          </w14:textFill>
        </w:rPr>
        <w:t>指依法进行政府采购的国家机关、事业单位、团体组织，及其委托的采购代理机构。本项目采购人、采购代理机构见第一章《投标邀请》。</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满足以下条件的投标人是合格的投标人，可以参加本次投标：</w:t>
      </w:r>
      <w:r>
        <w:rPr>
          <w:rFonts w:hint="eastAsia" w:ascii="宋体" w:hAnsi="宋体" w:eastAsia="宋体" w:cs="宋体"/>
          <w:color w:val="000000" w:themeColor="text1"/>
          <w:sz w:val="24"/>
          <w14:textFill>
            <w14:solidFill>
              <w14:schemeClr w14:val="tx1"/>
            </w14:solidFill>
          </w14:textFill>
        </w:rPr>
        <w:t>见第一章《投标邀请》。</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  投标人在投标过程中不得向招标采购单位提供、给予任何有价值的物品，影响其正常决策行为。一经发现，其投标人资格将被取消。</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  投标人应当按照招标文件的要求编制投标文件。投标文件应当对招标文件提出的实质性要求和条件做出响应。投标人应当在招标文件要求提交投标文件的截止时间前，将投标文件密封送达投标地点。</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  招标采购单位在任何时候发现投标人提交的投标文件内容有下列情形之一时，有权依法追究投标人的责任：</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1.5.1</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提供虚假的资料。</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1.5.2</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响应投标实质性要求和条件的内容失实的。</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1.6  政府采购当事人之间不得相互串通投标。</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  投标人不得实施下列法律禁止的行为：</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1.7.1  不同投标人的投标文件由同一单位或者个人编制；</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1.7.2  不同投标人委托同一单位或者个人办理投标事宜；</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1.7.3  不同投标人的投标文件载明的项目管理成员或者联系人员为同一人；</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1.7.4  不同投标人的投标文件异常一致或者投标报价呈规律性差异；（本项目不适用）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1.7.5  不同投标人的投标文件相互混装；</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1.7.6  不同投标人的投标保证金从同一单位或者个人的账户转出。（本项目不适用）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  投标人不得实施下列法律禁止的行为：</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1.8.1  采取不正当手段诋毁、排挤其他投标人；</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1.8.2  与采购人、其他投标人或者采购人(采购代理机构)恶意串通；</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1.8.3  以低于成本的报价竞标；（本项目不适用）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1.8.4  向招标采购单位、评标委员会成员行贿或者采取其他不正当手段谋取中标；</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1.8.5  以他人名义投标或者以其他方式弄虚作假，骗取中标。</w:t>
      </w:r>
    </w:p>
    <w:p>
      <w:pPr>
        <w:widowControl/>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  现场考察、开标前答疑会</w:t>
      </w:r>
    </w:p>
    <w:p>
      <w:pPr>
        <w:widowControl/>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  采购人将按《投标人须知资料表》所述时间，组织投标人对现场及周围环境进行考察</w:t>
      </w:r>
      <w:r>
        <w:rPr>
          <w:rFonts w:hint="eastAsia" w:ascii="宋体" w:hAnsi="宋体" w:eastAsia="宋体" w:cs="宋体"/>
          <w:color w:val="000000" w:themeColor="text1"/>
          <w:sz w:val="24"/>
          <w14:textFill>
            <w14:solidFill>
              <w14:schemeClr w14:val="tx1"/>
            </w14:solidFill>
          </w14:textFill>
        </w:rPr>
        <w:t>、召开开标前答疑会，</w:t>
      </w:r>
      <w:r>
        <w:rPr>
          <w:rFonts w:hint="eastAsia" w:ascii="宋体" w:hAnsi="宋体" w:eastAsia="宋体" w:cs="宋体"/>
          <w:color w:val="000000" w:themeColor="text1"/>
          <w:sz w:val="24"/>
          <w:szCs w:val="24"/>
          <w14:textFill>
            <w14:solidFill>
              <w14:schemeClr w14:val="tx1"/>
            </w14:solidFill>
          </w14:textFill>
        </w:rPr>
        <w:t>以便投标人获取有关编制投标文件和签署合同所涉及现场的资料。投标人承担现场考察所发生的自身费用。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  采购人向投标人提供的有关现场的数据和资料，是采购人现有的能被投标人利用的资料，采购人对投标人做出的任何推论、理解和结论均不负责任。</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  经采购人允许，投标人可为考察目的进入采购人的项目现场，但投标人不得因此使采购人承担有关的责任和蒙受损失。投标人应承担现场考察的责任和风险。</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2.4  投标人对现场进行详细考察，对与维护过程有关的风险和意外须有足够考虑。</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2.5  由于未参加现场考察或开标前答疑会而导致对项目实际情况不了解，影响投标文件编制、投标报价准确性、综合因素响应不全面等问题的，由投标人自行承担不利评审后果。</w:t>
      </w:r>
    </w:p>
    <w:p>
      <w:pPr>
        <w:widowControl/>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  联合体</w:t>
      </w:r>
    </w:p>
    <w:p>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指两个以上的自然人、法人或者其他组织组成一个联合体，以一个供应商的身份共同参加政府采购。</w:t>
      </w:r>
    </w:p>
    <w:p>
      <w:pPr>
        <w:widowControl/>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4．</w:t>
      </w:r>
      <w:bookmarkStart w:id="29" w:name="_Toc226337216"/>
      <w:bookmarkStart w:id="30" w:name="_Toc164608789"/>
      <w:bookmarkStart w:id="31" w:name="_Toc305158788"/>
      <w:bookmarkStart w:id="32" w:name="_Toc149720813"/>
      <w:bookmarkStart w:id="33" w:name="_Toc305158862"/>
      <w:bookmarkStart w:id="34" w:name="_Toc226309764"/>
      <w:bookmarkStart w:id="35" w:name="_Toc151193908"/>
      <w:bookmarkStart w:id="36" w:name="_Toc150774620"/>
      <w:bookmarkStart w:id="37" w:name="_Toc142311022"/>
      <w:bookmarkStart w:id="38" w:name="_Toc151190147"/>
      <w:bookmarkStart w:id="39" w:name="_Toc164351614"/>
      <w:bookmarkStart w:id="40" w:name="_Toc226965710"/>
      <w:bookmarkStart w:id="41" w:name="_Toc164608634"/>
      <w:bookmarkStart w:id="42" w:name="_Toc226965793"/>
      <w:bookmarkStart w:id="43" w:name="_Toc127151721"/>
      <w:bookmarkStart w:id="44" w:name="_Toc265228358"/>
      <w:bookmarkStart w:id="45" w:name="_Toc150509271"/>
      <w:bookmarkStart w:id="46" w:name="_Toc151193618"/>
      <w:bookmarkStart w:id="47" w:name="_Toc264969210"/>
      <w:bookmarkStart w:id="48" w:name="_Toc150480758"/>
      <w:bookmarkStart w:id="49" w:name="_Toc127161434"/>
      <w:bookmarkStart w:id="50" w:name="_Toc164229215"/>
      <w:bookmarkStart w:id="51" w:name="_Toc164229361"/>
      <w:bookmarkStart w:id="52" w:name="_Toc151193690"/>
      <w:bookmarkStart w:id="53" w:name="_Toc150774725"/>
      <w:bookmarkStart w:id="54" w:name="_Toc151193762"/>
      <w:bookmarkStart w:id="55" w:name="_Toc127151520"/>
      <w:bookmarkStart w:id="56" w:name="_Toc195842885"/>
      <w:bookmarkStart w:id="57" w:name="_Toc151193834"/>
      <w:r>
        <w:rPr>
          <w:rFonts w:hint="eastAsia" w:ascii="宋体" w:hAnsi="宋体" w:eastAsia="宋体" w:cs="宋体"/>
          <w:b/>
          <w:color w:val="000000" w:themeColor="text1"/>
          <w:sz w:val="24"/>
          <w:szCs w:val="24"/>
          <w14:textFill>
            <w14:solidFill>
              <w14:schemeClr w14:val="tx1"/>
            </w14:solidFill>
          </w14:textFill>
        </w:rPr>
        <w:t xml:space="preserve">  资金来源</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Pr>
          <w:rFonts w:hint="eastAsia" w:ascii="宋体" w:hAnsi="宋体" w:eastAsia="宋体" w:cs="宋体"/>
          <w:b/>
          <w:color w:val="000000" w:themeColor="text1"/>
          <w:sz w:val="24"/>
          <w:szCs w:val="24"/>
          <w14:textFill>
            <w14:solidFill>
              <w14:schemeClr w14:val="tx1"/>
            </w14:solidFill>
          </w14:textFill>
        </w:rPr>
        <w:t>、项目属性、科研仪器设备采购、核心产品</w:t>
      </w:r>
    </w:p>
    <w:p>
      <w:pPr>
        <w:widowControl/>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  第一章《投标邀请》中所述的采购人必须获得足以支付本次招标后所签订的合同项下的款项（财政性资金）</w:t>
      </w:r>
      <w:r>
        <w:rPr>
          <w:rFonts w:hint="eastAsia" w:ascii="宋体" w:hAnsi="宋体" w:eastAsia="宋体" w:cs="宋体"/>
          <w:bCs/>
          <w:color w:val="000000" w:themeColor="text1"/>
          <w:kern w:val="0"/>
          <w:sz w:val="24"/>
          <w:szCs w:val="24"/>
          <w14:textFill>
            <w14:solidFill>
              <w14:schemeClr w14:val="tx1"/>
            </w14:solidFill>
          </w14:textFill>
        </w:rPr>
        <w:t>，采购金额不得超过</w:t>
      </w:r>
      <w:r>
        <w:rPr>
          <w:rFonts w:hint="eastAsia" w:ascii="宋体" w:hAnsi="宋体" w:eastAsia="宋体" w:cs="宋体"/>
          <w:color w:val="000000" w:themeColor="text1"/>
          <w:sz w:val="24"/>
          <w:szCs w:val="24"/>
          <w14:textFill>
            <w14:solidFill>
              <w14:schemeClr w14:val="tx1"/>
            </w14:solidFill>
          </w14:textFill>
        </w:rPr>
        <w:t>最高限价或预算金额。（本项目不适用）</w:t>
      </w:r>
    </w:p>
    <w:p>
      <w:pPr>
        <w:widowControl/>
        <w:snapToGrid w:val="0"/>
        <w:spacing w:line="360" w:lineRule="auto"/>
        <w:ind w:left="480" w:hanging="480" w:hangingChars="200"/>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  </w:t>
      </w:r>
      <w:r>
        <w:rPr>
          <w:rFonts w:hint="eastAsia" w:ascii="宋体" w:hAnsi="宋体" w:eastAsia="宋体" w:cs="宋体"/>
          <w:b/>
          <w:bCs/>
          <w:color w:val="000000" w:themeColor="text1"/>
          <w:kern w:val="0"/>
          <w:sz w:val="24"/>
          <w:szCs w:val="24"/>
          <w14:textFill>
            <w14:solidFill>
              <w14:schemeClr w14:val="tx1"/>
            </w14:solidFill>
          </w14:textFill>
        </w:rPr>
        <w:t>本次资金来源为</w:t>
      </w:r>
      <w:r>
        <w:rPr>
          <w:rFonts w:hint="eastAsia" w:ascii="宋体" w:hAnsi="宋体" w:eastAsia="宋体" w:cs="宋体"/>
          <w:bCs/>
          <w:color w:val="000000" w:themeColor="text1"/>
          <w:kern w:val="0"/>
          <w:sz w:val="24"/>
          <w:szCs w:val="24"/>
          <w14:textFill>
            <w14:solidFill>
              <w14:schemeClr w14:val="tx1"/>
            </w14:solidFill>
          </w14:textFill>
        </w:rPr>
        <w:t>财政性资金</w:t>
      </w:r>
      <w:r>
        <w:rPr>
          <w:rFonts w:hint="eastAsia" w:ascii="宋体" w:hAnsi="宋体" w:eastAsia="宋体" w:cs="宋体"/>
          <w:b/>
          <w:color w:val="000000" w:themeColor="text1"/>
          <w:sz w:val="24"/>
          <w:szCs w:val="24"/>
          <w14:textFill>
            <w14:solidFill>
              <w14:schemeClr w14:val="tx1"/>
            </w14:solidFill>
          </w14:textFill>
        </w:rPr>
        <w:t>，超出最高限价或预算金额的报价为无效投标</w:t>
      </w:r>
    </w:p>
    <w:p>
      <w:pPr>
        <w:widowControl/>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报价。（本项目不适用）</w:t>
      </w:r>
    </w:p>
    <w:p>
      <w:pPr>
        <w:widowControl/>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  项目属性见《投标人须知资料表》。</w:t>
      </w:r>
    </w:p>
    <w:p>
      <w:pPr>
        <w:widowControl/>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  是否属于科研仪器设备采购见《投标人须知资料表》。</w:t>
      </w:r>
    </w:p>
    <w:p>
      <w:pPr>
        <w:widowControl/>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4.5  核心产品见《投标人须知资料表》。</w:t>
      </w:r>
    </w:p>
    <w:p>
      <w:pPr>
        <w:widowControl/>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5.  政府采购政策（本项目不适用）</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  进口产品</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5.1.2  本项目不接受进口产品。</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  中小企业、监狱企业及残疾人福利性单位</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5.2.1  中小企业定义：详见附录1。</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5.2.2  </w:t>
      </w:r>
      <w:r>
        <w:rPr>
          <w:rFonts w:hint="eastAsia" w:ascii="宋体" w:hAnsi="宋体" w:eastAsia="宋体" w:cs="宋体"/>
          <w:vanish/>
          <w:color w:val="000000" w:themeColor="text1"/>
          <w:sz w:val="24"/>
          <w:szCs w:val="24"/>
          <w14:textFill>
            <w14:solidFill>
              <w14:schemeClr w14:val="tx1"/>
            </w14:solidFill>
          </w14:textFill>
        </w:rPr>
        <w:t>5.2.2</w:t>
      </w:r>
      <w:r>
        <w:rPr>
          <w:rFonts w:hint="eastAsia" w:ascii="宋体" w:hAnsi="宋体" w:eastAsia="宋体" w:cs="宋体"/>
          <w:color w:val="000000" w:themeColor="text1"/>
          <w:sz w:val="24"/>
          <w:szCs w:val="24"/>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5.2.3  残疾人福利单位定义：享受政府采购支持政策的残疾人福利性单位应当同时满足以下条件：</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vanish/>
          <w:color w:val="000000" w:themeColor="text1"/>
          <w:sz w:val="24"/>
          <w:szCs w:val="24"/>
          <w14:textFill>
            <w14:solidFill>
              <w14:schemeClr w14:val="tx1"/>
            </w14:solidFill>
          </w14:textFill>
        </w:rPr>
        <w:t xml:space="preserve">5.2.3.1  </w:t>
      </w:r>
      <w:r>
        <w:rPr>
          <w:rFonts w:hint="eastAsia" w:ascii="宋体" w:hAnsi="宋体" w:eastAsia="宋体" w:cs="宋体"/>
          <w:color w:val="000000" w:themeColor="text1"/>
          <w:sz w:val="24"/>
          <w:szCs w:val="24"/>
          <w14:textFill>
            <w14:solidFill>
              <w14:schemeClr w14:val="tx1"/>
            </w14:solidFill>
          </w14:textFill>
        </w:rPr>
        <w:t>安置的残疾人占本单位在职职工人数的比例不低于25%（含25%），并且安置的残疾人人数不少于10人（含10人）；</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5.2.3.2  依法与安置的每位残疾人签订了一年以上（含一年）的劳动合同或服务协议；</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5.2.3.3  为安置的每位残疾人按月足额缴纳了基本养老保险、基本医疗保险、失业保险、工伤保险和生育保险等社会保险费；</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5.2.3.4  通过银行等金融机构向安置的每位残疾人，按月支付了不低于单位所在区县适用的经省级人民政府批准的月最低工资标准的工资；</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5.2.3.5  提供本单位制造的货物、承担的工程或者服务（以下简称产品），或者提供其他残疾人福利性单位制造的货物（不包括使用非残疾人福利性单位注册商标的货物）；</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5.2.4  本项目是否专门面向中小企业预留采购份额见《投标人须知资料表》。</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5.2.5  采购标的对应的中小企业划分标准所属行业见《投标人须知资料表》。</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5.2.6  小微企业价格评审优惠的政策调整：见第六章《评标程序、评标方法和评标标准》。</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  政府采购节能产品、环境标志产品</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color w:val="000000" w:themeColor="text1"/>
          <w:sz w:val="24"/>
          <w:szCs w:val="24"/>
          <w14:textFill>
            <w14:solidFill>
              <w14:schemeClr w14:val="tx1"/>
            </w14:solidFill>
          </w14:textFill>
        </w:rPr>
        <w:t>投标无效</w:t>
      </w:r>
      <w:r>
        <w:rPr>
          <w:rFonts w:hint="eastAsia" w:ascii="宋体" w:hAnsi="宋体" w:eastAsia="宋体" w:cs="宋体"/>
          <w:color w:val="000000" w:themeColor="text1"/>
          <w:sz w:val="24"/>
          <w:szCs w:val="24"/>
          <w14:textFill>
            <w14:solidFill>
              <w14:schemeClr w14:val="tx1"/>
            </w14:solidFill>
          </w14:textFill>
        </w:rPr>
        <w:t>。</w:t>
      </w:r>
    </w:p>
    <w:p>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5.3.4  非政府强制采购的节能产品或环境标志产品，依据品目清单和认证证书实施政府优先采购。优先采购的具体规定见第六章《评标程序、评标方法和评标标准》。</w:t>
      </w:r>
    </w:p>
    <w:p>
      <w:pPr>
        <w:widowControl/>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6.  投标费用</w:t>
      </w:r>
    </w:p>
    <w:p>
      <w:pPr>
        <w:widowControl/>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bookmarkStart w:id="58" w:name="_Toc447223726"/>
      <w:bookmarkStart w:id="59" w:name="_Toc17054"/>
      <w:bookmarkStart w:id="60" w:name="_Toc32017"/>
      <w:bookmarkStart w:id="61" w:name="_Toc10960"/>
      <w:bookmarkStart w:id="62" w:name="_Toc5217"/>
      <w:r>
        <w:rPr>
          <w:rFonts w:hint="eastAsia" w:ascii="宋体" w:hAnsi="宋体" w:eastAsia="宋体" w:cs="宋体"/>
          <w:color w:val="000000" w:themeColor="text1"/>
          <w:sz w:val="24"/>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pPr>
        <w:pStyle w:val="3"/>
        <w:spacing w:line="360" w:lineRule="auto"/>
        <w:rPr>
          <w:rFonts w:hint="eastAsia" w:ascii="宋体" w:hAnsi="宋体" w:eastAsia="宋体" w:cs="宋体"/>
          <w:color w:val="000000" w:themeColor="text1"/>
          <w:sz w:val="24"/>
          <w:szCs w:val="24"/>
          <w14:textFill>
            <w14:solidFill>
              <w14:schemeClr w14:val="tx1"/>
            </w14:solidFill>
          </w14:textFill>
        </w:rPr>
      </w:pPr>
      <w:bookmarkStart w:id="63" w:name="_Toc92789199"/>
      <w:bookmarkStart w:id="64" w:name="_Toc137744923"/>
      <w:bookmarkStart w:id="65" w:name="_Toc142401500"/>
      <w:r>
        <w:rPr>
          <w:rFonts w:hint="eastAsia" w:ascii="宋体" w:hAnsi="宋体" w:eastAsia="宋体" w:cs="宋体"/>
          <w:color w:val="000000" w:themeColor="text1"/>
          <w:sz w:val="24"/>
          <w:szCs w:val="24"/>
          <w14:textFill>
            <w14:solidFill>
              <w14:schemeClr w14:val="tx1"/>
            </w14:solidFill>
          </w14:textFill>
        </w:rPr>
        <w:t>（二）招标文件</w:t>
      </w:r>
      <w:bookmarkEnd w:id="58"/>
      <w:bookmarkEnd w:id="59"/>
      <w:bookmarkEnd w:id="60"/>
      <w:bookmarkEnd w:id="61"/>
      <w:bookmarkEnd w:id="62"/>
      <w:bookmarkEnd w:id="63"/>
      <w:bookmarkEnd w:id="64"/>
      <w:bookmarkEnd w:id="65"/>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7.  招标文件的组成</w:t>
      </w:r>
    </w:p>
    <w:p>
      <w:pPr>
        <w:widowControl/>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  要求提供货物或服务的内容及详细技术需求、投标须知和合同条件等在招标文件中均有说明。</w:t>
      </w:r>
    </w:p>
    <w:p>
      <w:pPr>
        <w:widowControl/>
        <w:snapToGrid w:val="0"/>
        <w:spacing w:line="360" w:lineRule="auto"/>
        <w:ind w:firstLine="63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招标文件共七章，内容如下：</w:t>
      </w:r>
    </w:p>
    <w:p>
      <w:pPr>
        <w:widowControl/>
        <w:snapToGrid w:val="0"/>
        <w:spacing w:line="360" w:lineRule="auto"/>
        <w:ind w:firstLine="63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第一章  投标邀请</w:t>
      </w:r>
    </w:p>
    <w:p>
      <w:pPr>
        <w:widowControl/>
        <w:snapToGrid w:val="0"/>
        <w:spacing w:line="360" w:lineRule="auto"/>
        <w:ind w:firstLine="63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  投标人须知</w:t>
      </w:r>
    </w:p>
    <w:p>
      <w:pPr>
        <w:widowControl/>
        <w:snapToGrid w:val="0"/>
        <w:spacing w:line="360" w:lineRule="auto"/>
        <w:ind w:firstLine="63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第三章  拟定签订的合同文本</w:t>
      </w:r>
    </w:p>
    <w:p>
      <w:pPr>
        <w:widowControl/>
        <w:snapToGrid w:val="0"/>
        <w:spacing w:line="360" w:lineRule="auto"/>
        <w:ind w:firstLine="63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第四章  投标文件格式</w:t>
      </w:r>
    </w:p>
    <w:p>
      <w:pPr>
        <w:widowControl/>
        <w:snapToGrid w:val="0"/>
        <w:spacing w:line="360" w:lineRule="auto"/>
        <w:ind w:firstLine="63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第五章  资格审查</w:t>
      </w:r>
    </w:p>
    <w:p>
      <w:pPr>
        <w:widowControl/>
        <w:snapToGrid w:val="0"/>
        <w:spacing w:line="360" w:lineRule="auto"/>
        <w:ind w:firstLine="63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  </w:t>
      </w:r>
      <w:r>
        <w:rPr>
          <w:rFonts w:hint="eastAsia" w:ascii="宋体" w:hAnsi="宋体" w:eastAsia="宋体" w:cs="宋体"/>
          <w:color w:val="000000" w:themeColor="text1"/>
          <w:sz w:val="24"/>
          <w14:textFill>
            <w14:solidFill>
              <w14:schemeClr w14:val="tx1"/>
            </w14:solidFill>
          </w14:textFill>
        </w:rPr>
        <w:t>评标程序、评标方法和评标标准</w:t>
      </w:r>
    </w:p>
    <w:p>
      <w:pPr>
        <w:widowControl/>
        <w:snapToGrid w:val="0"/>
        <w:spacing w:line="360" w:lineRule="auto"/>
        <w:ind w:firstLine="63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第七章  采购需求</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7.2   除7.1内容外，在递交投标文件截止时间15天前，采购人以书面形式发出的对招标文件的澄清或修改内容，均为招标文件的组成部分，对采购人和投标人起约束作用。</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   投标人获取招标文件后，应仔细检查招标文件的所有内容，如有残缺等问题应在获</w:t>
      </w:r>
      <w:r>
        <w:rPr>
          <w:rFonts w:hint="eastAsia" w:ascii="宋体" w:hAnsi="宋体" w:eastAsia="宋体" w:cs="宋体"/>
          <w:bCs/>
          <w:color w:val="000000" w:themeColor="text1"/>
          <w:sz w:val="24"/>
          <w:szCs w:val="24"/>
          <w14:textFill>
            <w14:solidFill>
              <w14:schemeClr w14:val="tx1"/>
            </w14:solidFill>
          </w14:textFill>
        </w:rPr>
        <w:t>得招标文件3日内向采购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7.4  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000000" w:themeColor="text1"/>
          <w:sz w:val="24"/>
          <w:szCs w:val="24"/>
          <w14:textFill>
            <w14:solidFill>
              <w14:schemeClr w14:val="tx1"/>
            </w14:solidFill>
          </w14:textFill>
        </w:rPr>
        <w:t>投标无效</w:t>
      </w:r>
      <w:r>
        <w:rPr>
          <w:rFonts w:hint="eastAsia" w:ascii="宋体" w:hAnsi="宋体" w:eastAsia="宋体" w:cs="宋体"/>
          <w:bCs/>
          <w:color w:val="000000" w:themeColor="text1"/>
          <w:sz w:val="24"/>
          <w:szCs w:val="24"/>
          <w14:textFill>
            <w14:solidFill>
              <w14:schemeClr w14:val="tx1"/>
            </w14:solidFill>
          </w14:textFill>
        </w:rPr>
        <w:t>。</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8.  招标文件的澄清或修改</w:t>
      </w:r>
    </w:p>
    <w:p>
      <w:pPr>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w:t>
      </w:r>
      <w:r>
        <w:rPr>
          <w:rFonts w:hint="eastAsia" w:ascii="宋体" w:hAnsi="宋体" w:eastAsia="宋体" w:cs="宋体"/>
          <w:color w:val="000000" w:themeColor="text1"/>
          <w:sz w:val="24"/>
          <w14:textFill>
            <w14:solidFill>
              <w14:schemeClr w14:val="tx1"/>
            </w14:solidFill>
          </w14:textFill>
        </w:rPr>
        <w:t>采购人或采购代理机构对已发出的招标文件进行必要澄清或者修改的，将在原公告发布媒体上发布更正公告，并以书面形式通知所有获取招标文件的潜在投标人。</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8.2  上述书面通知，按照获取招标文件的潜在投标人提供的联系方式发出，因提供的信息有误导致通知延迟或无法通知的，采购人或采购代理机构不承担责任。</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8.4  潜在投标人在收到书面澄清文件后应于24小时内，以书面形式给予确认，该澄清作为招标文件的组成部分，具有约束作用。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  招标文件的澄清、修改、补充等内容均以书面形式明确的内容为准。当招标文件、招标文件的澄清、修改、补充等在同一内容的表述上不一致时，以最后发出的书面文件为准。</w:t>
      </w:r>
    </w:p>
    <w:p>
      <w:pPr>
        <w:pStyle w:val="3"/>
        <w:spacing w:line="360" w:lineRule="auto"/>
        <w:rPr>
          <w:rFonts w:hint="eastAsia" w:ascii="宋体" w:hAnsi="宋体" w:eastAsia="宋体" w:cs="宋体"/>
          <w:color w:val="000000" w:themeColor="text1"/>
          <w:sz w:val="24"/>
          <w:szCs w:val="24"/>
          <w14:textFill>
            <w14:solidFill>
              <w14:schemeClr w14:val="tx1"/>
            </w14:solidFill>
          </w14:textFill>
        </w:rPr>
      </w:pPr>
      <w:bookmarkStart w:id="66" w:name="_Toc32145"/>
      <w:bookmarkStart w:id="67" w:name="_Toc142401501"/>
      <w:bookmarkStart w:id="68" w:name="_Toc92789200"/>
      <w:bookmarkStart w:id="69" w:name="_Toc1563"/>
      <w:bookmarkStart w:id="70" w:name="_Toc9354"/>
      <w:bookmarkStart w:id="71" w:name="_Toc137744924"/>
      <w:bookmarkStart w:id="72" w:name="_Toc12216"/>
      <w:bookmarkStart w:id="73" w:name="_Toc447223729"/>
      <w:r>
        <w:rPr>
          <w:rFonts w:hint="eastAsia" w:ascii="宋体" w:hAnsi="宋体" w:eastAsia="宋体" w:cs="宋体"/>
          <w:color w:val="000000" w:themeColor="text1"/>
          <w:sz w:val="24"/>
          <w:szCs w:val="24"/>
          <w14:textFill>
            <w14:solidFill>
              <w14:schemeClr w14:val="tx1"/>
            </w14:solidFill>
          </w14:textFill>
        </w:rPr>
        <w:t>（三）投标文件的编制</w:t>
      </w:r>
      <w:bookmarkEnd w:id="66"/>
      <w:bookmarkEnd w:id="67"/>
      <w:bookmarkEnd w:id="68"/>
      <w:bookmarkEnd w:id="69"/>
      <w:bookmarkEnd w:id="70"/>
      <w:bookmarkEnd w:id="71"/>
      <w:bookmarkEnd w:id="72"/>
      <w:bookmarkEnd w:id="73"/>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bookmarkStart w:id="74" w:name="_Toc17465"/>
      <w:bookmarkStart w:id="75" w:name="_Toc445984929"/>
      <w:bookmarkStart w:id="76" w:name="_Toc30455"/>
      <w:bookmarkStart w:id="77" w:name="_Toc445916559"/>
      <w:bookmarkStart w:id="78" w:name="_Toc445845729"/>
      <w:bookmarkStart w:id="79" w:name="_Toc445903396"/>
      <w:bookmarkStart w:id="80" w:name="_Toc6894"/>
      <w:bookmarkStart w:id="81" w:name="_Toc447223730"/>
      <w:r>
        <w:rPr>
          <w:rFonts w:hint="eastAsia" w:ascii="宋体" w:hAnsi="宋体" w:eastAsia="宋体" w:cs="宋体"/>
          <w:b/>
          <w:color w:val="000000" w:themeColor="text1"/>
          <w:sz w:val="24"/>
          <w:szCs w:val="24"/>
          <w14:textFill>
            <w14:solidFill>
              <w14:schemeClr w14:val="tx1"/>
            </w14:solidFill>
          </w14:textFill>
        </w:rPr>
        <w:t>9  投标范围及投标文件中计量单位、投标语言的使用</w:t>
      </w:r>
      <w:bookmarkEnd w:id="74"/>
      <w:bookmarkEnd w:id="75"/>
      <w:bookmarkEnd w:id="76"/>
      <w:bookmarkEnd w:id="77"/>
      <w:bookmarkEnd w:id="78"/>
      <w:bookmarkEnd w:id="79"/>
      <w:bookmarkEnd w:id="80"/>
      <w:bookmarkEnd w:id="81"/>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  </w:t>
      </w:r>
      <w:r>
        <w:rPr>
          <w:rFonts w:hint="eastAsia" w:ascii="宋体" w:hAnsi="宋体" w:eastAsia="宋体" w:cs="宋体"/>
          <w:color w:val="000000" w:themeColor="text1"/>
          <w:sz w:val="24"/>
          <w14:textFill>
            <w14:solidFill>
              <w14:schemeClr w14:val="tx1"/>
            </w14:solidFill>
          </w14:textFill>
        </w:rPr>
        <w:t>本项目如划分采购包，投标人可以对本项目的其中一个采购包进行投标，也可同时对多个采购包进行投标。投标人应当对所投采购包对应第七章《采购需求》所列的全部内容进行投标，不得将一个采购包中的内容拆开投标，否则其对该采购包的投标将被认定为</w:t>
      </w:r>
      <w:r>
        <w:rPr>
          <w:rFonts w:hint="eastAsia" w:ascii="宋体" w:hAnsi="宋体" w:eastAsia="宋体" w:cs="宋体"/>
          <w:b/>
          <w:color w:val="000000" w:themeColor="text1"/>
          <w:sz w:val="24"/>
          <w14:textFill>
            <w14:solidFill>
              <w14:schemeClr w14:val="tx1"/>
            </w14:solidFill>
          </w14:textFill>
        </w:rPr>
        <w:t>无效投标</w:t>
      </w:r>
      <w:r>
        <w:rPr>
          <w:rFonts w:hint="eastAsia" w:ascii="宋体" w:hAnsi="宋体" w:eastAsia="宋体" w:cs="宋体"/>
          <w:color w:val="000000" w:themeColor="text1"/>
          <w:sz w:val="24"/>
          <w14:textFill>
            <w14:solidFill>
              <w14:schemeClr w14:val="tx1"/>
            </w14:solidFill>
          </w14:textFill>
        </w:rPr>
        <w:t>。</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9.2  </w:t>
      </w:r>
      <w:r>
        <w:rPr>
          <w:rFonts w:hint="eastAsia" w:ascii="宋体" w:hAnsi="宋体" w:eastAsia="宋体" w:cs="宋体"/>
          <w:color w:val="000000" w:themeColor="text1"/>
          <w:sz w:val="24"/>
          <w14:textFill>
            <w14:solidFill>
              <w14:schemeClr w14:val="tx1"/>
            </w14:solidFill>
          </w14:textFill>
        </w:rPr>
        <w:t>除招标文件有特殊要求外，本项目投标所使用的计量单位，应采用中华人民共和国法定计量单位。</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9.3  </w:t>
      </w:r>
      <w:r>
        <w:rPr>
          <w:rFonts w:hint="eastAsia" w:ascii="宋体" w:hAnsi="宋体" w:eastAsia="宋体" w:cs="宋体"/>
          <w:color w:val="000000" w:themeColor="text1"/>
          <w:sz w:val="24"/>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bookmarkStart w:id="82" w:name="_Toc445903397"/>
      <w:bookmarkStart w:id="83" w:name="_Toc445916560"/>
      <w:bookmarkStart w:id="84" w:name="_Toc10767"/>
      <w:bookmarkStart w:id="85" w:name="_Toc445984930"/>
      <w:bookmarkStart w:id="86" w:name="_Toc445845730"/>
      <w:bookmarkStart w:id="87" w:name="_Toc4348"/>
      <w:bookmarkStart w:id="88" w:name="_Toc447223731"/>
      <w:bookmarkStart w:id="89" w:name="_Toc24300"/>
      <w:r>
        <w:rPr>
          <w:rFonts w:hint="eastAsia" w:ascii="宋体" w:hAnsi="宋体" w:eastAsia="宋体" w:cs="宋体"/>
          <w:b/>
          <w:color w:val="000000" w:themeColor="text1"/>
          <w:sz w:val="24"/>
          <w:szCs w:val="24"/>
          <w14:textFill>
            <w14:solidFill>
              <w14:schemeClr w14:val="tx1"/>
            </w14:solidFill>
          </w14:textFill>
        </w:rPr>
        <w:t>10.  投标文件的组成</w:t>
      </w:r>
      <w:bookmarkEnd w:id="82"/>
      <w:bookmarkEnd w:id="83"/>
      <w:bookmarkEnd w:id="84"/>
      <w:bookmarkEnd w:id="85"/>
      <w:bookmarkEnd w:id="86"/>
      <w:bookmarkEnd w:id="87"/>
      <w:bookmarkEnd w:id="88"/>
      <w:bookmarkEnd w:id="89"/>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10.1  投标人应完整地按招标文件提供的投标文件格式填写投标文件，并将全部内容胶装成册。投标文件应包括以下内容：</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附件1——投标函（实质性格式）</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附件2——法人代表授权委托书（实质性格式）</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附件3——合同条款偏离表（实质性格式）</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附件4——采购需求偏离表（实质性格式）</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附件5——资格证明文件</w:t>
      </w:r>
    </w:p>
    <w:p>
      <w:pPr>
        <w:snapToGrid w:val="0"/>
        <w:spacing w:line="360" w:lineRule="auto"/>
        <w:ind w:firstLine="1680" w:firstLineChars="7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*附件5-1  营业执照等证明文件</w:t>
      </w:r>
    </w:p>
    <w:p>
      <w:pPr>
        <w:snapToGrid w:val="0"/>
        <w:spacing w:line="360" w:lineRule="auto"/>
        <w:ind w:firstLine="1680" w:firstLineChars="7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*附件5-2  投标人资格声明书（实质性格式）</w:t>
      </w:r>
    </w:p>
    <w:p>
      <w:pPr>
        <w:snapToGrid w:val="0"/>
        <w:spacing w:line="360" w:lineRule="auto"/>
        <w:ind w:firstLine="1680" w:firstLineChars="7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*附件5-3  本项目的特定资格要求</w:t>
      </w:r>
    </w:p>
    <w:p>
      <w:pPr>
        <w:snapToGrid w:val="0"/>
        <w:spacing w:line="360" w:lineRule="auto"/>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注：资格证明文件中划“*”文件是必须提供的资料，缺一项视为无效投标。</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附件6——业绩证明材料</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附件7——企业基本情况</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附件8——拟投入本项目的项目组人员配备情况</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附件9——服务方案</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附件10——招标文件要求提供的其他资料</w:t>
      </w:r>
    </w:p>
    <w:p>
      <w:pPr>
        <w:snapToGrid w:val="0"/>
        <w:spacing w:line="360" w:lineRule="auto"/>
        <w:ind w:firstLine="460" w:firstLineChars="19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附件11——投标人认为有必要提交的其他文件</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10.2  投标文件包括本须知第10条中规定的内容，投标人提交的投标文件应当使用招标文件所提供的投标文件全部格式，</w:t>
      </w:r>
      <w:r>
        <w:rPr>
          <w:rFonts w:hint="eastAsia" w:ascii="宋体" w:hAnsi="宋体" w:eastAsia="宋体" w:cs="宋体"/>
          <w:color w:val="000000" w:themeColor="text1"/>
          <w:kern w:val="0"/>
          <w:sz w:val="24"/>
          <w14:textFill>
            <w14:solidFill>
              <w14:schemeClr w14:val="tx1"/>
            </w14:solidFill>
          </w14:textFill>
        </w:rPr>
        <w:t>对于招标文件中标记了“实质性格式”文件的，</w:t>
      </w:r>
      <w:r>
        <w:rPr>
          <w:rFonts w:hint="eastAsia" w:ascii="宋体" w:hAnsi="宋体" w:eastAsia="宋体" w:cs="宋体"/>
          <w:color w:val="000000" w:themeColor="text1"/>
          <w:sz w:val="24"/>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themeColor="text1"/>
          <w:kern w:val="0"/>
          <w:sz w:val="24"/>
          <w14:textFill>
            <w14:solidFill>
              <w14:schemeClr w14:val="tx1"/>
            </w14:solidFill>
          </w14:textFill>
        </w:rPr>
        <w:t>否则</w:t>
      </w:r>
      <w:r>
        <w:rPr>
          <w:rFonts w:hint="eastAsia" w:ascii="宋体" w:hAnsi="宋体" w:eastAsia="宋体" w:cs="宋体"/>
          <w:b/>
          <w:color w:val="000000" w:themeColor="text1"/>
          <w:kern w:val="0"/>
          <w:sz w:val="24"/>
          <w14:textFill>
            <w14:solidFill>
              <w14:schemeClr w14:val="tx1"/>
            </w14:solidFill>
          </w14:textFill>
        </w:rPr>
        <w:t>投标无效</w:t>
      </w:r>
      <w:r>
        <w:rPr>
          <w:rFonts w:hint="eastAsia" w:ascii="宋体" w:hAnsi="宋体" w:eastAsia="宋体" w:cs="宋体"/>
          <w:color w:val="000000" w:themeColor="text1"/>
          <w:kern w:val="0"/>
          <w:sz w:val="24"/>
          <w14:textFill>
            <w14:solidFill>
              <w14:schemeClr w14:val="tx1"/>
            </w14:solidFill>
          </w14:textFill>
        </w:rPr>
        <w:t>。未标记“实质性格式”的文件和招标文件未提供格式的内容，可由投标人自行编写或扩展</w:t>
      </w:r>
      <w:r>
        <w:rPr>
          <w:rFonts w:hint="eastAsia" w:ascii="宋体" w:hAnsi="宋体" w:eastAsia="宋体" w:cs="宋体"/>
          <w:color w:val="000000" w:themeColor="text1"/>
          <w:sz w:val="24"/>
          <w:szCs w:val="24"/>
          <w14:textFill>
            <w14:solidFill>
              <w14:schemeClr w14:val="tx1"/>
            </w14:solidFill>
          </w14:textFill>
        </w:rPr>
        <w:t>。</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10.3  第六章《评标程序、评标方法和评标标准》中涉及的证明文件。</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10.4  对照第七章《采购需求》，说明所提供货物或服务已对第七章《采购需求》做出了响应，或申明与第七章《采购需求》的偏差和例外。如第七章《采购需求》中要求提供证明文件的，投标人应当按具体要求提供证明文件。</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10.5  投标人认为应附的其他材料。</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bookmarkStart w:id="90" w:name="_Toc445903399"/>
      <w:bookmarkStart w:id="91" w:name="_Toc445845732"/>
      <w:bookmarkStart w:id="92" w:name="_Toc17633"/>
      <w:bookmarkStart w:id="93" w:name="_Toc7752"/>
      <w:bookmarkStart w:id="94" w:name="_Toc447223733"/>
      <w:bookmarkStart w:id="95" w:name="_Toc445984932"/>
      <w:bookmarkStart w:id="96" w:name="_Toc445916562"/>
      <w:bookmarkStart w:id="97" w:name="_Toc31469"/>
      <w:r>
        <w:rPr>
          <w:rFonts w:hint="eastAsia" w:ascii="宋体" w:hAnsi="宋体" w:eastAsia="宋体" w:cs="宋体"/>
          <w:b/>
          <w:bCs/>
          <w:color w:val="000000" w:themeColor="text1"/>
          <w:sz w:val="24"/>
          <w14:textFill>
            <w14:solidFill>
              <w14:schemeClr w14:val="tx1"/>
            </w14:solidFill>
          </w14:textFill>
        </w:rPr>
        <w:t>11.  投标报价</w:t>
      </w:r>
      <w:bookmarkEnd w:id="90"/>
      <w:bookmarkEnd w:id="91"/>
      <w:bookmarkEnd w:id="92"/>
      <w:bookmarkEnd w:id="93"/>
      <w:bookmarkEnd w:id="94"/>
      <w:bookmarkEnd w:id="95"/>
      <w:bookmarkEnd w:id="96"/>
      <w:bookmarkEnd w:id="97"/>
      <w:r>
        <w:rPr>
          <w:rFonts w:hint="eastAsia" w:ascii="宋体" w:hAnsi="宋体" w:eastAsia="宋体" w:cs="宋体"/>
          <w:b/>
          <w:bCs/>
          <w:color w:val="000000" w:themeColor="text1"/>
          <w:sz w:val="24"/>
          <w14:textFill>
            <w14:solidFill>
              <w14:schemeClr w14:val="tx1"/>
            </w14:solidFill>
          </w14:textFill>
        </w:rPr>
        <w:t>（本项目不适用）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  </w:t>
      </w:r>
      <w:r>
        <w:rPr>
          <w:rFonts w:hint="eastAsia" w:ascii="宋体" w:hAnsi="宋体" w:eastAsia="宋体" w:cs="宋体"/>
          <w:color w:val="000000" w:themeColor="text1"/>
          <w:sz w:val="24"/>
          <w14:textFill>
            <w14:solidFill>
              <w14:schemeClr w14:val="tx1"/>
            </w14:solidFill>
          </w14:textFill>
        </w:rPr>
        <w:t>所有投标均以人民币报价</w:t>
      </w:r>
      <w:r>
        <w:rPr>
          <w:rFonts w:hint="eastAsia" w:ascii="宋体" w:hAnsi="宋体" w:eastAsia="宋体" w:cs="宋体"/>
          <w:color w:val="000000" w:themeColor="text1"/>
          <w:sz w:val="24"/>
          <w:szCs w:val="24"/>
          <w14:textFill>
            <w14:solidFill>
              <w14:schemeClr w14:val="tx1"/>
            </w14:solidFill>
          </w14:textFill>
        </w:rPr>
        <w:t>。</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  </w:t>
      </w:r>
      <w:r>
        <w:rPr>
          <w:rFonts w:hint="eastAsia" w:ascii="宋体" w:hAnsi="宋体" w:eastAsia="宋体" w:cs="宋体"/>
          <w:color w:val="000000" w:themeColor="text1"/>
          <w:sz w:val="24"/>
          <w14:textFill>
            <w14:solidFill>
              <w14:schemeClr w14:val="tx1"/>
            </w14:solidFill>
          </w14:textFill>
        </w:rPr>
        <w:t>投标人的报价应包括为完成本项目所发生的一切费用和税费，采购人将不</w:t>
      </w:r>
      <w:r>
        <w:rPr>
          <w:rFonts w:hint="eastAsia" w:ascii="宋体" w:hAnsi="宋体" w:eastAsia="宋体" w:cs="宋体"/>
          <w:color w:val="000000" w:themeColor="text1"/>
          <w:sz w:val="24"/>
          <w:szCs w:val="24"/>
          <w14:textFill>
            <w14:solidFill>
              <w14:schemeClr w14:val="tx1"/>
            </w14:solidFill>
          </w14:textFill>
        </w:rPr>
        <w:t>再支付报价以外的任何费用。投标人的报价应包括但不限于下列内容，《投标人须知资料表》中有特殊规定的，从其规定。</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11.2.2  按照招标文件要求完成本项目的全部相关服务费用。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  因不可抗力或特殊原因，采购人可能会调整计划，投标人应在投标报价中考虑此类情况。</w:t>
      </w:r>
    </w:p>
    <w:p>
      <w:pPr>
        <w:pStyle w:val="15"/>
        <w:snapToGrid w:val="0"/>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11.4  投标人不能提供任何有选择性或可调整的报价，否则其</w:t>
      </w:r>
      <w:r>
        <w:rPr>
          <w:rFonts w:hint="eastAsia" w:ascii="宋体" w:hAnsi="宋体" w:eastAsia="宋体" w:cs="宋体"/>
          <w:b/>
          <w:color w:val="000000" w:themeColor="text1"/>
          <w:sz w:val="24"/>
          <w14:textFill>
            <w14:solidFill>
              <w14:schemeClr w14:val="tx1"/>
            </w14:solidFill>
          </w14:textFill>
        </w:rPr>
        <w:t>投标无效。</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11.5  最低投标报价不作为中标的唯一保证。</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11.6  采购人不得向供应商索要或者接受其给予的赠品、回扣或者与采购无关的其他商品、服务。</w:t>
      </w:r>
    </w:p>
    <w:p>
      <w:pPr>
        <w:pStyle w:val="15"/>
        <w:snapToGrid w:val="0"/>
        <w:spacing w:line="360" w:lineRule="auto"/>
        <w:rPr>
          <w:rFonts w:hint="eastAsia" w:ascii="宋体" w:hAnsi="宋体" w:eastAsia="宋体" w:cs="宋体"/>
          <w:b/>
          <w:bCs/>
          <w:color w:val="000000" w:themeColor="text1"/>
          <w:sz w:val="24"/>
          <w14:textFill>
            <w14:solidFill>
              <w14:schemeClr w14:val="tx1"/>
            </w14:solidFill>
          </w14:textFill>
        </w:rPr>
      </w:pPr>
      <w:bookmarkStart w:id="98" w:name="_Toc2335"/>
      <w:bookmarkStart w:id="99" w:name="_Toc447223734"/>
      <w:bookmarkStart w:id="100" w:name="_Toc445984933"/>
      <w:bookmarkStart w:id="101" w:name="_Toc445903400"/>
      <w:bookmarkStart w:id="102" w:name="_Toc445916563"/>
      <w:bookmarkStart w:id="103" w:name="_Toc445845733"/>
      <w:bookmarkStart w:id="104" w:name="_Toc14295"/>
      <w:bookmarkStart w:id="105" w:name="_Toc27300"/>
      <w:r>
        <w:rPr>
          <w:rFonts w:hint="eastAsia" w:ascii="宋体" w:hAnsi="宋体" w:eastAsia="宋体" w:cs="宋体"/>
          <w:b/>
          <w:bCs/>
          <w:color w:val="000000" w:themeColor="text1"/>
          <w:sz w:val="24"/>
          <w14:textFill>
            <w14:solidFill>
              <w14:schemeClr w14:val="tx1"/>
            </w14:solidFill>
          </w14:textFill>
        </w:rPr>
        <w:t>12.  投标保证金</w:t>
      </w:r>
      <w:bookmarkEnd w:id="98"/>
      <w:bookmarkEnd w:id="99"/>
      <w:bookmarkEnd w:id="100"/>
      <w:bookmarkEnd w:id="101"/>
      <w:bookmarkEnd w:id="102"/>
      <w:bookmarkEnd w:id="103"/>
      <w:bookmarkEnd w:id="104"/>
      <w:bookmarkEnd w:id="105"/>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12.1  </w:t>
      </w:r>
      <w:bookmarkStart w:id="106" w:name="_Ref467306302"/>
      <w:r>
        <w:rPr>
          <w:rFonts w:hint="eastAsia" w:ascii="宋体" w:hAnsi="宋体" w:eastAsia="宋体" w:cs="宋体"/>
          <w:bCs/>
          <w:color w:val="000000" w:themeColor="text1"/>
          <w:sz w:val="24"/>
          <w14:textFill>
            <w14:solidFill>
              <w14:schemeClr w14:val="tx1"/>
            </w14:solidFill>
          </w14:textFill>
        </w:rPr>
        <w:t>投标人应按《投标人须知资料表》中规定的金额及要求交纳投标保证金</w:t>
      </w:r>
      <w:bookmarkEnd w:id="106"/>
      <w:r>
        <w:rPr>
          <w:rFonts w:hint="eastAsia" w:ascii="宋体" w:hAnsi="宋体" w:eastAsia="宋体" w:cs="宋体"/>
          <w:bCs/>
          <w:color w:val="000000" w:themeColor="text1"/>
          <w:sz w:val="24"/>
          <w14:textFill>
            <w14:solidFill>
              <w14:schemeClr w14:val="tx1"/>
            </w14:solidFill>
          </w14:textFill>
        </w:rPr>
        <w:t>，并作为其投标的一部分。</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12.2  </w:t>
      </w:r>
      <w:r>
        <w:rPr>
          <w:rFonts w:hint="eastAsia" w:ascii="宋体" w:hAnsi="宋体" w:eastAsia="宋体" w:cs="宋体"/>
          <w:color w:val="000000" w:themeColor="text1"/>
          <w:sz w:val="24"/>
          <w14:textFill>
            <w14:solidFill>
              <w14:schemeClr w14:val="tx1"/>
            </w14:solidFill>
          </w14:textFill>
        </w:rPr>
        <w:t>交纳投标保证金可采用的形式：政府采购法律法规接受的支票、汇票、本票、网上银行支付或者金融机构、担保机构出具的保函等非现金形式</w:t>
      </w:r>
      <w:r>
        <w:rPr>
          <w:rFonts w:hint="eastAsia" w:ascii="宋体" w:hAnsi="宋体" w:eastAsia="宋体" w:cs="宋体"/>
          <w:bCs/>
          <w:color w:val="000000" w:themeColor="text1"/>
          <w:sz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投标保证金票据的出票单位应为参加投标的投标人本身，不得以个人名义汇入。任何从个人账户转出的投标保证金视同无效。</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12.3  </w:t>
      </w:r>
      <w:r>
        <w:rPr>
          <w:rFonts w:hint="eastAsia" w:ascii="宋体" w:hAnsi="宋体" w:eastAsia="宋体" w:cs="宋体"/>
          <w:color w:val="000000" w:themeColor="text1"/>
          <w:sz w:val="24"/>
          <w14:textFill>
            <w14:solidFill>
              <w14:schemeClr w14:val="tx1"/>
            </w14:solidFill>
          </w14:textFill>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eastAsia="宋体" w:cs="宋体"/>
          <w:b/>
          <w:color w:val="000000" w:themeColor="text1"/>
          <w:sz w:val="24"/>
          <w14:textFill>
            <w14:solidFill>
              <w14:schemeClr w14:val="tx1"/>
            </w14:solidFill>
          </w14:textFill>
        </w:rPr>
        <w:t>投标无效</w:t>
      </w:r>
      <w:r>
        <w:rPr>
          <w:rFonts w:hint="eastAsia" w:ascii="宋体" w:hAnsi="宋体" w:eastAsia="宋体" w:cs="宋体"/>
          <w:bCs/>
          <w:color w:val="000000" w:themeColor="text1"/>
          <w:sz w:val="24"/>
          <w14:textFill>
            <w14:solidFill>
              <w14:schemeClr w14:val="tx1"/>
            </w14:solidFill>
          </w14:textFill>
        </w:rPr>
        <w:t>。</w:t>
      </w:r>
    </w:p>
    <w:p>
      <w:pPr>
        <w:tabs>
          <w:tab w:val="left" w:pos="1080"/>
          <w:tab w:val="left" w:pos="1589"/>
          <w:tab w:val="left" w:pos="2014"/>
        </w:tabs>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12.4  </w:t>
      </w:r>
      <w:r>
        <w:rPr>
          <w:rFonts w:hint="eastAsia" w:ascii="宋体" w:hAnsi="宋体" w:eastAsia="宋体" w:cs="宋体"/>
          <w:color w:val="000000" w:themeColor="text1"/>
          <w:sz w:val="24"/>
          <w14:textFill>
            <w14:solidFill>
              <w14:schemeClr w14:val="tx1"/>
            </w14:solidFill>
          </w14:textFill>
        </w:rPr>
        <w:t>投标保证金（保函）有效期同投标有效期。</w:t>
      </w:r>
    </w:p>
    <w:p>
      <w:pPr>
        <w:tabs>
          <w:tab w:val="left" w:pos="1080"/>
          <w:tab w:val="left" w:pos="1589"/>
          <w:tab w:val="left" w:pos="2014"/>
        </w:tabs>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12.5  联合体投标的，可以由联合体中的一方或者共同提交投标保证金，以一方名义提交投标保证金的，对联合体各方均具有约束力。</w:t>
      </w:r>
    </w:p>
    <w:p>
      <w:pPr>
        <w:tabs>
          <w:tab w:val="left" w:pos="1080"/>
          <w:tab w:val="left" w:pos="1589"/>
          <w:tab w:val="left" w:pos="2014"/>
        </w:tabs>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tabs>
          <w:tab w:val="left" w:pos="1080"/>
          <w:tab w:val="left" w:pos="1589"/>
          <w:tab w:val="left" w:pos="2014"/>
        </w:tabs>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12.6.1  投标人在投标截止时间前撤回已提交的投标文件的，自收到投标人书面撤回通知之日起5个工作日内退还已收取的投标保证金；</w:t>
      </w:r>
    </w:p>
    <w:p>
      <w:pPr>
        <w:tabs>
          <w:tab w:val="left" w:pos="1080"/>
          <w:tab w:val="left" w:pos="1589"/>
          <w:tab w:val="left" w:pos="2014"/>
        </w:tabs>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12.6.2  中标人的投标保证金，自采购合同签订之日起5个工作日内退还中标人或者转为中标人的履约保证金；</w:t>
      </w:r>
    </w:p>
    <w:p>
      <w:pPr>
        <w:tabs>
          <w:tab w:val="left" w:pos="1080"/>
          <w:tab w:val="left" w:pos="1589"/>
          <w:tab w:val="left" w:pos="2014"/>
        </w:tabs>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未中标投标人的投标保证金，自中标通知书发出之日起5个工作日内退还未中标人；</w:t>
      </w:r>
    </w:p>
    <w:p>
      <w:pPr>
        <w:tabs>
          <w:tab w:val="left" w:pos="1080"/>
          <w:tab w:val="left" w:pos="1589"/>
          <w:tab w:val="left" w:pos="2014"/>
        </w:tabs>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12.6.3  终止招标项目已经收取投标保证金的，自终止采购活动后5个工作日内退还已收取的投标保证金及其在银行产生的孳息。</w:t>
      </w:r>
    </w:p>
    <w:p>
      <w:pPr>
        <w:tabs>
          <w:tab w:val="left" w:pos="1080"/>
          <w:tab w:val="left" w:pos="1589"/>
          <w:tab w:val="left" w:pos="2014"/>
        </w:tabs>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12.7  有下列情形之一的，采购人或采购代理机构可以不予退还投标保证金：</w:t>
      </w:r>
    </w:p>
    <w:p>
      <w:pPr>
        <w:tabs>
          <w:tab w:val="left" w:pos="1080"/>
          <w:tab w:val="left" w:pos="1589"/>
          <w:tab w:val="left" w:pos="2014"/>
        </w:tabs>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12.7.1  投标有效期内投标人撤销投标文件的；</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12.7.2  《投标人须知资料表》中规定的其他情形。</w:t>
      </w:r>
    </w:p>
    <w:p>
      <w:pPr>
        <w:pStyle w:val="15"/>
        <w:snapToGrid w:val="0"/>
        <w:spacing w:line="360" w:lineRule="auto"/>
        <w:ind w:firstLine="1"/>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12.9  投标人未按照招标文件要求提交投标保证金的，其投标无效</w:t>
      </w:r>
      <w:r>
        <w:rPr>
          <w:rFonts w:hint="eastAsia" w:ascii="宋体" w:hAnsi="宋体" w:eastAsia="宋体" w:cs="宋体"/>
          <w:bCs/>
          <w:color w:val="000000" w:themeColor="text1"/>
          <w:sz w:val="24"/>
          <w14:textFill>
            <w14:solidFill>
              <w14:schemeClr w14:val="tx1"/>
            </w14:solidFill>
          </w14:textFill>
        </w:rPr>
        <w:t>。</w:t>
      </w:r>
    </w:p>
    <w:p>
      <w:pPr>
        <w:spacing w:line="360" w:lineRule="auto"/>
        <w:rPr>
          <w:rFonts w:hint="eastAsia" w:ascii="宋体" w:hAnsi="宋体" w:eastAsia="宋体" w:cs="宋体"/>
          <w:b/>
          <w:color w:val="000000" w:themeColor="text1"/>
          <w:sz w:val="24"/>
          <w:szCs w:val="24"/>
          <w14:textFill>
            <w14:solidFill>
              <w14:schemeClr w14:val="tx1"/>
            </w14:solidFill>
          </w14:textFill>
        </w:rPr>
      </w:pPr>
      <w:bookmarkStart w:id="107" w:name="_Toc445903401"/>
      <w:bookmarkStart w:id="108" w:name="_Toc445916564"/>
      <w:bookmarkStart w:id="109" w:name="_Toc445984934"/>
      <w:bookmarkStart w:id="110" w:name="_Toc445845734"/>
      <w:bookmarkStart w:id="111" w:name="_Toc13896"/>
      <w:bookmarkStart w:id="112" w:name="_Toc12648"/>
      <w:bookmarkStart w:id="113" w:name="_Toc447223735"/>
      <w:bookmarkStart w:id="114" w:name="_Toc32094"/>
      <w:r>
        <w:rPr>
          <w:rFonts w:hint="eastAsia" w:ascii="宋体" w:hAnsi="宋体" w:eastAsia="宋体" w:cs="宋体"/>
          <w:b/>
          <w:color w:val="000000" w:themeColor="text1"/>
          <w:sz w:val="24"/>
          <w:szCs w:val="24"/>
          <w14:textFill>
            <w14:solidFill>
              <w14:schemeClr w14:val="tx1"/>
            </w14:solidFill>
          </w14:textFill>
        </w:rPr>
        <w:t>13.  投标有效期</w:t>
      </w:r>
      <w:bookmarkEnd w:id="107"/>
      <w:bookmarkEnd w:id="108"/>
      <w:bookmarkEnd w:id="109"/>
      <w:bookmarkEnd w:id="110"/>
      <w:bookmarkEnd w:id="111"/>
      <w:bookmarkEnd w:id="112"/>
      <w:bookmarkEnd w:id="113"/>
      <w:bookmarkEnd w:id="114"/>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13.1  </w:t>
      </w:r>
      <w:r>
        <w:rPr>
          <w:rFonts w:hint="eastAsia" w:ascii="宋体" w:hAnsi="宋体" w:eastAsia="宋体" w:cs="宋体"/>
          <w:color w:val="000000" w:themeColor="text1"/>
          <w:sz w:val="24"/>
          <w14:textFill>
            <w14:solidFill>
              <w14:schemeClr w14:val="tx1"/>
            </w14:solidFill>
          </w14:textFill>
        </w:rPr>
        <w:t>投标文件应在本招标文件《投标人须知资料表》中规定的投标有效期内保持有效，投标有效期少于招标文件规定期限的，其</w:t>
      </w:r>
      <w:r>
        <w:rPr>
          <w:rFonts w:hint="eastAsia" w:ascii="宋体" w:hAnsi="宋体" w:eastAsia="宋体" w:cs="宋体"/>
          <w:b/>
          <w:color w:val="000000" w:themeColor="text1"/>
          <w:sz w:val="24"/>
          <w14:textFill>
            <w14:solidFill>
              <w14:schemeClr w14:val="tx1"/>
            </w14:solidFill>
          </w14:textFill>
        </w:rPr>
        <w:t>投标无效</w:t>
      </w:r>
      <w:r>
        <w:rPr>
          <w:rFonts w:hint="eastAsia" w:ascii="宋体" w:hAnsi="宋体" w:eastAsia="宋体" w:cs="宋体"/>
          <w:color w:val="000000" w:themeColor="text1"/>
          <w:sz w:val="24"/>
          <w14:textFill>
            <w14:solidFill>
              <w14:schemeClr w14:val="tx1"/>
            </w14:solidFill>
          </w14:textFill>
        </w:rPr>
        <w:t>。</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13.2  在特殊情况下，采购人在原定投标有效期内，可以根据需要以书面形式向投标人提出延长投标有效期的要求，对此要求投标人须以书面形式予以答复。投标人可以拒绝采购人这种要求，而不被没收投标保证金。</w:t>
      </w:r>
      <w:r>
        <w:rPr>
          <w:rFonts w:hint="eastAsia" w:ascii="宋体" w:hAnsi="宋体" w:eastAsia="宋体" w:cs="宋体"/>
          <w:b/>
          <w:color w:val="000000" w:themeColor="text1"/>
          <w:sz w:val="24"/>
          <w14:textFill>
            <w14:solidFill>
              <w14:schemeClr w14:val="tx1"/>
            </w14:solidFill>
          </w14:textFill>
        </w:rPr>
        <w:t>拒绝延长投标有效期的，其投标无效。</w:t>
      </w:r>
      <w:r>
        <w:rPr>
          <w:rFonts w:hint="eastAsia" w:ascii="宋体" w:hAnsi="宋体" w:eastAsia="宋体" w:cs="宋体"/>
          <w:bCs/>
          <w:color w:val="000000" w:themeColor="text1"/>
          <w:sz w:val="24"/>
          <w14:textFill>
            <w14:solidFill>
              <w14:schemeClr w14:val="tx1"/>
            </w14:solidFill>
          </w14:textFill>
        </w:rPr>
        <w:t>同意延长投标有效期的投标人既不能要求也不允许修改其投标文件，但需要相应的延长投标保证金的有效期，在延长的投标有效期内本须知第12条关于投标保证金的退还与没收的规定仍然适用。</w:t>
      </w:r>
    </w:p>
    <w:p>
      <w:pPr>
        <w:spacing w:line="360" w:lineRule="auto"/>
        <w:rPr>
          <w:rFonts w:hint="eastAsia" w:ascii="宋体" w:hAnsi="宋体" w:eastAsia="宋体" w:cs="宋体"/>
          <w:b/>
          <w:color w:val="000000" w:themeColor="text1"/>
          <w:sz w:val="24"/>
          <w:szCs w:val="24"/>
          <w14:textFill>
            <w14:solidFill>
              <w14:schemeClr w14:val="tx1"/>
            </w14:solidFill>
          </w14:textFill>
        </w:rPr>
      </w:pPr>
      <w:bookmarkStart w:id="115" w:name="_Toc445903402"/>
      <w:bookmarkStart w:id="116" w:name="_Toc445984935"/>
      <w:bookmarkStart w:id="117" w:name="_Toc27183"/>
      <w:bookmarkStart w:id="118" w:name="_Toc9000"/>
      <w:bookmarkStart w:id="119" w:name="_Toc445845735"/>
      <w:bookmarkStart w:id="120" w:name="_Toc447223736"/>
      <w:bookmarkStart w:id="121" w:name="_Toc445916565"/>
      <w:bookmarkStart w:id="122" w:name="_Toc10015"/>
      <w:r>
        <w:rPr>
          <w:rFonts w:hint="eastAsia" w:ascii="宋体" w:hAnsi="宋体" w:eastAsia="宋体" w:cs="宋体"/>
          <w:b/>
          <w:color w:val="000000" w:themeColor="text1"/>
          <w:sz w:val="24"/>
          <w:szCs w:val="24"/>
          <w14:textFill>
            <w14:solidFill>
              <w14:schemeClr w14:val="tx1"/>
            </w14:solidFill>
          </w14:textFill>
        </w:rPr>
        <w:t>14.  投标文件的份数和签署</w:t>
      </w:r>
      <w:bookmarkEnd w:id="115"/>
      <w:bookmarkEnd w:id="116"/>
      <w:bookmarkEnd w:id="117"/>
      <w:bookmarkEnd w:id="118"/>
      <w:bookmarkEnd w:id="119"/>
      <w:bookmarkEnd w:id="120"/>
      <w:bookmarkEnd w:id="121"/>
      <w:bookmarkEnd w:id="122"/>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14.1  </w:t>
      </w:r>
      <w:r>
        <w:rPr>
          <w:rFonts w:hint="eastAsia" w:ascii="宋体" w:hAnsi="宋体" w:eastAsia="宋体" w:cs="宋体"/>
          <w:b/>
          <w:color w:val="000000" w:themeColor="text1"/>
          <w:sz w:val="24"/>
          <w14:textFill>
            <w14:solidFill>
              <w14:schemeClr w14:val="tx1"/>
            </w14:solidFill>
          </w14:textFill>
        </w:rPr>
        <w:t>投标人应递交投标文件正本</w:t>
      </w:r>
      <w:r>
        <w:rPr>
          <w:rFonts w:hint="eastAsia" w:ascii="宋体" w:hAnsi="宋体" w:eastAsia="宋体" w:cs="宋体"/>
          <w:b/>
          <w:color w:val="000000" w:themeColor="text1"/>
          <w:sz w:val="24"/>
          <w:u w:val="single"/>
          <w14:textFill>
            <w14:solidFill>
              <w14:schemeClr w14:val="tx1"/>
            </w14:solidFill>
          </w14:textFill>
        </w:rPr>
        <w:t>壹</w:t>
      </w:r>
      <w:r>
        <w:rPr>
          <w:rFonts w:hint="eastAsia" w:ascii="宋体" w:hAnsi="宋体" w:eastAsia="宋体" w:cs="宋体"/>
          <w:b/>
          <w:color w:val="000000" w:themeColor="text1"/>
          <w:sz w:val="24"/>
          <w14:textFill>
            <w14:solidFill>
              <w14:schemeClr w14:val="tx1"/>
            </w14:solidFill>
          </w14:textFill>
        </w:rPr>
        <w:t>份、副本</w:t>
      </w:r>
      <w:r>
        <w:rPr>
          <w:rFonts w:hint="eastAsia" w:ascii="宋体" w:hAnsi="宋体" w:eastAsia="宋体" w:cs="宋体"/>
          <w:b/>
          <w:color w:val="000000" w:themeColor="text1"/>
          <w:sz w:val="24"/>
          <w:u w:val="single"/>
          <w14:textFill>
            <w14:solidFill>
              <w14:schemeClr w14:val="tx1"/>
            </w14:solidFill>
          </w14:textFill>
        </w:rPr>
        <w:t>肆</w:t>
      </w:r>
      <w:r>
        <w:rPr>
          <w:rFonts w:hint="eastAsia" w:ascii="宋体" w:hAnsi="宋体" w:eastAsia="宋体" w:cs="宋体"/>
          <w:b/>
          <w:color w:val="000000" w:themeColor="text1"/>
          <w:sz w:val="24"/>
          <w14:textFill>
            <w14:solidFill>
              <w14:schemeClr w14:val="tx1"/>
            </w14:solidFill>
          </w14:textFill>
        </w:rPr>
        <w:t>份，电子版本光盘（或u盘）</w:t>
      </w:r>
      <w:r>
        <w:rPr>
          <w:rFonts w:hint="eastAsia" w:ascii="宋体" w:hAnsi="宋体" w:eastAsia="宋体" w:cs="宋体"/>
          <w:b/>
          <w:color w:val="000000" w:themeColor="text1"/>
          <w:sz w:val="24"/>
          <w:u w:val="single"/>
          <w14:textFill>
            <w14:solidFill>
              <w14:schemeClr w14:val="tx1"/>
            </w14:solidFill>
          </w14:textFill>
        </w:rPr>
        <w:t>壹</w:t>
      </w:r>
      <w:r>
        <w:rPr>
          <w:rFonts w:hint="eastAsia" w:ascii="宋体" w:hAnsi="宋体" w:eastAsia="宋体" w:cs="宋体"/>
          <w:b/>
          <w:color w:val="000000" w:themeColor="text1"/>
          <w:sz w:val="24"/>
          <w14:textFill>
            <w14:solidFill>
              <w14:schemeClr w14:val="tx1"/>
            </w14:solidFill>
          </w14:textFill>
        </w:rPr>
        <w:t>份（word版和正本扫描盖章后彩色扫描pdf版）。每份投标文件封面须清楚地标明“正本”或“副本”。若正本和副本不符，以正本为准。</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14.2  投标文件的正本和副本均需打印或使用不褪色的蓝、黑墨水笔书写，字迹应清晰易于辨认，副本可为正本的复印件，正本和副本如有不一致之处，以正本为准。</w:t>
      </w:r>
      <w:r>
        <w:rPr>
          <w:rFonts w:hint="eastAsia" w:ascii="宋体" w:hAnsi="宋体" w:eastAsia="宋体" w:cs="宋体"/>
          <w:color w:val="000000" w:themeColor="text1"/>
          <w:sz w:val="24"/>
          <w14:textFill>
            <w14:solidFill>
              <w14:schemeClr w14:val="tx1"/>
            </w14:solidFill>
          </w14:textFill>
        </w:rPr>
        <w:t>投标文件及修改文件一律使用A4号纸（有特殊规定的图纸及其他文件资料除外）。</w:t>
      </w:r>
    </w:p>
    <w:p>
      <w:pPr>
        <w:pStyle w:val="15"/>
        <w:snapToGrid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14.3  投标文件正本、副本封面均应加盖投标人公章并经法定代表人或其委托代理人签字或盖章。由委托代理人签字或盖章的在投标文件中须同时提交投标文件签署授权委托书。投标文件签署授权委托书格式、签字、盖章及内容均应符合要求，否则投标文件签署授权委托书无效。</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14.4  电子文件规定存储载体为一次只读光盘形式（或约定的其他形式），并标注单位名称。</w:t>
      </w:r>
    </w:p>
    <w:p>
      <w:pPr>
        <w:pStyle w:val="15"/>
        <w:snapToGrid w:val="0"/>
        <w:spacing w:line="360" w:lineRule="auto"/>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投标人递交的电子文件应包含纸质投标文件全部内容，电子文件规定格式为：</w:t>
      </w:r>
    </w:p>
    <w:p>
      <w:pPr>
        <w:pStyle w:val="15"/>
        <w:snapToGrid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①文本文件采用DOC、DOCX、RTF、TXT、PDF格式；</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②图像文件采用JPEG、TIFF格式；</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③影像文件采用MPEG、AVI、MP4格式；</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④声音文件采用WAV、MP3格式。</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14.5  除投标人对错误处须修改外，全套投标文件应无涂改或行间插字和增删。如有修改，修改处应由投标人加盖投标人的公章并由法定代表人或其委托代理人签字或盖章，投标文件技术部分不允许有修改。</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14.6  </w:t>
      </w:r>
      <w:r>
        <w:rPr>
          <w:rFonts w:hint="eastAsia" w:ascii="宋体" w:hAnsi="宋体" w:eastAsia="宋体" w:cs="宋体"/>
          <w:color w:val="000000" w:themeColor="text1"/>
          <w:sz w:val="24"/>
          <w14:textFill>
            <w14:solidFill>
              <w14:schemeClr w14:val="tx1"/>
            </w14:solidFill>
          </w14:textFill>
        </w:rPr>
        <w:t>投标文件因字迹潦草或表达不清所引起的后果由投标人负责。</w:t>
      </w:r>
    </w:p>
    <w:p>
      <w:pPr>
        <w:pStyle w:val="3"/>
        <w:spacing w:line="360" w:lineRule="auto"/>
        <w:rPr>
          <w:rFonts w:hint="eastAsia" w:ascii="宋体" w:hAnsi="宋体" w:eastAsia="宋体" w:cs="宋体"/>
          <w:color w:val="000000" w:themeColor="text1"/>
          <w:sz w:val="24"/>
          <w:szCs w:val="24"/>
          <w14:textFill>
            <w14:solidFill>
              <w14:schemeClr w14:val="tx1"/>
            </w14:solidFill>
          </w14:textFill>
        </w:rPr>
      </w:pPr>
      <w:bookmarkStart w:id="123" w:name="_Toc142401502"/>
      <w:bookmarkStart w:id="124" w:name="_Toc137744925"/>
      <w:bookmarkStart w:id="125" w:name="_Toc447223737"/>
      <w:bookmarkStart w:id="126" w:name="_Toc25958"/>
      <w:bookmarkStart w:id="127" w:name="_Toc92789201"/>
      <w:bookmarkStart w:id="128" w:name="_Toc18447"/>
      <w:bookmarkStart w:id="129" w:name="_Toc3252"/>
      <w:bookmarkStart w:id="130" w:name="_Toc10460"/>
      <w:r>
        <w:rPr>
          <w:rFonts w:hint="eastAsia" w:ascii="宋体" w:hAnsi="宋体" w:eastAsia="宋体" w:cs="宋体"/>
          <w:color w:val="000000" w:themeColor="text1"/>
          <w:sz w:val="24"/>
          <w:szCs w:val="24"/>
          <w14:textFill>
            <w14:solidFill>
              <w14:schemeClr w14:val="tx1"/>
            </w14:solidFill>
          </w14:textFill>
        </w:rPr>
        <w:t>（四）投标文件的提交</w:t>
      </w:r>
      <w:bookmarkEnd w:id="123"/>
      <w:bookmarkEnd w:id="124"/>
      <w:bookmarkEnd w:id="125"/>
      <w:bookmarkEnd w:id="126"/>
      <w:bookmarkEnd w:id="127"/>
      <w:bookmarkEnd w:id="128"/>
      <w:bookmarkEnd w:id="129"/>
      <w:bookmarkEnd w:id="130"/>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131" w:name="_Toc445984937"/>
      <w:bookmarkStart w:id="132" w:name="_Toc445903404"/>
      <w:bookmarkStart w:id="133" w:name="_Toc22509"/>
      <w:bookmarkStart w:id="134" w:name="_Toc445916567"/>
      <w:bookmarkStart w:id="135" w:name="_Toc29338"/>
      <w:bookmarkStart w:id="136" w:name="_Toc9691"/>
      <w:bookmarkStart w:id="137" w:name="_Toc445845737"/>
      <w:bookmarkStart w:id="138" w:name="_Toc447223738"/>
      <w:r>
        <w:rPr>
          <w:rFonts w:hint="eastAsia" w:ascii="宋体" w:hAnsi="宋体" w:eastAsia="宋体" w:cs="宋体"/>
          <w:b/>
          <w:bCs/>
          <w:color w:val="000000" w:themeColor="text1"/>
          <w:sz w:val="24"/>
          <w:szCs w:val="24"/>
          <w14:textFill>
            <w14:solidFill>
              <w14:schemeClr w14:val="tx1"/>
            </w14:solidFill>
          </w14:textFill>
        </w:rPr>
        <w:t>15.  投标文件的装订、密封和标记</w:t>
      </w:r>
      <w:bookmarkEnd w:id="131"/>
      <w:bookmarkEnd w:id="132"/>
      <w:bookmarkEnd w:id="133"/>
      <w:bookmarkEnd w:id="134"/>
      <w:bookmarkEnd w:id="135"/>
      <w:bookmarkEnd w:id="136"/>
      <w:bookmarkEnd w:id="137"/>
      <w:bookmarkEnd w:id="138"/>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15.1  投标文件的装订要求：投标文件须左侧胶装，装订须牢固不易拆散。</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15.2  投标人应将投标文件的正本和副本进行密封，电子版文件（须标注单位名称）单独密封。密封袋上清楚地标明“正本”、“副本”、“电子版”。</w:t>
      </w:r>
    </w:p>
    <w:p>
      <w:pPr>
        <w:pStyle w:val="15"/>
        <w:snapToGrid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15.3  在投标文件密封袋上均应：</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15.3.1  </w:t>
      </w:r>
      <w:r>
        <w:rPr>
          <w:rFonts w:hint="eastAsia" w:ascii="宋体" w:hAnsi="宋体" w:eastAsia="宋体" w:cs="宋体"/>
          <w:b/>
          <w:color w:val="000000" w:themeColor="text1"/>
          <w:sz w:val="24"/>
          <w:szCs w:val="24"/>
          <w14:textFill>
            <w14:solidFill>
              <w14:schemeClr w14:val="tx1"/>
            </w14:solidFill>
          </w14:textFill>
        </w:rPr>
        <w:t>清楚标明递交至第一章《投标邀请》中指明的地址</w:t>
      </w:r>
      <w:r>
        <w:rPr>
          <w:rFonts w:hint="eastAsia" w:ascii="宋体" w:hAnsi="宋体" w:eastAsia="宋体" w:cs="宋体"/>
          <w:b/>
          <w:bCs/>
          <w:color w:val="000000" w:themeColor="text1"/>
          <w:sz w:val="24"/>
          <w:szCs w:val="24"/>
          <w14:textFill>
            <w14:solidFill>
              <w14:schemeClr w14:val="tx1"/>
            </w14:solidFill>
          </w14:textFill>
        </w:rPr>
        <w:t>；</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15.3.2  </w:t>
      </w:r>
      <w:r>
        <w:rPr>
          <w:rFonts w:hint="eastAsia" w:ascii="宋体" w:hAnsi="宋体" w:eastAsia="宋体" w:cs="宋体"/>
          <w:b/>
          <w:color w:val="000000" w:themeColor="text1"/>
          <w:sz w:val="24"/>
          <w:szCs w:val="24"/>
          <w14:textFill>
            <w14:solidFill>
              <w14:schemeClr w14:val="tx1"/>
            </w14:solidFill>
          </w14:textFill>
        </w:rPr>
        <w:t>注明第一章《投标邀请》中指明的项目名称、招标编号和“在</w:t>
      </w:r>
      <w:r>
        <w:rPr>
          <w:rFonts w:hint="eastAsia" w:ascii="宋体" w:hAnsi="宋体" w:eastAsia="宋体" w:cs="宋体"/>
          <w:b/>
          <w:color w:val="000000" w:themeColor="text1"/>
          <w:sz w:val="24"/>
          <w:szCs w:val="24"/>
          <w:u w:val="single"/>
          <w14:textFill>
            <w14:solidFill>
              <w14:schemeClr w14:val="tx1"/>
            </w14:solidFill>
          </w14:textFill>
        </w:rPr>
        <w:t xml:space="preserve">   （开标日期、时间 ）       </w:t>
      </w:r>
      <w:r>
        <w:rPr>
          <w:rFonts w:hint="eastAsia" w:ascii="宋体" w:hAnsi="宋体" w:eastAsia="宋体" w:cs="宋体"/>
          <w:b/>
          <w:color w:val="000000" w:themeColor="text1"/>
          <w:sz w:val="24"/>
          <w:szCs w:val="24"/>
          <w14:textFill>
            <w14:solidFill>
              <w14:schemeClr w14:val="tx1"/>
            </w14:solidFill>
          </w14:textFill>
        </w:rPr>
        <w:t>之前不得启封”的字样。</w:t>
      </w:r>
    </w:p>
    <w:p>
      <w:pPr>
        <w:pStyle w:val="15"/>
        <w:snapToGrid w:val="0"/>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15.3.3  </w:t>
      </w:r>
      <w:r>
        <w:rPr>
          <w:rFonts w:hint="eastAsia" w:ascii="宋体" w:hAnsi="宋体" w:eastAsia="宋体" w:cs="宋体"/>
          <w:b/>
          <w:color w:val="000000" w:themeColor="text1"/>
          <w:sz w:val="24"/>
          <w14:textFill>
            <w14:solidFill>
              <w14:schemeClr w14:val="tx1"/>
            </w14:solidFill>
          </w14:textFill>
        </w:rPr>
        <w:t>在密封袋的封装处加盖投标人公章。</w:t>
      </w:r>
    </w:p>
    <w:p>
      <w:pPr>
        <w:pStyle w:val="15"/>
        <w:snapToGrid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15.4  密封的具体要求：投标文件密封袋可以是档案袋，也可以是自制其他的密封袋（箱）。但每个密封袋（箱）密封口处须用密封条密封，封条由投标人自制，并在密封条上加盖投标人公章及其法定代表人或其委托代理人签字或盖章。</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15.5  投标文件密封袋上应写明投标人的名称与地址、邮政编码，以便本须知第19条规定情况发生时，采购人可按密封袋上标明的投标人地址将投标文件原封退回。</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15.6  如果投标文件没有按本投标须知规定装订和加写标记及密封的，采购人及采购代理机构将不承担投标文件提前开封的责任。对由此造成提前开封的投标文件将予以拒绝，并退还给投标人。</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139" w:name="_Toc445903405"/>
      <w:bookmarkStart w:id="140" w:name="_Toc22759"/>
      <w:bookmarkStart w:id="141" w:name="_Toc445984938"/>
      <w:bookmarkStart w:id="142" w:name="_Toc12144"/>
      <w:bookmarkStart w:id="143" w:name="_Toc445916568"/>
      <w:bookmarkStart w:id="144" w:name="_Toc445845738"/>
      <w:bookmarkStart w:id="145" w:name="_Toc3067"/>
      <w:bookmarkStart w:id="146" w:name="_Toc447223739"/>
      <w:r>
        <w:rPr>
          <w:rFonts w:hint="eastAsia" w:ascii="宋体" w:hAnsi="宋体" w:eastAsia="宋体" w:cs="宋体"/>
          <w:b/>
          <w:bCs/>
          <w:color w:val="000000" w:themeColor="text1"/>
          <w:sz w:val="24"/>
          <w:szCs w:val="24"/>
          <w14:textFill>
            <w14:solidFill>
              <w14:schemeClr w14:val="tx1"/>
            </w14:solidFill>
          </w14:textFill>
        </w:rPr>
        <w:t>16.  样品</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16.1  本项目是否要求投标人提供样品，以及样品制作的标准和要求、是否需要随样品提交相关检测报告、样品的递交与退还等要求见《投标人须知资料表》。</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16.2样品的评审方法以及评审标准等内容见第六章《评标程序、评标方法和评标标准》。</w:t>
      </w:r>
    </w:p>
    <w:bookmarkEnd w:id="139"/>
    <w:bookmarkEnd w:id="140"/>
    <w:bookmarkEnd w:id="141"/>
    <w:bookmarkEnd w:id="142"/>
    <w:bookmarkEnd w:id="143"/>
    <w:bookmarkEnd w:id="144"/>
    <w:bookmarkEnd w:id="145"/>
    <w:bookmarkEnd w:id="146"/>
    <w:p>
      <w:pPr>
        <w:pStyle w:val="15"/>
        <w:snapToGrid w:val="0"/>
        <w:spacing w:line="360" w:lineRule="auto"/>
        <w:rPr>
          <w:rFonts w:hint="eastAsia" w:ascii="宋体" w:hAnsi="宋体" w:eastAsia="宋体" w:cs="宋体"/>
          <w:b/>
          <w:bCs/>
          <w:color w:val="000000" w:themeColor="text1"/>
          <w:sz w:val="24"/>
          <w14:textFill>
            <w14:solidFill>
              <w14:schemeClr w14:val="tx1"/>
            </w14:solidFill>
          </w14:textFill>
        </w:rPr>
      </w:pPr>
      <w:bookmarkStart w:id="147" w:name="_Toc21995"/>
      <w:bookmarkStart w:id="148" w:name="_Toc447223740"/>
      <w:bookmarkStart w:id="149" w:name="_Toc445845739"/>
      <w:bookmarkStart w:id="150" w:name="_Toc445916569"/>
      <w:bookmarkStart w:id="151" w:name="_Toc26291"/>
      <w:bookmarkStart w:id="152" w:name="_Toc445903406"/>
      <w:bookmarkStart w:id="153" w:name="_Toc599"/>
      <w:bookmarkStart w:id="154" w:name="_Toc445984939"/>
      <w:r>
        <w:rPr>
          <w:rFonts w:hint="eastAsia" w:ascii="宋体" w:hAnsi="宋体" w:eastAsia="宋体" w:cs="宋体"/>
          <w:b/>
          <w:bCs/>
          <w:color w:val="000000" w:themeColor="text1"/>
          <w:sz w:val="24"/>
          <w14:textFill>
            <w14:solidFill>
              <w14:schemeClr w14:val="tx1"/>
            </w14:solidFill>
          </w14:textFill>
        </w:rPr>
        <w:t>17.  投标文件的提交</w:t>
      </w:r>
      <w:bookmarkEnd w:id="147"/>
      <w:bookmarkEnd w:id="148"/>
      <w:bookmarkEnd w:id="149"/>
      <w:bookmarkEnd w:id="150"/>
      <w:bookmarkEnd w:id="151"/>
      <w:bookmarkEnd w:id="152"/>
      <w:bookmarkEnd w:id="153"/>
      <w:bookmarkEnd w:id="154"/>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投标人应按《投标人须知资料表》所规定的地点，于截止时间前提交投标文件。</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155" w:name="_Toc16528"/>
      <w:bookmarkStart w:id="156" w:name="_Toc12992"/>
      <w:bookmarkStart w:id="157" w:name="_Toc445916570"/>
      <w:bookmarkStart w:id="158" w:name="_Toc2548"/>
      <w:bookmarkStart w:id="159" w:name="_Toc445903407"/>
      <w:bookmarkStart w:id="160" w:name="_Toc447223741"/>
      <w:bookmarkStart w:id="161" w:name="_Toc445845740"/>
      <w:bookmarkStart w:id="162" w:name="_Toc445984940"/>
      <w:r>
        <w:rPr>
          <w:rFonts w:hint="eastAsia" w:ascii="宋体" w:hAnsi="宋体" w:eastAsia="宋体" w:cs="宋体"/>
          <w:b/>
          <w:bCs/>
          <w:color w:val="000000" w:themeColor="text1"/>
          <w:sz w:val="24"/>
          <w:szCs w:val="24"/>
          <w14:textFill>
            <w14:solidFill>
              <w14:schemeClr w14:val="tx1"/>
            </w14:solidFill>
          </w14:textFill>
        </w:rPr>
        <w:t>18.  投标文件提交的截止时间</w:t>
      </w:r>
      <w:bookmarkEnd w:id="155"/>
      <w:bookmarkEnd w:id="156"/>
      <w:bookmarkEnd w:id="157"/>
      <w:bookmarkEnd w:id="158"/>
      <w:bookmarkEnd w:id="159"/>
      <w:bookmarkEnd w:id="160"/>
      <w:bookmarkEnd w:id="161"/>
      <w:bookmarkEnd w:id="162"/>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18.1  投标文件提交的截止时间即为投标截止时间，见《投标人须知资料表》规定。</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18.2  采购人可按本须知第8条规定以修改补充通知的方式，顺延提交投标文件的截止时间。在此情况下，投标人的所有权利和义务以及投标人受制约的截止时间,均以延长后新的投标截止时间为准。</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163" w:name="_Toc18653"/>
      <w:bookmarkStart w:id="164" w:name="_Toc445916571"/>
      <w:bookmarkStart w:id="165" w:name="_Toc445903408"/>
      <w:bookmarkStart w:id="166" w:name="_Toc445845741"/>
      <w:bookmarkStart w:id="167" w:name="_Toc447223742"/>
      <w:bookmarkStart w:id="168" w:name="_Toc31773"/>
      <w:bookmarkStart w:id="169" w:name="_Toc32267"/>
      <w:bookmarkStart w:id="170" w:name="_Toc445984941"/>
      <w:r>
        <w:rPr>
          <w:rFonts w:hint="eastAsia" w:ascii="宋体" w:hAnsi="宋体" w:eastAsia="宋体" w:cs="宋体"/>
          <w:b/>
          <w:bCs/>
          <w:color w:val="000000" w:themeColor="text1"/>
          <w:sz w:val="24"/>
          <w:szCs w:val="24"/>
          <w14:textFill>
            <w14:solidFill>
              <w14:schemeClr w14:val="tx1"/>
            </w14:solidFill>
          </w14:textFill>
        </w:rPr>
        <w:t>19.  迟交的投标文件</w:t>
      </w:r>
      <w:bookmarkEnd w:id="163"/>
      <w:bookmarkEnd w:id="164"/>
      <w:bookmarkEnd w:id="165"/>
      <w:bookmarkEnd w:id="166"/>
      <w:bookmarkEnd w:id="167"/>
      <w:bookmarkEnd w:id="168"/>
      <w:bookmarkEnd w:id="169"/>
      <w:bookmarkEnd w:id="170"/>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采购人在本须知规定的投标截止时间以后收到的任何投标文件，将被拒绝并原封退回给投标人。</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171" w:name="_Toc445984942"/>
      <w:bookmarkStart w:id="172" w:name="_Toc7817"/>
      <w:bookmarkStart w:id="173" w:name="_Toc11463"/>
      <w:bookmarkStart w:id="174" w:name="_Toc445916572"/>
      <w:bookmarkStart w:id="175" w:name="_Toc445903409"/>
      <w:bookmarkStart w:id="176" w:name="_Toc445845742"/>
      <w:bookmarkStart w:id="177" w:name="_Toc447223743"/>
      <w:bookmarkStart w:id="178" w:name="_Toc12923"/>
      <w:r>
        <w:rPr>
          <w:rFonts w:hint="eastAsia" w:ascii="宋体" w:hAnsi="宋体" w:eastAsia="宋体" w:cs="宋体"/>
          <w:b/>
          <w:bCs/>
          <w:color w:val="000000" w:themeColor="text1"/>
          <w:sz w:val="24"/>
          <w:szCs w:val="24"/>
          <w14:textFill>
            <w14:solidFill>
              <w14:schemeClr w14:val="tx1"/>
            </w14:solidFill>
          </w14:textFill>
        </w:rPr>
        <w:t>20.  投标文件的补充、修改与撤回</w:t>
      </w:r>
      <w:bookmarkEnd w:id="171"/>
      <w:bookmarkEnd w:id="172"/>
      <w:bookmarkEnd w:id="173"/>
      <w:bookmarkEnd w:id="174"/>
      <w:bookmarkEnd w:id="175"/>
      <w:bookmarkEnd w:id="176"/>
      <w:bookmarkEnd w:id="177"/>
      <w:bookmarkEnd w:id="178"/>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20.1  投标人在提交投标文件以后，在规定的投标截止时间之前，可以书面形式补充修改或撤回已提交的投标文件，并以书面形式通知采购人。补充、修改的内容为投标文件的组成部分。</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20.2  投标人对投标文件的补充、修改，应按本须知第15条有关规定密封、标记和提交，并在内外层投标文件密封袋上清楚标明“补充、修改”或“撤回”字样。</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20.3  在投标截止时间之后，投标人不得补充、修改投标文件。</w:t>
      </w:r>
    </w:p>
    <w:p>
      <w:pPr>
        <w:pStyle w:val="15"/>
        <w:snapToGrid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20.4  在投标截止时间至投标有效期满之前，投标人不得撤回其投标文件，否则其投标保证金将不予退还。</w:t>
      </w:r>
      <w:bookmarkStart w:id="179" w:name="_Toc447223744"/>
      <w:bookmarkStart w:id="180" w:name="_Toc18535"/>
      <w:bookmarkStart w:id="181" w:name="_Toc25752"/>
      <w:bookmarkStart w:id="182" w:name="_Toc21389"/>
      <w:bookmarkStart w:id="183" w:name="_Toc12171"/>
    </w:p>
    <w:p>
      <w:pPr>
        <w:pStyle w:val="3"/>
        <w:spacing w:line="360" w:lineRule="auto"/>
        <w:rPr>
          <w:rFonts w:hint="eastAsia" w:ascii="宋体" w:hAnsi="宋体" w:eastAsia="宋体" w:cs="宋体"/>
          <w:color w:val="000000" w:themeColor="text1"/>
          <w:sz w:val="24"/>
          <w:szCs w:val="24"/>
          <w14:textFill>
            <w14:solidFill>
              <w14:schemeClr w14:val="tx1"/>
            </w14:solidFill>
          </w14:textFill>
        </w:rPr>
      </w:pPr>
      <w:bookmarkStart w:id="184" w:name="_Toc142401503"/>
      <w:bookmarkStart w:id="185" w:name="_Toc92789202"/>
      <w:bookmarkStart w:id="186" w:name="_Toc137744926"/>
      <w:r>
        <w:rPr>
          <w:rFonts w:hint="eastAsia" w:ascii="宋体" w:hAnsi="宋体" w:eastAsia="宋体" w:cs="宋体"/>
          <w:color w:val="000000" w:themeColor="text1"/>
          <w:sz w:val="24"/>
          <w:szCs w:val="24"/>
          <w14:textFill>
            <w14:solidFill>
              <w14:schemeClr w14:val="tx1"/>
            </w14:solidFill>
          </w14:textFill>
        </w:rPr>
        <w:t>（五）开  标</w:t>
      </w:r>
      <w:bookmarkEnd w:id="179"/>
      <w:bookmarkEnd w:id="180"/>
      <w:bookmarkEnd w:id="181"/>
      <w:bookmarkEnd w:id="182"/>
      <w:bookmarkEnd w:id="183"/>
      <w:bookmarkEnd w:id="184"/>
      <w:bookmarkEnd w:id="185"/>
      <w:bookmarkEnd w:id="186"/>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187" w:name="_Toc447223745"/>
      <w:bookmarkStart w:id="188" w:name="_Toc445845744"/>
      <w:bookmarkStart w:id="189" w:name="_Toc445916574"/>
      <w:bookmarkStart w:id="190" w:name="_Toc445903411"/>
      <w:bookmarkStart w:id="191" w:name="_Toc10857"/>
      <w:bookmarkStart w:id="192" w:name="_Toc925"/>
      <w:bookmarkStart w:id="193" w:name="_Toc445984944"/>
      <w:bookmarkStart w:id="194" w:name="_Toc30348"/>
      <w:r>
        <w:rPr>
          <w:rFonts w:hint="eastAsia" w:ascii="宋体" w:hAnsi="宋体" w:eastAsia="宋体" w:cs="宋体"/>
          <w:b/>
          <w:bCs/>
          <w:color w:val="000000" w:themeColor="text1"/>
          <w:sz w:val="24"/>
          <w:szCs w:val="24"/>
          <w14:textFill>
            <w14:solidFill>
              <w14:schemeClr w14:val="tx1"/>
            </w14:solidFill>
          </w14:textFill>
        </w:rPr>
        <w:t>21.  开标</w:t>
      </w:r>
      <w:bookmarkEnd w:id="187"/>
      <w:bookmarkEnd w:id="188"/>
      <w:bookmarkEnd w:id="189"/>
      <w:bookmarkEnd w:id="190"/>
      <w:bookmarkEnd w:id="191"/>
      <w:bookmarkEnd w:id="192"/>
      <w:bookmarkEnd w:id="193"/>
      <w:bookmarkEnd w:id="194"/>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21.1  </w:t>
      </w:r>
      <w:r>
        <w:rPr>
          <w:rFonts w:hint="eastAsia" w:ascii="宋体" w:hAnsi="宋体" w:eastAsia="宋体" w:cs="宋体"/>
          <w:color w:val="000000" w:themeColor="text1"/>
          <w:sz w:val="24"/>
          <w14:textFill>
            <w14:solidFill>
              <w14:schemeClr w14:val="tx1"/>
            </w14:solidFill>
          </w14:textFill>
        </w:rPr>
        <w:t>招标采购单位应当按第一章《投标邀请》的规定，在投标截止时间的同一时间和第一章《投标邀请》预先确定的地点组织开标，见</w:t>
      </w:r>
      <w:r>
        <w:rPr>
          <w:rFonts w:hint="eastAsia" w:ascii="宋体" w:hAnsi="宋体" w:eastAsia="宋体" w:cs="宋体"/>
          <w:bCs/>
          <w:color w:val="000000" w:themeColor="text1"/>
          <w:sz w:val="24"/>
          <w14:textFill>
            <w14:solidFill>
              <w14:schemeClr w14:val="tx1"/>
            </w14:solidFill>
          </w14:textFill>
        </w:rPr>
        <w:t>《投标人须知资料表》</w:t>
      </w:r>
      <w:r>
        <w:rPr>
          <w:rFonts w:hint="eastAsia" w:ascii="宋体" w:hAnsi="宋体" w:eastAsia="宋体" w:cs="宋体"/>
          <w:color w:val="000000" w:themeColor="text1"/>
          <w:sz w:val="24"/>
          <w14:textFill>
            <w14:solidFill>
              <w14:schemeClr w14:val="tx1"/>
            </w14:solidFill>
          </w14:textFill>
        </w:rPr>
        <w:t>。开标时邀请所有投标人代表、采购人和有关方面代表参加。参加开标的代表应签名报到以证明其出席。</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21.2  邀请所有投标人法定代表人参加开标会议，法定代表人不能参加的须指定其委托代理人参加。投标人代表对开标过程和开标记录有疑义，以及认为采购人、采购代理机构相关工作人员有需要回避的情形的，应当场提出询问或者回避申请。投标人未参加开标的，视同认可开标结果。</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21.3  按规定提交合格的撤回通知的投标文件不予开封，并退回给投标人。</w:t>
      </w:r>
    </w:p>
    <w:p>
      <w:pPr>
        <w:pStyle w:val="15"/>
        <w:snapToGrid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21.4  投标文件有下列情况之一的，采购人不予接受：</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21.4.1  逾期送达的；</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21.4.2  未按照招标文件要求密封的。</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21.5  开标程序：</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21.5.1  开标由采购人或采购代理机构工作人员主持；</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21.5.2  由投标人或其推选的代表检查投标文件的密封情况； </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21.5.3  经确认无误后，由采购人或采购代理机构工作人员当众拆封，宣布投标人名称、投标价格和招标文件规定的需要宣布的其他内容；</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21.5.4  采购人在招标文件要求提交投标文件的截止时间前收到的投标文件，开标时都应当众予以拆封、宣读。除国家法律、法规另有规定的外，开标后的投标文件概不退回；</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21.5.5  采购代理机构对开标过程进行记录。</w:t>
      </w:r>
      <w:r>
        <w:rPr>
          <w:rFonts w:hint="eastAsia" w:ascii="宋体" w:hAnsi="宋体" w:eastAsia="宋体" w:cs="宋体"/>
          <w:color w:val="000000" w:themeColor="text1"/>
          <w:sz w:val="24"/>
          <w:szCs w:val="24"/>
          <w14:textFill>
            <w14:solidFill>
              <w14:schemeClr w14:val="tx1"/>
            </w14:solidFill>
          </w14:textFill>
        </w:rPr>
        <w:t>开标记录表由记录人、唱标人、投标人法定代表人或其委托代理人和有关人员签字确认，</w:t>
      </w:r>
      <w:r>
        <w:rPr>
          <w:rFonts w:hint="eastAsia" w:ascii="宋体" w:hAnsi="宋体" w:eastAsia="宋体" w:cs="宋体"/>
          <w:bCs/>
          <w:color w:val="000000" w:themeColor="text1"/>
          <w:sz w:val="24"/>
          <w:szCs w:val="24"/>
          <w14:textFill>
            <w14:solidFill>
              <w14:schemeClr w14:val="tx1"/>
            </w14:solidFill>
          </w14:textFill>
        </w:rPr>
        <w:t>并存档备查。</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21.6  投标人不足3家的，不予开标。</w:t>
      </w:r>
    </w:p>
    <w:p>
      <w:pPr>
        <w:snapToGrid w:val="0"/>
        <w:spacing w:line="360" w:lineRule="auto"/>
        <w:rPr>
          <w:rFonts w:hint="eastAsia" w:ascii="宋体" w:hAnsi="宋体" w:eastAsia="宋体" w:cs="宋体"/>
          <w:color w:val="000000" w:themeColor="text1"/>
          <w14:textFill>
            <w14:solidFill>
              <w14:schemeClr w14:val="tx1"/>
            </w14:solidFill>
          </w14:textFill>
        </w:rPr>
      </w:pPr>
    </w:p>
    <w:p>
      <w:pPr>
        <w:pStyle w:val="3"/>
        <w:spacing w:line="360" w:lineRule="auto"/>
        <w:rPr>
          <w:rFonts w:hint="eastAsia" w:ascii="宋体" w:hAnsi="宋体" w:eastAsia="宋体" w:cs="宋体"/>
          <w:color w:val="000000" w:themeColor="text1"/>
          <w:sz w:val="24"/>
          <w:szCs w:val="24"/>
          <w14:textFill>
            <w14:solidFill>
              <w14:schemeClr w14:val="tx1"/>
            </w14:solidFill>
          </w14:textFill>
        </w:rPr>
      </w:pPr>
      <w:bookmarkStart w:id="195" w:name="_Toc447223746"/>
      <w:bookmarkStart w:id="196" w:name="_Toc137744927"/>
      <w:bookmarkStart w:id="197" w:name="_Toc7880"/>
      <w:bookmarkStart w:id="198" w:name="_Toc11263"/>
      <w:bookmarkStart w:id="199" w:name="_Toc142401504"/>
      <w:bookmarkStart w:id="200" w:name="_Toc15102"/>
      <w:bookmarkStart w:id="201" w:name="_Toc1621"/>
      <w:bookmarkStart w:id="202" w:name="_Toc92789203"/>
      <w:r>
        <w:rPr>
          <w:rFonts w:hint="eastAsia" w:ascii="宋体" w:hAnsi="宋体" w:eastAsia="宋体" w:cs="宋体"/>
          <w:color w:val="000000" w:themeColor="text1"/>
          <w:sz w:val="24"/>
          <w:szCs w:val="24"/>
          <w14:textFill>
            <w14:solidFill>
              <w14:schemeClr w14:val="tx1"/>
            </w14:solidFill>
          </w14:textFill>
        </w:rPr>
        <w:t>（六）资格审查和评标</w:t>
      </w:r>
      <w:bookmarkEnd w:id="195"/>
      <w:bookmarkEnd w:id="196"/>
      <w:bookmarkEnd w:id="197"/>
      <w:bookmarkEnd w:id="198"/>
      <w:bookmarkEnd w:id="199"/>
      <w:bookmarkEnd w:id="200"/>
      <w:bookmarkEnd w:id="201"/>
      <w:bookmarkEnd w:id="202"/>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22.  资格审查</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22.1  开标结束后由采购人或采购代理机构对投标人的资格进行审查。资格审查内容见第三章</w:t>
      </w:r>
      <w:r>
        <w:rPr>
          <w:rFonts w:hint="eastAsia" w:ascii="宋体" w:hAnsi="宋体" w:eastAsia="宋体" w:cs="宋体"/>
          <w:color w:val="000000" w:themeColor="text1"/>
          <w:sz w:val="24"/>
          <w14:textFill>
            <w14:solidFill>
              <w14:schemeClr w14:val="tx1"/>
            </w14:solidFill>
          </w14:textFill>
        </w:rPr>
        <w:t>《资格审查》</w:t>
      </w:r>
      <w:r>
        <w:rPr>
          <w:rFonts w:hint="eastAsia" w:ascii="宋体" w:hAnsi="宋体" w:eastAsia="宋体" w:cs="宋体"/>
          <w:bCs/>
          <w:color w:val="000000" w:themeColor="text1"/>
          <w:sz w:val="24"/>
          <w14:textFill>
            <w14:solidFill>
              <w14:schemeClr w14:val="tx1"/>
            </w14:solidFill>
          </w14:textFill>
        </w:rPr>
        <w:t>。</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22.2  经资格审查合格投标人不足3家的，不得评标。经资格审查合格投标人3家及以上的，将合格投标人的投标文件提交评标委员会进行评审。</w:t>
      </w:r>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bookmarkStart w:id="203" w:name="_Toc447223747"/>
      <w:bookmarkStart w:id="204" w:name="_Toc14072"/>
      <w:bookmarkStart w:id="205" w:name="_Toc445903413"/>
      <w:bookmarkStart w:id="206" w:name="_Toc445916576"/>
      <w:bookmarkStart w:id="207" w:name="_Toc7584"/>
      <w:bookmarkStart w:id="208" w:name="_Toc15540"/>
      <w:bookmarkStart w:id="209" w:name="_Toc445984946"/>
      <w:bookmarkStart w:id="210" w:name="_Toc445845746"/>
      <w:r>
        <w:rPr>
          <w:rFonts w:hint="eastAsia" w:ascii="宋体" w:hAnsi="宋体" w:eastAsia="宋体" w:cs="宋体"/>
          <w:b/>
          <w:color w:val="000000" w:themeColor="text1"/>
          <w:sz w:val="24"/>
          <w:szCs w:val="24"/>
          <w14:textFill>
            <w14:solidFill>
              <w14:schemeClr w14:val="tx1"/>
            </w14:solidFill>
          </w14:textFill>
        </w:rPr>
        <w:t>23.  组建评标委员会</w:t>
      </w:r>
      <w:bookmarkEnd w:id="203"/>
      <w:bookmarkEnd w:id="204"/>
      <w:bookmarkEnd w:id="205"/>
      <w:bookmarkEnd w:id="206"/>
      <w:bookmarkEnd w:id="207"/>
      <w:bookmarkEnd w:id="208"/>
      <w:bookmarkEnd w:id="209"/>
      <w:bookmarkEnd w:id="210"/>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bookmarkStart w:id="211" w:name="_Toc445916577"/>
      <w:bookmarkStart w:id="212" w:name="_Toc445845747"/>
      <w:bookmarkStart w:id="213" w:name="_Toc445984947"/>
      <w:bookmarkStart w:id="214" w:name="_Toc445903414"/>
      <w:bookmarkStart w:id="215" w:name="_Toc447223748"/>
      <w:bookmarkStart w:id="216" w:name="_Toc1212"/>
      <w:bookmarkStart w:id="217" w:name="_Toc16062"/>
      <w:bookmarkStart w:id="218" w:name="_Toc25001"/>
      <w:r>
        <w:rPr>
          <w:rFonts w:hint="eastAsia" w:ascii="宋体" w:hAnsi="宋体" w:eastAsia="宋体" w:cs="宋体"/>
          <w:bCs/>
          <w:color w:val="000000" w:themeColor="text1"/>
          <w:sz w:val="24"/>
          <w:szCs w:val="24"/>
          <w14:textFill>
            <w14:solidFill>
              <w14:schemeClr w14:val="tx1"/>
            </w14:solidFill>
          </w14:textFill>
        </w:rPr>
        <w:t>23.1  评标委员会根据政府采购有关规定和本次招标采购项目的特点进行组建，并负责具体评标事务，独立履行职责。评标委员会由采购人代表和评审专家组成，成员人数为5人</w:t>
      </w:r>
      <w:r>
        <w:rPr>
          <w:rFonts w:hint="eastAsia" w:ascii="宋体" w:hAnsi="宋体" w:eastAsia="宋体" w:cs="宋体"/>
          <w:color w:val="000000" w:themeColor="text1"/>
          <w:sz w:val="24"/>
          <w:szCs w:val="24"/>
          <w14:textFill>
            <w14:solidFill>
              <w14:schemeClr w14:val="tx1"/>
            </w14:solidFill>
          </w14:textFill>
        </w:rPr>
        <w:t>（含）</w:t>
      </w:r>
      <w:r>
        <w:rPr>
          <w:rFonts w:hint="eastAsia" w:ascii="宋体" w:hAnsi="宋体" w:eastAsia="宋体" w:cs="宋体"/>
          <w:bCs/>
          <w:color w:val="000000" w:themeColor="text1"/>
          <w:sz w:val="24"/>
          <w:szCs w:val="24"/>
          <w14:textFill>
            <w14:solidFill>
              <w14:schemeClr w14:val="tx1"/>
            </w14:solidFill>
          </w14:textFill>
        </w:rPr>
        <w:t>以上单数，其中评审专家不得少于成员总数的2/3。</w:t>
      </w:r>
      <w:bookmarkEnd w:id="211"/>
      <w:bookmarkEnd w:id="212"/>
      <w:bookmarkEnd w:id="213"/>
      <w:bookmarkEnd w:id="214"/>
      <w:bookmarkEnd w:id="215"/>
      <w:bookmarkEnd w:id="216"/>
      <w:bookmarkEnd w:id="217"/>
      <w:bookmarkEnd w:id="218"/>
    </w:p>
    <w:p>
      <w:pPr>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23.2</w:t>
      </w:r>
      <w:r>
        <w:rPr>
          <w:rFonts w:hint="eastAsia" w:ascii="宋体" w:hAnsi="宋体" w:eastAsia="宋体" w:cs="宋体"/>
          <w:color w:val="000000" w:themeColor="text1"/>
          <w:sz w:val="24"/>
          <w14:textFill>
            <w14:solidFill>
              <w14:schemeClr w14:val="tx1"/>
            </w14:solidFill>
          </w14:textFill>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219" w:name="_Toc28367"/>
      <w:bookmarkStart w:id="220" w:name="_Toc42692517"/>
      <w:bookmarkStart w:id="221" w:name="_Toc445984948"/>
      <w:bookmarkStart w:id="222" w:name="_Toc445916578"/>
      <w:bookmarkStart w:id="223" w:name="_Toc11726"/>
      <w:bookmarkStart w:id="224" w:name="_Toc445903415"/>
      <w:bookmarkStart w:id="225" w:name="_Toc2507"/>
      <w:bookmarkStart w:id="226" w:name="_Toc447223749"/>
      <w:bookmarkStart w:id="227" w:name="_Toc445845748"/>
      <w:r>
        <w:rPr>
          <w:rFonts w:hint="eastAsia" w:ascii="宋体" w:hAnsi="宋体" w:eastAsia="宋体" w:cs="宋体"/>
          <w:b/>
          <w:bCs/>
          <w:color w:val="000000" w:themeColor="text1"/>
          <w:sz w:val="24"/>
          <w:szCs w:val="24"/>
          <w14:textFill>
            <w14:solidFill>
              <w14:schemeClr w14:val="tx1"/>
            </w14:solidFill>
          </w14:textFill>
        </w:rPr>
        <w:t>24.</w:t>
      </w:r>
      <w:bookmarkEnd w:id="219"/>
      <w:bookmarkEnd w:id="220"/>
      <w:bookmarkEnd w:id="221"/>
      <w:bookmarkEnd w:id="222"/>
      <w:bookmarkEnd w:id="223"/>
      <w:bookmarkEnd w:id="224"/>
      <w:bookmarkEnd w:id="225"/>
      <w:bookmarkEnd w:id="226"/>
      <w:bookmarkEnd w:id="227"/>
      <w:r>
        <w:rPr>
          <w:rFonts w:hint="eastAsia" w:ascii="宋体" w:hAnsi="宋体" w:eastAsia="宋体" w:cs="宋体"/>
          <w:b/>
          <w:bCs/>
          <w:color w:val="000000" w:themeColor="text1"/>
          <w:sz w:val="24"/>
          <w:szCs w:val="24"/>
          <w14:textFill>
            <w14:solidFill>
              <w14:schemeClr w14:val="tx1"/>
            </w14:solidFill>
          </w14:textFill>
        </w:rPr>
        <w:t xml:space="preserve">  评标程序、评标方法和评标标准</w:t>
      </w:r>
    </w:p>
    <w:p>
      <w:pPr>
        <w:tabs>
          <w:tab w:val="left" w:pos="426"/>
        </w:tabs>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见第六章</w:t>
      </w:r>
      <w:r>
        <w:rPr>
          <w:rFonts w:hint="eastAsia" w:ascii="宋体" w:hAnsi="宋体" w:eastAsia="宋体" w:cs="宋体"/>
          <w:color w:val="000000" w:themeColor="text1"/>
          <w:sz w:val="24"/>
          <w14:textFill>
            <w14:solidFill>
              <w14:schemeClr w14:val="tx1"/>
            </w14:solidFill>
          </w14:textFill>
        </w:rPr>
        <w:t>《评标程序、评标方法和评标标准》。</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228" w:name="_Toc3933"/>
      <w:bookmarkStart w:id="229" w:name="_Toc42692520"/>
      <w:bookmarkStart w:id="230" w:name="_Toc445916582"/>
      <w:bookmarkStart w:id="231" w:name="_Toc24951"/>
      <w:bookmarkStart w:id="232" w:name="_Toc445845752"/>
      <w:bookmarkStart w:id="233" w:name="_Toc10543"/>
      <w:bookmarkStart w:id="234" w:name="_Toc445903419"/>
      <w:bookmarkStart w:id="235" w:name="_Toc447223753"/>
      <w:bookmarkStart w:id="236" w:name="_Toc445984952"/>
      <w:r>
        <w:rPr>
          <w:rFonts w:hint="eastAsia" w:ascii="宋体" w:hAnsi="宋体" w:eastAsia="宋体" w:cs="宋体"/>
          <w:b/>
          <w:bCs/>
          <w:color w:val="000000" w:themeColor="text1"/>
          <w:sz w:val="24"/>
          <w:szCs w:val="24"/>
          <w14:textFill>
            <w14:solidFill>
              <w14:schemeClr w14:val="tx1"/>
            </w14:solidFill>
          </w14:textFill>
        </w:rPr>
        <w:t>25.  投标文件的评审、比较和否决</w:t>
      </w:r>
      <w:bookmarkEnd w:id="228"/>
      <w:bookmarkEnd w:id="229"/>
      <w:bookmarkEnd w:id="230"/>
      <w:bookmarkEnd w:id="231"/>
      <w:bookmarkEnd w:id="232"/>
      <w:bookmarkEnd w:id="233"/>
      <w:bookmarkEnd w:id="234"/>
      <w:bookmarkEnd w:id="235"/>
      <w:bookmarkEnd w:id="236"/>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25.1  评标委员会将按照本须知第24条规定，仅对在实质上响应招标文件要求的投标文件进行评估和比较。</w:t>
      </w:r>
      <w:r>
        <w:rPr>
          <w:rFonts w:hint="eastAsia" w:ascii="宋体" w:hAnsi="宋体" w:eastAsia="宋体" w:cs="宋体"/>
          <w:color w:val="000000" w:themeColor="text1"/>
          <w:sz w:val="24"/>
          <w14:textFill>
            <w14:solidFill>
              <w14:schemeClr w14:val="tx1"/>
            </w14:solidFill>
          </w14:textFill>
        </w:rPr>
        <w:t>经符合性评审合格的投标文件，评标委员会将根据招标文件确定的评标方法和评标标准，对其技术部分和商务部分作进一步的比较和评价。</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25.2  评标委员会依据本招标文件第六章《</w:t>
      </w:r>
      <w:r>
        <w:rPr>
          <w:rFonts w:hint="eastAsia" w:ascii="宋体" w:hAnsi="宋体" w:eastAsia="宋体" w:cs="宋体"/>
          <w:color w:val="000000" w:themeColor="text1"/>
          <w:sz w:val="24"/>
          <w14:textFill>
            <w14:solidFill>
              <w14:schemeClr w14:val="tx1"/>
            </w14:solidFill>
          </w14:textFill>
        </w:rPr>
        <w:t>评标程序、评标方法和评标标准</w:t>
      </w:r>
      <w:r>
        <w:rPr>
          <w:rFonts w:hint="eastAsia" w:ascii="宋体" w:hAnsi="宋体" w:eastAsia="宋体" w:cs="宋体"/>
          <w:bCs/>
          <w:color w:val="000000" w:themeColor="text1"/>
          <w:sz w:val="24"/>
          <w14:textFill>
            <w14:solidFill>
              <w14:schemeClr w14:val="tx1"/>
            </w14:solidFill>
          </w14:textFill>
        </w:rPr>
        <w:t>》，对投标文件进行评审和比较，向采购人提出书面评标报告，并按综合排名依次推荐合格投标人为中标候选人。本项目中标候选人推荐数量见《投标人须知资料表》。</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25.3  采购人根据评标委员会提出的书面评标报告和推荐的中标候选人，依据国家和地方现行法规确定中标人。采购人也可以授权评标委员会依据现行法规直接确定中标人。本项目确定中标人的方式见《投标人须知资料表》。</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25.4  经评标委员会评审，有效投标不足三家的，采购人应当依法重新招标或者经主管部门批准采用其他方式采购。</w:t>
      </w:r>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bookmarkStart w:id="237" w:name="_Toc445845753"/>
      <w:bookmarkStart w:id="238" w:name="_Toc445903420"/>
      <w:bookmarkStart w:id="239" w:name="_Toc16076"/>
      <w:bookmarkStart w:id="240" w:name="_Toc28587"/>
      <w:bookmarkStart w:id="241" w:name="_Toc445984953"/>
      <w:bookmarkStart w:id="242" w:name="_Toc445916583"/>
      <w:bookmarkStart w:id="243" w:name="_Toc2719"/>
      <w:bookmarkStart w:id="244" w:name="_Toc447223754"/>
      <w:r>
        <w:rPr>
          <w:rFonts w:hint="eastAsia" w:ascii="宋体" w:hAnsi="宋体" w:eastAsia="宋体" w:cs="宋体"/>
          <w:b/>
          <w:color w:val="000000" w:themeColor="text1"/>
          <w:sz w:val="24"/>
          <w:szCs w:val="24"/>
          <w14:textFill>
            <w14:solidFill>
              <w14:schemeClr w14:val="tx1"/>
            </w14:solidFill>
          </w14:textFill>
        </w:rPr>
        <w:t>26.  评标方法和标准</w:t>
      </w:r>
      <w:bookmarkEnd w:id="237"/>
      <w:bookmarkEnd w:id="238"/>
      <w:bookmarkEnd w:id="239"/>
      <w:bookmarkEnd w:id="240"/>
      <w:bookmarkEnd w:id="241"/>
      <w:bookmarkEnd w:id="242"/>
      <w:bookmarkEnd w:id="243"/>
      <w:bookmarkEnd w:id="244"/>
    </w:p>
    <w:p>
      <w:pPr>
        <w:pStyle w:val="15"/>
        <w:snapToGrid w:val="0"/>
        <w:spacing w:line="360" w:lineRule="auto"/>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见第六章《评标程序、评标方法和评标标准》。</w:t>
      </w:r>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bookmarkStart w:id="245" w:name="_Toc445903421"/>
      <w:bookmarkStart w:id="246" w:name="_Toc445916584"/>
      <w:bookmarkStart w:id="247" w:name="_Toc23644"/>
      <w:bookmarkStart w:id="248" w:name="_Toc42692521"/>
      <w:bookmarkStart w:id="249" w:name="_Toc16949"/>
      <w:bookmarkStart w:id="250" w:name="_Toc445984954"/>
      <w:bookmarkStart w:id="251" w:name="_Toc445845754"/>
      <w:bookmarkStart w:id="252" w:name="_Toc29843"/>
      <w:bookmarkStart w:id="253" w:name="_Toc447223755"/>
      <w:r>
        <w:rPr>
          <w:rFonts w:hint="eastAsia" w:ascii="宋体" w:hAnsi="宋体" w:eastAsia="宋体" w:cs="宋体"/>
          <w:b/>
          <w:color w:val="000000" w:themeColor="text1"/>
          <w:sz w:val="24"/>
          <w:szCs w:val="24"/>
          <w14:textFill>
            <w14:solidFill>
              <w14:schemeClr w14:val="tx1"/>
            </w14:solidFill>
          </w14:textFill>
        </w:rPr>
        <w:t>27.  评标过程的保密</w:t>
      </w:r>
      <w:bookmarkEnd w:id="245"/>
      <w:bookmarkEnd w:id="246"/>
      <w:bookmarkEnd w:id="247"/>
      <w:bookmarkEnd w:id="248"/>
      <w:bookmarkEnd w:id="249"/>
      <w:bookmarkEnd w:id="250"/>
      <w:bookmarkEnd w:id="251"/>
      <w:bookmarkEnd w:id="252"/>
      <w:bookmarkEnd w:id="253"/>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27.1  评标委员会成员和与评标工作有关的工作人员不得透露对投标文件的评审和比较、中标候选人的推荐情况以及与评标有关的其他情况。</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27.2  在投标文件的评审和比较、中标候选人推荐以及授予合同的过程中，投标人试图非法干预、影响招标采购单位和评标委员会的任何活动，将导致其投标被拒绝，并承担相应的法律责任。</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27.3  </w:t>
      </w:r>
      <w:r>
        <w:rPr>
          <w:rFonts w:hint="eastAsia" w:ascii="宋体" w:hAnsi="宋体" w:eastAsia="宋体" w:cs="宋体"/>
          <w:color w:val="000000" w:themeColor="text1"/>
          <w:sz w:val="24"/>
          <w14:textFill>
            <w14:solidFill>
              <w14:schemeClr w14:val="tx1"/>
            </w14:solidFill>
          </w14:textFill>
        </w:rPr>
        <w:t>中标人确定后，采购人不对未中标人就评标过程以及未能中标原因作出任何解释。未中标人不得向评标委员会组成人员或其他有关人员索问评标过程的情况和材料。</w:t>
      </w:r>
      <w:r>
        <w:rPr>
          <w:rFonts w:hint="eastAsia" w:ascii="宋体" w:hAnsi="宋体" w:eastAsia="宋体" w:cs="宋体"/>
          <w:bCs/>
          <w:color w:val="000000" w:themeColor="text1"/>
          <w:sz w:val="24"/>
          <w14:textFill>
            <w14:solidFill>
              <w14:schemeClr w14:val="tx1"/>
            </w14:solidFill>
          </w14:textFill>
        </w:rPr>
        <w:t>（依法应当告知的除外）。</w:t>
      </w:r>
    </w:p>
    <w:p>
      <w:pPr>
        <w:pStyle w:val="3"/>
        <w:spacing w:line="360" w:lineRule="auto"/>
        <w:rPr>
          <w:rFonts w:hint="eastAsia" w:ascii="宋体" w:hAnsi="宋体" w:eastAsia="宋体" w:cs="宋体"/>
          <w:color w:val="000000" w:themeColor="text1"/>
          <w:sz w:val="24"/>
          <w:szCs w:val="24"/>
          <w14:textFill>
            <w14:solidFill>
              <w14:schemeClr w14:val="tx1"/>
            </w14:solidFill>
          </w14:textFill>
        </w:rPr>
      </w:pPr>
      <w:bookmarkStart w:id="254" w:name="_Toc27570"/>
      <w:bookmarkStart w:id="255" w:name="_Toc137744928"/>
      <w:bookmarkStart w:id="256" w:name="_Toc447223756"/>
      <w:bookmarkStart w:id="257" w:name="_Toc92789204"/>
      <w:bookmarkStart w:id="258" w:name="_Toc23991"/>
      <w:bookmarkStart w:id="259" w:name="_Toc12197"/>
      <w:bookmarkStart w:id="260" w:name="_Toc22381"/>
      <w:bookmarkStart w:id="261" w:name="_Toc142401505"/>
      <w:r>
        <w:rPr>
          <w:rFonts w:hint="eastAsia" w:ascii="宋体" w:hAnsi="宋体" w:eastAsia="宋体" w:cs="宋体"/>
          <w:color w:val="000000" w:themeColor="text1"/>
          <w:sz w:val="24"/>
          <w:szCs w:val="24"/>
          <w14:textFill>
            <w14:solidFill>
              <w14:schemeClr w14:val="tx1"/>
            </w14:solidFill>
          </w14:textFill>
        </w:rPr>
        <w:t>（七）</w:t>
      </w:r>
      <w:bookmarkEnd w:id="254"/>
      <w:r>
        <w:rPr>
          <w:rFonts w:hint="eastAsia" w:ascii="宋体" w:hAnsi="宋体" w:eastAsia="宋体" w:cs="宋体"/>
          <w:color w:val="000000" w:themeColor="text1"/>
          <w:sz w:val="24"/>
          <w:szCs w:val="24"/>
          <w14:textFill>
            <w14:solidFill>
              <w14:schemeClr w14:val="tx1"/>
            </w14:solidFill>
          </w14:textFill>
        </w:rPr>
        <w:t>确定中标</w:t>
      </w:r>
      <w:bookmarkEnd w:id="255"/>
      <w:bookmarkEnd w:id="256"/>
      <w:bookmarkEnd w:id="257"/>
      <w:bookmarkEnd w:id="258"/>
      <w:bookmarkEnd w:id="259"/>
      <w:bookmarkEnd w:id="260"/>
      <w:bookmarkEnd w:id="261"/>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262" w:name="_Toc7249"/>
      <w:bookmarkStart w:id="263" w:name="_Toc445903423"/>
      <w:bookmarkStart w:id="264" w:name="_Toc20928"/>
      <w:bookmarkStart w:id="265" w:name="_Toc445845756"/>
      <w:bookmarkStart w:id="266" w:name="_Toc445984956"/>
      <w:bookmarkStart w:id="267" w:name="_Toc445916586"/>
      <w:bookmarkStart w:id="268" w:name="_Toc447223757"/>
      <w:bookmarkStart w:id="269" w:name="_Toc7733"/>
      <w:r>
        <w:rPr>
          <w:rFonts w:hint="eastAsia" w:ascii="宋体" w:hAnsi="宋体" w:eastAsia="宋体" w:cs="宋体"/>
          <w:b/>
          <w:bCs/>
          <w:color w:val="000000" w:themeColor="text1"/>
          <w:sz w:val="24"/>
          <w:szCs w:val="24"/>
          <w14:textFill>
            <w14:solidFill>
              <w14:schemeClr w14:val="tx1"/>
            </w14:solidFill>
          </w14:textFill>
        </w:rPr>
        <w:t>28.  中标候选人的推荐原则及标准</w:t>
      </w:r>
      <w:bookmarkEnd w:id="262"/>
      <w:bookmarkEnd w:id="263"/>
      <w:bookmarkEnd w:id="264"/>
      <w:bookmarkEnd w:id="265"/>
      <w:bookmarkEnd w:id="266"/>
      <w:bookmarkEnd w:id="267"/>
      <w:bookmarkEnd w:id="268"/>
      <w:bookmarkEnd w:id="269"/>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评标委员会按评审后得分由高到低顺序排列，推荐</w:t>
      </w:r>
      <w:r>
        <w:rPr>
          <w:rFonts w:hint="eastAsia" w:ascii="宋体" w:hAnsi="宋体" w:eastAsia="宋体" w:cs="宋体"/>
          <w:color w:val="000000" w:themeColor="text1"/>
          <w:sz w:val="24"/>
          <w:u w:val="single"/>
          <w14:textFill>
            <w14:solidFill>
              <w14:schemeClr w14:val="tx1"/>
            </w14:solidFill>
          </w14:textFill>
        </w:rPr>
        <w:t>三</w:t>
      </w:r>
      <w:r>
        <w:rPr>
          <w:rFonts w:hint="eastAsia" w:ascii="宋体" w:hAnsi="宋体" w:eastAsia="宋体" w:cs="宋体"/>
          <w:color w:val="000000" w:themeColor="text1"/>
          <w:sz w:val="24"/>
          <w14:textFill>
            <w14:solidFill>
              <w14:schemeClr w14:val="tx1"/>
            </w14:solidFill>
          </w14:textFill>
        </w:rPr>
        <w:t>名中标候选人。得分相同的，按技术得分由高到低排列。得分、技术得分相同的，采取随机抽取方式确定。</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270" w:name="_Toc445984957"/>
      <w:bookmarkStart w:id="271" w:name="_Toc12665"/>
      <w:bookmarkStart w:id="272" w:name="_Toc445903424"/>
      <w:bookmarkStart w:id="273" w:name="_Toc21769"/>
      <w:bookmarkStart w:id="274" w:name="_Toc9059"/>
      <w:bookmarkStart w:id="275" w:name="_Toc445845757"/>
      <w:bookmarkStart w:id="276" w:name="_Toc445916587"/>
      <w:bookmarkStart w:id="277" w:name="_Toc447223758"/>
      <w:r>
        <w:rPr>
          <w:rFonts w:hint="eastAsia" w:ascii="宋体" w:hAnsi="宋体" w:eastAsia="宋体" w:cs="宋体"/>
          <w:b/>
          <w:bCs/>
          <w:color w:val="000000" w:themeColor="text1"/>
          <w:sz w:val="24"/>
          <w:szCs w:val="24"/>
          <w14:textFill>
            <w14:solidFill>
              <w14:schemeClr w14:val="tx1"/>
            </w14:solidFill>
          </w14:textFill>
        </w:rPr>
        <w:t>29  确定</w:t>
      </w:r>
      <w:bookmarkEnd w:id="270"/>
      <w:bookmarkEnd w:id="271"/>
      <w:bookmarkEnd w:id="272"/>
      <w:bookmarkEnd w:id="273"/>
      <w:bookmarkEnd w:id="274"/>
      <w:bookmarkEnd w:id="275"/>
      <w:bookmarkEnd w:id="276"/>
      <w:bookmarkEnd w:id="277"/>
      <w:r>
        <w:rPr>
          <w:rFonts w:hint="eastAsia" w:ascii="宋体" w:hAnsi="宋体" w:eastAsia="宋体" w:cs="宋体"/>
          <w:b/>
          <w:bCs/>
          <w:color w:val="000000" w:themeColor="text1"/>
          <w:sz w:val="24"/>
          <w:szCs w:val="24"/>
          <w14:textFill>
            <w14:solidFill>
              <w14:schemeClr w14:val="tx1"/>
            </w14:solidFill>
          </w14:textFill>
        </w:rPr>
        <w:t>中标人</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见《投标人须知资料表》规定。</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bookmarkStart w:id="278" w:name="_Toc445916589"/>
      <w:bookmarkStart w:id="279" w:name="_Toc445903426"/>
      <w:bookmarkStart w:id="280" w:name="_Toc8863"/>
      <w:bookmarkStart w:id="281" w:name="_Toc445845759"/>
      <w:bookmarkStart w:id="282" w:name="_Toc447223760"/>
      <w:bookmarkStart w:id="283" w:name="_Toc24259"/>
      <w:bookmarkStart w:id="284" w:name="_Toc445984959"/>
      <w:bookmarkStart w:id="285" w:name="_Toc7516"/>
      <w:r>
        <w:rPr>
          <w:rFonts w:hint="eastAsia" w:ascii="宋体" w:hAnsi="宋体" w:eastAsia="宋体" w:cs="宋体"/>
          <w:b/>
          <w:bCs/>
          <w:color w:val="000000" w:themeColor="text1"/>
          <w:sz w:val="24"/>
          <w:szCs w:val="24"/>
          <w14:textFill>
            <w14:solidFill>
              <w14:schemeClr w14:val="tx1"/>
            </w14:solidFill>
          </w14:textFill>
        </w:rPr>
        <w:t>30.  中标公告与中标通知书</w:t>
      </w:r>
      <w:bookmarkEnd w:id="278"/>
      <w:bookmarkEnd w:id="279"/>
      <w:bookmarkEnd w:id="280"/>
      <w:bookmarkEnd w:id="281"/>
      <w:bookmarkEnd w:id="282"/>
      <w:bookmarkEnd w:id="283"/>
      <w:bookmarkEnd w:id="284"/>
      <w:bookmarkEnd w:id="285"/>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30.1  </w:t>
      </w:r>
      <w:r>
        <w:rPr>
          <w:rFonts w:hint="eastAsia" w:ascii="宋体" w:hAnsi="宋体" w:eastAsia="宋体" w:cs="宋体"/>
          <w:color w:val="000000" w:themeColor="text1"/>
          <w:sz w:val="24"/>
          <w14:textFill>
            <w14:solidFill>
              <w14:schemeClr w14:val="tx1"/>
            </w14:solidFill>
          </w14:textFill>
        </w:rPr>
        <w:t>采购人或采购代理机构自中标人确定之日起2个工作日内，</w:t>
      </w:r>
      <w:r>
        <w:rPr>
          <w:rFonts w:hint="eastAsia" w:ascii="宋体" w:hAnsi="宋体" w:eastAsia="宋体" w:cs="宋体"/>
          <w:color w:val="000000" w:themeColor="text1"/>
          <w:kern w:val="0"/>
          <w:sz w:val="24"/>
          <w14:textFill>
            <w14:solidFill>
              <w14:schemeClr w14:val="tx1"/>
            </w14:solidFill>
          </w14:textFill>
        </w:rPr>
        <w:t>公告中标结果</w:t>
      </w:r>
      <w:r>
        <w:rPr>
          <w:rFonts w:hint="eastAsia" w:ascii="宋体" w:hAnsi="宋体" w:eastAsia="宋体" w:cs="宋体"/>
          <w:color w:val="000000" w:themeColor="text1"/>
          <w:sz w:val="24"/>
          <w14:textFill>
            <w14:solidFill>
              <w14:schemeClr w14:val="tx1"/>
            </w14:solidFill>
          </w14:textFill>
        </w:rPr>
        <w:t>，同时向中标人发出中标通知书，中标公告期限为1个工作日。</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30.2  </w:t>
      </w:r>
      <w:r>
        <w:rPr>
          <w:rFonts w:hint="eastAsia" w:ascii="宋体" w:hAnsi="宋体" w:eastAsia="宋体" w:cs="宋体"/>
          <w:color w:val="000000" w:themeColor="text1"/>
          <w:sz w:val="24"/>
          <w14:textFill>
            <w14:solidFill>
              <w14:schemeClr w14:val="tx1"/>
            </w14:solidFill>
          </w14:textFill>
        </w:rPr>
        <w:t>中标通知书对采购人和中标人均具有法律效力。中标通知书发出后，采购人改变中标结果的，或者中标人放弃中标项目的，应当依法承担法律责任。</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30.3  发布中标公告的同时，以书面形式将招标结果通知所有未中标的投标人，告知投标人本人未通过资格审查的原因或其本人的评审总得分与排序。</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30.4  投标人应同时关注招标公告中公布的网站发布的中标公告，未中标人于中标公告发布之日起5个工作日内，到采购代理机构领取招标结果通知书并办理投标保证金退还手续。</w:t>
      </w:r>
    </w:p>
    <w:p>
      <w:pPr>
        <w:tabs>
          <w:tab w:val="left" w:pos="900"/>
        </w:tabs>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31.  废标</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31.1  在招标采购中，出现下列情形之一的，应予废标：</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31.1.1  符合专业条件的供应商或者对招标文件作实质响应的供应商不足三家的；</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31.1.2  出现影响采购公正的违法、违规行为的；</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31.1.3  投标人的报价均超过了采购预算，采购人不能支付的；</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31.1.4  因重大变故，采购任务取消的。</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31.2  废标后，采购人将废标理由通知所有投标人。</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286" w:name="_Toc4156"/>
      <w:bookmarkStart w:id="287" w:name="_Toc445984960"/>
      <w:bookmarkStart w:id="288" w:name="_Toc445903427"/>
      <w:bookmarkStart w:id="289" w:name="_Toc447223761"/>
      <w:bookmarkStart w:id="290" w:name="_Toc4349"/>
      <w:bookmarkStart w:id="291" w:name="_Toc14613"/>
      <w:bookmarkStart w:id="292" w:name="_Toc445845760"/>
      <w:bookmarkStart w:id="293" w:name="_Toc445916590"/>
      <w:r>
        <w:rPr>
          <w:rFonts w:hint="eastAsia" w:ascii="宋体" w:hAnsi="宋体" w:eastAsia="宋体" w:cs="宋体"/>
          <w:b/>
          <w:bCs/>
          <w:color w:val="000000" w:themeColor="text1"/>
          <w:sz w:val="24"/>
          <w:szCs w:val="24"/>
          <w14:textFill>
            <w14:solidFill>
              <w14:schemeClr w14:val="tx1"/>
            </w14:solidFill>
          </w14:textFill>
        </w:rPr>
        <w:t xml:space="preserve">32.  </w:t>
      </w:r>
      <w:bookmarkEnd w:id="286"/>
      <w:bookmarkEnd w:id="287"/>
      <w:bookmarkEnd w:id="288"/>
      <w:bookmarkEnd w:id="289"/>
      <w:bookmarkEnd w:id="290"/>
      <w:bookmarkEnd w:id="291"/>
      <w:bookmarkEnd w:id="292"/>
      <w:bookmarkEnd w:id="293"/>
      <w:bookmarkStart w:id="294" w:name="_Toc164229391"/>
      <w:bookmarkStart w:id="295" w:name="_Toc226965740"/>
      <w:bookmarkStart w:id="296" w:name="_Ref467307204"/>
      <w:bookmarkStart w:id="297" w:name="_Toc151193648"/>
      <w:bookmarkStart w:id="298" w:name="_Toc127151550"/>
      <w:bookmarkStart w:id="299" w:name="_Toc150774650"/>
      <w:bookmarkStart w:id="300" w:name="_Toc164351644"/>
      <w:bookmarkStart w:id="301" w:name="_Toc164608819"/>
      <w:bookmarkStart w:id="302" w:name="_Toc150480788"/>
      <w:bookmarkStart w:id="303" w:name="_Toc164608664"/>
      <w:bookmarkStart w:id="304" w:name="_Toc142311052"/>
      <w:bookmarkStart w:id="305" w:name="_Toc520356175"/>
      <w:bookmarkStart w:id="306" w:name="_Toc151193792"/>
      <w:bookmarkStart w:id="307" w:name="_Ref467306978"/>
      <w:bookmarkStart w:id="308" w:name="_Toc150774755"/>
      <w:bookmarkStart w:id="309" w:name="_Toc164229245"/>
      <w:bookmarkStart w:id="310" w:name="_Toc195842915"/>
      <w:bookmarkStart w:id="311" w:name="_Ref467307062"/>
      <w:bookmarkStart w:id="312" w:name="_Toc226337246"/>
      <w:bookmarkStart w:id="313" w:name="_Toc151193864"/>
      <w:bookmarkStart w:id="314" w:name="_Toc149720843"/>
      <w:bookmarkStart w:id="315" w:name="_Toc305158818"/>
      <w:bookmarkStart w:id="316" w:name="_Toc265228388"/>
      <w:bookmarkStart w:id="317" w:name="_Toc127151751"/>
      <w:bookmarkStart w:id="318" w:name="_Toc151193938"/>
      <w:bookmarkStart w:id="319" w:name="_Toc305158892"/>
      <w:bookmarkStart w:id="320" w:name="_Toc151190177"/>
      <w:bookmarkStart w:id="321" w:name="_Ref467306377"/>
      <w:bookmarkStart w:id="322" w:name="_Toc226965823"/>
      <w:bookmarkStart w:id="323" w:name="_Toc264969240"/>
      <w:bookmarkStart w:id="324" w:name="_Toc150509301"/>
      <w:bookmarkStart w:id="325" w:name="_Toc151193720"/>
      <w:bookmarkStart w:id="326" w:name="_Toc127161464"/>
      <w:bookmarkStart w:id="327" w:name="_Toc226309794"/>
      <w:r>
        <w:rPr>
          <w:rFonts w:hint="eastAsia" w:ascii="宋体" w:hAnsi="宋体" w:eastAsia="宋体" w:cs="宋体"/>
          <w:b/>
          <w:bCs/>
          <w:color w:val="000000" w:themeColor="text1"/>
          <w:sz w:val="24"/>
          <w:szCs w:val="24"/>
          <w14:textFill>
            <w14:solidFill>
              <w14:schemeClr w14:val="tx1"/>
            </w14:solidFill>
          </w14:textFill>
        </w:rPr>
        <w:t>签订合同</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32.1  </w:t>
      </w:r>
      <w:r>
        <w:rPr>
          <w:rFonts w:hint="eastAsia" w:ascii="宋体" w:hAnsi="宋体" w:eastAsia="宋体" w:cs="宋体"/>
          <w:color w:val="000000" w:themeColor="text1"/>
          <w:sz w:val="24"/>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32.2  中标人拒绝与采购人签订合同的，采购人可以按照评标报告推荐的中标候选人名单排序，确定下一候选人为中标人，也可以重新开展政府采购活动。</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32.3  </w:t>
      </w:r>
      <w:r>
        <w:rPr>
          <w:rFonts w:hint="eastAsia" w:ascii="宋体" w:hAnsi="宋体" w:eastAsia="宋体" w:cs="宋体"/>
          <w:color w:val="000000" w:themeColor="text1"/>
          <w:sz w:val="24"/>
          <w14:textFill>
            <w14:solidFill>
              <w14:schemeClr w14:val="tx1"/>
            </w14:solidFill>
          </w14:textFill>
        </w:rPr>
        <w:t>招标文件、招标文件的修改和澄清文件、中标人的投标文件及其澄清文件、中标通知书等，均为签订合同的依据。</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32.4  </w:t>
      </w:r>
      <w:r>
        <w:rPr>
          <w:rFonts w:hint="eastAsia" w:ascii="宋体" w:hAnsi="宋体" w:eastAsia="宋体" w:cs="宋体"/>
          <w:color w:val="000000" w:themeColor="text1"/>
          <w:sz w:val="24"/>
          <w14:textFill>
            <w14:solidFill>
              <w14:schemeClr w14:val="tx1"/>
            </w14:solidFill>
          </w14:textFill>
        </w:rPr>
        <w:t>政府采购合同不能转包。</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32.5  投标人依据办法享受扶持政策获得政府采购合同的，小微企业不得将合同分包给大中型企业，中型企业不得将合同分包给大型企业。</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32.6  政府采购合同签订后，中标人有义务告知采购代理机构并于5个工作日内至采购代理机构办理投标保证金退还手续。</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32.7  </w:t>
      </w:r>
      <w:r>
        <w:rPr>
          <w:rFonts w:hint="eastAsia" w:ascii="宋体" w:hAnsi="宋体" w:eastAsia="宋体" w:cs="宋体"/>
          <w:color w:val="000000" w:themeColor="text1"/>
          <w:sz w:val="24"/>
          <w14:textFill>
            <w14:solidFill>
              <w14:schemeClr w14:val="tx1"/>
            </w14:solidFill>
          </w14:textFill>
        </w:rPr>
        <w:t>联合体中标的，联合体各方应当共同与采购人签订合同，就中标项目向采购人承担连带责任。</w:t>
      </w:r>
    </w:p>
    <w:p>
      <w:pPr>
        <w:pStyle w:val="15"/>
        <w:snapToGrid w:val="0"/>
        <w:spacing w:line="360" w:lineRule="auto"/>
        <w:rPr>
          <w:rFonts w:hint="eastAsia" w:ascii="宋体" w:hAnsi="宋体" w:eastAsia="宋体" w:cs="宋体"/>
          <w:bCs/>
          <w:color w:val="000000" w:themeColor="text1"/>
          <w:sz w:val="24"/>
          <w14:textFill>
            <w14:solidFill>
              <w14:schemeClr w14:val="tx1"/>
            </w14:solidFill>
          </w14:textFill>
        </w:rPr>
      </w:pPr>
      <w:bookmarkStart w:id="328" w:name="_Toc445845761"/>
      <w:bookmarkStart w:id="329" w:name="_Toc445903428"/>
      <w:bookmarkStart w:id="330" w:name="_Toc445984961"/>
      <w:bookmarkStart w:id="331" w:name="_Toc445916591"/>
      <w:bookmarkStart w:id="332" w:name="_Toc1391"/>
      <w:bookmarkStart w:id="333" w:name="_Toc2647"/>
      <w:bookmarkStart w:id="334" w:name="_Toc8091"/>
      <w:bookmarkStart w:id="335" w:name="_Toc447223762"/>
      <w:r>
        <w:rPr>
          <w:rFonts w:hint="eastAsia" w:ascii="宋体" w:hAnsi="宋体" w:eastAsia="宋体" w:cs="宋体"/>
          <w:bCs/>
          <w:color w:val="000000" w:themeColor="text1"/>
          <w:sz w:val="24"/>
          <w14:textFill>
            <w14:solidFill>
              <w14:schemeClr w14:val="tx1"/>
            </w14:solidFill>
          </w14:textFill>
        </w:rPr>
        <w:t>32.8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cs="宋体"/>
          <w:b/>
          <w:bCs/>
          <w:color w:val="000000" w:themeColor="text1"/>
          <w:sz w:val="24"/>
          <w14:textFill>
            <w14:solidFill>
              <w14:schemeClr w14:val="tx1"/>
            </w14:solidFill>
          </w14:textFill>
        </w:rPr>
        <w:t>投标无效</w:t>
      </w:r>
      <w:r>
        <w:rPr>
          <w:rFonts w:hint="eastAsia" w:ascii="宋体" w:hAnsi="宋体" w:eastAsia="宋体" w:cs="宋体"/>
          <w:bCs/>
          <w:color w:val="000000" w:themeColor="text1"/>
          <w:sz w:val="24"/>
          <w14:textFill>
            <w14:solidFill>
              <w14:schemeClr w14:val="tx1"/>
            </w14:solidFill>
          </w14:textFill>
        </w:rPr>
        <w:t>。中标人就采购项目和分包项目向采购人负责，分包供应商就分包项目承担责任。</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33.  履约保证金</w:t>
      </w:r>
      <w:bookmarkEnd w:id="328"/>
      <w:bookmarkEnd w:id="329"/>
      <w:bookmarkEnd w:id="330"/>
      <w:bookmarkEnd w:id="331"/>
      <w:bookmarkEnd w:id="332"/>
      <w:bookmarkEnd w:id="333"/>
      <w:bookmarkEnd w:id="334"/>
      <w:bookmarkEnd w:id="335"/>
    </w:p>
    <w:p>
      <w:pPr>
        <w:pStyle w:val="15"/>
        <w:snapToGrid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中标人在合同签订后</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5</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none"/>
          <w:lang w:val="en-US" w:eastAsia="zh-CN"/>
          <w14:textFill>
            <w14:solidFill>
              <w14:schemeClr w14:val="tx1"/>
            </w14:solidFill>
          </w14:textFill>
        </w:rPr>
        <w:t>工作</w:t>
      </w:r>
      <w:r>
        <w:rPr>
          <w:rFonts w:hint="eastAsia" w:ascii="宋体" w:hAnsi="宋体" w:eastAsia="宋体" w:cs="宋体"/>
          <w:color w:val="000000" w:themeColor="text1"/>
          <w:sz w:val="24"/>
          <w14:textFill>
            <w14:solidFill>
              <w14:schemeClr w14:val="tx1"/>
            </w14:solidFill>
          </w14:textFill>
        </w:rPr>
        <w:t>日内，按招标文件中提供的履约保证金保函格式或采购人可以接受的其他形式向采购人提交</w:t>
      </w:r>
      <w:r>
        <w:rPr>
          <w:rFonts w:hint="eastAsia" w:ascii="宋体" w:hAnsi="宋体" w:eastAsia="宋体" w:cs="宋体"/>
          <w:b/>
          <w:bCs/>
          <w:color w:val="auto"/>
          <w:sz w:val="24"/>
          <w:szCs w:val="24"/>
          <w:u w:val="single"/>
        </w:rPr>
        <w:t>叁拾万元人民币</w:t>
      </w:r>
      <w:r>
        <w:rPr>
          <w:rFonts w:hint="eastAsia" w:ascii="宋体" w:hAnsi="宋体" w:eastAsia="宋体" w:cs="宋体"/>
          <w:b/>
          <w:bCs/>
          <w:color w:val="auto"/>
          <w:sz w:val="24"/>
          <w:szCs w:val="24"/>
          <w:u w:val="single"/>
          <w:lang w:bidi="en-US"/>
        </w:rPr>
        <w:t>(</w:t>
      </w:r>
      <w:r>
        <w:rPr>
          <w:rStyle w:val="460"/>
          <w:rFonts w:hint="eastAsia" w:ascii="宋体" w:hAnsi="宋体" w:eastAsia="宋体" w:cs="宋体"/>
          <w:b/>
          <w:bCs/>
          <w:color w:val="auto"/>
          <w:sz w:val="24"/>
          <w:szCs w:val="24"/>
          <w:u w:val="single"/>
          <w:lang w:eastAsia="zh-CN"/>
        </w:rPr>
        <w:t>¥</w:t>
      </w:r>
      <w:r>
        <w:rPr>
          <w:rFonts w:hint="eastAsia" w:ascii="宋体" w:hAnsi="宋体" w:eastAsia="宋体" w:cs="宋体"/>
          <w:b/>
          <w:bCs/>
          <w:color w:val="auto"/>
          <w:sz w:val="24"/>
          <w:szCs w:val="24"/>
          <w:u w:val="single"/>
          <w:lang w:val="en-US" w:bidi="en-US"/>
        </w:rPr>
        <w:t>30</w:t>
      </w:r>
      <w:r>
        <w:rPr>
          <w:rFonts w:hint="eastAsia" w:ascii="宋体" w:hAnsi="宋体" w:eastAsia="宋体" w:cs="宋体"/>
          <w:b/>
          <w:bCs/>
          <w:color w:val="auto"/>
          <w:sz w:val="24"/>
          <w:szCs w:val="24"/>
          <w:u w:val="single"/>
          <w:lang w:bidi="en-US"/>
        </w:rPr>
        <w:t>0000.00)</w:t>
      </w:r>
      <w:r>
        <w:rPr>
          <w:rFonts w:hint="eastAsia" w:ascii="宋体" w:hAnsi="宋体" w:eastAsia="宋体" w:cs="宋体"/>
          <w:color w:val="000000" w:themeColor="text1"/>
          <w:sz w:val="24"/>
          <w14:textFill>
            <w14:solidFill>
              <w14:schemeClr w14:val="tx1"/>
            </w14:solidFill>
          </w14:textFill>
        </w:rPr>
        <w:t>的履约保证金。</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336" w:name="_Toc12707"/>
      <w:bookmarkStart w:id="337" w:name="_Toc445984962"/>
      <w:bookmarkStart w:id="338" w:name="_Toc445903429"/>
      <w:bookmarkStart w:id="339" w:name="_Toc445916592"/>
      <w:bookmarkStart w:id="340" w:name="_Toc27681"/>
      <w:bookmarkStart w:id="341" w:name="_Toc445845762"/>
      <w:bookmarkStart w:id="342" w:name="_Toc447223763"/>
      <w:bookmarkStart w:id="343" w:name="_Toc26220"/>
      <w:r>
        <w:rPr>
          <w:rFonts w:hint="eastAsia" w:ascii="宋体" w:hAnsi="宋体" w:eastAsia="宋体" w:cs="宋体"/>
          <w:b/>
          <w:bCs/>
          <w:color w:val="000000" w:themeColor="text1"/>
          <w:sz w:val="24"/>
          <w:szCs w:val="24"/>
          <w14:textFill>
            <w14:solidFill>
              <w14:schemeClr w14:val="tx1"/>
            </w14:solidFill>
          </w14:textFill>
        </w:rPr>
        <w:t>34.  询问、质疑与</w:t>
      </w:r>
      <w:bookmarkEnd w:id="336"/>
      <w:bookmarkEnd w:id="337"/>
      <w:bookmarkEnd w:id="338"/>
      <w:bookmarkEnd w:id="339"/>
      <w:bookmarkEnd w:id="340"/>
      <w:bookmarkEnd w:id="341"/>
      <w:bookmarkEnd w:id="342"/>
      <w:bookmarkEnd w:id="343"/>
      <w:r>
        <w:rPr>
          <w:rFonts w:hint="eastAsia" w:ascii="宋体" w:hAnsi="宋体" w:eastAsia="宋体" w:cs="宋体"/>
          <w:b/>
          <w:bCs/>
          <w:color w:val="000000" w:themeColor="text1"/>
          <w:sz w:val="24"/>
          <w:szCs w:val="24"/>
          <w14:textFill>
            <w14:solidFill>
              <w14:schemeClr w14:val="tx1"/>
            </w14:solidFill>
          </w14:textFill>
        </w:rPr>
        <w:t>答复</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34.1  投标人对本次政府采购活动有疑问的，可以向采购人或采购代理机构提出询问或质疑。</w:t>
      </w:r>
    </w:p>
    <w:p>
      <w:pPr>
        <w:tabs>
          <w:tab w:val="left" w:pos="1080"/>
          <w:tab w:val="left" w:pos="1589"/>
          <w:tab w:val="left" w:pos="2014"/>
        </w:tabs>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34.2  询问</w:t>
      </w:r>
    </w:p>
    <w:p>
      <w:pPr>
        <w:tabs>
          <w:tab w:val="left" w:pos="1080"/>
          <w:tab w:val="left" w:pos="1589"/>
          <w:tab w:val="left" w:pos="2014"/>
        </w:tabs>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34.2.1  投标人对政府采购活动事项有疑问的，可依法提出询问，并按《投标人须知资料表》载明的形式送达采购人或采购代理机构。</w:t>
      </w:r>
    </w:p>
    <w:p>
      <w:pPr>
        <w:tabs>
          <w:tab w:val="left" w:pos="1080"/>
          <w:tab w:val="left" w:pos="1589"/>
          <w:tab w:val="left" w:pos="2014"/>
        </w:tabs>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34.2.2  采购人或采购代理机构对供应商依法提出的询问，在3个工作日内作出答复，但答复的内容不得涉及商业秘密。</w:t>
      </w:r>
    </w:p>
    <w:p>
      <w:pPr>
        <w:tabs>
          <w:tab w:val="left" w:pos="1080"/>
          <w:tab w:val="left" w:pos="1589"/>
          <w:tab w:val="left" w:pos="2014"/>
        </w:tabs>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34.3  质疑</w:t>
      </w:r>
    </w:p>
    <w:p>
      <w:pPr>
        <w:tabs>
          <w:tab w:val="left" w:pos="1080"/>
          <w:tab w:val="left" w:pos="1589"/>
          <w:tab w:val="left" w:pos="2014"/>
        </w:tabs>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34.3.1  投标人提出质疑的范围只限于招标文件、招标过程以及中标结果三个方面的事项。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逾期提出的质疑，采购单位及采购代理机构不予受理。</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34.3.2  投标人应按照财政部制定的《政府采购质疑函范本》格式（可从财政部官方网站下载）和《政府采购质疑和投诉办法》的要求，在法定质疑期内以书面形式提出质疑，法定质疑期内一次性提出针对同一采购程序环节的质疑，法定质疑期内针对同一采购程序环节再次提出的质疑，采购人、采购代理机构有权不予答复。</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34.3.3  投标人提出质疑时，应以书面形式向招标采购单位提交质疑函（原件）。详见中华人民共和国财政部令第94号。</w:t>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34.3.4  接收询问和质疑的联系部门、联系电话和通讯地址见《投标人须知资料表》。</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34.3.5  采购人或采购代理机构在收到书面质疑后7个工作日内作出答复，并以书面形式通知质疑投标人和其他有关投标人。</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344" w:name="_Toc447223764"/>
      <w:bookmarkStart w:id="345" w:name="_Toc20399"/>
      <w:bookmarkStart w:id="346" w:name="_Toc445903430"/>
      <w:bookmarkStart w:id="347" w:name="_Toc445984963"/>
      <w:bookmarkStart w:id="348" w:name="_Toc27755"/>
      <w:bookmarkStart w:id="349" w:name="_Toc445916593"/>
      <w:bookmarkStart w:id="350" w:name="_Toc19362"/>
      <w:bookmarkStart w:id="351" w:name="_Toc445845763"/>
      <w:r>
        <w:rPr>
          <w:rFonts w:hint="eastAsia" w:ascii="宋体" w:hAnsi="宋体" w:eastAsia="宋体" w:cs="宋体"/>
          <w:b/>
          <w:bCs/>
          <w:color w:val="000000" w:themeColor="text1"/>
          <w:sz w:val="24"/>
          <w:szCs w:val="24"/>
          <w14:textFill>
            <w14:solidFill>
              <w14:schemeClr w14:val="tx1"/>
            </w14:solidFill>
          </w14:textFill>
        </w:rPr>
        <w:t>35.  采购代理服务费</w:t>
      </w:r>
      <w:bookmarkEnd w:id="344"/>
      <w:bookmarkEnd w:id="345"/>
      <w:bookmarkEnd w:id="346"/>
      <w:bookmarkEnd w:id="347"/>
      <w:bookmarkEnd w:id="348"/>
      <w:bookmarkEnd w:id="349"/>
      <w:bookmarkEnd w:id="350"/>
      <w:bookmarkEnd w:id="351"/>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35.1  见《投标人须知资料表》规定。</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35.2  采购代理服务费以支票、汇票、电汇或现金方式支付。</w:t>
      </w:r>
    </w:p>
    <w:p>
      <w:pPr>
        <w:pStyle w:val="3"/>
        <w:spacing w:line="360" w:lineRule="auto"/>
        <w:rPr>
          <w:rFonts w:hint="eastAsia" w:ascii="宋体" w:hAnsi="宋体" w:eastAsia="宋体" w:cs="宋体"/>
          <w:color w:val="000000" w:themeColor="text1"/>
          <w:sz w:val="24"/>
          <w:szCs w:val="24"/>
          <w14:textFill>
            <w14:solidFill>
              <w14:schemeClr w14:val="tx1"/>
            </w14:solidFill>
          </w14:textFill>
        </w:rPr>
      </w:pPr>
      <w:bookmarkStart w:id="352" w:name="_Toc137744929"/>
      <w:bookmarkStart w:id="353" w:name="_Toc92789205"/>
      <w:bookmarkStart w:id="354" w:name="_Toc447223765"/>
      <w:bookmarkStart w:id="355" w:name="_Toc17916"/>
      <w:bookmarkStart w:id="356" w:name="_Toc142401506"/>
      <w:r>
        <w:rPr>
          <w:rFonts w:hint="eastAsia" w:ascii="宋体" w:hAnsi="宋体" w:eastAsia="宋体" w:cs="宋体"/>
          <w:color w:val="000000" w:themeColor="text1"/>
          <w:sz w:val="24"/>
          <w:szCs w:val="24"/>
          <w14:textFill>
            <w14:solidFill>
              <w14:schemeClr w14:val="tx1"/>
            </w14:solidFill>
          </w14:textFill>
        </w:rPr>
        <w:t>（八）纪律和监督</w:t>
      </w:r>
      <w:bookmarkEnd w:id="352"/>
      <w:bookmarkEnd w:id="353"/>
      <w:bookmarkEnd w:id="354"/>
      <w:bookmarkEnd w:id="355"/>
      <w:bookmarkEnd w:id="356"/>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357" w:name="_Toc152042351"/>
      <w:bookmarkStart w:id="358" w:name="_Toc152045575"/>
      <w:bookmarkStart w:id="359" w:name="_Toc179632593"/>
      <w:bookmarkStart w:id="360" w:name="_Toc415098519"/>
      <w:bookmarkStart w:id="361" w:name="_Toc144974543"/>
      <w:bookmarkStart w:id="362" w:name="_Toc233102539"/>
      <w:r>
        <w:rPr>
          <w:rFonts w:hint="eastAsia" w:ascii="宋体" w:hAnsi="宋体" w:eastAsia="宋体" w:cs="宋体"/>
          <w:b/>
          <w:bCs/>
          <w:color w:val="000000" w:themeColor="text1"/>
          <w:sz w:val="24"/>
          <w:szCs w:val="24"/>
          <w14:textFill>
            <w14:solidFill>
              <w14:schemeClr w14:val="tx1"/>
            </w14:solidFill>
          </w14:textFill>
        </w:rPr>
        <w:t>36.  对采购人、投标人、评委会成员及有关工作人员的纪律要求</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36.1  对采购人的纪律要求</w:t>
      </w:r>
      <w:bookmarkEnd w:id="357"/>
      <w:bookmarkEnd w:id="358"/>
      <w:bookmarkEnd w:id="359"/>
      <w:bookmarkEnd w:id="360"/>
      <w:bookmarkEnd w:id="361"/>
      <w:bookmarkEnd w:id="362"/>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采购人不得泄露招标投标活动中应当保密的情况和资料，不得与投标人串通损害国家利益、社会公共利益或者他人合法权益。</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bookmarkStart w:id="363" w:name="_Toc152045576"/>
      <w:bookmarkStart w:id="364" w:name="_Toc233102540"/>
      <w:bookmarkStart w:id="365" w:name="_Toc179632594"/>
      <w:bookmarkStart w:id="366" w:name="_Toc415098520"/>
      <w:bookmarkStart w:id="367" w:name="_Toc144974544"/>
      <w:bookmarkStart w:id="368" w:name="_Toc152042352"/>
      <w:r>
        <w:rPr>
          <w:rFonts w:hint="eastAsia" w:ascii="宋体" w:hAnsi="宋体" w:eastAsia="宋体" w:cs="宋体"/>
          <w:color w:val="000000" w:themeColor="text1"/>
          <w:sz w:val="24"/>
          <w14:textFill>
            <w14:solidFill>
              <w14:schemeClr w14:val="tx1"/>
            </w14:solidFill>
          </w14:textFill>
        </w:rPr>
        <w:t>36.2  对投标人的纪律要求</w:t>
      </w:r>
      <w:bookmarkEnd w:id="363"/>
      <w:bookmarkEnd w:id="364"/>
      <w:bookmarkEnd w:id="365"/>
      <w:bookmarkEnd w:id="366"/>
      <w:bookmarkEnd w:id="367"/>
      <w:bookmarkEnd w:id="368"/>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投标人不得相互串通投标或与采购人串通投标，不得向采购人或者评标委员会成员行贿谋取中标，不得以他人名义投标或者以其他方式弄虚作假骗取中标；投标人不得以任何方式干扰、影响评标工作。</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bookmarkStart w:id="369" w:name="_Toc152042353"/>
      <w:bookmarkStart w:id="370" w:name="_Toc144974545"/>
      <w:bookmarkStart w:id="371" w:name="_Toc233102541"/>
      <w:bookmarkStart w:id="372" w:name="_Toc179632595"/>
      <w:bookmarkStart w:id="373" w:name="_Toc415098521"/>
      <w:bookmarkStart w:id="374" w:name="_Toc152045577"/>
      <w:r>
        <w:rPr>
          <w:rFonts w:hint="eastAsia" w:ascii="宋体" w:hAnsi="宋体" w:eastAsia="宋体" w:cs="宋体"/>
          <w:color w:val="000000" w:themeColor="text1"/>
          <w:sz w:val="24"/>
          <w14:textFill>
            <w14:solidFill>
              <w14:schemeClr w14:val="tx1"/>
            </w14:solidFill>
          </w14:textFill>
        </w:rPr>
        <w:t>36.3  对评标委员会成员的纪律要求</w:t>
      </w:r>
      <w:bookmarkEnd w:id="369"/>
      <w:bookmarkEnd w:id="370"/>
      <w:bookmarkEnd w:id="371"/>
      <w:bookmarkEnd w:id="372"/>
      <w:bookmarkEnd w:id="373"/>
      <w:bookmarkEnd w:id="374"/>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六章《评标程序、评标方法和评标标准》没有规定的评审因素和标准进行评标。</w:t>
      </w:r>
    </w:p>
    <w:p>
      <w:pPr>
        <w:pStyle w:val="15"/>
        <w:snapToGrid w:val="0"/>
        <w:spacing w:line="360" w:lineRule="auto"/>
        <w:rPr>
          <w:rFonts w:hint="eastAsia" w:ascii="宋体" w:hAnsi="宋体" w:eastAsia="宋体" w:cs="宋体"/>
          <w:color w:val="000000" w:themeColor="text1"/>
          <w:sz w:val="24"/>
          <w14:textFill>
            <w14:solidFill>
              <w14:schemeClr w14:val="tx1"/>
            </w14:solidFill>
          </w14:textFill>
        </w:rPr>
      </w:pPr>
      <w:bookmarkStart w:id="375" w:name="_Toc233102542"/>
      <w:bookmarkStart w:id="376" w:name="_Toc152042354"/>
      <w:bookmarkStart w:id="377" w:name="_Toc415098522"/>
      <w:bookmarkStart w:id="378" w:name="_Toc179632596"/>
      <w:bookmarkStart w:id="379" w:name="_Toc152045578"/>
      <w:bookmarkStart w:id="380" w:name="_Toc144974546"/>
      <w:r>
        <w:rPr>
          <w:rFonts w:hint="eastAsia" w:ascii="宋体" w:hAnsi="宋体" w:eastAsia="宋体" w:cs="宋体"/>
          <w:color w:val="000000" w:themeColor="text1"/>
          <w:sz w:val="24"/>
          <w14:textFill>
            <w14:solidFill>
              <w14:schemeClr w14:val="tx1"/>
            </w14:solidFill>
          </w14:textFill>
        </w:rPr>
        <w:t>36.4  对与评标活动有关的工作人员的纪律要求</w:t>
      </w:r>
      <w:bookmarkEnd w:id="375"/>
      <w:bookmarkEnd w:id="376"/>
      <w:bookmarkEnd w:id="377"/>
      <w:bookmarkEnd w:id="378"/>
      <w:bookmarkEnd w:id="379"/>
    </w:p>
    <w:p>
      <w:pPr>
        <w:pStyle w:val="15"/>
        <w:snapToGrid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81" w:name="_Toc152042355"/>
      <w:r>
        <w:rPr>
          <w:rFonts w:hint="eastAsia" w:ascii="宋体" w:hAnsi="宋体" w:eastAsia="宋体" w:cs="宋体"/>
          <w:color w:val="000000" w:themeColor="text1"/>
          <w:sz w:val="24"/>
          <w14:textFill>
            <w14:solidFill>
              <w14:schemeClr w14:val="tx1"/>
            </w14:solidFill>
          </w14:textFill>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bookmarkEnd w:id="381"/>
    </w:p>
    <w:p>
      <w:pPr>
        <w:widowControl/>
        <w:spacing w:line="360" w:lineRule="auto"/>
        <w:jc w:val="left"/>
        <w:rPr>
          <w:rFonts w:hint="eastAsia" w:ascii="宋体" w:hAnsi="宋体" w:eastAsia="宋体" w:cs="宋体"/>
          <w:b/>
          <w:bCs/>
          <w:color w:val="000000" w:themeColor="text1"/>
          <w:sz w:val="30"/>
          <w:szCs w:val="30"/>
          <w14:textFill>
            <w14:solidFill>
              <w14:schemeClr w14:val="tx1"/>
            </w14:solidFill>
          </w14:textFill>
        </w:rPr>
      </w:pPr>
      <w:bookmarkStart w:id="382" w:name="_Toc5453"/>
      <w:r>
        <w:rPr>
          <w:rFonts w:hint="eastAsia" w:ascii="宋体" w:hAnsi="宋体" w:eastAsia="宋体" w:cs="宋体"/>
          <w:color w:val="000000" w:themeColor="text1"/>
          <w:sz w:val="30"/>
          <w:szCs w:val="30"/>
          <w14:textFill>
            <w14:solidFill>
              <w14:schemeClr w14:val="tx1"/>
            </w14:solidFill>
          </w14:textFill>
        </w:rPr>
        <w:br w:type="page"/>
      </w:r>
    </w:p>
    <w:p>
      <w:pPr>
        <w:pStyle w:val="43"/>
        <w:spacing w:line="360" w:lineRule="auto"/>
        <w:rPr>
          <w:rFonts w:hint="eastAsia" w:ascii="宋体" w:hAnsi="宋体" w:eastAsia="宋体" w:cs="宋体"/>
          <w:color w:val="000000" w:themeColor="text1"/>
          <w:sz w:val="24"/>
          <w:szCs w:val="24"/>
          <w14:textFill>
            <w14:solidFill>
              <w14:schemeClr w14:val="tx1"/>
            </w14:solidFill>
          </w14:textFill>
        </w:rPr>
      </w:pPr>
      <w:bookmarkStart w:id="383" w:name="_Toc142401507"/>
      <w:r>
        <w:rPr>
          <w:rFonts w:hint="eastAsia" w:ascii="宋体" w:hAnsi="宋体" w:eastAsia="宋体" w:cs="宋体"/>
          <w:color w:val="000000" w:themeColor="text1"/>
          <w:sz w:val="30"/>
          <w:szCs w:val="30"/>
          <w14:textFill>
            <w14:solidFill>
              <w14:schemeClr w14:val="tx1"/>
            </w14:solidFill>
          </w14:textFill>
        </w:rPr>
        <w:t xml:space="preserve">第三章  </w:t>
      </w:r>
      <w:bookmarkEnd w:id="382"/>
      <w:r>
        <w:rPr>
          <w:rFonts w:hint="eastAsia" w:ascii="宋体" w:hAnsi="宋体" w:eastAsia="宋体" w:cs="宋体"/>
          <w:color w:val="000000" w:themeColor="text1"/>
          <w:sz w:val="30"/>
          <w:szCs w:val="30"/>
          <w14:textFill>
            <w14:solidFill>
              <w14:schemeClr w14:val="tx1"/>
            </w14:solidFill>
          </w14:textFill>
        </w:rPr>
        <w:t>拟定签订的合同文本</w:t>
      </w:r>
      <w:bookmarkEnd w:id="383"/>
    </w:p>
    <w:p>
      <w:pPr>
        <w:spacing w:after="240" w:afterLines="100" w:line="440" w:lineRule="atLeast"/>
        <w:jc w:val="center"/>
        <w:rPr>
          <w:rFonts w:hint="eastAsia" w:ascii="宋体" w:hAnsi="宋体" w:eastAsia="宋体" w:cs="宋体"/>
          <w:b/>
          <w:color w:val="000000" w:themeColor="text1"/>
          <w:sz w:val="28"/>
          <w:szCs w:val="28"/>
          <w14:textFill>
            <w14:solidFill>
              <w14:schemeClr w14:val="tx1"/>
            </w14:solidFill>
          </w14:textFill>
        </w:rPr>
      </w:pPr>
    </w:p>
    <w:p>
      <w:pPr>
        <w:pStyle w:val="459"/>
        <w:shd w:val="clear" w:color="auto" w:fill="auto"/>
        <w:snapToGrid w:val="0"/>
        <w:spacing w:before="0" w:after="0" w:line="360" w:lineRule="auto"/>
        <w:ind w:firstLine="0"/>
        <w:jc w:val="center"/>
        <w:rPr>
          <w:rFonts w:hint="eastAsia" w:ascii="宋体" w:hAnsi="宋体" w:eastAsia="宋体" w:cs="宋体"/>
          <w:b/>
          <w:color w:val="auto"/>
          <w:sz w:val="28"/>
          <w:szCs w:val="28"/>
        </w:rPr>
      </w:pPr>
      <w:bookmarkStart w:id="384" w:name="_Hlt487972895"/>
      <w:bookmarkEnd w:id="384"/>
      <w:bookmarkStart w:id="385" w:name="bookmark1"/>
      <w:bookmarkStart w:id="386" w:name="_Toc25532"/>
      <w:r>
        <w:rPr>
          <w:rFonts w:hint="eastAsia" w:ascii="宋体" w:hAnsi="宋体" w:eastAsia="宋体" w:cs="宋体"/>
          <w:b/>
          <w:color w:val="auto"/>
          <w:sz w:val="28"/>
          <w:szCs w:val="28"/>
        </w:rPr>
        <w:t>餐饮服务协议书</w:t>
      </w:r>
      <w:bookmarkEnd w:id="385"/>
    </w:p>
    <w:p>
      <w:pPr>
        <w:pStyle w:val="459"/>
        <w:shd w:val="clear" w:color="auto" w:fill="auto"/>
        <w:snapToGrid w:val="0"/>
        <w:spacing w:before="0" w:after="0" w:line="360" w:lineRule="auto"/>
        <w:ind w:right="4200"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w:t>
      </w: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rPr>
      </w:pPr>
      <w:r>
        <w:rPr>
          <w:rFonts w:hint="eastAsia" w:ascii="宋体" w:hAnsi="宋体" w:eastAsia="宋体" w:cs="宋体"/>
          <w:color w:val="auto"/>
          <w:sz w:val="24"/>
          <w:szCs w:val="24"/>
        </w:rPr>
        <w:t>地址：</w:t>
      </w: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电话/传真： </w:t>
      </w: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rPr>
      </w:pPr>
      <w:r>
        <w:rPr>
          <w:rFonts w:hint="eastAsia" w:ascii="宋体" w:hAnsi="宋体" w:eastAsia="宋体" w:cs="宋体"/>
          <w:color w:val="auto"/>
          <w:sz w:val="24"/>
          <w:szCs w:val="24"/>
        </w:rPr>
        <w:t>电子邮件：</w:t>
      </w: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lang w:val="en-US"/>
        </w:rPr>
      </w:pPr>
      <w:r>
        <w:rPr>
          <w:rStyle w:val="453"/>
          <w:rFonts w:hint="eastAsia" w:ascii="宋体" w:hAnsi="宋体" w:eastAsia="宋体" w:cs="宋体"/>
          <w:color w:val="auto"/>
          <w:sz w:val="24"/>
          <w:szCs w:val="24"/>
        </w:rPr>
        <w:t>户名、账号、开户行</w:t>
      </w:r>
      <w:r>
        <w:rPr>
          <w:rStyle w:val="453"/>
          <w:rFonts w:hint="eastAsia" w:ascii="宋体" w:hAnsi="宋体" w:eastAsia="宋体" w:cs="宋体"/>
          <w:color w:val="auto"/>
          <w:sz w:val="24"/>
          <w:szCs w:val="24"/>
          <w:lang w:val="en-US"/>
        </w:rPr>
        <w:t>：</w:t>
      </w: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rPr>
      </w:pP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rPr>
      </w:pP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 </w:t>
      </w: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p>
      <w:pPr>
        <w:pStyle w:val="459"/>
        <w:shd w:val="clear" w:color="auto" w:fill="auto"/>
        <w:snapToGrid w:val="0"/>
        <w:spacing w:before="0" w:after="0" w:line="360" w:lineRule="auto"/>
        <w:ind w:right="2440" w:firstLine="0"/>
        <w:rPr>
          <w:rFonts w:hint="eastAsia" w:ascii="宋体" w:hAnsi="宋体" w:eastAsia="宋体" w:cs="宋体"/>
          <w:color w:val="auto"/>
          <w:sz w:val="24"/>
          <w:szCs w:val="24"/>
        </w:rPr>
      </w:pPr>
      <w:r>
        <w:rPr>
          <w:rFonts w:hint="eastAsia" w:ascii="宋体" w:hAnsi="宋体" w:eastAsia="宋体" w:cs="宋体"/>
          <w:color w:val="auto"/>
          <w:sz w:val="24"/>
          <w:szCs w:val="24"/>
        </w:rPr>
        <w:t>地址：</w:t>
      </w:r>
    </w:p>
    <w:p>
      <w:pPr>
        <w:pStyle w:val="459"/>
        <w:shd w:val="clear" w:color="auto" w:fill="auto"/>
        <w:snapToGrid w:val="0"/>
        <w:spacing w:before="0" w:after="0" w:line="360" w:lineRule="auto"/>
        <w:ind w:right="2440" w:firstLine="0"/>
        <w:rPr>
          <w:rFonts w:hint="eastAsia" w:ascii="宋体" w:hAnsi="宋体" w:eastAsia="宋体" w:cs="宋体"/>
          <w:color w:val="auto"/>
          <w:sz w:val="24"/>
          <w:szCs w:val="24"/>
        </w:rPr>
      </w:pPr>
      <w:r>
        <w:rPr>
          <w:rFonts w:hint="eastAsia" w:ascii="宋体" w:hAnsi="宋体" w:eastAsia="宋体" w:cs="宋体"/>
          <w:color w:val="auto"/>
          <w:sz w:val="24"/>
          <w:szCs w:val="24"/>
        </w:rPr>
        <w:t>电话/传真：</w:t>
      </w:r>
    </w:p>
    <w:p>
      <w:pPr>
        <w:pStyle w:val="459"/>
        <w:shd w:val="clear" w:color="auto" w:fill="auto"/>
        <w:snapToGrid w:val="0"/>
        <w:spacing w:before="0" w:after="0"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rPr>
        <w:t>电子邮件：</w:t>
      </w:r>
    </w:p>
    <w:p>
      <w:pPr>
        <w:pStyle w:val="459"/>
        <w:shd w:val="clear" w:color="auto" w:fill="auto"/>
        <w:snapToGrid w:val="0"/>
        <w:spacing w:before="0" w:after="0" w:line="360" w:lineRule="auto"/>
        <w:ind w:right="4200" w:firstLine="0"/>
        <w:rPr>
          <w:rFonts w:hint="eastAsia" w:ascii="宋体" w:hAnsi="宋体" w:eastAsia="宋体" w:cs="宋体"/>
          <w:color w:val="auto"/>
          <w:sz w:val="24"/>
          <w:szCs w:val="24"/>
          <w:lang w:val="en-US"/>
        </w:rPr>
      </w:pPr>
      <w:r>
        <w:rPr>
          <w:rStyle w:val="453"/>
          <w:rFonts w:hint="eastAsia" w:ascii="宋体" w:hAnsi="宋体" w:eastAsia="宋体" w:cs="宋体"/>
          <w:color w:val="auto"/>
          <w:sz w:val="24"/>
          <w:szCs w:val="24"/>
        </w:rPr>
        <w:t>户名、账号、开户行</w:t>
      </w:r>
      <w:r>
        <w:rPr>
          <w:rStyle w:val="453"/>
          <w:rFonts w:hint="eastAsia" w:ascii="宋体" w:hAnsi="宋体" w:eastAsia="宋体" w:cs="宋体"/>
          <w:color w:val="auto"/>
          <w:sz w:val="24"/>
          <w:szCs w:val="24"/>
          <w:lang w:val="en-US"/>
        </w:rPr>
        <w:t>：</w:t>
      </w:r>
    </w:p>
    <w:p>
      <w:pPr>
        <w:pStyle w:val="459"/>
        <w:shd w:val="clear" w:color="auto" w:fill="auto"/>
        <w:snapToGrid w:val="0"/>
        <w:spacing w:before="0" w:after="0" w:line="360" w:lineRule="auto"/>
        <w:ind w:firstLine="0"/>
        <w:rPr>
          <w:rFonts w:hint="eastAsia" w:ascii="宋体" w:hAnsi="宋体" w:eastAsia="宋体" w:cs="宋体"/>
          <w:color w:val="auto"/>
          <w:sz w:val="24"/>
          <w:szCs w:val="24"/>
        </w:rPr>
      </w:pPr>
    </w:p>
    <w:p>
      <w:pPr>
        <w:pStyle w:val="459"/>
        <w:shd w:val="clear" w:color="auto" w:fill="auto"/>
        <w:snapToGrid w:val="0"/>
        <w:spacing w:before="0" w:after="0" w:line="360" w:lineRule="auto"/>
        <w:ind w:firstLine="680"/>
        <w:rPr>
          <w:rFonts w:hint="eastAsia" w:ascii="宋体" w:hAnsi="宋体" w:eastAsia="宋体" w:cs="宋体"/>
          <w:color w:val="auto"/>
          <w:sz w:val="24"/>
          <w:szCs w:val="24"/>
        </w:rPr>
      </w:pPr>
      <w:r>
        <w:rPr>
          <w:rFonts w:hint="eastAsia" w:ascii="宋体" w:hAnsi="宋体" w:eastAsia="宋体" w:cs="宋体"/>
          <w:color w:val="auto"/>
          <w:sz w:val="24"/>
          <w:szCs w:val="24"/>
        </w:rPr>
        <w:t>甲、乙双方在平等、自愿基础上，经友好协商，</w:t>
      </w:r>
      <w:r>
        <w:rPr>
          <w:rFonts w:hint="eastAsia" w:ascii="宋体" w:hAnsi="宋体" w:eastAsia="宋体" w:cs="宋体"/>
          <w:sz w:val="24"/>
          <w:lang w:val="zh-TW" w:eastAsia="zh-TW"/>
        </w:rPr>
        <w:t>根据《中华人民共和国民法典（合同编）》、《中华人民共和国食品</w:t>
      </w:r>
      <w:r>
        <w:rPr>
          <w:rFonts w:hint="eastAsia" w:ascii="宋体" w:hAnsi="宋体" w:eastAsia="宋体" w:cs="宋体"/>
          <w:sz w:val="24"/>
          <w:lang w:val="en-US" w:eastAsia="zh-Hans"/>
        </w:rPr>
        <w:t>安全</w:t>
      </w:r>
      <w:r>
        <w:rPr>
          <w:rFonts w:hint="eastAsia" w:ascii="宋体" w:hAnsi="宋体" w:eastAsia="宋体" w:cs="宋体"/>
          <w:sz w:val="24"/>
          <w:lang w:val="zh-TW" w:eastAsia="zh-TW"/>
        </w:rPr>
        <w:t>法》及其他有关法律、法规，</w:t>
      </w:r>
      <w:r>
        <w:rPr>
          <w:rFonts w:hint="eastAsia" w:ascii="宋体" w:hAnsi="宋体" w:eastAsia="宋体" w:cs="宋体"/>
          <w:color w:val="auto"/>
          <w:sz w:val="24"/>
          <w:szCs w:val="24"/>
        </w:rPr>
        <w:t>现就甲方西城院区职工食堂委托给 乙方经营管理事宜达成如下协议：</w:t>
      </w:r>
    </w:p>
    <w:p>
      <w:pPr>
        <w:pStyle w:val="455"/>
        <w:shd w:val="clear" w:color="auto" w:fill="auto"/>
        <w:snapToGrid w:val="0"/>
        <w:spacing w:after="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一、委托服务场地及期限</w:t>
      </w:r>
    </w:p>
    <w:p>
      <w:pPr>
        <w:pStyle w:val="459"/>
        <w:shd w:val="clear" w:color="auto" w:fill="auto"/>
        <w:snapToGrid w:val="0"/>
        <w:spacing w:before="0" w:after="0" w:line="360" w:lineRule="auto"/>
        <w:ind w:firstLine="540"/>
        <w:rPr>
          <w:rFonts w:hint="eastAsia" w:ascii="宋体" w:hAnsi="宋体" w:eastAsia="宋体" w:cs="宋体"/>
          <w:color w:val="000000" w:themeColor="text1"/>
          <w:sz w:val="24"/>
          <w:szCs w:val="24"/>
          <w:highlight w:val="cyan"/>
          <w14:textFill>
            <w14:solidFill>
              <w14:schemeClr w14:val="tx1"/>
            </w14:solidFill>
          </w14:textFill>
        </w:rPr>
      </w:pPr>
      <w:r>
        <w:rPr>
          <w:rFonts w:hint="eastAsia" w:ascii="宋体" w:hAnsi="宋体" w:eastAsia="宋体" w:cs="宋体"/>
          <w:color w:val="auto"/>
          <w:sz w:val="24"/>
          <w:szCs w:val="24"/>
        </w:rPr>
        <w:t>甲方委托乙方对西城院区职工食堂经营管</w:t>
      </w:r>
      <w:r>
        <w:rPr>
          <w:rFonts w:hint="eastAsia" w:ascii="宋体" w:hAnsi="宋体" w:eastAsia="宋体" w:cs="宋体"/>
          <w:color w:val="000000" w:themeColor="text1"/>
          <w:sz w:val="24"/>
          <w:szCs w:val="24"/>
          <w14:textFill>
            <w14:solidFill>
              <w14:schemeClr w14:val="tx1"/>
            </w14:solidFill>
          </w14:textFill>
        </w:rPr>
        <w:t>理，时间从20</w:t>
      </w:r>
      <w:r>
        <w:rPr>
          <w:rFonts w:hint="eastAsia" w:ascii="宋体" w:hAnsi="宋体" w:eastAsia="宋体" w:cs="宋体"/>
          <w:color w:val="000000" w:themeColor="text1"/>
          <w:sz w:val="24"/>
          <w:szCs w:val="24"/>
          <w:lang w:val="en-US"/>
          <w14:textFill>
            <w14:solidFill>
              <w14:schemeClr w14:val="tx1"/>
            </w14:solidFill>
          </w14:textFill>
        </w:rPr>
        <w:t>24</w:t>
      </w:r>
      <w:r>
        <w:rPr>
          <w:rFonts w:hint="eastAsia" w:ascii="宋体" w:hAnsi="宋体" w:eastAsia="宋体" w:cs="宋体"/>
          <w:color w:val="000000" w:themeColor="text1"/>
          <w:sz w:val="24"/>
          <w:szCs w:val="24"/>
          <w14:textFill>
            <w14:solidFill>
              <w14:schemeClr w14:val="tx1"/>
            </w14:solidFill>
          </w14:textFill>
        </w:rPr>
        <w:t>年  月  日起至202</w:t>
      </w:r>
      <w:r>
        <w:rPr>
          <w:rFonts w:hint="eastAsia" w:ascii="宋体" w:hAnsi="宋体" w:eastAsia="宋体" w:cs="宋体"/>
          <w:color w:val="000000" w:themeColor="text1"/>
          <w:sz w:val="24"/>
          <w:szCs w:val="24"/>
          <w:lang w:val="en-US"/>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年  月 日止。</w:t>
      </w:r>
    </w:p>
    <w:p>
      <w:pPr>
        <w:pStyle w:val="459"/>
        <w:shd w:val="clear" w:color="auto" w:fill="auto"/>
        <w:snapToGrid w:val="0"/>
        <w:spacing w:before="0" w:after="0" w:line="360" w:lineRule="auto"/>
        <w:ind w:firstLine="5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为满足甲方就餐人员的需求，乙方供应方式以</w:t>
      </w:r>
      <w:r>
        <w:rPr>
          <w:rFonts w:hint="eastAsia" w:ascii="宋体" w:hAnsi="宋体" w:eastAsia="宋体" w:cs="宋体"/>
          <w:color w:val="000000" w:themeColor="text1"/>
          <w:sz w:val="24"/>
          <w:szCs w:val="24"/>
          <w:lang w:val="en-US"/>
          <w14:textFill>
            <w14:solidFill>
              <w14:schemeClr w14:val="tx1"/>
            </w14:solidFill>
          </w14:textFill>
        </w:rPr>
        <w:t>自由选餐、电话订餐、送餐为主，为</w:t>
      </w:r>
      <w:r>
        <w:rPr>
          <w:rFonts w:hint="eastAsia" w:ascii="宋体" w:hAnsi="宋体" w:eastAsia="宋体" w:cs="宋体"/>
          <w:color w:val="000000" w:themeColor="text1"/>
          <w:sz w:val="24"/>
          <w14:textFill>
            <w14:solidFill>
              <w14:schemeClr w14:val="tx1"/>
            </w14:solidFill>
          </w14:textFill>
        </w:rPr>
        <w:t>普通餐、清真餐、风味餐等</w:t>
      </w:r>
      <w:r>
        <w:rPr>
          <w:rFonts w:hint="eastAsia" w:ascii="宋体" w:hAnsi="宋体" w:eastAsia="宋体" w:cs="宋体"/>
          <w:color w:val="000000" w:themeColor="text1"/>
          <w:sz w:val="24"/>
          <w:szCs w:val="24"/>
          <w14:textFill>
            <w14:solidFill>
              <w14:schemeClr w14:val="tx1"/>
            </w14:solidFill>
          </w14:textFill>
        </w:rPr>
        <w:t>。</w:t>
      </w:r>
    </w:p>
    <w:p>
      <w:pPr>
        <w:spacing w:line="360" w:lineRule="auto"/>
        <w:rPr>
          <w:rFonts w:hint="eastAsia" w:ascii="宋体" w:hAnsi="宋体" w:eastAsia="宋体" w:cs="宋体"/>
          <w:kern w:val="0"/>
          <w:sz w:val="24"/>
          <w:szCs w:val="24"/>
          <w:lang w:bidi="zh-CN"/>
        </w:rPr>
      </w:pPr>
      <w:r>
        <w:rPr>
          <w:rFonts w:hint="eastAsia" w:ascii="宋体" w:hAnsi="宋体" w:eastAsia="宋体" w:cs="宋体"/>
          <w:sz w:val="24"/>
          <w:szCs w:val="24"/>
        </w:rPr>
        <w:t>1、</w:t>
      </w:r>
      <w:r>
        <w:rPr>
          <w:rFonts w:hint="eastAsia" w:ascii="宋体" w:hAnsi="宋体" w:eastAsia="宋体" w:cs="宋体"/>
          <w:sz w:val="24"/>
          <w:szCs w:val="24"/>
        </w:rPr>
        <w:tab/>
      </w:r>
      <w:r>
        <w:rPr>
          <w:rFonts w:hint="eastAsia" w:ascii="宋体" w:hAnsi="宋体" w:eastAsia="宋体" w:cs="宋体"/>
          <w:sz w:val="24"/>
          <w:szCs w:val="24"/>
        </w:rPr>
        <w:t>早餐：</w:t>
      </w:r>
      <w:r>
        <w:rPr>
          <w:rFonts w:hint="eastAsia" w:ascii="宋体" w:hAnsi="宋体" w:eastAsia="宋体" w:cs="宋体"/>
          <w:kern w:val="0"/>
          <w:sz w:val="24"/>
          <w:szCs w:val="24"/>
          <w:lang w:bidi="zh-CN"/>
        </w:rPr>
        <w:t>主食不少于15种，杂粮2种，流食5种，蛋类2种，奶制品1种，（5元不少于5种，3元不少于8种，5元以上2种）免费咸菜2种。</w:t>
      </w:r>
    </w:p>
    <w:p>
      <w:pPr>
        <w:spacing w:line="360" w:lineRule="auto"/>
        <w:rPr>
          <w:rFonts w:hint="eastAsia" w:ascii="宋体" w:hAnsi="宋体" w:eastAsia="宋体" w:cs="宋体"/>
          <w:sz w:val="52"/>
          <w:szCs w:val="52"/>
        </w:rPr>
      </w:pPr>
      <w:r>
        <w:rPr>
          <w:rFonts w:hint="eastAsia" w:ascii="宋体" w:hAnsi="宋体" w:eastAsia="宋体" w:cs="宋体"/>
          <w:sz w:val="24"/>
          <w:szCs w:val="24"/>
        </w:rPr>
        <w:t>2、</w:t>
      </w:r>
      <w:r>
        <w:rPr>
          <w:rFonts w:hint="eastAsia" w:ascii="宋体" w:hAnsi="宋体" w:eastAsia="宋体" w:cs="宋体"/>
          <w:sz w:val="24"/>
          <w:szCs w:val="24"/>
        </w:rPr>
        <w:tab/>
      </w:r>
      <w:r>
        <w:rPr>
          <w:rFonts w:hint="eastAsia" w:ascii="宋体" w:hAnsi="宋体" w:eastAsia="宋体" w:cs="宋体"/>
          <w:sz w:val="24"/>
          <w:szCs w:val="24"/>
        </w:rPr>
        <w:t>午餐：</w:t>
      </w:r>
      <w:r>
        <w:rPr>
          <w:rFonts w:hint="eastAsia" w:ascii="宋体" w:hAnsi="宋体" w:eastAsia="宋体" w:cs="宋体"/>
          <w:kern w:val="0"/>
          <w:sz w:val="24"/>
          <w:szCs w:val="24"/>
          <w:lang w:bidi="zh-CN"/>
        </w:rPr>
        <w:t>主食不少于10种，杂粮2种，免费汤粥1种，热菜不少于15种（20元荤菜不少于3种，15元荤菜不少于5种，10元荤菜不少于4种，8元素菜不少于3种）。</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rPr>
        <w:tab/>
      </w:r>
      <w:r>
        <w:rPr>
          <w:rFonts w:hint="eastAsia" w:ascii="宋体" w:hAnsi="宋体" w:eastAsia="宋体" w:cs="宋体"/>
          <w:sz w:val="24"/>
          <w:szCs w:val="24"/>
        </w:rPr>
        <w:t>晚餐：</w:t>
      </w:r>
      <w:r>
        <w:rPr>
          <w:rFonts w:hint="eastAsia" w:ascii="宋体" w:hAnsi="宋体" w:eastAsia="宋体" w:cs="宋体"/>
          <w:kern w:val="0"/>
          <w:sz w:val="24"/>
          <w:szCs w:val="24"/>
          <w:lang w:bidi="zh-CN"/>
        </w:rPr>
        <w:t>主食不少于5种，杂粮2种，免费汤粥1种，热菜不少于8种（20元荤菜2种，15元荤菜2种，10元荤菜2种，8元素菜2种）</w:t>
      </w:r>
      <w:r>
        <w:rPr>
          <w:rFonts w:hint="eastAsia" w:ascii="宋体" w:hAnsi="宋体" w:eastAsia="宋体" w:cs="宋体"/>
          <w:sz w:val="24"/>
          <w:szCs w:val="24"/>
        </w:rPr>
        <w:t>。</w:t>
      </w:r>
    </w:p>
    <w:p>
      <w:pPr>
        <w:pStyle w:val="459"/>
        <w:shd w:val="clear" w:color="auto" w:fill="auto"/>
        <w:tabs>
          <w:tab w:val="left" w:pos="397"/>
        </w:tabs>
        <w:snapToGrid w:val="0"/>
        <w:spacing w:before="0" w:after="0" w:line="360" w:lineRule="auto"/>
        <w:ind w:firstLine="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4、清真餐： 午餐：荤菜3种，素菜3种，主食4种，杂粮2种。</w:t>
      </w:r>
    </w:p>
    <w:p>
      <w:pPr>
        <w:pStyle w:val="459"/>
        <w:shd w:val="clear" w:color="auto" w:fill="auto"/>
        <w:tabs>
          <w:tab w:val="left" w:pos="397"/>
        </w:tabs>
        <w:snapToGrid w:val="0"/>
        <w:spacing w:before="0" w:after="0" w:line="360" w:lineRule="auto"/>
        <w:ind w:firstLine="1440" w:firstLineChars="60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晚餐：荤菜2种，素菜2种，主食3种，杂粮2种。</w:t>
      </w:r>
    </w:p>
    <w:p>
      <w:pPr>
        <w:pStyle w:val="459"/>
        <w:shd w:val="clear" w:color="auto" w:fill="auto"/>
        <w:tabs>
          <w:tab w:val="left" w:pos="397"/>
        </w:tabs>
        <w:snapToGrid w:val="0"/>
        <w:spacing w:before="0" w:after="0" w:line="360" w:lineRule="auto"/>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、一站式订餐：应急制作。</w:t>
      </w:r>
    </w:p>
    <w:p>
      <w:pPr>
        <w:pStyle w:val="459"/>
        <w:shd w:val="clear" w:color="auto" w:fill="auto"/>
        <w:snapToGrid w:val="0"/>
        <w:spacing w:before="0" w:after="0" w:line="360" w:lineRule="auto"/>
        <w:ind w:firstLine="540"/>
        <w:rPr>
          <w:rFonts w:hint="eastAsia" w:ascii="宋体" w:hAnsi="宋体" w:eastAsia="宋体" w:cs="宋体"/>
          <w:color w:val="auto"/>
          <w:sz w:val="24"/>
          <w:szCs w:val="24"/>
        </w:rPr>
      </w:pPr>
      <w:r>
        <w:rPr>
          <w:rFonts w:hint="eastAsia" w:ascii="宋体" w:hAnsi="宋体" w:eastAsia="宋体" w:cs="宋体"/>
          <w:color w:val="auto"/>
          <w:sz w:val="24"/>
          <w:szCs w:val="24"/>
        </w:rPr>
        <w:t>乙方保证在服务期间，每天按照以下时间为甲方提供早餐、午餐、晚餐等工作餐：</w:t>
      </w:r>
    </w:p>
    <w:tbl>
      <w:tblPr>
        <w:tblStyle w:val="45"/>
        <w:tblW w:w="8420" w:type="dxa"/>
        <w:jc w:val="center"/>
        <w:tblLayout w:type="fixed"/>
        <w:tblCellMar>
          <w:top w:w="0" w:type="dxa"/>
          <w:left w:w="10" w:type="dxa"/>
          <w:bottom w:w="0" w:type="dxa"/>
          <w:right w:w="10" w:type="dxa"/>
        </w:tblCellMar>
      </w:tblPr>
      <w:tblGrid>
        <w:gridCol w:w="2602"/>
        <w:gridCol w:w="3024"/>
        <w:gridCol w:w="2794"/>
      </w:tblGrid>
      <w:tr>
        <w:tblPrEx>
          <w:tblCellMar>
            <w:top w:w="0" w:type="dxa"/>
            <w:left w:w="10" w:type="dxa"/>
            <w:bottom w:w="0" w:type="dxa"/>
            <w:right w:w="10" w:type="dxa"/>
          </w:tblCellMar>
        </w:tblPrEx>
        <w:trPr>
          <w:trHeight w:val="706" w:hRule="exact"/>
          <w:jc w:val="center"/>
        </w:trPr>
        <w:tc>
          <w:tcPr>
            <w:tcW w:w="2602" w:type="dxa"/>
            <w:tcBorders>
              <w:top w:val="single" w:color="auto" w:sz="4" w:space="0"/>
              <w:left w:val="single" w:color="auto" w:sz="4" w:space="0"/>
            </w:tcBorders>
            <w:shd w:val="clear" w:color="auto" w:fill="FFFFFF"/>
            <w:vAlign w:val="center"/>
          </w:tcPr>
          <w:p>
            <w:pPr>
              <w:pStyle w:val="459"/>
              <w:framePr w:w="8419" w:wrap="notBeside" w:vAnchor="text" w:hAnchor="page" w:x="1861" w:y="268"/>
              <w:shd w:val="clear" w:color="auto" w:fill="auto"/>
              <w:snapToGrid w:val="0"/>
              <w:spacing w:before="0" w:after="0" w:line="360" w:lineRule="auto"/>
              <w:ind w:right="20" w:firstLine="0"/>
              <w:jc w:val="center"/>
              <w:rPr>
                <w:rFonts w:hint="eastAsia" w:ascii="宋体" w:hAnsi="宋体" w:eastAsia="宋体" w:cs="宋体"/>
                <w:color w:val="auto"/>
                <w:sz w:val="24"/>
                <w:szCs w:val="24"/>
              </w:rPr>
            </w:pPr>
            <w:r>
              <w:rPr>
                <w:rStyle w:val="453"/>
                <w:rFonts w:hint="eastAsia" w:ascii="宋体" w:hAnsi="宋体" w:eastAsia="宋体" w:cs="宋体"/>
                <w:color w:val="auto"/>
                <w:sz w:val="24"/>
                <w:szCs w:val="24"/>
              </w:rPr>
              <w:t>餐次</w:t>
            </w:r>
          </w:p>
        </w:tc>
        <w:tc>
          <w:tcPr>
            <w:tcW w:w="3024" w:type="dxa"/>
            <w:tcBorders>
              <w:top w:val="single" w:color="auto" w:sz="4" w:space="0"/>
              <w:left w:val="single" w:color="auto" w:sz="4" w:space="0"/>
            </w:tcBorders>
            <w:shd w:val="clear" w:color="auto" w:fill="FFFFFF"/>
            <w:vAlign w:val="center"/>
          </w:tcPr>
          <w:p>
            <w:pPr>
              <w:pStyle w:val="459"/>
              <w:framePr w:w="8419" w:wrap="notBeside" w:vAnchor="text" w:hAnchor="page" w:x="1861" w:y="268"/>
              <w:shd w:val="clear" w:color="auto" w:fill="auto"/>
              <w:snapToGrid w:val="0"/>
              <w:spacing w:before="0" w:after="0" w:line="360" w:lineRule="auto"/>
              <w:ind w:right="20" w:firstLine="0"/>
              <w:jc w:val="center"/>
              <w:rPr>
                <w:rFonts w:hint="eastAsia" w:ascii="宋体" w:hAnsi="宋体" w:eastAsia="宋体" w:cs="宋体"/>
                <w:color w:val="auto"/>
                <w:sz w:val="24"/>
                <w:szCs w:val="24"/>
              </w:rPr>
            </w:pPr>
            <w:r>
              <w:rPr>
                <w:rStyle w:val="453"/>
                <w:rFonts w:hint="eastAsia" w:ascii="宋体" w:hAnsi="宋体" w:eastAsia="宋体" w:cs="宋体"/>
                <w:color w:val="auto"/>
                <w:sz w:val="24"/>
                <w:szCs w:val="24"/>
              </w:rPr>
              <w:t>时间</w:t>
            </w:r>
          </w:p>
        </w:tc>
        <w:tc>
          <w:tcPr>
            <w:tcW w:w="2794" w:type="dxa"/>
            <w:tcBorders>
              <w:top w:val="single" w:color="auto" w:sz="4" w:space="0"/>
              <w:left w:val="single" w:color="auto" w:sz="4" w:space="0"/>
              <w:right w:val="single" w:color="auto" w:sz="4" w:space="0"/>
            </w:tcBorders>
            <w:shd w:val="clear" w:color="auto" w:fill="FFFFFF"/>
            <w:vAlign w:val="center"/>
          </w:tcPr>
          <w:p>
            <w:pPr>
              <w:pStyle w:val="459"/>
              <w:framePr w:w="8419" w:wrap="notBeside" w:vAnchor="text" w:hAnchor="page" w:x="1861" w:y="268"/>
              <w:shd w:val="clear" w:color="auto" w:fill="auto"/>
              <w:snapToGrid w:val="0"/>
              <w:spacing w:before="0" w:after="0" w:line="360" w:lineRule="auto"/>
              <w:ind w:firstLine="0"/>
              <w:jc w:val="center"/>
              <w:rPr>
                <w:rFonts w:hint="eastAsia" w:ascii="宋体" w:hAnsi="宋体" w:eastAsia="宋体" w:cs="宋体"/>
                <w:color w:val="auto"/>
                <w:sz w:val="24"/>
                <w:szCs w:val="24"/>
              </w:rPr>
            </w:pPr>
            <w:r>
              <w:rPr>
                <w:rStyle w:val="453"/>
                <w:rFonts w:hint="eastAsia" w:ascii="宋体" w:hAnsi="宋体" w:eastAsia="宋体" w:cs="宋体"/>
                <w:color w:val="auto"/>
                <w:sz w:val="24"/>
                <w:szCs w:val="24"/>
              </w:rPr>
              <w:t>用餐形式及标准</w:t>
            </w:r>
          </w:p>
        </w:tc>
      </w:tr>
      <w:tr>
        <w:tblPrEx>
          <w:tblCellMar>
            <w:top w:w="0" w:type="dxa"/>
            <w:left w:w="10" w:type="dxa"/>
            <w:bottom w:w="0" w:type="dxa"/>
            <w:right w:w="10" w:type="dxa"/>
          </w:tblCellMar>
        </w:tblPrEx>
        <w:trPr>
          <w:trHeight w:val="503" w:hRule="exact"/>
          <w:jc w:val="center"/>
        </w:trPr>
        <w:tc>
          <w:tcPr>
            <w:tcW w:w="2602" w:type="dxa"/>
            <w:tcBorders>
              <w:top w:val="single" w:color="auto" w:sz="4" w:space="0"/>
              <w:left w:val="single" w:color="auto" w:sz="4" w:space="0"/>
            </w:tcBorders>
            <w:shd w:val="clear" w:color="auto" w:fill="FFFFFF"/>
            <w:vAlign w:val="center"/>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早餐</w:t>
            </w:r>
          </w:p>
        </w:tc>
        <w:tc>
          <w:tcPr>
            <w:tcW w:w="3024" w:type="dxa"/>
            <w:tcBorders>
              <w:top w:val="single" w:color="auto" w:sz="4" w:space="0"/>
              <w:left w:val="single" w:color="auto" w:sz="4" w:space="0"/>
            </w:tcBorders>
            <w:shd w:val="clear" w:color="auto" w:fill="FFFFFF"/>
            <w:vAlign w:val="center"/>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6:45-8:10</w:t>
            </w:r>
          </w:p>
        </w:tc>
        <w:tc>
          <w:tcPr>
            <w:tcW w:w="2794" w:type="dxa"/>
            <w:tcBorders>
              <w:top w:val="single" w:color="auto" w:sz="4" w:space="0"/>
              <w:left w:val="single" w:color="auto" w:sz="4" w:space="0"/>
              <w:right w:val="single" w:color="auto" w:sz="4" w:space="0"/>
            </w:tcBorders>
            <w:shd w:val="clear" w:color="auto" w:fill="FFFFFF"/>
            <w:vAlign w:val="center"/>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自由选餐</w:t>
            </w:r>
          </w:p>
        </w:tc>
      </w:tr>
      <w:tr>
        <w:tblPrEx>
          <w:tblCellMar>
            <w:top w:w="0" w:type="dxa"/>
            <w:left w:w="10" w:type="dxa"/>
            <w:bottom w:w="0" w:type="dxa"/>
            <w:right w:w="10" w:type="dxa"/>
          </w:tblCellMar>
        </w:tblPrEx>
        <w:trPr>
          <w:trHeight w:val="480" w:hRule="exact"/>
          <w:jc w:val="center"/>
        </w:trPr>
        <w:tc>
          <w:tcPr>
            <w:tcW w:w="2602" w:type="dxa"/>
            <w:tcBorders>
              <w:top w:val="single" w:color="auto" w:sz="4" w:space="0"/>
              <w:left w:val="single" w:color="auto" w:sz="4" w:space="0"/>
            </w:tcBorders>
            <w:shd w:val="clear" w:color="auto" w:fill="FFFFFF"/>
            <w:vAlign w:val="center"/>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午餐</w:t>
            </w:r>
          </w:p>
        </w:tc>
        <w:tc>
          <w:tcPr>
            <w:tcW w:w="3024" w:type="dxa"/>
            <w:tcBorders>
              <w:top w:val="single" w:color="auto" w:sz="4" w:space="0"/>
              <w:left w:val="single" w:color="auto" w:sz="4" w:space="0"/>
            </w:tcBorders>
            <w:shd w:val="clear" w:color="auto" w:fill="FFFFFF"/>
            <w:vAlign w:val="center"/>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10:50-13:00</w:t>
            </w:r>
          </w:p>
        </w:tc>
        <w:tc>
          <w:tcPr>
            <w:tcW w:w="2794" w:type="dxa"/>
            <w:tcBorders>
              <w:top w:val="single" w:color="auto" w:sz="4" w:space="0"/>
              <w:left w:val="single" w:color="auto" w:sz="4" w:space="0"/>
              <w:right w:val="single" w:color="auto" w:sz="4" w:space="0"/>
            </w:tcBorders>
            <w:shd w:val="clear" w:color="auto" w:fill="FFFFFF"/>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自由选餐</w:t>
            </w:r>
          </w:p>
        </w:tc>
      </w:tr>
      <w:tr>
        <w:tblPrEx>
          <w:tblCellMar>
            <w:top w:w="0" w:type="dxa"/>
            <w:left w:w="10" w:type="dxa"/>
            <w:bottom w:w="0" w:type="dxa"/>
            <w:right w:w="10" w:type="dxa"/>
          </w:tblCellMar>
        </w:tblPrEx>
        <w:trPr>
          <w:trHeight w:val="485" w:hRule="exact"/>
          <w:jc w:val="center"/>
        </w:trPr>
        <w:tc>
          <w:tcPr>
            <w:tcW w:w="2602" w:type="dxa"/>
            <w:tcBorders>
              <w:top w:val="single" w:color="auto" w:sz="4" w:space="0"/>
              <w:left w:val="single" w:color="auto" w:sz="4" w:space="0"/>
              <w:bottom w:val="single" w:color="auto" w:sz="4" w:space="0"/>
            </w:tcBorders>
            <w:shd w:val="clear" w:color="auto" w:fill="FFFFFF"/>
            <w:vAlign w:val="center"/>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晚餐</w:t>
            </w:r>
          </w:p>
        </w:tc>
        <w:tc>
          <w:tcPr>
            <w:tcW w:w="3024" w:type="dxa"/>
            <w:tcBorders>
              <w:top w:val="single" w:color="auto" w:sz="4" w:space="0"/>
              <w:left w:val="single" w:color="auto" w:sz="4" w:space="0"/>
              <w:bottom w:val="single" w:color="auto" w:sz="4" w:space="0"/>
            </w:tcBorders>
            <w:shd w:val="clear" w:color="auto" w:fill="FFFFFF"/>
            <w:vAlign w:val="center"/>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16:50-19:00</w:t>
            </w:r>
          </w:p>
        </w:tc>
        <w:tc>
          <w:tcPr>
            <w:tcW w:w="2794" w:type="dxa"/>
            <w:tcBorders>
              <w:top w:val="single" w:color="auto" w:sz="4" w:space="0"/>
              <w:left w:val="single" w:color="auto" w:sz="4" w:space="0"/>
              <w:bottom w:val="single" w:color="auto" w:sz="4" w:space="0"/>
              <w:right w:val="single" w:color="auto" w:sz="4" w:space="0"/>
            </w:tcBorders>
            <w:shd w:val="clear" w:color="auto" w:fill="FFFFFF"/>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自由选餐</w:t>
            </w:r>
          </w:p>
        </w:tc>
      </w:tr>
      <w:tr>
        <w:tblPrEx>
          <w:tblCellMar>
            <w:top w:w="0" w:type="dxa"/>
            <w:left w:w="10" w:type="dxa"/>
            <w:bottom w:w="0" w:type="dxa"/>
            <w:right w:w="10" w:type="dxa"/>
          </w:tblCellMar>
        </w:tblPrEx>
        <w:trPr>
          <w:trHeight w:val="485" w:hRule="exact"/>
          <w:jc w:val="center"/>
        </w:trPr>
        <w:tc>
          <w:tcPr>
            <w:tcW w:w="2602" w:type="dxa"/>
            <w:tcBorders>
              <w:top w:val="single" w:color="auto" w:sz="4" w:space="0"/>
              <w:left w:val="single" w:color="auto" w:sz="4" w:space="0"/>
              <w:bottom w:val="single" w:color="auto" w:sz="4" w:space="0"/>
            </w:tcBorders>
            <w:shd w:val="clear" w:color="auto" w:fill="FFFFFF"/>
            <w:vAlign w:val="center"/>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一站式订餐</w:t>
            </w:r>
          </w:p>
        </w:tc>
        <w:tc>
          <w:tcPr>
            <w:tcW w:w="3024" w:type="dxa"/>
            <w:tcBorders>
              <w:top w:val="single" w:color="auto" w:sz="4" w:space="0"/>
              <w:left w:val="single" w:color="auto" w:sz="4" w:space="0"/>
              <w:bottom w:val="single" w:color="auto" w:sz="4" w:space="0"/>
            </w:tcBorders>
            <w:shd w:val="clear" w:color="auto" w:fill="FFFFFF"/>
            <w:vAlign w:val="center"/>
          </w:tcPr>
          <w:p>
            <w:pPr>
              <w:framePr w:w="8419" w:wrap="notBeside" w:vAnchor="text" w:hAnchor="page" w:x="1861" w:y="268"/>
              <w:snapToGrid w:val="0"/>
              <w:spacing w:line="360" w:lineRule="auto"/>
              <w:jc w:val="center"/>
              <w:rPr>
                <w:rFonts w:hint="eastAsia" w:ascii="宋体" w:hAnsi="宋体" w:eastAsia="宋体" w:cs="宋体"/>
                <w:sz w:val="24"/>
              </w:rPr>
            </w:pPr>
            <w:r>
              <w:rPr>
                <w:rFonts w:hint="eastAsia" w:ascii="宋体" w:hAnsi="宋体" w:eastAsia="宋体" w:cs="宋体"/>
                <w:sz w:val="24"/>
              </w:rPr>
              <w:t>10:30-22:00</w:t>
            </w:r>
          </w:p>
        </w:tc>
        <w:tc>
          <w:tcPr>
            <w:tcW w:w="2794" w:type="dxa"/>
            <w:tcBorders>
              <w:top w:val="single" w:color="auto" w:sz="4" w:space="0"/>
              <w:left w:val="single" w:color="auto" w:sz="4" w:space="0"/>
              <w:bottom w:val="single" w:color="auto" w:sz="4" w:space="0"/>
              <w:right w:val="single" w:color="auto" w:sz="4" w:space="0"/>
            </w:tcBorders>
            <w:shd w:val="clear" w:color="auto" w:fill="FFFFFF"/>
          </w:tcPr>
          <w:p>
            <w:pPr>
              <w:framePr w:w="8419" w:wrap="notBeside" w:vAnchor="text" w:hAnchor="page" w:x="1861" w:y="268"/>
              <w:snapToGrid w:val="0"/>
              <w:spacing w:line="360" w:lineRule="auto"/>
              <w:jc w:val="center"/>
              <w:rPr>
                <w:rFonts w:hint="eastAsia" w:ascii="宋体" w:hAnsi="宋体" w:eastAsia="宋体" w:cs="宋体"/>
              </w:rPr>
            </w:pPr>
            <w:r>
              <w:rPr>
                <w:rFonts w:hint="eastAsia" w:ascii="宋体" w:hAnsi="宋体" w:eastAsia="宋体" w:cs="宋体"/>
                <w:sz w:val="24"/>
              </w:rPr>
              <w:t>电话订餐、送餐</w:t>
            </w:r>
          </w:p>
        </w:tc>
      </w:tr>
    </w:tbl>
    <w:p>
      <w:pPr>
        <w:framePr w:w="8419" w:wrap="notBeside" w:vAnchor="text" w:hAnchor="page" w:x="1861" w:y="268"/>
        <w:snapToGrid w:val="0"/>
        <w:spacing w:line="360" w:lineRule="auto"/>
        <w:rPr>
          <w:rFonts w:hint="eastAsia" w:ascii="宋体" w:hAnsi="宋体" w:eastAsia="宋体" w:cs="宋体"/>
          <w:sz w:val="24"/>
          <w:szCs w:val="24"/>
        </w:rPr>
      </w:pPr>
      <w:r>
        <w:rPr>
          <w:rFonts w:hint="eastAsia" w:ascii="宋体" w:hAnsi="宋体" w:eastAsia="宋体" w:cs="宋体"/>
          <w:sz w:val="24"/>
          <w:szCs w:val="24"/>
          <w:lang w:val="zh-TW" w:eastAsia="zh-TW"/>
        </w:rPr>
        <w:t>注</w:t>
      </w:r>
      <w:r>
        <w:rPr>
          <w:rFonts w:hint="eastAsia" w:ascii="宋体" w:hAnsi="宋体" w:eastAsia="宋体" w:cs="宋体"/>
          <w:sz w:val="24"/>
          <w:szCs w:val="24"/>
          <w:lang w:val="zh-TW"/>
        </w:rPr>
        <w:t>：</w:t>
      </w:r>
      <w:r>
        <w:rPr>
          <w:rFonts w:hint="eastAsia" w:ascii="宋体" w:hAnsi="宋体" w:eastAsia="宋体" w:cs="宋体"/>
          <w:sz w:val="24"/>
          <w:szCs w:val="24"/>
          <w:lang w:val="zh-TW" w:eastAsia="zh-TW"/>
        </w:rPr>
        <w:t>根据甲方要求合理配餐，送餐到指定地点。</w:t>
      </w:r>
    </w:p>
    <w:p>
      <w:pPr>
        <w:pStyle w:val="459"/>
        <w:shd w:val="clear" w:color="auto" w:fill="auto"/>
        <w:snapToGrid w:val="0"/>
        <w:spacing w:before="0" w:after="0" w:line="360" w:lineRule="auto"/>
        <w:ind w:firstLine="0"/>
        <w:rPr>
          <w:rStyle w:val="456"/>
          <w:rFonts w:hint="eastAsia" w:ascii="宋体" w:hAnsi="宋体" w:eastAsia="宋体" w:cs="宋体"/>
          <w:color w:val="auto"/>
          <w:sz w:val="24"/>
          <w:szCs w:val="24"/>
        </w:rPr>
      </w:pPr>
      <w:r>
        <w:rPr>
          <w:rStyle w:val="456"/>
          <w:rFonts w:hint="eastAsia" w:ascii="宋体" w:hAnsi="宋体" w:eastAsia="宋体" w:cs="宋体"/>
          <w:color w:val="auto"/>
          <w:sz w:val="24"/>
          <w:szCs w:val="24"/>
        </w:rPr>
        <w:t>三、权利与义务</w:t>
      </w:r>
    </w:p>
    <w:p>
      <w:pPr>
        <w:pStyle w:val="459"/>
        <w:shd w:val="clear" w:color="auto" w:fill="auto"/>
        <w:snapToGrid w:val="0"/>
        <w:spacing w:before="0" w:after="0" w:line="360" w:lineRule="auto"/>
        <w:ind w:left="240"/>
        <w:rPr>
          <w:rFonts w:hint="eastAsia" w:ascii="宋体" w:hAnsi="宋体" w:eastAsia="宋体" w:cs="宋体"/>
          <w:color w:val="auto"/>
          <w:sz w:val="24"/>
          <w:szCs w:val="24"/>
        </w:rPr>
      </w:pPr>
      <w:r>
        <w:rPr>
          <w:rFonts w:hint="eastAsia" w:ascii="宋体" w:hAnsi="宋体" w:eastAsia="宋体" w:cs="宋体"/>
          <w:color w:val="auto"/>
          <w:sz w:val="24"/>
          <w:szCs w:val="24"/>
        </w:rPr>
        <w:t>（一）甲方权利与义务</w:t>
      </w:r>
    </w:p>
    <w:p>
      <w:pPr>
        <w:pStyle w:val="459"/>
        <w:shd w:val="clear" w:color="auto" w:fill="auto"/>
        <w:tabs>
          <w:tab w:val="left" w:pos="927"/>
        </w:tabs>
        <w:snapToGrid w:val="0"/>
        <w:spacing w:before="0" w:after="0"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1、甲方在本协议实施前，做好提供餐饮服务所必须的食堂厨房设备、厨房 用具、员工部分餐具等器具的工作。乙方负责日常管理或支配使用。</w:t>
      </w:r>
    </w:p>
    <w:p>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2、甲方提供相关配套设施设备，以保障水、电、燃气等能源的正常供应。对于乙方额外需求的厨房设备，乙方需要自行配备。</w:t>
      </w:r>
    </w:p>
    <w:p>
      <w:pPr>
        <w:pStyle w:val="459"/>
        <w:shd w:val="clear" w:color="auto" w:fill="auto"/>
        <w:tabs>
          <w:tab w:val="left" w:pos="927"/>
        </w:tabs>
        <w:snapToGrid w:val="0"/>
        <w:spacing w:before="0" w:after="0"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3、甲方有权对餐厅卫生、服务人员的健康状况、个人卫生、环境卫生及主副食品原料进货渠道、质量、卫生、成品售价等项目进行监督检查。对发现的问题，要求乙方限期整改，对乙方整改不到位，违反操作规程等不良行为视情节</w:t>
      </w:r>
      <w:r>
        <w:rPr>
          <w:rFonts w:hint="eastAsia" w:ascii="宋体" w:hAnsi="宋体" w:eastAsia="宋体" w:cs="宋体"/>
          <w:color w:val="auto"/>
          <w:sz w:val="24"/>
          <w:szCs w:val="24"/>
          <w:lang w:val="en-US" w:eastAsia="zh-Hans"/>
        </w:rPr>
        <w:t>要求乙方承担相应违约金</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Hans"/>
        </w:rPr>
        <w:t>情节严重的，乙方应</w:t>
      </w:r>
      <w:r>
        <w:rPr>
          <w:rFonts w:hint="eastAsia" w:ascii="宋体" w:hAnsi="宋体" w:eastAsia="宋体" w:cs="宋体"/>
          <w:color w:val="auto"/>
          <w:sz w:val="24"/>
          <w:szCs w:val="24"/>
        </w:rPr>
        <w:t>停业整顿</w:t>
      </w:r>
      <w:r>
        <w:rPr>
          <w:rFonts w:hint="eastAsia" w:ascii="宋体" w:hAnsi="宋体" w:eastAsia="宋体" w:cs="宋体"/>
          <w:color w:val="auto"/>
          <w:sz w:val="24"/>
          <w:szCs w:val="24"/>
          <w:lang w:eastAsia="zh-Hans"/>
        </w:rPr>
        <w:t>。</w:t>
      </w:r>
      <w:r>
        <w:rPr>
          <w:rFonts w:hint="eastAsia" w:ascii="宋体" w:hAnsi="宋体" w:eastAsia="宋体" w:cs="宋体"/>
          <w:color w:val="auto"/>
          <w:sz w:val="24"/>
          <w:szCs w:val="24"/>
        </w:rPr>
        <w:t>每发生一次非严重不良行为</w:t>
      </w:r>
      <w:r>
        <w:rPr>
          <w:rFonts w:hint="eastAsia" w:ascii="宋体" w:hAnsi="宋体" w:eastAsia="宋体" w:cs="宋体"/>
          <w:color w:val="auto"/>
          <w:sz w:val="24"/>
          <w:szCs w:val="24"/>
          <w:lang w:eastAsia="zh-Hans"/>
        </w:rPr>
        <w:t>，</w:t>
      </w:r>
      <w:r>
        <w:rPr>
          <w:rFonts w:hint="eastAsia" w:ascii="宋体" w:hAnsi="宋体" w:eastAsia="宋体" w:cs="宋体"/>
          <w:color w:val="auto"/>
          <w:sz w:val="24"/>
          <w:szCs w:val="24"/>
          <w:lang w:val="en-US" w:eastAsia="zh-Hans"/>
        </w:rPr>
        <w:t>乙方支付违约金</w:t>
      </w:r>
      <w:r>
        <w:rPr>
          <w:rFonts w:hint="eastAsia" w:ascii="宋体" w:hAnsi="宋体" w:eastAsia="宋体" w:cs="宋体"/>
          <w:color w:val="auto"/>
          <w:sz w:val="24"/>
          <w:szCs w:val="24"/>
        </w:rPr>
        <w:t>2000元，每发生一次严重不良行为</w:t>
      </w:r>
      <w:r>
        <w:rPr>
          <w:rFonts w:hint="eastAsia" w:ascii="宋体" w:hAnsi="宋体" w:eastAsia="宋体" w:cs="宋体"/>
          <w:color w:val="auto"/>
          <w:sz w:val="24"/>
          <w:szCs w:val="24"/>
          <w:lang w:eastAsia="zh-Hans"/>
        </w:rPr>
        <w:t>，</w:t>
      </w:r>
      <w:r>
        <w:rPr>
          <w:rFonts w:hint="eastAsia" w:ascii="宋体" w:hAnsi="宋体" w:eastAsia="宋体" w:cs="宋体"/>
          <w:color w:val="auto"/>
          <w:sz w:val="24"/>
          <w:szCs w:val="24"/>
          <w:lang w:val="en-US" w:eastAsia="zh-Hans"/>
        </w:rPr>
        <w:t>乙方支付违约金</w:t>
      </w:r>
      <w:r>
        <w:rPr>
          <w:rFonts w:hint="eastAsia" w:ascii="宋体" w:hAnsi="宋体" w:eastAsia="宋体" w:cs="宋体"/>
          <w:color w:val="auto"/>
          <w:sz w:val="24"/>
          <w:szCs w:val="24"/>
        </w:rPr>
        <w:t>5000元，发生三次不良行为进行停业整顿。</w:t>
      </w:r>
      <w:r>
        <w:rPr>
          <w:rFonts w:hint="eastAsia" w:ascii="宋体" w:hAnsi="宋体" w:eastAsia="宋体" w:cs="宋体"/>
          <w:color w:val="auto"/>
          <w:sz w:val="24"/>
          <w:szCs w:val="24"/>
          <w:lang w:val="en-US" w:eastAsia="zh-Hans"/>
        </w:rPr>
        <w:t>出现两次</w:t>
      </w:r>
      <w:r>
        <w:rPr>
          <w:rFonts w:hint="eastAsia" w:ascii="宋体" w:hAnsi="宋体" w:eastAsia="宋体" w:cs="宋体"/>
          <w:color w:val="auto"/>
          <w:sz w:val="24"/>
          <w:szCs w:val="24"/>
        </w:rPr>
        <w:t>停业整顿</w:t>
      </w:r>
      <w:r>
        <w:rPr>
          <w:rFonts w:hint="eastAsia" w:ascii="宋体" w:hAnsi="宋体" w:eastAsia="宋体" w:cs="宋体"/>
          <w:color w:val="auto"/>
          <w:sz w:val="24"/>
          <w:szCs w:val="24"/>
          <w:lang w:val="en-US" w:eastAsia="zh-Hans"/>
        </w:rPr>
        <w:t>情况的，甲方有权单方</w:t>
      </w:r>
      <w:r>
        <w:rPr>
          <w:rFonts w:hint="eastAsia" w:ascii="宋体" w:hAnsi="宋体" w:eastAsia="宋体" w:cs="宋体"/>
          <w:color w:val="auto"/>
          <w:sz w:val="24"/>
          <w:szCs w:val="24"/>
        </w:rPr>
        <w:t>解除合同。</w:t>
      </w:r>
    </w:p>
    <w:p>
      <w:pPr>
        <w:pStyle w:val="459"/>
        <w:shd w:val="clear" w:color="auto" w:fill="auto"/>
        <w:tabs>
          <w:tab w:val="left" w:pos="927"/>
        </w:tabs>
        <w:snapToGrid w:val="0"/>
        <w:spacing w:before="0" w:after="0" w:line="360" w:lineRule="auto"/>
        <w:ind w:firstLine="600"/>
        <w:jc w:val="both"/>
        <w:rPr>
          <w:rFonts w:hint="eastAsia" w:ascii="宋体" w:hAnsi="宋体" w:eastAsia="宋体" w:cs="宋体"/>
          <w:color w:val="auto"/>
          <w:sz w:val="24"/>
          <w:szCs w:val="24"/>
        </w:rPr>
      </w:pPr>
      <w:r>
        <w:rPr>
          <w:rFonts w:hint="eastAsia" w:ascii="宋体" w:hAnsi="宋体" w:eastAsia="宋体" w:cs="宋体"/>
          <w:color w:val="auto"/>
          <w:sz w:val="24"/>
          <w:szCs w:val="24"/>
        </w:rPr>
        <w:t>4、甲方按照约定的《</w:t>
      </w:r>
      <w:r>
        <w:rPr>
          <w:rFonts w:hint="eastAsia" w:ascii="宋体" w:hAnsi="宋体" w:eastAsia="宋体" w:cs="宋体"/>
          <w:color w:val="auto"/>
          <w:sz w:val="24"/>
          <w:szCs w:val="24"/>
          <w:highlight w:val="none"/>
          <w:shd w:val="clear" w:color="auto" w:fill="auto"/>
          <w:lang w:val="en-US" w:eastAsia="zh-CN"/>
        </w:rPr>
        <w:t>食品安全国家标准餐饮服务通用卫生规范</w:t>
      </w:r>
      <w:r>
        <w:rPr>
          <w:rFonts w:hint="eastAsia" w:ascii="宋体" w:hAnsi="宋体" w:eastAsia="宋体" w:cs="宋体"/>
          <w:color w:val="auto"/>
          <w:sz w:val="24"/>
          <w:szCs w:val="24"/>
        </w:rPr>
        <w:t>》中卫生检查条款项目及标准执行，对乙方在服务期内的经营管理进行监督。若有不</w:t>
      </w:r>
      <w:r>
        <w:rPr>
          <w:rFonts w:hint="eastAsia" w:ascii="宋体" w:hAnsi="宋体" w:eastAsia="宋体" w:cs="宋体"/>
          <w:color w:val="auto"/>
          <w:sz w:val="24"/>
          <w:szCs w:val="24"/>
          <w:lang w:val="en-US" w:eastAsia="zh-Hans"/>
        </w:rPr>
        <w:t>合格行为</w:t>
      </w:r>
      <w:r>
        <w:rPr>
          <w:rFonts w:hint="eastAsia" w:ascii="宋体" w:hAnsi="宋体" w:eastAsia="宋体" w:cs="宋体"/>
          <w:color w:val="auto"/>
          <w:sz w:val="24"/>
          <w:szCs w:val="24"/>
        </w:rPr>
        <w:t>，将按扣减的分值，相应扣减当月营业收入。</w:t>
      </w:r>
    </w:p>
    <w:p>
      <w:pPr>
        <w:pStyle w:val="459"/>
        <w:shd w:val="clear" w:color="auto" w:fill="auto"/>
        <w:tabs>
          <w:tab w:val="left" w:pos="927"/>
        </w:tabs>
        <w:snapToGrid w:val="0"/>
        <w:spacing w:before="0" w:after="0" w:line="360" w:lineRule="auto"/>
        <w:ind w:firstLine="600"/>
        <w:rPr>
          <w:rFonts w:hint="eastAsia" w:ascii="宋体" w:hAnsi="宋体" w:eastAsia="宋体" w:cs="宋体"/>
          <w:color w:val="auto"/>
          <w:sz w:val="24"/>
          <w:szCs w:val="24"/>
        </w:rPr>
      </w:pPr>
      <w:r>
        <w:rPr>
          <w:rFonts w:hint="eastAsia" w:ascii="宋体" w:hAnsi="宋体" w:eastAsia="宋体" w:cs="宋体"/>
          <w:color w:val="auto"/>
          <w:sz w:val="24"/>
          <w:szCs w:val="24"/>
        </w:rPr>
        <w:t>5、在达到甲方规定的营业条件下，服务经营期间食堂水、电、燃气等能源费用、烟道清洗费用由</w:t>
      </w:r>
      <w:r>
        <w:rPr>
          <w:rFonts w:hint="eastAsia" w:ascii="宋体" w:hAnsi="宋体" w:eastAsia="宋体" w:cs="宋体"/>
          <w:color w:val="auto"/>
          <w:sz w:val="24"/>
          <w:szCs w:val="24"/>
          <w:lang w:val="en-US"/>
        </w:rPr>
        <w:t>乙方</w:t>
      </w:r>
      <w:r>
        <w:rPr>
          <w:rFonts w:hint="eastAsia" w:ascii="宋体" w:hAnsi="宋体" w:eastAsia="宋体" w:cs="宋体"/>
          <w:color w:val="auto"/>
          <w:sz w:val="24"/>
          <w:szCs w:val="24"/>
        </w:rPr>
        <w:t>承担。</w:t>
      </w:r>
    </w:p>
    <w:p>
      <w:pPr>
        <w:pStyle w:val="459"/>
        <w:shd w:val="clear" w:color="auto" w:fill="auto"/>
        <w:tabs>
          <w:tab w:val="left" w:pos="927"/>
        </w:tabs>
        <w:snapToGrid w:val="0"/>
        <w:spacing w:before="0" w:after="0" w:line="360" w:lineRule="auto"/>
        <w:ind w:firstLine="600"/>
        <w:rPr>
          <w:rFonts w:hint="eastAsia" w:ascii="宋体" w:hAnsi="宋体" w:eastAsia="宋体" w:cs="宋体"/>
          <w:color w:val="auto"/>
          <w:sz w:val="24"/>
          <w:szCs w:val="24"/>
        </w:rPr>
      </w:pPr>
      <w:r>
        <w:rPr>
          <w:rFonts w:hint="eastAsia" w:ascii="宋体" w:hAnsi="宋体" w:eastAsia="宋体" w:cs="宋体"/>
          <w:color w:val="auto"/>
          <w:sz w:val="24"/>
          <w:szCs w:val="24"/>
        </w:rPr>
        <w:t>6、甲方有权对乙方食材采购供应商进行定期抽查，经甲方抽查发现不具备相应资质或存在严重问题的供应商，甲方有权要求乙方整改或解除合同，由此给甲方造成的经济损失由乙方承担赔偿责任。</w:t>
      </w:r>
    </w:p>
    <w:p>
      <w:pPr>
        <w:pStyle w:val="459"/>
        <w:shd w:val="clear" w:color="auto" w:fill="auto"/>
        <w:tabs>
          <w:tab w:val="left" w:pos="927"/>
        </w:tabs>
        <w:snapToGrid w:val="0"/>
        <w:spacing w:before="0" w:after="0" w:line="360" w:lineRule="auto"/>
        <w:ind w:firstLine="600"/>
        <w:jc w:val="both"/>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rPr>
        <w:t>7、甲方负责食堂公用部分的设备、设施检修、技术性养护及维修工作，接到乙方保修通知后，甲方应在5个工作日内修复。</w:t>
      </w:r>
      <w:r>
        <w:rPr>
          <w:rFonts w:hint="eastAsia" w:ascii="宋体" w:hAnsi="宋体" w:eastAsia="宋体" w:cs="宋体"/>
          <w:color w:val="auto"/>
          <w:sz w:val="24"/>
          <w:szCs w:val="24"/>
          <w:lang w:val="en-US" w:eastAsia="zh-Hans"/>
        </w:rPr>
        <w:t>因乙方原因造成的损坏，费用由乙方承担。</w:t>
      </w:r>
    </w:p>
    <w:p>
      <w:pPr>
        <w:pStyle w:val="459"/>
        <w:shd w:val="clear" w:color="auto" w:fill="auto"/>
        <w:snapToGrid w:val="0"/>
        <w:spacing w:before="0" w:after="0" w:line="360" w:lineRule="auto"/>
        <w:ind w:firstLine="600"/>
        <w:jc w:val="both"/>
        <w:rPr>
          <w:rFonts w:hint="eastAsia" w:ascii="宋体" w:hAnsi="宋体" w:eastAsia="宋体" w:cs="宋体"/>
          <w:color w:val="auto"/>
          <w:sz w:val="24"/>
          <w:szCs w:val="24"/>
        </w:rPr>
      </w:pPr>
      <w:r>
        <w:rPr>
          <w:rFonts w:hint="eastAsia" w:ascii="宋体" w:hAnsi="宋体" w:eastAsia="宋体" w:cs="宋体"/>
          <w:color w:val="auto"/>
          <w:sz w:val="24"/>
          <w:szCs w:val="24"/>
        </w:rPr>
        <w:t>8、甲方应协助乙方申办餐饮服务许可证。</w:t>
      </w:r>
    </w:p>
    <w:p>
      <w:pPr>
        <w:pStyle w:val="459"/>
        <w:shd w:val="clear" w:color="auto" w:fill="auto"/>
        <w:snapToGrid w:val="0"/>
        <w:spacing w:before="0" w:after="0" w:line="360" w:lineRule="auto"/>
        <w:ind w:firstLine="600"/>
        <w:jc w:val="both"/>
        <w:rPr>
          <w:rFonts w:hint="eastAsia" w:ascii="宋体" w:hAnsi="宋体" w:eastAsia="宋体" w:cs="宋体"/>
          <w:color w:val="auto"/>
          <w:sz w:val="24"/>
          <w:szCs w:val="24"/>
        </w:rPr>
      </w:pPr>
      <w:r>
        <w:rPr>
          <w:rFonts w:hint="eastAsia" w:ascii="宋体" w:hAnsi="宋体" w:eastAsia="宋体" w:cs="宋体"/>
          <w:color w:val="auto"/>
          <w:sz w:val="24"/>
          <w:szCs w:val="24"/>
        </w:rPr>
        <w:t>9、甲方要求乙方提供</w:t>
      </w:r>
      <w:r>
        <w:rPr>
          <w:rStyle w:val="461"/>
          <w:rFonts w:hint="eastAsia" w:ascii="宋体" w:hAnsi="宋体" w:eastAsia="宋体" w:cs="宋体"/>
          <w:color w:val="auto"/>
          <w:sz w:val="24"/>
          <w:szCs w:val="24"/>
        </w:rPr>
        <w:t>自助餐</w:t>
      </w:r>
      <w:r>
        <w:rPr>
          <w:rFonts w:hint="eastAsia" w:ascii="宋体" w:hAnsi="宋体" w:eastAsia="宋体" w:cs="宋体"/>
          <w:color w:val="auto"/>
          <w:sz w:val="24"/>
          <w:szCs w:val="24"/>
        </w:rPr>
        <w:t>及其他特殊餐饮服务，应提前5个工作日通知乙方。就餐人数或时间、售饭地址等临时有较大变动时，甲方应至少提前一天通知乙方。</w:t>
      </w:r>
    </w:p>
    <w:p>
      <w:pPr>
        <w:pStyle w:val="459"/>
        <w:shd w:val="clear" w:color="auto" w:fill="auto"/>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10、甲方确保其场所、设施符合消防安全要求。</w:t>
      </w:r>
    </w:p>
    <w:p>
      <w:pPr>
        <w:pStyle w:val="459"/>
        <w:shd w:val="clear" w:color="auto" w:fill="auto"/>
        <w:snapToGrid w:val="0"/>
        <w:spacing w:before="0" w:after="0" w:line="360" w:lineRule="auto"/>
        <w:ind w:left="180" w:firstLine="0"/>
        <w:rPr>
          <w:rFonts w:hint="eastAsia" w:ascii="宋体" w:hAnsi="宋体" w:eastAsia="宋体" w:cs="宋体"/>
          <w:color w:val="auto"/>
          <w:sz w:val="24"/>
          <w:szCs w:val="24"/>
        </w:rPr>
      </w:pPr>
      <w:r>
        <w:rPr>
          <w:rFonts w:hint="eastAsia" w:ascii="宋体" w:hAnsi="宋体" w:eastAsia="宋体" w:cs="宋体"/>
          <w:color w:val="auto"/>
          <w:sz w:val="24"/>
          <w:szCs w:val="24"/>
        </w:rPr>
        <w:t>(二)乙方权利与义务</w:t>
      </w:r>
    </w:p>
    <w:p>
      <w:pPr>
        <w:pStyle w:val="459"/>
        <w:shd w:val="clear" w:color="auto" w:fill="auto"/>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1、乙方自主经营、自负盈亏。保证在协议存续期间，遵守甲方工作场所的规章制度。</w:t>
      </w:r>
    </w:p>
    <w:p>
      <w:pPr>
        <w:pStyle w:val="459"/>
        <w:shd w:val="clear" w:color="auto" w:fill="auto"/>
        <w:tabs>
          <w:tab w:val="left" w:pos="890"/>
        </w:tabs>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2、乙方用人必须符合国家有关法律法规及相关用工制度，负责办理所属人员的暂住证、健康证和婚育证等相关手续，所需费用自理。同时向甲方提供在岗人员当年体检合格的健康证复印件。若乙方工作人员在为甲方服务期间身体健康状况不符合国家规定的健康标准，乙方须及时更换有关人员。</w:t>
      </w:r>
    </w:p>
    <w:p>
      <w:pPr>
        <w:pStyle w:val="459"/>
        <w:shd w:val="clear" w:color="auto" w:fill="auto"/>
        <w:tabs>
          <w:tab w:val="left" w:pos="890"/>
        </w:tabs>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3、乙方负责办理在甲方餐饮场所的餐饮服务许可证和年检手续。必须严格执行国家《食品</w:t>
      </w:r>
      <w:r>
        <w:rPr>
          <w:rFonts w:hint="eastAsia" w:ascii="宋体" w:hAnsi="宋体" w:eastAsia="宋体" w:cs="宋体"/>
          <w:color w:val="auto"/>
          <w:sz w:val="24"/>
          <w:szCs w:val="24"/>
          <w:lang w:val="en-US" w:eastAsia="zh-Hans"/>
        </w:rPr>
        <w:t>安全</w:t>
      </w:r>
      <w:r>
        <w:rPr>
          <w:rFonts w:hint="eastAsia" w:ascii="宋体" w:hAnsi="宋体" w:eastAsia="宋体" w:cs="宋体"/>
          <w:color w:val="auto"/>
          <w:sz w:val="24"/>
          <w:szCs w:val="24"/>
        </w:rPr>
        <w:t>法》，保证食品质量及操作规范，保证所采购食物和低值易耗材料符合食品安全及健康要求，制定出“预防食物中毒”相关预案、个人和环境卫生规章制度。</w:t>
      </w:r>
    </w:p>
    <w:p>
      <w:pPr>
        <w:pStyle w:val="459"/>
        <w:shd w:val="clear" w:color="auto" w:fill="auto"/>
        <w:tabs>
          <w:tab w:val="left" w:pos="890"/>
        </w:tabs>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4、乙方应当允许甲方授权人员或专职部门检查供餐区域。相关政府部门对餐饮场所开展卫生及其他检查时，乙方应立即通知甲方，由甲方与乙方共同配合相关政府部门检查。</w:t>
      </w:r>
    </w:p>
    <w:p>
      <w:pPr>
        <w:pStyle w:val="459"/>
        <w:shd w:val="clear" w:color="auto" w:fill="auto"/>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5、乙方在日常工作中应至少对下列运营指标进行自我监控：食品原料检验、食品成品检验、顾客满意度调查及改进、员工投诉记录及处理、员工服务质量考核、安全监督、节能控制、菜谱编制及营养分析。</w:t>
      </w:r>
    </w:p>
    <w:p>
      <w:pPr>
        <w:pStyle w:val="459"/>
        <w:shd w:val="clear" w:color="auto" w:fill="auto"/>
        <w:tabs>
          <w:tab w:val="left" w:pos="890"/>
        </w:tabs>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6、乙方为甲方提供保额不少于100万元公共责任险，并将保险单复印件留存甲方。</w:t>
      </w:r>
    </w:p>
    <w:p>
      <w:pPr>
        <w:pStyle w:val="459"/>
        <w:shd w:val="clear" w:color="auto" w:fill="auto"/>
        <w:tabs>
          <w:tab w:val="left" w:pos="890"/>
        </w:tabs>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7、乙方提前一周制定工作餐菜谱，并送交甲方。如因原材料供应、质量等非乙方原因导致无法按原菜谱供应的，乙方有权对菜谱进行调整。每日供应主副食品种数量少于本协议规定数量时，每少一个品种，甲方将每月从乙方营业额中扣除人民币捌佰元</w:t>
      </w:r>
      <w:r>
        <w:rPr>
          <w:rFonts w:hint="eastAsia" w:ascii="宋体" w:hAnsi="宋体" w:eastAsia="宋体" w:cs="宋体"/>
          <w:color w:val="auto"/>
          <w:sz w:val="24"/>
          <w:szCs w:val="24"/>
          <w:lang w:bidi="en-US"/>
        </w:rPr>
        <w:t>(</w:t>
      </w:r>
      <w:r>
        <w:rPr>
          <w:rStyle w:val="460"/>
          <w:rFonts w:hint="eastAsia" w:ascii="宋体" w:hAnsi="宋体" w:eastAsia="宋体" w:cs="宋体"/>
          <w:color w:val="auto"/>
          <w:sz w:val="24"/>
          <w:szCs w:val="24"/>
          <w:lang w:eastAsia="zh-CN"/>
        </w:rPr>
        <w:t>¥</w:t>
      </w:r>
      <w:r>
        <w:rPr>
          <w:rFonts w:hint="eastAsia" w:ascii="宋体" w:hAnsi="宋体" w:eastAsia="宋体" w:cs="宋体"/>
          <w:color w:val="auto"/>
          <w:sz w:val="24"/>
          <w:szCs w:val="24"/>
        </w:rPr>
        <w:t>800.00)</w:t>
      </w:r>
      <w:r>
        <w:rPr>
          <w:rFonts w:hint="eastAsia" w:ascii="宋体" w:hAnsi="宋体" w:eastAsia="宋体" w:cs="宋体"/>
          <w:color w:val="auto"/>
          <w:sz w:val="24"/>
          <w:szCs w:val="24"/>
          <w:lang w:val="en-US" w:eastAsia="zh-Hans"/>
        </w:rPr>
        <w:t>作为违约金</w:t>
      </w:r>
      <w:r>
        <w:rPr>
          <w:rFonts w:hint="eastAsia" w:ascii="宋体" w:hAnsi="宋体" w:eastAsia="宋体" w:cs="宋体"/>
          <w:color w:val="auto"/>
          <w:sz w:val="24"/>
          <w:szCs w:val="24"/>
        </w:rPr>
        <w:t>。未经甲方同意，乙方不得擅自调整菜价。</w:t>
      </w:r>
    </w:p>
    <w:p>
      <w:pPr>
        <w:pStyle w:val="459"/>
        <w:shd w:val="clear" w:color="auto" w:fill="auto"/>
        <w:tabs>
          <w:tab w:val="left" w:pos="380"/>
        </w:tabs>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8、乙方必须严格遵守甲方消防安全规章制度及内部安全准则，并接受甲方消防安全培训。乙方要制定防火、防盗、防事故等各安全措施，要有一整套的预案。</w:t>
      </w:r>
    </w:p>
    <w:p>
      <w:pPr>
        <w:pStyle w:val="459"/>
        <w:shd w:val="clear" w:color="auto" w:fill="auto"/>
        <w:tabs>
          <w:tab w:val="left" w:pos="380"/>
        </w:tabs>
        <w:snapToGrid w:val="0"/>
        <w:spacing w:before="0" w:after="0" w:line="360" w:lineRule="auto"/>
        <w:ind w:firstLine="540"/>
        <w:jc w:val="both"/>
        <w:rPr>
          <w:rFonts w:hint="eastAsia" w:ascii="宋体" w:hAnsi="宋体" w:eastAsia="宋体" w:cs="宋体"/>
          <w:color w:val="auto"/>
          <w:sz w:val="24"/>
          <w:szCs w:val="24"/>
        </w:rPr>
      </w:pPr>
      <w:r>
        <w:rPr>
          <w:rFonts w:hint="eastAsia" w:ascii="宋体" w:hAnsi="宋体" w:eastAsia="宋体" w:cs="宋体"/>
          <w:color w:val="auto"/>
          <w:sz w:val="24"/>
          <w:szCs w:val="24"/>
        </w:rPr>
        <w:t>9、乙方须根据甲方主管部门（总务处、院办公室）的要求，完成送餐业务、其他接待就餐保障工作以及调整为甲方供餐的时间。</w:t>
      </w:r>
    </w:p>
    <w:p>
      <w:pPr>
        <w:pStyle w:val="459"/>
        <w:shd w:val="clear" w:color="auto" w:fill="auto"/>
        <w:snapToGrid w:val="0"/>
        <w:spacing w:before="0" w:after="0"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10、乙方工作人员在工作时间内，必须穿工作服戴工作帽。工作中使用文明服务用语，对就餐人员服务热情、周到。需为供餐服务提供牙签、洗手液、餐巾 纸等一次性用品，并按照甲方管理文件要求，对食堂油水分离器进行日常管理。 负责厨房和餐厅天蓬以下区域的清洁卫生，包括桌椅、地面、窗户、饮水机、洗手池，相关的天棚、灯具、墙面等及食堂进货口两侧草坪和地面。应将餐厨垃圾放置到甲方指定的集中点，其中废弃油脂由乙方自行处理。</w:t>
      </w:r>
    </w:p>
    <w:p>
      <w:pPr>
        <w:pStyle w:val="459"/>
        <w:shd w:val="clear" w:color="auto" w:fill="auto"/>
        <w:tabs>
          <w:tab w:val="left" w:pos="997"/>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11、乙方不得擅自停业、停餐或者撤场，如发生类似情况，乙方承担由此产生的一切后果</w:t>
      </w:r>
      <w:r>
        <w:rPr>
          <w:rFonts w:hint="eastAsia" w:ascii="宋体" w:hAnsi="宋体" w:eastAsia="宋体" w:cs="宋体"/>
          <w:color w:val="auto"/>
          <w:sz w:val="24"/>
          <w:szCs w:val="24"/>
          <w:lang w:eastAsia="zh-Hans"/>
        </w:rPr>
        <w:t>，</w:t>
      </w:r>
      <w:r>
        <w:rPr>
          <w:rFonts w:hint="eastAsia" w:ascii="宋体" w:hAnsi="宋体" w:eastAsia="宋体" w:cs="宋体"/>
          <w:color w:val="auto"/>
          <w:sz w:val="24"/>
          <w:szCs w:val="24"/>
          <w:lang w:val="en-US" w:eastAsia="zh-Hans"/>
        </w:rPr>
        <w:t>且乙方的</w:t>
      </w:r>
      <w:r>
        <w:rPr>
          <w:rFonts w:hint="eastAsia" w:ascii="宋体" w:hAnsi="宋体" w:eastAsia="宋体" w:cs="宋体"/>
          <w:color w:val="auto"/>
          <w:sz w:val="24"/>
          <w:szCs w:val="24"/>
        </w:rPr>
        <w:t>运营保证金不</w:t>
      </w:r>
      <w:r>
        <w:rPr>
          <w:rFonts w:hint="eastAsia" w:ascii="宋体" w:hAnsi="宋体" w:eastAsia="宋体" w:cs="宋体"/>
          <w:color w:val="auto"/>
          <w:sz w:val="24"/>
          <w:szCs w:val="24"/>
          <w:lang w:val="en-US" w:eastAsia="zh-Hans"/>
        </w:rPr>
        <w:t>予</w:t>
      </w:r>
      <w:r>
        <w:rPr>
          <w:rFonts w:hint="eastAsia" w:ascii="宋体" w:hAnsi="宋体" w:eastAsia="宋体" w:cs="宋体"/>
          <w:color w:val="auto"/>
          <w:sz w:val="24"/>
          <w:szCs w:val="24"/>
        </w:rPr>
        <w:t>退</w:t>
      </w:r>
      <w:r>
        <w:rPr>
          <w:rFonts w:hint="eastAsia" w:ascii="宋体" w:hAnsi="宋体" w:eastAsia="宋体" w:cs="宋体"/>
          <w:color w:val="auto"/>
          <w:sz w:val="24"/>
          <w:szCs w:val="24"/>
          <w:lang w:val="en-US" w:eastAsia="zh-Hans"/>
        </w:rPr>
        <w:t>还</w:t>
      </w:r>
      <w:r>
        <w:rPr>
          <w:rFonts w:hint="eastAsia" w:ascii="宋体" w:hAnsi="宋体" w:eastAsia="宋体" w:cs="宋体"/>
          <w:color w:val="auto"/>
          <w:sz w:val="24"/>
          <w:szCs w:val="24"/>
        </w:rPr>
        <w:t>。</w:t>
      </w:r>
    </w:p>
    <w:p>
      <w:pPr>
        <w:pStyle w:val="459"/>
        <w:shd w:val="clear" w:color="auto" w:fill="auto"/>
        <w:tabs>
          <w:tab w:val="left" w:pos="99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12、乙方不得使用“首都医科大学附属北京友谊医院”名义或字样进行商业活动。</w:t>
      </w:r>
    </w:p>
    <w:p>
      <w:pPr>
        <w:pStyle w:val="459"/>
        <w:shd w:val="clear" w:color="auto" w:fill="auto"/>
        <w:tabs>
          <w:tab w:val="left" w:pos="99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13、乙方派驻工作人员进入或撤离甲方指定场所时，应清点甲方所提供的设备和厨房用具、餐具，并由双方代表在清单上签字确认；如因乙方过错致使物品不符或损坏的，乙方应按照物品原价向甲方赔偿。</w:t>
      </w:r>
    </w:p>
    <w:p>
      <w:pPr>
        <w:pStyle w:val="459"/>
        <w:shd w:val="clear" w:color="auto" w:fill="auto"/>
        <w:tabs>
          <w:tab w:val="left" w:pos="99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rPr>
        <w:t>14、</w:t>
      </w:r>
      <w:r>
        <w:rPr>
          <w:rFonts w:hint="eastAsia" w:ascii="宋体" w:hAnsi="宋体" w:eastAsia="宋体" w:cs="宋体"/>
          <w:color w:val="auto"/>
          <w:sz w:val="24"/>
          <w:szCs w:val="24"/>
        </w:rPr>
        <w:t>乙方不得擅自将服务转包给第三方，如乙方向第三方转包服务</w:t>
      </w:r>
      <w:r>
        <w:rPr>
          <w:rFonts w:hint="eastAsia" w:ascii="宋体" w:hAnsi="宋体" w:eastAsia="宋体" w:cs="宋体"/>
          <w:color w:val="auto"/>
          <w:sz w:val="24"/>
          <w:szCs w:val="24"/>
          <w:lang w:eastAsia="zh-Hans"/>
        </w:rPr>
        <w:t>，</w:t>
      </w:r>
      <w:r>
        <w:rPr>
          <w:rFonts w:hint="eastAsia" w:ascii="宋体" w:hAnsi="宋体" w:eastAsia="宋体" w:cs="宋体"/>
          <w:color w:val="auto"/>
          <w:sz w:val="24"/>
          <w:szCs w:val="24"/>
        </w:rPr>
        <w:t>甲方有权解除合同。</w:t>
      </w:r>
    </w:p>
    <w:p>
      <w:pPr>
        <w:pStyle w:val="459"/>
        <w:shd w:val="clear" w:color="auto" w:fill="auto"/>
        <w:tabs>
          <w:tab w:val="left" w:pos="992"/>
        </w:tabs>
        <w:snapToGrid w:val="0"/>
        <w:spacing w:before="0" w:after="0" w:line="360" w:lineRule="auto"/>
        <w:ind w:firstLine="52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15、乙方负责厨房排风系统、烟道的清洁养护，排风系统、烟道应每月清洁一次；负责燃气报警系统的检测（每年至少检测一次）及维修；负责厨具的维修及养护，上述清洁、维修、保养费用均由乙方承担。</w:t>
      </w:r>
    </w:p>
    <w:p>
      <w:pPr>
        <w:pStyle w:val="459"/>
        <w:shd w:val="clear" w:color="auto" w:fill="auto"/>
        <w:tabs>
          <w:tab w:val="left" w:pos="992"/>
        </w:tabs>
        <w:snapToGrid w:val="0"/>
        <w:spacing w:before="0" w:after="0" w:line="360" w:lineRule="auto"/>
        <w:ind w:left="237" w:leftChars="113" w:firstLine="223" w:firstLineChars="93"/>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16、乙方负责承包区域的安全生产、安防、消防等责任。</w:t>
      </w:r>
    </w:p>
    <w:p>
      <w:pPr>
        <w:pStyle w:val="242"/>
        <w:spacing w:line="360" w:lineRule="auto"/>
        <w:ind w:firstLine="480"/>
        <w:rPr>
          <w:rFonts w:hint="eastAsia" w:ascii="宋体" w:hAnsi="宋体" w:eastAsia="宋体" w:cs="宋体"/>
          <w:kern w:val="0"/>
          <w:sz w:val="24"/>
          <w:szCs w:val="24"/>
          <w:lang w:val="zh-CN" w:bidi="zh-CN"/>
        </w:rPr>
      </w:pPr>
      <w:r>
        <w:rPr>
          <w:rFonts w:hint="eastAsia" w:ascii="宋体" w:hAnsi="宋体" w:eastAsia="宋体" w:cs="宋体"/>
          <w:kern w:val="0"/>
          <w:sz w:val="24"/>
          <w:szCs w:val="24"/>
          <w:lang w:bidi="zh-CN"/>
        </w:rPr>
        <w:t>17、</w:t>
      </w:r>
      <w:r>
        <w:rPr>
          <w:rFonts w:hint="eastAsia" w:ascii="宋体" w:hAnsi="宋体" w:eastAsia="宋体" w:cs="宋体"/>
          <w:kern w:val="0"/>
          <w:sz w:val="24"/>
          <w:szCs w:val="24"/>
          <w:lang w:val="zh-CN" w:bidi="zh-CN"/>
        </w:rPr>
        <w:t>乙方无权修改甲方职工食堂的房屋结构及设施结构，如乙方未经甲方同意修改职工食堂的房屋结构、设施结构，或私自搭建临时设施，甲方有权要求乙方恢复房屋原貌，由此产生的支出及经济损失由乙方承担。</w:t>
      </w:r>
    </w:p>
    <w:p>
      <w:pPr>
        <w:pStyle w:val="242"/>
        <w:spacing w:line="360" w:lineRule="auto"/>
        <w:ind w:firstLine="480"/>
        <w:rPr>
          <w:rFonts w:hint="eastAsia" w:ascii="宋体" w:hAnsi="宋体" w:eastAsia="宋体" w:cs="宋体"/>
          <w:kern w:val="0"/>
          <w:sz w:val="24"/>
          <w:szCs w:val="24"/>
          <w:lang w:bidi="zh-CN"/>
        </w:rPr>
      </w:pPr>
      <w:r>
        <w:rPr>
          <w:rFonts w:hint="eastAsia" w:ascii="宋体" w:hAnsi="宋体" w:eastAsia="宋体" w:cs="宋体"/>
          <w:kern w:val="0"/>
          <w:sz w:val="24"/>
          <w:szCs w:val="24"/>
          <w:lang w:bidi="zh-CN"/>
        </w:rPr>
        <w:t>18、</w:t>
      </w:r>
      <w:r>
        <w:rPr>
          <w:rFonts w:hint="eastAsia" w:ascii="宋体" w:hAnsi="宋体" w:eastAsia="宋体" w:cs="宋体"/>
          <w:bCs/>
          <w:sz w:val="24"/>
          <w:szCs w:val="24"/>
        </w:rPr>
        <w:t>乙方</w:t>
      </w:r>
      <w:r>
        <w:rPr>
          <w:rFonts w:hint="eastAsia" w:ascii="宋体" w:hAnsi="宋体" w:eastAsia="宋体" w:cs="宋体"/>
          <w:bCs/>
          <w:sz w:val="24"/>
          <w:szCs w:val="24"/>
          <w:lang w:val="en-US" w:eastAsia="zh-Hans"/>
        </w:rPr>
        <w:t>人员</w:t>
      </w:r>
      <w:r>
        <w:rPr>
          <w:rFonts w:hint="eastAsia" w:ascii="宋体" w:hAnsi="宋体" w:eastAsia="宋体" w:cs="宋体"/>
          <w:bCs/>
          <w:sz w:val="24"/>
          <w:szCs w:val="24"/>
        </w:rPr>
        <w:t>在</w:t>
      </w:r>
      <w:r>
        <w:rPr>
          <w:rFonts w:hint="eastAsia" w:ascii="宋体" w:hAnsi="宋体" w:eastAsia="宋体" w:cs="宋体"/>
          <w:bCs/>
          <w:sz w:val="24"/>
          <w:szCs w:val="24"/>
          <w:lang w:val="en-US" w:eastAsia="zh-Hans"/>
        </w:rPr>
        <w:t>提供服务期间</w:t>
      </w:r>
      <w:r>
        <w:rPr>
          <w:rFonts w:hint="eastAsia" w:ascii="宋体" w:hAnsi="宋体" w:eastAsia="宋体" w:cs="宋体"/>
          <w:bCs/>
          <w:sz w:val="24"/>
          <w:szCs w:val="24"/>
        </w:rPr>
        <w:t>的人身安全责任由乙方负责</w:t>
      </w:r>
      <w:r>
        <w:rPr>
          <w:rFonts w:hint="eastAsia" w:ascii="宋体" w:hAnsi="宋体" w:eastAsia="宋体" w:cs="宋体"/>
          <w:bCs/>
          <w:sz w:val="24"/>
          <w:szCs w:val="24"/>
          <w:lang w:eastAsia="zh-Hans"/>
        </w:rPr>
        <w:t>，</w:t>
      </w:r>
      <w:r>
        <w:rPr>
          <w:rFonts w:hint="eastAsia" w:ascii="宋体" w:hAnsi="宋体" w:eastAsia="宋体" w:cs="宋体"/>
          <w:bCs/>
          <w:sz w:val="24"/>
          <w:szCs w:val="24"/>
          <w:lang w:val="en-US" w:eastAsia="zh-Hans"/>
        </w:rPr>
        <w:t>乙方人员与甲方之间不存在任何雇佣、劳动、劳务关系，乙方人员在提供服务期间发生工伤事件、劳动争议等纠纷的，由乙方承担全部责任</w:t>
      </w:r>
      <w:r>
        <w:rPr>
          <w:rFonts w:hint="eastAsia" w:ascii="宋体" w:hAnsi="宋体" w:eastAsia="宋体" w:cs="宋体"/>
          <w:bCs/>
          <w:sz w:val="24"/>
          <w:szCs w:val="24"/>
        </w:rPr>
        <w:t>。</w:t>
      </w:r>
    </w:p>
    <w:p>
      <w:pPr>
        <w:pStyle w:val="459"/>
        <w:shd w:val="clear" w:color="auto" w:fill="auto"/>
        <w:tabs>
          <w:tab w:val="left" w:pos="992"/>
        </w:tabs>
        <w:snapToGrid w:val="0"/>
        <w:spacing w:before="0" w:after="0" w:line="360" w:lineRule="auto"/>
        <w:ind w:firstLine="520"/>
        <w:jc w:val="both"/>
        <w:rPr>
          <w:rFonts w:hint="eastAsia" w:ascii="宋体" w:hAnsi="宋体" w:eastAsia="宋体" w:cs="宋体"/>
          <w:color w:val="auto"/>
          <w:sz w:val="24"/>
          <w:szCs w:val="24"/>
          <w:highlight w:val="cyan"/>
          <w:shd w:val="clear" w:color="FFFFFF" w:fill="D9D9D9"/>
          <w:lang w:val="en-US"/>
        </w:rPr>
      </w:pPr>
    </w:p>
    <w:p>
      <w:pPr>
        <w:pStyle w:val="455"/>
        <w:shd w:val="clear" w:color="auto" w:fill="auto"/>
        <w:snapToGrid w:val="0"/>
        <w:spacing w:after="0"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四、就餐满意率</w:t>
      </w:r>
    </w:p>
    <w:p>
      <w:pPr>
        <w:pStyle w:val="459"/>
        <w:shd w:val="clear" w:color="auto" w:fill="auto"/>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运营期间甲、乙双方密切配合，每日开餐期间，乙方应保证饭菜质量及本协议规定的主副食品品种数量。满意率不达标时甲方有权终止</w:t>
      </w:r>
      <w:r>
        <w:rPr>
          <w:rFonts w:hint="eastAsia" w:ascii="宋体" w:hAnsi="宋体" w:eastAsia="宋体" w:cs="宋体"/>
          <w:color w:val="auto"/>
          <w:sz w:val="24"/>
          <w:szCs w:val="24"/>
          <w:lang w:val="en-US"/>
        </w:rPr>
        <w:t>协议</w:t>
      </w:r>
      <w:r>
        <w:rPr>
          <w:rFonts w:hint="eastAsia" w:ascii="宋体" w:hAnsi="宋体" w:eastAsia="宋体" w:cs="宋体"/>
          <w:color w:val="auto"/>
          <w:sz w:val="24"/>
          <w:szCs w:val="24"/>
        </w:rPr>
        <w:t>；由此造成的损失均由乙方承担。</w:t>
      </w:r>
    </w:p>
    <w:p>
      <w:pPr>
        <w:pStyle w:val="455"/>
        <w:shd w:val="clear" w:color="auto" w:fill="auto"/>
        <w:tabs>
          <w:tab w:val="left" w:pos="517"/>
        </w:tabs>
        <w:snapToGrid w:val="0"/>
        <w:spacing w:after="0" w:line="360" w:lineRule="auto"/>
        <w:jc w:val="both"/>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val="0"/>
          <w:bCs w:val="0"/>
          <w:color w:val="auto"/>
          <w:sz w:val="24"/>
          <w:szCs w:val="24"/>
        </w:rPr>
        <w:t xml:space="preserve"> 服务期间，如接到</w:t>
      </w:r>
      <w:r>
        <w:rPr>
          <w:rFonts w:hint="eastAsia" w:ascii="宋体" w:hAnsi="宋体" w:eastAsia="宋体" w:cs="宋体"/>
          <w:b w:val="0"/>
          <w:bCs w:val="0"/>
          <w:color w:val="auto"/>
          <w:sz w:val="24"/>
          <w:szCs w:val="24"/>
          <w:lang w:val="en-US" w:eastAsia="zh-Hans"/>
        </w:rPr>
        <w:t>用餐人员</w:t>
      </w:r>
      <w:r>
        <w:rPr>
          <w:rFonts w:hint="eastAsia" w:ascii="宋体" w:hAnsi="宋体" w:eastAsia="宋体" w:cs="宋体"/>
          <w:b w:val="0"/>
          <w:bCs w:val="0"/>
          <w:color w:val="auto"/>
          <w:sz w:val="24"/>
          <w:szCs w:val="24"/>
        </w:rPr>
        <w:t>投诉的，经调查确属乙方服务态度、服务质量等方面的问题的，则每发生一次，甲方有权要求乙方支付1000元-10000元的违约金。</w:t>
      </w:r>
    </w:p>
    <w:p>
      <w:pPr>
        <w:pStyle w:val="455"/>
        <w:shd w:val="clear" w:color="auto" w:fill="auto"/>
        <w:tabs>
          <w:tab w:val="left" w:pos="517"/>
        </w:tabs>
        <w:snapToGrid w:val="0"/>
        <w:spacing w:after="0"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五、</w:t>
      </w:r>
      <w:r>
        <w:rPr>
          <w:rFonts w:hint="eastAsia" w:ascii="宋体" w:hAnsi="宋体" w:eastAsia="宋体" w:cs="宋体"/>
          <w:color w:val="auto"/>
          <w:sz w:val="24"/>
          <w:szCs w:val="24"/>
        </w:rPr>
        <w:tab/>
      </w:r>
      <w:r>
        <w:rPr>
          <w:rFonts w:hint="eastAsia" w:ascii="宋体" w:hAnsi="宋体" w:eastAsia="宋体" w:cs="宋体"/>
          <w:color w:val="auto"/>
          <w:sz w:val="24"/>
          <w:szCs w:val="24"/>
        </w:rPr>
        <w:t>财务费用结算</w:t>
      </w:r>
    </w:p>
    <w:p>
      <w:pPr>
        <w:pStyle w:val="459"/>
        <w:shd w:val="clear" w:color="auto" w:fill="auto"/>
        <w:tabs>
          <w:tab w:val="left" w:pos="917"/>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1、每月初，乙方根据甲方上月就餐系统实际消费数据向甲方提交正式结算申请。甲方如对金额有异议，应在收到正式结算申请起5个工作日内书面通知乙方，逾期未提出异议的，甲方按照正式结算申请中的金额扣除水、电、燃气费等能源费用与乙方结算。</w:t>
      </w:r>
    </w:p>
    <w:p>
      <w:pPr>
        <w:pStyle w:val="459"/>
        <w:shd w:val="clear" w:color="auto" w:fill="auto"/>
        <w:tabs>
          <w:tab w:val="left" w:pos="917"/>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rPr>
        <w:tab/>
      </w:r>
      <w:r>
        <w:rPr>
          <w:rFonts w:hint="eastAsia" w:ascii="宋体" w:hAnsi="宋体" w:eastAsia="宋体" w:cs="宋体"/>
          <w:color w:val="auto"/>
          <w:sz w:val="24"/>
          <w:szCs w:val="24"/>
        </w:rPr>
        <w:t>甲乙双方可以根据以下因素，对工作餐及毛利率进行协商调整：</w:t>
      </w:r>
    </w:p>
    <w:p>
      <w:pPr>
        <w:pStyle w:val="459"/>
        <w:numPr>
          <w:ilvl w:val="0"/>
          <w:numId w:val="4"/>
        </w:numPr>
        <w:shd w:val="clear" w:color="auto" w:fill="auto"/>
        <w:tabs>
          <w:tab w:val="left" w:pos="946"/>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当地通货膨胀率或政府公布的物价指数</w:t>
      </w:r>
      <w:r>
        <w:rPr>
          <w:rFonts w:hint="eastAsia" w:ascii="宋体" w:hAnsi="宋体" w:eastAsia="宋体" w:cs="宋体"/>
          <w:color w:val="auto"/>
          <w:sz w:val="24"/>
          <w:szCs w:val="24"/>
          <w:lang w:bidi="en-US"/>
        </w:rPr>
        <w:t>(</w:t>
      </w:r>
      <w:r>
        <w:rPr>
          <w:rStyle w:val="460"/>
          <w:rFonts w:hint="eastAsia" w:ascii="宋体" w:hAnsi="宋体" w:eastAsia="宋体" w:cs="宋体"/>
          <w:color w:val="auto"/>
          <w:sz w:val="24"/>
          <w:szCs w:val="24"/>
          <w:lang w:eastAsia="zh-CN"/>
        </w:rPr>
        <w:t>CPI</w:t>
      </w:r>
      <w:r>
        <w:rPr>
          <w:rFonts w:hint="eastAsia" w:ascii="宋体" w:hAnsi="宋体" w:eastAsia="宋体" w:cs="宋体"/>
          <w:color w:val="auto"/>
          <w:sz w:val="24"/>
          <w:szCs w:val="24"/>
          <w:lang w:bidi="en-US"/>
        </w:rPr>
        <w:t>)</w:t>
      </w:r>
      <w:r>
        <w:rPr>
          <w:rFonts w:hint="eastAsia" w:ascii="宋体" w:hAnsi="宋体" w:eastAsia="宋体" w:cs="宋体"/>
          <w:color w:val="auto"/>
          <w:sz w:val="24"/>
          <w:szCs w:val="24"/>
        </w:rPr>
        <w:t>变化；</w:t>
      </w:r>
    </w:p>
    <w:p>
      <w:pPr>
        <w:pStyle w:val="459"/>
        <w:numPr>
          <w:ilvl w:val="0"/>
          <w:numId w:val="4"/>
        </w:numPr>
        <w:shd w:val="clear" w:color="auto" w:fill="auto"/>
        <w:tabs>
          <w:tab w:val="left" w:pos="950"/>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原辅料市场价格上涨(参照油、米、禽蛋、肉类、蔬菜、水产市场价格)；</w:t>
      </w:r>
    </w:p>
    <w:p>
      <w:pPr>
        <w:pStyle w:val="459"/>
        <w:numPr>
          <w:ilvl w:val="0"/>
          <w:numId w:val="4"/>
        </w:numPr>
        <w:shd w:val="clear" w:color="auto" w:fill="auto"/>
        <w:tabs>
          <w:tab w:val="left" w:pos="886"/>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法定最低工资水平等国家政策、政府规定发生变化，直接或间接增加了 乙方成本。</w:t>
      </w:r>
    </w:p>
    <w:p>
      <w:pPr>
        <w:pStyle w:val="459"/>
        <w:shd w:val="clear" w:color="auto" w:fill="auto"/>
        <w:tabs>
          <w:tab w:val="left" w:pos="877"/>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3、甲方付款前，乙方应提供工作餐、额外服务费等费用等额增值税发票。</w:t>
      </w:r>
    </w:p>
    <w:p>
      <w:pPr>
        <w:pStyle w:val="459"/>
        <w:shd w:val="clear" w:color="auto" w:fill="auto"/>
        <w:tabs>
          <w:tab w:val="left" w:pos="877"/>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sz w:val="24"/>
        </w:rPr>
        <w:t>服务经营期间食堂水、电、燃气等能源费用、烟道清洗费用由</w:t>
      </w:r>
      <w:r>
        <w:rPr>
          <w:rFonts w:hint="eastAsia" w:ascii="宋体" w:hAnsi="宋体" w:eastAsia="宋体" w:cs="宋体"/>
          <w:sz w:val="24"/>
          <w:lang w:val="en-US"/>
        </w:rPr>
        <w:t>乙方</w:t>
      </w:r>
      <w:r>
        <w:rPr>
          <w:rFonts w:hint="eastAsia" w:ascii="宋体" w:hAnsi="宋体" w:eastAsia="宋体" w:cs="宋体"/>
          <w:sz w:val="24"/>
        </w:rPr>
        <w:t>承担。</w:t>
      </w:r>
    </w:p>
    <w:p>
      <w:pPr>
        <w:pStyle w:val="455"/>
        <w:shd w:val="clear" w:color="auto" w:fill="auto"/>
        <w:tabs>
          <w:tab w:val="left" w:pos="517"/>
        </w:tabs>
        <w:snapToGrid w:val="0"/>
        <w:spacing w:after="0"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六、</w:t>
      </w:r>
      <w:r>
        <w:rPr>
          <w:rFonts w:hint="eastAsia" w:ascii="宋体" w:hAnsi="宋体" w:eastAsia="宋体" w:cs="宋体"/>
          <w:color w:val="auto"/>
          <w:sz w:val="24"/>
          <w:szCs w:val="24"/>
        </w:rPr>
        <w:tab/>
      </w:r>
      <w:r>
        <w:rPr>
          <w:rFonts w:hint="eastAsia" w:ascii="宋体" w:hAnsi="宋体" w:eastAsia="宋体" w:cs="宋体"/>
          <w:color w:val="auto"/>
          <w:sz w:val="24"/>
          <w:szCs w:val="24"/>
        </w:rPr>
        <w:t>保证金</w:t>
      </w:r>
    </w:p>
    <w:p>
      <w:pPr>
        <w:pStyle w:val="459"/>
        <w:shd w:val="clear" w:color="auto" w:fill="auto"/>
        <w:snapToGrid w:val="0"/>
        <w:spacing w:before="0" w:after="0" w:line="360" w:lineRule="auto"/>
        <w:ind w:firstLine="520"/>
        <w:rPr>
          <w:rFonts w:hint="eastAsia" w:ascii="宋体" w:hAnsi="宋体" w:eastAsia="宋体" w:cs="宋体"/>
          <w:color w:val="auto"/>
          <w:sz w:val="24"/>
          <w:szCs w:val="24"/>
        </w:rPr>
      </w:pPr>
      <w:r>
        <w:rPr>
          <w:rFonts w:hint="eastAsia" w:ascii="宋体" w:hAnsi="宋体" w:eastAsia="宋体" w:cs="宋体"/>
          <w:color w:val="auto"/>
          <w:sz w:val="24"/>
          <w:szCs w:val="24"/>
        </w:rPr>
        <w:t>此协议签署后，乙方应在五个工作日内向甲方交纳</w:t>
      </w:r>
      <w:r>
        <w:rPr>
          <w:rFonts w:hint="eastAsia" w:ascii="宋体" w:hAnsi="宋体" w:eastAsia="宋体" w:cs="宋体"/>
          <w:b/>
          <w:bCs/>
          <w:color w:val="auto"/>
          <w:sz w:val="24"/>
          <w:szCs w:val="24"/>
        </w:rPr>
        <w:t>叁拾万元人民币</w:t>
      </w:r>
      <w:r>
        <w:rPr>
          <w:rFonts w:hint="eastAsia" w:ascii="宋体" w:hAnsi="宋体" w:eastAsia="宋体" w:cs="宋体"/>
          <w:b/>
          <w:bCs/>
          <w:color w:val="auto"/>
          <w:sz w:val="24"/>
          <w:szCs w:val="24"/>
          <w:lang w:bidi="en-US"/>
        </w:rPr>
        <w:t>(</w:t>
      </w:r>
      <w:r>
        <w:rPr>
          <w:rStyle w:val="460"/>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bidi="en-US"/>
        </w:rPr>
        <w:t>30</w:t>
      </w:r>
      <w:r>
        <w:rPr>
          <w:rFonts w:hint="eastAsia" w:ascii="宋体" w:hAnsi="宋体" w:eastAsia="宋体" w:cs="宋体"/>
          <w:b/>
          <w:bCs/>
          <w:color w:val="auto"/>
          <w:sz w:val="24"/>
          <w:szCs w:val="24"/>
          <w:lang w:bidi="en-US"/>
        </w:rPr>
        <w:t>0000.00)</w:t>
      </w:r>
      <w:r>
        <w:rPr>
          <w:rFonts w:hint="eastAsia" w:ascii="宋体" w:hAnsi="宋体" w:eastAsia="宋体" w:cs="宋体"/>
          <w:color w:val="auto"/>
          <w:sz w:val="24"/>
          <w:szCs w:val="24"/>
        </w:rPr>
        <w:t>的运营保证金。协议期内乙方无违约行为的，协议期满后甲方不计利息全额退还乙方保证金。</w:t>
      </w:r>
    </w:p>
    <w:p>
      <w:pPr>
        <w:pStyle w:val="459"/>
        <w:shd w:val="clear" w:color="auto" w:fill="auto"/>
        <w:snapToGrid w:val="0"/>
        <w:spacing w:before="0" w:after="0" w:line="360" w:lineRule="auto"/>
        <w:ind w:firstLine="520"/>
        <w:rPr>
          <w:rFonts w:hint="eastAsia" w:ascii="宋体" w:hAnsi="宋体" w:eastAsia="宋体" w:cs="宋体"/>
          <w:color w:val="auto"/>
          <w:sz w:val="24"/>
          <w:szCs w:val="24"/>
          <w:lang w:val="en-US" w:eastAsia="zh-Hans"/>
        </w:rPr>
      </w:pPr>
      <w:r>
        <w:rPr>
          <w:rFonts w:hint="eastAsia" w:ascii="宋体" w:hAnsi="宋体" w:eastAsia="宋体" w:cs="宋体"/>
          <w:sz w:val="24"/>
          <w:lang w:val="en-US" w:eastAsia="zh-Hans"/>
        </w:rPr>
        <w:t>协议期内，</w:t>
      </w:r>
      <w:r>
        <w:rPr>
          <w:rFonts w:hint="eastAsia" w:ascii="宋体" w:hAnsi="宋体" w:eastAsia="宋体" w:cs="宋体"/>
          <w:sz w:val="24"/>
        </w:rPr>
        <w:t>如果因乙方的原因造成</w:t>
      </w:r>
      <w:r>
        <w:rPr>
          <w:rFonts w:hint="eastAsia" w:ascii="宋体" w:hAnsi="宋体" w:eastAsia="宋体" w:cs="宋体"/>
          <w:sz w:val="24"/>
          <w:lang w:val="en-US" w:eastAsia="zh-Hans"/>
        </w:rPr>
        <w:t>甲方</w:t>
      </w:r>
      <w:r>
        <w:rPr>
          <w:rFonts w:hint="eastAsia" w:ascii="宋体" w:hAnsi="宋体" w:eastAsia="宋体" w:cs="宋体"/>
          <w:sz w:val="24"/>
        </w:rPr>
        <w:t>设备损坏，</w:t>
      </w:r>
      <w:r>
        <w:rPr>
          <w:rFonts w:hint="eastAsia" w:ascii="宋体" w:hAnsi="宋体" w:eastAsia="宋体" w:cs="宋体"/>
          <w:sz w:val="24"/>
          <w:lang w:val="en-US" w:eastAsia="zh-Hans"/>
        </w:rPr>
        <w:t>或</w:t>
      </w:r>
      <w:r>
        <w:rPr>
          <w:rFonts w:hint="eastAsia" w:ascii="宋体" w:hAnsi="宋体" w:eastAsia="宋体" w:cs="宋体"/>
          <w:sz w:val="24"/>
        </w:rPr>
        <w:t>提供的餐饮质量不合格造成就餐人员食品安全问题及损失的，甲方将根据损失程度、数量折价后从保证金中扣除</w:t>
      </w:r>
      <w:r>
        <w:rPr>
          <w:rFonts w:hint="eastAsia" w:ascii="宋体" w:hAnsi="宋体" w:eastAsia="宋体" w:cs="宋体"/>
          <w:sz w:val="24"/>
          <w:lang w:eastAsia="zh-Hans"/>
        </w:rPr>
        <w:t>，</w:t>
      </w:r>
      <w:r>
        <w:rPr>
          <w:rFonts w:hint="eastAsia" w:ascii="宋体" w:hAnsi="宋体" w:eastAsia="宋体" w:cs="宋体"/>
          <w:sz w:val="24"/>
          <w:lang w:val="en-US" w:eastAsia="zh-Hans"/>
        </w:rPr>
        <w:t>乙方应在接到甲方通知后</w:t>
      </w:r>
      <w:r>
        <w:rPr>
          <w:rFonts w:hint="eastAsia" w:ascii="宋体" w:hAnsi="宋体" w:eastAsia="宋体" w:cs="宋体"/>
          <w:sz w:val="24"/>
          <w:lang w:eastAsia="zh-Hans"/>
        </w:rPr>
        <w:t>5</w:t>
      </w:r>
      <w:r>
        <w:rPr>
          <w:rFonts w:hint="eastAsia" w:ascii="宋体" w:hAnsi="宋体" w:eastAsia="宋体" w:cs="宋体"/>
          <w:sz w:val="24"/>
          <w:lang w:val="en-US" w:eastAsia="zh-Hans"/>
        </w:rPr>
        <w:t>日内补齐保证金。</w:t>
      </w:r>
    </w:p>
    <w:p>
      <w:pPr>
        <w:pStyle w:val="455"/>
        <w:shd w:val="clear" w:color="auto" w:fill="auto"/>
        <w:tabs>
          <w:tab w:val="left" w:pos="517"/>
        </w:tabs>
        <w:snapToGrid w:val="0"/>
        <w:spacing w:after="0"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七、</w:t>
      </w:r>
      <w:r>
        <w:rPr>
          <w:rFonts w:hint="eastAsia" w:ascii="宋体" w:hAnsi="宋体" w:eastAsia="宋体" w:cs="宋体"/>
          <w:color w:val="auto"/>
          <w:sz w:val="24"/>
          <w:szCs w:val="24"/>
        </w:rPr>
        <w:tab/>
      </w:r>
      <w:r>
        <w:rPr>
          <w:rFonts w:hint="eastAsia" w:ascii="宋体" w:hAnsi="宋体" w:eastAsia="宋体" w:cs="宋体"/>
          <w:color w:val="auto"/>
          <w:sz w:val="24"/>
          <w:szCs w:val="24"/>
        </w:rPr>
        <w:t>违约责任</w:t>
      </w:r>
    </w:p>
    <w:p>
      <w:pPr>
        <w:pStyle w:val="459"/>
        <w:shd w:val="clear" w:color="auto" w:fill="auto"/>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rPr>
        <w:t>1</w:t>
      </w:r>
      <w:r>
        <w:rPr>
          <w:rFonts w:hint="eastAsia" w:ascii="宋体" w:hAnsi="宋体" w:eastAsia="宋体" w:cs="宋体"/>
          <w:color w:val="auto"/>
          <w:sz w:val="24"/>
          <w:szCs w:val="24"/>
        </w:rPr>
        <w:t>、因甲方原因致使本合同无法继续履行的，甲方应向乙方支付本协议项下</w:t>
      </w:r>
    </w:p>
    <w:p>
      <w:pPr>
        <w:pStyle w:val="459"/>
        <w:shd w:val="clear" w:color="auto" w:fill="auto"/>
        <w:snapToGrid w:val="0"/>
        <w:spacing w:before="0" w:after="0"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rPr>
        <w:t>己履行部分的服务费用以及暂停服务期间乙方的固定成本及费用。</w:t>
      </w:r>
    </w:p>
    <w:p>
      <w:pPr>
        <w:pStyle w:val="459"/>
        <w:shd w:val="clear" w:color="auto" w:fill="auto"/>
        <w:tabs>
          <w:tab w:val="left" w:pos="858"/>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rPr>
        <w:t>2</w:t>
      </w:r>
      <w:r>
        <w:rPr>
          <w:rFonts w:hint="eastAsia" w:ascii="宋体" w:hAnsi="宋体" w:eastAsia="宋体" w:cs="宋体"/>
          <w:color w:val="auto"/>
          <w:sz w:val="24"/>
          <w:szCs w:val="24"/>
        </w:rPr>
        <w:t>、甲方因食品安全受到相关政府部门的任何行政处罚，经核实属乙方责任的，乙方应当补偿甲方因此遭受的损失。</w:t>
      </w:r>
    </w:p>
    <w:p>
      <w:pPr>
        <w:pStyle w:val="459"/>
        <w:shd w:val="clear" w:color="auto" w:fill="auto"/>
        <w:tabs>
          <w:tab w:val="left" w:pos="87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rPr>
        <w:t>3</w:t>
      </w:r>
      <w:r>
        <w:rPr>
          <w:rFonts w:hint="eastAsia" w:ascii="宋体" w:hAnsi="宋体" w:eastAsia="宋体" w:cs="宋体"/>
          <w:color w:val="auto"/>
          <w:sz w:val="24"/>
          <w:szCs w:val="24"/>
        </w:rPr>
        <w:t>、经双方管理人员共同调查，确因乙方工作人员故意或重大失误造成甲方提供的设施、设备、用具损坏的，乙方应向甲方承担损害赔偿责任。</w:t>
      </w:r>
    </w:p>
    <w:p>
      <w:pPr>
        <w:pStyle w:val="459"/>
        <w:shd w:val="clear" w:color="auto" w:fill="auto"/>
        <w:tabs>
          <w:tab w:val="left" w:pos="88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w:t>
      </w:r>
      <w:r>
        <w:rPr>
          <w:rFonts w:hint="eastAsia" w:ascii="宋体" w:hAnsi="宋体" w:eastAsia="宋体" w:cs="宋体"/>
          <w:color w:val="auto"/>
          <w:sz w:val="24"/>
          <w:szCs w:val="24"/>
        </w:rPr>
        <w:tab/>
      </w:r>
      <w:r>
        <w:rPr>
          <w:rFonts w:hint="eastAsia" w:ascii="宋体" w:hAnsi="宋体" w:eastAsia="宋体" w:cs="宋体"/>
          <w:color w:val="auto"/>
          <w:sz w:val="24"/>
          <w:szCs w:val="24"/>
        </w:rPr>
        <w:t>因乙方提供的餐食存在质量问题引发食物中毒事件，经政府部门核实确属乙方责任的，乙方应承担相应的损害赔偿责任，并视为乙方违约，保证金不予以退还。造成严重后果的，追究乙方的法律责任。如因乙方原因发生的各类责任事故，均由乙方承担由此产生的一切后果。</w:t>
      </w:r>
    </w:p>
    <w:p>
      <w:pPr>
        <w:pStyle w:val="459"/>
        <w:shd w:val="clear" w:color="auto" w:fill="auto"/>
        <w:snapToGrid w:val="0"/>
        <w:spacing w:before="0" w:after="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、因主要设备发生故障影响乙方服务质量的，甲方应予以理解并不得因此主张乙方违约责任，但乙方应尽量将这种影响降低到最低。如因乙方原因发生各类责任事故，均由乙方承担由此产生的一切后果。</w:t>
      </w:r>
    </w:p>
    <w:p>
      <w:pPr>
        <w:pStyle w:val="455"/>
        <w:shd w:val="clear" w:color="auto" w:fill="auto"/>
        <w:snapToGrid w:val="0"/>
        <w:spacing w:after="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八、协议解除</w:t>
      </w:r>
    </w:p>
    <w:p>
      <w:pPr>
        <w:pStyle w:val="459"/>
        <w:shd w:val="clear" w:color="auto" w:fill="auto"/>
        <w:tabs>
          <w:tab w:val="left" w:pos="87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1、乙方因经营不善管理混乱，连续3次民主测评满意率的平均值达不到80%,视为乙方违约，甲方有权终止协议；由此造成的损失均由乙方承担。</w:t>
      </w:r>
    </w:p>
    <w:p>
      <w:pPr>
        <w:pStyle w:val="459"/>
        <w:shd w:val="clear" w:color="auto" w:fill="auto"/>
        <w:tabs>
          <w:tab w:val="left" w:pos="91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rPr>
        <w:tab/>
      </w:r>
      <w:r>
        <w:rPr>
          <w:rFonts w:hint="eastAsia" w:ascii="宋体" w:hAnsi="宋体" w:eastAsia="宋体" w:cs="宋体"/>
          <w:color w:val="auto"/>
          <w:sz w:val="24"/>
          <w:szCs w:val="24"/>
        </w:rPr>
        <w:t>乙方出现下列情况时，甲方可以提前解除本协议并不予退还保证金：</w:t>
      </w:r>
    </w:p>
    <w:p>
      <w:pPr>
        <w:pStyle w:val="459"/>
        <w:numPr>
          <w:ilvl w:val="0"/>
          <w:numId w:val="5"/>
        </w:numPr>
        <w:shd w:val="clear" w:color="auto" w:fill="auto"/>
        <w:tabs>
          <w:tab w:val="left" w:pos="886"/>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服务期间发生食物中毒、火灾等安全事故，经政府部门确定为乙方责任 的；</w:t>
      </w:r>
    </w:p>
    <w:p>
      <w:pPr>
        <w:pStyle w:val="459"/>
        <w:numPr>
          <w:ilvl w:val="0"/>
          <w:numId w:val="5"/>
        </w:numPr>
        <w:shd w:val="clear" w:color="auto" w:fill="auto"/>
        <w:tabs>
          <w:tab w:val="left" w:pos="946"/>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未经甲方同意擅自停业的；</w:t>
      </w:r>
    </w:p>
    <w:p>
      <w:pPr>
        <w:pStyle w:val="459"/>
        <w:numPr>
          <w:ilvl w:val="0"/>
          <w:numId w:val="5"/>
        </w:numPr>
        <w:shd w:val="clear" w:color="auto" w:fill="auto"/>
        <w:tabs>
          <w:tab w:val="left" w:pos="946"/>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采购并使用病畜、病禽或地沟油等食材</w:t>
      </w:r>
      <w:r>
        <w:rPr>
          <w:rFonts w:hint="eastAsia" w:ascii="宋体" w:hAnsi="宋体" w:eastAsia="宋体" w:cs="宋体"/>
          <w:color w:val="auto"/>
          <w:sz w:val="24"/>
          <w:szCs w:val="24"/>
          <w:lang w:eastAsia="zh-Hans"/>
        </w:rPr>
        <w:t>。</w:t>
      </w:r>
    </w:p>
    <w:p>
      <w:pPr>
        <w:pStyle w:val="459"/>
        <w:numPr>
          <w:ilvl w:val="0"/>
          <w:numId w:val="6"/>
        </w:numPr>
        <w:shd w:val="clear" w:color="auto" w:fill="auto"/>
        <w:tabs>
          <w:tab w:val="left" w:pos="87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因国家政策变化、战争、自然灾难等不可抗拒原因；或者甲方建设用地、 院区的规划需要等情况，导致合同不能执行时，甲、乙双方均不承担责任。乙方按照权属归还甲方的全部财产，甲方无息退还乙方经营保证金，协议自然终止。</w:t>
      </w:r>
    </w:p>
    <w:p>
      <w:pPr>
        <w:pStyle w:val="459"/>
        <w:numPr>
          <w:ilvl w:val="0"/>
          <w:numId w:val="6"/>
        </w:numPr>
        <w:shd w:val="clear" w:color="auto" w:fill="auto"/>
        <w:tabs>
          <w:tab w:val="left" w:pos="87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本项目服务期为三年，每季度进行考核，</w:t>
      </w:r>
      <w:r>
        <w:rPr>
          <w:rFonts w:hint="eastAsia" w:ascii="宋体" w:hAnsi="宋体" w:eastAsia="宋体" w:cs="宋体"/>
          <w:color w:val="auto"/>
          <w:sz w:val="24"/>
          <w:szCs w:val="24"/>
        </w:rPr>
        <w:t>连续3次考核不达标,视为乙方违约，甲方有权终止协议；由此造成的损失均由乙方承担。</w:t>
      </w:r>
    </w:p>
    <w:p>
      <w:pPr>
        <w:pStyle w:val="455"/>
        <w:shd w:val="clear" w:color="auto" w:fill="auto"/>
        <w:snapToGrid w:val="0"/>
        <w:spacing w:after="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九、其他</w:t>
      </w:r>
    </w:p>
    <w:p>
      <w:pPr>
        <w:pStyle w:val="459"/>
        <w:shd w:val="clear" w:color="auto" w:fill="auto"/>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1、甲、乙双方代表应定期召开会议，对乙方的营运工作进行评定，会议记录由双方代表签字并存档保留。甲、乙双方的代表均有责任确保上述会议的定期进行。</w:t>
      </w:r>
    </w:p>
    <w:p>
      <w:pPr>
        <w:pStyle w:val="459"/>
        <w:shd w:val="clear" w:color="auto" w:fill="auto"/>
        <w:tabs>
          <w:tab w:val="left" w:pos="862"/>
        </w:tabs>
        <w:snapToGrid w:val="0"/>
        <w:spacing w:before="0" w:after="0" w:line="360" w:lineRule="auto"/>
        <w:ind w:firstLine="520"/>
        <w:rPr>
          <w:rFonts w:hint="eastAsia" w:ascii="宋体" w:hAnsi="宋体" w:eastAsia="宋体" w:cs="宋体"/>
          <w:color w:val="auto"/>
          <w:sz w:val="24"/>
          <w:szCs w:val="24"/>
        </w:rPr>
      </w:pPr>
      <w:r>
        <w:rPr>
          <w:rFonts w:hint="eastAsia" w:ascii="宋体" w:hAnsi="宋体" w:eastAsia="宋体" w:cs="宋体"/>
          <w:color w:val="auto"/>
          <w:sz w:val="24"/>
          <w:szCs w:val="24"/>
        </w:rPr>
        <w:t>2、除双方以书面形式另有约定外，在协议期内及协议终止后一年内，甲、 乙双方不得以任何形式聘用对方正在雇用或曾经雇用的与此餐饮服务有关的“管 理人员”。（“管理人员”是指在本协议执行的最后12个月内的任何时候，在甲方或乙方直接参与本协议项下服务管理或提供专业服务的人员）。</w:t>
      </w:r>
    </w:p>
    <w:p>
      <w:pPr>
        <w:pStyle w:val="459"/>
        <w:shd w:val="clear" w:color="auto" w:fill="auto"/>
        <w:tabs>
          <w:tab w:val="left" w:pos="86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Hans"/>
        </w:rPr>
        <w:t>任何一方</w:t>
      </w:r>
      <w:r>
        <w:rPr>
          <w:rFonts w:hint="eastAsia" w:ascii="宋体" w:hAnsi="宋体" w:eastAsia="宋体" w:cs="宋体"/>
          <w:color w:val="auto"/>
          <w:sz w:val="24"/>
          <w:szCs w:val="24"/>
        </w:rPr>
        <w:t>不得向第三方泄漏在履行合同过程中了解或获得的任何未经甲、乙方公开的信息。即使本协议终止以后，甲、乙双方仍须履行保密义务。</w:t>
      </w:r>
    </w:p>
    <w:p>
      <w:pPr>
        <w:pStyle w:val="459"/>
        <w:shd w:val="clear" w:color="auto" w:fill="auto"/>
        <w:tabs>
          <w:tab w:val="left" w:pos="862"/>
        </w:tabs>
        <w:snapToGrid w:val="0"/>
        <w:spacing w:before="0" w:after="0" w:line="360" w:lineRule="auto"/>
        <w:ind w:firstLine="520"/>
        <w:rPr>
          <w:rFonts w:hint="eastAsia" w:ascii="宋体" w:hAnsi="宋体" w:eastAsia="宋体" w:cs="宋体"/>
          <w:color w:val="auto"/>
          <w:sz w:val="24"/>
          <w:szCs w:val="24"/>
        </w:rPr>
      </w:pP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、本协议终止履行的，甲乙双方在办理相关交接手续后，乙方必须及时、完全地撤出甲方。</w:t>
      </w:r>
    </w:p>
    <w:p>
      <w:pPr>
        <w:pStyle w:val="459"/>
        <w:shd w:val="clear" w:color="auto" w:fill="auto"/>
        <w:tabs>
          <w:tab w:val="left" w:pos="862"/>
        </w:tabs>
        <w:snapToGrid w:val="0"/>
        <w:spacing w:before="0" w:after="0" w:line="360" w:lineRule="auto"/>
        <w:ind w:firstLine="52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Hans"/>
        </w:rPr>
        <w:t>与</w:t>
      </w:r>
      <w:r>
        <w:rPr>
          <w:rFonts w:hint="eastAsia" w:ascii="宋体" w:hAnsi="宋体" w:eastAsia="宋体" w:cs="宋体"/>
          <w:color w:val="auto"/>
          <w:sz w:val="24"/>
          <w:szCs w:val="24"/>
        </w:rPr>
        <w:t>本协议</w:t>
      </w:r>
      <w:r>
        <w:rPr>
          <w:rFonts w:hint="eastAsia" w:ascii="宋体" w:hAnsi="宋体" w:eastAsia="宋体" w:cs="宋体"/>
          <w:color w:val="auto"/>
          <w:sz w:val="24"/>
          <w:szCs w:val="24"/>
          <w:lang w:val="en-US" w:eastAsia="zh-Hans"/>
        </w:rPr>
        <w:t>有关</w:t>
      </w:r>
      <w:r>
        <w:rPr>
          <w:rFonts w:hint="eastAsia" w:ascii="宋体" w:hAnsi="宋体" w:eastAsia="宋体" w:cs="宋体"/>
          <w:color w:val="auto"/>
          <w:sz w:val="24"/>
          <w:szCs w:val="24"/>
        </w:rPr>
        <w:t>事宜，双方本着公正、合理的原则，友好协商解决</w:t>
      </w:r>
      <w:r>
        <w:rPr>
          <w:rFonts w:hint="eastAsia" w:ascii="宋体" w:hAnsi="宋体" w:eastAsia="宋体" w:cs="宋体"/>
          <w:color w:val="auto"/>
          <w:sz w:val="24"/>
          <w:szCs w:val="24"/>
          <w:lang w:val="en-US" w:eastAsia="zh-Hans"/>
        </w:rPr>
        <w:t>，</w:t>
      </w:r>
      <w:r>
        <w:rPr>
          <w:rFonts w:hint="eastAsia" w:ascii="宋体" w:hAnsi="宋体" w:eastAsia="宋体" w:cs="宋体"/>
          <w:color w:val="auto"/>
          <w:sz w:val="24"/>
          <w:szCs w:val="24"/>
        </w:rPr>
        <w:t>协商不成时，任何一方可向项目所在地人民法院提起诉讼。</w:t>
      </w:r>
    </w:p>
    <w:p>
      <w:pPr>
        <w:pStyle w:val="459"/>
        <w:shd w:val="clear" w:color="auto" w:fill="auto"/>
        <w:tabs>
          <w:tab w:val="left" w:pos="889"/>
        </w:tabs>
        <w:snapToGrid w:val="0"/>
        <w:spacing w:before="0" w:after="0" w:line="360" w:lineRule="auto"/>
        <w:ind w:firstLine="52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6、</w:t>
      </w:r>
      <w:r>
        <w:rPr>
          <w:rFonts w:hint="eastAsia" w:ascii="宋体" w:hAnsi="宋体" w:eastAsia="宋体" w:cs="宋体"/>
          <w:color w:val="auto"/>
          <w:sz w:val="24"/>
          <w:szCs w:val="24"/>
          <w:lang w:val="en-US"/>
        </w:rPr>
        <w:tab/>
      </w:r>
      <w:r>
        <w:rPr>
          <w:rFonts w:hint="eastAsia" w:ascii="宋体" w:hAnsi="宋体" w:eastAsia="宋体" w:cs="宋体"/>
          <w:color w:val="auto"/>
          <w:sz w:val="24"/>
          <w:szCs w:val="24"/>
          <w:lang w:val="en-US"/>
        </w:rPr>
        <w:t>本协议自甲、乙双方法定代表人或授权代表签字并加盖公章之日起生效，本协议一式  份，甲方执  份，乙方执  份，各份具有同等法律效力。</w:t>
      </w:r>
    </w:p>
    <w:p>
      <w:pPr>
        <w:pStyle w:val="459"/>
        <w:shd w:val="clear" w:color="auto" w:fill="auto"/>
        <w:tabs>
          <w:tab w:val="left" w:pos="889"/>
        </w:tabs>
        <w:snapToGrid w:val="0"/>
        <w:spacing w:before="0" w:after="0" w:line="360" w:lineRule="auto"/>
        <w:ind w:firstLine="52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7、下列文件构成本协议的组成部分，应该认为是一个整体，彼此相互解释，相互补充。为便于解释，组成协议的多个文件的优先支配地位的次序如下：</w:t>
      </w:r>
    </w:p>
    <w:p>
      <w:pPr>
        <w:pStyle w:val="459"/>
        <w:shd w:val="clear" w:color="auto" w:fill="auto"/>
        <w:tabs>
          <w:tab w:val="left" w:pos="889"/>
        </w:tabs>
        <w:snapToGrid w:val="0"/>
        <w:spacing w:before="0" w:after="0" w:line="360" w:lineRule="auto"/>
        <w:ind w:firstLine="52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（1）本协议　</w:t>
      </w:r>
    </w:p>
    <w:p>
      <w:pPr>
        <w:pStyle w:val="459"/>
        <w:shd w:val="clear" w:color="auto" w:fill="auto"/>
        <w:tabs>
          <w:tab w:val="left" w:pos="889"/>
        </w:tabs>
        <w:snapToGrid w:val="0"/>
        <w:spacing w:before="0" w:after="0" w:line="360" w:lineRule="auto"/>
        <w:ind w:firstLine="52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）招标文件或比选文件（含招标文件或比选文件补充通知）</w:t>
      </w:r>
    </w:p>
    <w:p>
      <w:pPr>
        <w:pStyle w:val="459"/>
        <w:shd w:val="clear" w:color="auto" w:fill="auto"/>
        <w:tabs>
          <w:tab w:val="left" w:pos="889"/>
        </w:tabs>
        <w:snapToGrid w:val="0"/>
        <w:spacing w:before="0" w:after="0" w:line="360" w:lineRule="auto"/>
        <w:ind w:firstLine="52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rPr>
        <w:t>）投标文件（含澄清文件）</w:t>
      </w:r>
    </w:p>
    <w:p>
      <w:pPr>
        <w:pStyle w:val="459"/>
        <w:shd w:val="clear" w:color="auto" w:fill="auto"/>
        <w:tabs>
          <w:tab w:val="left" w:pos="889"/>
        </w:tabs>
        <w:snapToGrid w:val="0"/>
        <w:spacing w:before="0" w:after="0" w:line="360" w:lineRule="auto"/>
        <w:ind w:firstLine="520"/>
        <w:jc w:val="both"/>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（以下无正文）</w:t>
      </w:r>
    </w:p>
    <w:p>
      <w:pPr>
        <w:pStyle w:val="459"/>
        <w:shd w:val="clear" w:color="auto" w:fill="auto"/>
        <w:tabs>
          <w:tab w:val="left" w:pos="889"/>
        </w:tabs>
        <w:snapToGrid w:val="0"/>
        <w:spacing w:before="0" w:after="0" w:line="360" w:lineRule="auto"/>
        <w:ind w:firstLine="520"/>
        <w:jc w:val="both"/>
        <w:rPr>
          <w:rFonts w:hint="eastAsia" w:ascii="宋体" w:hAnsi="宋体" w:eastAsia="宋体" w:cs="宋体"/>
          <w:color w:val="auto"/>
          <w:sz w:val="24"/>
          <w:szCs w:val="24"/>
          <w:lang w:val="en-US" w:eastAsia="zh-Hans"/>
        </w:rPr>
      </w:pPr>
    </w:p>
    <w:p>
      <w:pPr>
        <w:shd w:val="clear" w:color="auto" w:fill="auto"/>
        <w:snapToGrid w:val="0"/>
        <w:spacing w:before="0" w:after="0" w:line="360" w:lineRule="auto"/>
        <w:ind w:firstLine="52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br w:type="page"/>
      </w:r>
    </w:p>
    <w:p>
      <w:pPr>
        <w:pStyle w:val="459"/>
        <w:shd w:val="clear" w:color="auto" w:fill="auto"/>
        <w:tabs>
          <w:tab w:val="left" w:pos="889"/>
        </w:tabs>
        <w:snapToGrid w:val="0"/>
        <w:spacing w:before="0" w:after="0" w:line="360" w:lineRule="auto"/>
        <w:ind w:firstLine="520"/>
        <w:jc w:val="both"/>
        <w:rPr>
          <w:rFonts w:hint="eastAsia" w:ascii="宋体" w:hAnsi="宋体" w:eastAsia="宋体" w:cs="宋体"/>
          <w:color w:val="auto"/>
          <w:sz w:val="24"/>
          <w:szCs w:val="24"/>
        </w:rPr>
      </w:pPr>
    </w:p>
    <w:p>
      <w:pPr>
        <w:snapToGrid w:val="0"/>
        <w:spacing w:line="360" w:lineRule="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甲方：                                     乙方：</w:t>
      </w:r>
    </w:p>
    <w:p>
      <w:pPr>
        <w:snapToGrid w:val="0"/>
        <w:spacing w:line="360" w:lineRule="auto"/>
        <w:rPr>
          <w:rFonts w:hint="eastAsia" w:ascii="宋体" w:hAnsi="宋体" w:eastAsia="宋体" w:cs="宋体"/>
          <w:b/>
          <w:bCs w:val="0"/>
          <w:color w:val="000000" w:themeColor="text1"/>
          <w:sz w:val="24"/>
          <w:szCs w:val="24"/>
          <w14:textFill>
            <w14:solidFill>
              <w14:schemeClr w14:val="tx1"/>
            </w14:solidFill>
          </w14:textFill>
        </w:rPr>
      </w:pPr>
    </w:p>
    <w:p>
      <w:pPr>
        <w:snapToGrid w:val="0"/>
        <w:spacing w:line="360" w:lineRule="auto"/>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法定代表人</w:t>
      </w:r>
      <w:r>
        <w:rPr>
          <w:rFonts w:hint="eastAsia" w:ascii="宋体" w:hAnsi="宋体" w:eastAsia="宋体" w:cs="宋体"/>
          <w:b/>
          <w:bCs w:val="0"/>
          <w:color w:val="000000" w:themeColor="text1"/>
          <w:sz w:val="24"/>
          <w:szCs w:val="24"/>
          <w:lang w:eastAsia="zh-CN"/>
          <w14:textFill>
            <w14:solidFill>
              <w14:schemeClr w14:val="tx1"/>
            </w14:solidFill>
          </w14:textFill>
        </w:rPr>
        <w:t>或</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val="0"/>
          <w:color w:val="000000" w:themeColor="text1"/>
          <w:sz w:val="24"/>
          <w:szCs w:val="24"/>
          <w14:textFill>
            <w14:solidFill>
              <w14:schemeClr w14:val="tx1"/>
            </w14:solidFill>
          </w14:textFill>
        </w:rPr>
        <w:t>法定代表人</w:t>
      </w:r>
      <w:r>
        <w:rPr>
          <w:rFonts w:hint="eastAsia" w:ascii="宋体" w:hAnsi="宋体" w:eastAsia="宋体" w:cs="宋体"/>
          <w:b/>
          <w:bCs w:val="0"/>
          <w:color w:val="000000" w:themeColor="text1"/>
          <w:sz w:val="24"/>
          <w:szCs w:val="24"/>
          <w:lang w:eastAsia="zh-CN"/>
          <w14:textFill>
            <w14:solidFill>
              <w14:schemeClr w14:val="tx1"/>
            </w14:solidFill>
          </w14:textFill>
        </w:rPr>
        <w:t>或</w:t>
      </w:r>
    </w:p>
    <w:p>
      <w:pPr>
        <w:snapToGrid w:val="0"/>
        <w:spacing w:line="360" w:lineRule="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t>授权代表（签字）</w:t>
      </w:r>
      <w:r>
        <w:rPr>
          <w:rFonts w:hint="eastAsia" w:ascii="宋体" w:hAnsi="宋体" w:eastAsia="宋体" w:cs="宋体"/>
          <w:b/>
          <w:bCs w:val="0"/>
          <w:color w:val="000000" w:themeColor="text1"/>
          <w:sz w:val="24"/>
          <w:szCs w:val="24"/>
          <w14:textFill>
            <w14:solidFill>
              <w14:schemeClr w14:val="tx1"/>
            </w14:solidFill>
          </w14:textFill>
        </w:rPr>
        <w:t xml:space="preserve">：             </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val="0"/>
          <w:color w:val="000000" w:themeColor="text1"/>
          <w:sz w:val="24"/>
          <w:szCs w:val="24"/>
          <w:lang w:eastAsia="zh-CN"/>
          <w14:textFill>
            <w14:solidFill>
              <w14:schemeClr w14:val="tx1"/>
            </w14:solidFill>
          </w14:textFill>
        </w:rPr>
        <w:t>授权代表（签字）</w:t>
      </w:r>
      <w:r>
        <w:rPr>
          <w:rFonts w:hint="eastAsia" w:ascii="宋体" w:hAnsi="宋体" w:eastAsia="宋体" w:cs="宋体"/>
          <w:b/>
          <w:bCs w:val="0"/>
          <w:color w:val="000000" w:themeColor="text1"/>
          <w:sz w:val="24"/>
          <w:szCs w:val="24"/>
          <w14:textFill>
            <w14:solidFill>
              <w14:schemeClr w14:val="tx1"/>
            </w14:solidFill>
          </w14:textFill>
        </w:rPr>
        <w:t>：</w:t>
      </w:r>
    </w:p>
    <w:p>
      <w:pPr>
        <w:snapToGrid w:val="0"/>
        <w:spacing w:line="360" w:lineRule="auto"/>
        <w:rPr>
          <w:rFonts w:hint="eastAsia" w:ascii="宋体" w:hAnsi="宋体" w:eastAsia="宋体" w:cs="宋体"/>
          <w:b/>
          <w:bCs w:val="0"/>
          <w:color w:val="000000" w:themeColor="text1"/>
          <w:sz w:val="24"/>
          <w:szCs w:val="24"/>
          <w14:textFill>
            <w14:solidFill>
              <w14:schemeClr w14:val="tx1"/>
            </w14:solidFill>
          </w14:textFill>
        </w:rPr>
      </w:pPr>
    </w:p>
    <w:p>
      <w:pPr>
        <w:spacing w:line="360" w:lineRule="auto"/>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日期：20  </w:t>
      </w:r>
      <w:r>
        <w:rPr>
          <w:rFonts w:hint="eastAsia" w:ascii="宋体" w:hAnsi="宋体" w:eastAsia="宋体" w:cs="宋体"/>
          <w:b/>
          <w:bCs w:val="0"/>
          <w:color w:val="000000" w:themeColor="text1"/>
          <w:sz w:val="24"/>
          <w:szCs w:val="24"/>
          <w:lang w:val="en-US" w:eastAsia="zh-Hans"/>
          <w14:textFill>
            <w14:solidFill>
              <w14:schemeClr w14:val="tx1"/>
            </w14:solidFill>
          </w14:textFill>
        </w:rPr>
        <w:t>年</w:t>
      </w:r>
      <w:r>
        <w:rPr>
          <w:rFonts w:hint="eastAsia" w:ascii="宋体" w:hAnsi="宋体" w:eastAsia="宋体" w:cs="宋体"/>
          <w:b/>
          <w:bCs w:val="0"/>
          <w:color w:val="000000" w:themeColor="text1"/>
          <w:sz w:val="24"/>
          <w:szCs w:val="24"/>
          <w:lang w:eastAsia="zh-Hans"/>
          <w14:textFill>
            <w14:solidFill>
              <w14:schemeClr w14:val="tx1"/>
            </w14:solidFill>
          </w14:textFill>
        </w:rPr>
        <w:t xml:space="preserve">  </w:t>
      </w:r>
      <w:r>
        <w:rPr>
          <w:rFonts w:hint="eastAsia" w:ascii="宋体" w:hAnsi="宋体" w:eastAsia="宋体" w:cs="宋体"/>
          <w:b/>
          <w:bCs w:val="0"/>
          <w:color w:val="000000" w:themeColor="text1"/>
          <w:sz w:val="24"/>
          <w:szCs w:val="24"/>
          <w:lang w:val="en-US" w:eastAsia="zh-Hans"/>
          <w14:textFill>
            <w14:solidFill>
              <w14:schemeClr w14:val="tx1"/>
            </w14:solidFill>
          </w14:textFill>
        </w:rPr>
        <w:t>月</w:t>
      </w:r>
      <w:r>
        <w:rPr>
          <w:rFonts w:hint="eastAsia" w:ascii="宋体" w:hAnsi="宋体" w:eastAsia="宋体" w:cs="宋体"/>
          <w:b/>
          <w:bCs w:val="0"/>
          <w:color w:val="000000" w:themeColor="text1"/>
          <w:sz w:val="24"/>
          <w:szCs w:val="24"/>
          <w:lang w:eastAsia="zh-Hans"/>
          <w14:textFill>
            <w14:solidFill>
              <w14:schemeClr w14:val="tx1"/>
            </w14:solidFill>
          </w14:textFill>
        </w:rPr>
        <w:t xml:space="preserve">  </w:t>
      </w:r>
      <w:r>
        <w:rPr>
          <w:rFonts w:hint="eastAsia" w:ascii="宋体" w:hAnsi="宋体" w:eastAsia="宋体" w:cs="宋体"/>
          <w:b/>
          <w:bCs w:val="0"/>
          <w:color w:val="000000" w:themeColor="text1"/>
          <w:sz w:val="24"/>
          <w:szCs w:val="24"/>
          <w:lang w:val="en-US" w:eastAsia="zh-Hans"/>
          <w14:textFill>
            <w14:solidFill>
              <w14:schemeClr w14:val="tx1"/>
            </w14:solidFill>
          </w14:textFill>
        </w:rPr>
        <w:t>日</w:t>
      </w:r>
      <w:r>
        <w:rPr>
          <w:rFonts w:hint="eastAsia" w:ascii="宋体" w:hAnsi="宋体" w:eastAsia="宋体" w:cs="宋体"/>
          <w:b/>
          <w:bCs w:val="0"/>
          <w:color w:val="000000" w:themeColor="text1"/>
          <w:sz w:val="24"/>
          <w:szCs w:val="24"/>
          <w14:textFill>
            <w14:solidFill>
              <w14:schemeClr w14:val="tx1"/>
            </w14:solidFill>
          </w14:textFill>
        </w:rPr>
        <w:t xml:space="preserve">                      日期</w:t>
      </w:r>
      <w:r>
        <w:rPr>
          <w:rFonts w:hint="eastAsia" w:ascii="宋体" w:hAnsi="宋体" w:eastAsia="宋体" w:cs="宋体"/>
          <w:b/>
          <w:bCs w:val="0"/>
          <w:color w:val="000000" w:themeColor="text1"/>
          <w:sz w:val="24"/>
          <w:szCs w:val="24"/>
          <w:lang w:eastAsia="zh-CN"/>
          <w14:textFill>
            <w14:solidFill>
              <w14:schemeClr w14:val="tx1"/>
            </w14:solidFill>
          </w14:textFill>
        </w:rPr>
        <w:t>：</w:t>
      </w:r>
      <w:r>
        <w:rPr>
          <w:rFonts w:hint="eastAsia" w:ascii="宋体" w:hAnsi="宋体" w:eastAsia="宋体" w:cs="宋体"/>
          <w:b/>
          <w:bCs w:val="0"/>
          <w:color w:val="000000" w:themeColor="text1"/>
          <w:sz w:val="24"/>
          <w:szCs w:val="24"/>
          <w14:textFill>
            <w14:solidFill>
              <w14:schemeClr w14:val="tx1"/>
            </w14:solidFill>
          </w14:textFill>
        </w:rPr>
        <w:t xml:space="preserve">20  </w:t>
      </w:r>
      <w:r>
        <w:rPr>
          <w:rFonts w:hint="eastAsia" w:ascii="宋体" w:hAnsi="宋体" w:eastAsia="宋体" w:cs="宋体"/>
          <w:b/>
          <w:bCs w:val="0"/>
          <w:color w:val="000000" w:themeColor="text1"/>
          <w:sz w:val="24"/>
          <w:szCs w:val="24"/>
          <w:lang w:val="en-US" w:eastAsia="zh-Hans"/>
          <w14:textFill>
            <w14:solidFill>
              <w14:schemeClr w14:val="tx1"/>
            </w14:solidFill>
          </w14:textFill>
        </w:rPr>
        <w:t>年</w:t>
      </w:r>
      <w:r>
        <w:rPr>
          <w:rFonts w:hint="eastAsia" w:ascii="宋体" w:hAnsi="宋体" w:eastAsia="宋体" w:cs="宋体"/>
          <w:b/>
          <w:bCs w:val="0"/>
          <w:color w:val="000000" w:themeColor="text1"/>
          <w:sz w:val="24"/>
          <w:szCs w:val="24"/>
          <w:lang w:eastAsia="zh-Hans"/>
          <w14:textFill>
            <w14:solidFill>
              <w14:schemeClr w14:val="tx1"/>
            </w14:solidFill>
          </w14:textFill>
        </w:rPr>
        <w:t xml:space="preserve">  </w:t>
      </w:r>
      <w:r>
        <w:rPr>
          <w:rFonts w:hint="eastAsia" w:ascii="宋体" w:hAnsi="宋体" w:eastAsia="宋体" w:cs="宋体"/>
          <w:b/>
          <w:bCs w:val="0"/>
          <w:color w:val="000000" w:themeColor="text1"/>
          <w:sz w:val="24"/>
          <w:szCs w:val="24"/>
          <w:lang w:val="en-US" w:eastAsia="zh-Hans"/>
          <w14:textFill>
            <w14:solidFill>
              <w14:schemeClr w14:val="tx1"/>
            </w14:solidFill>
          </w14:textFill>
        </w:rPr>
        <w:t>月</w:t>
      </w:r>
      <w:r>
        <w:rPr>
          <w:rFonts w:hint="eastAsia" w:ascii="宋体" w:hAnsi="宋体" w:eastAsia="宋体" w:cs="宋体"/>
          <w:b/>
          <w:bCs w:val="0"/>
          <w:color w:val="000000" w:themeColor="text1"/>
          <w:sz w:val="24"/>
          <w:szCs w:val="24"/>
          <w:lang w:eastAsia="zh-Hans"/>
          <w14:textFill>
            <w14:solidFill>
              <w14:schemeClr w14:val="tx1"/>
            </w14:solidFill>
          </w14:textFill>
        </w:rPr>
        <w:t xml:space="preserve">  </w:t>
      </w:r>
      <w:r>
        <w:rPr>
          <w:rFonts w:hint="eastAsia" w:ascii="宋体" w:hAnsi="宋体" w:eastAsia="宋体" w:cs="宋体"/>
          <w:b/>
          <w:bCs w:val="0"/>
          <w:color w:val="000000" w:themeColor="text1"/>
          <w:sz w:val="24"/>
          <w:szCs w:val="24"/>
          <w:lang w:val="en-US" w:eastAsia="zh-Hans"/>
          <w14:textFill>
            <w14:solidFill>
              <w14:schemeClr w14:val="tx1"/>
            </w14:solidFill>
          </w14:textFill>
        </w:rPr>
        <w:t>日</w:t>
      </w:r>
    </w:p>
    <w:p>
      <w:pPr>
        <w:pStyle w:val="242"/>
        <w:rPr>
          <w:rFonts w:hint="eastAsia" w:ascii="宋体" w:hAnsi="宋体" w:eastAsia="宋体" w:cs="宋体"/>
          <w:color w:val="000000" w:themeColor="text1"/>
          <w:szCs w:val="21"/>
          <w14:textFill>
            <w14:solidFill>
              <w14:schemeClr w14:val="tx1"/>
            </w14:solidFill>
          </w14:textFill>
        </w:rPr>
      </w:pPr>
    </w:p>
    <w:p>
      <w:pPr>
        <w:rPr>
          <w:rFonts w:hint="eastAsia" w:ascii="宋体" w:hAnsi="宋体" w:eastAsia="宋体" w:cs="宋体"/>
          <w:color w:val="000000" w:themeColor="text1"/>
          <w14:textFill>
            <w14:solidFill>
              <w14:schemeClr w14:val="tx1"/>
            </w14:solidFill>
          </w14:textFill>
        </w:rPr>
      </w:pPr>
    </w:p>
    <w:p>
      <w:pPr>
        <w:rPr>
          <w:rFonts w:hint="eastAsia" w:ascii="宋体" w:hAnsi="宋体" w:eastAsia="宋体" w:cs="宋体"/>
          <w:color w:val="000000" w:themeColor="text1"/>
          <w14:textFill>
            <w14:solidFill>
              <w14:schemeClr w14:val="tx1"/>
            </w14:solidFill>
          </w14:textFill>
        </w:rPr>
      </w:pPr>
    </w:p>
    <w:p>
      <w:pPr>
        <w:widowControl/>
        <w:spacing w:line="360" w:lineRule="auto"/>
        <w:jc w:val="left"/>
        <w:rPr>
          <w:rFonts w:hint="eastAsia" w:ascii="宋体" w:hAnsi="宋体" w:eastAsia="宋体" w:cs="宋体"/>
          <w:b/>
          <w:bCs/>
          <w:color w:val="000000" w:themeColor="text1"/>
          <w:sz w:val="30"/>
          <w:szCs w:val="30"/>
          <w14:textFill>
            <w14:solidFill>
              <w14:schemeClr w14:val="tx1"/>
            </w14:solidFill>
          </w14:textFill>
        </w:rPr>
      </w:pPr>
    </w:p>
    <w:p>
      <w:pPr>
        <w:rPr>
          <w:rFonts w:hint="eastAsia" w:ascii="宋体" w:hAnsi="宋体" w:eastAsia="宋体" w:cs="宋体"/>
          <w:sz w:val="30"/>
          <w:szCs w:val="30"/>
          <w:lang w:val="en-US" w:eastAsia="zh-Hans"/>
        </w:rPr>
      </w:pPr>
      <w:bookmarkStart w:id="387" w:name="_Toc142401508"/>
      <w:r>
        <w:rPr>
          <w:rFonts w:hint="eastAsia" w:ascii="宋体" w:hAnsi="宋体" w:eastAsia="宋体" w:cs="宋体"/>
          <w:sz w:val="30"/>
          <w:szCs w:val="30"/>
          <w:lang w:val="en-US" w:eastAsia="zh-Hans"/>
        </w:rPr>
        <w:br w:type="page"/>
      </w:r>
    </w:p>
    <w:p>
      <w:pPr>
        <w:rPr>
          <w:rFonts w:hint="eastAsia" w:ascii="宋体" w:hAnsi="宋体" w:eastAsia="宋体" w:cs="宋体"/>
        </w:rPr>
      </w:pPr>
    </w:p>
    <w:p>
      <w:pPr>
        <w:pStyle w:val="43"/>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第四章  投标文件格式</w:t>
      </w:r>
      <w:bookmarkEnd w:id="386"/>
      <w:bookmarkEnd w:id="387"/>
    </w:p>
    <w:p>
      <w:pPr>
        <w:spacing w:line="360" w:lineRule="auto"/>
        <w:rPr>
          <w:rFonts w:hint="eastAsia" w:ascii="宋体" w:hAnsi="宋体" w:eastAsia="宋体" w:cs="宋体"/>
          <w:color w:val="000000" w:themeColor="text1"/>
          <w:sz w:val="24"/>
          <w:szCs w:val="24"/>
          <w:lang w:val="zh-CN"/>
          <w14:textFill>
            <w14:solidFill>
              <w14:schemeClr w14:val="tx1"/>
            </w14:solidFill>
          </w14:textFill>
        </w:rPr>
      </w:pPr>
    </w:p>
    <w:p>
      <w:pPr>
        <w:spacing w:line="360" w:lineRule="auto"/>
        <w:rPr>
          <w:rFonts w:hint="eastAsia" w:ascii="宋体" w:hAnsi="宋体" w:eastAsia="宋体" w:cs="宋体"/>
          <w:color w:val="000000" w:themeColor="text1"/>
          <w:sz w:val="24"/>
          <w:szCs w:val="24"/>
          <w:lang w:val="zh-CN"/>
          <w14:textFill>
            <w14:solidFill>
              <w14:schemeClr w14:val="tx1"/>
            </w14:solidFill>
          </w14:textFill>
        </w:rPr>
      </w:pPr>
    </w:p>
    <w:p>
      <w:pPr>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br w:type="page"/>
      </w:r>
    </w:p>
    <w:p>
      <w:pPr>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投标文件封面参考格式：</w:t>
      </w:r>
    </w:p>
    <w:p>
      <w:pPr>
        <w:spacing w:line="360" w:lineRule="auto"/>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u w:val="single"/>
          <w14:textFill>
            <w14:solidFill>
              <w14:schemeClr w14:val="tx1"/>
            </w14:solidFill>
          </w14:textFill>
        </w:rPr>
        <w:t xml:space="preserve">                       </w:t>
      </w:r>
      <w:r>
        <w:rPr>
          <w:rFonts w:hint="eastAsia" w:ascii="宋体" w:hAnsi="宋体" w:eastAsia="宋体" w:cs="宋体"/>
          <w:b/>
          <w:color w:val="000000" w:themeColor="text1"/>
          <w:sz w:val="52"/>
          <w:szCs w:val="52"/>
          <w14:textFill>
            <w14:solidFill>
              <w14:schemeClr w14:val="tx1"/>
            </w14:solidFill>
          </w14:textFill>
        </w:rPr>
        <w:t>项目招标</w:t>
      </w: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p>
    <w:p>
      <w:pPr>
        <w:spacing w:line="360" w:lineRule="auto"/>
        <w:rPr>
          <w:rFonts w:hint="eastAsia" w:ascii="宋体" w:hAnsi="宋体" w:eastAsia="宋体" w:cs="宋体"/>
          <w:color w:val="000000" w:themeColor="text1"/>
          <w14:textFill>
            <w14:solidFill>
              <w14:schemeClr w14:val="tx1"/>
            </w14:solidFill>
          </w14:textFill>
        </w:rPr>
      </w:pPr>
    </w:p>
    <w:p>
      <w:pPr>
        <w:spacing w:line="360" w:lineRule="auto"/>
        <w:jc w:val="center"/>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t>投标文件</w:t>
      </w:r>
    </w:p>
    <w:p>
      <w:pPr>
        <w:spacing w:line="360" w:lineRule="auto"/>
        <w:jc w:val="center"/>
        <w:rPr>
          <w:rFonts w:hint="eastAsia"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招标编号： </w:t>
      </w:r>
    </w:p>
    <w:p>
      <w:pPr>
        <w:snapToGrid w:val="0"/>
        <w:spacing w:line="360" w:lineRule="auto"/>
        <w:rPr>
          <w:rFonts w:hint="eastAsia" w:ascii="宋体" w:hAnsi="宋体" w:eastAsia="宋体" w:cs="宋体"/>
          <w:b/>
          <w:color w:val="000000" w:themeColor="text1"/>
          <w:sz w:val="32"/>
          <w:szCs w:val="32"/>
          <w:u w:val="single"/>
          <w14:textFill>
            <w14:solidFill>
              <w14:schemeClr w14:val="tx1"/>
            </w14:solidFill>
          </w14:textFill>
        </w:rPr>
      </w:pPr>
    </w:p>
    <w:p>
      <w:pPr>
        <w:snapToGrid w:val="0"/>
        <w:spacing w:line="360" w:lineRule="auto"/>
        <w:rPr>
          <w:rFonts w:hint="eastAsia" w:ascii="宋体" w:hAnsi="宋体" w:eastAsia="宋体" w:cs="宋体"/>
          <w:b/>
          <w:color w:val="000000" w:themeColor="text1"/>
          <w:sz w:val="32"/>
          <w:szCs w:val="32"/>
          <w:u w:val="single"/>
          <w14:textFill>
            <w14:solidFill>
              <w14:schemeClr w14:val="tx1"/>
            </w14:solidFill>
          </w14:textFill>
        </w:rPr>
      </w:pPr>
    </w:p>
    <w:p>
      <w:pPr>
        <w:snapToGrid w:val="0"/>
        <w:spacing w:line="360" w:lineRule="auto"/>
        <w:rPr>
          <w:rFonts w:hint="eastAsia" w:ascii="宋体" w:hAnsi="宋体" w:eastAsia="宋体" w:cs="宋体"/>
          <w:b/>
          <w:color w:val="000000" w:themeColor="text1"/>
          <w:sz w:val="32"/>
          <w:szCs w:val="32"/>
          <w:u w:val="single"/>
          <w14:textFill>
            <w14:solidFill>
              <w14:schemeClr w14:val="tx1"/>
            </w14:solidFill>
          </w14:textFill>
        </w:rPr>
      </w:pPr>
    </w:p>
    <w:p>
      <w:pPr>
        <w:snapToGrid w:val="0"/>
        <w:spacing w:line="360" w:lineRule="auto"/>
        <w:rPr>
          <w:rFonts w:hint="eastAsia" w:ascii="宋体" w:hAnsi="宋体" w:eastAsia="宋体" w:cs="宋体"/>
          <w:b/>
          <w:color w:val="000000" w:themeColor="text1"/>
          <w:sz w:val="32"/>
          <w:szCs w:val="32"/>
          <w:u w:val="single"/>
          <w14:textFill>
            <w14:solidFill>
              <w14:schemeClr w14:val="tx1"/>
            </w14:solidFill>
          </w14:textFill>
        </w:rPr>
      </w:pPr>
    </w:p>
    <w:p>
      <w:pPr>
        <w:snapToGrid w:val="0"/>
        <w:spacing w:line="360" w:lineRule="auto"/>
        <w:ind w:firstLine="1300"/>
        <w:rPr>
          <w:rFonts w:hint="eastAsia"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投标人名称：</w:t>
      </w:r>
      <w:r>
        <w:rPr>
          <w:rFonts w:hint="eastAsia" w:ascii="宋体" w:hAnsi="宋体" w:eastAsia="宋体" w:cs="宋体"/>
          <w:b/>
          <w:color w:val="000000" w:themeColor="text1"/>
          <w:sz w:val="32"/>
          <w:szCs w:val="32"/>
          <w:u w:val="single"/>
          <w14:textFill>
            <w14:solidFill>
              <w14:schemeClr w14:val="tx1"/>
            </w14:solidFill>
          </w14:textFill>
        </w:rPr>
        <w:t xml:space="preserve">                 （盖公章）</w:t>
      </w:r>
    </w:p>
    <w:p>
      <w:pPr>
        <w:snapToGrid w:val="0"/>
        <w:spacing w:line="360" w:lineRule="auto"/>
        <w:rPr>
          <w:rFonts w:hint="eastAsia" w:ascii="宋体" w:hAnsi="宋体" w:eastAsia="宋体" w:cs="宋体"/>
          <w:b/>
          <w:color w:val="000000" w:themeColor="text1"/>
          <w:sz w:val="32"/>
          <w:szCs w:val="32"/>
          <w:u w:val="single"/>
          <w14:textFill>
            <w14:solidFill>
              <w14:schemeClr w14:val="tx1"/>
            </w14:solidFill>
          </w14:textFill>
        </w:rPr>
      </w:pPr>
    </w:p>
    <w:p>
      <w:pPr>
        <w:snapToGrid w:val="0"/>
        <w:spacing w:line="360" w:lineRule="auto"/>
        <w:ind w:firstLine="130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投标人地址：</w:t>
      </w:r>
      <w:r>
        <w:rPr>
          <w:rFonts w:hint="eastAsia" w:ascii="宋体" w:hAnsi="宋体" w:eastAsia="宋体" w:cs="宋体"/>
          <w:b/>
          <w:color w:val="000000" w:themeColor="text1"/>
          <w:sz w:val="32"/>
          <w:szCs w:val="32"/>
          <w:u w:val="single"/>
          <w14:textFill>
            <w14:solidFill>
              <w14:schemeClr w14:val="tx1"/>
            </w14:solidFill>
          </w14:textFill>
        </w:rPr>
        <w:t xml:space="preserve">            </w:t>
      </w:r>
      <w:r>
        <w:rPr>
          <w:rFonts w:hint="eastAsia" w:ascii="宋体" w:hAnsi="宋体" w:eastAsia="宋体" w:cs="宋体"/>
          <w:b/>
          <w:color w:val="000000" w:themeColor="text1"/>
          <w:sz w:val="32"/>
          <w:szCs w:val="32"/>
          <w:u w:val="single"/>
          <w14:textFill>
            <w14:solidFill>
              <w14:schemeClr w14:val="tx1"/>
            </w14:solidFill>
          </w14:textFill>
        </w:rPr>
        <w:tab/>
      </w:r>
      <w:r>
        <w:rPr>
          <w:rFonts w:hint="eastAsia" w:ascii="宋体" w:hAnsi="宋体" w:eastAsia="宋体" w:cs="宋体"/>
          <w:b/>
          <w:color w:val="000000" w:themeColor="text1"/>
          <w:sz w:val="32"/>
          <w:szCs w:val="32"/>
          <w:u w:val="single"/>
          <w14:textFill>
            <w14:solidFill>
              <w14:schemeClr w14:val="tx1"/>
            </w14:solidFill>
          </w14:textFill>
        </w:rPr>
        <w:t xml:space="preserve">             </w:t>
      </w:r>
    </w:p>
    <w:p>
      <w:pPr>
        <w:snapToGrid w:val="0"/>
        <w:spacing w:line="360" w:lineRule="auto"/>
        <w:ind w:firstLine="1300"/>
        <w:rPr>
          <w:rFonts w:hint="eastAsia" w:ascii="宋体" w:hAnsi="宋体" w:eastAsia="宋体" w:cs="宋体"/>
          <w:b/>
          <w:color w:val="000000" w:themeColor="text1"/>
          <w:sz w:val="32"/>
          <w:szCs w:val="32"/>
          <w14:textFill>
            <w14:solidFill>
              <w14:schemeClr w14:val="tx1"/>
            </w14:solidFill>
          </w14:textFill>
        </w:rPr>
      </w:pPr>
    </w:p>
    <w:p>
      <w:pPr>
        <w:spacing w:line="360" w:lineRule="auto"/>
        <w:ind w:firstLine="130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法定代表人或其委托代理人：</w:t>
      </w:r>
      <w:r>
        <w:rPr>
          <w:rFonts w:hint="eastAsia" w:ascii="宋体" w:hAnsi="宋体" w:eastAsia="宋体" w:cs="宋体"/>
          <w:b/>
          <w:color w:val="000000" w:themeColor="text1"/>
          <w:sz w:val="32"/>
          <w:szCs w:val="32"/>
          <w:u w:val="single"/>
          <w14:textFill>
            <w14:solidFill>
              <w14:schemeClr w14:val="tx1"/>
            </w14:solidFill>
          </w14:textFill>
        </w:rPr>
        <w:t>（签字或盖章）</w:t>
      </w:r>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p>
    <w:p>
      <w:pPr>
        <w:snapToGrid w:val="0"/>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w:t>
      </w:r>
      <w:r>
        <w:rPr>
          <w:rFonts w:hint="eastAsia" w:ascii="宋体" w:hAnsi="宋体" w:eastAsia="宋体" w:cs="宋体"/>
          <w:b/>
          <w:color w:val="000000" w:themeColor="text1"/>
          <w:sz w:val="28"/>
          <w:szCs w:val="28"/>
          <w:u w:val="single"/>
          <w14:textFill>
            <w14:solidFill>
              <w14:schemeClr w14:val="tx1"/>
            </w14:solidFill>
          </w14:textFill>
        </w:rPr>
        <w:t xml:space="preserve">       </w:t>
      </w:r>
      <w:r>
        <w:rPr>
          <w:rFonts w:hint="eastAsia" w:ascii="宋体" w:hAnsi="宋体" w:eastAsia="宋体" w:cs="宋体"/>
          <w:b/>
          <w:color w:val="000000" w:themeColor="text1"/>
          <w:sz w:val="28"/>
          <w:szCs w:val="28"/>
          <w14:textFill>
            <w14:solidFill>
              <w14:schemeClr w14:val="tx1"/>
            </w14:solidFill>
          </w14:textFill>
        </w:rPr>
        <w:t xml:space="preserve"> 年</w:t>
      </w:r>
      <w:r>
        <w:rPr>
          <w:rFonts w:hint="eastAsia" w:ascii="宋体" w:hAnsi="宋体" w:eastAsia="宋体" w:cs="宋体"/>
          <w:b/>
          <w:color w:val="000000" w:themeColor="text1"/>
          <w:sz w:val="28"/>
          <w:szCs w:val="28"/>
          <w:u w:val="single"/>
          <w14:textFill>
            <w14:solidFill>
              <w14:schemeClr w14:val="tx1"/>
            </w14:solidFill>
          </w14:textFill>
        </w:rPr>
        <w:t xml:space="preserve">      </w:t>
      </w:r>
      <w:r>
        <w:rPr>
          <w:rFonts w:hint="eastAsia" w:ascii="宋体" w:hAnsi="宋体" w:eastAsia="宋体" w:cs="宋体"/>
          <w:b/>
          <w:color w:val="000000" w:themeColor="text1"/>
          <w:sz w:val="28"/>
          <w:szCs w:val="28"/>
          <w14:textFill>
            <w14:solidFill>
              <w14:schemeClr w14:val="tx1"/>
            </w14:solidFill>
          </w14:textFill>
        </w:rPr>
        <w:t xml:space="preserve"> 月</w:t>
      </w:r>
      <w:r>
        <w:rPr>
          <w:rFonts w:hint="eastAsia" w:ascii="宋体" w:hAnsi="宋体" w:eastAsia="宋体" w:cs="宋体"/>
          <w:b/>
          <w:color w:val="000000" w:themeColor="text1"/>
          <w:sz w:val="28"/>
          <w:szCs w:val="28"/>
          <w:u w:val="single"/>
          <w14:textFill>
            <w14:solidFill>
              <w14:schemeClr w14:val="tx1"/>
            </w14:solidFill>
          </w14:textFill>
        </w:rPr>
        <w:t xml:space="preserve">       </w:t>
      </w:r>
      <w:r>
        <w:rPr>
          <w:rFonts w:hint="eastAsia" w:ascii="宋体" w:hAnsi="宋体" w:eastAsia="宋体" w:cs="宋体"/>
          <w:b/>
          <w:color w:val="000000" w:themeColor="text1"/>
          <w:sz w:val="28"/>
          <w:szCs w:val="28"/>
          <w14:textFill>
            <w14:solidFill>
              <w14:schemeClr w14:val="tx1"/>
            </w14:solidFill>
          </w14:textFill>
        </w:rPr>
        <w:t>日</w:t>
      </w:r>
      <w:r>
        <w:rPr>
          <w:rFonts w:hint="eastAsia" w:ascii="宋体" w:hAnsi="宋体" w:eastAsia="宋体" w:cs="宋体"/>
          <w:b/>
          <w:color w:val="000000" w:themeColor="text1"/>
          <w:sz w:val="24"/>
          <w:szCs w:val="24"/>
          <w14:textFill>
            <w14:solidFill>
              <w14:schemeClr w14:val="tx1"/>
            </w14:solidFill>
          </w14:textFill>
        </w:rPr>
        <w:br w:type="page"/>
      </w:r>
    </w:p>
    <w:p>
      <w:pPr>
        <w:pStyle w:val="3"/>
        <w:spacing w:line="360" w:lineRule="auto"/>
        <w:rPr>
          <w:rFonts w:hint="eastAsia" w:ascii="宋体" w:hAnsi="宋体" w:eastAsia="宋体" w:cs="宋体"/>
          <w:color w:val="000000" w:themeColor="text1"/>
          <w:szCs w:val="28"/>
          <w14:textFill>
            <w14:solidFill>
              <w14:schemeClr w14:val="tx1"/>
            </w14:solidFill>
          </w14:textFill>
        </w:rPr>
      </w:pPr>
      <w:bookmarkStart w:id="388" w:name="_Toc142401509"/>
      <w:bookmarkStart w:id="389" w:name="_Toc13481"/>
      <w:r>
        <w:rPr>
          <w:rFonts w:hint="eastAsia" w:ascii="宋体" w:hAnsi="宋体" w:eastAsia="宋体" w:cs="宋体"/>
          <w:color w:val="000000" w:themeColor="text1"/>
          <w:szCs w:val="28"/>
          <w14:textFill>
            <w14:solidFill>
              <w14:schemeClr w14:val="tx1"/>
            </w14:solidFill>
          </w14:textFill>
        </w:rPr>
        <w:t>附件1  投 标 函（实质性格式）</w:t>
      </w:r>
      <w:bookmarkEnd w:id="388"/>
      <w:bookmarkEnd w:id="389"/>
    </w:p>
    <w:p>
      <w:pPr>
        <w:adjustRightInd w:val="0"/>
        <w:snapToGrid w:val="0"/>
        <w:spacing w:line="36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致：</w:t>
      </w:r>
      <w:r>
        <w:rPr>
          <w:rFonts w:hint="eastAsia" w:ascii="宋体" w:hAnsi="宋体" w:eastAsia="宋体" w:cs="宋体"/>
          <w:bCs/>
          <w:color w:val="000000" w:themeColor="text1"/>
          <w:sz w:val="24"/>
          <w:szCs w:val="24"/>
          <w:u w:val="single"/>
          <w14:textFill>
            <w14:solidFill>
              <w14:schemeClr w14:val="tx1"/>
            </w14:solidFill>
          </w14:textFill>
        </w:rPr>
        <w:t>北京市京发招标有限公司</w:t>
      </w:r>
    </w:p>
    <w:p>
      <w:pPr>
        <w:pStyle w:val="23"/>
        <w:tabs>
          <w:tab w:val="left" w:pos="5580"/>
        </w:tabs>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根据贵方为(</w:t>
      </w:r>
      <w:r>
        <w:rPr>
          <w:rFonts w:hint="eastAsia" w:ascii="宋体" w:hAnsi="宋体" w:eastAsia="宋体" w:cs="宋体"/>
          <w:i/>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14:textFill>
            <w14:solidFill>
              <w14:schemeClr w14:val="tx1"/>
            </w14:solidFill>
          </w14:textFill>
        </w:rPr>
        <w:t>)项目招标采购的投标邀请(</w:t>
      </w:r>
      <w:r>
        <w:rPr>
          <w:rFonts w:hint="eastAsia" w:ascii="宋体" w:hAnsi="宋体" w:eastAsia="宋体" w:cs="宋体"/>
          <w:i/>
          <w:color w:val="000000" w:themeColor="text1"/>
          <w:sz w:val="24"/>
          <w:szCs w:val="24"/>
          <w:u w:val="single"/>
          <w14:textFill>
            <w14:solidFill>
              <w14:schemeClr w14:val="tx1"/>
            </w14:solidFill>
          </w14:textFill>
        </w:rPr>
        <w:t>招标编号</w:t>
      </w:r>
      <w:r>
        <w:rPr>
          <w:rFonts w:hint="eastAsia" w:ascii="宋体" w:hAnsi="宋体" w:eastAsia="宋体" w:cs="宋体"/>
          <w:color w:val="000000" w:themeColor="text1"/>
          <w:sz w:val="24"/>
          <w:szCs w:val="24"/>
          <w14:textFill>
            <w14:solidFill>
              <w14:schemeClr w14:val="tx1"/>
            </w14:solidFill>
          </w14:textFill>
        </w:rPr>
        <w:t>),签字代表(</w:t>
      </w:r>
      <w:r>
        <w:rPr>
          <w:rFonts w:hint="eastAsia" w:ascii="宋体" w:hAnsi="宋体" w:eastAsia="宋体" w:cs="宋体"/>
          <w:i/>
          <w:color w:val="000000" w:themeColor="text1"/>
          <w:sz w:val="24"/>
          <w:szCs w:val="24"/>
          <w:u w:val="single"/>
          <w14:textFill>
            <w14:solidFill>
              <w14:schemeClr w14:val="tx1"/>
            </w14:solidFill>
          </w14:textFill>
        </w:rPr>
        <w:t>姓名、职务</w:t>
      </w:r>
      <w:r>
        <w:rPr>
          <w:rFonts w:hint="eastAsia" w:ascii="宋体" w:hAnsi="宋体" w:eastAsia="宋体" w:cs="宋体"/>
          <w:color w:val="000000" w:themeColor="text1"/>
          <w:sz w:val="24"/>
          <w:szCs w:val="24"/>
          <w14:textFill>
            <w14:solidFill>
              <w14:schemeClr w14:val="tx1"/>
            </w14:solidFill>
          </w14:textFill>
        </w:rPr>
        <w:t>)经正式授权并代表投标人（</w:t>
      </w:r>
      <w:r>
        <w:rPr>
          <w:rFonts w:hint="eastAsia" w:ascii="宋体" w:hAnsi="宋体" w:eastAsia="宋体" w:cs="宋体"/>
          <w:i/>
          <w:color w:val="000000" w:themeColor="text1"/>
          <w:sz w:val="24"/>
          <w:szCs w:val="24"/>
          <w:u w:val="single"/>
          <w14:textFill>
            <w14:solidFill>
              <w14:schemeClr w14:val="tx1"/>
            </w14:solidFill>
          </w14:textFill>
        </w:rPr>
        <w:t>投标人名称、地址</w:t>
      </w:r>
      <w:r>
        <w:rPr>
          <w:rFonts w:hint="eastAsia" w:ascii="宋体" w:hAnsi="宋体" w:eastAsia="宋体" w:cs="宋体"/>
          <w:color w:val="000000" w:themeColor="text1"/>
          <w:sz w:val="24"/>
          <w:szCs w:val="24"/>
          <w14:textFill>
            <w14:solidFill>
              <w14:schemeClr w14:val="tx1"/>
            </w14:solidFill>
          </w14:textFill>
        </w:rPr>
        <w:t>）提交投标文件正本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份、副本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份及电子文档</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p>
    <w:p>
      <w:pPr>
        <w:pStyle w:val="23"/>
        <w:tabs>
          <w:tab w:val="left" w:pos="420"/>
          <w:tab w:val="left" w:pos="828"/>
          <w:tab w:val="left" w:pos="5580"/>
        </w:tabs>
        <w:spacing w:line="360" w:lineRule="auto"/>
        <w:ind w:left="52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1.我方</w:t>
      </w:r>
      <w:r>
        <w:rPr>
          <w:rFonts w:hint="eastAsia" w:ascii="宋体" w:hAnsi="宋体" w:eastAsia="宋体" w:cs="宋体"/>
          <w:color w:val="000000" w:themeColor="text1"/>
          <w:sz w:val="24"/>
          <w14:textFill>
            <w14:solidFill>
              <w14:schemeClr w14:val="tx1"/>
            </w14:solidFill>
          </w14:textFill>
        </w:rPr>
        <w:t>已详细审查全部招标文件</w:t>
      </w:r>
      <w:r>
        <w:rPr>
          <w:rFonts w:hint="eastAsia" w:ascii="宋体" w:hAnsi="宋体" w:eastAsia="宋体" w:cs="宋体"/>
          <w:color w:val="000000" w:themeColor="text1"/>
          <w:sz w:val="24"/>
          <w:szCs w:val="20"/>
          <w14:textFill>
            <w14:solidFill>
              <w14:schemeClr w14:val="tx1"/>
            </w14:solidFill>
          </w14:textFill>
        </w:rPr>
        <w:t>，自愿参与投标并承诺如下：</w:t>
      </w:r>
      <w:r>
        <w:rPr>
          <w:rFonts w:hint="eastAsia" w:ascii="宋体" w:hAnsi="宋体" w:eastAsia="宋体" w:cs="宋体"/>
          <w:color w:val="000000" w:themeColor="text1"/>
          <w:sz w:val="24"/>
          <w:szCs w:val="24"/>
          <w14:textFill>
            <w14:solidFill>
              <w14:schemeClr w14:val="tx1"/>
            </w14:solidFill>
          </w14:textFill>
        </w:rPr>
        <w:t>：</w:t>
      </w:r>
    </w:p>
    <w:p>
      <w:pPr>
        <w:pStyle w:val="23"/>
        <w:tabs>
          <w:tab w:val="left" w:pos="420"/>
          <w:tab w:val="left" w:pos="828"/>
          <w:tab w:val="left" w:pos="5580"/>
        </w:tabs>
        <w:spacing w:line="360" w:lineRule="auto"/>
        <w:ind w:left="52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kern w:val="20"/>
          <w:sz w:val="24"/>
          <w:szCs w:val="24"/>
          <w14:textFill>
            <w14:solidFill>
              <w14:schemeClr w14:val="tx1"/>
            </w14:solidFill>
          </w14:textFill>
        </w:rPr>
        <w:t>我方提交的投标文件资料是完整的、真实的和准确的，承诺</w:t>
      </w:r>
      <w:r>
        <w:rPr>
          <w:rFonts w:hint="eastAsia" w:ascii="宋体" w:hAnsi="宋体" w:eastAsia="宋体" w:cs="宋体"/>
          <w:bCs/>
          <w:color w:val="000000" w:themeColor="text1"/>
          <w:sz w:val="24"/>
          <w:szCs w:val="24"/>
          <w14:textFill>
            <w14:solidFill>
              <w14:schemeClr w14:val="tx1"/>
            </w14:solidFill>
          </w14:textFill>
        </w:rPr>
        <w:t>未以他人的名义投标、串通投标、以行贿手段谋取中标或者以其他弄虚作假方式投标。</w:t>
      </w:r>
      <w:r>
        <w:rPr>
          <w:rFonts w:hint="eastAsia" w:ascii="宋体" w:hAnsi="宋体" w:eastAsia="宋体" w:cs="宋体"/>
          <w:color w:val="000000" w:themeColor="text1"/>
          <w:kern w:val="20"/>
          <w:sz w:val="24"/>
          <w:szCs w:val="24"/>
          <w14:textFill>
            <w14:solidFill>
              <w14:schemeClr w14:val="tx1"/>
            </w14:solidFill>
          </w14:textFill>
        </w:rPr>
        <w:t>我方同意按照贵方的要求，提供有关的数据和资料。</w:t>
      </w:r>
      <w:r>
        <w:rPr>
          <w:rFonts w:hint="eastAsia" w:ascii="宋体" w:hAnsi="宋体" w:eastAsia="宋体" w:cs="宋体"/>
          <w:color w:val="000000" w:themeColor="text1"/>
          <w:sz w:val="24"/>
          <w:szCs w:val="24"/>
          <w14:textFill>
            <w14:solidFill>
              <w14:schemeClr w14:val="tx1"/>
            </w14:solidFill>
          </w14:textFill>
        </w:rPr>
        <w:t>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本段承诺是我方真实意思的表示且具有相对独立性，不管是否有其他相反的说明，本段承诺均为我方投标文件的有效组成内容，对我方在与该项目有关的任何行为中始终具有优先的法律约束力。</w:t>
      </w:r>
    </w:p>
    <w:p>
      <w:pPr>
        <w:pStyle w:val="23"/>
        <w:tabs>
          <w:tab w:val="left" w:pos="420"/>
          <w:tab w:val="left" w:pos="5580"/>
        </w:tabs>
        <w:spacing w:line="360" w:lineRule="auto"/>
        <w:ind w:left="52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（2）我方已详细审查全部招标文件，包括第</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号（招标编号、补充通知）（如果有的话），</w:t>
      </w:r>
      <w:r>
        <w:rPr>
          <w:rFonts w:hint="eastAsia" w:ascii="宋体" w:hAnsi="宋体" w:eastAsia="宋体" w:cs="宋体"/>
          <w:color w:val="000000" w:themeColor="text1"/>
          <w:kern w:val="20"/>
          <w:sz w:val="24"/>
          <w:szCs w:val="24"/>
          <w14:textFill>
            <w14:solidFill>
              <w14:schemeClr w14:val="tx1"/>
            </w14:solidFill>
          </w14:textFill>
        </w:rPr>
        <w:t>及有关附件中所有的须知、事项、格式、条款和规范要求等，</w:t>
      </w:r>
      <w:r>
        <w:rPr>
          <w:rFonts w:hint="eastAsia" w:ascii="宋体" w:hAnsi="宋体" w:eastAsia="宋体" w:cs="宋体"/>
          <w:color w:val="000000" w:themeColor="text1"/>
          <w:sz w:val="24"/>
          <w:szCs w:val="24"/>
          <w14:textFill>
            <w14:solidFill>
              <w14:schemeClr w14:val="tx1"/>
            </w14:solidFill>
          </w14:textFill>
        </w:rPr>
        <w:t>我们完全理解并同意放弃对这方面有不明及误解的权力。</w:t>
      </w:r>
      <w:r>
        <w:rPr>
          <w:rFonts w:hint="eastAsia" w:ascii="宋体" w:hAnsi="宋体" w:eastAsia="宋体" w:cs="宋体"/>
          <w:color w:val="000000" w:themeColor="text1"/>
          <w:kern w:val="20"/>
          <w:sz w:val="24"/>
          <w:szCs w:val="24"/>
          <w14:textFill>
            <w14:solidFill>
              <w14:schemeClr w14:val="tx1"/>
            </w14:solidFill>
          </w14:textFill>
        </w:rPr>
        <w:t>若我方的投标文件没有按招标文件的要求提交全部资料，或投标文件没有对招标文件做出实质性响应，其风险由我方自行承担。</w:t>
      </w:r>
    </w:p>
    <w:p>
      <w:pPr>
        <w:pStyle w:val="23"/>
        <w:tabs>
          <w:tab w:val="left" w:pos="420"/>
          <w:tab w:val="left" w:pos="5580"/>
        </w:tabs>
        <w:spacing w:line="360" w:lineRule="auto"/>
        <w:ind w:left="52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我方具备《中华人民共和国政府采购法》第二十二条规定的所有条件。我方保证在最近三年内的经营活动中没有因违法受到刑事处罚或者责令停产停业、吊销许可证或者执照、较大数额罚款等重大违法记录。我方不是为本采购项目提供整体设计、规范编制或者项目管理、监理、检测等服务的供应商。我单位如与其他本项目投标人的单位负责人存在直接控股和管理关系，我方愿无条件自动放弃投标。</w:t>
      </w:r>
    </w:p>
    <w:p>
      <w:pPr>
        <w:pStyle w:val="23"/>
        <w:tabs>
          <w:tab w:val="left" w:pos="420"/>
          <w:tab w:val="left" w:pos="5580"/>
        </w:tabs>
        <w:spacing w:line="360" w:lineRule="auto"/>
        <w:ind w:left="52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0"/>
          <w14:textFill>
            <w14:solidFill>
              <w14:schemeClr w14:val="tx1"/>
            </w14:solidFill>
          </w14:textFill>
        </w:rPr>
        <w:t>如我方中标，我方将在法律规定的期限内与贵方签订合同，按照招标文件要求提交履约保证金，并在合同约定的期限内完成合同规定的全部义务。</w:t>
      </w:r>
    </w:p>
    <w:p>
      <w:pPr>
        <w:pStyle w:val="23"/>
        <w:tabs>
          <w:tab w:val="left" w:pos="420"/>
          <w:tab w:val="left" w:pos="5580"/>
        </w:tabs>
        <w:spacing w:line="360" w:lineRule="auto"/>
        <w:ind w:left="52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0"/>
          <w14:textFill>
            <w14:solidFill>
              <w14:schemeClr w14:val="tx1"/>
            </w14:solidFill>
          </w14:textFill>
        </w:rPr>
        <w:t>本投标有效期为自提交投标文件的截止之日起</w:t>
      </w:r>
      <w:r>
        <w:rPr>
          <w:rFonts w:hint="eastAsia" w:ascii="宋体" w:hAnsi="宋体" w:eastAsia="宋体" w:cs="宋体"/>
          <w:color w:val="000000" w:themeColor="text1"/>
          <w:sz w:val="24"/>
          <w14:textFill>
            <w14:solidFill>
              <w14:schemeClr w14:val="tx1"/>
            </w14:solidFill>
          </w14:textFill>
        </w:rPr>
        <w:t>_____</w:t>
      </w:r>
      <w:r>
        <w:rPr>
          <w:rFonts w:hint="eastAsia" w:ascii="宋体" w:hAnsi="宋体" w:eastAsia="宋体" w:cs="宋体"/>
          <w:color w:val="000000" w:themeColor="text1"/>
          <w:sz w:val="24"/>
          <w:szCs w:val="20"/>
          <w14:textFill>
            <w14:solidFill>
              <w14:schemeClr w14:val="tx1"/>
            </w14:solidFill>
          </w14:textFill>
        </w:rPr>
        <w:t>个日历日。</w:t>
      </w:r>
    </w:p>
    <w:p>
      <w:pPr>
        <w:pStyle w:val="23"/>
        <w:tabs>
          <w:tab w:val="left" w:pos="420"/>
          <w:tab w:val="left" w:pos="5580"/>
        </w:tabs>
        <w:spacing w:line="360" w:lineRule="auto"/>
        <w:ind w:left="52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（6）在规定的开标时间后，我方保证遵守招标文件中有关保证金的规定。（7）我方接受招标文件中关于招标代理服务费的约定。</w:t>
      </w:r>
    </w:p>
    <w:p>
      <w:pPr>
        <w:pStyle w:val="23"/>
        <w:tabs>
          <w:tab w:val="left" w:pos="420"/>
          <w:tab w:val="left" w:pos="5580"/>
        </w:tabs>
        <w:spacing w:line="360" w:lineRule="auto"/>
        <w:ind w:left="52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其他补充条款（如有）：</w:t>
      </w:r>
      <w:r>
        <w:rPr>
          <w:rFonts w:hint="eastAsia" w:ascii="宋体" w:hAnsi="宋体" w:eastAsia="宋体" w:cs="宋体"/>
          <w:color w:val="000000" w:themeColor="text1"/>
          <w:sz w:val="24"/>
          <w:szCs w:val="20"/>
          <w14:textFill>
            <w14:solidFill>
              <w14:schemeClr w14:val="tx1"/>
            </w14:solidFill>
          </w14:textFill>
        </w:rPr>
        <w:t>___________</w:t>
      </w:r>
      <w:r>
        <w:rPr>
          <w:rFonts w:hint="eastAsia" w:ascii="宋体" w:hAnsi="宋体" w:eastAsia="宋体" w:cs="宋体"/>
          <w:color w:val="000000" w:themeColor="text1"/>
          <w:sz w:val="24"/>
          <w14:textFill>
            <w14:solidFill>
              <w14:schemeClr w14:val="tx1"/>
            </w14:solidFill>
          </w14:textFill>
        </w:rPr>
        <w:t>。</w:t>
      </w:r>
    </w:p>
    <w:p>
      <w:pPr>
        <w:pStyle w:val="23"/>
        <w:tabs>
          <w:tab w:val="left" w:pos="420"/>
          <w:tab w:val="left" w:pos="5580"/>
        </w:tabs>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与本投标有关的一切正式往来信函请寄：</w:t>
      </w:r>
    </w:p>
    <w:p>
      <w:pPr>
        <w:pStyle w:val="23"/>
        <w:tabs>
          <w:tab w:val="left" w:pos="420"/>
          <w:tab w:val="left" w:pos="5580"/>
        </w:tabs>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传真</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电子邮件</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投标人法定代表人或其授权代表（签字或盖章）</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投标人名称（全称）</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投标人开户银行（全称）</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投标人银行帐号</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投标人银行行号</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投标人公章</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23"/>
        <w:tabs>
          <w:tab w:val="left" w:pos="5580"/>
        </w:tabs>
        <w:spacing w:line="360" w:lineRule="auto"/>
        <w:ind w:left="42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r>
        <w:rPr>
          <w:rFonts w:hint="eastAsia" w:ascii="宋体" w:hAnsi="宋体" w:eastAsia="宋体" w:cs="宋体"/>
          <w:color w:val="000000" w:themeColor="text1"/>
          <w:sz w:val="24"/>
          <w:szCs w:val="24"/>
          <w:u w:val="single"/>
          <w14:textFill>
            <w14:solidFill>
              <w14:schemeClr w14:val="tx1"/>
            </w14:solidFill>
          </w14:textFill>
        </w:rPr>
        <w:t xml:space="preserve">                                     </w:t>
      </w:r>
    </w:p>
    <w:p>
      <w:pPr>
        <w:widowControl/>
        <w:jc w:val="left"/>
        <w:rPr>
          <w:rFonts w:hint="eastAsia" w:ascii="宋体" w:hAnsi="宋体" w:eastAsia="宋体" w:cs="宋体"/>
          <w:b/>
          <w:color w:val="000000" w:themeColor="text1"/>
          <w:kern w:val="0"/>
          <w:sz w:val="28"/>
          <w:szCs w:val="28"/>
          <w:lang w:val="zh-CN"/>
          <w14:textFill>
            <w14:solidFill>
              <w14:schemeClr w14:val="tx1"/>
            </w14:solidFill>
          </w14:textFill>
        </w:rPr>
      </w:pPr>
      <w:bookmarkStart w:id="390" w:name="_Toc2040"/>
      <w:r>
        <w:rPr>
          <w:rFonts w:hint="eastAsia" w:ascii="宋体" w:hAnsi="宋体" w:eastAsia="宋体" w:cs="宋体"/>
          <w:color w:val="000000" w:themeColor="text1"/>
          <w:szCs w:val="28"/>
          <w14:textFill>
            <w14:solidFill>
              <w14:schemeClr w14:val="tx1"/>
            </w14:solidFill>
          </w14:textFill>
        </w:rPr>
        <w:br w:type="page"/>
      </w:r>
    </w:p>
    <w:p>
      <w:pPr>
        <w:pStyle w:val="3"/>
        <w:spacing w:line="360" w:lineRule="auto"/>
        <w:rPr>
          <w:rFonts w:hint="eastAsia" w:ascii="宋体" w:hAnsi="宋体" w:eastAsia="宋体" w:cs="宋体"/>
          <w:color w:val="000000" w:themeColor="text1"/>
          <w:szCs w:val="28"/>
          <w14:textFill>
            <w14:solidFill>
              <w14:schemeClr w14:val="tx1"/>
            </w14:solidFill>
          </w14:textFill>
        </w:rPr>
      </w:pPr>
      <w:bookmarkStart w:id="391" w:name="_Toc100786160"/>
      <w:bookmarkStart w:id="392" w:name="_Toc142401510"/>
      <w:r>
        <w:rPr>
          <w:rFonts w:hint="eastAsia" w:ascii="宋体" w:hAnsi="宋体" w:eastAsia="宋体" w:cs="宋体"/>
          <w:color w:val="000000" w:themeColor="text1"/>
          <w:szCs w:val="28"/>
          <w14:textFill>
            <w14:solidFill>
              <w14:schemeClr w14:val="tx1"/>
            </w14:solidFill>
          </w14:textFill>
        </w:rPr>
        <w:t xml:space="preserve">附件2  </w:t>
      </w:r>
      <w:bookmarkStart w:id="393" w:name="_Toc26771"/>
      <w:bookmarkStart w:id="394" w:name="_Toc11954"/>
      <w:bookmarkStart w:id="395" w:name="_Toc92789316"/>
      <w:bookmarkStart w:id="396" w:name="_Toc23488"/>
      <w:bookmarkStart w:id="397" w:name="_Toc8999338"/>
      <w:bookmarkStart w:id="398" w:name="_Toc18818"/>
      <w:bookmarkStart w:id="399" w:name="_Toc447223772"/>
      <w:bookmarkStart w:id="400" w:name="_Toc15531"/>
      <w:bookmarkStart w:id="401" w:name="_Toc16583"/>
      <w:bookmarkStart w:id="402" w:name="_Toc496291395"/>
      <w:bookmarkStart w:id="403" w:name="_Toc27046"/>
      <w:bookmarkStart w:id="404" w:name="_Toc31144"/>
      <w:bookmarkStart w:id="405" w:name="_Toc486431025"/>
      <w:bookmarkStart w:id="406" w:name="_Toc50760942"/>
      <w:bookmarkStart w:id="407" w:name="_Toc15435055"/>
      <w:bookmarkStart w:id="408" w:name="_Toc11287"/>
      <w:bookmarkStart w:id="409" w:name="_Toc486431299"/>
      <w:bookmarkStart w:id="410" w:name="_Toc85461415"/>
      <w:bookmarkStart w:id="411" w:name="_Toc83722602"/>
      <w:r>
        <w:rPr>
          <w:rFonts w:hint="eastAsia" w:ascii="宋体" w:hAnsi="宋体" w:eastAsia="宋体" w:cs="宋体"/>
          <w:color w:val="000000" w:themeColor="text1"/>
          <w:szCs w:val="28"/>
          <w14:textFill>
            <w14:solidFill>
              <w14:schemeClr w14:val="tx1"/>
            </w14:solidFill>
          </w14:textFill>
        </w:rPr>
        <w:t>法人代表授权委托书</w:t>
      </w:r>
      <w:bookmarkEnd w:id="391"/>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宋体" w:hAnsi="宋体" w:eastAsia="宋体" w:cs="宋体"/>
          <w:color w:val="000000" w:themeColor="text1"/>
          <w:szCs w:val="28"/>
          <w14:textFill>
            <w14:solidFill>
              <w14:schemeClr w14:val="tx1"/>
            </w14:solidFill>
          </w14:textFill>
        </w:rPr>
        <w:t>（实质性格式）</w:t>
      </w:r>
      <w:bookmarkEnd w:id="392"/>
    </w:p>
    <w:p>
      <w:pPr>
        <w:adjustRightInd w:val="0"/>
        <w:snapToGrid w:val="0"/>
        <w:spacing w:line="360" w:lineRule="auto"/>
        <w:rPr>
          <w:rFonts w:hint="eastAsia" w:ascii="宋体" w:hAnsi="宋体" w:eastAsia="宋体" w:cs="宋体"/>
          <w:b/>
          <w:color w:val="000000" w:themeColor="text1"/>
          <w:sz w:val="24"/>
          <w:szCs w:val="24"/>
          <w14:textFill>
            <w14:solidFill>
              <w14:schemeClr w14:val="tx1"/>
            </w14:solidFill>
          </w14:textFill>
        </w:rPr>
      </w:pPr>
    </w:p>
    <w:p>
      <w:pPr>
        <w:spacing w:line="360" w:lineRule="auto"/>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本人</w:t>
      </w:r>
      <w:r>
        <w:rPr>
          <w:rFonts w:hint="eastAsia" w:ascii="宋体" w:hAnsi="宋体" w:eastAsia="宋体" w:cs="宋体"/>
          <w:color w:val="000000" w:themeColor="text1"/>
          <w:sz w:val="24"/>
          <w:lang w:val="zh-CN"/>
          <w14:textFill>
            <w14:solidFill>
              <w14:schemeClr w14:val="tx1"/>
            </w14:solidFill>
          </w14:textFill>
        </w:rPr>
        <w:t>_______</w:t>
      </w:r>
      <w:r>
        <w:rPr>
          <w:rFonts w:hint="eastAsia" w:ascii="宋体" w:hAnsi="宋体" w:eastAsia="宋体" w:cs="宋体"/>
          <w:color w:val="000000" w:themeColor="text1"/>
          <w:sz w:val="24"/>
          <w:szCs w:val="20"/>
          <w14:textFill>
            <w14:solidFill>
              <w14:schemeClr w14:val="tx1"/>
            </w14:solidFill>
          </w14:textFill>
        </w:rPr>
        <w:t>（姓名）系</w:t>
      </w:r>
      <w:r>
        <w:rPr>
          <w:rFonts w:hint="eastAsia" w:ascii="宋体" w:hAnsi="宋体" w:eastAsia="宋体" w:cs="宋体"/>
          <w:color w:val="000000" w:themeColor="text1"/>
          <w:sz w:val="24"/>
          <w:lang w:val="zh-CN"/>
          <w14:textFill>
            <w14:solidFill>
              <w14:schemeClr w14:val="tx1"/>
            </w14:solidFill>
          </w14:textFill>
        </w:rPr>
        <w:t>_______</w:t>
      </w:r>
      <w:r>
        <w:rPr>
          <w:rFonts w:hint="eastAsia" w:ascii="宋体" w:hAnsi="宋体" w:eastAsia="宋体" w:cs="宋体"/>
          <w:color w:val="000000" w:themeColor="text1"/>
          <w:sz w:val="24"/>
          <w:szCs w:val="20"/>
          <w14:textFill>
            <w14:solidFill>
              <w14:schemeClr w14:val="tx1"/>
            </w14:solidFill>
          </w14:textFill>
        </w:rPr>
        <w:t>（投标人名称）的法定代表人（单位负责人），现委托</w:t>
      </w:r>
      <w:r>
        <w:rPr>
          <w:rFonts w:hint="eastAsia" w:ascii="宋体" w:hAnsi="宋体" w:eastAsia="宋体" w:cs="宋体"/>
          <w:color w:val="000000" w:themeColor="text1"/>
          <w:sz w:val="24"/>
          <w:lang w:val="zh-CN"/>
          <w14:textFill>
            <w14:solidFill>
              <w14:schemeClr w14:val="tx1"/>
            </w14:solidFill>
          </w14:textFill>
        </w:rPr>
        <w:t>_______</w:t>
      </w:r>
      <w:r>
        <w:rPr>
          <w:rFonts w:hint="eastAsia" w:ascii="宋体" w:hAnsi="宋体" w:eastAsia="宋体" w:cs="宋体"/>
          <w:color w:val="000000" w:themeColor="text1"/>
          <w:sz w:val="24"/>
          <w:szCs w:val="20"/>
          <w14:textFill>
            <w14:solidFill>
              <w14:schemeClr w14:val="tx1"/>
            </w14:solidFill>
          </w14:textFill>
        </w:rPr>
        <w:t>（姓名）为我方代理人。代理人根据授权，以我方名义签署、澄清确认、递交、撤回、修改</w:t>
      </w:r>
      <w:r>
        <w:rPr>
          <w:rFonts w:hint="eastAsia" w:ascii="宋体" w:hAnsi="宋体" w:eastAsia="宋体" w:cs="宋体"/>
          <w:color w:val="000000" w:themeColor="text1"/>
          <w:sz w:val="24"/>
          <w:u w:val="single"/>
          <w:lang w:val="zh-CN"/>
          <w14:textFill>
            <w14:solidFill>
              <w14:schemeClr w14:val="tx1"/>
            </w14:solidFill>
          </w14:textFill>
        </w:rPr>
        <w:t>_______</w:t>
      </w:r>
      <w:r>
        <w:rPr>
          <w:rFonts w:hint="eastAsia" w:ascii="宋体" w:hAnsi="宋体" w:eastAsia="宋体" w:cs="宋体"/>
          <w:color w:val="000000" w:themeColor="text1"/>
          <w:sz w:val="24"/>
          <w:szCs w:val="20"/>
          <w14:textFill>
            <w14:solidFill>
              <w14:schemeClr w14:val="tx1"/>
            </w14:solidFill>
          </w14:textFill>
        </w:rPr>
        <w:t>（项目名称）响应文件和处理有关事宜，其法律后果由我方承担。</w:t>
      </w:r>
    </w:p>
    <w:p>
      <w:pPr>
        <w:spacing w:line="360" w:lineRule="auto"/>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委托期限：自本授权委托书签署之日起至响应有效期届满之日止。</w:t>
      </w:r>
    </w:p>
    <w:p>
      <w:pPr>
        <w:spacing w:line="360" w:lineRule="auto"/>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代理人无转委托权。</w:t>
      </w:r>
      <w:r>
        <w:rPr>
          <w:rFonts w:hint="eastAsia" w:ascii="宋体" w:hAnsi="宋体" w:eastAsia="宋体" w:cs="宋体"/>
          <w:color w:val="000000" w:themeColor="text1"/>
          <w:sz w:val="24"/>
          <w:szCs w:val="20"/>
          <w14:textFill>
            <w14:solidFill>
              <w14:schemeClr w14:val="tx1"/>
            </w14:solidFill>
          </w14:textFill>
        </w:rPr>
        <w:c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投标人名称（加盖公章）</w:t>
      </w:r>
      <w:r>
        <w:rPr>
          <w:rFonts w:hint="eastAsia" w:ascii="宋体" w:hAnsi="宋体" w:eastAsia="宋体" w:cs="宋体"/>
          <w:color w:val="000000" w:themeColor="text1"/>
          <w:sz w:val="24"/>
          <w:lang w:val="zh-CN"/>
          <w14:textFill>
            <w14:solidFill>
              <w14:schemeClr w14:val="tx1"/>
            </w14:solidFill>
          </w14:textFill>
        </w:rPr>
        <w:t>：</w:t>
      </w:r>
      <w:r>
        <w:rPr>
          <w:rFonts w:hint="eastAsia" w:ascii="宋体" w:hAnsi="宋体" w:eastAsia="宋体" w:cs="宋体"/>
          <w:color w:val="000000" w:themeColor="text1"/>
          <w:sz w:val="24"/>
          <w:u w:val="single"/>
          <w14:textFill>
            <w14:solidFill>
              <w14:schemeClr w14:val="tx1"/>
            </w14:solidFill>
          </w14:textFill>
        </w:rPr>
        <w:t xml:space="preserve">                        </w:t>
      </w:r>
    </w:p>
    <w:p>
      <w:pPr>
        <w:spacing w:line="360" w:lineRule="auto"/>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法定代表人（单位负责人）（签字</w:t>
      </w:r>
      <w:r>
        <w:rPr>
          <w:rFonts w:hint="eastAsia" w:ascii="宋体" w:hAnsi="宋体" w:eastAsia="宋体" w:cs="宋体"/>
          <w:color w:val="000000" w:themeColor="text1"/>
          <w:sz w:val="24"/>
          <w14:textFill>
            <w14:solidFill>
              <w14:schemeClr w14:val="tx1"/>
            </w14:solidFill>
          </w14:textFill>
        </w:rPr>
        <w:t>或</w:t>
      </w:r>
      <w:r>
        <w:rPr>
          <w:rFonts w:hint="eastAsia" w:ascii="宋体" w:hAnsi="宋体" w:eastAsia="宋体" w:cs="宋体"/>
          <w:color w:val="000000" w:themeColor="text1"/>
          <w:sz w:val="24"/>
          <w:szCs w:val="20"/>
          <w14:textFill>
            <w14:solidFill>
              <w14:schemeClr w14:val="tx1"/>
            </w14:solidFill>
          </w14:textFill>
        </w:rPr>
        <w:t>盖章）：</w:t>
      </w:r>
      <w:r>
        <w:rPr>
          <w:rFonts w:hint="eastAsia" w:ascii="宋体" w:hAnsi="宋体" w:eastAsia="宋体" w:cs="宋体"/>
          <w:color w:val="000000" w:themeColor="text1"/>
          <w:sz w:val="24"/>
          <w:u w:val="single"/>
          <w14:textFill>
            <w14:solidFill>
              <w14:schemeClr w14:val="tx1"/>
            </w14:solidFill>
          </w14:textFill>
        </w:rPr>
        <w:t xml:space="preserve">                        </w:t>
      </w:r>
    </w:p>
    <w:p>
      <w:pPr>
        <w:spacing w:line="360" w:lineRule="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委托代理人（签字或盖章）：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lang w:val="zh-CN"/>
          <w14:textFill>
            <w14:solidFill>
              <w14:schemeClr w14:val="tx1"/>
            </w14:solidFill>
          </w14:textFill>
        </w:rPr>
        <w:t xml:space="preserve">                      </w:t>
      </w:r>
    </w:p>
    <w:p>
      <w:pPr>
        <w:autoSpaceDE w:val="0"/>
        <w:autoSpaceDN w:val="0"/>
        <w:adjustRightInd w:val="0"/>
        <w:snapToGrid w:val="0"/>
        <w:spacing w:line="360" w:lineRule="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pPr>
        <w:tabs>
          <w:tab w:val="left" w:pos="5580"/>
        </w:tabs>
        <w:spacing w:line="360" w:lineRule="auto"/>
        <w:ind w:firstLine="480" w:firstLineChars="200"/>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法定代表人（单位负责人）有效期内的身份证</w:t>
      </w:r>
      <w:r>
        <w:rPr>
          <w:rFonts w:hint="eastAsia" w:ascii="宋体" w:hAnsi="宋体" w:eastAsia="宋体" w:cs="宋体"/>
          <w:b/>
          <w:color w:val="000000" w:themeColor="text1"/>
          <w:sz w:val="24"/>
          <w:szCs w:val="20"/>
          <w14:textFill>
            <w14:solidFill>
              <w14:schemeClr w14:val="tx1"/>
            </w14:solidFill>
          </w14:textFill>
        </w:rPr>
        <w:t>正反面</w:t>
      </w:r>
      <w:r>
        <w:rPr>
          <w:rFonts w:hint="eastAsia" w:ascii="宋体" w:hAnsi="宋体" w:eastAsia="宋体" w:cs="宋体"/>
          <w:color w:val="000000" w:themeColor="text1"/>
          <w:sz w:val="24"/>
          <w:szCs w:val="20"/>
          <w14:textFill>
            <w14:solidFill>
              <w14:schemeClr w14:val="tx1"/>
            </w14:solidFill>
          </w14:textFill>
        </w:rPr>
        <w:t>复印件：</w:t>
      </w:r>
    </w:p>
    <w:tbl>
      <w:tblPr>
        <w:tblStyle w:val="45"/>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37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c>
          <w:tcPr>
            <w:tcW w:w="3799" w:type="dxa"/>
          </w:tcPr>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r>
    </w:tbl>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委托代理人有效期内的身份证</w:t>
      </w:r>
      <w:r>
        <w:rPr>
          <w:rFonts w:hint="eastAsia" w:ascii="宋体" w:hAnsi="宋体" w:eastAsia="宋体" w:cs="宋体"/>
          <w:b/>
          <w:color w:val="000000" w:themeColor="text1"/>
          <w:sz w:val="24"/>
          <w:szCs w:val="20"/>
          <w14:textFill>
            <w14:solidFill>
              <w14:schemeClr w14:val="tx1"/>
            </w14:solidFill>
          </w14:textFill>
        </w:rPr>
        <w:t>正反面</w:t>
      </w:r>
      <w:r>
        <w:rPr>
          <w:rFonts w:hint="eastAsia" w:ascii="宋体" w:hAnsi="宋体" w:eastAsia="宋体" w:cs="宋体"/>
          <w:color w:val="000000" w:themeColor="text1"/>
          <w:sz w:val="24"/>
          <w:szCs w:val="20"/>
          <w14:textFill>
            <w14:solidFill>
              <w14:schemeClr w14:val="tx1"/>
            </w14:solidFill>
          </w14:textFill>
        </w:rPr>
        <w:t>复印件：</w:t>
      </w:r>
    </w:p>
    <w:tbl>
      <w:tblPr>
        <w:tblStyle w:val="45"/>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37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c>
          <w:tcPr>
            <w:tcW w:w="3799" w:type="dxa"/>
          </w:tcPr>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r>
    </w:tbl>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说明：</w:t>
      </w: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1.若投标人为事业单位或其他组织或分支机构（仅当招标文件注明允许分支机构投标的），则法定代表人（单位负责人）处的签署人可为单位负责人。</w:t>
      </w: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2.若投标文件中签字之处均为法定代表人（单位负责人）本人签署，则可不提供本《授权委托书》，但须提供《法定代表人（单位负责人）身份证明》（实质性格式）。</w:t>
      </w:r>
    </w:p>
    <w:p>
      <w:pPr>
        <w:spacing w:line="360" w:lineRule="auto"/>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3.投标人为自然人的情形，可不提供本《授权委托书》。</w:t>
      </w:r>
      <w:r>
        <w:rPr>
          <w:rFonts w:hint="eastAsia" w:ascii="宋体" w:hAnsi="宋体" w:eastAsia="宋体" w:cs="宋体"/>
          <w:color w:val="000000" w:themeColor="text1"/>
          <w14:textFill>
            <w14:solidFill>
              <w14:schemeClr w14:val="tx1"/>
            </w14:solidFill>
          </w14:textFill>
        </w:rPr>
        <w:br w:type="page"/>
      </w:r>
    </w:p>
    <w:p>
      <w:pPr>
        <w:pStyle w:val="4"/>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412" w:name="_Toc142401511"/>
      <w:bookmarkStart w:id="413" w:name="_Toc137744934"/>
      <w:bookmarkStart w:id="414" w:name="_Toc100786161"/>
      <w:bookmarkStart w:id="415" w:name="_Toc137548189"/>
      <w:r>
        <w:rPr>
          <w:rFonts w:hint="eastAsia" w:ascii="宋体" w:hAnsi="宋体" w:eastAsia="宋体" w:cs="宋体"/>
          <w:b/>
          <w:bCs/>
          <w:color w:val="000000" w:themeColor="text1"/>
          <w:sz w:val="24"/>
          <w:szCs w:val="24"/>
          <w14:textFill>
            <w14:solidFill>
              <w14:schemeClr w14:val="tx1"/>
            </w14:solidFill>
          </w14:textFill>
        </w:rPr>
        <w:t>附：法定代表人（单位负责人）身份证明</w:t>
      </w:r>
      <w:bookmarkEnd w:id="412"/>
      <w:bookmarkEnd w:id="413"/>
      <w:bookmarkEnd w:id="414"/>
      <w:bookmarkEnd w:id="415"/>
    </w:p>
    <w:p>
      <w:pPr>
        <w:tabs>
          <w:tab w:val="left" w:pos="5580"/>
        </w:tabs>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u w:val="single"/>
          <w14:textFill>
            <w14:solidFill>
              <w14:schemeClr w14:val="tx1"/>
            </w14:solidFill>
          </w14:textFill>
        </w:rPr>
        <w:t>（采购人或采购代理机构）</w:t>
      </w:r>
    </w:p>
    <w:p>
      <w:pPr>
        <w:pStyle w:val="17"/>
        <w:tabs>
          <w:tab w:val="left" w:pos="567"/>
          <w:tab w:val="left" w:pos="2412"/>
          <w:tab w:val="left" w:pos="3883"/>
          <w:tab w:val="left" w:pos="5352"/>
          <w:tab w:val="left" w:pos="6821"/>
        </w:tabs>
        <w:kinsoku w:val="0"/>
        <w:overflowPunct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兹证明，</w:t>
      </w:r>
    </w:p>
    <w:p>
      <w:pPr>
        <w:pStyle w:val="17"/>
        <w:tabs>
          <w:tab w:val="left" w:pos="567"/>
          <w:tab w:val="left" w:pos="1690"/>
          <w:tab w:val="left" w:pos="3400"/>
          <w:tab w:val="left" w:pos="5110"/>
          <w:tab w:val="left" w:pos="6821"/>
        </w:tabs>
        <w:kinsoku w:val="0"/>
        <w:overflowPunc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姓名：____性别：____年龄：____职务：____</w:t>
      </w:r>
    </w:p>
    <w:p>
      <w:pPr>
        <w:pStyle w:val="17"/>
        <w:tabs>
          <w:tab w:val="left" w:pos="567"/>
          <w:tab w:val="left" w:pos="2412"/>
          <w:tab w:val="left" w:pos="3883"/>
          <w:tab w:val="left" w:pos="5352"/>
          <w:tab w:val="left" w:pos="6821"/>
        </w:tabs>
        <w:kinsoku w:val="0"/>
        <w:overflowPunct w:val="0"/>
        <w:spacing w:line="360" w:lineRule="auto"/>
        <w:rPr>
          <w:rFonts w:hint="eastAsia" w:ascii="宋体" w:hAnsi="宋体" w:eastAsia="宋体" w:cs="宋体"/>
          <w:color w:val="000000" w:themeColor="text1"/>
          <w:sz w:val="24"/>
          <w:szCs w:val="24"/>
          <w14:textFill>
            <w14:solidFill>
              <w14:schemeClr w14:val="tx1"/>
            </w14:solidFill>
          </w14:textFill>
        </w:rPr>
      </w:pPr>
    </w:p>
    <w:p>
      <w:pPr>
        <w:pStyle w:val="17"/>
        <w:tabs>
          <w:tab w:val="left" w:pos="2250"/>
          <w:tab w:val="left" w:pos="2412"/>
          <w:tab w:val="left" w:pos="3883"/>
          <w:tab w:val="left" w:pos="5352"/>
          <w:tab w:val="left" w:pos="6821"/>
        </w:tabs>
        <w:kinsoku w:val="0"/>
        <w:overflowPunc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系</w:t>
      </w:r>
      <w:r>
        <w:rPr>
          <w:rFonts w:hint="eastAsia" w:ascii="宋体" w:hAnsi="宋体" w:eastAsia="宋体" w:cs="宋体"/>
          <w:color w:val="000000" w:themeColor="text1"/>
          <w:sz w:val="24"/>
          <w:szCs w:val="24"/>
          <w:u w:val="single"/>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（投标人名称）的法定代表人（单位负责人）。</w:t>
      </w:r>
    </w:p>
    <w:p>
      <w:pPr>
        <w:pStyle w:val="17"/>
        <w:tabs>
          <w:tab w:val="left" w:pos="567"/>
          <w:tab w:val="left" w:pos="2412"/>
          <w:tab w:val="left" w:pos="3883"/>
          <w:tab w:val="left" w:pos="5352"/>
          <w:tab w:val="left" w:pos="6821"/>
        </w:tabs>
        <w:kinsoku w:val="0"/>
        <w:overflowPunct w:val="0"/>
        <w:spacing w:line="360" w:lineRule="auto"/>
        <w:rPr>
          <w:rFonts w:hint="eastAsia" w:ascii="宋体" w:hAnsi="宋体" w:eastAsia="宋体" w:cs="宋体"/>
          <w:color w:val="000000" w:themeColor="text1"/>
          <w:sz w:val="24"/>
          <w:szCs w:val="24"/>
          <w14:textFill>
            <w14:solidFill>
              <w14:schemeClr w14:val="tx1"/>
            </w14:solidFill>
          </w14:textFill>
        </w:rPr>
      </w:pPr>
    </w:p>
    <w:p>
      <w:pPr>
        <w:pStyle w:val="17"/>
        <w:tabs>
          <w:tab w:val="left" w:pos="567"/>
          <w:tab w:val="left" w:pos="2412"/>
          <w:tab w:val="left" w:pos="3883"/>
          <w:tab w:val="left" w:pos="5352"/>
          <w:tab w:val="left" w:pos="6821"/>
        </w:tabs>
        <w:kinsoku w:val="0"/>
        <w:overflowPunct w:val="0"/>
        <w:spacing w:line="360" w:lineRule="auto"/>
        <w:rPr>
          <w:rFonts w:hint="eastAsia" w:ascii="宋体" w:hAnsi="宋体" w:eastAsia="宋体" w:cs="宋体"/>
          <w:color w:val="000000" w:themeColor="text1"/>
          <w:sz w:val="24"/>
          <w:szCs w:val="24"/>
          <w14:textFill>
            <w14:solidFill>
              <w14:schemeClr w14:val="tx1"/>
            </w14:solidFill>
          </w14:textFill>
        </w:rPr>
      </w:pPr>
    </w:p>
    <w:p>
      <w:pPr>
        <w:pStyle w:val="17"/>
        <w:tabs>
          <w:tab w:val="left" w:pos="567"/>
          <w:tab w:val="left" w:pos="2412"/>
          <w:tab w:val="left" w:pos="3883"/>
          <w:tab w:val="left" w:pos="5352"/>
          <w:tab w:val="left" w:pos="6821"/>
        </w:tabs>
        <w:kinsoku w:val="0"/>
        <w:overflowPunct w:val="0"/>
        <w:spacing w:line="360" w:lineRule="auto"/>
        <w:rPr>
          <w:rFonts w:hint="eastAsia" w:ascii="宋体" w:hAnsi="宋体" w:eastAsia="宋体" w:cs="宋体"/>
          <w:color w:val="000000" w:themeColor="text1"/>
          <w:sz w:val="24"/>
          <w:szCs w:val="24"/>
          <w14:textFill>
            <w14:solidFill>
              <w14:schemeClr w14:val="tx1"/>
            </w14:solidFill>
          </w14:textFill>
        </w:rPr>
      </w:pPr>
    </w:p>
    <w:p>
      <w:pPr>
        <w:pStyle w:val="17"/>
        <w:tabs>
          <w:tab w:val="left" w:pos="567"/>
        </w:tabs>
        <w:kinsoku w:val="0"/>
        <w:overflowPunct w:val="0"/>
        <w:spacing w:line="360" w:lineRule="auto"/>
        <w:ind w:right="-46"/>
        <w:rPr>
          <w:rFonts w:hint="eastAsia" w:ascii="宋体" w:hAnsi="宋体" w:eastAsia="宋体" w:cs="宋体"/>
          <w:color w:val="000000" w:themeColor="text1"/>
          <w:spacing w:val="-3"/>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附：法定代表人（单位负责人）有效期内的身份证正反面复印件。</w:t>
      </w:r>
    </w:p>
    <w:tbl>
      <w:tblPr>
        <w:tblStyle w:val="45"/>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37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c>
          <w:tcPr>
            <w:tcW w:w="3799" w:type="dxa"/>
          </w:tcPr>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r>
    </w:tbl>
    <w:p>
      <w:pPr>
        <w:pStyle w:val="17"/>
        <w:tabs>
          <w:tab w:val="left" w:pos="567"/>
        </w:tabs>
        <w:kinsoku w:val="0"/>
        <w:overflowPunct w:val="0"/>
        <w:spacing w:line="583" w:lineRule="auto"/>
        <w:ind w:right="4305"/>
        <w:rPr>
          <w:rFonts w:hint="eastAsia" w:ascii="宋体" w:hAnsi="宋体" w:eastAsia="宋体" w:cs="宋体"/>
          <w:color w:val="000000" w:themeColor="text1"/>
          <w:spacing w:val="-3"/>
          <w14:textFill>
            <w14:solidFill>
              <w14:schemeClr w14:val="tx1"/>
            </w14:solidFill>
          </w14:textFill>
        </w:rPr>
      </w:pPr>
    </w:p>
    <w:p>
      <w:pPr>
        <w:pStyle w:val="17"/>
        <w:tabs>
          <w:tab w:val="left" w:pos="567"/>
        </w:tabs>
        <w:kinsoku w:val="0"/>
        <w:overflowPunct w:val="0"/>
        <w:spacing w:line="583" w:lineRule="auto"/>
        <w:ind w:right="4305"/>
        <w:rPr>
          <w:rFonts w:hint="eastAsia" w:ascii="宋体" w:hAnsi="宋体" w:eastAsia="宋体" w:cs="宋体"/>
          <w:color w:val="000000" w:themeColor="text1"/>
          <w:spacing w:val="-3"/>
          <w14:textFill>
            <w14:solidFill>
              <w14:schemeClr w14:val="tx1"/>
            </w14:solidFill>
          </w14:textFill>
        </w:rPr>
      </w:pPr>
    </w:p>
    <w:p>
      <w:pPr>
        <w:autoSpaceDE w:val="0"/>
        <w:autoSpaceDN w:val="0"/>
        <w:adjustRightInd w:val="0"/>
        <w:snapToGrid w:val="0"/>
        <w:spacing w:line="360" w:lineRule="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投标人名称（加盖公章）</w:t>
      </w:r>
      <w:r>
        <w:rPr>
          <w:rFonts w:hint="eastAsia" w:ascii="宋体" w:hAnsi="宋体" w:eastAsia="宋体" w:cs="宋体"/>
          <w:color w:val="000000" w:themeColor="text1"/>
          <w:sz w:val="24"/>
          <w:lang w:val="zh-CN"/>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__           __</w:t>
      </w:r>
    </w:p>
    <w:p>
      <w:pPr>
        <w:autoSpaceDE w:val="0"/>
        <w:autoSpaceDN w:val="0"/>
        <w:adjustRightInd w:val="0"/>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法定代表人（单位负责人）（签字或盖章）：</w:t>
      </w:r>
      <w:r>
        <w:rPr>
          <w:rFonts w:hint="eastAsia" w:ascii="宋体" w:hAnsi="宋体" w:eastAsia="宋体" w:cs="宋体"/>
          <w:color w:val="000000" w:themeColor="text1"/>
          <w:sz w:val="24"/>
          <w:szCs w:val="24"/>
          <w14:textFill>
            <w14:solidFill>
              <w14:schemeClr w14:val="tx1"/>
            </w14:solidFill>
          </w14:textFill>
        </w:rPr>
        <w:t>_</w:t>
      </w:r>
      <w:r>
        <w:rPr>
          <w:rFonts w:hint="eastAsia" w:ascii="宋体" w:hAnsi="宋体" w:eastAsia="宋体" w:cs="宋体"/>
          <w:color w:val="000000" w:themeColor="text1"/>
          <w:sz w:val="24"/>
          <w:szCs w:val="24"/>
          <w:u w:val="single"/>
          <w14:textFill>
            <w14:solidFill>
              <w14:schemeClr w14:val="tx1"/>
            </w14:solidFill>
          </w14:textFill>
        </w:rPr>
        <w:t>_  _</w:t>
      </w:r>
      <w:r>
        <w:rPr>
          <w:rFonts w:hint="eastAsia" w:ascii="宋体" w:hAnsi="宋体" w:eastAsia="宋体" w:cs="宋体"/>
          <w:color w:val="000000" w:themeColor="text1"/>
          <w:sz w:val="24"/>
          <w:szCs w:val="24"/>
          <w14:textFill>
            <w14:solidFill>
              <w14:schemeClr w14:val="tx1"/>
            </w14:solidFill>
          </w14:textFill>
        </w:rPr>
        <w:t>_</w:t>
      </w:r>
      <w:r>
        <w:rPr>
          <w:rFonts w:hint="eastAsia" w:ascii="宋体" w:hAnsi="宋体" w:eastAsia="宋体" w:cs="宋体"/>
          <w:color w:val="000000" w:themeColor="text1"/>
          <w:sz w:val="24"/>
          <w14:textFill>
            <w14:solidFill>
              <w14:schemeClr w14:val="tx1"/>
            </w14:solidFill>
          </w14:textFill>
        </w:rPr>
        <w:t>_</w:t>
      </w:r>
    </w:p>
    <w:p>
      <w:pPr>
        <w:autoSpaceDE w:val="0"/>
        <w:autoSpaceDN w:val="0"/>
        <w:adjustRightInd w:val="0"/>
        <w:snapToGrid w:val="0"/>
        <w:spacing w:line="360" w:lineRule="auto"/>
        <w:rPr>
          <w:rFonts w:hint="eastAsia" w:ascii="宋体" w:hAnsi="宋体" w:eastAsia="宋体" w:cs="宋体"/>
          <w:color w:val="000000" w:themeColor="text1"/>
          <w:sz w:val="24"/>
          <w14:textFill>
            <w14:solidFill>
              <w14:schemeClr w14:val="tx1"/>
            </w14:solidFill>
          </w14:textFill>
        </w:rPr>
      </w:pP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w:t>
      </w:r>
      <w:r>
        <w:rPr>
          <w:rFonts w:hint="eastAsia" w:ascii="宋体" w:hAnsi="宋体" w:eastAsia="宋体" w:cs="宋体"/>
          <w:color w:val="000000" w:themeColor="text1"/>
          <w:sz w:val="24"/>
          <w:szCs w:val="24"/>
          <w14:textFill>
            <w14:solidFill>
              <w14:schemeClr w14:val="tx1"/>
            </w14:solidFill>
          </w14:textFill>
        </w:rPr>
        <w:t>____</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szCs w:val="24"/>
          <w14:textFill>
            <w14:solidFill>
              <w14:schemeClr w14:val="tx1"/>
            </w14:solidFill>
          </w14:textFill>
        </w:rPr>
        <w:t>____</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szCs w:val="24"/>
          <w14:textFill>
            <w14:solidFill>
              <w14:schemeClr w14:val="tx1"/>
            </w14:solidFill>
          </w14:textFill>
        </w:rPr>
        <w:t>____</w:t>
      </w:r>
      <w:r>
        <w:rPr>
          <w:rFonts w:hint="eastAsia" w:ascii="宋体" w:hAnsi="宋体" w:eastAsia="宋体" w:cs="宋体"/>
          <w:color w:val="000000" w:themeColor="text1"/>
          <w:sz w:val="24"/>
          <w14:textFill>
            <w14:solidFill>
              <w14:schemeClr w14:val="tx1"/>
            </w14:solidFill>
          </w14:textFill>
        </w:rPr>
        <w:t>日</w:t>
      </w:r>
    </w:p>
    <w:p>
      <w:pPr>
        <w:rPr>
          <w:rFonts w:hint="eastAsia" w:ascii="宋体" w:hAnsi="宋体" w:eastAsia="宋体" w:cs="宋体"/>
          <w:color w:val="000000" w:themeColor="text1"/>
          <w14:textFill>
            <w14:solidFill>
              <w14:schemeClr w14:val="tx1"/>
            </w14:solidFill>
          </w14:textFill>
        </w:rPr>
        <w:sectPr>
          <w:pgSz w:w="11906" w:h="16838"/>
          <w:pgMar w:top="1440" w:right="1800" w:bottom="1440" w:left="1800" w:header="851" w:footer="992" w:gutter="0"/>
          <w:pgNumType w:fmt="decimal"/>
          <w:cols w:space="720" w:num="1"/>
          <w:docGrid w:linePitch="286" w:charSpace="0"/>
        </w:sectPr>
      </w:pPr>
      <w:bookmarkStart w:id="416" w:name="_Toc27666"/>
      <w:bookmarkStart w:id="417" w:name="_Toc15435060"/>
      <w:bookmarkStart w:id="418" w:name="_Toc24831"/>
      <w:bookmarkStart w:id="419" w:name="_Toc8999343"/>
      <w:bookmarkStart w:id="420" w:name="_Toc486431300"/>
      <w:bookmarkStart w:id="421" w:name="_Toc31553"/>
      <w:bookmarkStart w:id="422" w:name="_Toc496291400"/>
      <w:bookmarkStart w:id="423" w:name="_Toc9501"/>
      <w:bookmarkStart w:id="424" w:name="_Toc669"/>
      <w:bookmarkStart w:id="425" w:name="_Toc486431026"/>
      <w:bookmarkStart w:id="426" w:name="_Toc6883"/>
      <w:bookmarkStart w:id="427" w:name="_Toc29594"/>
    </w:p>
    <w:bookmarkEnd w:id="390"/>
    <w:bookmarkEnd w:id="416"/>
    <w:bookmarkEnd w:id="417"/>
    <w:bookmarkEnd w:id="418"/>
    <w:bookmarkEnd w:id="419"/>
    <w:bookmarkEnd w:id="420"/>
    <w:bookmarkEnd w:id="421"/>
    <w:bookmarkEnd w:id="422"/>
    <w:bookmarkEnd w:id="423"/>
    <w:bookmarkEnd w:id="424"/>
    <w:bookmarkEnd w:id="425"/>
    <w:bookmarkEnd w:id="426"/>
    <w:bookmarkEnd w:id="427"/>
    <w:p>
      <w:pPr>
        <w:pStyle w:val="3"/>
        <w:spacing w:line="360" w:lineRule="auto"/>
        <w:rPr>
          <w:rFonts w:hint="eastAsia" w:ascii="宋体" w:hAnsi="宋体" w:eastAsia="宋体" w:cs="宋体"/>
          <w:color w:val="000000" w:themeColor="text1"/>
          <w:szCs w:val="28"/>
          <w14:textFill>
            <w14:solidFill>
              <w14:schemeClr w14:val="tx1"/>
            </w14:solidFill>
          </w14:textFill>
        </w:rPr>
      </w:pPr>
      <w:bookmarkStart w:id="428" w:name="_Toc18781"/>
      <w:bookmarkStart w:id="429" w:name="_Toc142401512"/>
      <w:r>
        <w:rPr>
          <w:rFonts w:hint="eastAsia" w:ascii="宋体" w:hAnsi="宋体" w:eastAsia="宋体" w:cs="宋体"/>
          <w:color w:val="000000" w:themeColor="text1"/>
          <w:szCs w:val="28"/>
          <w14:textFill>
            <w14:solidFill>
              <w14:schemeClr w14:val="tx1"/>
            </w14:solidFill>
          </w14:textFill>
        </w:rPr>
        <w:t xml:space="preserve">附件3  </w:t>
      </w:r>
      <w:bookmarkEnd w:id="428"/>
      <w:r>
        <w:rPr>
          <w:rFonts w:hint="eastAsia" w:ascii="宋体" w:hAnsi="宋体" w:eastAsia="宋体" w:cs="宋体"/>
          <w:color w:val="000000" w:themeColor="text1"/>
          <w:szCs w:val="28"/>
          <w14:textFill>
            <w14:solidFill>
              <w14:schemeClr w14:val="tx1"/>
            </w14:solidFill>
          </w14:textFill>
        </w:rPr>
        <w:t>合同条款偏离表（实质性格式）</w:t>
      </w:r>
      <w:bookmarkEnd w:id="429"/>
    </w:p>
    <w:p>
      <w:pPr>
        <w:pStyle w:val="23"/>
        <w:spacing w:line="360" w:lineRule="auto"/>
        <w:rPr>
          <w:rFonts w:hint="eastAsia" w:ascii="宋体" w:hAnsi="宋体" w:eastAsia="宋体" w:cs="宋体"/>
          <w:color w:val="000000" w:themeColor="text1"/>
          <w:sz w:val="24"/>
          <w:szCs w:val="24"/>
          <w14:textFill>
            <w14:solidFill>
              <w14:schemeClr w14:val="tx1"/>
            </w14:solidFill>
          </w14:textFill>
        </w:rPr>
      </w:pPr>
    </w:p>
    <w:p>
      <w:pPr>
        <w:pStyle w:val="23"/>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招标编号：</w:t>
      </w:r>
      <w:r>
        <w:rPr>
          <w:rFonts w:hint="eastAsia" w:ascii="宋体" w:hAnsi="宋体" w:eastAsia="宋体" w:cs="宋体"/>
          <w:color w:val="000000" w:themeColor="text1"/>
          <w:sz w:val="24"/>
          <w:szCs w:val="24"/>
          <w:u w:val="single"/>
          <w14:textFill>
            <w14:solidFill>
              <w14:schemeClr w14:val="tx1"/>
            </w14:solidFill>
          </w14:textFill>
        </w:rPr>
        <w:t xml:space="preserve">               </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219"/>
        <w:gridCol w:w="1796"/>
        <w:gridCol w:w="1797"/>
        <w:gridCol w:w="2185"/>
        <w:gridCol w:w="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对本项目合同条款的偏离情况（请进行勾选）：</w:t>
            </w:r>
          </w:p>
          <w:p>
            <w:pPr>
              <w:adjustRightInd w:val="0"/>
              <w:snapToGrid w:val="0"/>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□无偏离</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如无偏离，仅勾选无偏离即可</w:t>
            </w:r>
            <w:r>
              <w:rPr>
                <w:rFonts w:hint="eastAsia" w:ascii="宋体" w:hAnsi="宋体" w:eastAsia="宋体" w:cs="宋体"/>
                <w:color w:val="000000" w:themeColor="text1"/>
                <w14:textFill>
                  <w14:solidFill>
                    <w14:schemeClr w14:val="tx1"/>
                  </w14:solidFill>
                </w14:textFill>
              </w:rPr>
              <w:t>）</w:t>
            </w:r>
          </w:p>
          <w:p>
            <w:pPr>
              <w:adjustRightInd w:val="0"/>
              <w:snapToGrid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□有偏离</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如有偏离，</w:t>
            </w:r>
            <w:r>
              <w:rPr>
                <w:rFonts w:hint="eastAsia" w:ascii="宋体" w:hAnsi="宋体" w:eastAsia="宋体" w:cs="宋体"/>
                <w:color w:val="000000" w:themeColor="text1"/>
                <w14:textFill>
                  <w14:solidFill>
                    <w14:schemeClr w14:val="tx1"/>
                  </w14:solidFill>
                </w14:textFill>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12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招标文件</w:t>
            </w:r>
            <w:r>
              <w:rPr>
                <w:rFonts w:hint="eastAsia" w:ascii="宋体" w:hAnsi="宋体" w:eastAsia="宋体" w:cs="宋体"/>
                <w:color w:val="000000" w:themeColor="text1"/>
                <w14:textFill>
                  <w14:solidFill>
                    <w14:schemeClr w14:val="tx1"/>
                  </w14:solidFill>
                </w14:textFill>
              </w:rPr>
              <w:t>条目号（页码）</w:t>
            </w:r>
          </w:p>
        </w:tc>
        <w:tc>
          <w:tcPr>
            <w:tcW w:w="179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招标文件</w:t>
            </w:r>
            <w:r>
              <w:rPr>
                <w:rFonts w:hint="eastAsia" w:ascii="宋体" w:hAnsi="宋体" w:eastAsia="宋体" w:cs="宋体"/>
                <w:color w:val="000000" w:themeColor="text1"/>
                <w14:textFill>
                  <w14:solidFill>
                    <w14:schemeClr w14:val="tx1"/>
                  </w14:solidFill>
                </w14:textFill>
              </w:rPr>
              <w:t>要求</w:t>
            </w:r>
          </w:p>
        </w:tc>
        <w:tc>
          <w:tcPr>
            <w:tcW w:w="1797"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投标文件内容</w:t>
            </w:r>
          </w:p>
        </w:tc>
        <w:tc>
          <w:tcPr>
            <w:tcW w:w="218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偏离情况</w:t>
            </w:r>
          </w:p>
        </w:tc>
        <w:tc>
          <w:tcPr>
            <w:tcW w:w="743"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2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79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797"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8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743"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2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79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797"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8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743"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2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79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797"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8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743"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2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79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797"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8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743"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bl>
    <w:p>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注：1. 对合同条款中的所有要求，除本表所列明的所有偏离外，均视作供应商已对之理解和响应。</w:t>
      </w:r>
    </w:p>
    <w:p>
      <w:pPr>
        <w:spacing w:line="360" w:lineRule="auto"/>
        <w:ind w:firstLine="960" w:firstLineChars="4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 “偏离情况”列应据实填写“正偏离”或“负偏离”。</w:t>
      </w:r>
    </w:p>
    <w:p>
      <w:pPr>
        <w:pStyle w:val="23"/>
        <w:spacing w:line="360" w:lineRule="auto"/>
        <w:ind w:firstLine="480"/>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投标人名称（加盖公章）：</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5"/>
        <w:spacing w:line="360" w:lineRule="auto"/>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pPr>
        <w:pStyle w:val="3"/>
        <w:spacing w:line="360" w:lineRule="auto"/>
        <w:rPr>
          <w:rFonts w:hint="eastAsia" w:ascii="宋体" w:hAnsi="宋体" w:eastAsia="宋体" w:cs="宋体"/>
          <w:color w:val="000000" w:themeColor="text1"/>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bookmarkStart w:id="430" w:name="_Toc18165"/>
      <w:bookmarkStart w:id="431" w:name="_Toc142401513"/>
      <w:r>
        <w:rPr>
          <w:rFonts w:hint="eastAsia" w:ascii="宋体" w:hAnsi="宋体" w:eastAsia="宋体" w:cs="宋体"/>
          <w:color w:val="000000" w:themeColor="text1"/>
          <w:szCs w:val="28"/>
          <w14:textFill>
            <w14:solidFill>
              <w14:schemeClr w14:val="tx1"/>
            </w14:solidFill>
          </w14:textFill>
        </w:rPr>
        <w:t xml:space="preserve">附件4  </w:t>
      </w:r>
      <w:bookmarkEnd w:id="430"/>
      <w:r>
        <w:rPr>
          <w:rFonts w:hint="eastAsia" w:ascii="宋体" w:hAnsi="宋体" w:eastAsia="宋体" w:cs="宋体"/>
          <w:color w:val="000000" w:themeColor="text1"/>
          <w:szCs w:val="28"/>
          <w:lang w:val="en-US"/>
          <w14:textFill>
            <w14:solidFill>
              <w14:schemeClr w14:val="tx1"/>
            </w14:solidFill>
          </w14:textFill>
        </w:rPr>
        <w:t>采购需求偏离表（实质性格式）</w:t>
      </w:r>
      <w:bookmarkEnd w:id="431"/>
    </w:p>
    <w:p>
      <w:pPr>
        <w:spacing w:line="360" w:lineRule="auto"/>
        <w:ind w:firstLine="360"/>
        <w:rPr>
          <w:rFonts w:hint="eastAsia" w:ascii="宋体" w:hAnsi="宋体" w:eastAsia="宋体" w:cs="宋体"/>
          <w:color w:val="000000" w:themeColor="text1"/>
          <w:sz w:val="24"/>
          <w:szCs w:val="24"/>
          <w14:textFill>
            <w14:solidFill>
              <w14:schemeClr w14:val="tx1"/>
            </w14:solidFill>
          </w14:textFill>
        </w:rPr>
      </w:pPr>
    </w:p>
    <w:p>
      <w:pPr>
        <w:pStyle w:val="23"/>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招标编号：</w:t>
      </w:r>
      <w:r>
        <w:rPr>
          <w:rFonts w:hint="eastAsia" w:ascii="宋体" w:hAnsi="宋体" w:eastAsia="宋体" w:cs="宋体"/>
          <w:color w:val="000000" w:themeColor="text1"/>
          <w:sz w:val="24"/>
          <w:szCs w:val="24"/>
          <w:u w:val="single"/>
          <w14:textFill>
            <w14:solidFill>
              <w14:schemeClr w14:val="tx1"/>
            </w14:solidFill>
          </w14:textFill>
        </w:rPr>
        <w:t xml:space="preserve">               </w:t>
      </w:r>
    </w:p>
    <w:tbl>
      <w:tblPr>
        <w:tblStyle w:val="45"/>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419"/>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14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招标文件条目号(页码)</w:t>
            </w:r>
          </w:p>
        </w:tc>
        <w:tc>
          <w:tcPr>
            <w:tcW w:w="2384"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招标文件要求</w:t>
            </w:r>
          </w:p>
        </w:tc>
        <w:tc>
          <w:tcPr>
            <w:tcW w:w="212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投标响应内容</w:t>
            </w:r>
          </w:p>
        </w:tc>
        <w:tc>
          <w:tcPr>
            <w:tcW w:w="14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偏离情况</w:t>
            </w:r>
          </w:p>
        </w:tc>
        <w:tc>
          <w:tcPr>
            <w:tcW w:w="87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384"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2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87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384"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2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87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384"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2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87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384"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2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87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384"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2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87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82"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384"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212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1419"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c>
          <w:tcPr>
            <w:tcW w:w="876" w:type="dxa"/>
            <w:vAlign w:val="center"/>
          </w:tcPr>
          <w:p>
            <w:pPr>
              <w:adjustRightInd w:val="0"/>
              <w:snapToGrid w:val="0"/>
              <w:jc w:val="center"/>
              <w:rPr>
                <w:rFonts w:hint="eastAsia" w:ascii="宋体" w:hAnsi="宋体" w:eastAsia="宋体" w:cs="宋体"/>
                <w:color w:val="000000" w:themeColor="text1"/>
                <w14:textFill>
                  <w14:solidFill>
                    <w14:schemeClr w14:val="tx1"/>
                  </w14:solidFill>
                </w14:textFill>
              </w:rPr>
            </w:pPr>
          </w:p>
        </w:tc>
      </w:tr>
    </w:tbl>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注：1. 对招标文件中的所有商务、技术要求，除本表所列明的所有偏离外，均视作供应商已对之理解和响应。此表中若无任何文字说明，内容为空白，</w:t>
      </w:r>
      <w:r>
        <w:rPr>
          <w:rFonts w:hint="eastAsia" w:ascii="宋体" w:hAnsi="宋体" w:eastAsia="宋体" w:cs="宋体"/>
          <w:b/>
          <w:color w:val="000000" w:themeColor="text1"/>
          <w:sz w:val="24"/>
          <w:szCs w:val="24"/>
          <w14:textFill>
            <w14:solidFill>
              <w14:schemeClr w14:val="tx1"/>
            </w14:solidFill>
          </w14:textFill>
        </w:rPr>
        <w:t>投标无效。</w:t>
      </w:r>
    </w:p>
    <w:p>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2.“偏离情况”列应据实填写“正偏离”或“负偏离”或“无偏离”。</w:t>
      </w:r>
    </w:p>
    <w:p>
      <w:pPr>
        <w:pStyle w:val="23"/>
        <w:tabs>
          <w:tab w:val="left" w:pos="5580"/>
        </w:tabs>
        <w:spacing w:line="360" w:lineRule="auto"/>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投标人名称（加盖公章）：</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5"/>
        <w:spacing w:line="360" w:lineRule="auto"/>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pPr>
        <w:widowControl/>
        <w:jc w:val="left"/>
        <w:rPr>
          <w:rFonts w:hint="eastAsia" w:ascii="宋体" w:hAnsi="宋体" w:eastAsia="宋体" w:cs="宋体"/>
          <w:b/>
          <w:color w:val="000000" w:themeColor="text1"/>
          <w:kern w:val="0"/>
          <w:sz w:val="28"/>
          <w:szCs w:val="28"/>
          <w:lang w:val="zh-CN"/>
          <w14:textFill>
            <w14:solidFill>
              <w14:schemeClr w14:val="tx1"/>
            </w14:solidFill>
          </w14:textFill>
        </w:rPr>
      </w:pPr>
      <w:bookmarkStart w:id="432" w:name="_Toc8948"/>
      <w:r>
        <w:rPr>
          <w:rFonts w:hint="eastAsia" w:ascii="宋体" w:hAnsi="宋体" w:eastAsia="宋体" w:cs="宋体"/>
          <w:color w:val="000000" w:themeColor="text1"/>
          <w:szCs w:val="28"/>
          <w14:textFill>
            <w14:solidFill>
              <w14:schemeClr w14:val="tx1"/>
            </w14:solidFill>
          </w14:textFill>
        </w:rPr>
        <w:br w:type="page"/>
      </w:r>
    </w:p>
    <w:p>
      <w:pPr>
        <w:pStyle w:val="3"/>
        <w:spacing w:line="360" w:lineRule="auto"/>
        <w:ind w:left="0" w:firstLine="0"/>
        <w:rPr>
          <w:rFonts w:hint="eastAsia" w:ascii="宋体" w:hAnsi="宋体" w:eastAsia="宋体" w:cs="宋体"/>
          <w:color w:val="000000" w:themeColor="text1"/>
          <w:sz w:val="24"/>
          <w:szCs w:val="24"/>
          <w14:textFill>
            <w14:solidFill>
              <w14:schemeClr w14:val="tx1"/>
            </w14:solidFill>
          </w14:textFill>
        </w:rPr>
      </w:pPr>
      <w:bookmarkStart w:id="433" w:name="_Toc142401514"/>
      <w:r>
        <w:rPr>
          <w:rFonts w:hint="eastAsia" w:ascii="宋体" w:hAnsi="宋体" w:eastAsia="宋体" w:cs="宋体"/>
          <w:color w:val="000000" w:themeColor="text1"/>
          <w:szCs w:val="28"/>
          <w14:textFill>
            <w14:solidFill>
              <w14:schemeClr w14:val="tx1"/>
            </w14:solidFill>
          </w14:textFill>
        </w:rPr>
        <w:t>附件5  资格证明文件</w:t>
      </w:r>
      <w:bookmarkEnd w:id="432"/>
      <w:bookmarkEnd w:id="433"/>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*附件5-1  营业执照等证明文件（复印件并加盖投标人公章）</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*附件5-2  投标人资格声明书（实质性格式）</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*附件5-3  本项目的特定资格要求（复印件并加盖投标人公章）</w:t>
      </w:r>
    </w:p>
    <w:p>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注：资格证明文件中划“*”文件是必须提供的资料，缺一项视为无效投标。</w:t>
      </w:r>
      <w:r>
        <w:rPr>
          <w:rFonts w:hint="eastAsia" w:ascii="宋体" w:hAnsi="宋体" w:eastAsia="宋体" w:cs="宋体"/>
          <w:color w:val="000000" w:themeColor="text1"/>
          <w:sz w:val="24"/>
          <w:szCs w:val="24"/>
          <w14:textFill>
            <w14:solidFill>
              <w14:schemeClr w14:val="tx1"/>
            </w14:solidFill>
          </w14:textFill>
        </w:rPr>
        <w:br w:type="page"/>
      </w:r>
      <w:bookmarkStart w:id="434" w:name="_Toc3609"/>
      <w:bookmarkStart w:id="435" w:name="_Toc13076"/>
      <w:bookmarkStart w:id="436" w:name="_Toc7015"/>
      <w:bookmarkStart w:id="437" w:name="_Toc6794"/>
      <w:bookmarkStart w:id="438" w:name="_Toc12001"/>
      <w:bookmarkStart w:id="439" w:name="_Toc24512"/>
      <w:bookmarkStart w:id="440" w:name="_Toc23556"/>
      <w:bookmarkStart w:id="441" w:name="_Toc8999336"/>
      <w:bookmarkStart w:id="442" w:name="_Toc496291393"/>
    </w:p>
    <w:p>
      <w:pPr>
        <w:pStyle w:val="4"/>
        <w:spacing w:line="360" w:lineRule="auto"/>
        <w:rPr>
          <w:rFonts w:hint="eastAsia" w:ascii="宋体" w:hAnsi="宋体" w:eastAsia="宋体" w:cs="宋体"/>
          <w:b/>
          <w:bCs/>
          <w:color w:val="000000" w:themeColor="text1"/>
          <w:sz w:val="24"/>
          <w:szCs w:val="24"/>
          <w14:textFill>
            <w14:solidFill>
              <w14:schemeClr w14:val="tx1"/>
            </w14:solidFill>
          </w14:textFill>
        </w:rPr>
      </w:pPr>
      <w:bookmarkStart w:id="443" w:name="_Toc92789314"/>
      <w:bookmarkStart w:id="444" w:name="_Toc15435052"/>
      <w:bookmarkStart w:id="445" w:name="_Toc50760940"/>
      <w:bookmarkStart w:id="446" w:name="_Toc83722599"/>
      <w:bookmarkStart w:id="447" w:name="_Toc85461413"/>
      <w:bookmarkStart w:id="448" w:name="_Toc137744940"/>
      <w:bookmarkStart w:id="449" w:name="_Toc137548195"/>
      <w:bookmarkStart w:id="450" w:name="_Toc100786153"/>
      <w:bookmarkStart w:id="451" w:name="_Toc142401515"/>
      <w:r>
        <w:rPr>
          <w:rFonts w:hint="eastAsia" w:ascii="宋体" w:hAnsi="宋体" w:eastAsia="宋体" w:cs="宋体"/>
          <w:b/>
          <w:bCs/>
          <w:color w:val="000000" w:themeColor="text1"/>
          <w:sz w:val="24"/>
          <w:szCs w:val="24"/>
          <w:lang w:val="en-US"/>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 xml:space="preserve">附件5-1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hint="eastAsia" w:ascii="宋体" w:hAnsi="宋体" w:eastAsia="宋体" w:cs="宋体"/>
          <w:b/>
          <w:bCs/>
          <w:color w:val="000000" w:themeColor="text1"/>
          <w:sz w:val="24"/>
          <w:szCs w:val="24"/>
          <w:lang w:val="en-US"/>
          <w14:textFill>
            <w14:solidFill>
              <w14:schemeClr w14:val="tx1"/>
            </w14:solidFill>
          </w14:textFill>
        </w:rPr>
        <w:t>营业执照等证明文件</w:t>
      </w:r>
      <w:bookmarkEnd w:id="448"/>
      <w:bookmarkEnd w:id="449"/>
      <w:bookmarkEnd w:id="450"/>
      <w:bookmarkEnd w:id="451"/>
    </w:p>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（复印件并加盖投标人公章）</w:t>
      </w:r>
    </w:p>
    <w:p>
      <w:pPr>
        <w:spacing w:line="360" w:lineRule="auto"/>
        <w:rPr>
          <w:rFonts w:hint="eastAsia" w:ascii="宋体" w:hAnsi="宋体" w:eastAsia="宋体" w:cs="宋体"/>
          <w:color w:val="000000" w:themeColor="text1"/>
          <w:sz w:val="24"/>
          <w:szCs w:val="24"/>
          <w14:textFill>
            <w14:solidFill>
              <w14:schemeClr w14:val="tx1"/>
            </w14:solidFill>
          </w14:textFill>
        </w:rPr>
      </w:pPr>
      <w:bookmarkStart w:id="452" w:name="_Toc28427"/>
      <w:bookmarkStart w:id="453" w:name="_Toc15"/>
      <w:bookmarkStart w:id="454" w:name="_Toc496291394"/>
      <w:bookmarkStart w:id="455" w:name="_Toc4697"/>
      <w:bookmarkStart w:id="456" w:name="_Toc486431298"/>
      <w:bookmarkStart w:id="457" w:name="_Toc8999337"/>
      <w:bookmarkStart w:id="458" w:name="_Toc32705"/>
      <w:bookmarkStart w:id="459" w:name="_Toc13130"/>
      <w:bookmarkStart w:id="460" w:name="_Toc486431024"/>
      <w:bookmarkStart w:id="461" w:name="_Toc14017"/>
      <w:bookmarkStart w:id="462" w:name="_Toc25527"/>
      <w:r>
        <w:rPr>
          <w:rFonts w:hint="eastAsia" w:ascii="宋体" w:hAnsi="宋体" w:eastAsia="宋体" w:cs="宋体"/>
          <w:b/>
          <w:bCs/>
          <w:color w:val="000000" w:themeColor="text1"/>
          <w:sz w:val="24"/>
          <w:szCs w:val="24"/>
          <w14:textFill>
            <w14:solidFill>
              <w14:schemeClr w14:val="tx1"/>
            </w14:solidFill>
          </w14:textFill>
        </w:rPr>
        <w:br w:type="page"/>
      </w:r>
    </w:p>
    <w:p>
      <w:pPr>
        <w:pStyle w:val="4"/>
        <w:spacing w:line="360" w:lineRule="auto"/>
        <w:jc w:val="left"/>
        <w:rPr>
          <w:rFonts w:hint="eastAsia" w:ascii="宋体" w:hAnsi="宋体" w:eastAsia="宋体" w:cs="宋体"/>
          <w:b/>
          <w:bCs/>
          <w:color w:val="000000" w:themeColor="text1"/>
          <w:sz w:val="24"/>
          <w:szCs w:val="24"/>
          <w14:textFill>
            <w14:solidFill>
              <w14:schemeClr w14:val="tx1"/>
            </w14:solidFill>
          </w14:textFill>
        </w:rPr>
      </w:pPr>
      <w:bookmarkStart w:id="463" w:name="_Toc100786154"/>
      <w:bookmarkStart w:id="464" w:name="_Toc137744941"/>
      <w:bookmarkStart w:id="465" w:name="_Toc142401516"/>
      <w:bookmarkStart w:id="466" w:name="_Toc137548196"/>
      <w:bookmarkStart w:id="467" w:name="_Toc85461414"/>
      <w:bookmarkStart w:id="468" w:name="_Toc83722601"/>
      <w:bookmarkStart w:id="469" w:name="_Toc50760941"/>
      <w:bookmarkStart w:id="470" w:name="_Toc92789315"/>
      <w:bookmarkStart w:id="471" w:name="_Toc15435054"/>
      <w:r>
        <w:rPr>
          <w:rFonts w:hint="eastAsia" w:ascii="宋体" w:hAnsi="宋体" w:eastAsia="宋体" w:cs="宋体"/>
          <w:b/>
          <w:bCs/>
          <w:color w:val="000000" w:themeColor="text1"/>
          <w:sz w:val="24"/>
          <w:szCs w:val="24"/>
          <w:lang w:val="en-US"/>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附件5-2  投标人资格声明书</w:t>
      </w:r>
      <w:bookmarkEnd w:id="463"/>
      <w:r>
        <w:rPr>
          <w:rFonts w:hint="eastAsia" w:ascii="宋体" w:hAnsi="宋体" w:eastAsia="宋体" w:cs="宋体"/>
          <w:b/>
          <w:bCs/>
          <w:color w:val="000000" w:themeColor="text1"/>
          <w:sz w:val="24"/>
          <w:szCs w:val="24"/>
          <w:lang w:val="en-US"/>
          <w14:textFill>
            <w14:solidFill>
              <w14:schemeClr w14:val="tx1"/>
            </w14:solidFill>
          </w14:textFill>
        </w:rPr>
        <w:t>（实质性格式）</w:t>
      </w:r>
      <w:bookmarkEnd w:id="464"/>
      <w:bookmarkEnd w:id="465"/>
      <w:bookmarkEnd w:id="466"/>
    </w:p>
    <w:p>
      <w:pPr>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投标人资格声明书</w:t>
      </w:r>
    </w:p>
    <w:p>
      <w:pPr>
        <w:tabs>
          <w:tab w:val="left" w:pos="5580"/>
        </w:tabs>
        <w:spacing w:line="360" w:lineRule="auto"/>
        <w:rPr>
          <w:rFonts w:hint="eastAsia" w:ascii="宋体" w:hAnsi="宋体" w:eastAsia="宋体" w:cs="宋体"/>
          <w:color w:val="000000" w:themeColor="text1"/>
          <w:sz w:val="24"/>
          <w14:textFill>
            <w14:solidFill>
              <w14:schemeClr w14:val="tx1"/>
            </w14:solidFill>
          </w14:textFill>
        </w:rPr>
      </w:pPr>
    </w:p>
    <w:p>
      <w:pPr>
        <w:tabs>
          <w:tab w:val="left" w:pos="5580"/>
        </w:tabs>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致：</w:t>
      </w:r>
      <w:r>
        <w:rPr>
          <w:rFonts w:hint="eastAsia" w:ascii="宋体" w:hAnsi="宋体" w:eastAsia="宋体" w:cs="宋体"/>
          <w:color w:val="000000" w:themeColor="text1"/>
          <w:sz w:val="24"/>
          <w:u w:val="single"/>
          <w14:textFill>
            <w14:solidFill>
              <w14:schemeClr w14:val="tx1"/>
            </w14:solidFill>
          </w14:textFill>
        </w:rPr>
        <w:t>采购人或采购代理机构</w:t>
      </w:r>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在参与本次项目投标中，我单位承诺：</w:t>
      </w:r>
    </w:p>
    <w:p>
      <w:pPr>
        <w:numPr>
          <w:ilvl w:val="0"/>
          <w:numId w:val="7"/>
        </w:numPr>
        <w:spacing w:line="360" w:lineRule="auto"/>
        <w:ind w:left="1134"/>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具有良好的商业信誉和健全的财务会计制度；</w:t>
      </w:r>
    </w:p>
    <w:p>
      <w:pPr>
        <w:numPr>
          <w:ilvl w:val="0"/>
          <w:numId w:val="7"/>
        </w:numPr>
        <w:spacing w:line="360" w:lineRule="auto"/>
        <w:ind w:left="1134"/>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具有履行合同所必需的设备和专业技术能力；</w:t>
      </w:r>
    </w:p>
    <w:p>
      <w:pPr>
        <w:numPr>
          <w:ilvl w:val="0"/>
          <w:numId w:val="7"/>
        </w:numPr>
        <w:spacing w:line="360" w:lineRule="auto"/>
        <w:ind w:left="1134"/>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有依法缴纳税收和社会保障资金的良好记录；</w:t>
      </w:r>
    </w:p>
    <w:p>
      <w:pPr>
        <w:numPr>
          <w:ilvl w:val="0"/>
          <w:numId w:val="7"/>
        </w:numPr>
        <w:spacing w:line="360" w:lineRule="auto"/>
        <w:ind w:left="1134"/>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7"/>
        </w:numPr>
        <w:spacing w:line="360" w:lineRule="auto"/>
        <w:ind w:left="1134"/>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我单位不属于政府采购法律、行政法规规定的公益一类事业单位、或使用事业编制且由财政拨款保障的群团组织（仅适用于政府购买服务项目）；</w:t>
      </w:r>
    </w:p>
    <w:p>
      <w:pPr>
        <w:numPr>
          <w:ilvl w:val="0"/>
          <w:numId w:val="7"/>
        </w:numPr>
        <w:spacing w:line="360" w:lineRule="auto"/>
        <w:ind w:left="1134"/>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pPr>
        <w:numPr>
          <w:ilvl w:val="0"/>
          <w:numId w:val="7"/>
        </w:numPr>
        <w:spacing w:line="360" w:lineRule="auto"/>
        <w:ind w:left="1134"/>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4574" w:type="dxa"/>
            <w:vAlign w:val="center"/>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单位名称</w:t>
            </w:r>
          </w:p>
        </w:tc>
        <w:tc>
          <w:tcPr>
            <w:tcW w:w="2976" w:type="dxa"/>
            <w:vAlign w:val="center"/>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4574" w:type="dxa"/>
            <w:vAlign w:val="center"/>
          </w:tcPr>
          <w:p>
            <w:pPr>
              <w:jc w:val="center"/>
              <w:rPr>
                <w:rFonts w:hint="eastAsia" w:ascii="宋体" w:hAnsi="宋体" w:eastAsia="宋体" w:cs="宋体"/>
                <w:color w:val="000000" w:themeColor="text1"/>
                <w:sz w:val="24"/>
                <w14:textFill>
                  <w14:solidFill>
                    <w14:schemeClr w14:val="tx1"/>
                  </w14:solidFill>
                </w14:textFill>
              </w:rPr>
            </w:pPr>
          </w:p>
        </w:tc>
        <w:tc>
          <w:tcPr>
            <w:tcW w:w="2976" w:type="dxa"/>
            <w:vAlign w:val="center"/>
          </w:tcPr>
          <w:p>
            <w:pPr>
              <w:jc w:val="center"/>
              <w:rPr>
                <w:rFonts w:hint="eastAsia" w:ascii="宋体" w:hAnsi="宋体" w:eastAsia="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4574" w:type="dxa"/>
            <w:vAlign w:val="center"/>
          </w:tcPr>
          <w:p>
            <w:pPr>
              <w:jc w:val="center"/>
              <w:rPr>
                <w:rFonts w:hint="eastAsia" w:ascii="宋体" w:hAnsi="宋体" w:eastAsia="宋体" w:cs="宋体"/>
                <w:color w:val="000000" w:themeColor="text1"/>
                <w:sz w:val="24"/>
                <w14:textFill>
                  <w14:solidFill>
                    <w14:schemeClr w14:val="tx1"/>
                  </w14:solidFill>
                </w14:textFill>
              </w:rPr>
            </w:pPr>
          </w:p>
        </w:tc>
        <w:tc>
          <w:tcPr>
            <w:tcW w:w="2976" w:type="dxa"/>
            <w:vAlign w:val="center"/>
          </w:tcPr>
          <w:p>
            <w:pPr>
              <w:jc w:val="center"/>
              <w:rPr>
                <w:rFonts w:hint="eastAsia" w:ascii="宋体" w:hAnsi="宋体" w:eastAsia="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4574" w:type="dxa"/>
            <w:vAlign w:val="center"/>
          </w:tcPr>
          <w:p>
            <w:pPr>
              <w:jc w:val="center"/>
              <w:rPr>
                <w:rFonts w:hint="eastAsia" w:ascii="宋体" w:hAnsi="宋体" w:eastAsia="宋体" w:cs="宋体"/>
                <w:color w:val="000000" w:themeColor="text1"/>
                <w:sz w:val="24"/>
                <w14:textFill>
                  <w14:solidFill>
                    <w14:schemeClr w14:val="tx1"/>
                  </w14:solidFill>
                </w14:textFill>
              </w:rPr>
            </w:pPr>
          </w:p>
        </w:tc>
        <w:tc>
          <w:tcPr>
            <w:tcW w:w="2976" w:type="dxa"/>
            <w:vAlign w:val="center"/>
          </w:tcPr>
          <w:p>
            <w:pPr>
              <w:jc w:val="center"/>
              <w:rPr>
                <w:rFonts w:hint="eastAsia" w:ascii="宋体" w:hAnsi="宋体" w:eastAsia="宋体" w:cs="宋体"/>
                <w:color w:val="000000" w:themeColor="text1"/>
                <w:sz w:val="24"/>
                <w14:textFill>
                  <w14:solidFill>
                    <w14:schemeClr w14:val="tx1"/>
                  </w14:solidFill>
                </w14:textFill>
              </w:rPr>
            </w:pPr>
          </w:p>
        </w:tc>
      </w:tr>
    </w:tbl>
    <w:p>
      <w:pPr>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上述声明真实有效，否则我方负全部责任。</w:t>
      </w:r>
    </w:p>
    <w:p>
      <w:pPr>
        <w:autoSpaceDE w:val="0"/>
        <w:autoSpaceDN w:val="0"/>
        <w:adjustRightInd w:val="0"/>
        <w:snapToGrid w:val="0"/>
        <w:spacing w:before="25" w:after="25" w:line="360" w:lineRule="auto"/>
        <w:jc w:val="right"/>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投标人名称（加盖公章）</w:t>
      </w:r>
      <w:r>
        <w:rPr>
          <w:rFonts w:hint="eastAsia" w:ascii="宋体" w:hAnsi="宋体" w:eastAsia="宋体" w:cs="宋体"/>
          <w:color w:val="000000" w:themeColor="text1"/>
          <w:sz w:val="24"/>
          <w:lang w:val="zh-CN"/>
          <w14:textFill>
            <w14:solidFill>
              <w14:schemeClr w14:val="tx1"/>
            </w14:solidFill>
          </w14:textFill>
        </w:rPr>
        <w:t>：____________</w:t>
      </w:r>
    </w:p>
    <w:p>
      <w:pPr>
        <w:spacing w:line="360" w:lineRule="auto"/>
        <w:ind w:right="840" w:firstLine="480"/>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日期：_____年______月______日</w:t>
      </w:r>
    </w:p>
    <w:p>
      <w:pPr>
        <w:spacing w:line="360" w:lineRule="auto"/>
        <w:ind w:right="-58"/>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说明：投标人承诺不实的，依据《中华人民共和国政府采购法》第七十七条“提供虚假材料谋取中标、成交的”有关规定予以处理。</w:t>
      </w:r>
      <w:r>
        <w:rPr>
          <w:rFonts w:hint="eastAsia" w:ascii="宋体" w:hAnsi="宋体" w:eastAsia="宋体" w:cs="宋体"/>
          <w:b/>
          <w:bCs/>
          <w:color w:val="000000" w:themeColor="text1"/>
          <w:sz w:val="24"/>
          <w:szCs w:val="24"/>
          <w14:textFill>
            <w14:solidFill>
              <w14:schemeClr w14:val="tx1"/>
            </w14:solidFill>
          </w14:textFill>
        </w:rPr>
        <w:br w:type="page"/>
      </w:r>
    </w:p>
    <w:bookmarkEnd w:id="380"/>
    <w:bookmarkEnd w:id="452"/>
    <w:bookmarkEnd w:id="453"/>
    <w:bookmarkEnd w:id="454"/>
    <w:bookmarkEnd w:id="455"/>
    <w:bookmarkEnd w:id="456"/>
    <w:bookmarkEnd w:id="457"/>
    <w:bookmarkEnd w:id="458"/>
    <w:bookmarkEnd w:id="459"/>
    <w:bookmarkEnd w:id="460"/>
    <w:bookmarkEnd w:id="461"/>
    <w:bookmarkEnd w:id="462"/>
    <w:bookmarkEnd w:id="467"/>
    <w:bookmarkEnd w:id="468"/>
    <w:bookmarkEnd w:id="469"/>
    <w:bookmarkEnd w:id="470"/>
    <w:bookmarkEnd w:id="471"/>
    <w:p>
      <w:pPr>
        <w:pStyle w:val="4"/>
        <w:spacing w:line="360" w:lineRule="auto"/>
        <w:rPr>
          <w:rFonts w:hint="eastAsia" w:ascii="宋体" w:hAnsi="宋体" w:eastAsia="宋体" w:cs="宋体"/>
          <w:b/>
          <w:bCs/>
          <w:color w:val="000000" w:themeColor="text1"/>
          <w:sz w:val="24"/>
          <w:szCs w:val="24"/>
          <w:lang w:val="en-US"/>
          <w14:textFill>
            <w14:solidFill>
              <w14:schemeClr w14:val="tx1"/>
            </w14:solidFill>
          </w14:textFill>
        </w:rPr>
      </w:pPr>
      <w:bookmarkStart w:id="472" w:name="_Toc105425391"/>
      <w:bookmarkStart w:id="473" w:name="_Toc102058281"/>
      <w:bookmarkStart w:id="474" w:name="_Toc101191851"/>
      <w:bookmarkStart w:id="475" w:name="_Toc137744947"/>
      <w:bookmarkStart w:id="476" w:name="_Toc137548197"/>
      <w:bookmarkStart w:id="477" w:name="_Toc142401517"/>
      <w:bookmarkStart w:id="478" w:name="_Toc10550"/>
      <w:bookmarkStart w:id="479" w:name="_Toc100786162"/>
      <w:bookmarkStart w:id="480" w:name="_Toc2280"/>
      <w:bookmarkStart w:id="481" w:name="_Toc22337"/>
      <w:bookmarkStart w:id="482" w:name="_Toc50760949"/>
      <w:bookmarkStart w:id="483" w:name="_Toc92789324"/>
      <w:bookmarkStart w:id="484" w:name="_Toc1928"/>
      <w:bookmarkStart w:id="485" w:name="_Toc22311"/>
      <w:bookmarkStart w:id="486" w:name="_Toc496291407"/>
      <w:bookmarkStart w:id="487" w:name="_Toc8999348"/>
      <w:bookmarkStart w:id="488" w:name="_Toc83722613"/>
      <w:bookmarkStart w:id="489" w:name="_Toc85461420"/>
      <w:bookmarkStart w:id="490" w:name="_Toc15435064"/>
      <w:bookmarkStart w:id="491" w:name="_Toc24482"/>
      <w:bookmarkStart w:id="492" w:name="_Toc9133"/>
      <w:r>
        <w:rPr>
          <w:rFonts w:hint="eastAsia" w:ascii="宋体" w:hAnsi="宋体" w:eastAsia="宋体" w:cs="宋体"/>
          <w:b/>
          <w:color w:val="000000" w:themeColor="text1"/>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 xml:space="preserve">附件5-3  </w:t>
      </w:r>
      <w:bookmarkEnd w:id="472"/>
      <w:bookmarkEnd w:id="473"/>
      <w:bookmarkEnd w:id="474"/>
      <w:bookmarkStart w:id="493" w:name="_Toc102058284"/>
      <w:bookmarkStart w:id="494" w:name="_Toc105425394"/>
      <w:bookmarkStart w:id="495" w:name="_Toc101191854"/>
      <w:r>
        <w:rPr>
          <w:rFonts w:hint="eastAsia" w:ascii="宋体" w:hAnsi="宋体" w:eastAsia="宋体" w:cs="宋体"/>
          <w:b/>
          <w:bCs/>
          <w:color w:val="000000" w:themeColor="text1"/>
          <w:sz w:val="24"/>
          <w:szCs w:val="24"/>
          <w:lang w:val="en-US"/>
          <w14:textFill>
            <w14:solidFill>
              <w14:schemeClr w14:val="tx1"/>
            </w14:solidFill>
          </w14:textFill>
        </w:rPr>
        <w:t>本项目的特定资格要求</w:t>
      </w:r>
      <w:bookmarkEnd w:id="475"/>
      <w:bookmarkEnd w:id="476"/>
      <w:bookmarkEnd w:id="493"/>
      <w:bookmarkEnd w:id="494"/>
      <w:bookmarkEnd w:id="495"/>
      <w:r>
        <w:rPr>
          <w:rFonts w:hint="eastAsia" w:ascii="宋体" w:hAnsi="宋体" w:eastAsia="宋体" w:cs="宋体"/>
          <w:b/>
          <w:bCs/>
          <w:color w:val="000000" w:themeColor="text1"/>
          <w:sz w:val="24"/>
          <w:szCs w:val="24"/>
          <w14:textFill>
            <w14:solidFill>
              <w14:schemeClr w14:val="tx1"/>
            </w14:solidFill>
          </w14:textFill>
        </w:rPr>
        <w:t>（复印件并加盖投标人公章）</w:t>
      </w:r>
      <w:bookmarkEnd w:id="477"/>
    </w:p>
    <w:p>
      <w:pPr>
        <w:widowControl/>
        <w:jc w:val="left"/>
        <w:rPr>
          <w:rFonts w:hint="eastAsia"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投标人应具有国家规定的从事餐饮行业经营活动的《食品经营许可证》</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br w:type="page"/>
      </w:r>
    </w:p>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Pr>
        <w:pStyle w:val="3"/>
        <w:spacing w:line="360" w:lineRule="auto"/>
        <w:ind w:left="0" w:firstLine="0"/>
        <w:rPr>
          <w:rFonts w:hint="eastAsia" w:ascii="宋体" w:hAnsi="宋体" w:eastAsia="宋体" w:cs="宋体"/>
          <w:color w:val="000000" w:themeColor="text1"/>
          <w:sz w:val="24"/>
          <w:szCs w:val="24"/>
          <w14:textFill>
            <w14:solidFill>
              <w14:schemeClr w14:val="tx1"/>
            </w14:solidFill>
          </w14:textFill>
        </w:rPr>
      </w:pPr>
      <w:bookmarkStart w:id="496" w:name="_Toc6182"/>
      <w:bookmarkStart w:id="497" w:name="_Toc142401518"/>
      <w:r>
        <w:rPr>
          <w:rFonts w:hint="eastAsia" w:ascii="宋体" w:hAnsi="宋体" w:eastAsia="宋体" w:cs="宋体"/>
          <w:color w:val="000000" w:themeColor="text1"/>
          <w:szCs w:val="28"/>
          <w14:textFill>
            <w14:solidFill>
              <w14:schemeClr w14:val="tx1"/>
            </w14:solidFill>
          </w14:textFill>
        </w:rPr>
        <w:t>附件6  业绩证明材料</w:t>
      </w:r>
      <w:bookmarkEnd w:id="496"/>
      <w:bookmarkEnd w:id="497"/>
    </w:p>
    <w:p>
      <w:pPr>
        <w:spacing w:line="360" w:lineRule="auto"/>
        <w:ind w:right="658"/>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招标编号：</w:t>
      </w:r>
      <w:r>
        <w:rPr>
          <w:rFonts w:hint="eastAsia" w:ascii="宋体" w:hAnsi="宋体" w:eastAsia="宋体" w:cs="宋体"/>
          <w:color w:val="000000" w:themeColor="text1"/>
          <w:sz w:val="24"/>
          <w:szCs w:val="24"/>
          <w:u w:val="single"/>
          <w14:textFill>
            <w14:solidFill>
              <w14:schemeClr w14:val="tx1"/>
            </w14:solidFill>
          </w14:textFill>
        </w:rPr>
        <w:t xml:space="preserve">          </w:t>
      </w:r>
    </w:p>
    <w:tbl>
      <w:tblPr>
        <w:tblStyle w:val="45"/>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
        <w:gridCol w:w="823"/>
        <w:gridCol w:w="823"/>
        <w:gridCol w:w="823"/>
        <w:gridCol w:w="1239"/>
        <w:gridCol w:w="1358"/>
        <w:gridCol w:w="2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用户名称</w:t>
            </w: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项目内容</w:t>
            </w: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合同价</w:t>
            </w:r>
          </w:p>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（金额）</w:t>
            </w: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项目年份</w:t>
            </w: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用户、联系电话、联系人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bl>
    <w:p>
      <w:pPr>
        <w:tabs>
          <w:tab w:val="left" w:pos="5580"/>
        </w:tabs>
        <w:ind w:left="1258"/>
        <w:jc w:val="left"/>
        <w:rPr>
          <w:rFonts w:hint="eastAsia" w:ascii="宋体" w:hAnsi="宋体" w:eastAsia="宋体" w:cs="宋体"/>
          <w:b/>
          <w:color w:val="000000" w:themeColor="text1"/>
          <w:sz w:val="24"/>
          <w:szCs w:val="24"/>
          <w14:textFill>
            <w14:solidFill>
              <w14:schemeClr w14:val="tx1"/>
            </w14:solidFill>
          </w14:textFill>
        </w:rPr>
      </w:pPr>
    </w:p>
    <w:p>
      <w:pPr>
        <w:pStyle w:val="5"/>
        <w:ind w:firstLine="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说明：1、</w:t>
      </w:r>
      <w:r>
        <w:rPr>
          <w:rFonts w:hint="eastAsia" w:ascii="宋体" w:hAnsi="宋体" w:eastAsia="宋体" w:cs="宋体"/>
          <w:color w:val="000000" w:themeColor="text1"/>
          <w:sz w:val="24"/>
          <w14:textFill>
            <w14:solidFill>
              <w14:schemeClr w14:val="tx1"/>
            </w14:solidFill>
          </w14:textFill>
        </w:rPr>
        <w:t>指自2021年</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14:textFill>
            <w14:solidFill>
              <w14:schemeClr w14:val="tx1"/>
            </w14:solidFill>
          </w14:textFill>
        </w:rPr>
        <w:t>月1日至今（以签订日期为准）正在执行或完成的类似业绩（以合同签约日期为准）</w:t>
      </w:r>
      <w:r>
        <w:rPr>
          <w:rFonts w:hint="eastAsia" w:ascii="宋体" w:hAnsi="宋体" w:eastAsia="宋体" w:cs="宋体"/>
          <w:bCs/>
          <w:color w:val="000000" w:themeColor="text1"/>
          <w:sz w:val="24"/>
          <w:szCs w:val="24"/>
          <w14:textFill>
            <w14:solidFill>
              <w14:schemeClr w14:val="tx1"/>
            </w14:solidFill>
          </w14:textFill>
        </w:rPr>
        <w:t>。</w:t>
      </w:r>
    </w:p>
    <w:p>
      <w:pPr>
        <w:pStyle w:val="5"/>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2、应提供其证明材料（用户签订的合同首页、主要内容页、签署页复印件加盖投标人公章）。</w:t>
      </w:r>
    </w:p>
    <w:p>
      <w:pPr>
        <w:pStyle w:val="5"/>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3、一次采购，分年度签署合同的视为一个案例；一个单位分年度多次签订的案例仅计入1个案例；同一个项目，分两期或以上建设完成的，计入1个案例）</w:t>
      </w:r>
    </w:p>
    <w:p>
      <w:pPr>
        <w:pStyle w:val="5"/>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4、为证明业绩列表中的内容真实和有效，采购人保留审核原件的权利。</w:t>
      </w:r>
    </w:p>
    <w:p>
      <w:pPr>
        <w:pStyle w:val="23"/>
        <w:tabs>
          <w:tab w:val="left" w:pos="5580"/>
        </w:tabs>
        <w:spacing w:line="360" w:lineRule="auto"/>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spacing w:line="360" w:lineRule="auto"/>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投标人名称（加盖公章）：</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5"/>
        <w:spacing w:line="360" w:lineRule="auto"/>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pPr>
        <w:rPr>
          <w:rFonts w:hint="eastAsia" w:ascii="宋体" w:hAnsi="宋体" w:eastAsia="宋体" w:cs="宋体"/>
        </w:rPr>
      </w:pPr>
      <w:r>
        <w:rPr>
          <w:rFonts w:hint="eastAsia" w:ascii="宋体" w:hAnsi="宋体" w:eastAsia="宋体" w:cs="宋体"/>
        </w:rPr>
        <w:br w:type="page"/>
      </w:r>
    </w:p>
    <w:p>
      <w:pPr>
        <w:pStyle w:val="3"/>
        <w:spacing w:line="360" w:lineRule="auto"/>
        <w:ind w:left="0" w:firstLine="0"/>
        <w:rPr>
          <w:rFonts w:hint="eastAsia" w:ascii="宋体" w:hAnsi="宋体" w:eastAsia="宋体" w:cs="宋体"/>
          <w:color w:val="000000" w:themeColor="text1"/>
          <w:sz w:val="24"/>
          <w:szCs w:val="24"/>
          <w14:textFill>
            <w14:solidFill>
              <w14:schemeClr w14:val="tx1"/>
            </w14:solidFill>
          </w14:textFill>
        </w:rPr>
      </w:pPr>
      <w:bookmarkStart w:id="498" w:name="_Toc142401519"/>
      <w:r>
        <w:rPr>
          <w:rFonts w:hint="eastAsia" w:ascii="宋体" w:hAnsi="宋体" w:eastAsia="宋体" w:cs="宋体"/>
          <w:color w:val="000000" w:themeColor="text1"/>
          <w:szCs w:val="28"/>
          <w14:textFill>
            <w14:solidFill>
              <w14:schemeClr w14:val="tx1"/>
            </w14:solidFill>
          </w14:textFill>
        </w:rPr>
        <w:t xml:space="preserve">附件7  </w:t>
      </w:r>
      <w:r>
        <w:rPr>
          <w:rFonts w:hint="eastAsia" w:ascii="宋体" w:hAnsi="宋体" w:eastAsia="宋体" w:cs="宋体"/>
          <w:color w:val="000000" w:themeColor="text1"/>
          <w:szCs w:val="28"/>
          <w:lang w:val="en-US"/>
          <w14:textFill>
            <w14:solidFill>
              <w14:schemeClr w14:val="tx1"/>
            </w14:solidFill>
          </w14:textFill>
        </w:rPr>
        <w:t>企业基本情况</w:t>
      </w:r>
      <w:bookmarkEnd w:id="498"/>
    </w:p>
    <w:p>
      <w:pPr>
        <w:spacing w:line="360" w:lineRule="auto"/>
        <w:ind w:right="658"/>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招标编号：</w:t>
      </w:r>
      <w:r>
        <w:rPr>
          <w:rFonts w:hint="eastAsia" w:ascii="宋体" w:hAnsi="宋体" w:eastAsia="宋体" w:cs="宋体"/>
          <w:color w:val="000000" w:themeColor="text1"/>
          <w:sz w:val="24"/>
          <w:szCs w:val="24"/>
          <w:u w:val="single"/>
          <w14:textFill>
            <w14:solidFill>
              <w14:schemeClr w14:val="tx1"/>
            </w14:solidFill>
          </w14:textFill>
        </w:rPr>
        <w:t xml:space="preserve">          </w:t>
      </w:r>
    </w:p>
    <w:tbl>
      <w:tblPr>
        <w:tblStyle w:val="45"/>
        <w:tblpPr w:leftFromText="180" w:rightFromText="180" w:vertAnchor="text" w:horzAnchor="page" w:tblpX="2054" w:tblpY="404"/>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783"/>
        <w:gridCol w:w="1728"/>
        <w:gridCol w:w="128"/>
        <w:gridCol w:w="1375"/>
        <w:gridCol w:w="45"/>
        <w:gridCol w:w="1003"/>
        <w:gridCol w:w="1417"/>
        <w:gridCol w:w="70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23" w:hRule="atLeast"/>
        </w:trPr>
        <w:tc>
          <w:tcPr>
            <w:tcW w:w="1783"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企业注册名称</w:t>
            </w:r>
          </w:p>
        </w:tc>
        <w:tc>
          <w:tcPr>
            <w:tcW w:w="1728"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1548" w:type="dxa"/>
            <w:gridSpan w:val="3"/>
            <w:vAlign w:val="center"/>
          </w:tcPr>
          <w:p>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注册资金</w:t>
            </w:r>
          </w:p>
        </w:tc>
        <w:tc>
          <w:tcPr>
            <w:tcW w:w="1003"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1417"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注册日期</w:t>
            </w:r>
          </w:p>
        </w:tc>
        <w:tc>
          <w:tcPr>
            <w:tcW w:w="709"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17" w:hRule="atLeast"/>
        </w:trPr>
        <w:tc>
          <w:tcPr>
            <w:tcW w:w="1783"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企业法人代表</w:t>
            </w:r>
          </w:p>
        </w:tc>
        <w:tc>
          <w:tcPr>
            <w:tcW w:w="1728"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1548" w:type="dxa"/>
            <w:gridSpan w:val="3"/>
            <w:vAlign w:val="center"/>
          </w:tcPr>
          <w:p>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   称</w:t>
            </w:r>
          </w:p>
        </w:tc>
        <w:tc>
          <w:tcPr>
            <w:tcW w:w="1003"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1417"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企业性质</w:t>
            </w:r>
          </w:p>
        </w:tc>
        <w:tc>
          <w:tcPr>
            <w:tcW w:w="709"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97" w:hRule="atLeast"/>
        </w:trPr>
        <w:tc>
          <w:tcPr>
            <w:tcW w:w="1783"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企业资质等级</w:t>
            </w:r>
          </w:p>
        </w:tc>
        <w:tc>
          <w:tcPr>
            <w:tcW w:w="1728"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1548" w:type="dxa"/>
            <w:gridSpan w:val="3"/>
            <w:vAlign w:val="center"/>
          </w:tcPr>
          <w:p>
            <w:pPr>
              <w:pStyle w:val="462"/>
              <w:spacing w:line="440" w:lineRule="exact"/>
              <w:rPr>
                <w:rFonts w:hint="eastAsia" w:ascii="宋体" w:hAnsi="宋体" w:eastAsia="宋体" w:cs="宋体"/>
                <w:bCs w:val="0"/>
                <w:color w:val="000000" w:themeColor="text1"/>
                <w:w w:val="100"/>
                <w:kern w:val="2"/>
                <w:szCs w:val="20"/>
                <w14:textFill>
                  <w14:solidFill>
                    <w14:schemeClr w14:val="tx1"/>
                  </w14:solidFill>
                </w14:textFill>
              </w:rPr>
            </w:pPr>
            <w:r>
              <w:rPr>
                <w:rFonts w:hint="eastAsia" w:ascii="宋体" w:hAnsi="宋体" w:eastAsia="宋体" w:cs="宋体"/>
                <w:bCs w:val="0"/>
                <w:color w:val="000000" w:themeColor="text1"/>
                <w:w w:val="100"/>
                <w:kern w:val="2"/>
                <w:szCs w:val="20"/>
                <w14:textFill>
                  <w14:solidFill>
                    <w14:schemeClr w14:val="tx1"/>
                  </w14:solidFill>
                </w14:textFill>
              </w:rPr>
              <w:t>经营方式</w:t>
            </w:r>
          </w:p>
        </w:tc>
        <w:tc>
          <w:tcPr>
            <w:tcW w:w="3129" w:type="dxa"/>
            <w:gridSpan w:val="3"/>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31" w:hRule="atLeast"/>
        </w:trPr>
        <w:tc>
          <w:tcPr>
            <w:tcW w:w="1783"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上级主管部门</w:t>
            </w:r>
          </w:p>
        </w:tc>
        <w:tc>
          <w:tcPr>
            <w:tcW w:w="6405" w:type="dxa"/>
            <w:gridSpan w:val="7"/>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71" w:hRule="atLeast"/>
        </w:trPr>
        <w:tc>
          <w:tcPr>
            <w:tcW w:w="1783" w:type="dxa"/>
            <w:vAlign w:val="center"/>
          </w:tcPr>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批准成立机构</w:t>
            </w:r>
          </w:p>
        </w:tc>
        <w:tc>
          <w:tcPr>
            <w:tcW w:w="6405" w:type="dxa"/>
            <w:gridSpan w:val="7"/>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53" w:hRule="atLeast"/>
        </w:trPr>
        <w:tc>
          <w:tcPr>
            <w:tcW w:w="1783" w:type="dxa"/>
            <w:vMerge w:val="restart"/>
            <w:vAlign w:val="center"/>
          </w:tcPr>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企业职工情况</w:t>
            </w:r>
          </w:p>
        </w:tc>
        <w:tc>
          <w:tcPr>
            <w:tcW w:w="6405" w:type="dxa"/>
            <w:gridSpan w:val="7"/>
            <w:vAlign w:val="center"/>
          </w:tcPr>
          <w:p>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总计：      人，其中：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63" w:hRule="atLeast"/>
        </w:trPr>
        <w:tc>
          <w:tcPr>
            <w:tcW w:w="1783" w:type="dxa"/>
            <w:vMerge w:val="continue"/>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1856" w:type="dxa"/>
            <w:gridSpan w:val="2"/>
            <w:vAlign w:val="center"/>
          </w:tcPr>
          <w:p>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高级职称</w:t>
            </w:r>
          </w:p>
        </w:tc>
        <w:tc>
          <w:tcPr>
            <w:tcW w:w="1375" w:type="dxa"/>
            <w:vAlign w:val="center"/>
          </w:tcPr>
          <w:p>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中级职称</w:t>
            </w:r>
          </w:p>
        </w:tc>
        <w:tc>
          <w:tcPr>
            <w:tcW w:w="1048" w:type="dxa"/>
            <w:gridSpan w:val="2"/>
            <w:vAlign w:val="center"/>
          </w:tcPr>
          <w:p>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无职称</w:t>
            </w:r>
          </w:p>
        </w:tc>
        <w:tc>
          <w:tcPr>
            <w:tcW w:w="2126" w:type="dxa"/>
            <w:gridSpan w:val="2"/>
            <w:vAlign w:val="center"/>
          </w:tcPr>
          <w:p>
            <w:pPr>
              <w:jc w:val="center"/>
              <w:rPr>
                <w:rFonts w:hint="eastAsia" w:ascii="宋体" w:hAnsi="宋体" w:eastAsia="宋体" w:cs="宋体"/>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59" w:hRule="atLeast"/>
        </w:trPr>
        <w:tc>
          <w:tcPr>
            <w:tcW w:w="1783" w:type="dxa"/>
            <w:vMerge w:val="continue"/>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1856" w:type="dxa"/>
            <w:gridSpan w:val="2"/>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1375" w:type="dxa"/>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1048" w:type="dxa"/>
            <w:gridSpan w:val="2"/>
          </w:tcPr>
          <w:p>
            <w:pPr>
              <w:spacing w:line="440" w:lineRule="exact"/>
              <w:rPr>
                <w:rFonts w:hint="eastAsia" w:ascii="宋体" w:hAnsi="宋体" w:eastAsia="宋体" w:cs="宋体"/>
                <w:color w:val="000000" w:themeColor="text1"/>
                <w:sz w:val="24"/>
                <w14:textFill>
                  <w14:solidFill>
                    <w14:schemeClr w14:val="tx1"/>
                  </w14:solidFill>
                </w14:textFill>
              </w:rPr>
            </w:pPr>
          </w:p>
        </w:tc>
        <w:tc>
          <w:tcPr>
            <w:tcW w:w="2126" w:type="dxa"/>
            <w:gridSpan w:val="2"/>
            <w:vAlign w:val="center"/>
          </w:tcPr>
          <w:p>
            <w:pPr>
              <w:spacing w:line="440" w:lineRule="exact"/>
              <w:jc w:val="center"/>
              <w:rPr>
                <w:rFonts w:hint="eastAsia" w:ascii="宋体" w:hAnsi="宋体" w:eastAsia="宋体" w:cs="宋体"/>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905" w:hRule="atLeast"/>
        </w:trPr>
        <w:tc>
          <w:tcPr>
            <w:tcW w:w="1783" w:type="dxa"/>
            <w:vAlign w:val="center"/>
          </w:tcPr>
          <w:p>
            <w:pPr>
              <w:spacing w:line="440" w:lineRule="exact"/>
              <w:ind w:left="-108" w:right="-138"/>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经营范围</w:t>
            </w:r>
          </w:p>
        </w:tc>
        <w:tc>
          <w:tcPr>
            <w:tcW w:w="6405" w:type="dxa"/>
            <w:gridSpan w:val="7"/>
            <w:vAlign w:val="center"/>
          </w:tcPr>
          <w:p>
            <w:pPr>
              <w:spacing w:line="440" w:lineRule="exact"/>
              <w:rPr>
                <w:rFonts w:hint="eastAsia" w:ascii="宋体" w:hAnsi="宋体" w:eastAsia="宋体" w:cs="宋体"/>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905" w:hRule="atLeast"/>
        </w:trPr>
        <w:tc>
          <w:tcPr>
            <w:tcW w:w="1783" w:type="dxa"/>
            <w:vAlign w:val="center"/>
          </w:tcPr>
          <w:p>
            <w:pPr>
              <w:spacing w:line="440" w:lineRule="exact"/>
              <w:ind w:left="-108" w:right="-13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组织机构图</w:t>
            </w:r>
          </w:p>
        </w:tc>
        <w:tc>
          <w:tcPr>
            <w:tcW w:w="6405" w:type="dxa"/>
            <w:gridSpan w:val="7"/>
            <w:vAlign w:val="center"/>
          </w:tcPr>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可另附</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45" w:hRule="atLeast"/>
        </w:trPr>
        <w:tc>
          <w:tcPr>
            <w:tcW w:w="1783" w:type="dxa"/>
          </w:tcPr>
          <w:p>
            <w:pPr>
              <w:spacing w:line="440" w:lineRule="exact"/>
              <w:ind w:left="-108" w:right="-138"/>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企业简历</w:t>
            </w:r>
          </w:p>
        </w:tc>
        <w:tc>
          <w:tcPr>
            <w:tcW w:w="6405" w:type="dxa"/>
            <w:gridSpan w:val="7"/>
          </w:tcPr>
          <w:p>
            <w:pPr>
              <w:spacing w:line="440" w:lineRule="exact"/>
              <w:rPr>
                <w:rFonts w:hint="eastAsia" w:ascii="宋体" w:hAnsi="宋体" w:eastAsia="宋体" w:cs="宋体"/>
                <w:color w:val="000000" w:themeColor="text1"/>
                <w:sz w:val="24"/>
                <w14:textFill>
                  <w14:solidFill>
                    <w14:schemeClr w14:val="tx1"/>
                  </w14:solidFill>
                </w14:textFill>
              </w:rPr>
            </w:pPr>
          </w:p>
        </w:tc>
      </w:tr>
    </w:tbl>
    <w:p>
      <w:pPr>
        <w:pStyle w:val="5"/>
        <w:spacing w:line="360" w:lineRule="auto"/>
        <w:ind w:firstLineChars="175"/>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spacing w:line="360" w:lineRule="auto"/>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投标人名称（加盖公章）：</w:t>
      </w:r>
      <w:r>
        <w:rPr>
          <w:rFonts w:hint="eastAsia" w:ascii="宋体" w:hAnsi="宋体" w:eastAsia="宋体" w:cs="宋体"/>
          <w:color w:val="000000" w:themeColor="text1"/>
          <w:sz w:val="24"/>
          <w:szCs w:val="24"/>
          <w:u w:val="single"/>
          <w14:textFill>
            <w14:solidFill>
              <w14:schemeClr w14:val="tx1"/>
            </w14:solidFill>
          </w14:textFill>
        </w:rPr>
        <w:t xml:space="preserve">                       </w:t>
      </w:r>
    </w:p>
    <w:p>
      <w:pPr>
        <w:pStyle w:val="5"/>
        <w:spacing w:line="360" w:lineRule="auto"/>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pPr>
        <w:spacing w:line="360" w:lineRule="auto"/>
        <w:rPr>
          <w:rFonts w:hint="eastAsia" w:ascii="宋体" w:hAnsi="宋体" w:eastAsia="宋体" w:cs="宋体"/>
          <w:color w:val="000000" w:themeColor="text1"/>
          <w:sz w:val="24"/>
          <w:szCs w:val="24"/>
          <w14:textFill>
            <w14:solidFill>
              <w14:schemeClr w14:val="tx1"/>
            </w14:solidFill>
          </w14:textFill>
        </w:rPr>
      </w:pPr>
    </w:p>
    <w:p>
      <w:pPr>
        <w:widowControl/>
        <w:spacing w:line="360" w:lineRule="auto"/>
        <w:jc w:val="left"/>
        <w:rPr>
          <w:rFonts w:hint="eastAsia" w:ascii="宋体" w:hAnsi="宋体" w:eastAsia="宋体" w:cs="宋体"/>
          <w:b/>
          <w:color w:val="000000" w:themeColor="text1"/>
          <w:kern w:val="0"/>
          <w:sz w:val="24"/>
          <w:szCs w:val="24"/>
          <w:lang w:val="zh-CN"/>
          <w14:textFill>
            <w14:solidFill>
              <w14:schemeClr w14:val="tx1"/>
            </w14:solidFill>
          </w14:textFill>
        </w:rPr>
      </w:pPr>
      <w:bookmarkStart w:id="499" w:name="_Toc7466"/>
      <w:r>
        <w:rPr>
          <w:rFonts w:hint="eastAsia" w:ascii="宋体" w:hAnsi="宋体" w:eastAsia="宋体" w:cs="宋体"/>
          <w:b/>
          <w:color w:val="000000" w:themeColor="text1"/>
          <w:kern w:val="0"/>
          <w:sz w:val="24"/>
          <w:szCs w:val="24"/>
          <w:lang w:val="zh-CN"/>
          <w14:textFill>
            <w14:solidFill>
              <w14:schemeClr w14:val="tx1"/>
            </w14:solidFill>
          </w14:textFill>
        </w:rPr>
        <w:br w:type="page"/>
      </w:r>
    </w:p>
    <w:p>
      <w:pPr>
        <w:pStyle w:val="3"/>
        <w:spacing w:line="360" w:lineRule="auto"/>
        <w:ind w:left="0" w:firstLine="0"/>
        <w:rPr>
          <w:rFonts w:hint="eastAsia" w:ascii="宋体" w:hAnsi="宋体" w:eastAsia="宋体" w:cs="宋体"/>
          <w:color w:val="000000" w:themeColor="text1"/>
          <w:szCs w:val="28"/>
          <w14:textFill>
            <w14:solidFill>
              <w14:schemeClr w14:val="tx1"/>
            </w14:solidFill>
          </w14:textFill>
        </w:rPr>
      </w:pPr>
      <w:bookmarkStart w:id="500" w:name="_Toc496291415"/>
      <w:bookmarkStart w:id="501" w:name="_Toc142401520"/>
      <w:bookmarkStart w:id="502" w:name="_Toc56786499"/>
      <w:r>
        <w:rPr>
          <w:rFonts w:hint="eastAsia" w:ascii="宋体" w:hAnsi="宋体" w:eastAsia="宋体" w:cs="宋体"/>
          <w:color w:val="000000" w:themeColor="text1"/>
          <w:szCs w:val="28"/>
          <w14:textFill>
            <w14:solidFill>
              <w14:schemeClr w14:val="tx1"/>
            </w14:solidFill>
          </w14:textFill>
        </w:rPr>
        <w:t xml:space="preserve">附件8  </w:t>
      </w:r>
      <w:bookmarkEnd w:id="500"/>
      <w:r>
        <w:rPr>
          <w:rFonts w:hint="eastAsia" w:ascii="宋体" w:hAnsi="宋体" w:eastAsia="宋体" w:cs="宋体"/>
          <w:color w:val="000000" w:themeColor="text1"/>
          <w:szCs w:val="28"/>
          <w14:textFill>
            <w14:solidFill>
              <w14:schemeClr w14:val="tx1"/>
            </w14:solidFill>
          </w14:textFill>
        </w:rPr>
        <w:t>拟投入本项目的项目组人员配备情况</w:t>
      </w:r>
      <w:bookmarkEnd w:id="501"/>
      <w:bookmarkEnd w:id="502"/>
    </w:p>
    <w:p>
      <w:pPr>
        <w:spacing w:line="360" w:lineRule="auto"/>
        <w:ind w:left="-358" w:leftChars="-171" w:hanging="1"/>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（1）拟投入本项目的项目组人员配备情况</w:t>
      </w:r>
    </w:p>
    <w:p>
      <w:pPr>
        <w:spacing w:line="360" w:lineRule="auto"/>
        <w:ind w:left="-19" w:leftChars="-9" w:firstLine="19" w:firstLineChars="8"/>
        <w:rPr>
          <w:rFonts w:hint="eastAsia" w:ascii="宋体" w:hAnsi="宋体" w:eastAsia="宋体" w:cs="宋体"/>
          <w:color w:val="000000" w:themeColor="text1"/>
          <w:sz w:val="24"/>
          <w:szCs w:val="24"/>
          <w14:textFill>
            <w14:solidFill>
              <w14:schemeClr w14:val="tx1"/>
            </w14:solidFill>
          </w14:textFill>
        </w:rPr>
      </w:pPr>
    </w:p>
    <w:tbl>
      <w:tblPr>
        <w:tblStyle w:val="45"/>
        <w:tblW w:w="8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006"/>
        <w:gridCol w:w="858"/>
        <w:gridCol w:w="764"/>
        <w:gridCol w:w="764"/>
        <w:gridCol w:w="1975"/>
        <w:gridCol w:w="840"/>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63" w:type="dxa"/>
            <w:vAlign w:val="center"/>
          </w:tcPr>
          <w:p>
            <w:pPr>
              <w:adjustRightInd w:val="0"/>
              <w:snapToGrid w:val="0"/>
              <w:jc w:val="center"/>
              <w:rPr>
                <w:rFonts w:hint="eastAsia" w:ascii="宋体" w:hAnsi="宋体" w:eastAsia="宋体" w:cs="宋体"/>
                <w:color w:val="000000" w:themeColor="text1"/>
                <w:sz w:val="24"/>
                <w14:textFill>
                  <w14:solidFill>
                    <w14:schemeClr w14:val="tx1"/>
                  </w14:solidFill>
                </w14:textFill>
              </w:rPr>
            </w:pPr>
            <w:bookmarkStart w:id="503" w:name="_Toc53908345"/>
            <w:r>
              <w:rPr>
                <w:rFonts w:hint="eastAsia" w:ascii="宋体" w:hAnsi="宋体" w:eastAsia="宋体" w:cs="宋体"/>
                <w:color w:val="000000" w:themeColor="text1"/>
                <w:sz w:val="24"/>
                <w14:textFill>
                  <w14:solidFill>
                    <w14:schemeClr w14:val="tx1"/>
                  </w14:solidFill>
                </w14:textFill>
              </w:rPr>
              <w:t>序号</w:t>
            </w:r>
          </w:p>
        </w:tc>
        <w:tc>
          <w:tcPr>
            <w:tcW w:w="1006" w:type="dxa"/>
            <w:vAlign w:val="center"/>
          </w:tcPr>
          <w:p>
            <w:pPr>
              <w:adjustRightInd w:val="0"/>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姓名</w:t>
            </w:r>
          </w:p>
        </w:tc>
        <w:tc>
          <w:tcPr>
            <w:tcW w:w="858" w:type="dxa"/>
            <w:vAlign w:val="center"/>
          </w:tcPr>
          <w:p>
            <w:pPr>
              <w:adjustRightInd w:val="0"/>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年龄</w:t>
            </w:r>
          </w:p>
        </w:tc>
        <w:tc>
          <w:tcPr>
            <w:tcW w:w="764" w:type="dxa"/>
            <w:vAlign w:val="center"/>
          </w:tcPr>
          <w:p>
            <w:pPr>
              <w:adjustRightInd w:val="0"/>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学历</w:t>
            </w:r>
          </w:p>
        </w:tc>
        <w:tc>
          <w:tcPr>
            <w:tcW w:w="764" w:type="dxa"/>
            <w:vAlign w:val="center"/>
          </w:tcPr>
          <w:p>
            <w:pPr>
              <w:adjustRightInd w:val="0"/>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职称</w:t>
            </w:r>
          </w:p>
        </w:tc>
        <w:tc>
          <w:tcPr>
            <w:tcW w:w="1975" w:type="dxa"/>
            <w:vAlign w:val="center"/>
          </w:tcPr>
          <w:p>
            <w:pPr>
              <w:adjustRightInd w:val="0"/>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岗位</w:t>
            </w:r>
          </w:p>
        </w:tc>
        <w:tc>
          <w:tcPr>
            <w:tcW w:w="840" w:type="dxa"/>
            <w:vAlign w:val="center"/>
          </w:tcPr>
          <w:p>
            <w:pPr>
              <w:adjustRightInd w:val="0"/>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工作年限</w:t>
            </w:r>
          </w:p>
        </w:tc>
        <w:tc>
          <w:tcPr>
            <w:tcW w:w="1485" w:type="dxa"/>
            <w:vAlign w:val="center"/>
          </w:tcPr>
          <w:p>
            <w:pPr>
              <w:adjustRightInd w:val="0"/>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其他需明示资料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006"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58"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764"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97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840"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c>
          <w:tcPr>
            <w:tcW w:w="1485" w:type="dxa"/>
            <w:vAlign w:val="center"/>
          </w:tcPr>
          <w:p>
            <w:pPr>
              <w:adjustRightInd w:val="0"/>
              <w:snapToGrid w:val="0"/>
              <w:jc w:val="center"/>
              <w:rPr>
                <w:rFonts w:hint="eastAsia" w:ascii="宋体" w:hAnsi="宋体" w:eastAsia="宋体" w:cs="宋体"/>
                <w:b/>
                <w:color w:val="000000" w:themeColor="text1"/>
                <w:sz w:val="28"/>
                <w14:textFill>
                  <w14:solidFill>
                    <w14:schemeClr w14:val="tx1"/>
                  </w14:solidFill>
                </w14:textFill>
              </w:rPr>
            </w:pPr>
          </w:p>
        </w:tc>
      </w:tr>
    </w:tbl>
    <w:p>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附：可根据行业规定附项目组人员的相关证件包括不限于身份证、健康证、上岗证、资格证、培训证等复印件。</w:t>
      </w:r>
    </w:p>
    <w:p>
      <w:pPr>
        <w:pStyle w:val="23"/>
        <w:tabs>
          <w:tab w:val="left" w:pos="5580"/>
        </w:tabs>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投标人名称（加盖公章）：</w:t>
      </w:r>
      <w:r>
        <w:rPr>
          <w:rFonts w:hint="eastAsia" w:ascii="宋体" w:hAnsi="宋体" w:eastAsia="宋体" w:cs="宋体"/>
          <w:color w:val="000000" w:themeColor="text1"/>
          <w:sz w:val="24"/>
          <w:szCs w:val="24"/>
          <w:u w:val="single"/>
          <w14:textFill>
            <w14:solidFill>
              <w14:schemeClr w14:val="tx1"/>
            </w14:solidFill>
          </w14:textFill>
        </w:rPr>
        <w:t xml:space="preserve">                        </w:t>
      </w:r>
    </w:p>
    <w:p>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bookmarkEnd w:id="503"/>
      <w:bookmarkStart w:id="504" w:name="_Toc486431029"/>
      <w:bookmarkStart w:id="505" w:name="_Toc486431303"/>
      <w:r>
        <w:rPr>
          <w:rFonts w:hint="eastAsia" w:ascii="宋体" w:hAnsi="宋体" w:eastAsia="宋体" w:cs="宋体"/>
          <w:b/>
          <w:color w:val="000000" w:themeColor="text1"/>
          <w:sz w:val="24"/>
          <w:szCs w:val="24"/>
          <w14:textFill>
            <w14:solidFill>
              <w14:schemeClr w14:val="tx1"/>
            </w14:solidFill>
          </w14:textFill>
        </w:rPr>
        <w:t>（2）</w:t>
      </w:r>
      <w:bookmarkEnd w:id="504"/>
      <w:bookmarkEnd w:id="505"/>
      <w:r>
        <w:rPr>
          <w:rFonts w:hint="eastAsia" w:ascii="宋体" w:hAnsi="宋体" w:eastAsia="宋体" w:cs="宋体"/>
          <w:b/>
          <w:color w:val="000000" w:themeColor="text1"/>
          <w:sz w:val="24"/>
          <w:szCs w:val="24"/>
          <w14:textFill>
            <w14:solidFill>
              <w14:schemeClr w14:val="tx1"/>
            </w14:solidFill>
          </w14:textFill>
        </w:rPr>
        <w:t>拟投入本项目的主要服务人员简历表</w:t>
      </w:r>
    </w:p>
    <w:p>
      <w:pPr>
        <w:spacing w:line="360" w:lineRule="auto"/>
        <w:ind w:right="658" w:firstLine="120" w:firstLineChars="5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招标编号：___________</w:t>
      </w:r>
    </w:p>
    <w:tbl>
      <w:tblPr>
        <w:tblStyle w:val="45"/>
        <w:tblW w:w="8122"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295"/>
        <w:gridCol w:w="750"/>
        <w:gridCol w:w="1080"/>
        <w:gridCol w:w="201"/>
        <w:gridCol w:w="435"/>
        <w:gridCol w:w="1369"/>
        <w:gridCol w:w="226"/>
        <w:gridCol w:w="118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姓名</w:t>
            </w:r>
          </w:p>
        </w:tc>
        <w:tc>
          <w:tcPr>
            <w:tcW w:w="204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性别</w:t>
            </w:r>
          </w:p>
        </w:tc>
        <w:tc>
          <w:tcPr>
            <w:tcW w:w="2005"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40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年龄</w:t>
            </w:r>
          </w:p>
        </w:tc>
        <w:tc>
          <w:tcPr>
            <w:tcW w:w="85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职务</w:t>
            </w:r>
          </w:p>
        </w:tc>
        <w:tc>
          <w:tcPr>
            <w:tcW w:w="204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职称</w:t>
            </w:r>
          </w:p>
        </w:tc>
        <w:tc>
          <w:tcPr>
            <w:tcW w:w="2005"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40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学历</w:t>
            </w:r>
          </w:p>
        </w:tc>
        <w:tc>
          <w:tcPr>
            <w:tcW w:w="85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78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从事工作年限</w:t>
            </w:r>
          </w:p>
        </w:tc>
        <w:tc>
          <w:tcPr>
            <w:tcW w:w="171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775"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拟在本项目担任的职务</w:t>
            </w:r>
          </w:p>
        </w:tc>
        <w:tc>
          <w:tcPr>
            <w:tcW w:w="85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122" w:type="dxa"/>
            <w:gridSpan w:val="10"/>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主要经历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    间</w:t>
            </w: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担任职务</w:t>
            </w: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3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bl>
    <w:p>
      <w:pPr>
        <w:pStyle w:val="23"/>
        <w:tabs>
          <w:tab w:val="left" w:pos="5580"/>
        </w:tabs>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附：1、可根据行业规定附项目负责人的相关证件包括不限于身份证、健康证、上岗证、资格证、培训证等复印件。</w:t>
      </w:r>
    </w:p>
    <w:p>
      <w:pPr>
        <w:pStyle w:val="23"/>
        <w:tabs>
          <w:tab w:val="left" w:pos="5580"/>
        </w:tabs>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2、此表可复制，每人填写一张</w:t>
      </w:r>
    </w:p>
    <w:p>
      <w:pPr>
        <w:pStyle w:val="23"/>
        <w:tabs>
          <w:tab w:val="left" w:pos="5580"/>
        </w:tabs>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投标人名称（加盖公章）：</w:t>
      </w:r>
      <w:r>
        <w:rPr>
          <w:rFonts w:hint="eastAsia" w:ascii="宋体" w:hAnsi="宋体" w:eastAsia="宋体" w:cs="宋体"/>
          <w:color w:val="000000" w:themeColor="text1"/>
          <w:sz w:val="24"/>
          <w:szCs w:val="24"/>
          <w:u w:val="single"/>
          <w14:textFill>
            <w14:solidFill>
              <w14:schemeClr w14:val="tx1"/>
            </w14:solidFill>
          </w14:textFill>
        </w:rPr>
        <w:t xml:space="preserve">                        </w:t>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r>
        <w:rPr>
          <w:rFonts w:hint="eastAsia" w:ascii="宋体" w:hAnsi="宋体" w:eastAsia="宋体" w:cs="宋体"/>
          <w:color w:val="000000" w:themeColor="text1"/>
          <w:sz w:val="24"/>
          <w:szCs w:val="24"/>
          <w14:textFill>
            <w14:solidFill>
              <w14:schemeClr w14:val="tx1"/>
            </w14:solidFill>
          </w14:textFill>
        </w:rPr>
        <w:br w:type="page"/>
      </w:r>
    </w:p>
    <w:p>
      <w:pPr>
        <w:pStyle w:val="3"/>
        <w:spacing w:line="360" w:lineRule="auto"/>
        <w:rPr>
          <w:rStyle w:val="222"/>
          <w:rFonts w:hint="eastAsia" w:ascii="宋体" w:hAnsi="宋体" w:eastAsia="宋体" w:cs="宋体"/>
          <w:b w:val="0"/>
          <w:color w:val="000000" w:themeColor="text1"/>
          <w14:textFill>
            <w14:solidFill>
              <w14:schemeClr w14:val="tx1"/>
            </w14:solidFill>
          </w14:textFill>
        </w:rPr>
      </w:pPr>
      <w:bookmarkStart w:id="506" w:name="_Toc142401521"/>
      <w:r>
        <w:rPr>
          <w:rFonts w:hint="eastAsia" w:ascii="宋体" w:hAnsi="宋体" w:eastAsia="宋体" w:cs="宋体"/>
          <w:bCs/>
          <w:color w:val="000000" w:themeColor="text1"/>
          <w:szCs w:val="28"/>
          <w14:textFill>
            <w14:solidFill>
              <w14:schemeClr w14:val="tx1"/>
            </w14:solidFill>
          </w14:textFill>
        </w:rPr>
        <w:t xml:space="preserve">附件9  </w:t>
      </w:r>
      <w:bookmarkEnd w:id="499"/>
      <w:r>
        <w:rPr>
          <w:rFonts w:hint="eastAsia" w:ascii="宋体" w:hAnsi="宋体" w:eastAsia="宋体" w:cs="宋体"/>
          <w:bCs/>
          <w:color w:val="000000" w:themeColor="text1"/>
          <w:szCs w:val="28"/>
          <w:lang w:val="en-US"/>
          <w14:textFill>
            <w14:solidFill>
              <w14:schemeClr w14:val="tx1"/>
            </w14:solidFill>
          </w14:textFill>
        </w:rPr>
        <w:t>服务方案</w:t>
      </w:r>
      <w:bookmarkEnd w:id="506"/>
    </w:p>
    <w:p>
      <w:pPr>
        <w:spacing w:line="360" w:lineRule="auto"/>
        <w:rPr>
          <w:rFonts w:hint="eastAsia" w:ascii="宋体" w:hAnsi="宋体" w:eastAsia="宋体" w:cs="宋体"/>
          <w:color w:val="000000" w:themeColor="text1"/>
          <w:sz w:val="24"/>
          <w:szCs w:val="24"/>
          <w14:textFill>
            <w14:solidFill>
              <w14:schemeClr w14:val="tx1"/>
            </w14:solidFill>
          </w14:textFill>
        </w:rPr>
      </w:pPr>
    </w:p>
    <w:p>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按照《招标文件》第七章“采购需求”中的要求提出项目具体方案（自行编制）。</w:t>
      </w:r>
    </w:p>
    <w:p>
      <w:pPr>
        <w:rPr>
          <w:rFonts w:hint="eastAsia" w:ascii="宋体" w:hAnsi="宋体" w:eastAsia="宋体" w:cs="宋体"/>
        </w:rPr>
      </w:pPr>
      <w:r>
        <w:rPr>
          <w:rFonts w:hint="eastAsia" w:ascii="宋体" w:hAnsi="宋体" w:eastAsia="宋体" w:cs="宋体"/>
        </w:rPr>
        <w:br w:type="page"/>
      </w:r>
      <w:bookmarkStart w:id="507" w:name="_Toc1932"/>
    </w:p>
    <w:p>
      <w:pPr>
        <w:pStyle w:val="3"/>
        <w:spacing w:line="360" w:lineRule="auto"/>
        <w:rPr>
          <w:rFonts w:hint="eastAsia" w:ascii="宋体" w:hAnsi="宋体" w:eastAsia="宋体" w:cs="宋体"/>
          <w:bCs/>
          <w:color w:val="000000" w:themeColor="text1"/>
          <w:szCs w:val="28"/>
          <w14:textFill>
            <w14:solidFill>
              <w14:schemeClr w14:val="tx1"/>
            </w14:solidFill>
          </w14:textFill>
        </w:rPr>
      </w:pPr>
      <w:bookmarkStart w:id="508" w:name="_Toc142401522"/>
      <w:r>
        <w:rPr>
          <w:rFonts w:hint="eastAsia" w:ascii="宋体" w:hAnsi="宋体" w:eastAsia="宋体" w:cs="宋体"/>
          <w:bCs/>
          <w:color w:val="000000" w:themeColor="text1"/>
          <w:szCs w:val="28"/>
          <w14:textFill>
            <w14:solidFill>
              <w14:schemeClr w14:val="tx1"/>
            </w14:solidFill>
          </w14:textFill>
        </w:rPr>
        <w:t>附件10  招标文件要求提供的其他资料</w:t>
      </w:r>
      <w:bookmarkEnd w:id="507"/>
      <w:bookmarkEnd w:id="508"/>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509" w:name="_Toc18393"/>
    </w:p>
    <w:p>
      <w:pPr>
        <w:pStyle w:val="3"/>
        <w:spacing w:line="360" w:lineRule="auto"/>
        <w:rPr>
          <w:rFonts w:hint="eastAsia" w:ascii="宋体" w:hAnsi="宋体" w:eastAsia="宋体" w:cs="宋体"/>
          <w:bCs/>
          <w:color w:val="000000" w:themeColor="text1"/>
          <w:szCs w:val="28"/>
          <w14:textFill>
            <w14:solidFill>
              <w14:schemeClr w14:val="tx1"/>
            </w14:solidFill>
          </w14:textFill>
        </w:rPr>
      </w:pPr>
      <w:bookmarkStart w:id="510" w:name="_Toc142401523"/>
      <w:r>
        <w:rPr>
          <w:rFonts w:hint="eastAsia" w:ascii="宋体" w:hAnsi="宋体" w:eastAsia="宋体" w:cs="宋体"/>
          <w:bCs/>
          <w:color w:val="000000" w:themeColor="text1"/>
          <w:szCs w:val="28"/>
          <w14:textFill>
            <w14:solidFill>
              <w14:schemeClr w14:val="tx1"/>
            </w14:solidFill>
          </w14:textFill>
        </w:rPr>
        <w:t>附件11  投标人认为有必要提交的其他文件</w:t>
      </w:r>
      <w:bookmarkEnd w:id="509"/>
      <w:bookmarkEnd w:id="510"/>
    </w:p>
    <w:p>
      <w:pPr>
        <w:spacing w:line="360" w:lineRule="auto"/>
        <w:rPr>
          <w:rFonts w:hint="eastAsia" w:ascii="宋体" w:hAnsi="宋体" w:eastAsia="宋体" w:cs="宋体"/>
          <w:color w:val="000000" w:themeColor="text1"/>
          <w:sz w:val="24"/>
          <w:szCs w:val="24"/>
          <w14:textFill>
            <w14:solidFill>
              <w14:schemeClr w14:val="tx1"/>
            </w14:solidFill>
          </w14:textFill>
        </w:rPr>
      </w:pPr>
    </w:p>
    <w:p>
      <w:pPr>
        <w:spacing w:line="360" w:lineRule="auto"/>
        <w:rPr>
          <w:rFonts w:hint="eastAsia" w:ascii="宋体" w:hAnsi="宋体" w:eastAsia="宋体" w:cs="宋体"/>
          <w:color w:val="000000" w:themeColor="text1"/>
          <w:sz w:val="24"/>
          <w:szCs w:val="24"/>
          <w14:textFill>
            <w14:solidFill>
              <w14:schemeClr w14:val="tx1"/>
            </w14:solidFill>
          </w14:textFill>
        </w:rPr>
      </w:pPr>
    </w:p>
    <w:p>
      <w:pPr>
        <w:spacing w:line="360" w:lineRule="auto"/>
        <w:rPr>
          <w:rFonts w:hint="eastAsia" w:ascii="宋体" w:hAnsi="宋体" w:eastAsia="宋体" w:cs="宋体"/>
          <w:color w:val="000000" w:themeColor="text1"/>
          <w:sz w:val="24"/>
          <w:szCs w:val="24"/>
          <w14:textFill>
            <w14:solidFill>
              <w14:schemeClr w14:val="tx1"/>
            </w14:solidFill>
          </w14:textFill>
        </w:rPr>
      </w:pPr>
    </w:p>
    <w:p>
      <w:pPr>
        <w:pStyle w:val="43"/>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bookmarkStart w:id="511" w:name="_Toc142401524"/>
      <w:bookmarkStart w:id="512" w:name="_Toc22510"/>
      <w:r>
        <w:rPr>
          <w:rFonts w:hint="eastAsia" w:ascii="宋体" w:hAnsi="宋体" w:eastAsia="宋体" w:cs="宋体"/>
          <w:color w:val="000000" w:themeColor="text1"/>
          <w:sz w:val="30"/>
          <w:szCs w:val="30"/>
          <w14:textFill>
            <w14:solidFill>
              <w14:schemeClr w14:val="tx1"/>
            </w14:solidFill>
          </w14:textFill>
        </w:rPr>
        <w:t>第五章  资格审查</w:t>
      </w:r>
      <w:bookmarkEnd w:id="511"/>
    </w:p>
    <w:p>
      <w:pPr>
        <w:tabs>
          <w:tab w:val="left" w:pos="360"/>
          <w:tab w:val="left" w:pos="900"/>
        </w:tabs>
        <w:snapToGrid w:val="0"/>
        <w:spacing w:line="360" w:lineRule="auto"/>
        <w:jc w:val="left"/>
        <w:outlineLvl w:val="1"/>
        <w:rPr>
          <w:rFonts w:hint="eastAsia" w:ascii="宋体" w:hAnsi="宋体" w:eastAsia="宋体" w:cs="宋体"/>
          <w:b/>
          <w:color w:val="000000" w:themeColor="text1"/>
          <w:sz w:val="24"/>
          <w14:textFill>
            <w14:solidFill>
              <w14:schemeClr w14:val="tx1"/>
            </w14:solidFill>
          </w14:textFill>
        </w:rPr>
      </w:pPr>
      <w:bookmarkStart w:id="513" w:name="_Toc100786176"/>
      <w:bookmarkStart w:id="514" w:name="_Toc142401525"/>
      <w:bookmarkStart w:id="515" w:name="_Toc99301422"/>
      <w:bookmarkStart w:id="516" w:name="_Toc137548215"/>
      <w:bookmarkStart w:id="517" w:name="_Toc137744960"/>
      <w:r>
        <w:rPr>
          <w:rFonts w:hint="eastAsia" w:ascii="宋体" w:hAnsi="宋体" w:eastAsia="宋体" w:cs="宋体"/>
          <w:b/>
          <w:color w:val="000000" w:themeColor="text1"/>
          <w:sz w:val="24"/>
          <w14:textFill>
            <w14:solidFill>
              <w14:schemeClr w14:val="tx1"/>
            </w14:solidFill>
          </w14:textFill>
        </w:rPr>
        <w:t>一、资格审查程序</w:t>
      </w:r>
      <w:bookmarkEnd w:id="513"/>
      <w:bookmarkEnd w:id="514"/>
      <w:bookmarkEnd w:id="515"/>
      <w:bookmarkEnd w:id="516"/>
      <w:bookmarkEnd w:id="517"/>
    </w:p>
    <w:p>
      <w:pPr>
        <w:tabs>
          <w:tab w:val="left" w:pos="426"/>
          <w:tab w:val="left" w:pos="851"/>
        </w:tabs>
        <w:snapToGrid w:val="0"/>
        <w:spacing w:line="360" w:lineRule="auto"/>
        <w:outlineLvl w:val="1"/>
        <w:rPr>
          <w:rFonts w:hint="eastAsia" w:ascii="宋体" w:hAnsi="宋体" w:eastAsia="宋体" w:cs="宋体"/>
          <w:color w:val="000000" w:themeColor="text1"/>
          <w:sz w:val="24"/>
          <w14:textFill>
            <w14:solidFill>
              <w14:schemeClr w14:val="tx1"/>
            </w14:solidFill>
          </w14:textFill>
        </w:rPr>
      </w:pPr>
      <w:bookmarkStart w:id="518" w:name="_Toc100786177"/>
      <w:bookmarkStart w:id="519" w:name="_Toc142401526"/>
      <w:bookmarkStart w:id="520" w:name="_Toc137744961"/>
      <w:bookmarkStart w:id="521" w:name="_Toc137548216"/>
      <w:r>
        <w:rPr>
          <w:rFonts w:hint="eastAsia" w:ascii="宋体" w:hAnsi="宋体" w:eastAsia="宋体" w:cs="宋体"/>
          <w:color w:val="000000" w:themeColor="text1"/>
          <w:sz w:val="24"/>
          <w14:textFill>
            <w14:solidFill>
              <w14:schemeClr w14:val="tx1"/>
            </w14:solidFill>
          </w14:textFill>
        </w:rPr>
        <w:t>1.开标结束后，采购人或采购代理机构将根据《资格审查要求》中的规定，对投标人进行资格审查，并形成资格审查结果。</w:t>
      </w:r>
      <w:bookmarkEnd w:id="518"/>
      <w:bookmarkEnd w:id="519"/>
      <w:bookmarkEnd w:id="520"/>
      <w:bookmarkEnd w:id="521"/>
    </w:p>
    <w:p>
      <w:pPr>
        <w:tabs>
          <w:tab w:val="left" w:pos="426"/>
          <w:tab w:val="left" w:pos="851"/>
        </w:tabs>
        <w:snapToGrid w:val="0"/>
        <w:spacing w:line="360" w:lineRule="auto"/>
        <w:outlineLvl w:val="1"/>
        <w:rPr>
          <w:rFonts w:hint="eastAsia" w:ascii="宋体" w:hAnsi="宋体" w:eastAsia="宋体" w:cs="宋体"/>
          <w:color w:val="000000" w:themeColor="text1"/>
          <w:sz w:val="24"/>
          <w14:textFill>
            <w14:solidFill>
              <w14:schemeClr w14:val="tx1"/>
            </w14:solidFill>
          </w14:textFill>
        </w:rPr>
      </w:pPr>
      <w:bookmarkStart w:id="522" w:name="_Toc142401527"/>
      <w:bookmarkStart w:id="523" w:name="_Toc137744962"/>
      <w:bookmarkStart w:id="524" w:name="_Toc100786178"/>
      <w:bookmarkStart w:id="525" w:name="_Toc137548217"/>
      <w:r>
        <w:rPr>
          <w:rFonts w:hint="eastAsia" w:ascii="宋体" w:hAnsi="宋体" w:eastAsia="宋体" w:cs="宋体"/>
          <w:color w:val="000000" w:themeColor="text1"/>
          <w:sz w:val="24"/>
          <w14:textFill>
            <w14:solidFill>
              <w14:schemeClr w14:val="tx1"/>
            </w14:solidFill>
          </w14:textFill>
        </w:rPr>
        <w:t>2.《资格审查要求》中对格式有要求的，除招标文件另有规定外，均为“实质性格式”文件。</w:t>
      </w:r>
      <w:bookmarkEnd w:id="522"/>
      <w:bookmarkEnd w:id="523"/>
      <w:bookmarkEnd w:id="524"/>
      <w:bookmarkEnd w:id="525"/>
    </w:p>
    <w:p>
      <w:pPr>
        <w:tabs>
          <w:tab w:val="left" w:pos="426"/>
          <w:tab w:val="left" w:pos="851"/>
        </w:tabs>
        <w:snapToGrid w:val="0"/>
        <w:spacing w:line="360" w:lineRule="auto"/>
        <w:outlineLvl w:val="1"/>
        <w:rPr>
          <w:rFonts w:hint="eastAsia" w:ascii="宋体" w:hAnsi="宋体" w:eastAsia="宋体" w:cs="宋体"/>
          <w:color w:val="000000" w:themeColor="text1"/>
          <w:sz w:val="24"/>
          <w14:textFill>
            <w14:solidFill>
              <w14:schemeClr w14:val="tx1"/>
            </w14:solidFill>
          </w14:textFill>
        </w:rPr>
      </w:pPr>
      <w:bookmarkStart w:id="526" w:name="_Toc137548218"/>
      <w:bookmarkStart w:id="527" w:name="_Toc142401528"/>
      <w:bookmarkStart w:id="528" w:name="_Toc137744963"/>
      <w:bookmarkStart w:id="529" w:name="_Toc100786179"/>
      <w:r>
        <w:rPr>
          <w:rFonts w:hint="eastAsia" w:ascii="宋体" w:hAnsi="宋体" w:eastAsia="宋体" w:cs="宋体"/>
          <w:color w:val="000000" w:themeColor="text1"/>
          <w:sz w:val="24"/>
          <w14:textFill>
            <w14:solidFill>
              <w14:schemeClr w14:val="tx1"/>
            </w14:solidFill>
          </w14:textFill>
        </w:rPr>
        <w:t>3.投标人《资格证明文件》有任何一项不符合《资格审查要求》的，资格审查不合格，其</w:t>
      </w:r>
      <w:r>
        <w:rPr>
          <w:rFonts w:hint="eastAsia" w:ascii="宋体" w:hAnsi="宋体" w:eastAsia="宋体" w:cs="宋体"/>
          <w:b/>
          <w:color w:val="000000" w:themeColor="text1"/>
          <w:sz w:val="24"/>
          <w14:textFill>
            <w14:solidFill>
              <w14:schemeClr w14:val="tx1"/>
            </w14:solidFill>
          </w14:textFill>
        </w:rPr>
        <w:t>投标无效</w:t>
      </w:r>
      <w:r>
        <w:rPr>
          <w:rFonts w:hint="eastAsia" w:ascii="宋体" w:hAnsi="宋体" w:eastAsia="宋体" w:cs="宋体"/>
          <w:color w:val="000000" w:themeColor="text1"/>
          <w:sz w:val="24"/>
          <w14:textFill>
            <w14:solidFill>
              <w14:schemeClr w14:val="tx1"/>
            </w14:solidFill>
          </w14:textFill>
        </w:rPr>
        <w:t>。</w:t>
      </w:r>
      <w:bookmarkEnd w:id="526"/>
      <w:bookmarkEnd w:id="527"/>
      <w:bookmarkEnd w:id="528"/>
      <w:bookmarkEnd w:id="529"/>
    </w:p>
    <w:p>
      <w:pPr>
        <w:tabs>
          <w:tab w:val="left" w:pos="426"/>
          <w:tab w:val="left" w:pos="851"/>
        </w:tabs>
        <w:snapToGrid w:val="0"/>
        <w:spacing w:line="360" w:lineRule="auto"/>
        <w:outlineLvl w:val="1"/>
        <w:rPr>
          <w:rFonts w:hint="eastAsia" w:ascii="宋体" w:hAnsi="宋体" w:eastAsia="宋体" w:cs="宋体"/>
          <w:color w:val="000000" w:themeColor="text1"/>
          <w:sz w:val="24"/>
          <w14:textFill>
            <w14:solidFill>
              <w14:schemeClr w14:val="tx1"/>
            </w14:solidFill>
          </w14:textFill>
        </w:rPr>
      </w:pPr>
      <w:bookmarkStart w:id="530" w:name="_Toc142401529"/>
      <w:bookmarkStart w:id="531" w:name="_Toc100786180"/>
      <w:bookmarkStart w:id="532" w:name="_Toc137548219"/>
      <w:bookmarkStart w:id="533" w:name="_Toc137744964"/>
      <w:r>
        <w:rPr>
          <w:rFonts w:hint="eastAsia" w:ascii="宋体" w:hAnsi="宋体" w:eastAsia="宋体" w:cs="宋体"/>
          <w:color w:val="000000" w:themeColor="text1"/>
          <w:sz w:val="24"/>
          <w14:textFill>
            <w14:solidFill>
              <w14:schemeClr w14:val="tx1"/>
            </w14:solidFill>
          </w14:textFill>
        </w:rPr>
        <w:t>4.资格审查合格的投标人不足3家的，不进行评标。</w:t>
      </w:r>
      <w:bookmarkEnd w:id="530"/>
      <w:bookmarkEnd w:id="531"/>
      <w:bookmarkEnd w:id="532"/>
      <w:bookmarkEnd w:id="533"/>
    </w:p>
    <w:p>
      <w:pPr>
        <w:widowControl/>
        <w:jc w:val="left"/>
        <w:rPr>
          <w:rFonts w:hint="eastAsia" w:ascii="宋体" w:hAnsi="宋体" w:eastAsia="宋体" w:cs="宋体"/>
          <w:color w:val="000000" w:themeColor="text1"/>
          <w:sz w:val="24"/>
          <w14:textFill>
            <w14:solidFill>
              <w14:schemeClr w14:val="tx1"/>
            </w14:solidFill>
          </w14:textFill>
        </w:rPr>
      </w:pPr>
    </w:p>
    <w:p>
      <w:pPr>
        <w:tabs>
          <w:tab w:val="left" w:pos="360"/>
          <w:tab w:val="left" w:pos="900"/>
        </w:tabs>
        <w:snapToGrid w:val="0"/>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534" w:name="_Toc100786181"/>
      <w:bookmarkStart w:id="535" w:name="_Toc137548220"/>
      <w:bookmarkStart w:id="536" w:name="_Toc142401530"/>
      <w:bookmarkStart w:id="537" w:name="_Toc137744965"/>
      <w:r>
        <w:rPr>
          <w:rFonts w:hint="eastAsia" w:ascii="宋体" w:hAnsi="宋体" w:eastAsia="宋体" w:cs="宋体"/>
          <w:b/>
          <w:color w:val="000000" w:themeColor="text1"/>
          <w:sz w:val="24"/>
          <w14:textFill>
            <w14:solidFill>
              <w14:schemeClr w14:val="tx1"/>
            </w14:solidFill>
          </w14:textFill>
        </w:rPr>
        <w:t>二、资格审查要求</w:t>
      </w:r>
      <w:bookmarkEnd w:id="534"/>
      <w:bookmarkEnd w:id="535"/>
      <w:bookmarkEnd w:id="536"/>
      <w:bookmarkEnd w:id="537"/>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819"/>
        <w:gridCol w:w="4425"/>
        <w:gridCol w:w="15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序号</w:t>
            </w:r>
          </w:p>
        </w:tc>
        <w:tc>
          <w:tcPr>
            <w:tcW w:w="1067" w:type="pct"/>
            <w:vAlign w:val="center"/>
          </w:tcPr>
          <w:p>
            <w:pPr>
              <w:tabs>
                <w:tab w:val="left" w:pos="1080"/>
              </w:tabs>
              <w:snapToGrid w:val="0"/>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审查因素</w:t>
            </w:r>
          </w:p>
        </w:tc>
        <w:tc>
          <w:tcPr>
            <w:tcW w:w="2596" w:type="pct"/>
            <w:vAlign w:val="center"/>
          </w:tcPr>
          <w:p>
            <w:pPr>
              <w:tabs>
                <w:tab w:val="left" w:pos="1080"/>
              </w:tabs>
              <w:snapToGrid w:val="0"/>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审查内容</w:t>
            </w:r>
          </w:p>
        </w:tc>
        <w:tc>
          <w:tcPr>
            <w:tcW w:w="882" w:type="pct"/>
            <w:vAlign w:val="center"/>
          </w:tcPr>
          <w:p>
            <w:pPr>
              <w:tabs>
                <w:tab w:val="left" w:pos="1080"/>
              </w:tabs>
              <w:snapToGrid w:val="0"/>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067" w:type="pct"/>
            <w:vAlign w:val="center"/>
          </w:tcPr>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满足《中华人民共和国政府采购法》第二十二条规定及法律法规的其他规定</w:t>
            </w:r>
          </w:p>
        </w:tc>
        <w:tc>
          <w:tcPr>
            <w:tcW w:w="2596"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具体规定见第一章《投标邀请》</w:t>
            </w:r>
          </w:p>
        </w:tc>
        <w:tc>
          <w:tcPr>
            <w:tcW w:w="882"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1067" w:type="pct"/>
            <w:vAlign w:val="center"/>
          </w:tcPr>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营业执照等</w:t>
            </w:r>
          </w:p>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证明文件</w:t>
            </w:r>
          </w:p>
        </w:tc>
        <w:tc>
          <w:tcPr>
            <w:tcW w:w="2596"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投标人为企业（包括合伙企业）的，应提供有效的“营业执照”；</w:t>
            </w:r>
          </w:p>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投标人为事业单位的，应提供有效的“事业单位法人证书”；</w:t>
            </w:r>
          </w:p>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投标人是非企业机构的，应提供有效的“执业许可证”、“登记证书”等证明文件；</w:t>
            </w:r>
          </w:p>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投标人是个体工商户的，应提供有效的“个体工商户营业执照”；</w:t>
            </w:r>
          </w:p>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投标人是自然人的，应提供有效的自然人身份证明。</w:t>
            </w:r>
          </w:p>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若本项目允许分支机构参加投标，则分支机构参加投标的，此处可提供该分支机构或其所属法人或其他组织的相应证明文件。</w:t>
            </w:r>
          </w:p>
        </w:tc>
        <w:tc>
          <w:tcPr>
            <w:tcW w:w="882"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提供证明文件的复印件加盖投标人公章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1067" w:type="pct"/>
            <w:vAlign w:val="center"/>
          </w:tcPr>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投标人资格</w:t>
            </w:r>
          </w:p>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声明书</w:t>
            </w:r>
          </w:p>
        </w:tc>
        <w:tc>
          <w:tcPr>
            <w:tcW w:w="2596"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提供了符合招标文件要求的《投标人资格声明书》。</w:t>
            </w:r>
          </w:p>
        </w:tc>
        <w:tc>
          <w:tcPr>
            <w:tcW w:w="882"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格式见附件5-2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1067" w:type="pct"/>
            <w:vAlign w:val="center"/>
          </w:tcPr>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投标人信用</w:t>
            </w:r>
          </w:p>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记录</w:t>
            </w:r>
          </w:p>
        </w:tc>
        <w:tc>
          <w:tcPr>
            <w:tcW w:w="2596" w:type="pct"/>
            <w:vAlign w:val="center"/>
          </w:tcPr>
          <w:p>
            <w:pPr>
              <w:tabs>
                <w:tab w:val="left" w:pos="1080"/>
              </w:tabs>
              <w:snapToGrid w:val="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查询渠道：信用中国网站和中国政府采购网（</w:t>
            </w:r>
            <w:r>
              <w:rPr>
                <w:rFonts w:hint="eastAsia" w:ascii="宋体" w:hAnsi="宋体" w:eastAsia="宋体" w:cs="宋体"/>
                <w:color w:val="000000" w:themeColor="text1"/>
                <w14:textFill>
                  <w14:solidFill>
                    <w14:schemeClr w14:val="tx1"/>
                  </w14:solidFill>
                </w14:textFill>
              </w:rPr>
              <w:t>www.creditchina.gov.cn</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www.ccgp.gov.cn</w:t>
            </w:r>
            <w:r>
              <w:rPr>
                <w:rFonts w:hint="eastAsia" w:ascii="宋体" w:hAnsi="宋体" w:eastAsia="宋体" w:cs="宋体"/>
                <w:color w:val="000000" w:themeColor="text1"/>
                <w:sz w:val="24"/>
                <w14:textFill>
                  <w14:solidFill>
                    <w14:schemeClr w14:val="tx1"/>
                  </w14:solidFill>
                </w14:textFill>
              </w:rPr>
              <w:t>）；</w:t>
            </w:r>
          </w:p>
          <w:p>
            <w:pPr>
              <w:tabs>
                <w:tab w:val="left" w:pos="900"/>
                <w:tab w:val="left" w:pos="1980"/>
              </w:tabs>
              <w:snapToGrid w:val="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截止时点：投标截止时间以后、资格审查阶段采购人或采购代理机构的实际查询时间；</w:t>
            </w:r>
          </w:p>
          <w:p>
            <w:pPr>
              <w:tabs>
                <w:tab w:val="left" w:pos="900"/>
                <w:tab w:val="left" w:pos="1980"/>
              </w:tabs>
              <w:snapToGrid w:val="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信用信息查询记录和证据留存具体方式：查询结果网页打印页作为查询记录和证据，与其他采购文件一并保存；</w:t>
            </w:r>
          </w:p>
          <w:p>
            <w:pPr>
              <w:tabs>
                <w:tab w:val="left" w:pos="1080"/>
              </w:tabs>
              <w:snapToGrid w:val="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信用信息的使用原则：经认定的被列入失信被执行人、重大税收违法案件当事人名单、政府采购严重违法失信行为记录名单的投标人，其</w:t>
            </w:r>
            <w:r>
              <w:rPr>
                <w:rFonts w:hint="eastAsia" w:ascii="宋体" w:hAnsi="宋体" w:eastAsia="宋体" w:cs="宋体"/>
                <w:b/>
                <w:color w:val="000000" w:themeColor="text1"/>
                <w:sz w:val="24"/>
                <w14:textFill>
                  <w14:solidFill>
                    <w14:schemeClr w14:val="tx1"/>
                  </w14:solidFill>
                </w14:textFill>
              </w:rPr>
              <w:t>投标无效</w:t>
            </w:r>
            <w:r>
              <w:rPr>
                <w:rFonts w:hint="eastAsia" w:ascii="宋体" w:hAnsi="宋体" w:eastAsia="宋体" w:cs="宋体"/>
                <w:color w:val="000000" w:themeColor="text1"/>
                <w:sz w:val="24"/>
                <w14:textFill>
                  <w14:solidFill>
                    <w14:schemeClr w14:val="tx1"/>
                  </w14:solidFill>
                </w14:textFill>
              </w:rPr>
              <w:t>。联合体形式投标的，联合体成员存在不良信用记录，视同联合体存在不良信用记录。</w:t>
            </w:r>
          </w:p>
        </w:tc>
        <w:tc>
          <w:tcPr>
            <w:tcW w:w="882"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1067"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本项目的特定资格要求</w:t>
            </w:r>
          </w:p>
        </w:tc>
        <w:tc>
          <w:tcPr>
            <w:tcW w:w="2596"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见第一章《投标邀请》、附件5-3</w:t>
            </w:r>
          </w:p>
        </w:tc>
        <w:tc>
          <w:tcPr>
            <w:tcW w:w="882" w:type="pct"/>
            <w:vAlign w:val="center"/>
          </w:tcPr>
          <w:p>
            <w:pPr>
              <w:tabs>
                <w:tab w:val="left" w:pos="1080"/>
              </w:tabs>
              <w:snapToGrid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提供证明文件的复印件加盖投标人公章</w:t>
            </w:r>
          </w:p>
        </w:tc>
      </w:tr>
    </w:tbl>
    <w:p>
      <w:pPr>
        <w:widowControl/>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pPr>
        <w:pStyle w:val="43"/>
        <w:spacing w:line="360" w:lineRule="auto"/>
        <w:rPr>
          <w:rFonts w:hint="eastAsia" w:ascii="宋体" w:hAnsi="宋体" w:eastAsia="宋体" w:cs="宋体"/>
          <w:color w:val="000000" w:themeColor="text1"/>
          <w:sz w:val="24"/>
          <w:szCs w:val="24"/>
          <w14:textFill>
            <w14:solidFill>
              <w14:schemeClr w14:val="tx1"/>
            </w14:solidFill>
          </w14:textFill>
        </w:rPr>
      </w:pPr>
      <w:bookmarkStart w:id="538" w:name="_Toc142401531"/>
      <w:r>
        <w:rPr>
          <w:rFonts w:hint="eastAsia" w:ascii="宋体" w:hAnsi="宋体" w:eastAsia="宋体" w:cs="宋体"/>
          <w:color w:val="000000" w:themeColor="text1"/>
          <w:sz w:val="30"/>
          <w:szCs w:val="30"/>
          <w14:textFill>
            <w14:solidFill>
              <w14:schemeClr w14:val="tx1"/>
            </w14:solidFill>
          </w14:textFill>
        </w:rPr>
        <w:t xml:space="preserve">第六章  </w:t>
      </w:r>
      <w:bookmarkEnd w:id="512"/>
      <w:r>
        <w:rPr>
          <w:rFonts w:hint="eastAsia" w:ascii="宋体" w:hAnsi="宋体" w:eastAsia="宋体" w:cs="宋体"/>
          <w:color w:val="000000" w:themeColor="text1"/>
          <w:sz w:val="30"/>
          <w:szCs w:val="30"/>
          <w14:textFill>
            <w14:solidFill>
              <w14:schemeClr w14:val="tx1"/>
            </w14:solidFill>
          </w14:textFill>
        </w:rPr>
        <w:t>评标程序、评标方法和评标标准</w:t>
      </w:r>
      <w:bookmarkEnd w:id="538"/>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539" w:name="_Toc92789336"/>
      <w:bookmarkStart w:id="540" w:name="_Toc17133"/>
      <w:bookmarkStart w:id="541" w:name="_Toc100786183"/>
      <w:bookmarkStart w:id="542" w:name="_Toc23372"/>
      <w:bookmarkStart w:id="543" w:name="_Toc50760965"/>
      <w:bookmarkStart w:id="544" w:name="_Toc9165"/>
      <w:bookmarkStart w:id="545" w:name="_Toc12076"/>
      <w:bookmarkStart w:id="546" w:name="_Toc15319"/>
      <w:bookmarkStart w:id="547" w:name="_Toc142401532"/>
      <w:bookmarkStart w:id="548" w:name="_Toc83722624"/>
      <w:bookmarkStart w:id="549" w:name="_Toc496291424"/>
      <w:bookmarkStart w:id="550" w:name="_Toc137548222"/>
      <w:bookmarkStart w:id="551" w:name="_Toc8999363"/>
      <w:bookmarkStart w:id="552" w:name="_Toc15039"/>
      <w:bookmarkStart w:id="553" w:name="_Toc85461436"/>
      <w:bookmarkStart w:id="554" w:name="_Toc15435079"/>
      <w:bookmarkStart w:id="555" w:name="_Toc137744967"/>
      <w:r>
        <w:rPr>
          <w:rFonts w:hint="eastAsia" w:ascii="宋体" w:hAnsi="宋体" w:eastAsia="宋体" w:cs="宋体"/>
          <w:color w:val="000000" w:themeColor="text1"/>
          <w:sz w:val="24"/>
          <w:szCs w:val="24"/>
          <w14:textFill>
            <w14:solidFill>
              <w14:schemeClr w14:val="tx1"/>
            </w14:solidFill>
          </w14:textFill>
        </w:rPr>
        <w:t>（一）总则</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  本办法为仅适用于本项目的评标。</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本办法是招标文件的组成部分。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  评标工作由依法组建的评标委员会承担。评标委员会由采购人的代表以及受聘的经济、技术专家组成，评标委员会成员总人数为5人（含）以上单数，其中专家人数不少于评委总数的2/3。专家聘请遵从《中华人民共和国政府采购法》、《中华人民共和国政府采购法实施条例》等相关法律法规的有关规定。评标委员会推荐一名经济、技术专家为评标组长，将遵守公正、公平、科学、择优的原则，根据招标文件规定的评审方法和评分标准进行。</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  与投标人有利害关系的人员不得参与本项目的评审工作。评标委员会成员的名单在中标结果确定前应当保密。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1.6  评标期间，评标人员必须严格遵守保密规定，不得泄露与评标有关的情况，不得索贿受贿，不得参加影响公正评标的任何活动。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  投标人不得采取任何方式干扰评标工作。</w:t>
      </w: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556" w:name="_Toc8999364"/>
      <w:bookmarkStart w:id="557" w:name="_Toc92789337"/>
      <w:bookmarkStart w:id="558" w:name="_Toc21568"/>
      <w:bookmarkStart w:id="559" w:name="_Toc142401533"/>
      <w:bookmarkStart w:id="560" w:name="_Toc496291425"/>
      <w:bookmarkStart w:id="561" w:name="_Toc137744968"/>
      <w:bookmarkStart w:id="562" w:name="_Toc15435080"/>
      <w:bookmarkStart w:id="563" w:name="_Toc100786184"/>
      <w:bookmarkStart w:id="564" w:name="_Toc17268"/>
      <w:bookmarkStart w:id="565" w:name="_Toc137548223"/>
      <w:bookmarkStart w:id="566" w:name="_Toc27627"/>
      <w:bookmarkStart w:id="567" w:name="_Toc5932"/>
      <w:bookmarkStart w:id="568" w:name="_Toc50760966"/>
      <w:bookmarkStart w:id="569" w:name="_Toc85461437"/>
      <w:bookmarkStart w:id="570" w:name="_Toc11577"/>
      <w:bookmarkStart w:id="571" w:name="_Toc83722625"/>
      <w:bookmarkStart w:id="572" w:name="_Toc25518"/>
      <w:r>
        <w:rPr>
          <w:rFonts w:hint="eastAsia" w:ascii="宋体" w:hAnsi="宋体" w:eastAsia="宋体" w:cs="宋体"/>
          <w:color w:val="000000" w:themeColor="text1"/>
          <w:sz w:val="24"/>
          <w:szCs w:val="24"/>
          <w14:textFill>
            <w14:solidFill>
              <w14:schemeClr w14:val="tx1"/>
            </w14:solidFill>
          </w14:textFill>
        </w:rPr>
        <w:t>（二）评标委员会的工作内容</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  审查、评价投标文件是否符合招标文件的商务、技术等实质性要求；</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  要求投标人对投标文件有关事项作出澄清或者说明；</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  对投标文件进行比较和评价；</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2.4  确定中标候选人名单，以及根据采购人委托直接确定中标人；</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2.5  向采购人、采购代理机构或者有关部门报告评标中发现的违法行为。</w:t>
      </w: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573" w:name="_Toc50760967"/>
      <w:bookmarkStart w:id="574" w:name="_Toc888"/>
      <w:bookmarkStart w:id="575" w:name="_Toc137548224"/>
      <w:bookmarkStart w:id="576" w:name="_Toc15435081"/>
      <w:bookmarkStart w:id="577" w:name="_Toc28871"/>
      <w:bookmarkStart w:id="578" w:name="_Toc85461438"/>
      <w:bookmarkStart w:id="579" w:name="_Toc8999365"/>
      <w:bookmarkStart w:id="580" w:name="_Toc137744969"/>
      <w:bookmarkStart w:id="581" w:name="_Toc3236"/>
      <w:bookmarkStart w:id="582" w:name="_Toc83722626"/>
      <w:bookmarkStart w:id="583" w:name="_Toc142401534"/>
      <w:bookmarkStart w:id="584" w:name="_Toc25959"/>
      <w:bookmarkStart w:id="585" w:name="_Toc496291426"/>
      <w:bookmarkStart w:id="586" w:name="_Toc8178"/>
      <w:bookmarkStart w:id="587" w:name="_Toc29745"/>
      <w:bookmarkStart w:id="588" w:name="_Toc92789338"/>
      <w:bookmarkStart w:id="589" w:name="_Toc100786185"/>
      <w:r>
        <w:rPr>
          <w:rFonts w:hint="eastAsia" w:ascii="宋体" w:hAnsi="宋体" w:eastAsia="宋体" w:cs="宋体"/>
          <w:color w:val="000000" w:themeColor="text1"/>
          <w:sz w:val="24"/>
          <w:szCs w:val="24"/>
          <w14:textFill>
            <w14:solidFill>
              <w14:schemeClr w14:val="tx1"/>
            </w14:solidFill>
          </w14:textFill>
        </w:rPr>
        <w:t>（三）评标程序</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  符合性审查</w:t>
      </w:r>
      <w:r>
        <w:rPr>
          <w:rFonts w:hint="eastAsia" w:ascii="宋体" w:hAnsi="宋体" w:eastAsia="宋体" w:cs="宋体"/>
          <w:bCs/>
          <w:color w:val="000000" w:themeColor="text1"/>
          <w:sz w:val="24"/>
          <w:szCs w:val="24"/>
          <w14:textFill>
            <w14:solidFill>
              <w14:schemeClr w14:val="tx1"/>
            </w14:solidFill>
          </w14:textFill>
        </w:rPr>
        <w:t>。</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  澄清。</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  商务、技术部分评审。</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  编写评标报告。</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  定标。</w:t>
      </w: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590" w:name="_Toc496291427"/>
      <w:bookmarkStart w:id="591" w:name="_Toc25399"/>
      <w:bookmarkStart w:id="592" w:name="_Toc22701"/>
      <w:bookmarkStart w:id="593" w:name="_Toc137548225"/>
      <w:bookmarkStart w:id="594" w:name="_Toc14363"/>
      <w:bookmarkStart w:id="595" w:name="_Toc100786186"/>
      <w:bookmarkStart w:id="596" w:name="_Toc92789339"/>
      <w:bookmarkStart w:id="597" w:name="_Toc137744970"/>
      <w:bookmarkStart w:id="598" w:name="_Toc85461439"/>
      <w:bookmarkStart w:id="599" w:name="_Toc83722627"/>
      <w:bookmarkStart w:id="600" w:name="_Toc5448"/>
      <w:bookmarkStart w:id="601" w:name="_Toc15435082"/>
      <w:bookmarkStart w:id="602" w:name="_Toc50760968"/>
      <w:bookmarkStart w:id="603" w:name="_Toc8999366"/>
      <w:bookmarkStart w:id="604" w:name="_Toc142401535"/>
      <w:bookmarkStart w:id="605" w:name="_Toc15845"/>
      <w:bookmarkStart w:id="606" w:name="_Toc17101"/>
      <w:r>
        <w:rPr>
          <w:rFonts w:hint="eastAsia" w:ascii="宋体" w:hAnsi="宋体" w:eastAsia="宋体" w:cs="宋体"/>
          <w:color w:val="000000" w:themeColor="text1"/>
          <w:sz w:val="24"/>
          <w:szCs w:val="24"/>
          <w14:textFill>
            <w14:solidFill>
              <w14:schemeClr w14:val="tx1"/>
            </w14:solidFill>
          </w14:textFill>
        </w:rPr>
        <w:t>（四）符合性评审</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  评标委员会将对通过资格审查的投标文件的符合性进行评审，</w:t>
      </w:r>
      <w:r>
        <w:rPr>
          <w:rFonts w:hint="eastAsia" w:ascii="宋体" w:hAnsi="宋体" w:eastAsia="宋体" w:cs="宋体"/>
          <w:color w:val="000000" w:themeColor="text1"/>
          <w:sz w:val="24"/>
          <w14:textFill>
            <w14:solidFill>
              <w14:schemeClr w14:val="tx1"/>
            </w14:solidFill>
          </w14:textFill>
        </w:rPr>
        <w:t>，以确定其是否满足招标文件的实质性要求。</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  投标文件出现下列情形之一的，由评标委员会符合性评审后按无效投标处理：</w:t>
      </w:r>
    </w:p>
    <w:p>
      <w:pPr>
        <w:pStyle w:val="15"/>
        <w:snapToGrid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4.2.1  投标文件的签署不符合本须知第14条规定的；</w:t>
      </w:r>
    </w:p>
    <w:p>
      <w:pPr>
        <w:pStyle w:val="15"/>
        <w:snapToGrid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4.2.2  未能在实质上对招标文件提出的所有实质性要求和条件作出响应的；</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4.2.3  未按招标文件要求提交有效投标保证金的；（本项目不适用）</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4.2.4  投标文件的关键内容字迹模糊、无法辨认的；</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4.2.5  投标人递交两份或多份内容不同的投标文件，或在一份投标文件中对同一招标项目报有两个或多个报价，且未声明哪一个有效的；（本项目不适用）</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4.2.6  投标人以他人的名义投标、串通投标、以行贿手段谋取中标或者以其他弄虚作假方式投标的；</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4.2.7  投标人有下列情形之一的，视为串通投标，其投标无效：</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4.2.7.1  不同投标人的投标文件由同一单位或者个人编制；</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4.2.7.2  不同投标人委托同一单位或者个人办理投标事宜；</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4.2.7.3  不同投标人的投标文件载明的项目管理成员或者联系人员为同一人；</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4.2.7.4  不同投标人的投标文件异常一致或者投标报价呈规律性差异；（本项目不适用）</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4.2.7.5  不同投标人的投标文件相互混装；</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4.2.7.6  不同投标人的投标保证金从同一单位或者个人的账户转出；（本项目不适用）</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4.2.8  投标人的报价明显低于其他通过符合性审查投标人的报价，有可能影响产品质量或者不能诚信履约的，评标委员会有权要求其在评标现场合理的时间内提供书面说明，必要时提交相关证明材料，投标人不能证明其报价合理性的；（本项目不适用）</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4.2.9  投标报价超过本项目预算金额或最高限价的；（本项目不适用）</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4.2.10  国家有关部门对投标人的投标产品有强制性规定或要求的，投标人的投标产品不符合相应规定或要求；</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4.2.11  投标文件含有采购人不能接受的附加条件或不合理要求的；</w:t>
      </w:r>
    </w:p>
    <w:p>
      <w:pPr>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4.2.12  法律、法规和招标文件规定的其他无效情形。</w:t>
      </w: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607" w:name="_Toc17243"/>
      <w:bookmarkStart w:id="608" w:name="_Toc50760969"/>
      <w:bookmarkStart w:id="609" w:name="_Toc92789340"/>
      <w:bookmarkStart w:id="610" w:name="_Toc11916"/>
      <w:bookmarkStart w:id="611" w:name="_Toc21241"/>
      <w:bookmarkStart w:id="612" w:name="_Toc15435083"/>
      <w:bookmarkStart w:id="613" w:name="_Toc137744971"/>
      <w:bookmarkStart w:id="614" w:name="_Toc9845"/>
      <w:bookmarkStart w:id="615" w:name="_Toc8999367"/>
      <w:bookmarkStart w:id="616" w:name="_Toc18037"/>
      <w:bookmarkStart w:id="617" w:name="_Toc496291428"/>
      <w:bookmarkStart w:id="618" w:name="_Toc83722628"/>
      <w:bookmarkStart w:id="619" w:name="_Toc100786187"/>
      <w:bookmarkStart w:id="620" w:name="_Toc137548226"/>
      <w:bookmarkStart w:id="621" w:name="_Toc142401536"/>
      <w:bookmarkStart w:id="622" w:name="_Toc21764"/>
      <w:bookmarkStart w:id="623" w:name="_Toc85461440"/>
      <w:r>
        <w:rPr>
          <w:rFonts w:hint="eastAsia" w:ascii="宋体" w:hAnsi="宋体" w:eastAsia="宋体" w:cs="宋体"/>
          <w:color w:val="000000" w:themeColor="text1"/>
          <w:sz w:val="24"/>
          <w:szCs w:val="24"/>
          <w14:textFill>
            <w14:solidFill>
              <w14:schemeClr w14:val="tx1"/>
            </w14:solidFill>
          </w14:textFill>
        </w:rPr>
        <w:t>（五）</w:t>
      </w:r>
      <w:r>
        <w:rPr>
          <w:rFonts w:hint="eastAsia" w:ascii="宋体" w:hAnsi="宋体" w:eastAsia="宋体" w:cs="宋体"/>
          <w:color w:val="000000" w:themeColor="text1"/>
          <w:sz w:val="24"/>
          <w:szCs w:val="24"/>
          <w:lang w:val="en-US"/>
          <w14:textFill>
            <w14:solidFill>
              <w14:schemeClr w14:val="tx1"/>
            </w14:solidFill>
          </w14:textFill>
        </w:rPr>
        <w:t>投标文件有关事项的澄清或者说明</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w:t>
      </w:r>
      <w:r>
        <w:rPr>
          <w:rFonts w:hint="eastAsia" w:ascii="宋体" w:hAnsi="宋体" w:eastAsia="宋体" w:cs="宋体"/>
          <w:color w:val="000000" w:themeColor="text1"/>
          <w:sz w:val="24"/>
          <w14:textFill>
            <w14:solidFill>
              <w14:schemeClr w14:val="tx1"/>
            </w14:solidFill>
          </w14:textFill>
        </w:rPr>
        <w:t>投标人的澄清、说明或者补正不得超出投标文件的范围或者改变投标文件的实质性内容。澄清文件将作为投标文件内容的一部分。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本项目不适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投标无效。（本项目不适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5.4  采购人不接受投标人主动提出的对投标文件的澄清。</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  投标文件报价出现前后不一致的，按照下列规定修正：（本项目不适用）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5.5.1  招标文件对于报价修正是否另有规定：</w:t>
      </w:r>
    </w:p>
    <w:p>
      <w:pPr>
        <w:snapToGrid w:val="0"/>
        <w:spacing w:line="360" w:lineRule="auto"/>
        <w:ind w:firstLine="960" w:firstLineChars="40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□有，具体规定为：______________</w:t>
      </w:r>
    </w:p>
    <w:p>
      <w:pPr>
        <w:snapToGrid w:val="0"/>
        <w:spacing w:line="360" w:lineRule="auto"/>
        <w:ind w:firstLine="964" w:firstLineChars="4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无，按下述5.5.2-5.5.7项规定修正。</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5.5.2  单独递交的开标一览表（报价表）与投标文件中开标一览表（报价表）内容不一致的，以单独递交的开标一览表（报价表）为准；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5.5.3  投标文件中开标一览表（报价表）内容与投标文件中相应内容不一致的，以开标一览表（报价表）为准；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5.5.4  大写金额和小写金额不一致的，以大写金额为准；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5.5.5  单价金额小数点或者百分比有明显错位的，以开标一览表的总价为准，并修改单价；</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5.5.6  总价金额与按单价汇总金额不一致的，以单价金额计算结果为准。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5.5.7  同时出现两种以上不一致的，按照前款规定的顺序修正。修正后的报价经投标人书面确认后产生约束力，投标人不确认的，其</w:t>
      </w:r>
      <w:r>
        <w:rPr>
          <w:rFonts w:hint="eastAsia" w:ascii="宋体" w:hAnsi="宋体" w:eastAsia="宋体" w:cs="宋体"/>
          <w:b/>
          <w:color w:val="000000" w:themeColor="text1"/>
          <w:sz w:val="24"/>
          <w:szCs w:val="24"/>
          <w14:textFill>
            <w14:solidFill>
              <w14:schemeClr w14:val="tx1"/>
            </w14:solidFill>
          </w14:textFill>
        </w:rPr>
        <w:t>投标无效</w:t>
      </w:r>
      <w:r>
        <w:rPr>
          <w:rFonts w:hint="eastAsia" w:ascii="宋体" w:hAnsi="宋体" w:eastAsia="宋体" w:cs="宋体"/>
          <w:color w:val="000000" w:themeColor="text1"/>
          <w:sz w:val="24"/>
          <w:szCs w:val="24"/>
          <w14:textFill>
            <w14:solidFill>
              <w14:schemeClr w14:val="tx1"/>
            </w14:solidFill>
          </w14:textFill>
        </w:rPr>
        <w:t>。</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  落实政府采购政策的价格调整：只有符合第二章《投标人须知》5.2条规定情形的，可以享受中小企业扶持政策，用扣除后的价格参加评审；否则，评标时价格不予扣除。</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5.6.1  对于未预留份额专门面向中小企业采购的采购项目，以及预留份额项目中的非预留部分采购包，对小微企业报价给予</w:t>
      </w:r>
      <w:r>
        <w:rPr>
          <w:rFonts w:hint="eastAsia" w:ascii="宋体" w:hAnsi="宋体" w:eastAsia="宋体" w:cs="宋体"/>
          <w:color w:val="000000" w:themeColor="text1"/>
          <w:sz w:val="24"/>
          <w:szCs w:val="24"/>
          <w:u w:val="single"/>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%的扣除，用扣除后的价格参加评审。</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cs="宋体"/>
          <w:color w:val="000000" w:themeColor="text1"/>
          <w:sz w:val="24"/>
          <w:szCs w:val="24"/>
          <w:u w:val="single"/>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%的扣除，用扣除后的价格参加评审。</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5.6.3  组成联合体或者接受分包的小微企业与联合体内其他企业、分包企业之间存在直接控股、管理关系的，不享受价格扣除优惠政策。</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5.6.4  价格扣除比例对小型企业和微型企业同等对待，不作区分。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5.6.5  中小企业参加政府采购活动，应当按照招标文件给定的格式出具《中小企业声明函》，否则不得享受相关中小企业扶持政策。</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5.6.6  监狱企业提供了由省级以上监狱管理局（北京市含教育矫治局）、戒毒管理局（含新疆生产建设兵团）出具的属于监狱企业的证明文件的，视同小微企业。</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5.6.7  残疾人福利性单位按招标文件要求提供了《残疾人福利性单位声明函》（见附件）的，视同小微企业。</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5.6.8  </w:t>
      </w:r>
      <w:r>
        <w:rPr>
          <w:rFonts w:hint="eastAsia" w:ascii="宋体" w:hAnsi="宋体" w:eastAsia="宋体" w:cs="宋体"/>
          <w:color w:val="000000" w:themeColor="text1"/>
          <w:sz w:val="24"/>
          <w14:textFill>
            <w14:solidFill>
              <w14:schemeClr w14:val="tx1"/>
            </w14:solidFill>
          </w14:textFill>
        </w:rPr>
        <w:t>若投标人同时属于小型或微型企业、监狱企业、残疾人福利性单位中的两种及以上，将不重复享受小微企业价格扣减的优惠政策。</w:t>
      </w: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624" w:name="_Toc15435084"/>
      <w:bookmarkStart w:id="625" w:name="_Toc85461441"/>
      <w:bookmarkStart w:id="626" w:name="_Toc50760970"/>
      <w:bookmarkStart w:id="627" w:name="_Toc28524"/>
      <w:bookmarkStart w:id="628" w:name="_Toc137744972"/>
      <w:bookmarkStart w:id="629" w:name="_Toc18491"/>
      <w:bookmarkStart w:id="630" w:name="_Toc100786188"/>
      <w:bookmarkStart w:id="631" w:name="_Toc496291429"/>
      <w:bookmarkStart w:id="632" w:name="_Toc142401537"/>
      <w:bookmarkStart w:id="633" w:name="_Toc28429"/>
      <w:bookmarkStart w:id="634" w:name="_Toc92789341"/>
      <w:bookmarkStart w:id="635" w:name="_Toc9199"/>
      <w:bookmarkStart w:id="636" w:name="_Toc30808"/>
      <w:bookmarkStart w:id="637" w:name="_Toc83722629"/>
      <w:bookmarkStart w:id="638" w:name="_Toc8999368"/>
      <w:bookmarkStart w:id="639" w:name="_Toc137548227"/>
      <w:bookmarkStart w:id="640" w:name="_Toc28419"/>
      <w:r>
        <w:rPr>
          <w:rFonts w:hint="eastAsia" w:ascii="宋体" w:hAnsi="宋体" w:eastAsia="宋体" w:cs="宋体"/>
          <w:color w:val="000000" w:themeColor="text1"/>
          <w:sz w:val="24"/>
          <w:szCs w:val="24"/>
          <w14:textFill>
            <w14:solidFill>
              <w14:schemeClr w14:val="tx1"/>
            </w14:solidFill>
          </w14:textFill>
        </w:rPr>
        <w:t>（六）</w:t>
      </w:r>
      <w:r>
        <w:rPr>
          <w:rFonts w:hint="eastAsia" w:ascii="宋体" w:hAnsi="宋体" w:eastAsia="宋体" w:cs="宋体"/>
          <w:color w:val="000000" w:themeColor="text1"/>
          <w:sz w:val="24"/>
          <w:szCs w:val="24"/>
          <w:lang w:val="en-US"/>
          <w14:textFill>
            <w14:solidFill>
              <w14:schemeClr w14:val="tx1"/>
            </w14:solidFill>
          </w14:textFill>
        </w:rPr>
        <w:t>投标文件的比较和评价</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  评标委员会将按照招标文件中规定的评标方法和标准，对符合性审查合格的投标文件进行商务和技术评估，综合比较与评价；未通过符合性审查的投标文件不得进入比较与评价。</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6.2  评标方法和评标标准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6.2.1  本项目采用的评标方法为：</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□最低评标价法，指投标文件满足招标文件全部实质性要求，且投标报价最低的投标人为中标候选人的评标方法。</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6.2.2  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□随机抽取</w:t>
      </w:r>
    </w:p>
    <w:p>
      <w:pPr>
        <w:snapToGrid w:val="0"/>
        <w:spacing w:line="360" w:lineRule="auto"/>
        <w:ind w:firstLine="480" w:firstLineChars="20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□其他方式，具体要求：</w:t>
      </w:r>
      <w:r>
        <w:rPr>
          <w:rFonts w:hint="eastAsia" w:ascii="宋体" w:hAnsi="宋体" w:eastAsia="宋体" w:cs="宋体"/>
          <w:color w:val="000000" w:themeColor="text1"/>
          <w:sz w:val="24"/>
          <w:szCs w:val="24"/>
          <w:u w:val="single"/>
          <w14:textFill>
            <w14:solidFill>
              <w14:schemeClr w14:val="tx1"/>
            </w14:solidFill>
          </w14:textFill>
        </w:rPr>
        <w:t>/</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  非政府强制采购的节能产品或环境标志产品，依据品目清单和认证证书实施政府优先采购。优先采购的具体规定（如涉及）</w:t>
      </w:r>
      <w:r>
        <w:rPr>
          <w:rFonts w:hint="eastAsia" w:ascii="宋体" w:hAnsi="宋体" w:eastAsia="宋体" w:cs="宋体"/>
          <w:color w:val="000000" w:themeColor="text1"/>
          <w:sz w:val="24"/>
          <w:szCs w:val="24"/>
          <w:u w:val="single"/>
          <w14:textFill>
            <w14:solidFill>
              <w14:schemeClr w14:val="tx1"/>
            </w14:solidFill>
          </w14:textFill>
        </w:rPr>
        <w:t>见《评标标准》</w:t>
      </w:r>
      <w:r>
        <w:rPr>
          <w:rFonts w:hint="eastAsia" w:ascii="宋体" w:hAnsi="宋体" w:eastAsia="宋体" w:cs="宋体"/>
          <w:color w:val="000000" w:themeColor="text1"/>
          <w:sz w:val="24"/>
          <w:szCs w:val="24"/>
          <w14:textFill>
            <w14:solidFill>
              <w14:schemeClr w14:val="tx1"/>
            </w14:solidFill>
          </w14:textFill>
        </w:rPr>
        <w:t>。</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  关于无线局域网认证产品政府采购清单中的产品，优先采购的具体规定（如涉及）</w:t>
      </w:r>
      <w:r>
        <w:rPr>
          <w:rFonts w:hint="eastAsia" w:ascii="宋体" w:hAnsi="宋体" w:eastAsia="宋体" w:cs="宋体"/>
          <w:color w:val="000000" w:themeColor="text1"/>
          <w:sz w:val="24"/>
          <w:szCs w:val="24"/>
          <w:u w:val="single"/>
          <w14:textFill>
            <w14:solidFill>
              <w14:schemeClr w14:val="tx1"/>
            </w14:solidFill>
          </w14:textFill>
        </w:rPr>
        <w:t>见《评标标准》</w:t>
      </w:r>
      <w:r>
        <w:rPr>
          <w:rFonts w:hint="eastAsia" w:ascii="宋体" w:hAnsi="宋体" w:eastAsia="宋体" w:cs="宋体"/>
          <w:color w:val="000000" w:themeColor="text1"/>
          <w:sz w:val="24"/>
          <w:szCs w:val="24"/>
          <w14:textFill>
            <w14:solidFill>
              <w14:schemeClr w14:val="tx1"/>
            </w14:solidFill>
          </w14:textFill>
        </w:rPr>
        <w:t>。（本项目不适用）</w:t>
      </w: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641" w:name="_Toc137744973"/>
      <w:bookmarkStart w:id="642" w:name="_Toc92789342"/>
      <w:bookmarkStart w:id="643" w:name="_Toc137548228"/>
      <w:bookmarkStart w:id="644" w:name="_Toc50760971"/>
      <w:bookmarkStart w:id="645" w:name="_Toc24488"/>
      <w:bookmarkStart w:id="646" w:name="_Toc22835"/>
      <w:bookmarkStart w:id="647" w:name="_Toc29143"/>
      <w:bookmarkStart w:id="648" w:name="_Toc85461442"/>
      <w:bookmarkStart w:id="649" w:name="_Toc100786189"/>
      <w:bookmarkStart w:id="650" w:name="_Toc15435085"/>
      <w:bookmarkStart w:id="651" w:name="_Toc83722630"/>
      <w:bookmarkStart w:id="652" w:name="_Toc8999369"/>
      <w:bookmarkStart w:id="653" w:name="_Toc8450"/>
      <w:bookmarkStart w:id="654" w:name="_Toc496291430"/>
      <w:bookmarkStart w:id="655" w:name="_Toc28015"/>
      <w:bookmarkStart w:id="656" w:name="_Toc1488"/>
      <w:bookmarkStart w:id="657" w:name="_Toc142401538"/>
      <w:r>
        <w:rPr>
          <w:rFonts w:hint="eastAsia" w:ascii="宋体" w:hAnsi="宋体" w:eastAsia="宋体" w:cs="宋体"/>
          <w:color w:val="000000" w:themeColor="text1"/>
          <w:sz w:val="24"/>
          <w:szCs w:val="24"/>
          <w14:textFill>
            <w14:solidFill>
              <w14:schemeClr w14:val="tx1"/>
            </w14:solidFill>
          </w14:textFill>
        </w:rPr>
        <w:t>（七）报价部分的评标说明</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Pr>
          <w:rFonts w:hint="eastAsia" w:ascii="宋体" w:hAnsi="宋体" w:eastAsia="宋体" w:cs="宋体"/>
          <w:color w:val="000000" w:themeColor="text1"/>
          <w:sz w:val="24"/>
          <w:szCs w:val="24"/>
          <w14:textFill>
            <w14:solidFill>
              <w14:schemeClr w14:val="tx1"/>
            </w14:solidFill>
          </w14:textFill>
        </w:rPr>
        <w:t>（本项目不适用）</w:t>
      </w:r>
      <w:bookmarkEnd w:id="657"/>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  投标人的投标符合招标文件的规定，无实质性不响应招标文件的要求，除非评标委员会按规定予以拒绝的，视为通过符合性与完整性评审的有效评价。</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7.2  凡按本招标文件和本评标办法规定，由采购人或评标委员会予以拒绝的投标报价，不得参与后续项目的评分。</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  报价部分的评审说明</w:t>
      </w:r>
    </w:p>
    <w:p>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此处投标报价指经过报价修正，及因落实政府采购政策进行价格调整后的报价，详见第六章《评标过程、评标方法和评标标准》5.5及5.6。</w:t>
      </w: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658" w:name="_Toc15520"/>
      <w:bookmarkStart w:id="659" w:name="_Toc137744974"/>
      <w:bookmarkStart w:id="660" w:name="_Toc142401539"/>
      <w:bookmarkStart w:id="661" w:name="_Toc15435086"/>
      <w:bookmarkStart w:id="662" w:name="_Toc83722631"/>
      <w:bookmarkStart w:id="663" w:name="_Toc100786190"/>
      <w:bookmarkStart w:id="664" w:name="_Toc85461443"/>
      <w:bookmarkStart w:id="665" w:name="_Toc674"/>
      <w:bookmarkStart w:id="666" w:name="_Toc8438"/>
      <w:bookmarkStart w:id="667" w:name="_Toc28137"/>
      <w:bookmarkStart w:id="668" w:name="_Toc21717"/>
      <w:bookmarkStart w:id="669" w:name="_Toc496291431"/>
      <w:bookmarkStart w:id="670" w:name="_Toc92789343"/>
      <w:bookmarkStart w:id="671" w:name="_Toc8999370"/>
      <w:bookmarkStart w:id="672" w:name="_Toc137548229"/>
      <w:bookmarkStart w:id="673" w:name="_Toc27469"/>
      <w:bookmarkStart w:id="674" w:name="_Toc50760972"/>
      <w:r>
        <w:rPr>
          <w:rFonts w:hint="eastAsia" w:ascii="宋体" w:hAnsi="宋体" w:eastAsia="宋体" w:cs="宋体"/>
          <w:color w:val="000000" w:themeColor="text1"/>
          <w:sz w:val="24"/>
          <w:szCs w:val="24"/>
          <w14:textFill>
            <w14:solidFill>
              <w14:schemeClr w14:val="tx1"/>
            </w14:solidFill>
          </w14:textFill>
        </w:rPr>
        <w:t>（八）</w:t>
      </w:r>
      <w:r>
        <w:rPr>
          <w:rFonts w:hint="eastAsia" w:ascii="宋体" w:hAnsi="宋体" w:eastAsia="宋体" w:cs="宋体"/>
          <w:color w:val="000000" w:themeColor="text1"/>
          <w:sz w:val="24"/>
          <w:szCs w:val="24"/>
          <w:lang w:val="en-US"/>
          <w14:textFill>
            <w14:solidFill>
              <w14:schemeClr w14:val="tx1"/>
            </w14:solidFill>
          </w14:textFill>
        </w:rPr>
        <w:t>确定</w:t>
      </w:r>
      <w:bookmarkStart w:id="675" w:name="_Toc264969236"/>
      <w:bookmarkStart w:id="676" w:name="_Toc226309790"/>
      <w:bookmarkStart w:id="677" w:name="_Toc151193860"/>
      <w:bookmarkStart w:id="678" w:name="_Toc305158888"/>
      <w:bookmarkStart w:id="679" w:name="_Toc150774751"/>
      <w:bookmarkStart w:id="680" w:name="_Toc265228384"/>
      <w:bookmarkStart w:id="681" w:name="_Toc164608815"/>
      <w:bookmarkStart w:id="682" w:name="_Toc164229387"/>
      <w:bookmarkStart w:id="683" w:name="_Toc150480784"/>
      <w:bookmarkStart w:id="684" w:name="_Toc151193934"/>
      <w:bookmarkStart w:id="685" w:name="_Toc305158814"/>
      <w:bookmarkStart w:id="686" w:name="_Ref467307010"/>
      <w:bookmarkStart w:id="687" w:name="_Toc164229241"/>
      <w:bookmarkStart w:id="688" w:name="_Toc164608660"/>
      <w:bookmarkStart w:id="689" w:name="_Toc520356170"/>
      <w:bookmarkStart w:id="690" w:name="_Toc149720839"/>
      <w:bookmarkStart w:id="691" w:name="_Toc226965819"/>
      <w:bookmarkStart w:id="692" w:name="_Toc142311048"/>
      <w:bookmarkStart w:id="693" w:name="_Toc151193716"/>
      <w:bookmarkStart w:id="694" w:name="_Toc226965736"/>
      <w:bookmarkStart w:id="695" w:name="_Toc195842911"/>
      <w:bookmarkStart w:id="696" w:name="_Toc151193644"/>
      <w:bookmarkStart w:id="697" w:name="_Toc127151747"/>
      <w:bookmarkStart w:id="698" w:name="_Toc151193788"/>
      <w:bookmarkStart w:id="699" w:name="_Toc164351640"/>
      <w:bookmarkStart w:id="700" w:name="_Toc127161460"/>
      <w:bookmarkStart w:id="701" w:name="_Toc150774646"/>
      <w:bookmarkStart w:id="702" w:name="_Toc151190173"/>
      <w:bookmarkStart w:id="703" w:name="_Toc127151546"/>
      <w:bookmarkStart w:id="704" w:name="_Toc226337242"/>
      <w:bookmarkStart w:id="705" w:name="_Toc150509297"/>
      <w:r>
        <w:rPr>
          <w:rFonts w:hint="eastAsia" w:ascii="宋体" w:hAnsi="宋体" w:eastAsia="宋体" w:cs="宋体"/>
          <w:color w:val="000000" w:themeColor="text1"/>
          <w:sz w:val="24"/>
          <w:szCs w:val="24"/>
          <w:lang w:val="en-US"/>
          <w14:textFill>
            <w14:solidFill>
              <w14:schemeClr w14:val="tx1"/>
            </w14:solidFill>
          </w14:textFill>
        </w:rPr>
        <w:t>中标候选人名单</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□随机抽取</w:t>
      </w:r>
    </w:p>
    <w:p>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□其他方式，具体要求：</w:t>
      </w:r>
      <w:r>
        <w:rPr>
          <w:rFonts w:hint="eastAsia" w:ascii="宋体" w:hAnsi="宋体" w:eastAsia="宋体" w:cs="宋体"/>
          <w:color w:val="000000" w:themeColor="text1"/>
          <w:sz w:val="24"/>
          <w:szCs w:val="24"/>
          <w:u w:val="single"/>
          <w14:textFill>
            <w14:solidFill>
              <w14:schemeClr w14:val="tx1"/>
            </w14:solidFill>
          </w14:textFill>
        </w:rPr>
        <w:t>/</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8.2  采用综合评分法时，评标结果按评审后得分由高到低顺序排列。投标文件满足招标文件全部实质性要求，且按照评审因素的量化指标评审得分最高的投标人为排名第一的中标候选人。评分分值计算保留小数点后两位，第三位四舍五入。</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8.3  采用最低评标价法时，评标结果按本章5.5.2-5.5.7调整后的投标报价由低到高顺序排列。投标报价相同的并列。投标文件满足招标文件全部实质性要求且投标报价最低的投标人为排名第一的中标候选人。</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8.4  评标委员会要对评分汇总情况进行复核，特别是对排名第一的、投标或响应文件被认定为无效的情形进行重点复核。</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  评标委员会将根据各投标人的评标排序，依次推荐本项目（各采购包）的中标候选人，起草并签署评标报告。本项目（各采购包）评标委员会共（各）推荐</w:t>
      </w:r>
      <w:r>
        <w:rPr>
          <w:rFonts w:hint="eastAsia" w:ascii="宋体" w:hAnsi="宋体" w:eastAsia="宋体" w:cs="宋体"/>
          <w:color w:val="000000" w:themeColor="text1"/>
          <w:sz w:val="24"/>
          <w:szCs w:val="24"/>
          <w:u w:val="single"/>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名中标候选人。</w:t>
      </w: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706" w:name="_Toc29578"/>
      <w:bookmarkStart w:id="707" w:name="_Toc85461444"/>
      <w:bookmarkStart w:id="708" w:name="_Toc50760973"/>
      <w:bookmarkStart w:id="709" w:name="_Toc142401540"/>
      <w:bookmarkStart w:id="710" w:name="_Toc137548230"/>
      <w:bookmarkStart w:id="711" w:name="_Toc496291432"/>
      <w:bookmarkStart w:id="712" w:name="_Toc92789344"/>
      <w:bookmarkStart w:id="713" w:name="_Toc100786191"/>
      <w:bookmarkStart w:id="714" w:name="_Toc666"/>
      <w:bookmarkStart w:id="715" w:name="_Toc15435087"/>
      <w:bookmarkStart w:id="716" w:name="_Toc83722632"/>
      <w:bookmarkStart w:id="717" w:name="_Toc137744975"/>
      <w:bookmarkStart w:id="718" w:name="_Toc17815"/>
      <w:bookmarkStart w:id="719" w:name="_Toc18707"/>
      <w:bookmarkStart w:id="720" w:name="_Toc21991"/>
      <w:bookmarkStart w:id="721" w:name="_Toc8999371"/>
      <w:bookmarkStart w:id="722" w:name="_Toc5264"/>
      <w:r>
        <w:rPr>
          <w:rFonts w:hint="eastAsia" w:ascii="宋体" w:hAnsi="宋体" w:eastAsia="宋体" w:cs="宋体"/>
          <w:color w:val="000000" w:themeColor="text1"/>
          <w:sz w:val="24"/>
          <w:szCs w:val="24"/>
          <w14:textFill>
            <w14:solidFill>
              <w14:schemeClr w14:val="tx1"/>
            </w14:solidFill>
          </w14:textFill>
        </w:rPr>
        <w:t>（九）重新招标</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9.1  中标或者成交供应商拒绝与采购人签订合同的，采购人可以按照评审报告推荐的中标或者成交候选人名单排序，确定下一候选人为中标或者成交供应商，也可以重新开展政府采购活动.</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9.2  废标后，除采购任务取消情形外，应当重新组织招标；需要采取其他方式采购的，应当在采购活动开始前获得设区的市、自治州以上人民政府采购监督管理部门或者政府有关部门批准。</w:t>
      </w:r>
    </w:p>
    <w:p>
      <w:pPr>
        <w:pStyle w:val="3"/>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723" w:name="_Toc137548231"/>
      <w:bookmarkStart w:id="724" w:name="_Toc100786192"/>
      <w:bookmarkStart w:id="725" w:name="_Toc142401541"/>
      <w:bookmarkStart w:id="726" w:name="_Toc137744976"/>
      <w:r>
        <w:rPr>
          <w:rFonts w:hint="eastAsia" w:ascii="宋体" w:hAnsi="宋体" w:eastAsia="宋体" w:cs="宋体"/>
          <w:color w:val="000000" w:themeColor="text1"/>
          <w:sz w:val="24"/>
          <w:szCs w:val="24"/>
          <w14:textFill>
            <w14:solidFill>
              <w14:schemeClr w14:val="tx1"/>
            </w14:solidFill>
          </w14:textFill>
        </w:rPr>
        <w:t>（十）报告违法行为</w:t>
      </w:r>
      <w:bookmarkEnd w:id="723"/>
      <w:bookmarkEnd w:id="724"/>
      <w:bookmarkEnd w:id="725"/>
      <w:bookmarkEnd w:id="726"/>
    </w:p>
    <w:p>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评标委员会在评标过程中发现投标人有行贿、提供虚假材料或者串通等违法行为时，有向采购人、采购代理机构或者有关部门报告的职责。</w:t>
      </w: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p>
    <w:p>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pPr>
        <w:pStyle w:val="2"/>
        <w:numPr>
          <w:ilvl w:val="2"/>
          <w:numId w:val="0"/>
        </w:numPr>
        <w:tabs>
          <w:tab w:val="clear" w:pos="720"/>
        </w:tabs>
        <w:rPr>
          <w:rFonts w:hint="eastAsia" w:ascii="宋体" w:hAnsi="宋体" w:eastAsia="宋体" w:cs="宋体"/>
          <w:color w:val="000000" w:themeColor="text1"/>
          <w:sz w:val="24"/>
          <w:szCs w:val="24"/>
          <w14:textFill>
            <w14:solidFill>
              <w14:schemeClr w14:val="tx1"/>
            </w14:solidFill>
          </w14:textFill>
        </w:rPr>
      </w:pPr>
      <w:bookmarkStart w:id="727" w:name="_Toc6596"/>
      <w:bookmarkStart w:id="728" w:name="_Toc85461446"/>
      <w:bookmarkStart w:id="729" w:name="_Toc496291434"/>
      <w:bookmarkStart w:id="730" w:name="_Toc92789346"/>
      <w:bookmarkStart w:id="731" w:name="_Toc10751"/>
      <w:bookmarkStart w:id="732" w:name="_Toc8999373"/>
      <w:bookmarkStart w:id="733" w:name="_Toc15435089"/>
      <w:bookmarkStart w:id="734" w:name="_Toc83722634"/>
      <w:bookmarkStart w:id="735" w:name="_Toc428"/>
      <w:bookmarkStart w:id="736" w:name="_Toc8143"/>
      <w:bookmarkStart w:id="737" w:name="_Toc29623"/>
      <w:bookmarkStart w:id="738" w:name="_Toc14739"/>
      <w:bookmarkStart w:id="739" w:name="_Toc50760975"/>
      <w:bookmarkStart w:id="740" w:name="_Toc137548232"/>
      <w:bookmarkStart w:id="741" w:name="_Toc142401542"/>
      <w:bookmarkStart w:id="742" w:name="_Toc100786193"/>
      <w:bookmarkStart w:id="743" w:name="_Toc137744977"/>
      <w:bookmarkStart w:id="744" w:name="_Toc227051917"/>
      <w:bookmarkStart w:id="745" w:name="_Toc137744978"/>
      <w:bookmarkStart w:id="746" w:name="_Toc142401543"/>
      <w:bookmarkStart w:id="747" w:name="_Toc100786194"/>
      <w:bookmarkStart w:id="748" w:name="_Toc137548233"/>
      <w:r>
        <w:rPr>
          <w:rStyle w:val="56"/>
          <w:rFonts w:hint="eastAsia" w:ascii="宋体" w:hAnsi="宋体" w:eastAsia="宋体" w:cs="宋体"/>
          <w:b/>
          <w:color w:val="000000" w:themeColor="text1"/>
          <w:sz w:val="24"/>
          <w:szCs w:val="24"/>
          <w14:textFill>
            <w14:solidFill>
              <w14:schemeClr w14:val="tx1"/>
            </w14:solidFill>
          </w14:textFill>
        </w:rPr>
        <w:t>符合性审查</w:t>
      </w:r>
      <w:bookmarkEnd w:id="727"/>
      <w:bookmarkEnd w:id="728"/>
      <w:bookmarkEnd w:id="729"/>
      <w:bookmarkEnd w:id="730"/>
      <w:bookmarkEnd w:id="731"/>
      <w:bookmarkEnd w:id="732"/>
      <w:bookmarkEnd w:id="733"/>
      <w:bookmarkEnd w:id="734"/>
      <w:bookmarkEnd w:id="735"/>
      <w:bookmarkEnd w:id="736"/>
      <w:bookmarkEnd w:id="737"/>
      <w:bookmarkEnd w:id="738"/>
      <w:bookmarkEnd w:id="739"/>
      <w:r>
        <w:rPr>
          <w:rStyle w:val="56"/>
          <w:rFonts w:hint="eastAsia" w:ascii="宋体" w:hAnsi="宋体" w:eastAsia="宋体" w:cs="宋体"/>
          <w:b/>
          <w:color w:val="000000" w:themeColor="text1"/>
          <w:sz w:val="24"/>
          <w:szCs w:val="24"/>
          <w14:textFill>
            <w14:solidFill>
              <w14:schemeClr w14:val="tx1"/>
            </w14:solidFill>
          </w14:textFill>
        </w:rPr>
        <w:t>要求</w:t>
      </w:r>
      <w:bookmarkEnd w:id="740"/>
      <w:bookmarkEnd w:id="741"/>
      <w:bookmarkEnd w:id="742"/>
      <w:bookmarkEnd w:id="743"/>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1664"/>
        <w:gridCol w:w="6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pPr>
              <w:widowControl/>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序号</w:t>
            </w:r>
          </w:p>
        </w:tc>
        <w:tc>
          <w:tcPr>
            <w:tcW w:w="976" w:type="pct"/>
            <w:vAlign w:val="center"/>
          </w:tcPr>
          <w:p>
            <w:pPr>
              <w:widowControl/>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审查因素</w:t>
            </w:r>
          </w:p>
        </w:tc>
        <w:tc>
          <w:tcPr>
            <w:tcW w:w="3620" w:type="pct"/>
            <w:vAlign w:val="center"/>
          </w:tcPr>
          <w:p>
            <w:pPr>
              <w:widowControl/>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1</w:t>
            </w:r>
          </w:p>
        </w:tc>
        <w:tc>
          <w:tcPr>
            <w:tcW w:w="976"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授权委托书</w:t>
            </w:r>
          </w:p>
        </w:tc>
        <w:tc>
          <w:tcPr>
            <w:tcW w:w="3620" w:type="pct"/>
            <w:vAlign w:val="center"/>
          </w:tcPr>
          <w:p>
            <w:pPr>
              <w:widowControl/>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2</w:t>
            </w:r>
          </w:p>
        </w:tc>
        <w:tc>
          <w:tcPr>
            <w:tcW w:w="976"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投标完整性</w:t>
            </w:r>
          </w:p>
        </w:tc>
        <w:tc>
          <w:tcPr>
            <w:tcW w:w="3620" w:type="pct"/>
            <w:vAlign w:val="center"/>
          </w:tcPr>
          <w:p>
            <w:pPr>
              <w:widowControl/>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3</w:t>
            </w:r>
          </w:p>
        </w:tc>
        <w:tc>
          <w:tcPr>
            <w:tcW w:w="976"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投标有效期</w:t>
            </w:r>
          </w:p>
        </w:tc>
        <w:tc>
          <w:tcPr>
            <w:tcW w:w="3620" w:type="pct"/>
            <w:vAlign w:val="center"/>
          </w:tcPr>
          <w:p>
            <w:pPr>
              <w:widowControl/>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4</w:t>
            </w:r>
          </w:p>
        </w:tc>
        <w:tc>
          <w:tcPr>
            <w:tcW w:w="976"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签署、盖章</w:t>
            </w:r>
          </w:p>
        </w:tc>
        <w:tc>
          <w:tcPr>
            <w:tcW w:w="3620" w:type="pct"/>
            <w:vAlign w:val="center"/>
          </w:tcPr>
          <w:p>
            <w:pPr>
              <w:widowControl/>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5</w:t>
            </w:r>
          </w:p>
        </w:tc>
        <w:tc>
          <w:tcPr>
            <w:tcW w:w="976"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实质性格式</w:t>
            </w:r>
          </w:p>
        </w:tc>
        <w:tc>
          <w:tcPr>
            <w:tcW w:w="3620" w:type="pct"/>
            <w:vAlign w:val="center"/>
          </w:tcPr>
          <w:p>
            <w:pPr>
              <w:widowControl/>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标记为“实质性格式”的文件均按招标文件要求提供；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w:t>
            </w:r>
          </w:p>
        </w:tc>
        <w:tc>
          <w:tcPr>
            <w:tcW w:w="976"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公平竞争</w:t>
            </w:r>
          </w:p>
        </w:tc>
        <w:tc>
          <w:tcPr>
            <w:tcW w:w="3620" w:type="pct"/>
            <w:vAlign w:val="center"/>
          </w:tcPr>
          <w:p>
            <w:pPr>
              <w:widowControl/>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7</w:t>
            </w:r>
          </w:p>
        </w:tc>
        <w:tc>
          <w:tcPr>
            <w:tcW w:w="976"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串通投标</w:t>
            </w:r>
          </w:p>
        </w:tc>
        <w:tc>
          <w:tcPr>
            <w:tcW w:w="3620" w:type="pct"/>
            <w:vAlign w:val="center"/>
          </w:tcPr>
          <w:p>
            <w:pPr>
              <w:widowControl/>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8</w:t>
            </w:r>
          </w:p>
        </w:tc>
        <w:tc>
          <w:tcPr>
            <w:tcW w:w="976"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附加条件</w:t>
            </w:r>
          </w:p>
        </w:tc>
        <w:tc>
          <w:tcPr>
            <w:tcW w:w="3620" w:type="pct"/>
            <w:vAlign w:val="center"/>
          </w:tcPr>
          <w:p>
            <w:pPr>
              <w:widowControl/>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9</w:t>
            </w:r>
          </w:p>
        </w:tc>
        <w:tc>
          <w:tcPr>
            <w:tcW w:w="976" w:type="pct"/>
            <w:vAlign w:val="center"/>
          </w:tcPr>
          <w:p>
            <w:pPr>
              <w:widowControl/>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其他无效情形</w:t>
            </w:r>
          </w:p>
        </w:tc>
        <w:tc>
          <w:tcPr>
            <w:tcW w:w="3620" w:type="pct"/>
            <w:vAlign w:val="center"/>
          </w:tcPr>
          <w:p>
            <w:pPr>
              <w:widowControl/>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投标人、投标文件不存在不符合法律、法规和招标文件规定的其他无效情形。</w:t>
            </w:r>
          </w:p>
        </w:tc>
      </w:tr>
    </w:tbl>
    <w:p>
      <w:pPr>
        <w:pStyle w:val="5"/>
        <w:spacing w:line="360" w:lineRule="auto"/>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注：只有全部通过符合性审查的投标人才可进入后续评审。</w:t>
      </w:r>
    </w:p>
    <w:bookmarkEnd w:id="744"/>
    <w:p>
      <w:pPr>
        <w:widowControl/>
        <w:spacing w:line="360" w:lineRule="auto"/>
        <w:jc w:val="left"/>
        <w:rPr>
          <w:rStyle w:val="56"/>
          <w:rFonts w:hint="eastAsia" w:ascii="宋体" w:hAnsi="宋体" w:eastAsia="宋体" w:cs="宋体"/>
          <w:color w:val="000000" w:themeColor="text1"/>
          <w:sz w:val="24"/>
          <w:szCs w:val="24"/>
          <w14:textFill>
            <w14:solidFill>
              <w14:schemeClr w14:val="tx1"/>
            </w14:solidFill>
          </w14:textFill>
        </w:rPr>
      </w:pPr>
      <w:bookmarkStart w:id="749" w:name="_Toc15435090"/>
      <w:bookmarkStart w:id="750" w:name="_Toc50760976"/>
      <w:bookmarkStart w:id="751" w:name="_Toc8999374"/>
      <w:bookmarkStart w:id="752" w:name="_Toc496291435"/>
      <w:bookmarkStart w:id="753" w:name="_Toc15500"/>
      <w:bookmarkStart w:id="754" w:name="_Toc10883"/>
      <w:bookmarkStart w:id="755" w:name="_Toc11226"/>
      <w:bookmarkStart w:id="756" w:name="_Toc21939"/>
      <w:bookmarkStart w:id="757" w:name="_Toc29817"/>
      <w:bookmarkStart w:id="758" w:name="_Toc25529"/>
      <w:r>
        <w:rPr>
          <w:rStyle w:val="56"/>
          <w:rFonts w:hint="eastAsia" w:ascii="宋体" w:hAnsi="宋体" w:eastAsia="宋体" w:cs="宋体"/>
          <w:color w:val="000000" w:themeColor="text1"/>
          <w:sz w:val="24"/>
          <w:szCs w:val="24"/>
          <w14:textFill>
            <w14:solidFill>
              <w14:schemeClr w14:val="tx1"/>
            </w14:solidFill>
          </w14:textFill>
        </w:rPr>
        <w:br w:type="page"/>
      </w:r>
    </w:p>
    <w:bookmarkEnd w:id="749"/>
    <w:bookmarkEnd w:id="750"/>
    <w:bookmarkEnd w:id="751"/>
    <w:bookmarkEnd w:id="752"/>
    <w:bookmarkEnd w:id="753"/>
    <w:bookmarkEnd w:id="754"/>
    <w:bookmarkEnd w:id="755"/>
    <w:bookmarkEnd w:id="756"/>
    <w:bookmarkEnd w:id="757"/>
    <w:bookmarkEnd w:id="758"/>
    <w:p>
      <w:pPr>
        <w:pStyle w:val="2"/>
        <w:numPr>
          <w:ilvl w:val="2"/>
          <w:numId w:val="0"/>
        </w:numPr>
        <w:tabs>
          <w:tab w:val="clear" w:pos="720"/>
        </w:tabs>
        <w:rPr>
          <w:rStyle w:val="56"/>
          <w:rFonts w:hint="eastAsia" w:ascii="宋体" w:hAnsi="宋体" w:eastAsia="宋体" w:cs="宋体"/>
          <w:b w:val="0"/>
          <w:color w:val="000000" w:themeColor="text1"/>
          <w:sz w:val="24"/>
          <w14:textFill>
            <w14:solidFill>
              <w14:schemeClr w14:val="tx1"/>
            </w14:solidFill>
          </w14:textFill>
        </w:rPr>
      </w:pPr>
      <w:r>
        <w:rPr>
          <w:rStyle w:val="56"/>
          <w:rFonts w:hint="eastAsia" w:ascii="宋体" w:hAnsi="宋体" w:eastAsia="宋体" w:cs="宋体"/>
          <w:b/>
          <w:color w:val="000000" w:themeColor="text1"/>
          <w:sz w:val="24"/>
          <w:szCs w:val="24"/>
          <w14:textFill>
            <w14:solidFill>
              <w14:schemeClr w14:val="tx1"/>
            </w14:solidFill>
          </w14:textFill>
        </w:rPr>
        <w:t>评标标准</w:t>
      </w:r>
      <w:bookmarkEnd w:id="745"/>
      <w:bookmarkEnd w:id="746"/>
      <w:bookmarkEnd w:id="747"/>
      <w:bookmarkEnd w:id="748"/>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369"/>
        <w:gridCol w:w="6316"/>
        <w:gridCol w:w="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评分部分</w:t>
            </w:r>
          </w:p>
        </w:tc>
        <w:tc>
          <w:tcPr>
            <w:tcW w:w="1369"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项目</w:t>
            </w:r>
          </w:p>
        </w:tc>
        <w:tc>
          <w:tcPr>
            <w:tcW w:w="63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评分标准</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评定</w:t>
            </w:r>
          </w:p>
          <w:p>
            <w:pPr>
              <w:adjustRightInd w:val="0"/>
              <w:snapToGrid w:val="0"/>
              <w:jc w:val="center"/>
              <w:rPr>
                <w:rFonts w:hint="eastAsia" w:ascii="宋体" w:hAnsi="宋体" w:eastAsia="宋体" w:cs="宋体"/>
                <w:szCs w:val="21"/>
              </w:rPr>
            </w:pPr>
            <w:r>
              <w:rPr>
                <w:rFonts w:hint="eastAsia" w:ascii="宋体" w:hAnsi="宋体" w:eastAsia="宋体" w:cs="宋体"/>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restart"/>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商务</w:t>
            </w:r>
          </w:p>
          <w:p>
            <w:pPr>
              <w:adjustRightInd w:val="0"/>
              <w:snapToGrid w:val="0"/>
              <w:jc w:val="center"/>
              <w:rPr>
                <w:rFonts w:hint="eastAsia" w:ascii="宋体" w:hAnsi="宋体" w:eastAsia="宋体" w:cs="宋体"/>
                <w:szCs w:val="21"/>
              </w:rPr>
            </w:pPr>
            <w:r>
              <w:rPr>
                <w:rFonts w:hint="eastAsia" w:ascii="宋体" w:hAnsi="宋体" w:eastAsia="宋体" w:cs="宋体"/>
                <w:szCs w:val="21"/>
              </w:rPr>
              <w:t>部分</w:t>
            </w:r>
          </w:p>
          <w:p>
            <w:pPr>
              <w:adjustRightInd w:val="0"/>
              <w:snapToGrid w:val="0"/>
              <w:jc w:val="center"/>
              <w:rPr>
                <w:rFonts w:hint="eastAsia" w:ascii="宋体" w:hAnsi="宋体" w:eastAsia="宋体" w:cs="宋体"/>
                <w:szCs w:val="21"/>
              </w:rPr>
            </w:pPr>
            <w:r>
              <w:rPr>
                <w:rFonts w:hint="eastAsia" w:ascii="宋体" w:hAnsi="宋体" w:eastAsia="宋体" w:cs="宋体"/>
                <w:szCs w:val="21"/>
              </w:rPr>
              <w:t>（20分）</w:t>
            </w:r>
          </w:p>
        </w:tc>
        <w:tc>
          <w:tcPr>
            <w:tcW w:w="1369"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2021年</w:t>
            </w:r>
            <w:r>
              <w:rPr>
                <w:rFonts w:hint="eastAsia" w:ascii="宋体" w:hAnsi="宋体" w:cs="宋体"/>
                <w:szCs w:val="21"/>
                <w:lang w:val="en-US" w:eastAsia="zh-CN"/>
              </w:rPr>
              <w:t>8</w:t>
            </w:r>
            <w:r>
              <w:rPr>
                <w:rFonts w:hint="eastAsia" w:ascii="宋体" w:hAnsi="宋体" w:eastAsia="宋体" w:cs="宋体"/>
                <w:szCs w:val="21"/>
              </w:rPr>
              <w:t>月1日至今类似业绩</w:t>
            </w:r>
          </w:p>
        </w:tc>
        <w:tc>
          <w:tcPr>
            <w:tcW w:w="6316" w:type="dxa"/>
            <w:vAlign w:val="center"/>
          </w:tcPr>
          <w:p>
            <w:pPr>
              <w:adjustRightInd w:val="0"/>
              <w:snapToGrid w:val="0"/>
              <w:jc w:val="left"/>
              <w:rPr>
                <w:rFonts w:hint="eastAsia" w:ascii="宋体" w:hAnsi="宋体" w:eastAsia="宋体" w:cs="宋体"/>
                <w:kern w:val="0"/>
                <w:szCs w:val="21"/>
              </w:rPr>
            </w:pPr>
            <w:r>
              <w:rPr>
                <w:rFonts w:hint="eastAsia" w:ascii="宋体" w:hAnsi="宋体" w:eastAsia="宋体" w:cs="宋体"/>
                <w:szCs w:val="21"/>
              </w:rPr>
              <w:t>每个1.5分，满分15分，（用户签订的合同首页、主要内容页、签署页复印件加盖投标人公章</w:t>
            </w:r>
            <w:r>
              <w:rPr>
                <w:rFonts w:hint="eastAsia" w:ascii="宋体" w:hAnsi="宋体" w:eastAsia="宋体" w:cs="宋体"/>
                <w:kern w:val="0"/>
                <w:szCs w:val="21"/>
              </w:rPr>
              <w:t>）为依据</w:t>
            </w:r>
          </w:p>
          <w:p>
            <w:pPr>
              <w:adjustRightInd w:val="0"/>
              <w:snapToGrid w:val="0"/>
              <w:jc w:val="left"/>
              <w:rPr>
                <w:rFonts w:hint="eastAsia" w:ascii="宋体" w:hAnsi="宋体" w:eastAsia="宋体" w:cs="宋体"/>
                <w:kern w:val="0"/>
                <w:szCs w:val="21"/>
              </w:rPr>
            </w:pPr>
            <w:r>
              <w:rPr>
                <w:rFonts w:hint="eastAsia" w:ascii="宋体" w:hAnsi="宋体" w:eastAsia="宋体" w:cs="宋体"/>
                <w:color w:val="000000" w:themeColor="text1"/>
                <w:szCs w:val="21"/>
                <w14:textFill>
                  <w14:solidFill>
                    <w14:schemeClr w14:val="tx1"/>
                  </w14:solidFill>
                </w14:textFill>
              </w:rPr>
              <w:t>注：一次采购，分年度签署合同的视为一个案例；一个单位分年度多次签订的案例仅计入1个案例；同一个项目，分两期或以上建设完成的，计入1个案例）</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企业实力</w:t>
            </w:r>
          </w:p>
        </w:tc>
        <w:tc>
          <w:tcPr>
            <w:tcW w:w="6316" w:type="dxa"/>
            <w:vAlign w:val="center"/>
          </w:tcPr>
          <w:p>
            <w:pPr>
              <w:adjustRightInd w:val="0"/>
              <w:snapToGrid w:val="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质量管理体系认证证书（GB/ISO9001）；</w:t>
            </w:r>
          </w:p>
          <w:p>
            <w:pPr>
              <w:adjustRightInd w:val="0"/>
              <w:snapToGrid w:val="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环境管理体系认证证书；（GB/ISO14001）；</w:t>
            </w:r>
          </w:p>
          <w:p>
            <w:pPr>
              <w:adjustRightInd w:val="0"/>
              <w:snapToGrid w:val="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职业健康安全管理体系认证证书；（GB/IS045001）；</w:t>
            </w:r>
          </w:p>
          <w:p>
            <w:pPr>
              <w:adjustRightInd w:val="0"/>
              <w:snapToGrid w:val="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食品安全管理体系认证证书；（GB/ISO22000）；</w:t>
            </w:r>
          </w:p>
          <w:p>
            <w:pPr>
              <w:adjustRightInd w:val="0"/>
              <w:snapToGrid w:val="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危害分析与关键控制点（HACCP）体系认证；</w:t>
            </w:r>
          </w:p>
          <w:p>
            <w:pPr>
              <w:adjustRightInd w:val="0"/>
              <w:snapToGrid w:val="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以上体系认证有效的认证范围为：餐饮服务和管理</w:t>
            </w:r>
          </w:p>
          <w:p>
            <w:pPr>
              <w:adjustRightInd w:val="0"/>
              <w:snapToGrid w:val="0"/>
              <w:jc w:val="left"/>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每提供一项认证证书复印件加盖投标人公章得1分，未提供不得分，应年检无年检的不得分。</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restart"/>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技术</w:t>
            </w:r>
          </w:p>
          <w:p>
            <w:pPr>
              <w:adjustRightInd w:val="0"/>
              <w:snapToGrid w:val="0"/>
              <w:jc w:val="center"/>
              <w:rPr>
                <w:rFonts w:hint="eastAsia" w:ascii="宋体" w:hAnsi="宋体" w:eastAsia="宋体" w:cs="宋体"/>
                <w:szCs w:val="21"/>
              </w:rPr>
            </w:pPr>
            <w:r>
              <w:rPr>
                <w:rFonts w:hint="eastAsia" w:ascii="宋体" w:hAnsi="宋体" w:eastAsia="宋体" w:cs="宋体"/>
                <w:szCs w:val="21"/>
              </w:rPr>
              <w:t>部分</w:t>
            </w:r>
          </w:p>
          <w:p>
            <w:pPr>
              <w:adjustRightInd w:val="0"/>
              <w:snapToGrid w:val="0"/>
              <w:jc w:val="center"/>
              <w:rPr>
                <w:rFonts w:hint="eastAsia" w:ascii="宋体" w:hAnsi="宋体" w:eastAsia="宋体" w:cs="宋体"/>
                <w:szCs w:val="21"/>
              </w:rPr>
            </w:pPr>
            <w:r>
              <w:rPr>
                <w:rFonts w:hint="eastAsia" w:ascii="宋体" w:hAnsi="宋体" w:eastAsia="宋体" w:cs="宋体"/>
                <w:szCs w:val="21"/>
              </w:rPr>
              <w:t>（80分）</w:t>
            </w:r>
          </w:p>
        </w:tc>
        <w:tc>
          <w:tcPr>
            <w:tcW w:w="1369"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经营布局</w:t>
            </w: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经营部局合理、种类设计丰富，最大程度的满足供餐需求，好，得10分；较好，得8分；一般，得5分；较差，得3分；差，得1分</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restart"/>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经营服务</w:t>
            </w:r>
          </w:p>
          <w:p>
            <w:pPr>
              <w:adjustRightInd w:val="0"/>
              <w:snapToGrid w:val="0"/>
              <w:jc w:val="center"/>
              <w:rPr>
                <w:rFonts w:hint="eastAsia" w:ascii="宋体" w:hAnsi="宋体" w:eastAsia="宋体" w:cs="宋体"/>
                <w:szCs w:val="21"/>
              </w:rPr>
            </w:pPr>
            <w:r>
              <w:rPr>
                <w:rFonts w:hint="eastAsia" w:ascii="宋体" w:hAnsi="宋体" w:eastAsia="宋体" w:cs="宋体"/>
                <w:szCs w:val="21"/>
              </w:rPr>
              <w:t>方案</w:t>
            </w: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有针对性，全面合理可行</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较合理、全面，合理可行性较好</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一般</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针对性，全面性较差，合理可行性较差</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针对性，全面性差</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供餐品种设计</w:t>
            </w: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经营计划的合理性，菜品设计的合理性好，科学营养，得5分；一般，得3分；较差，得1分</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restart"/>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餐厅服务质量控制方案</w:t>
            </w: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合理科学全面，具有针对性</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合理科学全面，较有针对性</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较合理、科学、全面，针对性一般</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不够合理科学、不够全面，针对性较差</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 xml:space="preserve">不合理科学、不全面 </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restart"/>
            <w:vAlign w:val="center"/>
          </w:tcPr>
          <w:p>
            <w:pPr>
              <w:widowControl/>
              <w:adjustRightInd w:val="0"/>
              <w:snapToGrid w:val="0"/>
              <w:jc w:val="center"/>
              <w:rPr>
                <w:rFonts w:hint="eastAsia" w:ascii="宋体" w:hAnsi="宋体" w:eastAsia="宋体" w:cs="宋体"/>
                <w:szCs w:val="21"/>
              </w:rPr>
            </w:pPr>
            <w:r>
              <w:rPr>
                <w:rFonts w:hint="eastAsia" w:ascii="宋体" w:hAnsi="宋体" w:eastAsia="宋体" w:cs="宋体"/>
                <w:szCs w:val="21"/>
              </w:rPr>
              <w:t>食品卫生、质量控制方案</w:t>
            </w: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合理科学全面，具有针对性</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widowControl/>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合理科学全面，较有针对性</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widowControl/>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较合理、科学、全面，针对性一般</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widowControl/>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不够合理科学、不够全面，针对性较差</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widowControl/>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 xml:space="preserve">不合理科学、不全面 </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restart"/>
            <w:vAlign w:val="center"/>
          </w:tcPr>
          <w:p>
            <w:pPr>
              <w:widowControl/>
              <w:adjustRightInd w:val="0"/>
              <w:snapToGrid w:val="0"/>
              <w:jc w:val="center"/>
              <w:rPr>
                <w:rFonts w:hint="eastAsia" w:ascii="宋体" w:hAnsi="宋体" w:eastAsia="宋体" w:cs="宋体"/>
                <w:szCs w:val="21"/>
              </w:rPr>
            </w:pPr>
            <w:r>
              <w:rPr>
                <w:rFonts w:hint="eastAsia" w:ascii="宋体" w:hAnsi="宋体" w:eastAsia="宋体" w:cs="宋体"/>
                <w:szCs w:val="21"/>
              </w:rPr>
              <w:t>设备维护、投诉处理方案，应急预案，节能安排等</w:t>
            </w: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合理科学全面，具有针对性</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widowControl/>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合理科学全面，较有针对性</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widowControl/>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较合理、科学、全面，针对性一般</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widowControl/>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不够合理科学、不够全面，针对性较差</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Merge w:val="continue"/>
            <w:vAlign w:val="center"/>
          </w:tcPr>
          <w:p>
            <w:pPr>
              <w:widowControl/>
              <w:adjustRightInd w:val="0"/>
              <w:snapToGrid w:val="0"/>
              <w:jc w:val="center"/>
              <w:rPr>
                <w:rFonts w:hint="eastAsia" w:ascii="宋体" w:hAnsi="宋体" w:eastAsia="宋体" w:cs="宋体"/>
                <w:szCs w:val="21"/>
              </w:rPr>
            </w:pP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 xml:space="preserve">不合理科学、不全面 </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人员配置情况及经验</w:t>
            </w:r>
          </w:p>
        </w:tc>
        <w:tc>
          <w:tcPr>
            <w:tcW w:w="6316" w:type="dxa"/>
            <w:vAlign w:val="center"/>
          </w:tcPr>
          <w:p>
            <w:pPr>
              <w:adjustRightInd w:val="0"/>
              <w:snapToGrid w:val="0"/>
              <w:jc w:val="left"/>
              <w:rPr>
                <w:rFonts w:hint="eastAsia" w:ascii="宋体" w:hAnsi="宋体" w:eastAsia="宋体" w:cs="宋体"/>
                <w:szCs w:val="21"/>
              </w:rPr>
            </w:pPr>
            <w:r>
              <w:rPr>
                <w:rFonts w:hint="eastAsia" w:ascii="宋体" w:hAnsi="宋体" w:eastAsia="宋体" w:cs="宋体"/>
                <w:szCs w:val="21"/>
              </w:rPr>
              <w:t>人员年龄、学历、专业等方面配置全面、合理，经验丰富，配置水平高，得5分；一般，得3分；较差，得1分</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Merge w:val="continue"/>
            <w:vAlign w:val="center"/>
          </w:tcPr>
          <w:p>
            <w:pPr>
              <w:adjustRightInd w:val="0"/>
              <w:snapToGrid w:val="0"/>
              <w:jc w:val="center"/>
              <w:rPr>
                <w:rFonts w:hint="eastAsia" w:ascii="宋体" w:hAnsi="宋体" w:eastAsia="宋体" w:cs="宋体"/>
                <w:szCs w:val="21"/>
              </w:rPr>
            </w:pPr>
          </w:p>
        </w:tc>
        <w:tc>
          <w:tcPr>
            <w:tcW w:w="1369" w:type="dxa"/>
            <w:vAlign w:val="center"/>
          </w:tcPr>
          <w:p>
            <w:pPr>
              <w:widowControl/>
              <w:adjustRightInd w:val="0"/>
              <w:snapToGrid w:val="0"/>
              <w:jc w:val="center"/>
              <w:rPr>
                <w:rFonts w:hint="eastAsia" w:ascii="宋体" w:hAnsi="宋体" w:eastAsia="宋体" w:cs="宋体"/>
                <w:szCs w:val="21"/>
              </w:rPr>
            </w:pPr>
            <w:r>
              <w:rPr>
                <w:rFonts w:hint="eastAsia" w:ascii="宋体" w:hAnsi="宋体" w:eastAsia="宋体" w:cs="宋体"/>
                <w:szCs w:val="21"/>
              </w:rPr>
              <w:t>费用分析</w:t>
            </w:r>
          </w:p>
        </w:tc>
        <w:tc>
          <w:tcPr>
            <w:tcW w:w="6316" w:type="dxa"/>
            <w:vAlign w:val="center"/>
          </w:tcPr>
          <w:p>
            <w:pPr>
              <w:pStyle w:val="242"/>
              <w:adjustRightInd w:val="0"/>
              <w:snapToGrid w:val="0"/>
              <w:ind w:firstLine="0" w:firstLineChars="0"/>
              <w:rPr>
                <w:rFonts w:hint="eastAsia" w:ascii="宋体" w:hAnsi="宋体" w:eastAsia="宋体" w:cs="宋体"/>
                <w:szCs w:val="21"/>
              </w:rPr>
            </w:pPr>
            <w:r>
              <w:rPr>
                <w:rFonts w:hint="eastAsia" w:ascii="宋体" w:hAnsi="宋体" w:eastAsia="宋体" w:cs="宋体"/>
                <w:szCs w:val="21"/>
              </w:rPr>
              <w:t>1.职工餐入口率的控制点及其他各项费用分析，根据类似项目经营经验提供合理的经营分析；</w:t>
            </w:r>
          </w:p>
          <w:p>
            <w:pPr>
              <w:pStyle w:val="242"/>
              <w:widowControl/>
              <w:adjustRightInd w:val="0"/>
              <w:snapToGrid w:val="0"/>
              <w:ind w:firstLine="0" w:firstLineChars="0"/>
              <w:rPr>
                <w:rFonts w:hint="eastAsia" w:ascii="宋体" w:hAnsi="宋体" w:eastAsia="宋体" w:cs="宋体"/>
                <w:szCs w:val="21"/>
              </w:rPr>
            </w:pPr>
            <w:r>
              <w:rPr>
                <w:rFonts w:hint="eastAsia" w:ascii="宋体" w:hAnsi="宋体" w:eastAsia="宋体" w:cs="宋体"/>
                <w:szCs w:val="21"/>
              </w:rPr>
              <w:t>2.营养餐入口率的控制点及其他各项费用分析，根据类似项目经营经验提供合理的经营分析；</w:t>
            </w:r>
          </w:p>
          <w:p>
            <w:pPr>
              <w:adjustRightInd w:val="0"/>
              <w:snapToGrid w:val="0"/>
              <w:jc w:val="left"/>
              <w:rPr>
                <w:rFonts w:hint="eastAsia" w:ascii="宋体" w:hAnsi="宋体" w:eastAsia="宋体" w:cs="宋体"/>
                <w:szCs w:val="21"/>
              </w:rPr>
            </w:pPr>
            <w:r>
              <w:rPr>
                <w:rFonts w:hint="eastAsia" w:ascii="宋体" w:hAnsi="宋体" w:eastAsia="宋体" w:cs="宋体"/>
                <w:szCs w:val="21"/>
              </w:rPr>
              <w:t>好，得10分；较好，8分；一般，得5分；较差，得3分；差，得1分 (团餐行业标准入口率为60%-65%,仅做评分参考)</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4" w:type="dxa"/>
            <w:gridSpan w:val="3"/>
            <w:vAlign w:val="center"/>
          </w:tcPr>
          <w:p>
            <w:pPr>
              <w:pStyle w:val="242"/>
              <w:adjustRightInd w:val="0"/>
              <w:snapToGrid w:val="0"/>
              <w:ind w:firstLine="0" w:firstLineChars="0"/>
              <w:jc w:val="center"/>
              <w:rPr>
                <w:rFonts w:hint="eastAsia" w:ascii="宋体" w:hAnsi="宋体" w:eastAsia="宋体" w:cs="宋体"/>
                <w:szCs w:val="21"/>
              </w:rPr>
            </w:pPr>
            <w:r>
              <w:rPr>
                <w:rFonts w:hint="eastAsia" w:ascii="宋体" w:hAnsi="宋体" w:eastAsia="宋体" w:cs="宋体"/>
                <w:szCs w:val="21"/>
              </w:rPr>
              <w:t>合计</w:t>
            </w:r>
          </w:p>
        </w:tc>
        <w:tc>
          <w:tcPr>
            <w:tcW w:w="716"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100</w:t>
            </w:r>
          </w:p>
        </w:tc>
      </w:tr>
    </w:tbl>
    <w:p>
      <w:pPr>
        <w:widowControl/>
        <w:spacing w:before="100" w:beforeAutospacing="1" w:after="100" w:afterAutospacing="1" w:line="360" w:lineRule="auto"/>
        <w:jc w:val="left"/>
        <w:rPr>
          <w:rFonts w:hint="eastAsia" w:ascii="宋体" w:hAnsi="宋体" w:eastAsia="宋体" w:cs="宋体"/>
          <w:color w:val="000000" w:themeColor="text1"/>
          <w:sz w:val="24"/>
          <w:szCs w:val="24"/>
          <w14:textFill>
            <w14:solidFill>
              <w14:schemeClr w14:val="tx1"/>
            </w14:solidFill>
          </w14:textFill>
        </w:rPr>
        <w:sectPr>
          <w:pgSz w:w="11907" w:h="16840"/>
          <w:pgMar w:top="1440" w:right="1800" w:bottom="1440" w:left="1800" w:header="851" w:footer="992" w:gutter="0"/>
          <w:pgNumType w:fmt="decimal"/>
          <w:cols w:space="720" w:num="1"/>
          <w:docGrid w:linePitch="286" w:charSpace="0"/>
        </w:sectPr>
      </w:pPr>
    </w:p>
    <w:p>
      <w:pPr>
        <w:pStyle w:val="43"/>
        <w:spacing w:line="360" w:lineRule="auto"/>
        <w:rPr>
          <w:rFonts w:hint="eastAsia" w:ascii="宋体" w:hAnsi="宋体" w:eastAsia="宋体" w:cs="宋体"/>
          <w:color w:val="000000" w:themeColor="text1"/>
          <w:sz w:val="30"/>
          <w:szCs w:val="30"/>
          <w14:textFill>
            <w14:solidFill>
              <w14:schemeClr w14:val="tx1"/>
            </w14:solidFill>
          </w14:textFill>
        </w:rPr>
      </w:pPr>
      <w:bookmarkStart w:id="759" w:name="_Toc142401544"/>
      <w:r>
        <w:rPr>
          <w:rFonts w:hint="eastAsia" w:ascii="宋体" w:hAnsi="宋体" w:eastAsia="宋体" w:cs="宋体"/>
          <w:color w:val="000000" w:themeColor="text1"/>
          <w:sz w:val="30"/>
          <w:szCs w:val="30"/>
          <w14:textFill>
            <w14:solidFill>
              <w14:schemeClr w14:val="tx1"/>
            </w14:solidFill>
          </w14:textFill>
        </w:rPr>
        <w:t>第七章  采购需求</w:t>
      </w:r>
      <w:bookmarkEnd w:id="759"/>
      <w:bookmarkStart w:id="760" w:name="_Toc420082309"/>
      <w:bookmarkStart w:id="761" w:name="_Toc12979665"/>
      <w:bookmarkStart w:id="762" w:name="_Toc24127"/>
      <w:bookmarkStart w:id="763" w:name="_Toc63769934"/>
    </w:p>
    <w:bookmarkEnd w:id="760"/>
    <w:p>
      <w:pPr>
        <w:spacing w:after="120" w:line="360" w:lineRule="auto"/>
        <w:rPr>
          <w:rFonts w:hint="eastAsia" w:ascii="宋体" w:hAnsi="宋体" w:eastAsia="宋体" w:cs="宋体"/>
          <w:b/>
          <w:color w:val="000000" w:themeColor="text1"/>
          <w:sz w:val="24"/>
          <w:szCs w:val="24"/>
          <w14:textFill>
            <w14:solidFill>
              <w14:schemeClr w14:val="tx1"/>
            </w14:solidFill>
          </w14:textFill>
        </w:rPr>
      </w:pPr>
      <w:bookmarkStart w:id="764" w:name="_Toc391409760"/>
      <w:r>
        <w:rPr>
          <w:rFonts w:hint="eastAsia" w:ascii="宋体" w:hAnsi="宋体" w:eastAsia="宋体" w:cs="宋体"/>
          <w:b/>
          <w:color w:val="000000" w:themeColor="text1"/>
          <w:sz w:val="24"/>
          <w:szCs w:val="24"/>
          <w14:textFill>
            <w14:solidFill>
              <w14:schemeClr w14:val="tx1"/>
            </w14:solidFill>
          </w14:textFill>
        </w:rPr>
        <w:t>一、项目概况</w:t>
      </w:r>
    </w:p>
    <w:p>
      <w:pPr>
        <w:spacing w:after="120" w:line="360" w:lineRule="auto"/>
        <w:ind w:firstLine="48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项目名称：首都医科大学附属北京友谊医院（西城院区）餐饮服务项目</w:t>
      </w:r>
    </w:p>
    <w:p>
      <w:pPr>
        <w:spacing w:after="120"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项目地点：北京市西城区永安路95号。</w:t>
      </w:r>
    </w:p>
    <w:p>
      <w:pPr>
        <w:spacing w:after="120"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服务期限：本项目服务期为三年，每季度进行考核，</w:t>
      </w:r>
      <w:r>
        <w:rPr>
          <w:rFonts w:hint="eastAsia" w:ascii="宋体" w:hAnsi="宋体" w:eastAsia="宋体" w:cs="宋体"/>
          <w:sz w:val="24"/>
          <w:szCs w:val="24"/>
        </w:rPr>
        <w:t>连续3次考核不达标,视为中标人违约，采购人有权终止协议；由此造成的损失均由中标人承担，同时解除协议委托关系。</w:t>
      </w:r>
    </w:p>
    <w:bookmarkEnd w:id="761"/>
    <w:bookmarkEnd w:id="762"/>
    <w:bookmarkEnd w:id="763"/>
    <w:bookmarkEnd w:id="764"/>
    <w:p>
      <w:pPr>
        <w:pStyle w:val="381"/>
        <w:snapToGrid w:val="0"/>
        <w:spacing w:line="360" w:lineRule="auto"/>
        <w:rPr>
          <w:rFonts w:hint="eastAsia" w:ascii="宋体" w:hAnsi="宋体" w:eastAsia="宋体" w:cs="宋体"/>
          <w:b/>
          <w:bCs/>
          <w:sz w:val="24"/>
          <w:szCs w:val="24"/>
          <w:lang w:val="zh-TW" w:eastAsia="zh-TW"/>
        </w:rPr>
      </w:pPr>
      <w:r>
        <w:rPr>
          <w:rFonts w:hint="eastAsia" w:ascii="宋体" w:hAnsi="宋体" w:eastAsia="宋体" w:cs="宋体"/>
          <w:b/>
          <w:bCs/>
          <w:sz w:val="24"/>
          <w:szCs w:val="24"/>
        </w:rPr>
        <w:t>二、</w:t>
      </w:r>
      <w:r>
        <w:rPr>
          <w:rFonts w:hint="eastAsia" w:ascii="宋体" w:hAnsi="宋体" w:eastAsia="宋体" w:cs="宋体"/>
          <w:b/>
          <w:bCs/>
          <w:sz w:val="24"/>
          <w:szCs w:val="24"/>
          <w:lang w:val="zh-TW" w:eastAsia="zh-TW"/>
        </w:rPr>
        <w:t>服务内容、服务方式、服务标准</w:t>
      </w:r>
    </w:p>
    <w:p>
      <w:pPr>
        <w:snapToGrid w:val="0"/>
        <w:spacing w:line="360" w:lineRule="auto"/>
        <w:ind w:firstLine="480" w:firstLineChars="200"/>
        <w:rPr>
          <w:rFonts w:hint="eastAsia" w:ascii="宋体" w:hAnsi="宋体" w:eastAsia="宋体" w:cs="宋体"/>
          <w:b/>
          <w:bCs/>
          <w:sz w:val="24"/>
          <w:szCs w:val="24"/>
          <w:lang w:val="zh-TW"/>
        </w:rPr>
      </w:pPr>
      <w:r>
        <w:rPr>
          <w:rFonts w:hint="eastAsia" w:ascii="宋体" w:hAnsi="宋体" w:eastAsia="宋体" w:cs="宋体"/>
          <w:sz w:val="24"/>
        </w:rPr>
        <w:t>首都医科大学附属北京友谊医院职工餐厅的管理运营，提供早餐、午餐、晚餐、送餐、一站式服务订餐等服务，供餐不得少于16小时。</w:t>
      </w:r>
    </w:p>
    <w:p>
      <w:pPr>
        <w:pStyle w:val="381"/>
        <w:snapToGrid w:val="0"/>
        <w:spacing w:line="360" w:lineRule="auto"/>
        <w:rPr>
          <w:rFonts w:hint="eastAsia" w:ascii="宋体" w:hAnsi="宋体" w:eastAsia="宋体" w:cs="宋体"/>
          <w:b/>
          <w:bCs/>
          <w:sz w:val="24"/>
          <w:szCs w:val="24"/>
          <w:lang w:val="zh-TW"/>
        </w:rPr>
      </w:pPr>
      <w:r>
        <w:rPr>
          <w:rFonts w:hint="eastAsia" w:ascii="宋体" w:hAnsi="宋体" w:eastAsia="宋体" w:cs="宋体"/>
          <w:b/>
          <w:bCs/>
          <w:sz w:val="24"/>
          <w:szCs w:val="24"/>
          <w:lang w:val="zh-TW"/>
        </w:rPr>
        <w:t>三、</w:t>
      </w:r>
      <w:r>
        <w:rPr>
          <w:rFonts w:hint="eastAsia" w:ascii="宋体" w:hAnsi="宋体" w:eastAsia="宋体" w:cs="宋体"/>
          <w:b/>
          <w:bCs/>
          <w:sz w:val="24"/>
          <w:szCs w:val="24"/>
          <w:lang w:val="zh-TW" w:eastAsia="zh-TW"/>
        </w:rPr>
        <w:t>服务对象、数量/规模、时间、种类</w:t>
      </w:r>
    </w:p>
    <w:p>
      <w:pPr>
        <w:snapToGrid w:val="0"/>
        <w:spacing w:line="360" w:lineRule="auto"/>
        <w:rPr>
          <w:rFonts w:hint="eastAsia" w:ascii="宋体" w:hAnsi="宋体" w:eastAsia="宋体" w:cs="宋体"/>
          <w:sz w:val="24"/>
        </w:rPr>
      </w:pPr>
      <w:r>
        <w:rPr>
          <w:rFonts w:hint="eastAsia" w:ascii="宋体" w:hAnsi="宋体" w:eastAsia="宋体" w:cs="宋体"/>
          <w:sz w:val="24"/>
        </w:rPr>
        <w:t>1、食堂</w:t>
      </w:r>
    </w:p>
    <w:p>
      <w:pPr>
        <w:snapToGrid w:val="0"/>
        <w:spacing w:line="360" w:lineRule="auto"/>
        <w:rPr>
          <w:rFonts w:hint="eastAsia" w:ascii="宋体" w:hAnsi="宋体" w:eastAsia="宋体" w:cs="宋体"/>
          <w:sz w:val="24"/>
        </w:rPr>
      </w:pPr>
      <w:r>
        <w:rPr>
          <w:rFonts w:hint="eastAsia" w:ascii="宋体" w:hAnsi="宋体" w:eastAsia="宋体" w:cs="宋体"/>
          <w:sz w:val="24"/>
        </w:rPr>
        <w:t>（1）食堂概况：面积约为800平米，座位200个。</w:t>
      </w:r>
    </w:p>
    <w:p>
      <w:pPr>
        <w:snapToGrid w:val="0"/>
        <w:spacing w:line="360" w:lineRule="auto"/>
        <w:rPr>
          <w:rFonts w:hint="eastAsia" w:ascii="宋体" w:hAnsi="宋体" w:eastAsia="宋体" w:cs="宋体"/>
          <w:sz w:val="24"/>
        </w:rPr>
      </w:pPr>
      <w:r>
        <w:rPr>
          <w:rFonts w:hint="eastAsia" w:ascii="宋体" w:hAnsi="宋体" w:eastAsia="宋体" w:cs="宋体"/>
          <w:sz w:val="24"/>
        </w:rPr>
        <w:t>（2）服务对象：医院职工、进修医生、学生及临时服务人员等</w:t>
      </w:r>
    </w:p>
    <w:p>
      <w:pPr>
        <w:snapToGrid w:val="0"/>
        <w:spacing w:line="360" w:lineRule="auto"/>
        <w:rPr>
          <w:rFonts w:hint="eastAsia" w:ascii="宋体" w:hAnsi="宋体" w:eastAsia="宋体" w:cs="宋体"/>
          <w:sz w:val="24"/>
        </w:rPr>
      </w:pPr>
      <w:r>
        <w:rPr>
          <w:rFonts w:hint="eastAsia" w:ascii="宋体" w:hAnsi="宋体" w:eastAsia="宋体" w:cs="宋体"/>
          <w:sz w:val="24"/>
        </w:rPr>
        <w:t>（3）用餐人数：早餐约为500人、午餐约为1000人、晚餐约为400人、订餐约为30人/日。</w:t>
      </w:r>
    </w:p>
    <w:p>
      <w:pPr>
        <w:snapToGrid w:val="0"/>
        <w:spacing w:line="360" w:lineRule="auto"/>
        <w:rPr>
          <w:rFonts w:hint="eastAsia" w:ascii="宋体" w:hAnsi="宋体" w:eastAsia="宋体" w:cs="宋体"/>
          <w:sz w:val="24"/>
        </w:rPr>
      </w:pPr>
      <w:r>
        <w:rPr>
          <w:rFonts w:hint="eastAsia" w:ascii="宋体" w:hAnsi="宋体" w:eastAsia="宋体" w:cs="宋体"/>
          <w:sz w:val="24"/>
        </w:rPr>
        <w:t>（4）供餐类型：普通餐、清真餐、风味餐等</w:t>
      </w:r>
    </w:p>
    <w:p>
      <w:pPr>
        <w:snapToGrid w:val="0"/>
        <w:spacing w:line="360" w:lineRule="auto"/>
        <w:rPr>
          <w:rFonts w:hint="eastAsia" w:ascii="宋体" w:hAnsi="宋体" w:eastAsia="宋体" w:cs="宋体"/>
          <w:sz w:val="24"/>
        </w:rPr>
      </w:pPr>
      <w:r>
        <w:rPr>
          <w:rFonts w:hint="eastAsia" w:ascii="宋体" w:hAnsi="宋体" w:eastAsia="宋体" w:cs="宋体"/>
          <w:sz w:val="24"/>
        </w:rPr>
        <w:t>（5）用餐模式：自由选餐、电话订餐、送餐</w:t>
      </w:r>
    </w:p>
    <w:p>
      <w:pPr>
        <w:snapToGrid w:val="0"/>
        <w:spacing w:line="360" w:lineRule="auto"/>
        <w:rPr>
          <w:rFonts w:hint="eastAsia" w:ascii="宋体" w:hAnsi="宋体" w:eastAsia="宋体" w:cs="宋体"/>
          <w:sz w:val="24"/>
        </w:rPr>
      </w:pPr>
      <w:r>
        <w:rPr>
          <w:rFonts w:hint="eastAsia" w:ascii="宋体" w:hAnsi="宋体" w:eastAsia="宋体" w:cs="宋体"/>
          <w:sz w:val="24"/>
        </w:rPr>
        <w:t>（6）用餐时间及餐饮种类</w:t>
      </w:r>
    </w:p>
    <w:tbl>
      <w:tblPr>
        <w:tblStyle w:val="45"/>
        <w:tblW w:w="804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1540"/>
        <w:gridCol w:w="1678"/>
        <w:gridCol w:w="4822"/>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350" w:hRule="atLeast"/>
        </w:trPr>
        <w:tc>
          <w:tcPr>
            <w:tcW w:w="15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用餐种类</w:t>
            </w:r>
          </w:p>
        </w:tc>
        <w:tc>
          <w:tcPr>
            <w:tcW w:w="16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rPr>
                <w:rFonts w:hint="eastAsia" w:ascii="宋体" w:hAnsi="宋体" w:eastAsia="宋体" w:cs="宋体"/>
                <w:sz w:val="24"/>
              </w:rPr>
            </w:pPr>
            <w:r>
              <w:rPr>
                <w:rFonts w:hint="eastAsia" w:ascii="宋体" w:hAnsi="宋体" w:eastAsia="宋体" w:cs="宋体"/>
                <w:sz w:val="24"/>
              </w:rPr>
              <w:t>用餐时间</w:t>
            </w:r>
          </w:p>
        </w:tc>
        <w:tc>
          <w:tcPr>
            <w:tcW w:w="48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用餐要求</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350" w:hRule="atLeast"/>
        </w:trPr>
        <w:tc>
          <w:tcPr>
            <w:tcW w:w="15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早餐</w:t>
            </w:r>
          </w:p>
        </w:tc>
        <w:tc>
          <w:tcPr>
            <w:tcW w:w="16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rPr>
                <w:rFonts w:hint="eastAsia" w:ascii="宋体" w:hAnsi="宋体" w:eastAsia="宋体" w:cs="宋体"/>
                <w:sz w:val="24"/>
              </w:rPr>
            </w:pPr>
            <w:r>
              <w:rPr>
                <w:rFonts w:hint="eastAsia" w:ascii="宋体" w:hAnsi="宋体" w:eastAsia="宋体" w:cs="宋体"/>
                <w:sz w:val="24"/>
              </w:rPr>
              <w:t>6:45-8:10</w:t>
            </w:r>
          </w:p>
        </w:tc>
        <w:tc>
          <w:tcPr>
            <w:tcW w:w="48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rPr>
                <w:rFonts w:hint="eastAsia" w:ascii="宋体" w:hAnsi="宋体" w:eastAsia="宋体" w:cs="宋体"/>
                <w:sz w:val="24"/>
              </w:rPr>
            </w:pPr>
            <w:r>
              <w:rPr>
                <w:rFonts w:hint="eastAsia" w:ascii="宋体" w:hAnsi="宋体" w:eastAsia="宋体" w:cs="宋体"/>
                <w:sz w:val="24"/>
              </w:rPr>
              <w:t>主食不少于15种，杂粮2种，流食5种，蛋类2种，奶制品1种，（5元不少于5种，3元不少于8种，5元以上2种）免费咸菜2种</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860" w:hRule="atLeast"/>
        </w:trPr>
        <w:tc>
          <w:tcPr>
            <w:tcW w:w="15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午餐</w:t>
            </w:r>
          </w:p>
        </w:tc>
        <w:tc>
          <w:tcPr>
            <w:tcW w:w="16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rPr>
                <w:rFonts w:hint="eastAsia" w:ascii="宋体" w:hAnsi="宋体" w:eastAsia="宋体" w:cs="宋体"/>
                <w:sz w:val="24"/>
              </w:rPr>
            </w:pPr>
            <w:r>
              <w:rPr>
                <w:rFonts w:hint="eastAsia" w:ascii="宋体" w:hAnsi="宋体" w:eastAsia="宋体" w:cs="宋体"/>
                <w:sz w:val="24"/>
              </w:rPr>
              <w:t>10:50-13:00</w:t>
            </w:r>
          </w:p>
        </w:tc>
        <w:tc>
          <w:tcPr>
            <w:tcW w:w="48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rPr>
                <w:rFonts w:hint="eastAsia" w:ascii="宋体" w:hAnsi="宋体" w:eastAsia="宋体" w:cs="宋体"/>
                <w:sz w:val="24"/>
              </w:rPr>
            </w:pPr>
            <w:r>
              <w:rPr>
                <w:rFonts w:hint="eastAsia" w:ascii="宋体" w:hAnsi="宋体" w:eastAsia="宋体" w:cs="宋体"/>
                <w:sz w:val="24"/>
              </w:rPr>
              <w:t>主食不少于10种，杂粮2种，免费汤粥1种，热菜不少于15种（20元荤菜不少于3种，15元荤菜不少于5种，10元荤菜不少于4种，8元素菜不少于3种）</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860" w:hRule="atLeast"/>
        </w:trPr>
        <w:tc>
          <w:tcPr>
            <w:tcW w:w="15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晚餐</w:t>
            </w:r>
          </w:p>
        </w:tc>
        <w:tc>
          <w:tcPr>
            <w:tcW w:w="16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rPr>
                <w:rFonts w:hint="eastAsia" w:ascii="宋体" w:hAnsi="宋体" w:eastAsia="宋体" w:cs="宋体"/>
                <w:sz w:val="24"/>
              </w:rPr>
            </w:pPr>
            <w:r>
              <w:rPr>
                <w:rFonts w:hint="eastAsia" w:ascii="宋体" w:hAnsi="宋体" w:eastAsia="宋体" w:cs="宋体"/>
                <w:sz w:val="24"/>
              </w:rPr>
              <w:t>16:50-19:00</w:t>
            </w:r>
          </w:p>
        </w:tc>
        <w:tc>
          <w:tcPr>
            <w:tcW w:w="48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rPr>
                <w:rFonts w:hint="eastAsia" w:ascii="宋体" w:hAnsi="宋体" w:eastAsia="宋体" w:cs="宋体"/>
                <w:sz w:val="24"/>
              </w:rPr>
            </w:pPr>
            <w:r>
              <w:rPr>
                <w:rFonts w:hint="eastAsia" w:ascii="宋体" w:hAnsi="宋体" w:eastAsia="宋体" w:cs="宋体"/>
                <w:sz w:val="24"/>
              </w:rPr>
              <w:t>主食不少于5种，杂粮2种，免费汤粥1种，热菜不少于8种（20元荤菜2种，15元荤菜2种，10元荤菜2种，8元素菜2种）</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860" w:hRule="atLeast"/>
        </w:trPr>
        <w:tc>
          <w:tcPr>
            <w:tcW w:w="15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清真餐</w:t>
            </w:r>
          </w:p>
        </w:tc>
        <w:tc>
          <w:tcPr>
            <w:tcW w:w="16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午餐</w:t>
            </w:r>
          </w:p>
        </w:tc>
        <w:tc>
          <w:tcPr>
            <w:tcW w:w="48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荤菜3种，素菜3种，主食4种，杂粮2种</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860" w:hRule="atLeast"/>
        </w:trPr>
        <w:tc>
          <w:tcPr>
            <w:tcW w:w="1540"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晚餐</w:t>
            </w:r>
          </w:p>
        </w:tc>
        <w:tc>
          <w:tcPr>
            <w:tcW w:w="48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荤菜2种，素菜2种，主食3种，杂粮2种</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860" w:hRule="atLeast"/>
        </w:trPr>
        <w:tc>
          <w:tcPr>
            <w:tcW w:w="15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jc w:val="center"/>
              <w:rPr>
                <w:rFonts w:hint="eastAsia" w:ascii="宋体" w:hAnsi="宋体" w:eastAsia="宋体" w:cs="宋体"/>
                <w:sz w:val="24"/>
              </w:rPr>
            </w:pPr>
            <w:r>
              <w:rPr>
                <w:rFonts w:hint="eastAsia" w:ascii="宋体" w:hAnsi="宋体" w:eastAsia="宋体" w:cs="宋体"/>
                <w:sz w:val="24"/>
              </w:rPr>
              <w:t>一站式订餐</w:t>
            </w:r>
          </w:p>
        </w:tc>
        <w:tc>
          <w:tcPr>
            <w:tcW w:w="16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rPr>
                <w:rFonts w:hint="eastAsia" w:ascii="宋体" w:hAnsi="宋体" w:eastAsia="宋体" w:cs="宋体"/>
                <w:sz w:val="24"/>
              </w:rPr>
            </w:pPr>
            <w:r>
              <w:rPr>
                <w:rFonts w:hint="eastAsia" w:ascii="宋体" w:hAnsi="宋体" w:eastAsia="宋体" w:cs="宋体"/>
                <w:sz w:val="24"/>
              </w:rPr>
              <w:t>10:30-22:00</w:t>
            </w:r>
          </w:p>
        </w:tc>
        <w:tc>
          <w:tcPr>
            <w:tcW w:w="48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napToGrid w:val="0"/>
              <w:spacing w:line="360" w:lineRule="auto"/>
              <w:rPr>
                <w:rFonts w:hint="eastAsia" w:ascii="宋体" w:hAnsi="宋体" w:eastAsia="宋体" w:cs="宋体"/>
                <w:sz w:val="24"/>
              </w:rPr>
            </w:pPr>
            <w:r>
              <w:rPr>
                <w:rFonts w:hint="eastAsia" w:ascii="宋体" w:hAnsi="宋体" w:eastAsia="宋体" w:cs="宋体"/>
                <w:sz w:val="24"/>
              </w:rPr>
              <w:t>应急制作</w:t>
            </w:r>
          </w:p>
        </w:tc>
      </w:tr>
    </w:tbl>
    <w:p>
      <w:pPr>
        <w:pStyle w:val="381"/>
        <w:snapToGrid w:val="0"/>
        <w:rPr>
          <w:rFonts w:hint="eastAsia" w:ascii="宋体" w:hAnsi="宋体" w:eastAsia="宋体" w:cs="宋体"/>
          <w:sz w:val="24"/>
          <w:szCs w:val="24"/>
          <w:lang w:eastAsia="zh-TW"/>
        </w:rPr>
      </w:pPr>
      <w:r>
        <w:rPr>
          <w:rFonts w:hint="eastAsia" w:ascii="宋体" w:hAnsi="宋体" w:eastAsia="宋体" w:cs="宋体"/>
          <w:sz w:val="24"/>
          <w:szCs w:val="24"/>
        </w:rPr>
        <w:t>（7</w:t>
      </w:r>
      <w:r>
        <w:rPr>
          <w:rFonts w:hint="eastAsia" w:ascii="宋体" w:hAnsi="宋体" w:eastAsia="宋体" w:cs="宋体"/>
          <w:sz w:val="24"/>
          <w:szCs w:val="24"/>
          <w:lang w:val="zh-TW" w:eastAsia="zh-TW"/>
        </w:rPr>
        <w:t>）送餐：根据采购人要求合理配餐，送餐到指定地点。</w:t>
      </w:r>
    </w:p>
    <w:p>
      <w:pPr>
        <w:pStyle w:val="381"/>
        <w:snapToGrid w:val="0"/>
        <w:rPr>
          <w:rFonts w:hint="eastAsia" w:ascii="宋体" w:hAnsi="宋体" w:eastAsia="宋体" w:cs="宋体"/>
          <w:b/>
          <w:bCs/>
          <w:sz w:val="24"/>
          <w:szCs w:val="24"/>
          <w:lang w:val="zh-TW"/>
        </w:rPr>
      </w:pPr>
    </w:p>
    <w:p>
      <w:pPr>
        <w:pStyle w:val="381"/>
        <w:snapToGrid w:val="0"/>
        <w:spacing w:line="360" w:lineRule="auto"/>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rPr>
        <w:t>四、</w:t>
      </w:r>
      <w:r>
        <w:rPr>
          <w:rFonts w:hint="eastAsia" w:ascii="宋体" w:hAnsi="宋体" w:eastAsia="宋体" w:cs="宋体"/>
          <w:b/>
          <w:bCs/>
          <w:sz w:val="24"/>
          <w:szCs w:val="24"/>
          <w:lang w:val="zh-TW" w:eastAsia="zh-TW"/>
        </w:rPr>
        <w:t>服务要求</w:t>
      </w:r>
    </w:p>
    <w:p>
      <w:pPr>
        <w:pStyle w:val="381"/>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w:t>
      </w:r>
      <w:r>
        <w:rPr>
          <w:rFonts w:hint="eastAsia" w:ascii="宋体" w:hAnsi="宋体" w:eastAsia="宋体" w:cs="宋体"/>
          <w:b/>
          <w:bCs/>
          <w:color w:val="000000" w:themeColor="text1"/>
          <w:sz w:val="24"/>
          <w:szCs w:val="24"/>
          <w:lang w:val="zh-TW" w:eastAsia="zh-TW"/>
          <w14:textFill>
            <w14:solidFill>
              <w14:schemeClr w14:val="tx1"/>
            </w14:solidFill>
          </w14:textFill>
        </w:rPr>
        <w:t>总体服务要求和目标</w:t>
      </w:r>
    </w:p>
    <w:p>
      <w:pPr>
        <w:pStyle w:val="381"/>
        <w:snapToGrid w:val="0"/>
        <w:spacing w:line="360" w:lineRule="auto"/>
        <w:ind w:firstLine="240" w:firstLineChars="100"/>
        <w:rPr>
          <w:rFonts w:hint="eastAsia" w:ascii="宋体" w:hAnsi="宋体" w:eastAsia="宋体" w:cs="宋体"/>
          <w:sz w:val="24"/>
          <w:szCs w:val="24"/>
          <w:lang w:val="zh-TW" w:eastAsia="zh-TW"/>
        </w:rPr>
      </w:pPr>
      <w:r>
        <w:rPr>
          <w:rFonts w:hint="eastAsia" w:ascii="宋体" w:hAnsi="宋体" w:eastAsia="宋体" w:cs="宋体"/>
          <w:sz w:val="24"/>
          <w:szCs w:val="24"/>
          <w:lang w:val="zh-TW"/>
        </w:rPr>
        <w:t>严格</w:t>
      </w:r>
      <w:r>
        <w:rPr>
          <w:rFonts w:hint="eastAsia" w:ascii="宋体" w:hAnsi="宋体" w:eastAsia="宋体" w:cs="宋体"/>
          <w:sz w:val="24"/>
          <w:szCs w:val="24"/>
          <w:lang w:val="zh-TW" w:eastAsia="zh-TW"/>
        </w:rPr>
        <w:t>遵</w:t>
      </w:r>
      <w:r>
        <w:rPr>
          <w:rFonts w:hint="eastAsia" w:ascii="宋体" w:hAnsi="宋体" w:eastAsia="宋体" w:cs="宋体"/>
          <w:sz w:val="24"/>
          <w:szCs w:val="24"/>
          <w:lang w:val="zh-TW"/>
        </w:rPr>
        <w:t>守</w:t>
      </w:r>
      <w:r>
        <w:rPr>
          <w:rFonts w:hint="eastAsia" w:ascii="宋体" w:hAnsi="宋体" w:eastAsia="宋体" w:cs="宋体"/>
          <w:sz w:val="24"/>
          <w:szCs w:val="24"/>
          <w:lang w:val="zh-TW" w:eastAsia="zh-TW"/>
        </w:rPr>
        <w:t>国家法律、</w:t>
      </w:r>
      <w:r>
        <w:rPr>
          <w:rFonts w:hint="eastAsia" w:ascii="宋体" w:hAnsi="宋体" w:eastAsia="宋体" w:cs="宋体"/>
          <w:sz w:val="24"/>
          <w:szCs w:val="24"/>
          <w:lang w:val="zh-TW"/>
        </w:rPr>
        <w:t>政策</w:t>
      </w:r>
      <w:r>
        <w:rPr>
          <w:rFonts w:hint="eastAsia" w:ascii="宋体" w:hAnsi="宋体" w:eastAsia="宋体" w:cs="宋体"/>
          <w:sz w:val="24"/>
          <w:szCs w:val="24"/>
          <w:lang w:val="zh-TW" w:eastAsia="zh-TW"/>
        </w:rPr>
        <w:t>法规、</w:t>
      </w:r>
      <w:r>
        <w:rPr>
          <w:rFonts w:hint="eastAsia" w:ascii="宋体" w:hAnsi="宋体" w:eastAsia="宋体" w:cs="宋体"/>
          <w:sz w:val="24"/>
          <w:szCs w:val="24"/>
          <w:lang w:val="zh-TW"/>
        </w:rPr>
        <w:t>相关</w:t>
      </w:r>
      <w:r>
        <w:rPr>
          <w:rFonts w:hint="eastAsia" w:ascii="宋体" w:hAnsi="宋体" w:eastAsia="宋体" w:cs="宋体"/>
          <w:sz w:val="24"/>
          <w:szCs w:val="24"/>
          <w:lang w:val="zh-TW" w:eastAsia="zh-TW"/>
        </w:rPr>
        <w:t>规范性文件，包括不限于：</w:t>
      </w:r>
    </w:p>
    <w:p>
      <w:pPr>
        <w:snapToGrid w:val="0"/>
        <w:spacing w:line="360" w:lineRule="auto"/>
        <w:rPr>
          <w:rFonts w:hint="eastAsia" w:ascii="宋体" w:hAnsi="宋体" w:eastAsia="宋体" w:cs="宋体"/>
          <w:sz w:val="24"/>
        </w:rPr>
      </w:pPr>
      <w:r>
        <w:rPr>
          <w:rFonts w:hint="eastAsia" w:ascii="宋体" w:hAnsi="宋体" w:eastAsia="宋体" w:cs="宋体"/>
          <w:sz w:val="24"/>
        </w:rPr>
        <w:t>（1）《中华人民共和国食品安全法》</w:t>
      </w:r>
    </w:p>
    <w:p>
      <w:pPr>
        <w:snapToGrid w:val="0"/>
        <w:spacing w:line="360" w:lineRule="auto"/>
        <w:rPr>
          <w:rFonts w:hint="eastAsia" w:ascii="宋体" w:hAnsi="宋体" w:eastAsia="宋体" w:cs="宋体"/>
          <w:sz w:val="24"/>
        </w:rPr>
      </w:pPr>
      <w:r>
        <w:rPr>
          <w:rFonts w:hint="eastAsia" w:ascii="宋体" w:hAnsi="宋体" w:eastAsia="宋体" w:cs="宋体"/>
          <w:sz w:val="24"/>
        </w:rPr>
        <w:t>（2）《中华人民共和国食品安全法实施条例》</w:t>
      </w:r>
    </w:p>
    <w:p>
      <w:pPr>
        <w:snapToGrid w:val="0"/>
        <w:spacing w:line="360" w:lineRule="auto"/>
        <w:rPr>
          <w:rFonts w:hint="eastAsia" w:ascii="宋体" w:hAnsi="宋体" w:eastAsia="宋体" w:cs="宋体"/>
          <w:sz w:val="24"/>
        </w:rPr>
      </w:pPr>
      <w:r>
        <w:rPr>
          <w:rFonts w:hint="eastAsia" w:ascii="宋体" w:hAnsi="宋体" w:eastAsia="宋体" w:cs="宋体"/>
          <w:sz w:val="24"/>
        </w:rPr>
        <w:t>（3）《中华人民共和国消防法》</w:t>
      </w:r>
    </w:p>
    <w:p>
      <w:pPr>
        <w:snapToGrid w:val="0"/>
        <w:spacing w:line="360" w:lineRule="auto"/>
        <w:rPr>
          <w:rFonts w:hint="eastAsia" w:ascii="宋体" w:hAnsi="宋体" w:eastAsia="宋体" w:cs="宋体"/>
          <w:sz w:val="24"/>
        </w:rPr>
      </w:pPr>
      <w:r>
        <w:rPr>
          <w:rFonts w:hint="eastAsia" w:ascii="宋体" w:hAnsi="宋体" w:eastAsia="宋体" w:cs="宋体"/>
          <w:sz w:val="24"/>
        </w:rPr>
        <w:t>（4）《食品添加剂新品种管理办法》</w:t>
      </w:r>
    </w:p>
    <w:p>
      <w:pPr>
        <w:snapToGrid w:val="0"/>
        <w:spacing w:line="360" w:lineRule="auto"/>
        <w:rPr>
          <w:rFonts w:hint="eastAsia" w:ascii="宋体" w:hAnsi="宋体" w:eastAsia="宋体" w:cs="宋体"/>
          <w:sz w:val="24"/>
        </w:rPr>
      </w:pPr>
      <w:r>
        <w:rPr>
          <w:rFonts w:hint="eastAsia" w:ascii="宋体" w:hAnsi="宋体" w:eastAsia="宋体" w:cs="宋体"/>
          <w:sz w:val="24"/>
        </w:rPr>
        <w:t>（5）《北京市餐饮经营单位安全生产规定》</w:t>
      </w:r>
    </w:p>
    <w:p>
      <w:pPr>
        <w:snapToGrid w:val="0"/>
        <w:spacing w:line="360" w:lineRule="auto"/>
        <w:rPr>
          <w:rFonts w:hint="eastAsia" w:ascii="宋体" w:hAnsi="宋体" w:eastAsia="宋体" w:cs="宋体"/>
          <w:sz w:val="24"/>
        </w:rPr>
      </w:pPr>
      <w:r>
        <w:rPr>
          <w:rFonts w:hint="eastAsia" w:ascii="宋体" w:hAnsi="宋体" w:eastAsia="宋体" w:cs="宋体"/>
          <w:sz w:val="24"/>
        </w:rPr>
        <w:t>（6）关于加强食品添加剂监督管理工作的通知</w:t>
      </w:r>
    </w:p>
    <w:p>
      <w:pPr>
        <w:snapToGrid w:val="0"/>
        <w:spacing w:line="360" w:lineRule="auto"/>
        <w:rPr>
          <w:rFonts w:hint="eastAsia" w:ascii="宋体" w:hAnsi="宋体" w:eastAsia="宋体" w:cs="宋体"/>
          <w:sz w:val="24"/>
        </w:rPr>
      </w:pPr>
      <w:r>
        <w:rPr>
          <w:rFonts w:hint="eastAsia" w:ascii="宋体" w:hAnsi="宋体" w:eastAsia="宋体" w:cs="宋体"/>
          <w:sz w:val="24"/>
        </w:rPr>
        <w:t>（7）关于加强餐饮服务食物中毒信息上报的通知</w:t>
      </w:r>
    </w:p>
    <w:p>
      <w:pPr>
        <w:snapToGrid w:val="0"/>
        <w:spacing w:line="360" w:lineRule="auto"/>
        <w:rPr>
          <w:rFonts w:hint="eastAsia" w:ascii="宋体" w:hAnsi="宋体" w:eastAsia="宋体" w:cs="宋体"/>
          <w:sz w:val="24"/>
        </w:rPr>
      </w:pPr>
      <w:r>
        <w:rPr>
          <w:rFonts w:hint="eastAsia" w:ascii="宋体" w:hAnsi="宋体" w:eastAsia="宋体" w:cs="宋体"/>
          <w:sz w:val="24"/>
        </w:rPr>
        <w:t>（8）自觉遵守首都医科大学附属北京友谊医院内部管理规定及相关制度。</w:t>
      </w:r>
    </w:p>
    <w:p>
      <w:pPr>
        <w:snapToGrid w:val="0"/>
        <w:spacing w:line="360" w:lineRule="auto"/>
        <w:rPr>
          <w:rFonts w:hint="eastAsia" w:ascii="宋体" w:hAnsi="宋体" w:eastAsia="宋体" w:cs="宋体"/>
          <w:sz w:val="24"/>
        </w:rPr>
      </w:pPr>
      <w:r>
        <w:rPr>
          <w:rFonts w:hint="eastAsia" w:ascii="宋体" w:hAnsi="宋体" w:eastAsia="宋体" w:cs="宋体"/>
          <w:sz w:val="24"/>
        </w:rPr>
        <w:t>（9）服务用语标准</w:t>
      </w:r>
    </w:p>
    <w:p>
      <w:pPr>
        <w:pStyle w:val="381"/>
        <w:numPr>
          <w:ilvl w:val="2"/>
          <w:numId w:val="8"/>
        </w:numPr>
        <w:snapToGrid w:val="0"/>
        <w:spacing w:line="360" w:lineRule="auto"/>
        <w:ind w:firstLine="6"/>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使用普通话，语言规范，语音清晰；</w:t>
      </w:r>
    </w:p>
    <w:p>
      <w:pPr>
        <w:pStyle w:val="381"/>
        <w:numPr>
          <w:ilvl w:val="2"/>
          <w:numId w:val="8"/>
        </w:numPr>
        <w:snapToGrid w:val="0"/>
        <w:spacing w:line="360" w:lineRule="auto"/>
        <w:ind w:firstLine="6"/>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积极主动使用文明服务用语：您好、请、谢谢、对不起</w:t>
      </w:r>
      <w:r>
        <w:rPr>
          <w:rFonts w:hint="eastAsia" w:ascii="宋体" w:hAnsi="宋体" w:eastAsia="宋体" w:cs="宋体"/>
          <w:sz w:val="24"/>
          <w:szCs w:val="24"/>
        </w:rPr>
        <w:t>……</w:t>
      </w:r>
    </w:p>
    <w:p>
      <w:pPr>
        <w:pStyle w:val="381"/>
        <w:numPr>
          <w:ilvl w:val="2"/>
          <w:numId w:val="8"/>
        </w:numPr>
        <w:snapToGrid w:val="0"/>
        <w:spacing w:line="360" w:lineRule="auto"/>
        <w:ind w:firstLine="6"/>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仪表仪容端庄整洁，姿态自然，微笑自然；</w:t>
      </w:r>
    </w:p>
    <w:p>
      <w:pPr>
        <w:pStyle w:val="381"/>
        <w:numPr>
          <w:ilvl w:val="2"/>
          <w:numId w:val="8"/>
        </w:numPr>
        <w:snapToGrid w:val="0"/>
        <w:spacing w:line="360" w:lineRule="auto"/>
        <w:ind w:firstLine="6"/>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耐心对待顾客的询问，清楚复述并确认顾客的要求。</w:t>
      </w:r>
    </w:p>
    <w:p>
      <w:pPr>
        <w:pStyle w:val="381"/>
        <w:snapToGrid w:val="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rPr>
        <w:t>（10）</w:t>
      </w:r>
      <w:r>
        <w:rPr>
          <w:rFonts w:hint="eastAsia" w:ascii="宋体" w:hAnsi="宋体" w:eastAsia="宋体" w:cs="宋体"/>
          <w:sz w:val="24"/>
          <w:szCs w:val="24"/>
          <w:lang w:val="zh-TW" w:eastAsia="zh-TW"/>
        </w:rPr>
        <w:t>服务工作标准</w:t>
      </w:r>
    </w:p>
    <w:p>
      <w:pPr>
        <w:pStyle w:val="381"/>
        <w:snapToGrid w:val="0"/>
        <w:spacing w:line="360" w:lineRule="auto"/>
        <w:ind w:firstLine="424" w:firstLineChars="177"/>
        <w:rPr>
          <w:rFonts w:hint="eastAsia" w:ascii="宋体" w:hAnsi="宋体" w:eastAsia="宋体" w:cs="宋体"/>
          <w:sz w:val="24"/>
          <w:szCs w:val="24"/>
          <w:lang w:val="zh-TW" w:eastAsia="zh-TW"/>
        </w:rPr>
      </w:pPr>
      <w:r>
        <w:rPr>
          <w:rFonts w:hint="eastAsia" w:ascii="宋体" w:hAnsi="宋体" w:eastAsia="宋体" w:cs="宋体"/>
          <w:sz w:val="24"/>
          <w:szCs w:val="24"/>
          <w:lang w:val="zh-TW"/>
        </w:rPr>
        <w:t>1）</w:t>
      </w:r>
      <w:r>
        <w:rPr>
          <w:rFonts w:hint="eastAsia" w:ascii="宋体" w:hAnsi="宋体" w:eastAsia="宋体" w:cs="宋体"/>
          <w:sz w:val="24"/>
          <w:szCs w:val="24"/>
          <w:lang w:val="zh-TW" w:eastAsia="zh-TW"/>
        </w:rPr>
        <w:t>售卖时做好卫生、防护工作，戴一次性手套和口罩；</w:t>
      </w:r>
    </w:p>
    <w:p>
      <w:pPr>
        <w:pStyle w:val="381"/>
        <w:numPr>
          <w:ilvl w:val="0"/>
          <w:numId w:val="9"/>
        </w:numPr>
        <w:snapToGrid w:val="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工作精神集中，服务周到热情，从细节为顾客着想；</w:t>
      </w:r>
    </w:p>
    <w:p>
      <w:pPr>
        <w:pStyle w:val="381"/>
        <w:snapToGrid w:val="0"/>
        <w:spacing w:line="360" w:lineRule="auto"/>
        <w:ind w:firstLine="424" w:firstLineChars="177"/>
        <w:rPr>
          <w:rFonts w:hint="eastAsia" w:ascii="宋体" w:hAnsi="宋体" w:eastAsia="宋体" w:cs="宋体"/>
          <w:sz w:val="24"/>
          <w:szCs w:val="24"/>
          <w:lang w:val="zh-TW"/>
        </w:rPr>
      </w:pPr>
      <w:r>
        <w:rPr>
          <w:rFonts w:hint="eastAsia" w:ascii="宋体" w:hAnsi="宋体" w:eastAsia="宋体" w:cs="宋体"/>
          <w:sz w:val="24"/>
          <w:szCs w:val="24"/>
          <w:lang w:val="zh-TW"/>
        </w:rPr>
        <w:t>3）</w:t>
      </w:r>
      <w:r>
        <w:rPr>
          <w:rFonts w:hint="eastAsia" w:ascii="宋体" w:hAnsi="宋体" w:eastAsia="宋体" w:cs="宋体"/>
          <w:sz w:val="24"/>
          <w:szCs w:val="24"/>
          <w:lang w:val="zh-TW" w:eastAsia="zh-TW"/>
        </w:rPr>
        <w:t>售卖快捷，操作规范，保证饭菜份量统一标准；</w:t>
      </w:r>
    </w:p>
    <w:p>
      <w:pPr>
        <w:pStyle w:val="381"/>
        <w:snapToGrid w:val="0"/>
        <w:spacing w:line="360" w:lineRule="auto"/>
        <w:ind w:firstLine="424" w:firstLineChars="177"/>
        <w:rPr>
          <w:rFonts w:hint="eastAsia" w:ascii="宋体" w:hAnsi="宋体" w:eastAsia="宋体" w:cs="宋体"/>
          <w:sz w:val="24"/>
          <w:szCs w:val="24"/>
          <w:lang w:val="zh-TW" w:eastAsia="zh-TW"/>
        </w:rPr>
      </w:pPr>
      <w:r>
        <w:rPr>
          <w:rFonts w:hint="eastAsia" w:ascii="宋体" w:hAnsi="宋体" w:eastAsia="宋体" w:cs="宋体"/>
          <w:sz w:val="24"/>
          <w:szCs w:val="24"/>
          <w:lang w:val="zh-TW"/>
        </w:rPr>
        <w:t>4）</w:t>
      </w:r>
      <w:r>
        <w:rPr>
          <w:rFonts w:hint="eastAsia" w:ascii="宋体" w:hAnsi="宋体" w:eastAsia="宋体" w:cs="宋体"/>
          <w:sz w:val="24"/>
          <w:szCs w:val="24"/>
          <w:lang w:val="zh-TW" w:eastAsia="zh-TW"/>
        </w:rPr>
        <w:t>满足顾客合理的附加要求，比如加热饭菜，食品打包等；</w:t>
      </w:r>
    </w:p>
    <w:p>
      <w:pPr>
        <w:pStyle w:val="381"/>
        <w:snapToGrid w:val="0"/>
        <w:spacing w:line="360" w:lineRule="auto"/>
        <w:ind w:firstLine="424" w:firstLineChars="177"/>
        <w:rPr>
          <w:rFonts w:hint="eastAsia" w:ascii="宋体" w:hAnsi="宋体" w:eastAsia="宋体" w:cs="宋体"/>
          <w:sz w:val="24"/>
          <w:szCs w:val="24"/>
          <w:lang w:val="zh-TW"/>
        </w:rPr>
      </w:pPr>
      <w:r>
        <w:rPr>
          <w:rFonts w:hint="eastAsia" w:ascii="宋体" w:hAnsi="宋体" w:eastAsia="宋体" w:cs="宋体"/>
          <w:sz w:val="24"/>
          <w:szCs w:val="24"/>
          <w:lang w:val="zh-TW"/>
        </w:rPr>
        <w:t>5）</w:t>
      </w:r>
      <w:r>
        <w:rPr>
          <w:rFonts w:hint="eastAsia" w:ascii="宋体" w:hAnsi="宋体" w:eastAsia="宋体" w:cs="宋体"/>
          <w:sz w:val="24"/>
          <w:szCs w:val="24"/>
          <w:lang w:val="zh-TW" w:eastAsia="zh-TW"/>
        </w:rPr>
        <w:t>结算快速准确无误；</w:t>
      </w:r>
    </w:p>
    <w:p>
      <w:pPr>
        <w:pStyle w:val="381"/>
        <w:snapToGrid w:val="0"/>
        <w:spacing w:line="360" w:lineRule="auto"/>
        <w:ind w:firstLine="424" w:firstLineChars="177"/>
        <w:rPr>
          <w:rFonts w:hint="eastAsia" w:ascii="宋体" w:hAnsi="宋体" w:eastAsia="宋体" w:cs="宋体"/>
          <w:sz w:val="24"/>
          <w:szCs w:val="24"/>
          <w:lang w:val="zh-TW" w:eastAsia="zh-TW"/>
        </w:rPr>
      </w:pPr>
      <w:r>
        <w:rPr>
          <w:rFonts w:hint="eastAsia" w:ascii="宋体" w:hAnsi="宋体" w:eastAsia="宋体" w:cs="宋体"/>
          <w:sz w:val="24"/>
          <w:szCs w:val="24"/>
          <w:lang w:val="zh-TW"/>
        </w:rPr>
        <w:t>6）</w:t>
      </w:r>
      <w:r>
        <w:rPr>
          <w:rFonts w:hint="eastAsia" w:ascii="宋体" w:hAnsi="宋体" w:eastAsia="宋体" w:cs="宋体"/>
          <w:sz w:val="24"/>
          <w:szCs w:val="24"/>
          <w:lang w:val="zh-TW" w:eastAsia="zh-TW"/>
        </w:rPr>
        <w:t>菜价菜名与所售品种一致，菜牌书写清楚并张贴标识，干净整洁。</w:t>
      </w:r>
    </w:p>
    <w:p>
      <w:pPr>
        <w:pStyle w:val="381"/>
        <w:snapToGrid w:val="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11</w:t>
      </w:r>
      <w:r>
        <w:rPr>
          <w:rFonts w:hint="eastAsia" w:ascii="宋体" w:hAnsi="宋体" w:eastAsia="宋体" w:cs="宋体"/>
          <w:sz w:val="24"/>
          <w:szCs w:val="24"/>
          <w:lang w:val="zh-TW"/>
        </w:rPr>
        <w:t>）</w:t>
      </w:r>
      <w:r>
        <w:rPr>
          <w:rFonts w:hint="eastAsia" w:ascii="宋体" w:hAnsi="宋体" w:eastAsia="宋体" w:cs="宋体"/>
          <w:sz w:val="24"/>
          <w:szCs w:val="24"/>
          <w:lang w:val="zh-TW" w:eastAsia="zh-TW"/>
        </w:rPr>
        <w:t>工作纪律</w:t>
      </w:r>
    </w:p>
    <w:p>
      <w:pPr>
        <w:pStyle w:val="381"/>
        <w:snapToGrid w:val="0"/>
        <w:spacing w:line="360" w:lineRule="auto"/>
        <w:ind w:left="422" w:leftChars="201"/>
        <w:rPr>
          <w:rFonts w:hint="eastAsia" w:ascii="宋体" w:hAnsi="宋体" w:eastAsia="宋体" w:cs="宋体"/>
          <w:sz w:val="24"/>
          <w:szCs w:val="24"/>
          <w:lang w:val="zh-TW" w:eastAsia="zh-TW"/>
        </w:rPr>
      </w:pPr>
      <w:r>
        <w:rPr>
          <w:rFonts w:hint="eastAsia" w:ascii="宋体" w:hAnsi="宋体" w:eastAsia="宋体" w:cs="宋体"/>
          <w:sz w:val="24"/>
          <w:szCs w:val="24"/>
          <w:lang w:val="zh-TW"/>
        </w:rPr>
        <w:t>1）</w:t>
      </w:r>
      <w:r>
        <w:rPr>
          <w:rFonts w:hint="eastAsia" w:ascii="宋体" w:hAnsi="宋体" w:eastAsia="宋体" w:cs="宋体"/>
          <w:sz w:val="24"/>
          <w:szCs w:val="24"/>
          <w:lang w:val="zh-TW" w:eastAsia="zh-TW"/>
        </w:rPr>
        <w:t>员工在工作场所拾到的财物，必须立即上交上级主管处，并作详细登记；</w:t>
      </w:r>
    </w:p>
    <w:p>
      <w:pPr>
        <w:pStyle w:val="381"/>
        <w:numPr>
          <w:ilvl w:val="0"/>
          <w:numId w:val="10"/>
        </w:numPr>
        <w:snapToGrid w:val="0"/>
        <w:spacing w:line="360" w:lineRule="auto"/>
        <w:ind w:left="422" w:leftChars="201" w:firstLine="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严禁在顾客面前伸懒腰，打哈欠、掏耳朵等不礼貌行为；</w:t>
      </w:r>
    </w:p>
    <w:p>
      <w:pPr>
        <w:pStyle w:val="381"/>
        <w:snapToGrid w:val="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12</w:t>
      </w:r>
      <w:r>
        <w:rPr>
          <w:rFonts w:hint="eastAsia" w:ascii="宋体" w:hAnsi="宋体" w:eastAsia="宋体" w:cs="宋体"/>
          <w:sz w:val="24"/>
          <w:szCs w:val="24"/>
          <w:lang w:val="zh-TW"/>
        </w:rPr>
        <w:t>）</w:t>
      </w:r>
      <w:r>
        <w:rPr>
          <w:rFonts w:hint="eastAsia" w:ascii="宋体" w:hAnsi="宋体" w:eastAsia="宋体" w:cs="宋体"/>
          <w:sz w:val="24"/>
          <w:szCs w:val="24"/>
          <w:lang w:val="zh-TW" w:eastAsia="zh-TW"/>
        </w:rPr>
        <w:t>餐具清洗与消毒</w:t>
      </w:r>
    </w:p>
    <w:p>
      <w:pPr>
        <w:pStyle w:val="381"/>
        <w:snapToGrid w:val="0"/>
        <w:spacing w:line="360" w:lineRule="auto"/>
        <w:ind w:firstLine="424" w:firstLineChars="177"/>
        <w:rPr>
          <w:rFonts w:hint="eastAsia" w:ascii="宋体" w:hAnsi="宋体" w:eastAsia="宋体" w:cs="宋体"/>
          <w:sz w:val="24"/>
          <w:szCs w:val="24"/>
          <w:lang w:val="zh-TW" w:eastAsia="zh-TW"/>
        </w:rPr>
      </w:pPr>
      <w:r>
        <w:rPr>
          <w:rFonts w:hint="eastAsia" w:ascii="宋体" w:hAnsi="宋体" w:eastAsia="宋体" w:cs="宋体"/>
          <w:sz w:val="24"/>
          <w:szCs w:val="24"/>
          <w:lang w:val="zh-TW"/>
        </w:rPr>
        <w:t>1)</w:t>
      </w:r>
      <w:r>
        <w:rPr>
          <w:rFonts w:hint="eastAsia" w:ascii="宋体" w:hAnsi="宋体" w:eastAsia="宋体" w:cs="宋体"/>
          <w:sz w:val="24"/>
          <w:szCs w:val="24"/>
          <w:lang w:val="zh-TW" w:eastAsia="zh-TW"/>
        </w:rPr>
        <w:t>餐具消毒应执行一去渣、二清洗、三消毒、四冲洗、五擦干，共五道工序。</w:t>
      </w:r>
    </w:p>
    <w:p>
      <w:pPr>
        <w:pStyle w:val="381"/>
        <w:snapToGrid w:val="0"/>
        <w:spacing w:line="360" w:lineRule="auto"/>
        <w:ind w:firstLine="424" w:firstLineChars="177"/>
        <w:rPr>
          <w:rFonts w:hint="eastAsia" w:ascii="宋体" w:hAnsi="宋体" w:eastAsia="宋体" w:cs="宋体"/>
          <w:sz w:val="24"/>
          <w:szCs w:val="24"/>
          <w:lang w:val="zh-TW" w:eastAsia="zh-TW"/>
        </w:rPr>
      </w:pPr>
      <w:r>
        <w:rPr>
          <w:rFonts w:hint="eastAsia" w:ascii="宋体" w:hAnsi="宋体" w:eastAsia="宋体" w:cs="宋体"/>
          <w:sz w:val="24"/>
          <w:szCs w:val="24"/>
          <w:lang w:val="zh-TW"/>
        </w:rPr>
        <w:t>2)</w:t>
      </w:r>
      <w:r>
        <w:rPr>
          <w:rFonts w:hint="eastAsia" w:ascii="宋体" w:hAnsi="宋体" w:eastAsia="宋体" w:cs="宋体"/>
          <w:sz w:val="24"/>
          <w:szCs w:val="24"/>
          <w:lang w:val="zh-TW" w:eastAsia="zh-TW"/>
        </w:rPr>
        <w:t>必须达到消毒液的规定配比浓度，即</w:t>
      </w:r>
      <w:r>
        <w:rPr>
          <w:rFonts w:hint="eastAsia" w:ascii="宋体" w:hAnsi="宋体" w:eastAsia="宋体" w:cs="宋体"/>
          <w:sz w:val="24"/>
          <w:szCs w:val="24"/>
        </w:rPr>
        <w:t>1</w:t>
      </w:r>
      <w:r>
        <w:rPr>
          <w:rFonts w:hint="eastAsia" w:ascii="宋体" w:hAnsi="宋体" w:eastAsia="宋体" w:cs="宋体"/>
          <w:sz w:val="24"/>
          <w:szCs w:val="24"/>
          <w:lang w:val="zh-TW" w:eastAsia="zh-TW"/>
        </w:rPr>
        <w:t>：</w:t>
      </w:r>
      <w:r>
        <w:rPr>
          <w:rFonts w:hint="eastAsia" w:ascii="宋体" w:hAnsi="宋体" w:eastAsia="宋体" w:cs="宋体"/>
          <w:sz w:val="24"/>
          <w:szCs w:val="24"/>
        </w:rPr>
        <w:t>200</w:t>
      </w:r>
      <w:r>
        <w:rPr>
          <w:rFonts w:hint="eastAsia" w:ascii="宋体" w:hAnsi="宋体" w:eastAsia="宋体" w:cs="宋体"/>
          <w:sz w:val="24"/>
          <w:szCs w:val="24"/>
          <w:lang w:val="zh-TW" w:eastAsia="zh-TW"/>
        </w:rPr>
        <w:t>的配比浓度。</w:t>
      </w:r>
    </w:p>
    <w:p>
      <w:pPr>
        <w:pStyle w:val="381"/>
        <w:snapToGrid w:val="0"/>
        <w:spacing w:line="360" w:lineRule="auto"/>
        <w:ind w:firstLine="424" w:firstLineChars="177"/>
        <w:rPr>
          <w:rFonts w:hint="eastAsia" w:ascii="宋体" w:hAnsi="宋体" w:eastAsia="宋体" w:cs="宋体"/>
          <w:sz w:val="24"/>
          <w:szCs w:val="24"/>
          <w:lang w:val="zh-TW" w:eastAsia="zh-TW"/>
        </w:rPr>
      </w:pPr>
      <w:r>
        <w:rPr>
          <w:rFonts w:hint="eastAsia" w:ascii="宋体" w:hAnsi="宋体" w:eastAsia="宋体" w:cs="宋体"/>
          <w:sz w:val="24"/>
          <w:szCs w:val="24"/>
          <w:lang w:val="zh-TW"/>
        </w:rPr>
        <w:t>3)</w:t>
      </w:r>
      <w:r>
        <w:rPr>
          <w:rFonts w:hint="eastAsia" w:ascii="宋体" w:hAnsi="宋体" w:eastAsia="宋体" w:cs="宋体"/>
          <w:sz w:val="24"/>
          <w:szCs w:val="24"/>
          <w:lang w:val="zh-TW" w:eastAsia="zh-TW"/>
        </w:rPr>
        <w:t>配制后的消毒液应一餐一换，不得连续使用。</w:t>
      </w:r>
    </w:p>
    <w:p>
      <w:pPr>
        <w:pStyle w:val="381"/>
        <w:snapToGrid w:val="0"/>
        <w:spacing w:line="360" w:lineRule="auto"/>
        <w:ind w:firstLine="424" w:firstLineChars="177"/>
        <w:rPr>
          <w:rFonts w:hint="eastAsia" w:ascii="宋体" w:hAnsi="宋体" w:eastAsia="宋体" w:cs="宋体"/>
          <w:sz w:val="24"/>
          <w:szCs w:val="24"/>
          <w:lang w:val="zh-TW" w:eastAsia="zh-TW"/>
        </w:rPr>
      </w:pPr>
      <w:r>
        <w:rPr>
          <w:rFonts w:hint="eastAsia" w:ascii="宋体" w:hAnsi="宋体" w:eastAsia="宋体" w:cs="宋体"/>
          <w:sz w:val="24"/>
          <w:szCs w:val="24"/>
          <w:lang w:val="zh-TW"/>
        </w:rPr>
        <w:t>4)</w:t>
      </w:r>
      <w:r>
        <w:rPr>
          <w:rFonts w:hint="eastAsia" w:ascii="宋体" w:hAnsi="宋体" w:eastAsia="宋体" w:cs="宋体"/>
          <w:sz w:val="24"/>
          <w:szCs w:val="24"/>
          <w:lang w:val="zh-TW" w:eastAsia="zh-TW"/>
        </w:rPr>
        <w:t>经过洗涤、消毒后的餐具感官检查标准为：光、洁、涩、干。</w:t>
      </w:r>
    </w:p>
    <w:p>
      <w:pPr>
        <w:pStyle w:val="381"/>
        <w:snapToGrid w:val="0"/>
        <w:spacing w:line="360" w:lineRule="auto"/>
        <w:ind w:firstLine="424" w:firstLineChars="177"/>
        <w:rPr>
          <w:rFonts w:hint="eastAsia" w:ascii="宋体" w:hAnsi="宋体" w:eastAsia="宋体" w:cs="宋体"/>
          <w:sz w:val="24"/>
          <w:szCs w:val="24"/>
          <w:lang w:val="zh-TW" w:eastAsia="zh-TW"/>
        </w:rPr>
      </w:pPr>
      <w:r>
        <w:rPr>
          <w:rFonts w:hint="eastAsia" w:ascii="宋体" w:hAnsi="宋体" w:eastAsia="宋体" w:cs="宋体"/>
          <w:sz w:val="24"/>
          <w:szCs w:val="24"/>
          <w:lang w:val="zh-TW"/>
        </w:rPr>
        <w:t>5)</w:t>
      </w:r>
      <w:r>
        <w:rPr>
          <w:rFonts w:hint="eastAsia" w:ascii="宋体" w:hAnsi="宋体" w:eastAsia="宋体" w:cs="宋体"/>
          <w:sz w:val="24"/>
          <w:szCs w:val="24"/>
          <w:lang w:val="zh-TW" w:eastAsia="zh-TW"/>
        </w:rPr>
        <w:t>经过洗涤、消毒后的餐具要专柜储存，摆放整齐，不得与其它物品混放。</w:t>
      </w:r>
    </w:p>
    <w:p>
      <w:pPr>
        <w:pStyle w:val="381"/>
        <w:snapToGrid w:val="0"/>
        <w:spacing w:line="360" w:lineRule="auto"/>
        <w:ind w:left="423" w:leftChars="201" w:hanging="1"/>
        <w:rPr>
          <w:rFonts w:hint="eastAsia" w:ascii="宋体" w:hAnsi="宋体" w:eastAsia="宋体" w:cs="宋体"/>
          <w:sz w:val="24"/>
          <w:szCs w:val="24"/>
          <w:lang w:val="zh-TW" w:eastAsia="zh-TW"/>
        </w:rPr>
      </w:pPr>
      <w:r>
        <w:rPr>
          <w:rFonts w:hint="eastAsia" w:ascii="宋体" w:hAnsi="宋体" w:eastAsia="宋体" w:cs="宋体"/>
          <w:sz w:val="24"/>
          <w:szCs w:val="24"/>
          <w:lang w:val="zh-TW"/>
        </w:rPr>
        <w:t>6)</w:t>
      </w:r>
      <w:r>
        <w:rPr>
          <w:rFonts w:hint="eastAsia" w:ascii="宋体" w:hAnsi="宋体" w:eastAsia="宋体" w:cs="宋体"/>
          <w:sz w:val="24"/>
          <w:szCs w:val="24"/>
          <w:lang w:val="zh-TW" w:eastAsia="zh-TW"/>
        </w:rPr>
        <w:t>做好最后的收尾工作：保持清洁池清洁干净，台面、地面清洁无污物、无积水。</w:t>
      </w:r>
    </w:p>
    <w:p>
      <w:pPr>
        <w:pStyle w:val="381"/>
        <w:snapToGrid w:val="0"/>
        <w:spacing w:line="360" w:lineRule="auto"/>
        <w:rPr>
          <w:rFonts w:hint="eastAsia" w:ascii="宋体" w:hAnsi="宋体" w:eastAsia="宋体" w:cs="宋体"/>
          <w:sz w:val="24"/>
          <w:szCs w:val="24"/>
          <w:u w:color="FF0000"/>
        </w:rPr>
      </w:pPr>
      <w:r>
        <w:rPr>
          <w:rFonts w:hint="eastAsia" w:ascii="宋体" w:hAnsi="宋体" w:eastAsia="宋体" w:cs="宋体"/>
          <w:sz w:val="24"/>
          <w:szCs w:val="24"/>
          <w:u w:color="FF0000"/>
          <w:shd w:val="clear" w:color="auto" w:fill="FFFFFF"/>
        </w:rPr>
        <w:t>（13）</w:t>
      </w:r>
      <w:r>
        <w:rPr>
          <w:rFonts w:hint="eastAsia" w:ascii="宋体" w:hAnsi="宋体" w:eastAsia="宋体" w:cs="宋体"/>
          <w:sz w:val="24"/>
          <w:szCs w:val="24"/>
          <w:u w:color="FF0000"/>
          <w:shd w:val="clear" w:color="auto" w:fill="FFFFFF"/>
          <w:lang w:val="zh-TW" w:eastAsia="zh-TW"/>
        </w:rPr>
        <w:t>餐饮经营单位操作间的集烟罩和烟道入口处</w:t>
      </w:r>
      <w:r>
        <w:rPr>
          <w:rFonts w:hint="eastAsia" w:ascii="宋体" w:hAnsi="宋体" w:eastAsia="宋体" w:cs="宋体"/>
          <w:sz w:val="24"/>
          <w:szCs w:val="24"/>
          <w:u w:color="FF0000"/>
          <w:shd w:val="clear" w:color="auto" w:fill="FFFFFF"/>
        </w:rPr>
        <w:t>1</w:t>
      </w:r>
      <w:r>
        <w:rPr>
          <w:rFonts w:hint="eastAsia" w:ascii="宋体" w:hAnsi="宋体" w:eastAsia="宋体" w:cs="宋体"/>
          <w:sz w:val="24"/>
          <w:szCs w:val="24"/>
          <w:u w:color="FF0000"/>
          <w:shd w:val="clear" w:color="auto" w:fill="FFFFFF"/>
          <w:lang w:val="zh-TW" w:eastAsia="zh-TW"/>
        </w:rPr>
        <w:t>米范围内，应当每日进行清洗。中餐操作间的排油烟管道应当每</w:t>
      </w:r>
      <w:r>
        <w:rPr>
          <w:rFonts w:hint="eastAsia" w:ascii="宋体" w:hAnsi="宋体" w:eastAsia="宋体" w:cs="宋体"/>
          <w:sz w:val="24"/>
          <w:szCs w:val="24"/>
          <w:u w:color="FF0000"/>
          <w:shd w:val="clear" w:color="auto" w:fill="FFFFFF"/>
        </w:rPr>
        <w:t>60</w:t>
      </w:r>
      <w:r>
        <w:rPr>
          <w:rFonts w:hint="eastAsia" w:ascii="宋体" w:hAnsi="宋体" w:eastAsia="宋体" w:cs="宋体"/>
          <w:sz w:val="24"/>
          <w:szCs w:val="24"/>
          <w:u w:color="FF0000"/>
          <w:shd w:val="clear" w:color="auto" w:fill="FFFFFF"/>
          <w:lang w:val="zh-TW" w:eastAsia="zh-TW"/>
        </w:rPr>
        <w:t>日至少清理</w:t>
      </w:r>
      <w:r>
        <w:rPr>
          <w:rFonts w:hint="eastAsia" w:ascii="宋体" w:hAnsi="宋体" w:eastAsia="宋体" w:cs="宋体"/>
          <w:sz w:val="24"/>
          <w:szCs w:val="24"/>
          <w:u w:color="FF0000"/>
          <w:shd w:val="clear" w:color="auto" w:fill="FFFFFF"/>
        </w:rPr>
        <w:t>1</w:t>
      </w:r>
      <w:r>
        <w:rPr>
          <w:rFonts w:hint="eastAsia" w:ascii="宋体" w:hAnsi="宋体" w:eastAsia="宋体" w:cs="宋体"/>
          <w:sz w:val="24"/>
          <w:szCs w:val="24"/>
          <w:u w:color="FF0000"/>
          <w:shd w:val="clear" w:color="auto" w:fill="FFFFFF"/>
          <w:lang w:val="zh-TW" w:eastAsia="zh-TW"/>
        </w:rPr>
        <w:t>次，清理应当做好记录。</w:t>
      </w:r>
    </w:p>
    <w:p>
      <w:pPr>
        <w:pStyle w:val="381"/>
        <w:numPr>
          <w:ilvl w:val="0"/>
          <w:numId w:val="11"/>
        </w:numPr>
        <w:snapToGrid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食堂工作</w:t>
      </w:r>
      <w:r>
        <w:rPr>
          <w:rFonts w:hint="eastAsia" w:ascii="宋体" w:hAnsi="宋体" w:eastAsia="宋体" w:cs="宋体"/>
          <w:b/>
          <w:bCs/>
          <w:sz w:val="24"/>
          <w:szCs w:val="24"/>
          <w:lang w:val="zh-TW" w:eastAsia="zh-TW"/>
        </w:rPr>
        <w:t>人员要求</w:t>
      </w:r>
    </w:p>
    <w:p>
      <w:pPr>
        <w:pStyle w:val="381"/>
        <w:snapToGrid w:val="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rPr>
        <w:t>（1）</w:t>
      </w:r>
      <w:r>
        <w:rPr>
          <w:rFonts w:hint="eastAsia" w:ascii="宋体" w:hAnsi="宋体" w:eastAsia="宋体" w:cs="宋体"/>
          <w:sz w:val="24"/>
          <w:szCs w:val="24"/>
          <w:lang w:val="zh-TW" w:eastAsia="zh-TW"/>
        </w:rPr>
        <w:t>必须持有效健康证明上岗，不得超期使用健康证明，建立从业人员卫生档案。</w:t>
      </w:r>
    </w:p>
    <w:p>
      <w:pPr>
        <w:pStyle w:val="381"/>
        <w:snapToGrid w:val="0"/>
        <w:spacing w:line="360" w:lineRule="auto"/>
        <w:rPr>
          <w:rStyle w:val="466"/>
          <w:rFonts w:hint="eastAsia" w:ascii="宋体" w:hAnsi="宋体" w:eastAsia="宋体" w:cs="宋体"/>
          <w:sz w:val="24"/>
          <w:szCs w:val="24"/>
          <w:lang w:val="zh-TW" w:eastAsia="zh-TW"/>
        </w:rPr>
      </w:pPr>
      <w:r>
        <w:rPr>
          <w:rFonts w:hint="eastAsia" w:ascii="宋体" w:hAnsi="宋体" w:eastAsia="宋体" w:cs="宋体"/>
          <w:sz w:val="24"/>
          <w:szCs w:val="24"/>
          <w:lang w:val="zh-TW"/>
        </w:rPr>
        <w:t>（2）</w:t>
      </w:r>
      <w:r>
        <w:rPr>
          <w:rFonts w:hint="eastAsia" w:ascii="宋体" w:hAnsi="宋体" w:eastAsia="宋体" w:cs="宋体"/>
          <w:sz w:val="24"/>
          <w:szCs w:val="24"/>
          <w:lang w:val="zh-TW" w:eastAsia="zh-TW"/>
        </w:rPr>
        <w:t>患有痢疾、伤寒、病毒性肝炎等</w:t>
      </w:r>
      <w:r>
        <w:rPr>
          <w:rFonts w:hint="eastAsia" w:ascii="宋体" w:hAnsi="宋体" w:eastAsia="宋体" w:cs="宋体"/>
        </w:rPr>
        <w:fldChar w:fldCharType="begin"/>
      </w:r>
      <w:r>
        <w:rPr>
          <w:rFonts w:hint="eastAsia" w:ascii="宋体" w:hAnsi="宋体" w:eastAsia="宋体" w:cs="宋体"/>
        </w:rPr>
        <w:instrText xml:space="preserve"> HYPERLINK "http://baike.baidu.com/view/1110634.htm" </w:instrText>
      </w:r>
      <w:r>
        <w:rPr>
          <w:rFonts w:hint="eastAsia" w:ascii="宋体" w:hAnsi="宋体" w:eastAsia="宋体" w:cs="宋体"/>
        </w:rPr>
        <w:fldChar w:fldCharType="separate"/>
      </w:r>
      <w:r>
        <w:rPr>
          <w:rStyle w:val="465"/>
          <w:rFonts w:hint="eastAsia" w:ascii="宋体" w:hAnsi="宋体" w:eastAsia="宋体" w:cs="宋体"/>
          <w:sz w:val="24"/>
          <w:szCs w:val="24"/>
        </w:rPr>
        <w:t>消化道传染病</w:t>
      </w:r>
      <w:r>
        <w:rPr>
          <w:rStyle w:val="465"/>
          <w:rFonts w:hint="eastAsia" w:ascii="宋体" w:hAnsi="宋体" w:eastAsia="宋体" w:cs="宋体"/>
          <w:sz w:val="24"/>
          <w:szCs w:val="24"/>
        </w:rPr>
        <w:fldChar w:fldCharType="end"/>
      </w:r>
      <w:r>
        <w:rPr>
          <w:rStyle w:val="466"/>
          <w:rFonts w:hint="eastAsia" w:ascii="宋体" w:hAnsi="宋体" w:eastAsia="宋体" w:cs="宋体"/>
          <w:sz w:val="24"/>
          <w:szCs w:val="24"/>
          <w:lang w:val="zh-TW" w:eastAsia="zh-TW"/>
        </w:rPr>
        <w:t>的人员，以及患有活动性肺结核、化脓性或者渗出性皮肤病等有碍食品安全的疾病的人员，不得从事接触直接入口食品的工作。</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（3）</w:t>
      </w:r>
      <w:r>
        <w:rPr>
          <w:rStyle w:val="466"/>
          <w:rFonts w:hint="eastAsia" w:ascii="宋体" w:hAnsi="宋体" w:eastAsia="宋体" w:cs="宋体"/>
          <w:sz w:val="24"/>
          <w:szCs w:val="24"/>
          <w:lang w:val="zh-TW" w:eastAsia="zh-TW"/>
        </w:rPr>
        <w:t>具有与职工食堂相适应的，且具有医院职工食堂相关工作经验的中级以上厨师队伍和富有经验的管理人员，能够满足采购人的需求。</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（4）</w:t>
      </w:r>
      <w:r>
        <w:rPr>
          <w:rStyle w:val="466"/>
          <w:rFonts w:hint="eastAsia" w:ascii="宋体" w:hAnsi="宋体" w:eastAsia="宋体" w:cs="宋体"/>
          <w:sz w:val="24"/>
          <w:szCs w:val="24"/>
          <w:lang w:val="zh-TW" w:eastAsia="zh-TW"/>
        </w:rPr>
        <w:t>服务人员要求五官端正，有一定的沟通能力及理解能力，会使用现代化办公设备，有较强的吃苦耐劳精神，工作要求踏实认真，且具有医院相关工作经验的人员。</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（5）</w:t>
      </w:r>
      <w:r>
        <w:rPr>
          <w:rStyle w:val="466"/>
          <w:rFonts w:hint="eastAsia" w:ascii="宋体" w:hAnsi="宋体" w:eastAsia="宋体" w:cs="宋体"/>
          <w:sz w:val="24"/>
          <w:szCs w:val="24"/>
          <w:lang w:val="zh-TW" w:eastAsia="zh-TW"/>
        </w:rPr>
        <w:t>所有服务人员需具备初中以上的文化水平。具有较强的服务意识。</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（6）</w:t>
      </w:r>
      <w:r>
        <w:rPr>
          <w:rStyle w:val="466"/>
          <w:rFonts w:hint="eastAsia" w:ascii="宋体" w:hAnsi="宋体" w:eastAsia="宋体" w:cs="宋体"/>
          <w:sz w:val="24"/>
          <w:szCs w:val="24"/>
          <w:lang w:val="zh-TW" w:eastAsia="zh-TW"/>
        </w:rPr>
        <w:t>岗位配备齐全，项目负责人</w:t>
      </w:r>
      <w:r>
        <w:rPr>
          <w:rStyle w:val="466"/>
          <w:rFonts w:hint="eastAsia" w:ascii="宋体" w:hAnsi="宋体" w:eastAsia="宋体" w:cs="宋体"/>
          <w:sz w:val="24"/>
          <w:szCs w:val="24"/>
        </w:rPr>
        <w:t>/</w:t>
      </w:r>
      <w:r>
        <w:rPr>
          <w:rStyle w:val="466"/>
          <w:rFonts w:hint="eastAsia" w:ascii="宋体" w:hAnsi="宋体" w:eastAsia="宋体" w:cs="宋体"/>
          <w:sz w:val="24"/>
          <w:szCs w:val="24"/>
          <w:lang w:val="zh-TW" w:eastAsia="zh-TW"/>
        </w:rPr>
        <w:t>食堂经理有较强的管理能力，具务丰富的工作经验，良好的沟通能力。</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（7）</w:t>
      </w:r>
      <w:r>
        <w:rPr>
          <w:rStyle w:val="466"/>
          <w:rFonts w:hint="eastAsia" w:ascii="宋体" w:hAnsi="宋体" w:eastAsia="宋体" w:cs="宋体"/>
          <w:sz w:val="24"/>
          <w:szCs w:val="24"/>
          <w:lang w:val="zh-TW" w:eastAsia="zh-TW"/>
        </w:rPr>
        <w:t>从业人员必须身体健康，品德良好，思想端正，责任心强。</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（8）</w:t>
      </w:r>
      <w:r>
        <w:rPr>
          <w:rStyle w:val="466"/>
          <w:rFonts w:hint="eastAsia" w:ascii="宋体" w:hAnsi="宋体" w:eastAsia="宋体" w:cs="宋体"/>
          <w:sz w:val="24"/>
          <w:szCs w:val="24"/>
          <w:lang w:val="zh-TW" w:eastAsia="zh-TW"/>
        </w:rPr>
        <w:t>从业人员有良好的个人卫生习惯，卫生不合格不得上岗。</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（9）</w:t>
      </w:r>
      <w:r>
        <w:rPr>
          <w:rStyle w:val="466"/>
          <w:rFonts w:hint="eastAsia" w:ascii="宋体" w:hAnsi="宋体" w:eastAsia="宋体" w:cs="宋体"/>
          <w:sz w:val="24"/>
          <w:szCs w:val="24"/>
          <w:lang w:val="zh-TW" w:eastAsia="zh-TW"/>
        </w:rPr>
        <w:t>各岗位人员应持证上岗，工作人员应为中标单位的在职人员并有人员登记备案记录。</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（10）</w:t>
      </w:r>
      <w:r>
        <w:rPr>
          <w:rStyle w:val="466"/>
          <w:rFonts w:hint="eastAsia" w:ascii="宋体" w:hAnsi="宋体" w:eastAsia="宋体" w:cs="宋体"/>
          <w:sz w:val="24"/>
          <w:szCs w:val="24"/>
          <w:lang w:val="zh-TW" w:eastAsia="zh-TW"/>
        </w:rPr>
        <w:t>统一着装，配戴工作卡，服装干净卫生。</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（11）</w:t>
      </w:r>
      <w:r>
        <w:rPr>
          <w:rStyle w:val="466"/>
          <w:rFonts w:hint="eastAsia" w:ascii="宋体" w:hAnsi="宋体" w:eastAsia="宋体" w:cs="宋体"/>
          <w:sz w:val="24"/>
          <w:szCs w:val="24"/>
          <w:lang w:val="zh-TW" w:eastAsia="zh-TW"/>
        </w:rPr>
        <w:t>认真制定培训计划，定期组织管理人员、从业人员参加食品安全知识、职业道德和法律、法规的培训以及操作技能培训。</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（12）</w:t>
      </w:r>
      <w:r>
        <w:rPr>
          <w:rStyle w:val="466"/>
          <w:rFonts w:hint="eastAsia" w:ascii="宋体" w:hAnsi="宋体" w:eastAsia="宋体" w:cs="宋体"/>
          <w:sz w:val="24"/>
          <w:szCs w:val="24"/>
          <w:lang w:val="zh-TW" w:eastAsia="zh-TW"/>
        </w:rPr>
        <w:t>厨师长及厨师：具有相应中式烹调师证书。</w:t>
      </w:r>
    </w:p>
    <w:p>
      <w:pPr>
        <w:pStyle w:val="381"/>
        <w:snapToGrid w:val="0"/>
        <w:spacing w:line="360" w:lineRule="auto"/>
        <w:rPr>
          <w:rStyle w:val="466"/>
          <w:rFonts w:hint="eastAsia" w:ascii="宋体" w:hAnsi="宋体" w:eastAsia="宋体" w:cs="宋体"/>
          <w:b/>
          <w:bCs/>
          <w:sz w:val="24"/>
          <w:szCs w:val="24"/>
        </w:rPr>
      </w:pPr>
      <w:r>
        <w:rPr>
          <w:rStyle w:val="466"/>
          <w:rFonts w:hint="eastAsia" w:ascii="宋体" w:hAnsi="宋体" w:eastAsia="宋体" w:cs="宋体"/>
          <w:b/>
          <w:bCs/>
          <w:sz w:val="24"/>
          <w:szCs w:val="24"/>
        </w:rPr>
        <w:t>3、</w:t>
      </w:r>
      <w:r>
        <w:rPr>
          <w:rStyle w:val="466"/>
          <w:rFonts w:hint="eastAsia" w:ascii="宋体" w:hAnsi="宋体" w:eastAsia="宋体" w:cs="宋体"/>
          <w:b/>
          <w:bCs/>
          <w:sz w:val="24"/>
          <w:szCs w:val="24"/>
          <w:lang w:val="zh-TW" w:eastAsia="zh-TW"/>
        </w:rPr>
        <w:t>设备设施要求</w:t>
      </w:r>
    </w:p>
    <w:p>
      <w:pPr>
        <w:pStyle w:val="381"/>
        <w:snapToGrid w:val="0"/>
        <w:spacing w:line="360" w:lineRule="auto"/>
        <w:rPr>
          <w:rStyle w:val="466"/>
          <w:rFonts w:hint="eastAsia" w:ascii="宋体" w:hAnsi="宋体" w:eastAsia="宋体" w:cs="宋体"/>
          <w:sz w:val="24"/>
          <w:szCs w:val="24"/>
        </w:rPr>
      </w:pPr>
      <w:r>
        <w:rPr>
          <w:rStyle w:val="466"/>
          <w:rFonts w:hint="eastAsia" w:ascii="宋体" w:hAnsi="宋体" w:eastAsia="宋体" w:cs="宋体"/>
          <w:sz w:val="24"/>
          <w:szCs w:val="24"/>
        </w:rPr>
        <w:t>（1</w:t>
      </w:r>
      <w:r>
        <w:rPr>
          <w:rStyle w:val="466"/>
          <w:rFonts w:hint="eastAsia" w:ascii="宋体" w:hAnsi="宋体" w:eastAsia="宋体" w:cs="宋体"/>
          <w:sz w:val="24"/>
          <w:szCs w:val="24"/>
          <w:lang w:val="zh-TW" w:eastAsia="zh-TW"/>
        </w:rPr>
        <w:t>）采购人负责提供现有厨房设备、餐饮工具。中标单位应对采购人提供的设备、工具合理使用，并负责维护、维修、保养和安全管理，其费用由</w:t>
      </w:r>
      <w:r>
        <w:rPr>
          <w:rStyle w:val="466"/>
          <w:rFonts w:hint="eastAsia" w:ascii="宋体" w:hAnsi="宋体" w:eastAsia="宋体" w:cs="宋体"/>
          <w:sz w:val="24"/>
          <w:szCs w:val="24"/>
          <w:lang w:val="zh-TW"/>
        </w:rPr>
        <w:t>中标人</w:t>
      </w:r>
      <w:r>
        <w:rPr>
          <w:rStyle w:val="466"/>
          <w:rFonts w:hint="eastAsia" w:ascii="宋体" w:hAnsi="宋体" w:eastAsia="宋体" w:cs="宋体"/>
          <w:sz w:val="24"/>
          <w:szCs w:val="24"/>
          <w:lang w:val="zh-TW" w:eastAsia="zh-TW"/>
        </w:rPr>
        <w:t>承担。对由于因中标单位使用不当造成的设备设施损坏，由中标单位</w:t>
      </w:r>
      <w:r>
        <w:rPr>
          <w:rStyle w:val="466"/>
          <w:rFonts w:hint="eastAsia" w:ascii="宋体" w:hAnsi="宋体" w:eastAsia="宋体" w:cs="宋体"/>
          <w:sz w:val="24"/>
          <w:szCs w:val="24"/>
          <w:lang w:val="zh-TW"/>
        </w:rPr>
        <w:t>承担维修或更换</w:t>
      </w:r>
      <w:r>
        <w:rPr>
          <w:rStyle w:val="466"/>
          <w:rFonts w:hint="eastAsia" w:ascii="宋体" w:hAnsi="宋体" w:eastAsia="宋体" w:cs="宋体"/>
          <w:sz w:val="24"/>
          <w:szCs w:val="24"/>
          <w:lang w:val="zh-TW" w:eastAsia="zh-TW"/>
        </w:rPr>
        <w:t>，且该费用不</w:t>
      </w:r>
      <w:r>
        <w:rPr>
          <w:rStyle w:val="466"/>
          <w:rFonts w:hint="eastAsia" w:ascii="宋体" w:hAnsi="宋体" w:eastAsia="宋体" w:cs="宋体"/>
          <w:sz w:val="24"/>
          <w:szCs w:val="24"/>
          <w:lang w:val="zh-TW"/>
        </w:rPr>
        <w:t>得</w:t>
      </w:r>
      <w:r>
        <w:rPr>
          <w:rStyle w:val="466"/>
          <w:rFonts w:hint="eastAsia" w:ascii="宋体" w:hAnsi="宋体" w:eastAsia="宋体" w:cs="宋体"/>
          <w:sz w:val="24"/>
          <w:szCs w:val="24"/>
          <w:lang w:val="zh-TW" w:eastAsia="zh-TW"/>
        </w:rPr>
        <w:t>列入经营成本。</w:t>
      </w:r>
    </w:p>
    <w:p>
      <w:pPr>
        <w:pStyle w:val="381"/>
        <w:snapToGrid w:val="0"/>
        <w:spacing w:line="360" w:lineRule="auto"/>
        <w:rPr>
          <w:rStyle w:val="466"/>
          <w:rFonts w:hint="eastAsia" w:ascii="宋体" w:hAnsi="宋体" w:eastAsia="宋体" w:cs="宋体"/>
          <w:sz w:val="24"/>
          <w:szCs w:val="24"/>
        </w:rPr>
      </w:pPr>
      <w:r>
        <w:rPr>
          <w:rStyle w:val="466"/>
          <w:rFonts w:hint="eastAsia" w:ascii="宋体" w:hAnsi="宋体" w:eastAsia="宋体" w:cs="宋体"/>
          <w:sz w:val="24"/>
          <w:szCs w:val="24"/>
        </w:rPr>
        <w:t>（2</w:t>
      </w:r>
      <w:r>
        <w:rPr>
          <w:rStyle w:val="466"/>
          <w:rFonts w:hint="eastAsia" w:ascii="宋体" w:hAnsi="宋体" w:eastAsia="宋体" w:cs="宋体"/>
          <w:sz w:val="24"/>
          <w:szCs w:val="24"/>
          <w:lang w:val="zh-TW" w:eastAsia="zh-TW"/>
        </w:rPr>
        <w:t>）中标单位根据需要提供其他厨房设备、工具，采购人不再承担费用。</w:t>
      </w:r>
    </w:p>
    <w:p>
      <w:pPr>
        <w:pStyle w:val="381"/>
        <w:snapToGrid w:val="0"/>
        <w:spacing w:line="360" w:lineRule="auto"/>
        <w:rPr>
          <w:rStyle w:val="466"/>
          <w:rFonts w:hint="eastAsia" w:ascii="宋体" w:hAnsi="宋体" w:eastAsia="宋体" w:cs="宋体"/>
          <w:sz w:val="24"/>
          <w:szCs w:val="24"/>
        </w:rPr>
      </w:pPr>
      <w:r>
        <w:rPr>
          <w:rStyle w:val="466"/>
          <w:rFonts w:hint="eastAsia" w:ascii="宋体" w:hAnsi="宋体" w:eastAsia="宋体" w:cs="宋体"/>
          <w:sz w:val="24"/>
          <w:szCs w:val="24"/>
        </w:rPr>
        <w:t>（3</w:t>
      </w:r>
      <w:r>
        <w:rPr>
          <w:rStyle w:val="466"/>
          <w:rFonts w:hint="eastAsia" w:ascii="宋体" w:hAnsi="宋体" w:eastAsia="宋体" w:cs="宋体"/>
          <w:sz w:val="24"/>
          <w:szCs w:val="24"/>
          <w:lang w:val="zh-TW" w:eastAsia="zh-TW"/>
        </w:rPr>
        <w:t>）食品用具、容器、包装材料应当安全、无害，保持清洁，防止食品污染，并符合保证食品安全所需的温度等特殊要求。</w:t>
      </w:r>
    </w:p>
    <w:p>
      <w:pPr>
        <w:pStyle w:val="381"/>
        <w:snapToGrid w:val="0"/>
        <w:spacing w:line="360" w:lineRule="auto"/>
        <w:rPr>
          <w:rStyle w:val="466"/>
          <w:rFonts w:hint="eastAsia" w:ascii="宋体" w:hAnsi="宋体" w:eastAsia="宋体" w:cs="宋体"/>
          <w:sz w:val="24"/>
          <w:szCs w:val="24"/>
        </w:rPr>
      </w:pPr>
      <w:r>
        <w:rPr>
          <w:rStyle w:val="466"/>
          <w:rFonts w:hint="eastAsia" w:ascii="宋体" w:hAnsi="宋体" w:eastAsia="宋体" w:cs="宋体"/>
          <w:sz w:val="24"/>
          <w:szCs w:val="24"/>
          <w:lang w:val="zh-TW"/>
        </w:rPr>
        <w:t>（4）</w:t>
      </w:r>
      <w:r>
        <w:rPr>
          <w:rStyle w:val="466"/>
          <w:rFonts w:hint="eastAsia" w:ascii="宋体" w:hAnsi="宋体" w:eastAsia="宋体" w:cs="宋体"/>
          <w:sz w:val="24"/>
          <w:szCs w:val="24"/>
          <w:lang w:val="zh-TW" w:eastAsia="zh-TW"/>
        </w:rPr>
        <w:t>食品用具要定期清洗、消毒。</w:t>
      </w:r>
    </w:p>
    <w:p>
      <w:pPr>
        <w:pStyle w:val="381"/>
        <w:snapToGrid w:val="0"/>
        <w:spacing w:line="360" w:lineRule="auto"/>
        <w:rPr>
          <w:rStyle w:val="466"/>
          <w:rFonts w:hint="eastAsia" w:ascii="宋体" w:hAnsi="宋体" w:eastAsia="宋体" w:cs="宋体"/>
          <w:sz w:val="24"/>
          <w:szCs w:val="24"/>
        </w:rPr>
      </w:pPr>
      <w:r>
        <w:rPr>
          <w:rStyle w:val="466"/>
          <w:rFonts w:hint="eastAsia" w:ascii="宋体" w:hAnsi="宋体" w:eastAsia="宋体" w:cs="宋体"/>
          <w:sz w:val="24"/>
          <w:szCs w:val="24"/>
          <w:lang w:val="zh-TW"/>
        </w:rPr>
        <w:t>（5）</w:t>
      </w:r>
      <w:r>
        <w:rPr>
          <w:rStyle w:val="466"/>
          <w:rFonts w:hint="eastAsia" w:ascii="宋体" w:hAnsi="宋体" w:eastAsia="宋体" w:cs="宋体"/>
          <w:sz w:val="24"/>
          <w:szCs w:val="24"/>
          <w:lang w:val="zh-TW" w:eastAsia="zh-TW"/>
        </w:rPr>
        <w:t>食品用具要有专人保管、不混用、不乱用。</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rPr>
        <w:t>（6）</w:t>
      </w:r>
      <w:r>
        <w:rPr>
          <w:rStyle w:val="466"/>
          <w:rFonts w:hint="eastAsia" w:ascii="宋体" w:hAnsi="宋体" w:eastAsia="宋体" w:cs="宋体"/>
          <w:sz w:val="24"/>
          <w:szCs w:val="24"/>
          <w:lang w:val="zh-TW" w:eastAsia="zh-TW"/>
        </w:rPr>
        <w:t>食品冷藏、冷冻工具应定期保洁、洗刷、消毒，专人负责、专人管理。</w:t>
      </w:r>
    </w:p>
    <w:p>
      <w:pPr>
        <w:pStyle w:val="381"/>
        <w:snapToGrid w:val="0"/>
        <w:spacing w:line="360" w:lineRule="auto"/>
        <w:rPr>
          <w:rStyle w:val="466"/>
          <w:rFonts w:hint="eastAsia" w:ascii="宋体" w:hAnsi="宋体" w:eastAsia="宋体" w:cs="宋体"/>
          <w:b/>
          <w:bCs/>
          <w:sz w:val="24"/>
          <w:szCs w:val="24"/>
        </w:rPr>
      </w:pPr>
      <w:r>
        <w:rPr>
          <w:rStyle w:val="466"/>
          <w:rFonts w:hint="eastAsia" w:ascii="宋体" w:hAnsi="宋体" w:eastAsia="宋体" w:cs="宋体"/>
          <w:b/>
          <w:bCs/>
          <w:sz w:val="24"/>
          <w:szCs w:val="24"/>
        </w:rPr>
        <w:t>4、</w:t>
      </w:r>
      <w:r>
        <w:rPr>
          <w:rStyle w:val="466"/>
          <w:rFonts w:hint="eastAsia" w:ascii="宋体" w:hAnsi="宋体" w:eastAsia="宋体" w:cs="宋体"/>
          <w:b/>
          <w:bCs/>
          <w:sz w:val="24"/>
          <w:szCs w:val="24"/>
          <w:lang w:val="zh-TW" w:eastAsia="zh-TW"/>
        </w:rPr>
        <w:t>食堂管理要求</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（1）</w:t>
      </w:r>
      <w:r>
        <w:rPr>
          <w:rStyle w:val="466"/>
          <w:rFonts w:hint="eastAsia" w:ascii="宋体" w:hAnsi="宋体" w:eastAsia="宋体" w:cs="宋体"/>
          <w:sz w:val="24"/>
          <w:szCs w:val="24"/>
          <w:lang w:val="zh-TW" w:eastAsia="zh-TW"/>
        </w:rPr>
        <w:t>建立项目运营管理方案，方案应满足采购人的各项服务需求和要求。</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（2）</w:t>
      </w:r>
      <w:r>
        <w:rPr>
          <w:rStyle w:val="466"/>
          <w:rFonts w:hint="eastAsia" w:ascii="宋体" w:hAnsi="宋体" w:eastAsia="宋体" w:cs="宋体"/>
          <w:sz w:val="24"/>
          <w:szCs w:val="24"/>
          <w:lang w:val="zh-TW" w:eastAsia="zh-TW"/>
        </w:rPr>
        <w:t>制定收支管理方案</w:t>
      </w:r>
      <w:r>
        <w:rPr>
          <w:rStyle w:val="466"/>
          <w:rFonts w:hint="eastAsia" w:ascii="宋体" w:hAnsi="宋体" w:eastAsia="宋体" w:cs="宋体"/>
          <w:sz w:val="24"/>
          <w:szCs w:val="24"/>
        </w:rPr>
        <w:t>(</w:t>
      </w:r>
      <w:r>
        <w:rPr>
          <w:rStyle w:val="466"/>
          <w:rFonts w:hint="eastAsia" w:ascii="宋体" w:hAnsi="宋体" w:eastAsia="宋体" w:cs="宋体"/>
          <w:sz w:val="24"/>
          <w:szCs w:val="24"/>
          <w:lang w:val="zh-TW" w:eastAsia="zh-TW"/>
        </w:rPr>
        <w:t>经采购人确认后实施），建立食堂组织机构、健全岗位责任制度、安全卫生管理制度、安全检查制度、食堂管理制度、奖惩制度、考核制度、用户满意度调查制度、食品中毒预案、安全应急预案、考勤等，采购人亦可依中标人建立的制度对中标人进行考核，若不满足要求，采购人可对其进行相应的处罚。</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（3）</w:t>
      </w:r>
      <w:r>
        <w:rPr>
          <w:rStyle w:val="466"/>
          <w:rFonts w:hint="eastAsia" w:ascii="宋体" w:hAnsi="宋体" w:eastAsia="宋体" w:cs="宋体"/>
          <w:sz w:val="24"/>
          <w:szCs w:val="24"/>
          <w:lang w:val="zh-TW" w:eastAsia="zh-TW"/>
        </w:rPr>
        <w:t>制定采购方案及采购计划，根据实际情况优化采购方案及采购计划。</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（4）</w:t>
      </w:r>
      <w:r>
        <w:rPr>
          <w:rStyle w:val="466"/>
          <w:rFonts w:hint="eastAsia" w:ascii="宋体" w:hAnsi="宋体" w:eastAsia="宋体" w:cs="宋体"/>
          <w:sz w:val="24"/>
          <w:szCs w:val="24"/>
          <w:lang w:val="zh-TW" w:eastAsia="zh-TW"/>
        </w:rPr>
        <w:t>避免浪费中标单位应制定相应的节约、节能、节材方案。</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（5）</w:t>
      </w:r>
      <w:r>
        <w:rPr>
          <w:rStyle w:val="466"/>
          <w:rFonts w:hint="eastAsia" w:ascii="宋体" w:hAnsi="宋体" w:eastAsia="宋体" w:cs="宋体"/>
          <w:sz w:val="24"/>
          <w:szCs w:val="24"/>
          <w:lang w:val="zh-TW" w:eastAsia="zh-TW"/>
        </w:rPr>
        <w:t>制定垃圾处理、环境保护方案，符合北京市相关环境卫生标准要求及污水排放要求。</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（6）</w:t>
      </w:r>
      <w:r>
        <w:rPr>
          <w:rStyle w:val="466"/>
          <w:rFonts w:hint="eastAsia" w:ascii="宋体" w:hAnsi="宋体" w:eastAsia="宋体" w:cs="宋体"/>
          <w:sz w:val="24"/>
          <w:szCs w:val="24"/>
          <w:lang w:val="zh-TW" w:eastAsia="zh-TW"/>
        </w:rPr>
        <w:t>制定定期或不定期卫生检查计划，将全面检查与抽查、问查相结合，主要检查各项制度的贯彻落实情况。</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（7）</w:t>
      </w:r>
      <w:r>
        <w:rPr>
          <w:rStyle w:val="466"/>
          <w:rFonts w:hint="eastAsia" w:ascii="宋体" w:hAnsi="宋体" w:eastAsia="宋体" w:cs="宋体"/>
          <w:sz w:val="24"/>
          <w:szCs w:val="24"/>
          <w:lang w:val="zh-TW" w:eastAsia="zh-TW"/>
        </w:rPr>
        <w:t>售饭价格严格执行全成本核算，价格报采购人同意后方可明码标价出售。</w:t>
      </w:r>
    </w:p>
    <w:p>
      <w:pPr>
        <w:pStyle w:val="381"/>
        <w:snapToGrid w:val="0"/>
        <w:spacing w:line="360" w:lineRule="auto"/>
        <w:rPr>
          <w:rStyle w:val="466"/>
          <w:rFonts w:hint="eastAsia" w:ascii="宋体" w:hAnsi="宋体" w:eastAsia="宋体" w:cs="宋体"/>
          <w:b/>
          <w:bCs/>
          <w:sz w:val="24"/>
          <w:szCs w:val="24"/>
        </w:rPr>
      </w:pPr>
      <w:r>
        <w:rPr>
          <w:rStyle w:val="466"/>
          <w:rFonts w:hint="eastAsia" w:ascii="宋体" w:hAnsi="宋体" w:eastAsia="宋体" w:cs="宋体"/>
          <w:b/>
          <w:bCs/>
          <w:sz w:val="24"/>
          <w:szCs w:val="24"/>
        </w:rPr>
        <w:t>5、</w:t>
      </w:r>
      <w:r>
        <w:rPr>
          <w:rStyle w:val="466"/>
          <w:rFonts w:hint="eastAsia" w:ascii="宋体" w:hAnsi="宋体" w:eastAsia="宋体" w:cs="宋体"/>
          <w:b/>
          <w:bCs/>
          <w:sz w:val="24"/>
          <w:szCs w:val="24"/>
          <w:lang w:val="zh-TW" w:eastAsia="zh-TW"/>
        </w:rPr>
        <w:t>食堂工作标准要求</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rPr>
        <w:t>（1）</w:t>
      </w:r>
      <w:r>
        <w:rPr>
          <w:rStyle w:val="466"/>
          <w:rFonts w:hint="eastAsia" w:ascii="宋体" w:hAnsi="宋体" w:eastAsia="宋体" w:cs="宋体"/>
          <w:sz w:val="24"/>
          <w:szCs w:val="24"/>
          <w:lang w:val="zh-TW" w:eastAsia="zh-TW"/>
        </w:rPr>
        <w:t>放置调料的案台无油滴、酱油滴等液体调味品或精盐、味精、白糖等固体调味品以及汤汁、菜片等；料缸内的液体调味品表面无飘浮其他液体或固体调味品等；料缸内的固体调味品表面，无沾染或落有液体或其他固体调味品等。</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（2）</w:t>
      </w:r>
      <w:r>
        <w:rPr>
          <w:rStyle w:val="466"/>
          <w:rFonts w:hint="eastAsia" w:ascii="宋体" w:hAnsi="宋体" w:eastAsia="宋体" w:cs="宋体"/>
          <w:sz w:val="24"/>
          <w:szCs w:val="24"/>
          <w:lang w:val="zh-TW" w:eastAsia="zh-TW"/>
        </w:rPr>
        <w:t>灶台、灶前墙壁及其周边无油滴、酱油滴等液体调味品和汤汁等痕迹及菜片、油水等。</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（3）</w:t>
      </w:r>
      <w:r>
        <w:rPr>
          <w:rStyle w:val="466"/>
          <w:rFonts w:hint="eastAsia" w:ascii="宋体" w:hAnsi="宋体" w:eastAsia="宋体" w:cs="宋体"/>
          <w:sz w:val="24"/>
          <w:szCs w:val="24"/>
          <w:lang w:val="zh-TW" w:eastAsia="zh-TW"/>
        </w:rPr>
        <w:t>工作人员应穿戴整洁的工作衣帽，保持个人卫生，统一着装</w:t>
      </w:r>
      <w:r>
        <w:rPr>
          <w:rStyle w:val="466"/>
          <w:rFonts w:hint="eastAsia" w:ascii="宋体" w:hAnsi="宋体" w:eastAsia="宋体" w:cs="宋体"/>
          <w:sz w:val="24"/>
          <w:szCs w:val="24"/>
        </w:rPr>
        <w:t>(</w:t>
      </w:r>
      <w:r>
        <w:rPr>
          <w:rStyle w:val="466"/>
          <w:rFonts w:hint="eastAsia" w:ascii="宋体" w:hAnsi="宋体" w:eastAsia="宋体" w:cs="宋体"/>
          <w:sz w:val="24"/>
          <w:szCs w:val="24"/>
          <w:lang w:val="zh-TW" w:eastAsia="zh-TW"/>
        </w:rPr>
        <w:t>工作帽、工作衣、工作裤、工作鞋），着装干净、卫生无污渍、不湿不油。在工作期间必须戴口罩。</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（4）</w:t>
      </w:r>
      <w:r>
        <w:rPr>
          <w:rStyle w:val="466"/>
          <w:rFonts w:hint="eastAsia" w:ascii="宋体" w:hAnsi="宋体" w:eastAsia="宋体" w:cs="宋体"/>
          <w:sz w:val="24"/>
          <w:szCs w:val="24"/>
          <w:lang w:val="zh-TW" w:eastAsia="zh-TW"/>
        </w:rPr>
        <w:t>双手指甲长度不超出指肚</w:t>
      </w:r>
      <w:r>
        <w:rPr>
          <w:rStyle w:val="466"/>
          <w:rFonts w:hint="eastAsia" w:ascii="宋体" w:hAnsi="宋体" w:eastAsia="宋体" w:cs="宋体"/>
          <w:sz w:val="24"/>
          <w:szCs w:val="24"/>
        </w:rPr>
        <w:t>1.5mm</w:t>
      </w:r>
      <w:r>
        <w:rPr>
          <w:rStyle w:val="466"/>
          <w:rFonts w:hint="eastAsia" w:ascii="宋体" w:hAnsi="宋体" w:eastAsia="宋体" w:cs="宋体"/>
          <w:sz w:val="24"/>
          <w:szCs w:val="24"/>
          <w:lang w:val="zh-TW" w:eastAsia="zh-TW"/>
        </w:rPr>
        <w:t>；头发须全部包在工作帽内。</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（5）</w:t>
      </w:r>
      <w:r>
        <w:rPr>
          <w:rStyle w:val="466"/>
          <w:rFonts w:hint="eastAsia" w:ascii="宋体" w:hAnsi="宋体" w:eastAsia="宋体" w:cs="宋体"/>
          <w:sz w:val="24"/>
          <w:szCs w:val="24"/>
          <w:lang w:val="zh-TW" w:eastAsia="zh-TW"/>
        </w:rPr>
        <w:t>灶台抹布干净卫生，做消毒处理，分类使用，不用时洗涤干净叠放整齐。</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（6）</w:t>
      </w:r>
      <w:r>
        <w:rPr>
          <w:rStyle w:val="466"/>
          <w:rFonts w:hint="eastAsia" w:ascii="宋体" w:hAnsi="宋体" w:eastAsia="宋体" w:cs="宋体"/>
          <w:sz w:val="24"/>
          <w:szCs w:val="24"/>
          <w:lang w:val="zh-TW" w:eastAsia="zh-TW"/>
        </w:rPr>
        <w:t>餐具摆放整齐，干净卫生。</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（7）</w:t>
      </w:r>
      <w:r>
        <w:rPr>
          <w:rStyle w:val="466"/>
          <w:rFonts w:hint="eastAsia" w:ascii="宋体" w:hAnsi="宋体" w:eastAsia="宋体" w:cs="宋体"/>
          <w:sz w:val="24"/>
          <w:szCs w:val="24"/>
          <w:lang w:val="zh-TW" w:eastAsia="zh-TW"/>
        </w:rPr>
        <w:t>各项卫生符合餐饮卫生标准。</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（8）</w:t>
      </w:r>
      <w:r>
        <w:rPr>
          <w:rStyle w:val="466"/>
          <w:rFonts w:hint="eastAsia" w:ascii="宋体" w:hAnsi="宋体" w:eastAsia="宋体" w:cs="宋体"/>
          <w:sz w:val="24"/>
          <w:szCs w:val="24"/>
          <w:lang w:val="zh-TW" w:eastAsia="zh-TW"/>
        </w:rPr>
        <w:t>在各个工作环节包括采购、运输、加工制做、配餐、送餐都应保障食品安全、卫生，在管理中注重各个细节。</w:t>
      </w:r>
    </w:p>
    <w:p>
      <w:pPr>
        <w:pStyle w:val="381"/>
        <w:snapToGrid w:val="0"/>
        <w:spacing w:line="360" w:lineRule="auto"/>
        <w:rPr>
          <w:rStyle w:val="466"/>
          <w:rFonts w:hint="eastAsia" w:ascii="宋体" w:hAnsi="宋体" w:eastAsia="宋体" w:cs="宋体"/>
          <w:sz w:val="24"/>
          <w:szCs w:val="24"/>
        </w:rPr>
      </w:pPr>
      <w:r>
        <w:rPr>
          <w:rStyle w:val="466"/>
          <w:rFonts w:hint="eastAsia" w:ascii="宋体" w:hAnsi="宋体" w:eastAsia="宋体" w:cs="宋体"/>
          <w:sz w:val="24"/>
          <w:szCs w:val="24"/>
        </w:rPr>
        <w:t>（9）开餐时间内，餐厅负责人必须在就餐区域内。</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w:t>
      </w:r>
      <w:r>
        <w:rPr>
          <w:rStyle w:val="466"/>
          <w:rFonts w:hint="eastAsia" w:ascii="宋体" w:hAnsi="宋体" w:eastAsia="宋体" w:cs="宋体"/>
          <w:sz w:val="24"/>
          <w:szCs w:val="24"/>
        </w:rPr>
        <w:t>10</w:t>
      </w:r>
      <w:r>
        <w:rPr>
          <w:rStyle w:val="466"/>
          <w:rFonts w:hint="eastAsia" w:ascii="宋体" w:hAnsi="宋体" w:eastAsia="宋体" w:cs="宋体"/>
          <w:sz w:val="24"/>
          <w:szCs w:val="24"/>
          <w:lang w:val="zh-TW"/>
        </w:rPr>
        <w:t>）</w:t>
      </w:r>
      <w:r>
        <w:rPr>
          <w:rStyle w:val="466"/>
          <w:rFonts w:hint="eastAsia" w:ascii="宋体" w:hAnsi="宋体" w:eastAsia="宋体" w:cs="宋体"/>
          <w:sz w:val="24"/>
          <w:szCs w:val="24"/>
          <w:lang w:val="zh-TW" w:eastAsia="zh-TW"/>
        </w:rPr>
        <w:t>对所有餐具使用前进行消毒处理。</w:t>
      </w:r>
    </w:p>
    <w:p>
      <w:pPr>
        <w:pStyle w:val="381"/>
        <w:snapToGrid w:val="0"/>
        <w:spacing w:line="360" w:lineRule="auto"/>
        <w:rPr>
          <w:rStyle w:val="466"/>
          <w:rFonts w:hint="eastAsia" w:ascii="宋体" w:hAnsi="宋体" w:eastAsia="宋体" w:cs="宋体"/>
          <w:sz w:val="24"/>
          <w:szCs w:val="24"/>
          <w:lang w:val="zh-TW"/>
        </w:rPr>
      </w:pPr>
      <w:r>
        <w:rPr>
          <w:rStyle w:val="466"/>
          <w:rFonts w:hint="eastAsia" w:ascii="宋体" w:hAnsi="宋体" w:eastAsia="宋体" w:cs="宋体"/>
          <w:sz w:val="24"/>
          <w:szCs w:val="24"/>
          <w:lang w:val="zh-TW"/>
        </w:rPr>
        <w:t>（</w:t>
      </w:r>
      <w:r>
        <w:rPr>
          <w:rStyle w:val="466"/>
          <w:rFonts w:hint="eastAsia" w:ascii="宋体" w:hAnsi="宋体" w:eastAsia="宋体" w:cs="宋体"/>
          <w:sz w:val="24"/>
          <w:szCs w:val="24"/>
        </w:rPr>
        <w:t>11</w:t>
      </w:r>
      <w:r>
        <w:rPr>
          <w:rStyle w:val="466"/>
          <w:rFonts w:hint="eastAsia" w:ascii="宋体" w:hAnsi="宋体" w:eastAsia="宋体" w:cs="宋体"/>
          <w:sz w:val="24"/>
          <w:szCs w:val="24"/>
          <w:lang w:val="zh-TW"/>
        </w:rPr>
        <w:t>）</w:t>
      </w:r>
      <w:r>
        <w:rPr>
          <w:rStyle w:val="466"/>
          <w:rFonts w:hint="eastAsia" w:ascii="宋体" w:hAnsi="宋体" w:eastAsia="宋体" w:cs="宋体"/>
          <w:sz w:val="24"/>
          <w:szCs w:val="24"/>
          <w:lang w:val="zh-TW" w:eastAsia="zh-TW"/>
        </w:rPr>
        <w:t>对职工提出的要求和意见，及时上报，并做记录。</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w:t>
      </w:r>
      <w:r>
        <w:rPr>
          <w:rStyle w:val="466"/>
          <w:rFonts w:hint="eastAsia" w:ascii="宋体" w:hAnsi="宋体" w:eastAsia="宋体" w:cs="宋体"/>
          <w:sz w:val="24"/>
          <w:szCs w:val="24"/>
        </w:rPr>
        <w:t>12</w:t>
      </w:r>
      <w:r>
        <w:rPr>
          <w:rStyle w:val="466"/>
          <w:rFonts w:hint="eastAsia" w:ascii="宋体" w:hAnsi="宋体" w:eastAsia="宋体" w:cs="宋体"/>
          <w:sz w:val="24"/>
          <w:szCs w:val="24"/>
          <w:lang w:val="zh-TW"/>
        </w:rPr>
        <w:t xml:space="preserve">） </w:t>
      </w:r>
      <w:r>
        <w:rPr>
          <w:rStyle w:val="466"/>
          <w:rFonts w:hint="eastAsia" w:ascii="宋体" w:hAnsi="宋体" w:eastAsia="宋体" w:cs="宋体"/>
          <w:sz w:val="24"/>
          <w:szCs w:val="24"/>
          <w:lang w:val="zh-TW" w:eastAsia="zh-TW"/>
        </w:rPr>
        <w:t>用餐人员遗留的物品，应收后妥善保管并报告，归还失物。</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w:t>
      </w:r>
      <w:r>
        <w:rPr>
          <w:rStyle w:val="466"/>
          <w:rFonts w:hint="eastAsia" w:ascii="宋体" w:hAnsi="宋体" w:eastAsia="宋体" w:cs="宋体"/>
          <w:sz w:val="24"/>
          <w:szCs w:val="24"/>
        </w:rPr>
        <w:t>13</w:t>
      </w:r>
      <w:r>
        <w:rPr>
          <w:rStyle w:val="466"/>
          <w:rFonts w:hint="eastAsia" w:ascii="宋体" w:hAnsi="宋体" w:eastAsia="宋体" w:cs="宋体"/>
          <w:sz w:val="24"/>
          <w:szCs w:val="24"/>
          <w:lang w:val="zh-TW"/>
        </w:rPr>
        <w:t xml:space="preserve">） </w:t>
      </w:r>
      <w:r>
        <w:rPr>
          <w:rStyle w:val="466"/>
          <w:rFonts w:hint="eastAsia" w:ascii="宋体" w:hAnsi="宋体" w:eastAsia="宋体" w:cs="宋体"/>
          <w:sz w:val="24"/>
          <w:szCs w:val="24"/>
          <w:lang w:val="zh-TW" w:eastAsia="zh-TW"/>
        </w:rPr>
        <w:t>清真类餐饮的制作，须符合国家相关标准及规定。</w:t>
      </w:r>
    </w:p>
    <w:p>
      <w:pPr>
        <w:pStyle w:val="381"/>
        <w:snapToGrid w:val="0"/>
        <w:spacing w:line="360" w:lineRule="auto"/>
        <w:rPr>
          <w:rStyle w:val="466"/>
          <w:rFonts w:hint="eastAsia" w:ascii="宋体" w:hAnsi="宋体" w:eastAsia="宋体" w:cs="宋体"/>
          <w:sz w:val="24"/>
          <w:szCs w:val="24"/>
          <w:lang w:val="zh-TW"/>
        </w:rPr>
      </w:pPr>
      <w:r>
        <w:rPr>
          <w:rStyle w:val="466"/>
          <w:rFonts w:hint="eastAsia" w:ascii="宋体" w:hAnsi="宋体" w:eastAsia="宋体" w:cs="宋体"/>
          <w:sz w:val="24"/>
          <w:szCs w:val="24"/>
          <w:lang w:val="zh-TW"/>
        </w:rPr>
        <w:t>（</w:t>
      </w:r>
      <w:r>
        <w:rPr>
          <w:rStyle w:val="466"/>
          <w:rFonts w:hint="eastAsia" w:ascii="宋体" w:hAnsi="宋体" w:eastAsia="宋体" w:cs="宋体"/>
          <w:sz w:val="24"/>
          <w:szCs w:val="24"/>
        </w:rPr>
        <w:t>14</w:t>
      </w:r>
      <w:r>
        <w:rPr>
          <w:rStyle w:val="466"/>
          <w:rFonts w:hint="eastAsia" w:ascii="宋体" w:hAnsi="宋体" w:eastAsia="宋体" w:cs="宋体"/>
          <w:sz w:val="24"/>
          <w:szCs w:val="24"/>
          <w:lang w:val="zh-TW"/>
        </w:rPr>
        <w:t>）</w:t>
      </w:r>
      <w:r>
        <w:rPr>
          <w:rStyle w:val="466"/>
          <w:rFonts w:hint="eastAsia" w:ascii="宋体" w:hAnsi="宋体" w:eastAsia="宋体" w:cs="宋体"/>
          <w:sz w:val="24"/>
          <w:szCs w:val="24"/>
          <w:lang w:val="zh-TW" w:eastAsia="zh-TW"/>
        </w:rPr>
        <w:t>不得在操作间内洗衣服，不允许在配餐间及食堂内洗与餐饮无关的任何物品。</w:t>
      </w:r>
      <w:r>
        <w:rPr>
          <w:rStyle w:val="466"/>
          <w:rFonts w:hint="eastAsia" w:ascii="宋体" w:hAnsi="宋体" w:eastAsia="宋体" w:cs="宋体"/>
          <w:sz w:val="24"/>
          <w:szCs w:val="24"/>
          <w:lang w:val="zh-TW"/>
        </w:rPr>
        <w:t>不得在餐厅区域内留宿（除值班人员）。</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w:t>
      </w:r>
      <w:r>
        <w:rPr>
          <w:rStyle w:val="466"/>
          <w:rFonts w:hint="eastAsia" w:ascii="宋体" w:hAnsi="宋体" w:eastAsia="宋体" w:cs="宋体"/>
          <w:sz w:val="24"/>
          <w:szCs w:val="24"/>
        </w:rPr>
        <w:t>15</w:t>
      </w:r>
      <w:r>
        <w:rPr>
          <w:rStyle w:val="466"/>
          <w:rFonts w:hint="eastAsia" w:ascii="宋体" w:hAnsi="宋体" w:eastAsia="宋体" w:cs="宋体"/>
          <w:sz w:val="24"/>
          <w:szCs w:val="24"/>
          <w:lang w:val="zh-TW"/>
        </w:rPr>
        <w:t>）</w:t>
      </w:r>
      <w:r>
        <w:rPr>
          <w:rStyle w:val="466"/>
          <w:rFonts w:hint="eastAsia" w:ascii="宋体" w:hAnsi="宋体" w:eastAsia="宋体" w:cs="宋体"/>
          <w:sz w:val="24"/>
          <w:szCs w:val="24"/>
          <w:lang w:val="zh-TW" w:eastAsia="zh-TW"/>
        </w:rPr>
        <w:t>食品销售工作人员必须穿戴整洁的工作衣帽，洗手消毒后上岗，销售过程中禁止挠头、咳嗽。</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w:t>
      </w:r>
      <w:r>
        <w:rPr>
          <w:rStyle w:val="466"/>
          <w:rFonts w:hint="eastAsia" w:ascii="宋体" w:hAnsi="宋体" w:eastAsia="宋体" w:cs="宋体"/>
          <w:sz w:val="24"/>
          <w:szCs w:val="24"/>
        </w:rPr>
        <w:t>16</w:t>
      </w:r>
      <w:r>
        <w:rPr>
          <w:rStyle w:val="466"/>
          <w:rFonts w:hint="eastAsia" w:ascii="宋体" w:hAnsi="宋体" w:eastAsia="宋体" w:cs="宋体"/>
          <w:sz w:val="24"/>
          <w:szCs w:val="24"/>
          <w:lang w:val="zh-TW"/>
        </w:rPr>
        <w:t>）</w:t>
      </w:r>
      <w:r>
        <w:rPr>
          <w:rStyle w:val="466"/>
          <w:rFonts w:hint="eastAsia" w:ascii="宋体" w:hAnsi="宋体" w:eastAsia="宋体" w:cs="宋体"/>
          <w:sz w:val="24"/>
          <w:szCs w:val="24"/>
          <w:lang w:val="zh-TW" w:eastAsia="zh-TW"/>
        </w:rPr>
        <w:t>食品销售应有专柜，要有防尘、防蝇、防污染设施。</w:t>
      </w:r>
    </w:p>
    <w:p>
      <w:pPr>
        <w:pStyle w:val="381"/>
        <w:snapToGrid w:val="0"/>
        <w:spacing w:line="360" w:lineRule="auto"/>
        <w:rPr>
          <w:rStyle w:val="466"/>
          <w:rFonts w:hint="eastAsia" w:ascii="宋体" w:hAnsi="宋体" w:eastAsia="宋体" w:cs="宋体"/>
          <w:sz w:val="24"/>
          <w:szCs w:val="24"/>
          <w:lang w:val="zh-TW"/>
        </w:rPr>
      </w:pPr>
      <w:r>
        <w:rPr>
          <w:rStyle w:val="466"/>
          <w:rFonts w:hint="eastAsia" w:ascii="宋体" w:hAnsi="宋体" w:eastAsia="宋体" w:cs="宋体"/>
          <w:sz w:val="24"/>
          <w:szCs w:val="24"/>
          <w:lang w:val="zh-TW"/>
        </w:rPr>
        <w:t>（1</w:t>
      </w:r>
      <w:r>
        <w:rPr>
          <w:rStyle w:val="466"/>
          <w:rFonts w:hint="eastAsia" w:ascii="宋体" w:hAnsi="宋体" w:eastAsia="宋体" w:cs="宋体"/>
          <w:sz w:val="24"/>
          <w:szCs w:val="24"/>
        </w:rPr>
        <w:t>7</w:t>
      </w:r>
      <w:r>
        <w:rPr>
          <w:rStyle w:val="466"/>
          <w:rFonts w:hint="eastAsia" w:ascii="宋体" w:hAnsi="宋体" w:eastAsia="宋体" w:cs="宋体"/>
          <w:sz w:val="24"/>
          <w:szCs w:val="24"/>
          <w:lang w:val="zh-TW"/>
        </w:rPr>
        <w:t>）</w:t>
      </w:r>
      <w:r>
        <w:rPr>
          <w:rStyle w:val="466"/>
          <w:rFonts w:hint="eastAsia" w:ascii="宋体" w:hAnsi="宋体" w:eastAsia="宋体" w:cs="宋体"/>
          <w:sz w:val="24"/>
          <w:szCs w:val="24"/>
          <w:lang w:val="zh-TW" w:eastAsia="zh-TW"/>
        </w:rPr>
        <w:t>维持并管理就餐秩序，并保证排队取餐时间控制在</w:t>
      </w:r>
      <w:r>
        <w:rPr>
          <w:rStyle w:val="466"/>
          <w:rFonts w:hint="eastAsia" w:ascii="宋体" w:hAnsi="宋体" w:eastAsia="宋体" w:cs="宋体"/>
          <w:sz w:val="24"/>
          <w:szCs w:val="24"/>
        </w:rPr>
        <w:t>5</w:t>
      </w:r>
      <w:r>
        <w:rPr>
          <w:rStyle w:val="466"/>
          <w:rFonts w:hint="eastAsia" w:ascii="宋体" w:hAnsi="宋体" w:eastAsia="宋体" w:cs="宋体"/>
          <w:sz w:val="24"/>
          <w:szCs w:val="24"/>
          <w:lang w:val="zh-TW" w:eastAsia="zh-TW"/>
        </w:rPr>
        <w:t>至</w:t>
      </w:r>
      <w:r>
        <w:rPr>
          <w:rStyle w:val="466"/>
          <w:rFonts w:hint="eastAsia" w:ascii="宋体" w:hAnsi="宋体" w:eastAsia="宋体" w:cs="宋体"/>
          <w:sz w:val="24"/>
          <w:szCs w:val="24"/>
        </w:rPr>
        <w:t>10</w:t>
      </w:r>
      <w:r>
        <w:rPr>
          <w:rStyle w:val="466"/>
          <w:rFonts w:hint="eastAsia" w:ascii="宋体" w:hAnsi="宋体" w:eastAsia="宋体" w:cs="宋体"/>
          <w:sz w:val="24"/>
          <w:szCs w:val="24"/>
          <w:lang w:val="zh-TW" w:eastAsia="zh-TW"/>
        </w:rPr>
        <w:t>分钟</w:t>
      </w:r>
      <w:r>
        <w:rPr>
          <w:rStyle w:val="466"/>
          <w:rFonts w:hint="eastAsia" w:ascii="宋体" w:hAnsi="宋体" w:eastAsia="宋体" w:cs="宋体"/>
          <w:sz w:val="24"/>
          <w:szCs w:val="24"/>
          <w:lang w:val="zh-TW"/>
        </w:rPr>
        <w:t>。</w:t>
      </w:r>
    </w:p>
    <w:p>
      <w:pPr>
        <w:pStyle w:val="381"/>
        <w:snapToGrid w:val="0"/>
        <w:spacing w:line="360" w:lineRule="auto"/>
        <w:rPr>
          <w:rStyle w:val="466"/>
          <w:rFonts w:hint="eastAsia" w:ascii="宋体" w:hAnsi="宋体" w:eastAsia="宋体" w:cs="宋体"/>
          <w:sz w:val="24"/>
          <w:szCs w:val="24"/>
        </w:rPr>
      </w:pPr>
      <w:r>
        <w:rPr>
          <w:rStyle w:val="466"/>
          <w:rFonts w:hint="eastAsia" w:ascii="宋体" w:hAnsi="宋体" w:eastAsia="宋体" w:cs="宋体"/>
          <w:sz w:val="24"/>
          <w:szCs w:val="24"/>
        </w:rPr>
        <w:t>（18）</w:t>
      </w:r>
      <w:r>
        <w:rPr>
          <w:rStyle w:val="466"/>
          <w:rFonts w:hint="eastAsia" w:ascii="宋体" w:hAnsi="宋体" w:eastAsia="宋体" w:cs="宋体"/>
          <w:sz w:val="24"/>
          <w:szCs w:val="24"/>
          <w:lang w:val="zh-TW" w:eastAsia="zh-TW"/>
        </w:rPr>
        <w:t>职工食堂安排专人订餐，并保证专人接听电话，保证准时送餐。</w:t>
      </w:r>
    </w:p>
    <w:p>
      <w:pPr>
        <w:pStyle w:val="381"/>
        <w:snapToGrid w:val="0"/>
        <w:spacing w:line="360" w:lineRule="auto"/>
        <w:rPr>
          <w:rStyle w:val="466"/>
          <w:rFonts w:hint="eastAsia" w:ascii="宋体" w:hAnsi="宋体" w:eastAsia="宋体" w:cs="宋体"/>
          <w:sz w:val="24"/>
          <w:szCs w:val="24"/>
        </w:rPr>
      </w:pPr>
      <w:r>
        <w:rPr>
          <w:rStyle w:val="466"/>
          <w:rFonts w:hint="eastAsia" w:ascii="宋体" w:hAnsi="宋体" w:eastAsia="宋体" w:cs="宋体"/>
          <w:sz w:val="24"/>
          <w:szCs w:val="24"/>
        </w:rPr>
        <w:t>（19）</w:t>
      </w:r>
      <w:r>
        <w:rPr>
          <w:rStyle w:val="466"/>
          <w:rFonts w:hint="eastAsia" w:ascii="宋体" w:hAnsi="宋体" w:eastAsia="宋体" w:cs="宋体"/>
          <w:sz w:val="24"/>
          <w:szCs w:val="24"/>
          <w:lang w:val="zh-TW" w:eastAsia="zh-TW"/>
        </w:rPr>
        <w:t>职工食堂开餐时食堂门口应设专人站岗，严防餐具的流食。</w:t>
      </w:r>
      <w:r>
        <w:rPr>
          <w:rStyle w:val="466"/>
          <w:rFonts w:hint="eastAsia" w:ascii="宋体" w:hAnsi="宋体" w:eastAsia="宋体" w:cs="宋体"/>
          <w:sz w:val="24"/>
          <w:szCs w:val="24"/>
          <w:lang w:val="zh-TW"/>
        </w:rPr>
        <w:t>严禁</w:t>
      </w:r>
      <w:r>
        <w:rPr>
          <w:rStyle w:val="466"/>
          <w:rFonts w:hint="eastAsia" w:ascii="宋体" w:hAnsi="宋体" w:eastAsia="宋体" w:cs="宋体"/>
          <w:sz w:val="24"/>
          <w:szCs w:val="24"/>
          <w:lang w:val="zh-TW" w:eastAsia="zh-TW"/>
        </w:rPr>
        <w:t>非本院职工就餐。</w:t>
      </w:r>
    </w:p>
    <w:p>
      <w:pPr>
        <w:pStyle w:val="381"/>
        <w:snapToGrid w:val="0"/>
        <w:spacing w:line="360" w:lineRule="auto"/>
        <w:rPr>
          <w:rStyle w:val="466"/>
          <w:rFonts w:hint="eastAsia" w:ascii="宋体" w:hAnsi="宋体" w:eastAsia="宋体" w:cs="宋体"/>
          <w:b/>
          <w:bCs/>
          <w:sz w:val="24"/>
          <w:szCs w:val="24"/>
        </w:rPr>
      </w:pPr>
      <w:r>
        <w:rPr>
          <w:rStyle w:val="466"/>
          <w:rFonts w:hint="eastAsia" w:ascii="宋体" w:hAnsi="宋体" w:eastAsia="宋体" w:cs="宋体"/>
          <w:b/>
          <w:bCs/>
          <w:sz w:val="24"/>
          <w:szCs w:val="24"/>
        </w:rPr>
        <w:t>6、</w:t>
      </w:r>
      <w:r>
        <w:rPr>
          <w:rStyle w:val="466"/>
          <w:rFonts w:hint="eastAsia" w:ascii="宋体" w:hAnsi="宋体" w:eastAsia="宋体" w:cs="宋体"/>
          <w:b/>
          <w:bCs/>
          <w:sz w:val="24"/>
          <w:szCs w:val="24"/>
          <w:lang w:val="zh-TW" w:eastAsia="zh-TW"/>
        </w:rPr>
        <w:t>收支管理要求</w:t>
      </w:r>
    </w:p>
    <w:p>
      <w:pPr>
        <w:pStyle w:val="381"/>
        <w:tabs>
          <w:tab w:val="left" w:pos="1755"/>
        </w:tabs>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（1）</w:t>
      </w:r>
      <w:r>
        <w:rPr>
          <w:rStyle w:val="466"/>
          <w:rFonts w:hint="eastAsia" w:ascii="宋体" w:hAnsi="宋体" w:eastAsia="宋体" w:cs="宋体"/>
          <w:sz w:val="24"/>
          <w:szCs w:val="24"/>
          <w:lang w:val="zh-TW" w:eastAsia="zh-TW"/>
        </w:rPr>
        <w:t>财务台账管理：职工食堂应建立财务台账，台账应真实、详细、准确，便于采购人审查。</w:t>
      </w:r>
    </w:p>
    <w:p>
      <w:pPr>
        <w:pStyle w:val="381"/>
        <w:tabs>
          <w:tab w:val="left" w:pos="1755"/>
        </w:tabs>
        <w:snapToGrid w:val="0"/>
        <w:spacing w:line="360" w:lineRule="auto"/>
        <w:rPr>
          <w:rStyle w:val="466"/>
          <w:rFonts w:hint="eastAsia" w:ascii="宋体" w:hAnsi="宋体" w:eastAsia="宋体" w:cs="宋体"/>
          <w:b/>
          <w:bCs/>
          <w:sz w:val="24"/>
          <w:szCs w:val="24"/>
          <w:u w:color="FF0000"/>
          <w:lang w:val="zh-TW" w:eastAsia="zh-TW"/>
        </w:rPr>
      </w:pPr>
      <w:r>
        <w:rPr>
          <w:rStyle w:val="466"/>
          <w:rFonts w:hint="eastAsia" w:ascii="宋体" w:hAnsi="宋体" w:eastAsia="宋体" w:cs="宋体"/>
          <w:sz w:val="24"/>
          <w:szCs w:val="24"/>
          <w:lang w:val="zh-TW"/>
        </w:rPr>
        <w:t>（2）</w:t>
      </w:r>
      <w:r>
        <w:rPr>
          <w:rStyle w:val="466"/>
          <w:rFonts w:hint="eastAsia" w:ascii="宋体" w:hAnsi="宋体" w:eastAsia="宋体" w:cs="宋体"/>
          <w:sz w:val="24"/>
          <w:szCs w:val="24"/>
          <w:lang w:val="zh-TW" w:eastAsia="zh-TW"/>
        </w:rPr>
        <w:t>收费方式：食堂采用刷卡付费形式，收费系统由采购人统一建立管理。</w:t>
      </w:r>
    </w:p>
    <w:p>
      <w:pPr>
        <w:pStyle w:val="381"/>
        <w:tabs>
          <w:tab w:val="left" w:pos="1755"/>
        </w:tabs>
        <w:snapToGrid w:val="0"/>
        <w:spacing w:line="360" w:lineRule="auto"/>
        <w:rPr>
          <w:rStyle w:val="466"/>
          <w:rFonts w:hint="eastAsia" w:ascii="宋体" w:hAnsi="宋体" w:eastAsia="宋体" w:cs="宋体"/>
          <w:b/>
          <w:bCs/>
          <w:sz w:val="24"/>
          <w:szCs w:val="24"/>
          <w:u w:color="FF0000"/>
          <w:lang w:val="zh-TW" w:eastAsia="zh-TW"/>
        </w:rPr>
      </w:pPr>
      <w:r>
        <w:rPr>
          <w:rStyle w:val="466"/>
          <w:rFonts w:hint="eastAsia" w:ascii="宋体" w:hAnsi="宋体" w:eastAsia="宋体" w:cs="宋体"/>
          <w:sz w:val="24"/>
          <w:szCs w:val="24"/>
          <w:u w:color="FF0000"/>
          <w:lang w:val="zh-TW"/>
        </w:rPr>
        <w:t>（3）</w:t>
      </w:r>
      <w:r>
        <w:rPr>
          <w:rStyle w:val="466"/>
          <w:rFonts w:hint="eastAsia" w:ascii="宋体" w:hAnsi="宋体" w:eastAsia="宋体" w:cs="宋体"/>
          <w:sz w:val="24"/>
          <w:szCs w:val="24"/>
          <w:u w:color="FF0000"/>
          <w:lang w:val="zh-TW" w:eastAsia="zh-TW"/>
        </w:rPr>
        <w:t>食堂餐标不高于同类别医院食堂。</w:t>
      </w:r>
    </w:p>
    <w:p>
      <w:pPr>
        <w:pStyle w:val="381"/>
        <w:snapToGrid w:val="0"/>
        <w:spacing w:line="360" w:lineRule="auto"/>
        <w:rPr>
          <w:rStyle w:val="466"/>
          <w:rFonts w:hint="eastAsia" w:ascii="宋体" w:hAnsi="宋体" w:eastAsia="宋体" w:cs="宋体"/>
          <w:b/>
          <w:bCs/>
          <w:sz w:val="24"/>
          <w:szCs w:val="24"/>
        </w:rPr>
      </w:pPr>
      <w:r>
        <w:rPr>
          <w:rStyle w:val="466"/>
          <w:rFonts w:hint="eastAsia" w:ascii="宋体" w:hAnsi="宋体" w:eastAsia="宋体" w:cs="宋体"/>
          <w:b/>
          <w:bCs/>
          <w:sz w:val="24"/>
          <w:szCs w:val="24"/>
        </w:rPr>
        <w:t>7、</w:t>
      </w:r>
      <w:r>
        <w:rPr>
          <w:rStyle w:val="466"/>
          <w:rFonts w:hint="eastAsia" w:ascii="宋体" w:hAnsi="宋体" w:eastAsia="宋体" w:cs="宋体"/>
          <w:b/>
          <w:bCs/>
          <w:sz w:val="24"/>
          <w:szCs w:val="24"/>
          <w:lang w:val="zh-TW" w:eastAsia="zh-TW"/>
        </w:rPr>
        <w:t>采购要求</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（1）</w:t>
      </w:r>
      <w:r>
        <w:rPr>
          <w:rStyle w:val="466"/>
          <w:rFonts w:hint="eastAsia" w:ascii="宋体" w:hAnsi="宋体" w:eastAsia="宋体" w:cs="宋体"/>
          <w:sz w:val="24"/>
          <w:szCs w:val="24"/>
          <w:lang w:val="zh-TW" w:eastAsia="zh-TW"/>
        </w:rPr>
        <w:t>肉制品的采购必须实行定点采购，并应提供定点采购的采购点的营业执照、食品经营许可证、卫生许可证、检验检疫合格证等。</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（2）</w:t>
      </w:r>
      <w:r>
        <w:rPr>
          <w:rStyle w:val="466"/>
          <w:rFonts w:hint="eastAsia" w:ascii="宋体" w:hAnsi="宋体" w:eastAsia="宋体" w:cs="宋体"/>
          <w:sz w:val="24"/>
          <w:szCs w:val="24"/>
          <w:lang w:val="zh-TW" w:eastAsia="zh-TW"/>
        </w:rPr>
        <w:t>蔬菜类材料采购必须从正规市场购入并符合国家有关食品安全方面的规定。</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（3）</w:t>
      </w:r>
      <w:r>
        <w:rPr>
          <w:rStyle w:val="466"/>
          <w:rFonts w:hint="eastAsia" w:ascii="宋体" w:hAnsi="宋体" w:eastAsia="宋体" w:cs="宋体"/>
          <w:sz w:val="24"/>
          <w:szCs w:val="24"/>
          <w:lang w:val="zh-TW" w:eastAsia="zh-TW"/>
        </w:rPr>
        <w:t>各种主食材料</w:t>
      </w:r>
      <w:r>
        <w:rPr>
          <w:rStyle w:val="466"/>
          <w:rFonts w:hint="eastAsia" w:ascii="宋体" w:hAnsi="宋体" w:eastAsia="宋体" w:cs="宋体"/>
          <w:sz w:val="24"/>
          <w:szCs w:val="24"/>
        </w:rPr>
        <w:t>(</w:t>
      </w:r>
      <w:r>
        <w:rPr>
          <w:rStyle w:val="466"/>
          <w:rFonts w:hint="eastAsia" w:ascii="宋体" w:hAnsi="宋体" w:eastAsia="宋体" w:cs="宋体"/>
          <w:sz w:val="24"/>
          <w:szCs w:val="24"/>
          <w:lang w:val="zh-TW" w:eastAsia="zh-TW"/>
        </w:rPr>
        <w:t>米面等</w:t>
      </w:r>
      <w:r>
        <w:rPr>
          <w:rStyle w:val="466"/>
          <w:rFonts w:hint="eastAsia" w:ascii="宋体" w:hAnsi="宋体" w:eastAsia="宋体" w:cs="宋体"/>
          <w:sz w:val="24"/>
          <w:szCs w:val="24"/>
        </w:rPr>
        <w:t>)</w:t>
      </w:r>
      <w:r>
        <w:rPr>
          <w:rStyle w:val="466"/>
          <w:rFonts w:hint="eastAsia" w:ascii="宋体" w:hAnsi="宋体" w:eastAsia="宋体" w:cs="宋体"/>
          <w:sz w:val="24"/>
          <w:szCs w:val="24"/>
          <w:lang w:val="zh-TW" w:eastAsia="zh-TW"/>
        </w:rPr>
        <w:t>、辅料、调味品及卫生消毒用品、消耗品等必须从正规厂商购入，并提供产品的品牌和采购点的营业执照、食品经营许可证、检验检疫合格证等材料。</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（4）</w:t>
      </w:r>
      <w:r>
        <w:rPr>
          <w:rStyle w:val="466"/>
          <w:rFonts w:hint="eastAsia" w:ascii="宋体" w:hAnsi="宋体" w:eastAsia="宋体" w:cs="宋体"/>
          <w:sz w:val="24"/>
          <w:szCs w:val="24"/>
          <w:lang w:val="zh-TW" w:eastAsia="zh-TW"/>
        </w:rPr>
        <w:t>保证质量、严禁使用三无产品、假冒伪劣、过期产品。</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（5）</w:t>
      </w:r>
      <w:r>
        <w:rPr>
          <w:rStyle w:val="466"/>
          <w:rFonts w:hint="eastAsia" w:ascii="宋体" w:hAnsi="宋体" w:eastAsia="宋体" w:cs="宋体"/>
          <w:sz w:val="24"/>
          <w:szCs w:val="24"/>
          <w:lang w:val="zh-TW" w:eastAsia="zh-TW"/>
        </w:rPr>
        <w:t>每次购入食品，如实记录食品的名称、规格、数量、生产批号、保质期、供货者名称及联系方式、进货日期等内容。</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（6）</w:t>
      </w:r>
      <w:r>
        <w:rPr>
          <w:rStyle w:val="466"/>
          <w:rFonts w:hint="eastAsia" w:ascii="宋体" w:hAnsi="宋体" w:eastAsia="宋体" w:cs="宋体"/>
          <w:sz w:val="24"/>
          <w:szCs w:val="24"/>
          <w:lang w:val="zh-TW" w:eastAsia="zh-TW"/>
        </w:rPr>
        <w:t>采取账簿登记、单据粘贴建档等多种方式建立进货台账。</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（7）</w:t>
      </w:r>
      <w:r>
        <w:rPr>
          <w:rStyle w:val="466"/>
          <w:rFonts w:hint="eastAsia" w:ascii="宋体" w:hAnsi="宋体" w:eastAsia="宋体" w:cs="宋体"/>
          <w:sz w:val="24"/>
          <w:szCs w:val="24"/>
          <w:lang w:val="zh-TW" w:eastAsia="zh-TW"/>
        </w:rPr>
        <w:t>对超过保质期或者腐败、变质、质量不合格等食品，应当立即停止销售，撤下柜台，因此而产生的费用由中标单位承担。</w:t>
      </w:r>
    </w:p>
    <w:p>
      <w:pPr>
        <w:pStyle w:val="381"/>
        <w:snapToGrid w:val="0"/>
        <w:spacing w:line="360" w:lineRule="auto"/>
        <w:rPr>
          <w:rStyle w:val="466"/>
          <w:rFonts w:hint="eastAsia" w:ascii="宋体" w:hAnsi="宋体" w:eastAsia="宋体" w:cs="宋体"/>
          <w:b/>
          <w:bCs/>
          <w:sz w:val="24"/>
          <w:szCs w:val="24"/>
        </w:rPr>
      </w:pPr>
      <w:r>
        <w:rPr>
          <w:rStyle w:val="466"/>
          <w:rFonts w:hint="eastAsia" w:ascii="宋体" w:hAnsi="宋体" w:eastAsia="宋体" w:cs="宋体"/>
          <w:b/>
          <w:bCs/>
          <w:sz w:val="24"/>
          <w:szCs w:val="24"/>
        </w:rPr>
        <w:t>8、</w:t>
      </w:r>
      <w:r>
        <w:rPr>
          <w:rStyle w:val="466"/>
          <w:rFonts w:hint="eastAsia" w:ascii="宋体" w:hAnsi="宋体" w:eastAsia="宋体" w:cs="宋体"/>
          <w:b/>
          <w:bCs/>
          <w:sz w:val="24"/>
          <w:szCs w:val="24"/>
          <w:lang w:val="zh-TW" w:eastAsia="zh-TW"/>
        </w:rPr>
        <w:t>库房管理要求</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（1）</w:t>
      </w:r>
      <w:r>
        <w:rPr>
          <w:rStyle w:val="466"/>
          <w:rFonts w:hint="eastAsia" w:ascii="宋体" w:hAnsi="宋体" w:eastAsia="宋体" w:cs="宋体"/>
          <w:sz w:val="24"/>
          <w:szCs w:val="24"/>
          <w:lang w:val="zh-TW" w:eastAsia="zh-TW"/>
        </w:rPr>
        <w:t>食品与非食品应分库存放，不得与洗化用品、日杂用品等混放。</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（2）</w:t>
      </w:r>
      <w:r>
        <w:rPr>
          <w:rStyle w:val="466"/>
          <w:rFonts w:hint="eastAsia" w:ascii="宋体" w:hAnsi="宋体" w:eastAsia="宋体" w:cs="宋体"/>
          <w:sz w:val="24"/>
          <w:szCs w:val="24"/>
          <w:lang w:val="zh-TW" w:eastAsia="zh-TW"/>
        </w:rPr>
        <w:t>食品仓库实行专用并设有防鼠、防蝇、防潮、防霉、通风的设施及措施，并运转正常。</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（3）</w:t>
      </w:r>
      <w:r>
        <w:rPr>
          <w:rStyle w:val="466"/>
          <w:rFonts w:hint="eastAsia" w:ascii="宋体" w:hAnsi="宋体" w:eastAsia="宋体" w:cs="宋体"/>
          <w:sz w:val="24"/>
          <w:szCs w:val="24"/>
          <w:lang w:val="zh-TW" w:eastAsia="zh-TW"/>
        </w:rPr>
        <w:t>食品应分类，分架，隔墙隔地存放。各类食品有明显标志，有异味或易吸潮的食品应密封保存或分库存放，易腐食品要及时冷藏、冷冻保存。</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（4）</w:t>
      </w:r>
      <w:r>
        <w:rPr>
          <w:rStyle w:val="466"/>
          <w:rFonts w:hint="eastAsia" w:ascii="宋体" w:hAnsi="宋体" w:eastAsia="宋体" w:cs="宋体"/>
          <w:sz w:val="24"/>
          <w:szCs w:val="24"/>
          <w:lang w:val="zh-TW" w:eastAsia="zh-TW"/>
        </w:rPr>
        <w:t>贮存散装食品的，应在散装食品的容器、外包装上标明食品的名称、生产日期、保质期、生产经营者名称及联系方式等内容。</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（5）</w:t>
      </w:r>
      <w:r>
        <w:rPr>
          <w:rStyle w:val="466"/>
          <w:rFonts w:hint="eastAsia" w:ascii="宋体" w:hAnsi="宋体" w:eastAsia="宋体" w:cs="宋体"/>
          <w:sz w:val="24"/>
          <w:szCs w:val="24"/>
          <w:lang w:val="zh-TW" w:eastAsia="zh-TW"/>
        </w:rPr>
        <w:t>定期查阅进货台账和检查食品的保存与质量状况，对即将到保质期的食品，应当在进货台账中做出醒目标注。</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（6）</w:t>
      </w:r>
      <w:r>
        <w:rPr>
          <w:rStyle w:val="466"/>
          <w:rFonts w:hint="eastAsia" w:ascii="宋体" w:hAnsi="宋体" w:eastAsia="宋体" w:cs="宋体"/>
          <w:sz w:val="24"/>
          <w:szCs w:val="24"/>
          <w:lang w:val="zh-TW" w:eastAsia="zh-TW"/>
        </w:rPr>
        <w:t>建立仓库进出库专人验收登记制度，做到勤进勤出，先进先出，定期清仓检查，防止食品过期、变质、霉变、生虫，及时清理不符合食品安全要求的食品。</w:t>
      </w:r>
    </w:p>
    <w:p>
      <w:pPr>
        <w:pStyle w:val="381"/>
        <w:snapToGrid w:val="0"/>
        <w:spacing w:line="360" w:lineRule="auto"/>
        <w:rPr>
          <w:rStyle w:val="466"/>
          <w:rFonts w:hint="eastAsia" w:ascii="宋体" w:hAnsi="宋体" w:eastAsia="宋体" w:cs="宋体"/>
          <w:b/>
          <w:bCs/>
          <w:sz w:val="24"/>
          <w:szCs w:val="24"/>
          <w:lang w:val="zh-TW" w:eastAsia="zh-TW"/>
        </w:rPr>
      </w:pPr>
      <w:r>
        <w:rPr>
          <w:rStyle w:val="466"/>
          <w:rFonts w:hint="eastAsia" w:ascii="宋体" w:hAnsi="宋体" w:eastAsia="宋体" w:cs="宋体"/>
          <w:sz w:val="24"/>
          <w:szCs w:val="24"/>
          <w:lang w:val="zh-TW"/>
        </w:rPr>
        <w:t>（7）</w:t>
      </w:r>
      <w:r>
        <w:rPr>
          <w:rStyle w:val="466"/>
          <w:rFonts w:hint="eastAsia" w:ascii="宋体" w:hAnsi="宋体" w:eastAsia="宋体" w:cs="宋体"/>
          <w:sz w:val="24"/>
          <w:szCs w:val="24"/>
          <w:lang w:val="zh-TW" w:eastAsia="zh-TW"/>
        </w:rPr>
        <w:t>食品仓库应经常开窗通风，定期清扫，保持干燥和整洁。</w:t>
      </w:r>
    </w:p>
    <w:p>
      <w:pPr>
        <w:pStyle w:val="381"/>
        <w:snapToGrid w:val="0"/>
        <w:spacing w:line="360" w:lineRule="auto"/>
        <w:rPr>
          <w:rStyle w:val="466"/>
          <w:rFonts w:hint="eastAsia" w:ascii="宋体" w:hAnsi="宋体" w:eastAsia="宋体" w:cs="宋体"/>
          <w:b/>
          <w:bCs/>
          <w:sz w:val="24"/>
          <w:szCs w:val="24"/>
        </w:rPr>
      </w:pPr>
      <w:r>
        <w:rPr>
          <w:rStyle w:val="466"/>
          <w:rFonts w:hint="eastAsia" w:ascii="宋体" w:hAnsi="宋体" w:eastAsia="宋体" w:cs="宋体"/>
          <w:b/>
          <w:bCs/>
          <w:sz w:val="24"/>
          <w:szCs w:val="24"/>
        </w:rPr>
        <w:t>9、</w:t>
      </w:r>
      <w:r>
        <w:rPr>
          <w:rStyle w:val="466"/>
          <w:rFonts w:hint="eastAsia" w:ascii="宋体" w:hAnsi="宋体" w:eastAsia="宋体" w:cs="宋体"/>
          <w:b/>
          <w:bCs/>
          <w:sz w:val="24"/>
          <w:szCs w:val="24"/>
          <w:lang w:val="zh-TW" w:eastAsia="zh-TW"/>
        </w:rPr>
        <w:t>餐饮要求</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（1）</w:t>
      </w:r>
      <w:r>
        <w:rPr>
          <w:rStyle w:val="466"/>
          <w:rFonts w:hint="eastAsia" w:ascii="宋体" w:hAnsi="宋体" w:eastAsia="宋体" w:cs="宋体"/>
          <w:sz w:val="24"/>
          <w:szCs w:val="24"/>
          <w:lang w:val="zh-TW" w:eastAsia="zh-TW"/>
        </w:rPr>
        <w:t>制定合理科学的食谱，完善饮食结构</w:t>
      </w:r>
      <w:r>
        <w:rPr>
          <w:rStyle w:val="466"/>
          <w:rFonts w:hint="eastAsia" w:ascii="宋体" w:hAnsi="宋体" w:eastAsia="宋体" w:cs="宋体"/>
          <w:sz w:val="24"/>
          <w:szCs w:val="24"/>
          <w:lang w:val="zh-TW"/>
        </w:rPr>
        <w:t>。</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（2）</w:t>
      </w:r>
      <w:r>
        <w:rPr>
          <w:rStyle w:val="466"/>
          <w:rFonts w:hint="eastAsia" w:ascii="宋体" w:hAnsi="宋体" w:eastAsia="宋体" w:cs="宋体"/>
          <w:sz w:val="24"/>
          <w:szCs w:val="24"/>
          <w:lang w:val="zh-TW" w:eastAsia="zh-TW"/>
        </w:rPr>
        <w:t>根据就餐人员口味，结合营养需求制定标准食谱</w:t>
      </w:r>
      <w:r>
        <w:rPr>
          <w:rStyle w:val="466"/>
          <w:rFonts w:hint="eastAsia" w:ascii="宋体" w:hAnsi="宋体" w:eastAsia="宋体" w:cs="宋体"/>
          <w:sz w:val="24"/>
          <w:szCs w:val="24"/>
          <w:lang w:val="zh-TW"/>
        </w:rPr>
        <w:t>。</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（3）</w:t>
      </w:r>
      <w:r>
        <w:rPr>
          <w:rStyle w:val="466"/>
          <w:rFonts w:hint="eastAsia" w:ascii="宋体" w:hAnsi="宋体" w:eastAsia="宋体" w:cs="宋体"/>
          <w:sz w:val="24"/>
          <w:szCs w:val="24"/>
          <w:lang w:val="zh-TW" w:eastAsia="zh-TW"/>
        </w:rPr>
        <w:t>根据职工来源的不同制定适合各地区域的特色菜谱</w:t>
      </w:r>
      <w:r>
        <w:rPr>
          <w:rStyle w:val="466"/>
          <w:rFonts w:hint="eastAsia" w:ascii="宋体" w:hAnsi="宋体" w:eastAsia="宋体" w:cs="宋体"/>
          <w:sz w:val="24"/>
          <w:szCs w:val="24"/>
          <w:lang w:val="zh-TW"/>
        </w:rPr>
        <w:t>。</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（4）</w:t>
      </w:r>
      <w:r>
        <w:rPr>
          <w:rStyle w:val="466"/>
          <w:rFonts w:hint="eastAsia" w:ascii="宋体" w:hAnsi="宋体" w:eastAsia="宋体" w:cs="宋体"/>
          <w:sz w:val="24"/>
          <w:szCs w:val="24"/>
          <w:lang w:val="zh-TW" w:eastAsia="zh-TW"/>
        </w:rPr>
        <w:t>丰富经营品种，提高饭菜质量</w:t>
      </w:r>
      <w:r>
        <w:rPr>
          <w:rStyle w:val="466"/>
          <w:rFonts w:hint="eastAsia" w:ascii="宋体" w:hAnsi="宋体" w:eastAsia="宋体" w:cs="宋体"/>
          <w:sz w:val="24"/>
          <w:szCs w:val="24"/>
          <w:lang w:val="zh-TW"/>
        </w:rPr>
        <w:t>。</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（5）</w:t>
      </w:r>
      <w:r>
        <w:rPr>
          <w:rStyle w:val="466"/>
          <w:rFonts w:hint="eastAsia" w:ascii="宋体" w:hAnsi="宋体" w:eastAsia="宋体" w:cs="宋体"/>
          <w:sz w:val="24"/>
          <w:szCs w:val="24"/>
          <w:lang w:val="zh-TW" w:eastAsia="zh-TW"/>
        </w:rPr>
        <w:t>按季节适时调节，充分保障用餐人员营养需求</w:t>
      </w:r>
      <w:r>
        <w:rPr>
          <w:rStyle w:val="466"/>
          <w:rFonts w:hint="eastAsia" w:ascii="宋体" w:hAnsi="宋体" w:eastAsia="宋体" w:cs="宋体"/>
          <w:sz w:val="24"/>
          <w:szCs w:val="24"/>
          <w:lang w:val="zh-TW"/>
        </w:rPr>
        <w:t>。</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（6）</w:t>
      </w:r>
      <w:r>
        <w:rPr>
          <w:rStyle w:val="466"/>
          <w:rFonts w:hint="eastAsia" w:ascii="宋体" w:hAnsi="宋体" w:eastAsia="宋体" w:cs="宋体"/>
          <w:sz w:val="24"/>
          <w:szCs w:val="24"/>
          <w:lang w:val="zh-TW" w:eastAsia="zh-TW"/>
        </w:rPr>
        <w:t>主荤菜是以肉类</w:t>
      </w:r>
      <w:r>
        <w:rPr>
          <w:rStyle w:val="466"/>
          <w:rFonts w:hint="eastAsia" w:ascii="宋体" w:hAnsi="宋体" w:eastAsia="宋体" w:cs="宋体"/>
          <w:sz w:val="24"/>
          <w:szCs w:val="24"/>
        </w:rPr>
        <w:t>(</w:t>
      </w:r>
      <w:r>
        <w:rPr>
          <w:rStyle w:val="466"/>
          <w:rFonts w:hint="eastAsia" w:ascii="宋体" w:hAnsi="宋体" w:eastAsia="宋体" w:cs="宋体"/>
          <w:sz w:val="24"/>
          <w:szCs w:val="24"/>
          <w:lang w:val="zh-TW" w:eastAsia="zh-TW"/>
        </w:rPr>
        <w:t>猪、牛、羊等）或水产类原材料为主</w:t>
      </w:r>
      <w:r>
        <w:rPr>
          <w:rStyle w:val="466"/>
          <w:rFonts w:hint="eastAsia" w:ascii="宋体" w:hAnsi="宋体" w:eastAsia="宋体" w:cs="宋体"/>
          <w:sz w:val="24"/>
          <w:szCs w:val="24"/>
          <w:lang w:val="zh-TW"/>
        </w:rPr>
        <w:t>。</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（7）</w:t>
      </w:r>
      <w:r>
        <w:rPr>
          <w:rStyle w:val="466"/>
          <w:rFonts w:hint="eastAsia" w:ascii="宋体" w:hAnsi="宋体" w:eastAsia="宋体" w:cs="宋体"/>
          <w:sz w:val="24"/>
          <w:szCs w:val="24"/>
          <w:lang w:val="zh-TW" w:eastAsia="zh-TW"/>
        </w:rPr>
        <w:t>荤素菜是含有肉类</w:t>
      </w:r>
      <w:r>
        <w:rPr>
          <w:rStyle w:val="466"/>
          <w:rFonts w:hint="eastAsia" w:ascii="宋体" w:hAnsi="宋体" w:eastAsia="宋体" w:cs="宋体"/>
          <w:sz w:val="24"/>
          <w:szCs w:val="24"/>
        </w:rPr>
        <w:t>(</w:t>
      </w:r>
      <w:r>
        <w:rPr>
          <w:rStyle w:val="466"/>
          <w:rFonts w:hint="eastAsia" w:ascii="宋体" w:hAnsi="宋体" w:eastAsia="宋体" w:cs="宋体"/>
          <w:sz w:val="24"/>
          <w:szCs w:val="24"/>
          <w:lang w:val="zh-TW" w:eastAsia="zh-TW"/>
        </w:rPr>
        <w:t>猪、牛、羊等）或水产类原材料的菜品</w:t>
      </w:r>
      <w:r>
        <w:rPr>
          <w:rStyle w:val="466"/>
          <w:rFonts w:hint="eastAsia" w:ascii="宋体" w:hAnsi="宋体" w:eastAsia="宋体" w:cs="宋体"/>
          <w:sz w:val="24"/>
          <w:szCs w:val="24"/>
          <w:lang w:val="zh-TW"/>
        </w:rPr>
        <w:t>。</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（8）</w:t>
      </w:r>
      <w:r>
        <w:rPr>
          <w:rStyle w:val="466"/>
          <w:rFonts w:hint="eastAsia" w:ascii="宋体" w:hAnsi="宋体" w:eastAsia="宋体" w:cs="宋体"/>
          <w:sz w:val="24"/>
          <w:szCs w:val="24"/>
          <w:lang w:val="zh-TW" w:eastAsia="zh-TW"/>
        </w:rPr>
        <w:t>素菜是不含肉类</w:t>
      </w:r>
      <w:r>
        <w:rPr>
          <w:rStyle w:val="466"/>
          <w:rFonts w:hint="eastAsia" w:ascii="宋体" w:hAnsi="宋体" w:eastAsia="宋体" w:cs="宋体"/>
          <w:sz w:val="24"/>
          <w:szCs w:val="24"/>
        </w:rPr>
        <w:t>(</w:t>
      </w:r>
      <w:r>
        <w:rPr>
          <w:rStyle w:val="466"/>
          <w:rFonts w:hint="eastAsia" w:ascii="宋体" w:hAnsi="宋体" w:eastAsia="宋体" w:cs="宋体"/>
          <w:sz w:val="24"/>
          <w:szCs w:val="24"/>
          <w:lang w:val="zh-TW" w:eastAsia="zh-TW"/>
        </w:rPr>
        <w:t>猪、牛、羊等）或水产类原材料的菜品</w:t>
      </w:r>
      <w:r>
        <w:rPr>
          <w:rStyle w:val="466"/>
          <w:rFonts w:hint="eastAsia" w:ascii="宋体" w:hAnsi="宋体" w:eastAsia="宋体" w:cs="宋体"/>
          <w:sz w:val="24"/>
          <w:szCs w:val="24"/>
          <w:lang w:val="zh-TW"/>
        </w:rPr>
        <w:t>。</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rPr>
        <w:t>（9）</w:t>
      </w:r>
      <w:r>
        <w:rPr>
          <w:rStyle w:val="466"/>
          <w:rFonts w:hint="eastAsia" w:ascii="宋体" w:hAnsi="宋体" w:eastAsia="宋体" w:cs="宋体"/>
          <w:sz w:val="24"/>
          <w:szCs w:val="24"/>
          <w:lang w:val="zh-TW" w:eastAsia="zh-TW"/>
        </w:rPr>
        <w:t>饭菜现做现卖，批量制作，份数适当，保证菜品色、香、味和送餐温度。</w:t>
      </w:r>
    </w:p>
    <w:p>
      <w:pPr>
        <w:pStyle w:val="381"/>
        <w:snapToGrid w:val="0"/>
        <w:spacing w:line="360" w:lineRule="auto"/>
        <w:rPr>
          <w:rStyle w:val="466"/>
          <w:rFonts w:hint="eastAsia" w:ascii="宋体" w:hAnsi="宋体" w:eastAsia="宋体" w:cs="宋体"/>
          <w:sz w:val="24"/>
          <w:szCs w:val="24"/>
          <w:lang w:val="zh-TW" w:eastAsia="zh-TW"/>
        </w:rPr>
      </w:pPr>
      <w:r>
        <w:rPr>
          <w:rStyle w:val="466"/>
          <w:rFonts w:hint="eastAsia" w:ascii="宋体" w:hAnsi="宋体" w:eastAsia="宋体" w:cs="宋体"/>
          <w:sz w:val="24"/>
          <w:szCs w:val="24"/>
          <w:lang w:val="zh-TW" w:eastAsia="zh-TW"/>
        </w:rPr>
        <w:t>（10）不得使用半成品制售食品。</w:t>
      </w:r>
    </w:p>
    <w:p>
      <w:pPr>
        <w:pStyle w:val="381"/>
        <w:snapToGrid w:val="0"/>
        <w:spacing w:line="360" w:lineRule="auto"/>
        <w:rPr>
          <w:rStyle w:val="466"/>
          <w:rFonts w:hint="eastAsia" w:ascii="宋体" w:hAnsi="宋体" w:eastAsia="宋体" w:cs="宋体"/>
          <w:b/>
          <w:bCs/>
          <w:sz w:val="24"/>
          <w:szCs w:val="24"/>
          <w:lang w:eastAsia="zh-TW"/>
        </w:rPr>
      </w:pPr>
      <w:r>
        <w:rPr>
          <w:rStyle w:val="466"/>
          <w:rFonts w:hint="eastAsia" w:ascii="宋体" w:hAnsi="宋体" w:eastAsia="宋体" w:cs="宋体"/>
          <w:b/>
          <w:bCs/>
          <w:sz w:val="24"/>
          <w:szCs w:val="24"/>
          <w:lang w:eastAsia="zh-TW"/>
        </w:rPr>
        <w:t>10、</w:t>
      </w:r>
      <w:r>
        <w:rPr>
          <w:rStyle w:val="466"/>
          <w:rFonts w:hint="eastAsia" w:ascii="宋体" w:hAnsi="宋体" w:eastAsia="宋体" w:cs="宋体"/>
          <w:b/>
          <w:bCs/>
          <w:sz w:val="24"/>
          <w:szCs w:val="24"/>
          <w:lang w:val="zh-TW" w:eastAsia="zh-TW"/>
        </w:rPr>
        <w:t>考核措施</w:t>
      </w:r>
    </w:p>
    <w:p>
      <w:pPr>
        <w:pStyle w:val="381"/>
        <w:snapToGrid w:val="0"/>
        <w:spacing w:line="360" w:lineRule="auto"/>
        <w:ind w:firstLine="480"/>
        <w:rPr>
          <w:rStyle w:val="466"/>
          <w:rFonts w:hint="eastAsia" w:ascii="宋体" w:hAnsi="宋体" w:eastAsia="宋体" w:cs="宋体"/>
          <w:sz w:val="24"/>
          <w:szCs w:val="24"/>
          <w:u w:color="FF0000"/>
        </w:rPr>
      </w:pPr>
      <w:r>
        <w:rPr>
          <w:rStyle w:val="466"/>
          <w:rFonts w:hint="eastAsia" w:ascii="宋体" w:hAnsi="宋体" w:eastAsia="宋体" w:cs="宋体"/>
          <w:sz w:val="24"/>
          <w:szCs w:val="24"/>
          <w:u w:color="FF0000"/>
          <w:lang w:val="zh-TW" w:eastAsia="zh-TW"/>
        </w:rPr>
        <w:t>采购人每季度对食堂进行满意度调查，满意率调查表中，</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满意</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和</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一般</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两项之和</w:t>
      </w:r>
      <w:r>
        <w:rPr>
          <w:rStyle w:val="466"/>
          <w:rFonts w:hint="eastAsia" w:ascii="宋体" w:hAnsi="宋体" w:eastAsia="宋体" w:cs="宋体"/>
          <w:sz w:val="24"/>
          <w:szCs w:val="24"/>
          <w:u w:color="FF0000"/>
          <w:lang w:val="zh-TW"/>
        </w:rPr>
        <w:t>应</w:t>
      </w:r>
      <w:r>
        <w:rPr>
          <w:rStyle w:val="466"/>
          <w:rFonts w:hint="eastAsia" w:ascii="宋体" w:hAnsi="宋体" w:eastAsia="宋体" w:cs="宋体"/>
          <w:sz w:val="24"/>
          <w:szCs w:val="24"/>
          <w:u w:color="FF0000"/>
          <w:lang w:val="zh-TW" w:eastAsia="zh-TW"/>
        </w:rPr>
        <w:t>高于</w:t>
      </w:r>
      <w:r>
        <w:rPr>
          <w:rStyle w:val="466"/>
          <w:rFonts w:hint="eastAsia" w:ascii="宋体" w:hAnsi="宋体" w:eastAsia="宋体" w:cs="宋体"/>
          <w:sz w:val="24"/>
          <w:szCs w:val="24"/>
          <w:u w:color="FF0000"/>
        </w:rPr>
        <w:t>80%(</w:t>
      </w:r>
      <w:r>
        <w:rPr>
          <w:rStyle w:val="466"/>
          <w:rFonts w:hint="eastAsia" w:ascii="宋体" w:hAnsi="宋体" w:eastAsia="宋体" w:cs="宋体"/>
          <w:sz w:val="24"/>
          <w:szCs w:val="24"/>
          <w:u w:color="FF0000"/>
          <w:lang w:val="zh-TW" w:eastAsia="zh-TW"/>
        </w:rPr>
        <w:t>含</w:t>
      </w:r>
      <w:r>
        <w:rPr>
          <w:rStyle w:val="466"/>
          <w:rFonts w:hint="eastAsia" w:ascii="宋体" w:hAnsi="宋体" w:eastAsia="宋体" w:cs="宋体"/>
          <w:sz w:val="24"/>
          <w:szCs w:val="24"/>
          <w:u w:color="FF0000"/>
        </w:rPr>
        <w:t>80%</w:t>
      </w:r>
      <w:r>
        <w:rPr>
          <w:rStyle w:val="466"/>
          <w:rFonts w:hint="eastAsia" w:ascii="宋体" w:hAnsi="宋体" w:eastAsia="宋体" w:cs="宋体"/>
          <w:sz w:val="24"/>
          <w:szCs w:val="24"/>
          <w:u w:color="FF0000"/>
          <w:lang w:val="zh-TW" w:eastAsia="zh-TW"/>
        </w:rPr>
        <w:t>）</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低于</w:t>
      </w:r>
      <w:r>
        <w:rPr>
          <w:rStyle w:val="466"/>
          <w:rFonts w:hint="eastAsia" w:ascii="宋体" w:hAnsi="宋体" w:eastAsia="宋体" w:cs="宋体"/>
          <w:sz w:val="24"/>
          <w:szCs w:val="24"/>
          <w:u w:color="FF0000"/>
        </w:rPr>
        <w:t>80%</w:t>
      </w:r>
      <w:r>
        <w:rPr>
          <w:rStyle w:val="466"/>
          <w:rFonts w:hint="eastAsia" w:ascii="宋体" w:hAnsi="宋体" w:eastAsia="宋体" w:cs="宋体"/>
          <w:sz w:val="24"/>
          <w:szCs w:val="24"/>
          <w:u w:color="FF0000"/>
          <w:lang w:val="zh-TW" w:eastAsia="zh-TW"/>
        </w:rPr>
        <w:t>，采购人有权向中标单位下发整改通知，中标单位应作出书面回复，并在整改通知中规定的期限内完成整改工作；</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满意</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和</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一般</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两项之和</w:t>
      </w:r>
      <w:r>
        <w:rPr>
          <w:rStyle w:val="466"/>
          <w:rFonts w:hint="eastAsia" w:ascii="宋体" w:hAnsi="宋体" w:eastAsia="宋体" w:cs="宋体"/>
          <w:sz w:val="24"/>
          <w:szCs w:val="24"/>
          <w:u w:color="FF0000"/>
          <w:lang w:val="zh-TW"/>
        </w:rPr>
        <w:t>低</w:t>
      </w:r>
      <w:r>
        <w:rPr>
          <w:rStyle w:val="466"/>
          <w:rFonts w:hint="eastAsia" w:ascii="宋体" w:hAnsi="宋体" w:eastAsia="宋体" w:cs="宋体"/>
          <w:sz w:val="24"/>
          <w:szCs w:val="24"/>
          <w:u w:color="FF0000"/>
          <w:lang w:val="zh-TW" w:eastAsia="zh-TW"/>
        </w:rPr>
        <w:t>于</w:t>
      </w:r>
      <w:r>
        <w:rPr>
          <w:rStyle w:val="466"/>
          <w:rFonts w:hint="eastAsia" w:ascii="宋体" w:hAnsi="宋体" w:eastAsia="宋体" w:cs="宋体"/>
          <w:sz w:val="24"/>
          <w:szCs w:val="24"/>
          <w:u w:color="FF0000"/>
        </w:rPr>
        <w:t>60%(</w:t>
      </w:r>
      <w:r>
        <w:rPr>
          <w:rStyle w:val="466"/>
          <w:rFonts w:hint="eastAsia" w:ascii="宋体" w:hAnsi="宋体" w:eastAsia="宋体" w:cs="宋体"/>
          <w:sz w:val="24"/>
          <w:szCs w:val="24"/>
          <w:u w:color="FF0000"/>
          <w:lang w:val="zh-TW" w:eastAsia="zh-TW"/>
        </w:rPr>
        <w:t>含</w:t>
      </w:r>
      <w:r>
        <w:rPr>
          <w:rStyle w:val="466"/>
          <w:rFonts w:hint="eastAsia" w:ascii="宋体" w:hAnsi="宋体" w:eastAsia="宋体" w:cs="宋体"/>
          <w:sz w:val="24"/>
          <w:szCs w:val="24"/>
          <w:u w:color="FF0000"/>
        </w:rPr>
        <w:t>60%)</w:t>
      </w:r>
      <w:r>
        <w:rPr>
          <w:rStyle w:val="466"/>
          <w:rFonts w:hint="eastAsia" w:ascii="宋体" w:hAnsi="宋体" w:eastAsia="宋体" w:cs="宋体"/>
          <w:sz w:val="24"/>
          <w:szCs w:val="24"/>
          <w:u w:color="FF0000"/>
          <w:lang w:val="zh-TW" w:eastAsia="zh-TW"/>
        </w:rPr>
        <w:t>，中标单位须向采购人支付</w:t>
      </w:r>
      <w:r>
        <w:rPr>
          <w:rStyle w:val="466"/>
          <w:rFonts w:hint="eastAsia" w:ascii="宋体" w:hAnsi="宋体" w:eastAsia="宋体" w:cs="宋体"/>
          <w:sz w:val="24"/>
          <w:szCs w:val="24"/>
          <w:u w:color="FF0000"/>
          <w:lang w:val="zh-TW"/>
        </w:rPr>
        <w:t>罚</w:t>
      </w:r>
      <w:r>
        <w:rPr>
          <w:rStyle w:val="466"/>
          <w:rFonts w:hint="eastAsia" w:ascii="宋体" w:hAnsi="宋体" w:eastAsia="宋体" w:cs="宋体"/>
          <w:sz w:val="24"/>
          <w:szCs w:val="24"/>
          <w:u w:color="FF0000"/>
          <w:lang w:val="zh-TW" w:eastAsia="zh-TW"/>
        </w:rPr>
        <w:t>金</w:t>
      </w:r>
      <w:r>
        <w:rPr>
          <w:rStyle w:val="466"/>
          <w:rFonts w:hint="eastAsia" w:ascii="宋体" w:hAnsi="宋体" w:eastAsia="宋体" w:cs="宋体"/>
          <w:sz w:val="24"/>
          <w:szCs w:val="24"/>
          <w:u w:color="FF0000"/>
        </w:rPr>
        <w:t>5万元；</w:t>
      </w:r>
      <w:r>
        <w:rPr>
          <w:rStyle w:val="466"/>
          <w:rFonts w:hint="eastAsia" w:ascii="宋体" w:hAnsi="宋体" w:eastAsia="宋体" w:cs="宋体"/>
          <w:sz w:val="24"/>
          <w:szCs w:val="24"/>
          <w:u w:color="FF0000"/>
          <w:lang w:val="zh-TW" w:eastAsia="zh-TW"/>
        </w:rPr>
        <w:t>连续两个季度的满意度调查中</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满意</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和</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一般</w:t>
      </w:r>
      <w:r>
        <w:rPr>
          <w:rStyle w:val="466"/>
          <w:rFonts w:hint="eastAsia" w:ascii="宋体" w:hAnsi="宋体" w:eastAsia="宋体" w:cs="宋体"/>
          <w:sz w:val="24"/>
          <w:szCs w:val="24"/>
          <w:u w:color="FF0000"/>
        </w:rPr>
        <w:t>”</w:t>
      </w:r>
      <w:r>
        <w:rPr>
          <w:rStyle w:val="466"/>
          <w:rFonts w:hint="eastAsia" w:ascii="宋体" w:hAnsi="宋体" w:eastAsia="宋体" w:cs="宋体"/>
          <w:sz w:val="24"/>
          <w:szCs w:val="24"/>
          <w:u w:color="FF0000"/>
          <w:lang w:val="zh-TW" w:eastAsia="zh-TW"/>
        </w:rPr>
        <w:t>两项之和</w:t>
      </w:r>
      <w:r>
        <w:rPr>
          <w:rStyle w:val="466"/>
          <w:rFonts w:hint="eastAsia" w:ascii="宋体" w:hAnsi="宋体" w:eastAsia="宋体" w:cs="宋体"/>
          <w:sz w:val="24"/>
          <w:szCs w:val="24"/>
          <w:u w:color="FF0000"/>
          <w:lang w:val="zh-TW"/>
        </w:rPr>
        <w:t>低于</w:t>
      </w:r>
      <w:r>
        <w:rPr>
          <w:rStyle w:val="466"/>
          <w:rFonts w:hint="eastAsia" w:ascii="宋体" w:hAnsi="宋体" w:eastAsia="宋体" w:cs="宋体"/>
          <w:sz w:val="24"/>
          <w:szCs w:val="24"/>
          <w:u w:color="FF0000"/>
        </w:rPr>
        <w:t>60%(</w:t>
      </w:r>
      <w:r>
        <w:rPr>
          <w:rStyle w:val="466"/>
          <w:rFonts w:hint="eastAsia" w:ascii="宋体" w:hAnsi="宋体" w:eastAsia="宋体" w:cs="宋体"/>
          <w:sz w:val="24"/>
          <w:szCs w:val="24"/>
          <w:u w:color="FF0000"/>
          <w:lang w:val="zh-TW" w:eastAsia="zh-TW"/>
        </w:rPr>
        <w:t>含</w:t>
      </w:r>
      <w:r>
        <w:rPr>
          <w:rStyle w:val="466"/>
          <w:rFonts w:hint="eastAsia" w:ascii="宋体" w:hAnsi="宋体" w:eastAsia="宋体" w:cs="宋体"/>
          <w:sz w:val="24"/>
          <w:szCs w:val="24"/>
          <w:u w:color="FF0000"/>
        </w:rPr>
        <w:t>60%</w:t>
      </w:r>
      <w:r>
        <w:rPr>
          <w:rStyle w:val="466"/>
          <w:rFonts w:hint="eastAsia" w:ascii="宋体" w:hAnsi="宋体" w:eastAsia="宋体" w:cs="宋体"/>
          <w:sz w:val="24"/>
          <w:szCs w:val="24"/>
          <w:u w:color="FF0000"/>
          <w:lang w:val="zh-TW" w:eastAsia="zh-TW"/>
        </w:rPr>
        <w:t>）</w:t>
      </w:r>
      <w:r>
        <w:rPr>
          <w:rStyle w:val="466"/>
          <w:rFonts w:hint="eastAsia" w:ascii="宋体" w:hAnsi="宋体" w:eastAsia="宋体" w:cs="宋体"/>
          <w:sz w:val="24"/>
          <w:szCs w:val="24"/>
          <w:u w:color="FF0000"/>
          <w:lang w:val="zh-TW"/>
        </w:rPr>
        <w:t>，</w:t>
      </w:r>
      <w:r>
        <w:rPr>
          <w:rStyle w:val="466"/>
          <w:rFonts w:hint="eastAsia" w:ascii="宋体" w:hAnsi="宋体" w:eastAsia="宋体" w:cs="宋体"/>
          <w:sz w:val="24"/>
          <w:szCs w:val="24"/>
          <w:u w:color="FF0000"/>
          <w:lang w:val="zh-TW" w:eastAsia="zh-TW"/>
        </w:rPr>
        <w:t>采购人有权提出终止服务合同，采购人将提前一个月告知中标单位，中标单位应配合采购人做好交接工作，直到新的服务单位进场服务。</w:t>
      </w:r>
    </w:p>
    <w:p>
      <w:pPr>
        <w:snapToGrid w:val="0"/>
        <w:spacing w:line="360" w:lineRule="auto"/>
        <w:rPr>
          <w:rStyle w:val="466"/>
          <w:rFonts w:hint="eastAsia" w:ascii="宋体" w:hAnsi="宋体" w:eastAsia="宋体" w:cs="宋体"/>
          <w:sz w:val="24"/>
          <w:lang w:val="zh-TW" w:eastAsia="zh-TW"/>
        </w:rPr>
      </w:pPr>
      <w:r>
        <w:rPr>
          <w:rStyle w:val="466"/>
          <w:rFonts w:hint="eastAsia" w:ascii="宋体" w:hAnsi="宋体" w:eastAsia="宋体" w:cs="宋体"/>
          <w:sz w:val="24"/>
          <w:lang w:val="en-US" w:eastAsia="zh-Hans"/>
        </w:rPr>
        <w:t>日常卫生考核</w:t>
      </w:r>
      <w:r>
        <w:rPr>
          <w:rStyle w:val="466"/>
          <w:rFonts w:hint="eastAsia" w:ascii="宋体" w:hAnsi="宋体" w:eastAsia="宋体" w:cs="宋体"/>
          <w:sz w:val="24"/>
          <w:lang w:val="zh-TW" w:eastAsia="zh-TW"/>
        </w:rPr>
        <w:t>措施：</w:t>
      </w:r>
    </w:p>
    <w:p>
      <w:pPr>
        <w:snapToGrid w:val="0"/>
        <w:spacing w:line="360" w:lineRule="auto"/>
        <w:rPr>
          <w:rStyle w:val="466"/>
          <w:rFonts w:hint="eastAsia" w:ascii="宋体" w:hAnsi="宋体" w:eastAsia="宋体" w:cs="宋体"/>
          <w:sz w:val="24"/>
          <w:lang w:val="zh-TW"/>
        </w:rPr>
      </w:pPr>
      <w:r>
        <w:rPr>
          <w:rStyle w:val="466"/>
          <w:rFonts w:hint="eastAsia" w:ascii="宋体" w:hAnsi="宋体" w:eastAsia="宋体" w:cs="宋体"/>
          <w:sz w:val="24"/>
        </w:rPr>
        <w:t>（1）</w:t>
      </w:r>
      <w:r>
        <w:rPr>
          <w:rStyle w:val="466"/>
          <w:rFonts w:hint="eastAsia" w:ascii="宋体" w:hAnsi="宋体" w:eastAsia="宋体" w:cs="宋体"/>
          <w:sz w:val="24"/>
          <w:lang w:val="zh-TW" w:eastAsia="zh-TW"/>
        </w:rPr>
        <w:t>发现食物中毒现象卫生部门确认，由中标单位支付违约金</w:t>
      </w:r>
      <w:r>
        <w:rPr>
          <w:rStyle w:val="466"/>
          <w:rFonts w:hint="eastAsia" w:ascii="宋体" w:hAnsi="宋体" w:eastAsia="宋体" w:cs="宋体"/>
          <w:sz w:val="24"/>
        </w:rPr>
        <w:t>20000</w:t>
      </w:r>
      <w:r>
        <w:rPr>
          <w:rStyle w:val="466"/>
          <w:rFonts w:hint="eastAsia" w:ascii="宋体" w:hAnsi="宋体" w:eastAsia="宋体" w:cs="宋体"/>
          <w:sz w:val="24"/>
          <w:lang w:val="zh-TW" w:eastAsia="zh-TW"/>
        </w:rPr>
        <w:t>元以上，并由中标单位承担相关责任</w:t>
      </w:r>
      <w:r>
        <w:rPr>
          <w:rStyle w:val="466"/>
          <w:rFonts w:hint="eastAsia" w:ascii="宋体" w:hAnsi="宋体" w:eastAsia="宋体" w:cs="宋体"/>
          <w:sz w:val="24"/>
          <w:lang w:val="zh-TW"/>
        </w:rPr>
        <w:t>。</w:t>
      </w:r>
    </w:p>
    <w:p>
      <w:pPr>
        <w:snapToGrid w:val="0"/>
        <w:spacing w:line="360" w:lineRule="auto"/>
        <w:rPr>
          <w:rStyle w:val="466"/>
          <w:rFonts w:hint="eastAsia" w:ascii="宋体" w:hAnsi="宋体" w:eastAsia="宋体" w:cs="宋体"/>
          <w:sz w:val="24"/>
          <w:lang w:val="zh-TW"/>
        </w:rPr>
      </w:pPr>
      <w:r>
        <w:rPr>
          <w:rStyle w:val="466"/>
          <w:rFonts w:hint="eastAsia" w:ascii="宋体" w:hAnsi="宋体" w:eastAsia="宋体" w:cs="宋体"/>
          <w:sz w:val="24"/>
        </w:rPr>
        <w:t>（2）</w:t>
      </w:r>
      <w:r>
        <w:rPr>
          <w:rStyle w:val="466"/>
          <w:rFonts w:hint="eastAsia" w:ascii="宋体" w:hAnsi="宋体" w:eastAsia="宋体" w:cs="宋体"/>
          <w:sz w:val="24"/>
          <w:lang w:val="zh-TW" w:eastAsia="zh-TW"/>
        </w:rPr>
        <w:t>出售不符合卫生要求（包括腐败、变质、过期等）的食品，由中标单位支付违约金</w:t>
      </w:r>
      <w:r>
        <w:rPr>
          <w:rStyle w:val="466"/>
          <w:rFonts w:hint="eastAsia" w:ascii="宋体" w:hAnsi="宋体" w:eastAsia="宋体" w:cs="宋体"/>
          <w:sz w:val="24"/>
        </w:rPr>
        <w:t>5000</w:t>
      </w:r>
      <w:r>
        <w:rPr>
          <w:rStyle w:val="466"/>
          <w:rFonts w:hint="eastAsia" w:ascii="宋体" w:hAnsi="宋体" w:eastAsia="宋体" w:cs="宋体"/>
          <w:sz w:val="24"/>
          <w:lang w:val="zh-TW" w:eastAsia="zh-TW"/>
        </w:rPr>
        <w:t>元以上，向信教人士出售不符合其宗教信仰的食品，由中标单位支付违约金</w:t>
      </w:r>
      <w:r>
        <w:rPr>
          <w:rStyle w:val="466"/>
          <w:rFonts w:hint="eastAsia" w:ascii="宋体" w:hAnsi="宋体" w:eastAsia="宋体" w:cs="宋体"/>
          <w:sz w:val="24"/>
        </w:rPr>
        <w:t>2000</w:t>
      </w:r>
      <w:r>
        <w:rPr>
          <w:rStyle w:val="466"/>
          <w:rFonts w:hint="eastAsia" w:ascii="宋体" w:hAnsi="宋体" w:eastAsia="宋体" w:cs="宋体"/>
          <w:sz w:val="24"/>
          <w:lang w:val="zh-TW" w:eastAsia="zh-TW"/>
        </w:rPr>
        <w:t>元以上，并由中标单位承担相关责任</w:t>
      </w:r>
      <w:r>
        <w:rPr>
          <w:rStyle w:val="466"/>
          <w:rFonts w:hint="eastAsia" w:ascii="宋体" w:hAnsi="宋体" w:eastAsia="宋体" w:cs="宋体"/>
          <w:sz w:val="24"/>
          <w:lang w:val="zh-TW"/>
        </w:rPr>
        <w:t>。</w:t>
      </w:r>
    </w:p>
    <w:p>
      <w:pPr>
        <w:snapToGrid w:val="0"/>
        <w:spacing w:line="360" w:lineRule="auto"/>
        <w:rPr>
          <w:rStyle w:val="466"/>
          <w:rFonts w:hint="eastAsia" w:ascii="宋体" w:hAnsi="宋体" w:eastAsia="宋体" w:cs="宋体"/>
          <w:sz w:val="24"/>
          <w:lang w:val="zh-TW"/>
        </w:rPr>
      </w:pPr>
      <w:r>
        <w:rPr>
          <w:rStyle w:val="466"/>
          <w:rFonts w:hint="eastAsia" w:ascii="宋体" w:hAnsi="宋体" w:eastAsia="宋体" w:cs="宋体"/>
          <w:sz w:val="24"/>
        </w:rPr>
        <w:t>（3）</w:t>
      </w:r>
      <w:r>
        <w:rPr>
          <w:rStyle w:val="466"/>
          <w:rFonts w:hint="eastAsia" w:ascii="宋体" w:hAnsi="宋体" w:eastAsia="宋体" w:cs="宋体"/>
          <w:sz w:val="24"/>
          <w:lang w:val="zh-TW" w:eastAsia="zh-TW"/>
        </w:rPr>
        <w:t>饭菜中出现虫蝇、毛发或其他污物，由中标单位支付违约金</w:t>
      </w:r>
      <w:r>
        <w:rPr>
          <w:rStyle w:val="466"/>
          <w:rFonts w:hint="eastAsia" w:ascii="宋体" w:hAnsi="宋体" w:eastAsia="宋体" w:cs="宋体"/>
          <w:sz w:val="24"/>
        </w:rPr>
        <w:t>2000</w:t>
      </w:r>
      <w:r>
        <w:rPr>
          <w:rStyle w:val="466"/>
          <w:rFonts w:hint="eastAsia" w:ascii="宋体" w:hAnsi="宋体" w:eastAsia="宋体" w:cs="宋体"/>
          <w:sz w:val="24"/>
          <w:lang w:val="zh-TW" w:eastAsia="zh-TW"/>
        </w:rPr>
        <w:t>元以上，并由中标单位承担相关责任</w:t>
      </w:r>
      <w:r>
        <w:rPr>
          <w:rStyle w:val="466"/>
          <w:rFonts w:hint="eastAsia" w:ascii="宋体" w:hAnsi="宋体" w:eastAsia="宋体" w:cs="宋体"/>
          <w:sz w:val="24"/>
          <w:lang w:val="zh-TW"/>
        </w:rPr>
        <w:t>。</w:t>
      </w:r>
    </w:p>
    <w:p>
      <w:pPr>
        <w:snapToGrid w:val="0"/>
        <w:spacing w:line="360" w:lineRule="auto"/>
        <w:rPr>
          <w:rStyle w:val="466"/>
          <w:rFonts w:hint="eastAsia" w:ascii="宋体" w:hAnsi="宋体" w:eastAsia="宋体" w:cs="宋体"/>
          <w:sz w:val="24"/>
          <w:lang w:val="zh-TW"/>
        </w:rPr>
      </w:pPr>
      <w:r>
        <w:rPr>
          <w:rStyle w:val="466"/>
          <w:rFonts w:hint="eastAsia" w:ascii="宋体" w:hAnsi="宋体" w:eastAsia="宋体" w:cs="宋体"/>
          <w:sz w:val="24"/>
        </w:rPr>
        <w:t>（4）</w:t>
      </w:r>
      <w:r>
        <w:rPr>
          <w:rStyle w:val="466"/>
          <w:rFonts w:hint="eastAsia" w:ascii="宋体" w:hAnsi="宋体" w:eastAsia="宋体" w:cs="宋体"/>
          <w:sz w:val="24"/>
          <w:lang w:val="zh-TW" w:eastAsia="zh-TW"/>
        </w:rPr>
        <w:t>原材料加工未遵循</w:t>
      </w:r>
      <w:r>
        <w:rPr>
          <w:rStyle w:val="466"/>
          <w:rFonts w:hint="eastAsia" w:ascii="宋体" w:hAnsi="宋体" w:eastAsia="宋体" w:cs="宋体"/>
          <w:sz w:val="24"/>
          <w:lang w:val="zh-TW"/>
        </w:rPr>
        <w:t>规范流程的</w:t>
      </w:r>
      <w:r>
        <w:rPr>
          <w:rStyle w:val="466"/>
          <w:rFonts w:hint="eastAsia" w:ascii="宋体" w:hAnsi="宋体" w:eastAsia="宋体" w:cs="宋体"/>
          <w:sz w:val="24"/>
          <w:lang w:val="zh-TW" w:eastAsia="zh-TW"/>
        </w:rPr>
        <w:t>，后厨生熟不分，无容器标识，由中标单位支付违约金</w:t>
      </w:r>
      <w:r>
        <w:rPr>
          <w:rStyle w:val="466"/>
          <w:rFonts w:hint="eastAsia" w:ascii="宋体" w:hAnsi="宋体" w:eastAsia="宋体" w:cs="宋体"/>
          <w:sz w:val="24"/>
        </w:rPr>
        <w:t>1000</w:t>
      </w:r>
      <w:r>
        <w:rPr>
          <w:rStyle w:val="466"/>
          <w:rFonts w:hint="eastAsia" w:ascii="宋体" w:hAnsi="宋体" w:eastAsia="宋体" w:cs="宋体"/>
          <w:sz w:val="24"/>
          <w:lang w:val="zh-TW" w:eastAsia="zh-TW"/>
        </w:rPr>
        <w:t>元</w:t>
      </w:r>
      <w:r>
        <w:rPr>
          <w:rStyle w:val="466"/>
          <w:rFonts w:hint="eastAsia" w:ascii="宋体" w:hAnsi="宋体" w:eastAsia="宋体" w:cs="宋体"/>
          <w:sz w:val="24"/>
          <w:lang w:val="zh-TW"/>
        </w:rPr>
        <w:t>。</w:t>
      </w:r>
    </w:p>
    <w:p>
      <w:pPr>
        <w:snapToGrid w:val="0"/>
        <w:spacing w:line="360" w:lineRule="auto"/>
        <w:rPr>
          <w:rStyle w:val="466"/>
          <w:rFonts w:hint="eastAsia" w:ascii="宋体" w:hAnsi="宋体" w:eastAsia="宋体" w:cs="宋体"/>
          <w:sz w:val="24"/>
          <w:lang w:val="zh-TW"/>
        </w:rPr>
      </w:pPr>
      <w:r>
        <w:rPr>
          <w:rStyle w:val="466"/>
          <w:rFonts w:hint="eastAsia" w:ascii="宋体" w:hAnsi="宋体" w:eastAsia="宋体" w:cs="宋体"/>
          <w:sz w:val="24"/>
        </w:rPr>
        <w:t>（5）</w:t>
      </w:r>
      <w:r>
        <w:rPr>
          <w:rStyle w:val="466"/>
          <w:rFonts w:hint="eastAsia" w:ascii="宋体" w:hAnsi="宋体" w:eastAsia="宋体" w:cs="宋体"/>
          <w:sz w:val="24"/>
          <w:lang w:val="zh-TW" w:eastAsia="zh-TW"/>
        </w:rPr>
        <w:t>未提供</w:t>
      </w:r>
      <w:r>
        <w:rPr>
          <w:rStyle w:val="466"/>
          <w:rFonts w:hint="eastAsia" w:ascii="宋体" w:hAnsi="宋体" w:eastAsia="宋体" w:cs="宋体"/>
          <w:sz w:val="24"/>
          <w:lang w:val="zh-TW"/>
        </w:rPr>
        <w:t>相应证件的（</w:t>
      </w:r>
      <w:r>
        <w:rPr>
          <w:rStyle w:val="466"/>
          <w:rFonts w:hint="eastAsia" w:ascii="宋体" w:hAnsi="宋体" w:eastAsia="宋体" w:cs="宋体"/>
          <w:sz w:val="24"/>
          <w:lang w:val="zh-TW" w:eastAsia="zh-TW"/>
        </w:rPr>
        <w:t>健康证</w:t>
      </w:r>
      <w:r>
        <w:rPr>
          <w:rStyle w:val="466"/>
          <w:rFonts w:hint="eastAsia" w:ascii="宋体" w:hAnsi="宋体" w:eastAsia="宋体" w:cs="宋体"/>
          <w:sz w:val="24"/>
          <w:lang w:val="zh-TW"/>
        </w:rPr>
        <w:t>等）</w:t>
      </w:r>
      <w:r>
        <w:rPr>
          <w:rStyle w:val="466"/>
          <w:rFonts w:hint="eastAsia" w:ascii="宋体" w:hAnsi="宋体" w:eastAsia="宋体" w:cs="宋体"/>
          <w:sz w:val="24"/>
          <w:lang w:val="zh-TW" w:eastAsia="zh-TW"/>
        </w:rPr>
        <w:t>，由中标单位支付违约金</w:t>
      </w:r>
      <w:r>
        <w:rPr>
          <w:rStyle w:val="466"/>
          <w:rFonts w:hint="eastAsia" w:ascii="宋体" w:hAnsi="宋体" w:eastAsia="宋体" w:cs="宋体"/>
          <w:sz w:val="24"/>
        </w:rPr>
        <w:t>1000</w:t>
      </w:r>
      <w:r>
        <w:rPr>
          <w:rStyle w:val="466"/>
          <w:rFonts w:hint="eastAsia" w:ascii="宋体" w:hAnsi="宋体" w:eastAsia="宋体" w:cs="宋体"/>
          <w:sz w:val="24"/>
          <w:lang w:val="zh-TW" w:eastAsia="zh-TW"/>
        </w:rPr>
        <w:t>元</w:t>
      </w:r>
      <w:r>
        <w:rPr>
          <w:rStyle w:val="466"/>
          <w:rFonts w:hint="eastAsia" w:ascii="宋体" w:hAnsi="宋体" w:eastAsia="宋体" w:cs="宋体"/>
          <w:sz w:val="24"/>
          <w:lang w:val="zh-TW"/>
        </w:rPr>
        <w:t>。</w:t>
      </w:r>
    </w:p>
    <w:p>
      <w:pPr>
        <w:snapToGrid w:val="0"/>
        <w:spacing w:line="360" w:lineRule="auto"/>
        <w:rPr>
          <w:rStyle w:val="466"/>
          <w:rFonts w:hint="eastAsia" w:ascii="宋体" w:hAnsi="宋体" w:eastAsia="宋体" w:cs="宋体"/>
          <w:lang w:val="zh-TW"/>
        </w:rPr>
      </w:pPr>
      <w:r>
        <w:rPr>
          <w:rStyle w:val="466"/>
          <w:rFonts w:hint="eastAsia" w:ascii="宋体" w:hAnsi="宋体" w:eastAsia="宋体" w:cs="宋体"/>
          <w:sz w:val="24"/>
        </w:rPr>
        <w:t>（6）</w:t>
      </w:r>
      <w:r>
        <w:rPr>
          <w:rStyle w:val="466"/>
          <w:rFonts w:hint="eastAsia" w:ascii="宋体" w:hAnsi="宋体" w:eastAsia="宋体" w:cs="宋体"/>
          <w:sz w:val="24"/>
          <w:lang w:val="zh-TW" w:eastAsia="zh-TW"/>
        </w:rPr>
        <w:t>售饭人员</w:t>
      </w:r>
      <w:r>
        <w:rPr>
          <w:rStyle w:val="466"/>
          <w:rFonts w:hint="eastAsia" w:ascii="宋体" w:hAnsi="宋体" w:eastAsia="宋体" w:cs="宋体"/>
          <w:sz w:val="24"/>
          <w:lang w:val="zh-TW"/>
        </w:rPr>
        <w:t>个人卫生不符合要求，未按规范</w:t>
      </w:r>
      <w:r>
        <w:rPr>
          <w:rStyle w:val="466"/>
          <w:rFonts w:hint="eastAsia" w:ascii="宋体" w:hAnsi="宋体" w:eastAsia="宋体" w:cs="宋体"/>
          <w:sz w:val="24"/>
          <w:lang w:val="zh-TW" w:eastAsia="zh-TW"/>
        </w:rPr>
        <w:t>带手套、口罩、帽子，由中标单位支付违约金</w:t>
      </w:r>
      <w:r>
        <w:rPr>
          <w:rStyle w:val="466"/>
          <w:rFonts w:hint="eastAsia" w:ascii="宋体" w:hAnsi="宋体" w:eastAsia="宋体" w:cs="宋体"/>
          <w:sz w:val="24"/>
        </w:rPr>
        <w:t>200</w:t>
      </w:r>
      <w:r>
        <w:rPr>
          <w:rStyle w:val="466"/>
          <w:rFonts w:hint="eastAsia" w:ascii="宋体" w:hAnsi="宋体" w:eastAsia="宋体" w:cs="宋体"/>
          <w:sz w:val="24"/>
          <w:lang w:val="zh-TW" w:eastAsia="zh-TW"/>
        </w:rPr>
        <w:t>元</w:t>
      </w:r>
      <w:r>
        <w:rPr>
          <w:rStyle w:val="466"/>
          <w:rFonts w:hint="eastAsia" w:ascii="宋体" w:hAnsi="宋体" w:eastAsia="宋体" w:cs="宋体"/>
          <w:lang w:val="zh-TW"/>
        </w:rPr>
        <w:t>。</w:t>
      </w:r>
    </w:p>
    <w:p>
      <w:pPr>
        <w:snapToGrid w:val="0"/>
        <w:spacing w:line="360" w:lineRule="auto"/>
        <w:rPr>
          <w:rStyle w:val="466"/>
          <w:rFonts w:hint="eastAsia" w:ascii="宋体" w:hAnsi="宋体" w:eastAsia="宋体" w:cs="宋体"/>
          <w:sz w:val="24"/>
          <w:lang w:val="zh-TW"/>
        </w:rPr>
      </w:pPr>
      <w:r>
        <w:rPr>
          <w:rStyle w:val="466"/>
          <w:rFonts w:hint="eastAsia" w:ascii="宋体" w:hAnsi="宋体" w:eastAsia="宋体" w:cs="宋体"/>
          <w:sz w:val="24"/>
        </w:rPr>
        <w:t>（7）餐厅</w:t>
      </w:r>
      <w:r>
        <w:rPr>
          <w:rStyle w:val="466"/>
          <w:rFonts w:hint="eastAsia" w:ascii="宋体" w:hAnsi="宋体" w:eastAsia="宋体" w:cs="宋体"/>
          <w:sz w:val="24"/>
          <w:lang w:val="zh-TW" w:eastAsia="zh-TW"/>
        </w:rPr>
        <w:t>环境卫生不符合标准，由中标单位支付违约金</w:t>
      </w:r>
      <w:r>
        <w:rPr>
          <w:rStyle w:val="466"/>
          <w:rFonts w:hint="eastAsia" w:ascii="宋体" w:hAnsi="宋体" w:eastAsia="宋体" w:cs="宋体"/>
          <w:sz w:val="24"/>
        </w:rPr>
        <w:t>1000</w:t>
      </w:r>
      <w:r>
        <w:rPr>
          <w:rStyle w:val="466"/>
          <w:rFonts w:hint="eastAsia" w:ascii="宋体" w:hAnsi="宋体" w:eastAsia="宋体" w:cs="宋体"/>
          <w:sz w:val="24"/>
          <w:lang w:val="zh-TW" w:eastAsia="zh-TW"/>
        </w:rPr>
        <w:t>元</w:t>
      </w:r>
      <w:r>
        <w:rPr>
          <w:rStyle w:val="466"/>
          <w:rFonts w:hint="eastAsia" w:ascii="宋体" w:hAnsi="宋体" w:eastAsia="宋体" w:cs="宋体"/>
          <w:sz w:val="24"/>
          <w:lang w:val="zh-TW"/>
        </w:rPr>
        <w:t>。</w:t>
      </w:r>
    </w:p>
    <w:p>
      <w:pPr>
        <w:snapToGrid w:val="0"/>
        <w:spacing w:line="360" w:lineRule="auto"/>
        <w:rPr>
          <w:rStyle w:val="466"/>
          <w:rFonts w:hint="eastAsia" w:ascii="宋体" w:hAnsi="宋体" w:eastAsia="宋体" w:cs="宋体"/>
          <w:sz w:val="24"/>
        </w:rPr>
      </w:pPr>
      <w:r>
        <w:rPr>
          <w:rStyle w:val="466"/>
          <w:rFonts w:hint="eastAsia" w:ascii="宋体" w:hAnsi="宋体" w:eastAsia="宋体" w:cs="宋体"/>
          <w:sz w:val="24"/>
        </w:rPr>
        <w:t>（8）</w:t>
      </w:r>
      <w:r>
        <w:rPr>
          <w:rStyle w:val="466"/>
          <w:rFonts w:hint="eastAsia" w:ascii="宋体" w:hAnsi="宋体" w:eastAsia="宋体" w:cs="宋体"/>
          <w:sz w:val="24"/>
          <w:lang w:val="zh-TW" w:eastAsia="zh-TW"/>
        </w:rPr>
        <w:t>中标单位员工与采购人职工发生纠纷，过错在中标单位的，由中标单位支付违约金</w:t>
      </w:r>
      <w:r>
        <w:rPr>
          <w:rStyle w:val="466"/>
          <w:rFonts w:hint="eastAsia" w:ascii="宋体" w:hAnsi="宋体" w:eastAsia="宋体" w:cs="宋体"/>
          <w:sz w:val="24"/>
        </w:rPr>
        <w:t>1000</w:t>
      </w:r>
      <w:r>
        <w:rPr>
          <w:rStyle w:val="466"/>
          <w:rFonts w:hint="eastAsia" w:ascii="宋体" w:hAnsi="宋体" w:eastAsia="宋体" w:cs="宋体"/>
          <w:sz w:val="24"/>
          <w:lang w:val="zh-TW" w:eastAsia="zh-TW"/>
        </w:rPr>
        <w:t>元以上，并由中标单位承担相关责任。</w:t>
      </w:r>
    </w:p>
    <w:p>
      <w:pPr>
        <w:widowControl/>
        <w:jc w:val="left"/>
        <w:rPr>
          <w:rStyle w:val="466"/>
          <w:rFonts w:hint="eastAsia" w:ascii="宋体" w:hAnsi="宋体" w:eastAsia="宋体" w:cs="宋体"/>
          <w:b/>
          <w:bCs/>
          <w:sz w:val="24"/>
          <w:lang w:val="zh-TW"/>
        </w:rPr>
      </w:pPr>
    </w:p>
    <w:p>
      <w:pPr>
        <w:widowControl/>
        <w:jc w:val="left"/>
        <w:rPr>
          <w:rStyle w:val="466"/>
          <w:rFonts w:hint="eastAsia" w:ascii="宋体" w:hAnsi="宋体" w:eastAsia="宋体" w:cs="宋体"/>
          <w:b/>
          <w:bCs/>
          <w:sz w:val="24"/>
          <w:lang w:val="zh-TW" w:eastAsia="zh-TW"/>
        </w:rPr>
      </w:pPr>
      <w:r>
        <w:rPr>
          <w:rStyle w:val="466"/>
          <w:rFonts w:hint="eastAsia" w:ascii="宋体" w:hAnsi="宋体" w:eastAsia="宋体" w:cs="宋体"/>
          <w:b/>
          <w:bCs/>
          <w:sz w:val="24"/>
        </w:rPr>
        <w:t>五</w:t>
      </w:r>
      <w:r>
        <w:rPr>
          <w:rStyle w:val="466"/>
          <w:rFonts w:hint="eastAsia" w:ascii="宋体" w:hAnsi="宋体" w:eastAsia="宋体" w:cs="宋体"/>
          <w:b/>
          <w:bCs/>
          <w:sz w:val="24"/>
          <w:lang w:val="zh-TW"/>
        </w:rPr>
        <w:t>、</w:t>
      </w:r>
      <w:r>
        <w:rPr>
          <w:rStyle w:val="466"/>
          <w:rFonts w:hint="eastAsia" w:ascii="宋体" w:hAnsi="宋体" w:eastAsia="宋体" w:cs="宋体"/>
          <w:b/>
          <w:bCs/>
          <w:sz w:val="24"/>
          <w:lang w:val="zh-TW" w:eastAsia="zh-TW"/>
        </w:rPr>
        <w:t>食堂满意度调查表</w:t>
      </w:r>
    </w:p>
    <w:tbl>
      <w:tblPr>
        <w:tblStyle w:val="45"/>
        <w:tblW w:w="8336"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638"/>
        <w:gridCol w:w="4012"/>
        <w:gridCol w:w="851"/>
        <w:gridCol w:w="850"/>
        <w:gridCol w:w="992"/>
        <w:gridCol w:w="99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787" w:hRule="atLeast"/>
        </w:trPr>
        <w:tc>
          <w:tcPr>
            <w:tcW w:w="8336" w:type="dxa"/>
            <w:gridSpan w:val="6"/>
            <w:tcBorders>
              <w:top w:val="nil"/>
              <w:left w:val="nil"/>
              <w:bottom w:val="nil"/>
              <w:right w:val="nil"/>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lang w:val="zh-TW"/>
              </w:rPr>
              <w:t>首都医科大学附属友谊医院</w:t>
            </w:r>
            <w:r>
              <w:rPr>
                <w:rStyle w:val="466"/>
                <w:rFonts w:hint="eastAsia" w:ascii="宋体" w:hAnsi="宋体" w:eastAsia="宋体" w:cs="宋体"/>
                <w:bCs/>
                <w:kern w:val="0"/>
                <w:sz w:val="24"/>
                <w:lang w:val="zh-TW" w:eastAsia="zh-TW"/>
              </w:rPr>
              <w:t>食堂满意度调查表</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1276" w:hRule="atLeast"/>
        </w:trPr>
        <w:tc>
          <w:tcPr>
            <w:tcW w:w="8336" w:type="dxa"/>
            <w:gridSpan w:val="6"/>
            <w:tcBorders>
              <w:top w:val="nil"/>
              <w:left w:val="nil"/>
              <w:bottom w:val="single" w:color="000000" w:sz="4" w:space="0"/>
              <w:right w:val="nil"/>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您好</w:t>
            </w:r>
            <w:r>
              <w:rPr>
                <w:rStyle w:val="466"/>
                <w:rFonts w:hint="eastAsia" w:ascii="宋体" w:hAnsi="宋体" w:eastAsia="宋体" w:cs="宋体"/>
                <w:bCs/>
                <w:kern w:val="0"/>
                <w:sz w:val="24"/>
                <w:lang w:val="zh-TW"/>
              </w:rPr>
              <w:t>！</w:t>
            </w:r>
            <w:r>
              <w:rPr>
                <w:rStyle w:val="466"/>
                <w:rFonts w:hint="eastAsia" w:ascii="宋体" w:hAnsi="宋体" w:eastAsia="宋体" w:cs="宋体"/>
                <w:bCs/>
                <w:kern w:val="0"/>
                <w:sz w:val="24"/>
              </w:rPr>
              <w:t>为</w:t>
            </w:r>
            <w:r>
              <w:rPr>
                <w:rStyle w:val="466"/>
                <w:rFonts w:hint="eastAsia" w:ascii="宋体" w:hAnsi="宋体" w:eastAsia="宋体" w:cs="宋体"/>
                <w:bCs/>
                <w:kern w:val="0"/>
                <w:sz w:val="24"/>
                <w:lang w:val="zh-TW" w:eastAsia="zh-TW"/>
              </w:rPr>
              <w:t>更好的</w:t>
            </w:r>
            <w:r>
              <w:rPr>
                <w:rStyle w:val="466"/>
                <w:rFonts w:hint="eastAsia" w:ascii="宋体" w:hAnsi="宋体" w:eastAsia="宋体" w:cs="宋体"/>
                <w:bCs/>
                <w:kern w:val="0"/>
                <w:sz w:val="24"/>
                <w:lang w:val="zh-TW"/>
              </w:rPr>
              <w:t>给</w:t>
            </w:r>
            <w:r>
              <w:rPr>
                <w:rStyle w:val="466"/>
                <w:rFonts w:hint="eastAsia" w:ascii="宋体" w:hAnsi="宋体" w:eastAsia="宋体" w:cs="宋体"/>
                <w:bCs/>
                <w:kern w:val="0"/>
                <w:sz w:val="24"/>
                <w:lang w:val="zh-TW" w:eastAsia="zh-TW"/>
              </w:rPr>
              <w:t>职工提供优质满意的餐饮服务，现对食堂餐饮服务进行满意度调查，望职工积极配合。</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91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lang w:val="zh-TW" w:eastAsia="zh-TW"/>
              </w:rPr>
              <w:t>序号</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lang w:val="zh-TW" w:eastAsia="zh-TW"/>
              </w:rPr>
              <w:t>评价内容</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lang w:val="zh-TW" w:eastAsia="zh-TW"/>
              </w:rPr>
              <w:t>满意</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lang w:val="zh-TW" w:eastAsia="zh-TW"/>
              </w:rPr>
              <w:t>一般</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lang w:val="zh-TW" w:eastAsia="zh-TW"/>
              </w:rPr>
              <w:t>不满意</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lang w:val="zh-TW" w:eastAsia="zh-TW"/>
              </w:rPr>
              <w:t>不了解</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9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rPr>
              <w:t>1</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食堂服务人员仪容仪表、服务态度、服务意识、文明用语</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9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rPr>
              <w:t>2</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全菜品质量、口味</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9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rPr>
              <w:t>3</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菜品价格</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9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rPr>
              <w:t>4</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餐具清洁、管理流程</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9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rPr>
              <w:t>5</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品种、口味</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9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rPr>
              <w:t>6</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现场制作、价格、口味</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9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rPr>
              <w:t>7</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电话订餐服务响应时间</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9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rPr>
              <w:t>8</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餐厅对您提出的需求或是投诉响应情况</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9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hint="eastAsia" w:ascii="宋体" w:hAnsi="宋体" w:eastAsia="宋体" w:cs="宋体"/>
                <w:sz w:val="24"/>
              </w:rPr>
            </w:pPr>
            <w:r>
              <w:rPr>
                <w:rStyle w:val="466"/>
                <w:rFonts w:hint="eastAsia" w:ascii="宋体" w:hAnsi="宋体" w:eastAsia="宋体" w:cs="宋体"/>
                <w:bCs/>
                <w:kern w:val="0"/>
                <w:sz w:val="24"/>
              </w:rPr>
              <w:t>9</w:t>
            </w:r>
          </w:p>
        </w:tc>
        <w:tc>
          <w:tcPr>
            <w:tcW w:w="40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总体评价</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903" w:hRule="atLeast"/>
        </w:trPr>
        <w:tc>
          <w:tcPr>
            <w:tcW w:w="8336"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rPr>
                <w:rFonts w:hint="eastAsia" w:ascii="宋体" w:hAnsi="宋体" w:eastAsia="宋体" w:cs="宋体"/>
                <w:sz w:val="24"/>
              </w:rPr>
            </w:pPr>
            <w:r>
              <w:rPr>
                <w:rStyle w:val="466"/>
                <w:rFonts w:hint="eastAsia" w:ascii="宋体" w:hAnsi="宋体" w:eastAsia="宋体" w:cs="宋体"/>
                <w:bCs/>
                <w:kern w:val="0"/>
                <w:sz w:val="24"/>
                <w:lang w:val="zh-TW" w:eastAsia="zh-TW"/>
              </w:rPr>
              <w:t>您的宝贵意见和建议：</w:t>
            </w:r>
          </w:p>
        </w:tc>
      </w:tr>
    </w:tbl>
    <w:p>
      <w:pPr>
        <w:rPr>
          <w:rFonts w:hint="eastAsia" w:ascii="宋体" w:hAnsi="宋体" w:eastAsia="宋体" w:cs="宋体"/>
          <w:bCs/>
          <w:sz w:val="24"/>
          <w:lang w:val="zh-TW"/>
        </w:rPr>
      </w:pPr>
    </w:p>
    <w:p>
      <w:pPr>
        <w:rPr>
          <w:rFonts w:hint="eastAsia" w:ascii="宋体" w:hAnsi="宋体" w:eastAsia="宋体" w:cs="宋体"/>
          <w:b/>
          <w:bCs/>
          <w:sz w:val="24"/>
          <w:lang w:val="zh-TW"/>
        </w:rPr>
      </w:pPr>
      <w:r>
        <w:rPr>
          <w:rFonts w:hint="eastAsia" w:ascii="宋体" w:hAnsi="宋体" w:eastAsia="宋体" w:cs="宋体"/>
          <w:b/>
          <w:bCs/>
          <w:sz w:val="24"/>
        </w:rPr>
        <w:t>六</w:t>
      </w:r>
      <w:r>
        <w:rPr>
          <w:rFonts w:hint="eastAsia" w:ascii="宋体" w:hAnsi="宋体" w:eastAsia="宋体" w:cs="宋体"/>
          <w:b/>
          <w:bCs/>
          <w:sz w:val="24"/>
          <w:lang w:val="zh-TW"/>
        </w:rPr>
        <w:t>、</w:t>
      </w:r>
      <w:r>
        <w:rPr>
          <w:rFonts w:hint="eastAsia" w:ascii="宋体" w:hAnsi="宋体" w:eastAsia="宋体" w:cs="宋体"/>
          <w:b/>
          <w:bCs/>
          <w:color w:val="000000"/>
          <w:sz w:val="24"/>
        </w:rPr>
        <w:t>功能房间</w:t>
      </w:r>
    </w:p>
    <w:p>
      <w:pPr>
        <w:spacing w:after="60" w:afterLines="25"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 xml:space="preserve"> 食堂后厨设计布局符合食品加工流程需求，由粗加工间、细加工间、副食制作间、主食加工间、主食储藏间、主食制作间、售卖间等组成。配洗消间、副食调料库、冷库（内冷藏、外保鲜）。</w:t>
      </w:r>
    </w:p>
    <w:p>
      <w:pPr>
        <w:jc w:val="left"/>
        <w:rPr>
          <w:rFonts w:hint="eastAsia" w:ascii="宋体" w:hAnsi="宋体" w:eastAsia="宋体" w:cs="宋体"/>
          <w:b/>
          <w:bCs/>
          <w:sz w:val="24"/>
          <w:lang w:val="zh-TW"/>
        </w:rPr>
      </w:pPr>
    </w:p>
    <w:p>
      <w:pPr>
        <w:rPr>
          <w:rFonts w:hint="eastAsia" w:ascii="宋体" w:hAnsi="宋体" w:eastAsia="宋体" w:cs="宋体"/>
          <w:b/>
          <w:bCs/>
          <w:sz w:val="24"/>
          <w:lang w:val="zh-TW"/>
        </w:rPr>
      </w:pPr>
      <w:r>
        <w:rPr>
          <w:rFonts w:hint="eastAsia" w:ascii="宋体" w:hAnsi="宋体" w:eastAsia="宋体" w:cs="宋体"/>
          <w:b/>
          <w:bCs/>
          <w:sz w:val="24"/>
        </w:rPr>
        <w:t>七</w:t>
      </w:r>
      <w:r>
        <w:rPr>
          <w:rFonts w:hint="eastAsia" w:ascii="宋体" w:hAnsi="宋体" w:eastAsia="宋体" w:cs="宋体"/>
          <w:b/>
          <w:bCs/>
          <w:sz w:val="24"/>
          <w:lang w:val="zh-TW"/>
        </w:rPr>
        <w:t>、设备清单</w:t>
      </w:r>
    </w:p>
    <w:p>
      <w:pPr>
        <w:spacing w:before="120" w:beforeLines="50" w:after="60" w:afterLines="25" w:line="400" w:lineRule="exact"/>
        <w:jc w:val="left"/>
        <w:rPr>
          <w:rStyle w:val="466"/>
          <w:rFonts w:hint="eastAsia" w:ascii="宋体" w:hAnsi="宋体" w:eastAsia="宋体" w:cs="宋体"/>
          <w:sz w:val="24"/>
          <w:lang w:val="zh-TW"/>
        </w:rPr>
      </w:pPr>
      <w:r>
        <w:rPr>
          <w:rStyle w:val="466"/>
          <w:rFonts w:hint="eastAsia" w:ascii="宋体" w:hAnsi="宋体" w:eastAsia="宋体" w:cs="宋体"/>
          <w:sz w:val="24"/>
          <w:lang w:val="zh-TW" w:eastAsia="zh-TW"/>
        </w:rPr>
        <w:t>注：实际设备清单以中标单位进场时核对结果为准。</w:t>
      </w:r>
    </w:p>
    <w:p>
      <w:pPr>
        <w:spacing w:before="120" w:beforeLines="50" w:after="60" w:afterLines="25" w:line="400" w:lineRule="exact"/>
        <w:jc w:val="center"/>
        <w:rPr>
          <w:rStyle w:val="466"/>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排烟、送风烟罩及烟罩消防系统货物说明一览表</w:t>
      </w:r>
    </w:p>
    <w:tbl>
      <w:tblPr>
        <w:tblStyle w:val="45"/>
        <w:tblW w:w="8237" w:type="dxa"/>
        <w:tblInd w:w="93" w:type="dxa"/>
        <w:tblLayout w:type="fixed"/>
        <w:tblCellMar>
          <w:top w:w="0" w:type="dxa"/>
          <w:left w:w="108" w:type="dxa"/>
          <w:bottom w:w="0" w:type="dxa"/>
          <w:right w:w="108" w:type="dxa"/>
        </w:tblCellMar>
      </w:tblPr>
      <w:tblGrid>
        <w:gridCol w:w="640"/>
        <w:gridCol w:w="4780"/>
        <w:gridCol w:w="2817"/>
      </w:tblGrid>
      <w:tr>
        <w:tblPrEx>
          <w:tblCellMar>
            <w:top w:w="0" w:type="dxa"/>
            <w:left w:w="108" w:type="dxa"/>
            <w:bottom w:w="0" w:type="dxa"/>
            <w:right w:w="108" w:type="dxa"/>
          </w:tblCellMar>
        </w:tblPrEx>
        <w:trPr>
          <w:trHeight w:val="270" w:hRule="atLeast"/>
          <w:tblHeader/>
        </w:trPr>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序号</w:t>
            </w:r>
          </w:p>
        </w:tc>
        <w:tc>
          <w:tcPr>
            <w:tcW w:w="47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设备名称</w:t>
            </w:r>
          </w:p>
        </w:tc>
        <w:tc>
          <w:tcPr>
            <w:tcW w:w="281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数量</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一</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海鲜加工间</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油网烟罩</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6.5</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二</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主食面点间</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油网烟罩</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三</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垃圾处理间</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排气罩</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四</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售餐区</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排气罩</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3.8</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五</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热菜厨房</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油网烟罩</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六</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小吃制作间</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油网烟罩</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1.8</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七</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清真厨房</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油网烟罩</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八</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烟罩消防系统</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回民厨房J13</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热菜厨房C14</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主食面点间D09</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海鲜加工间</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九</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排烟送风</w:t>
            </w:r>
          </w:p>
        </w:tc>
        <w:tc>
          <w:tcPr>
            <w:tcW w:w="2817" w:type="dxa"/>
            <w:tcBorders>
              <w:top w:val="nil"/>
              <w:left w:val="nil"/>
              <w:bottom w:val="single" w:color="auto" w:sz="4" w:space="0"/>
              <w:right w:val="single" w:color="auto" w:sz="4" w:space="0"/>
            </w:tcBorders>
            <w:shd w:val="clear" w:color="auto" w:fill="auto"/>
            <w:vAlign w:val="bottom"/>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低噪音排风机</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低噪音排风机</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高压静电油烟净化器连减震架</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高压静电油烟净化器连减震架</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排烟风机减震器</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排烟管道</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580</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18</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消音房</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19</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出口消声器</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出口弯头连网</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21</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防火阀</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22</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辅材</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23</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变频器控制箱</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十</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送风系统</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低噪音送风机</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低噪音送风机</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26</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送风机减震</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27</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送风管道</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460</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28</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出风口百叶</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29</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变频器控制箱</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30</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进风口弯头连网</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31</w:t>
            </w:r>
          </w:p>
        </w:tc>
        <w:tc>
          <w:tcPr>
            <w:tcW w:w="47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辅材</w:t>
            </w:r>
          </w:p>
        </w:tc>
        <w:tc>
          <w:tcPr>
            <w:tcW w:w="2817"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bl>
    <w:p>
      <w:pPr>
        <w:spacing w:before="120" w:beforeLines="50" w:after="60" w:afterLines="25" w:line="400" w:lineRule="exact"/>
        <w:jc w:val="left"/>
        <w:rPr>
          <w:rFonts w:hint="eastAsia" w:ascii="宋体" w:hAnsi="宋体" w:eastAsia="宋体" w:cs="宋体"/>
          <w:sz w:val="24"/>
          <w:szCs w:val="24"/>
        </w:rPr>
      </w:pPr>
    </w:p>
    <w:p>
      <w:pPr>
        <w:widowControl/>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设备一览表</w:t>
      </w:r>
    </w:p>
    <w:p>
      <w:pPr>
        <w:widowControl/>
        <w:spacing w:line="360" w:lineRule="auto"/>
        <w:jc w:val="center"/>
        <w:rPr>
          <w:rFonts w:hint="eastAsia" w:ascii="宋体" w:hAnsi="宋体" w:eastAsia="宋体" w:cs="宋体"/>
          <w:b/>
          <w:szCs w:val="21"/>
        </w:rPr>
      </w:pPr>
    </w:p>
    <w:tbl>
      <w:tblPr>
        <w:tblStyle w:val="45"/>
        <w:tblW w:w="8222" w:type="dxa"/>
        <w:tblInd w:w="108" w:type="dxa"/>
        <w:tblLayout w:type="fixed"/>
        <w:tblCellMar>
          <w:top w:w="0" w:type="dxa"/>
          <w:left w:w="108" w:type="dxa"/>
          <w:bottom w:w="0" w:type="dxa"/>
          <w:right w:w="108" w:type="dxa"/>
        </w:tblCellMar>
      </w:tblPr>
      <w:tblGrid>
        <w:gridCol w:w="881"/>
        <w:gridCol w:w="4506"/>
        <w:gridCol w:w="2835"/>
      </w:tblGrid>
      <w:tr>
        <w:tblPrEx>
          <w:tblCellMar>
            <w:top w:w="0" w:type="dxa"/>
            <w:left w:w="108" w:type="dxa"/>
            <w:bottom w:w="0" w:type="dxa"/>
            <w:right w:w="108" w:type="dxa"/>
          </w:tblCellMar>
        </w:tblPrEx>
        <w:trPr>
          <w:trHeight w:val="270" w:hRule="atLeast"/>
          <w:tblHeader/>
        </w:trPr>
        <w:tc>
          <w:tcPr>
            <w:tcW w:w="88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序号</w:t>
            </w:r>
          </w:p>
        </w:tc>
        <w:tc>
          <w:tcPr>
            <w:tcW w:w="450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设备名称</w:t>
            </w:r>
          </w:p>
        </w:tc>
        <w:tc>
          <w:tcPr>
            <w:tcW w:w="283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数量</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平台雪柜</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馒头机</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揉皮机</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四门碗柜</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面粉车</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p>
        </w:tc>
        <w:tc>
          <w:tcPr>
            <w:tcW w:w="4506"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垃圾处理间</w:t>
            </w:r>
          </w:p>
        </w:tc>
        <w:tc>
          <w:tcPr>
            <w:tcW w:w="2835"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6</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餐厨垃圾处理器</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7</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移动收盘车</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p>
        </w:tc>
        <w:tc>
          <w:tcPr>
            <w:tcW w:w="4506"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售餐区</w:t>
            </w:r>
          </w:p>
        </w:tc>
        <w:tc>
          <w:tcPr>
            <w:tcW w:w="2835"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8</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双星盆台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9</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坐台烤鸡炉</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10</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单门留样冰箱</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p>
        </w:tc>
        <w:tc>
          <w:tcPr>
            <w:tcW w:w="4506"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热菜厨房</w:t>
            </w:r>
          </w:p>
        </w:tc>
        <w:tc>
          <w:tcPr>
            <w:tcW w:w="2835"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11</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双星盆台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12</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平台雪柜</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13</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平台雪柜</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14</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单通荷台柜</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15</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坐台二层架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16</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调料柜车</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17</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四格锅具储物架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p>
        </w:tc>
        <w:tc>
          <w:tcPr>
            <w:tcW w:w="4506"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小吃制作间</w:t>
            </w:r>
          </w:p>
        </w:tc>
        <w:tc>
          <w:tcPr>
            <w:tcW w:w="2835"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18</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搅拌机</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19</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压面机</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20</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双层工作台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21</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木面案操作柜</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p>
        </w:tc>
        <w:tc>
          <w:tcPr>
            <w:tcW w:w="4506"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洗碗间/储碗间</w:t>
            </w:r>
          </w:p>
        </w:tc>
        <w:tc>
          <w:tcPr>
            <w:tcW w:w="2835"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22</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储碗柜</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6</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p>
        </w:tc>
        <w:tc>
          <w:tcPr>
            <w:tcW w:w="4506"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清真厨房</w:t>
            </w:r>
          </w:p>
        </w:tc>
        <w:tc>
          <w:tcPr>
            <w:tcW w:w="2835"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23</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双层工作台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24</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坐台式绞切机</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p>
        </w:tc>
        <w:tc>
          <w:tcPr>
            <w:tcW w:w="4506"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辅助设施</w:t>
            </w:r>
          </w:p>
        </w:tc>
        <w:tc>
          <w:tcPr>
            <w:tcW w:w="2835" w:type="dxa"/>
            <w:tcBorders>
              <w:top w:val="nil"/>
              <w:left w:val="nil"/>
              <w:bottom w:val="single" w:color="auto" w:sz="4" w:space="0"/>
              <w:right w:val="single" w:color="auto" w:sz="4" w:space="0"/>
            </w:tcBorders>
            <w:shd w:val="clear" w:color="000000" w:fill="D8D8D8"/>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25</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灭蝇灯</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10</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26</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净水器</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27</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冲地龙头</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28</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冻库</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29</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保鲜库</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30</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工作台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31</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平台菜架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32</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工作台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33</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工作台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34</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工作台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35</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工作台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36</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三星水池</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37</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单个水池</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p>
        </w:tc>
        <w:tc>
          <w:tcPr>
            <w:tcW w:w="7341"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负二层</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38</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两星水池</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39</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土豆去皮机</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40</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单个水池</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41</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工作台</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42</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四层菜架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43</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餐车</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3</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44</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二层货架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45</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四层货架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p>
        </w:tc>
        <w:tc>
          <w:tcPr>
            <w:tcW w:w="7341"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负一层</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46</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四开冰箱</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47</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四层货架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48</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恒泰联兴燃气蒸箱</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p>
        </w:tc>
        <w:tc>
          <w:tcPr>
            <w:tcW w:w="7341"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面点间</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49</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四层货架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50</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四层菜架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51</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四层货架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52</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电饼铛</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p>
        </w:tc>
        <w:tc>
          <w:tcPr>
            <w:tcW w:w="7341"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大灶间</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53</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六开门冰箱</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p>
        </w:tc>
        <w:tc>
          <w:tcPr>
            <w:tcW w:w="7341"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水饺间</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54</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单个水池</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55</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五层货架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56</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四层货架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p>
        </w:tc>
        <w:tc>
          <w:tcPr>
            <w:tcW w:w="7341"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洗刷间</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57</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四层货架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58</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四开门冰箱</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1</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p>
        </w:tc>
        <w:tc>
          <w:tcPr>
            <w:tcW w:w="7341"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清真间</w:t>
            </w:r>
          </w:p>
        </w:tc>
      </w:tr>
      <w:tr>
        <w:tblPrEx>
          <w:tblCellMar>
            <w:top w:w="0" w:type="dxa"/>
            <w:left w:w="108" w:type="dxa"/>
            <w:bottom w:w="0" w:type="dxa"/>
            <w:right w:w="108" w:type="dxa"/>
          </w:tblCellMar>
        </w:tblPrEx>
        <w:trPr>
          <w:trHeight w:val="270" w:hRule="atLeast"/>
        </w:trPr>
        <w:tc>
          <w:tcPr>
            <w:tcW w:w="88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59</w:t>
            </w:r>
          </w:p>
        </w:tc>
        <w:tc>
          <w:tcPr>
            <w:tcW w:w="450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四层货架</w:t>
            </w:r>
          </w:p>
        </w:tc>
        <w:tc>
          <w:tcPr>
            <w:tcW w:w="283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2</w:t>
            </w:r>
          </w:p>
        </w:tc>
      </w:tr>
    </w:tbl>
    <w:p>
      <w:pPr>
        <w:widowControl/>
        <w:spacing w:line="360" w:lineRule="auto"/>
        <w:jc w:val="left"/>
        <w:rPr>
          <w:rFonts w:hint="eastAsia" w:ascii="宋体" w:hAnsi="宋体" w:eastAsia="宋体" w:cs="宋体"/>
          <w:bCs/>
          <w:sz w:val="24"/>
          <w:szCs w:val="24"/>
        </w:rPr>
      </w:pPr>
    </w:p>
    <w:p>
      <w:pPr>
        <w:rPr>
          <w:rFonts w:hint="eastAsia" w:ascii="宋体" w:hAnsi="宋体" w:eastAsia="宋体" w:cs="宋体"/>
          <w:sz w:val="30"/>
          <w:szCs w:val="30"/>
        </w:rPr>
      </w:pPr>
      <w:r>
        <w:rPr>
          <w:rFonts w:hint="eastAsia" w:ascii="宋体" w:hAnsi="宋体" w:eastAsia="宋体" w:cs="宋体"/>
          <w:sz w:val="30"/>
          <w:szCs w:val="30"/>
        </w:rPr>
        <w:t>附件：</w:t>
      </w:r>
    </w:p>
    <w:p>
      <w:pPr>
        <w:pStyle w:val="463"/>
        <w:tabs>
          <w:tab w:val="left" w:pos="0"/>
        </w:tabs>
        <w:ind w:firstLine="0"/>
        <w:jc w:val="center"/>
        <w:rPr>
          <w:rFonts w:hint="eastAsia" w:ascii="宋体" w:hAnsi="宋体" w:eastAsia="宋体" w:cs="宋体"/>
          <w:b/>
          <w:bCs/>
          <w:sz w:val="28"/>
          <w:szCs w:val="28"/>
        </w:rPr>
      </w:pPr>
      <w:r>
        <w:rPr>
          <w:rFonts w:hint="eastAsia" w:ascii="宋体" w:hAnsi="宋体" w:eastAsia="宋体" w:cs="宋体"/>
          <w:b/>
          <w:bCs/>
          <w:color w:val="000000"/>
          <w:sz w:val="28"/>
          <w:szCs w:val="28"/>
        </w:rPr>
        <w:t>职工食堂服务考核评分表</w:t>
      </w:r>
    </w:p>
    <w:tbl>
      <w:tblPr>
        <w:tblStyle w:val="45"/>
        <w:tblW w:w="8416" w:type="dxa"/>
        <w:jc w:val="center"/>
        <w:tblLayout w:type="fixed"/>
        <w:tblCellMar>
          <w:top w:w="0" w:type="dxa"/>
          <w:left w:w="10" w:type="dxa"/>
          <w:bottom w:w="0" w:type="dxa"/>
          <w:right w:w="10" w:type="dxa"/>
        </w:tblCellMar>
      </w:tblPr>
      <w:tblGrid>
        <w:gridCol w:w="701"/>
        <w:gridCol w:w="4473"/>
        <w:gridCol w:w="844"/>
        <w:gridCol w:w="2398"/>
      </w:tblGrid>
      <w:tr>
        <w:tblPrEx>
          <w:tblCellMar>
            <w:top w:w="0" w:type="dxa"/>
            <w:left w:w="10" w:type="dxa"/>
            <w:bottom w:w="0" w:type="dxa"/>
            <w:right w:w="10" w:type="dxa"/>
          </w:tblCellMar>
        </w:tblPrEx>
        <w:trPr>
          <w:trHeight w:val="582" w:hRule="exact"/>
          <w:jc w:val="center"/>
        </w:trPr>
        <w:tc>
          <w:tcPr>
            <w:tcW w:w="701"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b/>
                <w:bCs/>
                <w:sz w:val="24"/>
                <w:szCs w:val="24"/>
              </w:rPr>
            </w:pPr>
            <w:r>
              <w:rPr>
                <w:rFonts w:hint="eastAsia" w:ascii="宋体" w:hAnsi="宋体" w:eastAsia="宋体" w:cs="宋体"/>
                <w:b/>
                <w:bCs/>
                <w:color w:val="000000"/>
                <w:sz w:val="24"/>
                <w:szCs w:val="24"/>
              </w:rPr>
              <w:t>检查内容</w:t>
            </w:r>
          </w:p>
        </w:tc>
        <w:tc>
          <w:tcPr>
            <w:tcW w:w="4473"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b/>
                <w:bCs/>
                <w:sz w:val="24"/>
                <w:szCs w:val="24"/>
              </w:rPr>
            </w:pPr>
            <w:r>
              <w:rPr>
                <w:rFonts w:hint="eastAsia" w:ascii="宋体" w:hAnsi="宋体" w:eastAsia="宋体" w:cs="宋体"/>
                <w:b/>
                <w:bCs/>
                <w:color w:val="000000"/>
                <w:sz w:val="24"/>
                <w:szCs w:val="24"/>
              </w:rPr>
              <w:t>服务标准</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b/>
                <w:bCs/>
                <w:sz w:val="24"/>
                <w:szCs w:val="24"/>
              </w:rPr>
            </w:pPr>
            <w:r>
              <w:rPr>
                <w:rFonts w:hint="eastAsia" w:ascii="宋体" w:hAnsi="宋体" w:eastAsia="宋体" w:cs="宋体"/>
                <w:b/>
                <w:bCs/>
                <w:color w:val="000000"/>
                <w:sz w:val="24"/>
                <w:szCs w:val="24"/>
              </w:rPr>
              <w:t>分值</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jc w:val="center"/>
              <w:rPr>
                <w:rFonts w:hint="eastAsia" w:ascii="宋体" w:hAnsi="宋体" w:eastAsia="宋体" w:cs="宋体"/>
                <w:b/>
                <w:bCs/>
                <w:sz w:val="24"/>
                <w:szCs w:val="24"/>
              </w:rPr>
            </w:pPr>
            <w:r>
              <w:rPr>
                <w:rFonts w:hint="eastAsia" w:ascii="宋体" w:hAnsi="宋体" w:eastAsia="宋体" w:cs="宋体"/>
                <w:b/>
                <w:bCs/>
                <w:color w:val="000000"/>
                <w:sz w:val="24"/>
                <w:szCs w:val="24"/>
              </w:rPr>
              <w:t>扣分细则达不到标准</w:t>
            </w:r>
          </w:p>
        </w:tc>
      </w:tr>
      <w:tr>
        <w:tblPrEx>
          <w:tblCellMar>
            <w:top w:w="0" w:type="dxa"/>
            <w:left w:w="10" w:type="dxa"/>
            <w:bottom w:w="0" w:type="dxa"/>
            <w:right w:w="10" w:type="dxa"/>
          </w:tblCellMar>
        </w:tblPrEx>
        <w:trPr>
          <w:trHeight w:val="1313" w:hRule="exact"/>
          <w:jc w:val="center"/>
        </w:trPr>
        <w:tc>
          <w:tcPr>
            <w:tcW w:w="701" w:type="dxa"/>
            <w:vMerge w:val="restart"/>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制度管理</w:t>
            </w:r>
          </w:p>
        </w:tc>
        <w:tc>
          <w:tcPr>
            <w:tcW w:w="4473" w:type="dxa"/>
            <w:tcBorders>
              <w:top w:val="single" w:color="auto" w:sz="4" w:space="0"/>
              <w:left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岗位责任制、卫生管理制度、食材管理制度、食品管理制度、安全管理制度、能源管理制度、财务管理制度、库房管理制度、设备管理制度、垃圾分类和厨余垃圾管理制度等。</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8</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缺一项扣</w:t>
            </w:r>
            <w:r>
              <w:rPr>
                <w:rFonts w:hint="eastAsia" w:ascii="宋体" w:hAnsi="宋体" w:eastAsia="宋体" w:cs="宋体"/>
                <w:color w:val="000000"/>
                <w:sz w:val="24"/>
                <w:szCs w:val="24"/>
                <w:lang w:val="en-US" w:eastAsia="en-US" w:bidi="en-US"/>
              </w:rPr>
              <w:t>0.</w:t>
            </w:r>
            <w:r>
              <w:rPr>
                <w:rFonts w:hint="eastAsia" w:ascii="宋体" w:hAnsi="宋体" w:eastAsia="宋体" w:cs="宋体"/>
                <w:color w:val="000000"/>
                <w:sz w:val="24"/>
                <w:szCs w:val="24"/>
              </w:rPr>
              <w:t>5分</w:t>
            </w:r>
          </w:p>
        </w:tc>
      </w:tr>
      <w:tr>
        <w:tblPrEx>
          <w:tblCellMar>
            <w:top w:w="0" w:type="dxa"/>
            <w:left w:w="10" w:type="dxa"/>
            <w:bottom w:w="0" w:type="dxa"/>
            <w:right w:w="10" w:type="dxa"/>
          </w:tblCellMar>
        </w:tblPrEx>
        <w:trPr>
          <w:trHeight w:val="705" w:hRule="exact"/>
          <w:jc w:val="center"/>
        </w:trPr>
        <w:tc>
          <w:tcPr>
            <w:tcW w:w="701" w:type="dxa"/>
            <w:vMerge w:val="continue"/>
            <w:tcBorders>
              <w:left w:val="single" w:color="auto" w:sz="4" w:space="0"/>
              <w:bottom w:val="single" w:color="auto" w:sz="4" w:space="0"/>
            </w:tcBorders>
            <w:shd w:val="clear" w:color="auto" w:fill="auto"/>
            <w:vAlign w:val="center"/>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bottom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从业人员须持有健康证，健康证需在</w:t>
            </w:r>
          </w:p>
          <w:p>
            <w:pPr>
              <w:pStyle w:val="464"/>
              <w:tabs>
                <w:tab w:val="left" w:pos="3772"/>
              </w:tabs>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有效期内且“上墙”管理。</w:t>
            </w:r>
            <w:r>
              <w:rPr>
                <w:rFonts w:hint="eastAsia" w:ascii="宋体" w:hAnsi="宋体" w:eastAsia="宋体" w:cs="宋体"/>
                <w:color w:val="000000"/>
                <w:sz w:val="24"/>
                <w:szCs w:val="24"/>
              </w:rPr>
              <w:tab/>
            </w:r>
          </w:p>
        </w:tc>
        <w:tc>
          <w:tcPr>
            <w:tcW w:w="844" w:type="dxa"/>
            <w:tcBorders>
              <w:top w:val="single" w:color="auto" w:sz="4" w:space="0"/>
              <w:left w:val="single" w:color="auto" w:sz="4" w:space="0"/>
              <w:bottom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不符合要求，扣3分</w:t>
            </w:r>
          </w:p>
        </w:tc>
      </w:tr>
      <w:tr>
        <w:tblPrEx>
          <w:tblCellMar>
            <w:top w:w="0" w:type="dxa"/>
            <w:left w:w="10" w:type="dxa"/>
            <w:bottom w:w="0" w:type="dxa"/>
            <w:right w:w="10" w:type="dxa"/>
          </w:tblCellMar>
        </w:tblPrEx>
        <w:trPr>
          <w:trHeight w:val="1348" w:hRule="exact"/>
          <w:jc w:val="center"/>
        </w:trPr>
        <w:tc>
          <w:tcPr>
            <w:tcW w:w="701" w:type="dxa"/>
            <w:vMerge w:val="restart"/>
            <w:tcBorders>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人员管理</w:t>
            </w:r>
          </w:p>
        </w:tc>
        <w:tc>
          <w:tcPr>
            <w:tcW w:w="4473" w:type="dxa"/>
            <w:tcBorders>
              <w:left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着装统一，整洁，规范（不得敞胸露怀，不得卷袖卷裤腿），胸牌佩戴指定位置，从业人员穿戴整洁工作衣帽，个人卫生良好，手指甲不超</w:t>
            </w:r>
            <w:r>
              <w:rPr>
                <w:rFonts w:hint="eastAsia" w:ascii="宋体" w:hAnsi="宋体" w:eastAsia="宋体" w:cs="宋体"/>
                <w:color w:val="000000"/>
                <w:sz w:val="24"/>
                <w:szCs w:val="24"/>
                <w:lang w:val="en-US" w:bidi="en-US"/>
              </w:rPr>
              <w:t>1.5mm</w:t>
            </w:r>
          </w:p>
        </w:tc>
        <w:tc>
          <w:tcPr>
            <w:tcW w:w="844" w:type="dxa"/>
            <w:tcBorders>
              <w:left w:val="single" w:color="auto" w:sz="4" w:space="0"/>
            </w:tcBorders>
            <w:shd w:val="clear" w:color="auto" w:fill="auto"/>
          </w:tcPr>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2398" w:type="dxa"/>
            <w:tcBorders>
              <w:left w:val="single" w:color="auto" w:sz="4" w:space="0"/>
              <w:right w:val="single" w:color="auto" w:sz="4" w:space="0"/>
            </w:tcBorders>
            <w:shd w:val="clear" w:color="auto" w:fill="auto"/>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不符合要求，每人次</w:t>
            </w:r>
          </w:p>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扣</w:t>
            </w:r>
            <w:r>
              <w:rPr>
                <w:rFonts w:hint="eastAsia" w:ascii="宋体" w:hAnsi="宋体" w:eastAsia="宋体" w:cs="宋体"/>
                <w:color w:val="000000"/>
                <w:sz w:val="24"/>
                <w:szCs w:val="24"/>
                <w:lang w:val="en-US" w:bidi="en-US"/>
              </w:rPr>
              <w:t>0.</w:t>
            </w:r>
            <w:r>
              <w:rPr>
                <w:rFonts w:hint="eastAsia" w:ascii="宋体" w:hAnsi="宋体" w:eastAsia="宋体" w:cs="宋体"/>
                <w:color w:val="000000"/>
                <w:sz w:val="24"/>
                <w:szCs w:val="24"/>
              </w:rPr>
              <w:t>5分</w:t>
            </w:r>
          </w:p>
        </w:tc>
      </w:tr>
      <w:tr>
        <w:tblPrEx>
          <w:tblCellMar>
            <w:top w:w="0" w:type="dxa"/>
            <w:left w:w="10" w:type="dxa"/>
            <w:bottom w:w="0" w:type="dxa"/>
            <w:right w:w="10" w:type="dxa"/>
          </w:tblCellMar>
        </w:tblPrEx>
        <w:trPr>
          <w:trHeight w:val="1011" w:hRule="exact"/>
          <w:jc w:val="center"/>
        </w:trPr>
        <w:tc>
          <w:tcPr>
            <w:tcW w:w="701" w:type="dxa"/>
            <w:vMerge w:val="continue"/>
            <w:tcBorders>
              <w:left w:val="single" w:color="auto" w:sz="4" w:space="0"/>
            </w:tcBorders>
            <w:shd w:val="clear" w:color="auto" w:fill="auto"/>
            <w:vAlign w:val="center"/>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态度和蔼，热情，做到微笑服务；使用礼貌用语如：“您好”，“欢迎您”，“不客气”“您慢走”等。</w:t>
            </w:r>
          </w:p>
        </w:tc>
        <w:tc>
          <w:tcPr>
            <w:tcW w:w="844" w:type="dxa"/>
            <w:tcBorders>
              <w:top w:val="single" w:color="auto" w:sz="4" w:space="0"/>
              <w:left w:val="single" w:color="auto" w:sz="4" w:space="0"/>
            </w:tcBorders>
            <w:shd w:val="clear" w:color="auto" w:fill="auto"/>
          </w:tcPr>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2398" w:type="dxa"/>
            <w:tcBorders>
              <w:top w:val="single" w:color="auto" w:sz="4" w:space="0"/>
              <w:left w:val="single" w:color="auto" w:sz="4" w:space="0"/>
              <w:right w:val="single" w:color="auto" w:sz="4" w:space="0"/>
            </w:tcBorders>
            <w:shd w:val="clear" w:color="auto" w:fill="auto"/>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不符合要求，每人次</w:t>
            </w:r>
          </w:p>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扣</w:t>
            </w:r>
            <w:r>
              <w:rPr>
                <w:rFonts w:hint="eastAsia" w:ascii="宋体" w:hAnsi="宋体" w:eastAsia="宋体" w:cs="宋体"/>
                <w:color w:val="000000"/>
                <w:sz w:val="24"/>
                <w:szCs w:val="24"/>
                <w:lang w:val="en-US" w:bidi="en-US"/>
              </w:rPr>
              <w:t>0.</w:t>
            </w:r>
            <w:r>
              <w:rPr>
                <w:rFonts w:hint="eastAsia" w:ascii="宋体" w:hAnsi="宋体" w:eastAsia="宋体" w:cs="宋体"/>
                <w:color w:val="000000"/>
                <w:sz w:val="24"/>
                <w:szCs w:val="24"/>
              </w:rPr>
              <w:t>5分</w:t>
            </w:r>
          </w:p>
        </w:tc>
      </w:tr>
      <w:tr>
        <w:tblPrEx>
          <w:tblCellMar>
            <w:top w:w="0" w:type="dxa"/>
            <w:left w:w="10" w:type="dxa"/>
            <w:bottom w:w="0" w:type="dxa"/>
            <w:right w:w="10" w:type="dxa"/>
          </w:tblCellMar>
        </w:tblPrEx>
        <w:trPr>
          <w:trHeight w:val="1352" w:hRule="exact"/>
          <w:jc w:val="center"/>
        </w:trPr>
        <w:tc>
          <w:tcPr>
            <w:tcW w:w="701" w:type="dxa"/>
            <w:vMerge w:val="continue"/>
            <w:tcBorders>
              <w:left w:val="single" w:color="auto" w:sz="4" w:space="0"/>
            </w:tcBorders>
            <w:shd w:val="clear" w:color="auto" w:fill="auto"/>
            <w:vAlign w:val="center"/>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不得做与工作无关的事：上岗不得吸烟、吃零食、嚼口香糖。吹口哨、听收录机、玩手机、接（打）私人电话，与人闲聊、大声喧哗或与人争吵、打瞌睡等</w:t>
            </w:r>
          </w:p>
        </w:tc>
        <w:tc>
          <w:tcPr>
            <w:tcW w:w="844" w:type="dxa"/>
            <w:tcBorders>
              <w:top w:val="single" w:color="auto" w:sz="4" w:space="0"/>
              <w:left w:val="single" w:color="auto" w:sz="4" w:space="0"/>
            </w:tcBorders>
            <w:shd w:val="clear" w:color="auto" w:fill="auto"/>
          </w:tcPr>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2398" w:type="dxa"/>
            <w:tcBorders>
              <w:top w:val="single" w:color="auto" w:sz="4" w:space="0"/>
              <w:left w:val="single" w:color="auto" w:sz="4" w:space="0"/>
              <w:right w:val="single" w:color="auto" w:sz="4" w:space="0"/>
            </w:tcBorders>
            <w:shd w:val="clear" w:color="auto" w:fill="auto"/>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不符合要求，每人次</w:t>
            </w:r>
          </w:p>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扣</w:t>
            </w:r>
            <w:r>
              <w:rPr>
                <w:rFonts w:hint="eastAsia" w:ascii="宋体" w:hAnsi="宋体" w:eastAsia="宋体" w:cs="宋体"/>
                <w:color w:val="000000"/>
                <w:sz w:val="24"/>
                <w:szCs w:val="24"/>
                <w:lang w:val="en-US" w:bidi="en-US"/>
              </w:rPr>
              <w:t>0.</w:t>
            </w:r>
            <w:r>
              <w:rPr>
                <w:rFonts w:hint="eastAsia" w:ascii="宋体" w:hAnsi="宋体" w:eastAsia="宋体" w:cs="宋体"/>
                <w:color w:val="000000"/>
                <w:sz w:val="24"/>
                <w:szCs w:val="24"/>
              </w:rPr>
              <w:t>5分</w:t>
            </w:r>
          </w:p>
        </w:tc>
      </w:tr>
      <w:tr>
        <w:tblPrEx>
          <w:tblCellMar>
            <w:top w:w="0" w:type="dxa"/>
            <w:left w:w="10" w:type="dxa"/>
            <w:bottom w:w="0" w:type="dxa"/>
            <w:right w:w="10" w:type="dxa"/>
          </w:tblCellMar>
        </w:tblPrEx>
        <w:trPr>
          <w:trHeight w:val="1031" w:hRule="exact"/>
          <w:jc w:val="center"/>
        </w:trPr>
        <w:tc>
          <w:tcPr>
            <w:tcW w:w="701" w:type="dxa"/>
            <w:vMerge w:val="restart"/>
            <w:tcBorders>
              <w:top w:val="single" w:color="auto" w:sz="4" w:space="0"/>
              <w:lef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卫生管理</w:t>
            </w:r>
          </w:p>
        </w:tc>
        <w:tc>
          <w:tcPr>
            <w:tcW w:w="4473" w:type="dxa"/>
            <w:tcBorders>
              <w:top w:val="single" w:color="auto" w:sz="4" w:space="0"/>
              <w:left w:val="single" w:color="auto" w:sz="4" w:space="0"/>
            </w:tcBorders>
            <w:shd w:val="clear" w:color="auto" w:fill="auto"/>
          </w:tcPr>
          <w:p>
            <w:pPr>
              <w:pStyle w:val="464"/>
              <w:tabs>
                <w:tab w:val="left" w:pos="3762"/>
              </w:tabs>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保持前厅、桌椅、地面、售饭区等区域整洁，确保洗手液、餐巾纸供应，售饭时增派人员打扫清洁</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lang w:val="en-US" w:bidi="en-US"/>
              </w:rPr>
              <w:t>0.</w:t>
            </w:r>
            <w:r>
              <w:rPr>
                <w:rFonts w:hint="eastAsia" w:ascii="宋体" w:hAnsi="宋体" w:eastAsia="宋体" w:cs="宋体"/>
                <w:color w:val="000000"/>
                <w:sz w:val="24"/>
                <w:szCs w:val="24"/>
              </w:rPr>
              <w:t>5分</w:t>
            </w:r>
          </w:p>
        </w:tc>
      </w:tr>
      <w:tr>
        <w:tblPrEx>
          <w:tblCellMar>
            <w:top w:w="0" w:type="dxa"/>
            <w:left w:w="10" w:type="dxa"/>
            <w:bottom w:w="0" w:type="dxa"/>
            <w:right w:w="10" w:type="dxa"/>
          </w:tblCellMar>
        </w:tblPrEx>
        <w:trPr>
          <w:trHeight w:val="672" w:hRule="exact"/>
          <w:jc w:val="center"/>
        </w:trPr>
        <w:tc>
          <w:tcPr>
            <w:tcW w:w="701" w:type="dxa"/>
            <w:vMerge w:val="continue"/>
            <w:tcBorders>
              <w:left w:val="single" w:color="auto" w:sz="4" w:space="0"/>
            </w:tcBorders>
            <w:shd w:val="clear" w:color="auto" w:fill="auto"/>
            <w:vAlign w:val="center"/>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保持区域整洁，各类厨具、调料、食材固定区域整齐放置，厨具等工具定期消毒</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1分</w:t>
            </w:r>
          </w:p>
        </w:tc>
      </w:tr>
      <w:tr>
        <w:tblPrEx>
          <w:tblCellMar>
            <w:top w:w="0" w:type="dxa"/>
            <w:left w:w="10" w:type="dxa"/>
            <w:bottom w:w="0" w:type="dxa"/>
            <w:right w:w="10" w:type="dxa"/>
          </w:tblCellMar>
        </w:tblPrEx>
        <w:trPr>
          <w:trHeight w:val="660" w:hRule="exact"/>
          <w:jc w:val="center"/>
        </w:trPr>
        <w:tc>
          <w:tcPr>
            <w:tcW w:w="701" w:type="dxa"/>
            <w:vMerge w:val="restart"/>
            <w:tcBorders>
              <w:top w:val="single" w:color="auto" w:sz="4" w:space="0"/>
              <w:lef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运营管理</w:t>
            </w:r>
          </w:p>
        </w:tc>
        <w:tc>
          <w:tcPr>
            <w:tcW w:w="4473" w:type="dxa"/>
            <w:tcBorders>
              <w:top w:val="single" w:color="auto" w:sz="4" w:space="0"/>
              <w:left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做好全员生活垃圾分类培训1,确保全员应知应会。做好厨余垃圾计量记录及运送工作。</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10</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2分</w:t>
            </w:r>
          </w:p>
        </w:tc>
      </w:tr>
      <w:tr>
        <w:tblPrEx>
          <w:tblCellMar>
            <w:top w:w="0" w:type="dxa"/>
            <w:left w:w="10" w:type="dxa"/>
            <w:bottom w:w="0" w:type="dxa"/>
            <w:right w:w="10" w:type="dxa"/>
          </w:tblCellMar>
        </w:tblPrEx>
        <w:trPr>
          <w:trHeight w:val="631" w:hRule="exact"/>
          <w:jc w:val="center"/>
        </w:trPr>
        <w:tc>
          <w:tcPr>
            <w:tcW w:w="701" w:type="dxa"/>
            <w:vMerge w:val="continue"/>
            <w:tcBorders>
              <w:left w:val="single" w:color="auto" w:sz="4" w:space="0"/>
            </w:tcBorders>
            <w:shd w:val="clear" w:color="auto" w:fill="auto"/>
            <w:vAlign w:val="center"/>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u w:val="single"/>
              </w:rPr>
              <w:t>做好隔油池清理工作</w:t>
            </w:r>
            <w:r>
              <w:rPr>
                <w:rFonts w:hint="eastAsia" w:ascii="宋体" w:hAnsi="宋体" w:eastAsia="宋体" w:cs="宋体"/>
                <w:color w:val="000000"/>
                <w:sz w:val="24"/>
                <w:szCs w:val="24"/>
              </w:rPr>
              <w:t>，严格管理废弃油脂，禁止回收再利用，可追溯废弃油脂去向</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tabs>
                <w:tab w:val="left" w:pos="2232"/>
              </w:tabs>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2分</w:t>
            </w:r>
            <w:r>
              <w:rPr>
                <w:rFonts w:hint="eastAsia" w:ascii="宋体" w:hAnsi="宋体" w:eastAsia="宋体" w:cs="宋体"/>
                <w:color w:val="000000"/>
                <w:sz w:val="24"/>
                <w:szCs w:val="24"/>
              </w:rPr>
              <w:tab/>
            </w:r>
            <w:r>
              <w:rPr>
                <w:rFonts w:hint="eastAsia" w:ascii="宋体" w:hAnsi="宋体" w:eastAsia="宋体" w:cs="宋体"/>
                <w:color w:val="000000"/>
                <w:sz w:val="24"/>
                <w:szCs w:val="24"/>
              </w:rPr>
              <w:t>；</w:t>
            </w:r>
          </w:p>
        </w:tc>
      </w:tr>
      <w:tr>
        <w:tblPrEx>
          <w:tblCellMar>
            <w:top w:w="0" w:type="dxa"/>
            <w:left w:w="10" w:type="dxa"/>
            <w:bottom w:w="0" w:type="dxa"/>
            <w:right w:w="10" w:type="dxa"/>
          </w:tblCellMar>
        </w:tblPrEx>
        <w:trPr>
          <w:trHeight w:val="988" w:hRule="exact"/>
          <w:jc w:val="center"/>
        </w:trPr>
        <w:tc>
          <w:tcPr>
            <w:tcW w:w="701" w:type="dxa"/>
            <w:vMerge w:val="continue"/>
            <w:tcBorders>
              <w:left w:val="single" w:color="auto" w:sz="4" w:space="0"/>
              <w:bottom w:val="single" w:color="auto" w:sz="4" w:space="0"/>
            </w:tcBorders>
            <w:shd w:val="clear" w:color="auto" w:fill="auto"/>
            <w:vAlign w:val="center"/>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bottom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各类食材必须从正规市场购入，提供原材料采购点的营业执照、食品经营许可证等资质，符合国家有关食品安全方面的规定</w:t>
            </w:r>
          </w:p>
        </w:tc>
        <w:tc>
          <w:tcPr>
            <w:tcW w:w="844" w:type="dxa"/>
            <w:tcBorders>
              <w:top w:val="single" w:color="auto" w:sz="4" w:space="0"/>
              <w:left w:val="single" w:color="auto" w:sz="4" w:space="0"/>
              <w:bottom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10</w:t>
            </w:r>
          </w:p>
        </w:tc>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3分</w:t>
            </w:r>
          </w:p>
        </w:tc>
      </w:tr>
      <w:tr>
        <w:tblPrEx>
          <w:tblCellMar>
            <w:top w:w="0" w:type="dxa"/>
            <w:left w:w="10" w:type="dxa"/>
            <w:bottom w:w="0" w:type="dxa"/>
            <w:right w:w="10" w:type="dxa"/>
          </w:tblCellMar>
        </w:tblPrEx>
        <w:trPr>
          <w:trHeight w:val="683" w:hRule="exact"/>
          <w:jc w:val="center"/>
        </w:trPr>
        <w:tc>
          <w:tcPr>
            <w:tcW w:w="701" w:type="dxa"/>
            <w:vMerge w:val="restart"/>
            <w:tcBorders>
              <w:top w:val="single" w:color="auto" w:sz="4" w:space="0"/>
              <w:left w:val="single" w:color="auto" w:sz="4" w:space="0"/>
            </w:tcBorders>
            <w:shd w:val="clear" w:color="auto" w:fill="auto"/>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专人负责食品留样管理，确保留样真实，数量、重量、保存环境符合食品留样管理规定</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2分</w:t>
            </w:r>
          </w:p>
        </w:tc>
      </w:tr>
      <w:tr>
        <w:tblPrEx>
          <w:tblCellMar>
            <w:top w:w="0" w:type="dxa"/>
            <w:left w:w="10" w:type="dxa"/>
            <w:bottom w:w="0" w:type="dxa"/>
            <w:right w:w="10" w:type="dxa"/>
          </w:tblCellMar>
        </w:tblPrEx>
        <w:trPr>
          <w:trHeight w:val="718" w:hRule="exact"/>
          <w:jc w:val="center"/>
        </w:trPr>
        <w:tc>
          <w:tcPr>
            <w:tcW w:w="701" w:type="dxa"/>
            <w:vMerge w:val="continue"/>
            <w:tcBorders>
              <w:left w:val="single" w:color="auto" w:sz="4" w:space="0"/>
            </w:tcBorders>
            <w:shd w:val="clear" w:color="auto" w:fill="auto"/>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库存食材满足规范要求，名称、生产日期、保质期标注清晰，采购流程清晰，记录完整。</w:t>
            </w:r>
          </w:p>
        </w:tc>
        <w:tc>
          <w:tcPr>
            <w:tcW w:w="844" w:type="dxa"/>
            <w:tcBorders>
              <w:top w:val="single" w:color="auto" w:sz="4" w:space="0"/>
              <w:left w:val="single" w:color="auto" w:sz="4" w:space="0"/>
            </w:tcBorders>
            <w:shd w:val="clear" w:color="auto" w:fill="auto"/>
          </w:tcPr>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color w:val="000000"/>
                <w:sz w:val="24"/>
                <w:szCs w:val="24"/>
              </w:rPr>
            </w:pPr>
          </w:p>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1分</w:t>
            </w:r>
          </w:p>
        </w:tc>
      </w:tr>
      <w:tr>
        <w:tblPrEx>
          <w:tblCellMar>
            <w:top w:w="0" w:type="dxa"/>
            <w:left w:w="10" w:type="dxa"/>
            <w:bottom w:w="0" w:type="dxa"/>
            <w:right w:w="10" w:type="dxa"/>
          </w:tblCellMar>
        </w:tblPrEx>
        <w:trPr>
          <w:trHeight w:val="644" w:hRule="exact"/>
          <w:jc w:val="center"/>
        </w:trPr>
        <w:tc>
          <w:tcPr>
            <w:tcW w:w="701" w:type="dxa"/>
            <w:vMerge w:val="continue"/>
            <w:tcBorders>
              <w:left w:val="single" w:color="auto" w:sz="4" w:space="0"/>
            </w:tcBorders>
            <w:shd w:val="clear" w:color="auto" w:fill="auto"/>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tcBorders>
            <w:shd w:val="clear" w:color="auto" w:fill="auto"/>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定期检修灶具、蒸箱、排烟风机、油水分离器等设备，巡检维修记录完善。</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10</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1分</w:t>
            </w:r>
          </w:p>
        </w:tc>
      </w:tr>
      <w:tr>
        <w:tblPrEx>
          <w:tblCellMar>
            <w:top w:w="0" w:type="dxa"/>
            <w:left w:w="10" w:type="dxa"/>
            <w:bottom w:w="0" w:type="dxa"/>
            <w:right w:w="10" w:type="dxa"/>
          </w:tblCellMar>
        </w:tblPrEx>
        <w:trPr>
          <w:trHeight w:val="616" w:hRule="exact"/>
          <w:jc w:val="center"/>
        </w:trPr>
        <w:tc>
          <w:tcPr>
            <w:tcW w:w="701" w:type="dxa"/>
            <w:vMerge w:val="restart"/>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安全管理</w:t>
            </w:r>
          </w:p>
        </w:tc>
        <w:tc>
          <w:tcPr>
            <w:tcW w:w="4473" w:type="dxa"/>
            <w:tcBorders>
              <w:top w:val="single" w:color="auto" w:sz="4" w:space="0"/>
              <w:lef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定期对员工进行安全生产培训，并做好培训记录（用电、防火等）</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1分</w:t>
            </w:r>
          </w:p>
        </w:tc>
      </w:tr>
      <w:tr>
        <w:tblPrEx>
          <w:tblCellMar>
            <w:top w:w="0" w:type="dxa"/>
            <w:left w:w="10" w:type="dxa"/>
            <w:bottom w:w="0" w:type="dxa"/>
            <w:right w:w="10" w:type="dxa"/>
          </w:tblCellMar>
        </w:tblPrEx>
        <w:trPr>
          <w:trHeight w:val="692" w:hRule="exact"/>
          <w:jc w:val="center"/>
        </w:trPr>
        <w:tc>
          <w:tcPr>
            <w:tcW w:w="701" w:type="dxa"/>
            <w:vMerge w:val="continue"/>
            <w:tcBorders>
              <w:left w:val="single" w:color="auto" w:sz="4" w:space="0"/>
            </w:tcBorders>
            <w:shd w:val="clear" w:color="auto" w:fill="auto"/>
            <w:vAlign w:val="center"/>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定期巡检燃气设备、表间、阀门、管道、电器柜、线路等，并做巡检记录</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jc w:val="left"/>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1分</w:t>
            </w:r>
          </w:p>
        </w:tc>
      </w:tr>
      <w:tr>
        <w:tblPrEx>
          <w:tblCellMar>
            <w:top w:w="0" w:type="dxa"/>
            <w:left w:w="10" w:type="dxa"/>
            <w:bottom w:w="0" w:type="dxa"/>
            <w:right w:w="10" w:type="dxa"/>
          </w:tblCellMar>
        </w:tblPrEx>
        <w:trPr>
          <w:trHeight w:val="564" w:hRule="exact"/>
          <w:jc w:val="center"/>
        </w:trPr>
        <w:tc>
          <w:tcPr>
            <w:tcW w:w="701" w:type="dxa"/>
            <w:vMerge w:val="continue"/>
            <w:tcBorders>
              <w:left w:val="single" w:color="auto" w:sz="4" w:space="0"/>
            </w:tcBorders>
            <w:shd w:val="clear" w:color="auto" w:fill="auto"/>
            <w:vAlign w:val="center"/>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定期进行应急处置演练，并做好应急演练记录</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tabs>
                <w:tab w:val="left" w:pos="2217"/>
              </w:tabs>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1分</w:t>
            </w:r>
            <w:r>
              <w:rPr>
                <w:rFonts w:hint="eastAsia" w:ascii="宋体" w:hAnsi="宋体" w:eastAsia="宋体" w:cs="宋体"/>
                <w:color w:val="000000"/>
                <w:sz w:val="24"/>
                <w:szCs w:val="24"/>
              </w:rPr>
              <w:tab/>
            </w:r>
            <w:r>
              <w:rPr>
                <w:rFonts w:hint="eastAsia" w:ascii="宋体" w:hAnsi="宋体" w:eastAsia="宋体" w:cs="宋体"/>
                <w:color w:val="000000"/>
                <w:sz w:val="24"/>
                <w:szCs w:val="24"/>
              </w:rPr>
              <w:t>，</w:t>
            </w:r>
          </w:p>
        </w:tc>
      </w:tr>
      <w:tr>
        <w:tblPrEx>
          <w:tblCellMar>
            <w:top w:w="0" w:type="dxa"/>
            <w:left w:w="10" w:type="dxa"/>
            <w:bottom w:w="0" w:type="dxa"/>
            <w:right w:w="10" w:type="dxa"/>
          </w:tblCellMar>
        </w:tblPrEx>
        <w:trPr>
          <w:trHeight w:val="649" w:hRule="exact"/>
          <w:jc w:val="center"/>
        </w:trPr>
        <w:tc>
          <w:tcPr>
            <w:tcW w:w="701" w:type="dxa"/>
            <w:vMerge w:val="restart"/>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能源管理</w:t>
            </w:r>
          </w:p>
        </w:tc>
        <w:tc>
          <w:tcPr>
            <w:tcW w:w="4473" w:type="dxa"/>
            <w:tcBorders>
              <w:top w:val="single" w:color="auto" w:sz="4" w:space="0"/>
              <w:lef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建立燃气、水、电能源管理台账，确保信息真实准确</w:t>
            </w:r>
          </w:p>
        </w:tc>
        <w:tc>
          <w:tcPr>
            <w:tcW w:w="844" w:type="dxa"/>
            <w:tcBorders>
              <w:top w:val="single" w:color="auto" w:sz="4" w:space="0"/>
              <w:left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10</w:t>
            </w:r>
          </w:p>
        </w:tc>
        <w:tc>
          <w:tcPr>
            <w:tcW w:w="2398" w:type="dxa"/>
            <w:tcBorders>
              <w:top w:val="single" w:color="auto" w:sz="4" w:space="0"/>
              <w:left w:val="single" w:color="auto" w:sz="4" w:space="0"/>
              <w:righ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2分</w:t>
            </w:r>
          </w:p>
        </w:tc>
      </w:tr>
      <w:tr>
        <w:tblPrEx>
          <w:tblCellMar>
            <w:top w:w="0" w:type="dxa"/>
            <w:left w:w="10" w:type="dxa"/>
            <w:bottom w:w="0" w:type="dxa"/>
            <w:right w:w="10" w:type="dxa"/>
          </w:tblCellMar>
        </w:tblPrEx>
        <w:trPr>
          <w:trHeight w:val="695" w:hRule="exact"/>
          <w:jc w:val="center"/>
        </w:trPr>
        <w:tc>
          <w:tcPr>
            <w:tcW w:w="701" w:type="dxa"/>
            <w:vMerge w:val="continue"/>
            <w:tcBorders>
              <w:left w:val="single" w:color="auto" w:sz="4" w:space="0"/>
              <w:bottom w:val="single" w:color="auto" w:sz="4" w:space="0"/>
            </w:tcBorders>
            <w:shd w:val="clear" w:color="auto" w:fill="auto"/>
            <w:vAlign w:val="center"/>
          </w:tcPr>
          <w:p>
            <w:pPr>
              <w:spacing w:line="320" w:lineRule="exact"/>
              <w:rPr>
                <w:rFonts w:hint="eastAsia" w:ascii="宋体" w:hAnsi="宋体" w:eastAsia="宋体" w:cs="宋体"/>
                <w:sz w:val="24"/>
                <w:szCs w:val="24"/>
              </w:rPr>
            </w:pPr>
          </w:p>
        </w:tc>
        <w:tc>
          <w:tcPr>
            <w:tcW w:w="4473" w:type="dxa"/>
            <w:tcBorders>
              <w:top w:val="single" w:color="auto" w:sz="4" w:space="0"/>
              <w:left w:val="single" w:color="auto" w:sz="4" w:space="0"/>
              <w:bottom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定期进行节水、节电等节能管理培训，并做好相关记录</w:t>
            </w:r>
          </w:p>
        </w:tc>
        <w:tc>
          <w:tcPr>
            <w:tcW w:w="844" w:type="dxa"/>
            <w:tcBorders>
              <w:top w:val="single" w:color="auto" w:sz="4" w:space="0"/>
              <w:left w:val="single" w:color="auto" w:sz="4" w:space="0"/>
              <w:bottom w:val="single" w:color="auto" w:sz="4" w:space="0"/>
            </w:tcBorders>
            <w:shd w:val="clear" w:color="auto" w:fill="auto"/>
            <w:vAlign w:val="center"/>
          </w:tcPr>
          <w:p>
            <w:pPr>
              <w:pStyle w:val="464"/>
              <w:spacing w:line="320" w:lineRule="exact"/>
              <w:ind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不符合要求，每次扣</w:t>
            </w:r>
          </w:p>
          <w:p>
            <w:pPr>
              <w:pStyle w:val="464"/>
              <w:spacing w:line="320" w:lineRule="exact"/>
              <w:ind w:firstLine="0"/>
              <w:rPr>
                <w:rFonts w:hint="eastAsia" w:ascii="宋体" w:hAnsi="宋体" w:eastAsia="宋体" w:cs="宋体"/>
                <w:sz w:val="24"/>
                <w:szCs w:val="24"/>
              </w:rPr>
            </w:pPr>
            <w:r>
              <w:rPr>
                <w:rFonts w:hint="eastAsia" w:ascii="宋体" w:hAnsi="宋体" w:eastAsia="宋体" w:cs="宋体"/>
                <w:color w:val="000000"/>
                <w:sz w:val="24"/>
                <w:szCs w:val="24"/>
              </w:rPr>
              <w:t>1分</w:t>
            </w:r>
          </w:p>
        </w:tc>
      </w:tr>
    </w:tbl>
    <w:p>
      <w:pPr>
        <w:widowControl/>
        <w:spacing w:line="360" w:lineRule="auto"/>
        <w:jc w:val="left"/>
        <w:rPr>
          <w:rFonts w:hint="eastAsia" w:ascii="宋体" w:hAnsi="宋体" w:eastAsia="宋体" w:cs="宋体"/>
          <w:b/>
          <w:sz w:val="24"/>
          <w:szCs w:val="24"/>
        </w:rPr>
      </w:pPr>
    </w:p>
    <w:p>
      <w:pPr>
        <w:pStyle w:val="43"/>
        <w:spacing w:line="360" w:lineRule="auto"/>
        <w:jc w:val="both"/>
        <w:rPr>
          <w:rFonts w:hint="eastAsia" w:ascii="宋体" w:hAnsi="宋体" w:eastAsia="宋体" w:cs="宋体"/>
          <w:color w:val="000000" w:themeColor="text1"/>
          <w:sz w:val="30"/>
          <w:szCs w:val="30"/>
          <w14:textFill>
            <w14:solidFill>
              <w14:schemeClr w14:val="tx1"/>
            </w14:solidFill>
          </w14:textFill>
        </w:rPr>
      </w:pPr>
    </w:p>
    <w:sectPr>
      <w:pgSz w:w="11907" w:h="16840"/>
      <w:pgMar w:top="1440" w:right="1800" w:bottom="1440" w:left="1800" w:header="851"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S Sans Serif">
    <w:altName w:val="Segoe UI Symbol"/>
    <w:panose1 w:val="020B0500000000000000"/>
    <w:charset w:val="4D"/>
    <w:family w:val="swiss"/>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ndara">
    <w:panose1 w:val="020E0502030303020204"/>
    <w:charset w:val="00"/>
    <w:family w:val="swiss"/>
    <w:pitch w:val="default"/>
    <w:sig w:usb0="A00002EF" w:usb1="4000A44B" w:usb2="00000000" w:usb3="00000000" w:csb0="2000019F" w:csb1="00000000"/>
  </w:font>
  <w:font w:name="font-weight : 400">
    <w:altName w:val="微软雅黑"/>
    <w:panose1 w:val="00000000000000000000"/>
    <w:charset w:val="00"/>
    <w:family w:val="auto"/>
    <w:pitch w:val="default"/>
    <w:sig w:usb0="00000000" w:usb1="00000000" w:usb2="00000000" w:usb3="00000000" w:csb0="00040001" w:csb1="00000000"/>
  </w:font>
  <w:font w:name="Arial,Bold">
    <w:altName w:val="Segoe Print"/>
    <w:panose1 w:val="00000000000000000000"/>
    <w:charset w:val="00"/>
    <w:family w:val="swiss"/>
    <w:pitch w:val="default"/>
    <w:sig w:usb0="00000000" w:usb1="00000000" w:usb2="00000000" w:usb3="00000000" w:csb0="00000001" w:csb1="00000000"/>
  </w:font>
  <w:font w:name="楷体_GB2312">
    <w:altName w:val="楷体"/>
    <w:panose1 w:val="00000000000000000000"/>
    <w:charset w:val="86"/>
    <w:family w:val="modern"/>
    <w:pitch w:val="default"/>
    <w:sig w:usb0="00000000" w:usb1="00000000" w:usb2="00000000" w:usb3="00000000" w:csb0="00040000" w:csb1="00000000"/>
  </w:font>
  <w:font w:name="Times">
    <w:altName w:val="Times New Roman"/>
    <w:panose1 w:val="00000500000000020000"/>
    <w:charset w:val="00"/>
    <w:family w:val="roman"/>
    <w:pitch w:val="default"/>
    <w:sig w:usb0="00000000" w:usb1="00000000" w:usb2="00000000" w:usb3="00000000" w:csb0="00000000" w:csb1="00000000"/>
  </w:font>
  <w:font w:name="昆仑楷体">
    <w:altName w:val="宋体"/>
    <w:panose1 w:val="00000000000000000000"/>
    <w:charset w:val="00"/>
    <w:family w:val="auto"/>
    <w:pitch w:val="default"/>
    <w:sig w:usb0="00000000" w:usb1="00000000" w:usb2="00000000" w:usb3="00000000" w:csb0="00040001" w:csb1="00000000"/>
  </w:font>
  <w:font w:name="Microsoft Sans Serif">
    <w:panose1 w:val="020B0604020202020204"/>
    <w:charset w:val="00"/>
    <w:family w:val="swiss"/>
    <w:pitch w:val="default"/>
    <w:sig w:usb0="E5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Arial Unicode MS">
    <w:altName w:val="宋体"/>
    <w:panose1 w:val="020B0604020202020204"/>
    <w:charset w:val="86"/>
    <w:family w:val="swiss"/>
    <w:pitch w:val="default"/>
    <w:sig w:usb0="00000000" w:usb1="00000000" w:usb2="00000000" w:usb3="00000000" w:csb0="003E0000" w:csb1="00000000"/>
  </w:font>
  <w:font w:name="方正姚体">
    <w:panose1 w:val="02010601030101010101"/>
    <w:charset w:val="86"/>
    <w:family w:val="auto"/>
    <w:pitch w:val="default"/>
    <w:sig w:usb0="00000003" w:usb1="080E0000" w:usb2="0000000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p>
    <w:pPr>
      <w:pStyle w:val="28"/>
      <w:rPr>
        <w:rFonts w:hint="default" w:eastAsia="宋体"/>
        <w:lang w:val="en-US" w:eastAsia="zh-CN"/>
      </w:rPr>
    </w:pPr>
    <w:r>
      <w:rPr>
        <w:rFonts w:hint="eastAsia" w:eastAsia="宋体"/>
        <w:lang w:val="en-US" w:eastAsia="zh-CN"/>
      </w:rPr>
      <w:t>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p>
    <w:pPr>
      <w:pStyle w:val="28"/>
      <w:rPr>
        <w:rFonts w:hint="default" w:eastAsia="宋体"/>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F30AB5"/>
    <w:multiLevelType w:val="singleLevel"/>
    <w:tmpl w:val="B7F30AB5"/>
    <w:lvl w:ilvl="0" w:tentative="0">
      <w:start w:val="3"/>
      <w:numFmt w:val="decimal"/>
      <w:suff w:val="nothing"/>
      <w:lvlText w:val="%1、"/>
      <w:lvlJc w:val="left"/>
    </w:lvl>
  </w:abstractNum>
  <w:abstractNum w:abstractNumId="1">
    <w:nsid w:val="CF092B84"/>
    <w:multiLevelType w:val="singleLevel"/>
    <w:tmpl w:val="CF092B84"/>
    <w:lvl w:ilvl="0" w:tentative="0">
      <w:start w:val="1"/>
      <w:numFmt w:val="decimalEnclosedCircle"/>
      <w:lvlText w:val="%1"/>
      <w:lvlJc w:val="left"/>
      <w:rPr>
        <w:rFonts w:ascii="PMingLiU" w:hAnsi="PMingLiU" w:eastAsia="PMingLiU" w:cs="PMingLiU"/>
        <w:b w:val="0"/>
        <w:bCs w:val="0"/>
        <w:i w:val="0"/>
        <w:iCs w:val="0"/>
        <w:smallCaps w:val="0"/>
        <w:strike w:val="0"/>
        <w:color w:val="000000"/>
        <w:spacing w:val="0"/>
        <w:w w:val="100"/>
        <w:position w:val="0"/>
        <w:sz w:val="22"/>
        <w:szCs w:val="22"/>
        <w:u w:val="none"/>
        <w:lang w:val="zh-CN" w:eastAsia="zh-CN" w:bidi="zh-CN"/>
      </w:rPr>
    </w:lvl>
  </w:abstractNum>
  <w:abstractNum w:abstractNumId="2">
    <w:nsid w:val="0000000D"/>
    <w:multiLevelType w:val="multilevel"/>
    <w:tmpl w:val="0000000D"/>
    <w:lvl w:ilvl="0" w:tentative="0">
      <w:start w:val="1"/>
      <w:numFmt w:val="none"/>
      <w:lvlText w:val=""/>
      <w:lvlJc w:val="left"/>
      <w:pPr>
        <w:tabs>
          <w:tab w:val="left" w:pos="432"/>
        </w:tabs>
        <w:ind w:left="432" w:hanging="432"/>
      </w:pPr>
    </w:lvl>
    <w:lvl w:ilvl="1" w:tentative="0">
      <w:start w:val="1"/>
      <w:numFmt w:val="none"/>
      <w:lvlText w:val=" "/>
      <w:lvlJc w:val="left"/>
      <w:pPr>
        <w:tabs>
          <w:tab w:val="left" w:pos="576"/>
        </w:tabs>
        <w:ind w:left="576" w:hanging="576"/>
      </w:pPr>
    </w:lvl>
    <w:lvl w:ilvl="2" w:tentative="0">
      <w:start w:val="1"/>
      <w:numFmt w:val="none"/>
      <w:pStyle w:val="2"/>
      <w:lvlText w:val=""/>
      <w:lvlJc w:val="left"/>
      <w:pPr>
        <w:tabs>
          <w:tab w:val="left" w:pos="720"/>
        </w:tabs>
        <w:ind w:left="720" w:hanging="720"/>
      </w:pPr>
    </w:lvl>
    <w:lvl w:ilvl="3" w:tentative="0">
      <w:start w:val="1"/>
      <w:numFmt w:val="none"/>
      <w:lvlText w:val="    "/>
      <w:lvlJc w:val="left"/>
      <w:pPr>
        <w:tabs>
          <w:tab w:val="left" w:pos="864"/>
        </w:tabs>
        <w:ind w:left="864" w:hanging="864"/>
      </w:pPr>
    </w:lvl>
    <w:lvl w:ilvl="4" w:tentative="0">
      <w:start w:val="1"/>
      <w:numFmt w:val="none"/>
      <w:lvlText w:val="      "/>
      <w:lvlJc w:val="left"/>
      <w:pPr>
        <w:tabs>
          <w:tab w:val="left" w:pos="1008"/>
        </w:tabs>
        <w:ind w:left="1008" w:hanging="1008"/>
      </w:pPr>
    </w:lvl>
    <w:lvl w:ilvl="5" w:tentative="0">
      <w:start w:val="1"/>
      <w:numFmt w:val="none"/>
      <w:lvlText w:val="           "/>
      <w:lvlJc w:val="left"/>
      <w:pPr>
        <w:tabs>
          <w:tab w:val="left" w:pos="1440"/>
        </w:tabs>
        <w:ind w:left="1152" w:hanging="1152"/>
      </w:pPr>
    </w:lvl>
    <w:lvl w:ilvl="6" w:tentative="0">
      <w:start w:val="1"/>
      <w:numFmt w:val="decimal"/>
      <w:lvlText w:val="%1.%2.%3.%4.%5.%6.%7"/>
      <w:lvlJc w:val="left"/>
      <w:pPr>
        <w:tabs>
          <w:tab w:val="left" w:pos="2520"/>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1CC613E0"/>
    <w:multiLevelType w:val="multilevel"/>
    <w:tmpl w:val="1CC613E0"/>
    <w:lvl w:ilvl="0" w:tentative="0">
      <w:start w:val="2"/>
      <w:numFmt w:val="japaneseCounting"/>
      <w:pStyle w:val="260"/>
      <w:lvlText w:val="第%1章"/>
      <w:lvlJc w:val="left"/>
      <w:pPr>
        <w:tabs>
          <w:tab w:val="left" w:pos="4084"/>
        </w:tabs>
        <w:ind w:left="4084" w:hanging="1200"/>
      </w:pPr>
      <w:rPr>
        <w:rFonts w:hint="eastAsia" w:cs="Times New Roman"/>
      </w:rPr>
    </w:lvl>
    <w:lvl w:ilvl="1" w:tentative="0">
      <w:start w:val="1"/>
      <w:numFmt w:val="lowerLetter"/>
      <w:lvlText w:val="%2)"/>
      <w:lvlJc w:val="left"/>
      <w:pPr>
        <w:tabs>
          <w:tab w:val="left" w:pos="3724"/>
        </w:tabs>
        <w:ind w:left="3724" w:hanging="420"/>
      </w:pPr>
      <w:rPr>
        <w:rFonts w:cs="Times New Roman"/>
      </w:rPr>
    </w:lvl>
    <w:lvl w:ilvl="2" w:tentative="0">
      <w:start w:val="1"/>
      <w:numFmt w:val="lowerRoman"/>
      <w:lvlText w:val="%3."/>
      <w:lvlJc w:val="right"/>
      <w:pPr>
        <w:tabs>
          <w:tab w:val="left" w:pos="4144"/>
        </w:tabs>
        <w:ind w:left="4144" w:hanging="420"/>
      </w:pPr>
      <w:rPr>
        <w:rFonts w:cs="Times New Roman"/>
      </w:rPr>
    </w:lvl>
    <w:lvl w:ilvl="3" w:tentative="0">
      <w:start w:val="1"/>
      <w:numFmt w:val="decimal"/>
      <w:lvlText w:val="%4."/>
      <w:lvlJc w:val="left"/>
      <w:pPr>
        <w:tabs>
          <w:tab w:val="left" w:pos="4564"/>
        </w:tabs>
        <w:ind w:left="4564" w:hanging="420"/>
      </w:pPr>
      <w:rPr>
        <w:rFonts w:cs="Times New Roman"/>
      </w:rPr>
    </w:lvl>
    <w:lvl w:ilvl="4" w:tentative="0">
      <w:start w:val="1"/>
      <w:numFmt w:val="lowerLetter"/>
      <w:lvlText w:val="%5)"/>
      <w:lvlJc w:val="left"/>
      <w:pPr>
        <w:tabs>
          <w:tab w:val="left" w:pos="4984"/>
        </w:tabs>
        <w:ind w:left="4984" w:hanging="420"/>
      </w:pPr>
      <w:rPr>
        <w:rFonts w:cs="Times New Roman"/>
      </w:rPr>
    </w:lvl>
    <w:lvl w:ilvl="5" w:tentative="0">
      <w:start w:val="1"/>
      <w:numFmt w:val="lowerRoman"/>
      <w:lvlText w:val="%6."/>
      <w:lvlJc w:val="right"/>
      <w:pPr>
        <w:tabs>
          <w:tab w:val="left" w:pos="5404"/>
        </w:tabs>
        <w:ind w:left="5404" w:hanging="420"/>
      </w:pPr>
      <w:rPr>
        <w:rFonts w:cs="Times New Roman"/>
      </w:rPr>
    </w:lvl>
    <w:lvl w:ilvl="6" w:tentative="0">
      <w:start w:val="1"/>
      <w:numFmt w:val="decimal"/>
      <w:lvlText w:val="%7."/>
      <w:lvlJc w:val="left"/>
      <w:pPr>
        <w:tabs>
          <w:tab w:val="left" w:pos="5824"/>
        </w:tabs>
        <w:ind w:left="5824" w:hanging="420"/>
      </w:pPr>
      <w:rPr>
        <w:rFonts w:cs="Times New Roman"/>
      </w:rPr>
    </w:lvl>
    <w:lvl w:ilvl="7" w:tentative="0">
      <w:start w:val="1"/>
      <w:numFmt w:val="lowerLetter"/>
      <w:lvlText w:val="%8)"/>
      <w:lvlJc w:val="left"/>
      <w:pPr>
        <w:tabs>
          <w:tab w:val="left" w:pos="6244"/>
        </w:tabs>
        <w:ind w:left="6244" w:hanging="420"/>
      </w:pPr>
      <w:rPr>
        <w:rFonts w:cs="Times New Roman"/>
      </w:rPr>
    </w:lvl>
    <w:lvl w:ilvl="8" w:tentative="0">
      <w:start w:val="1"/>
      <w:numFmt w:val="lowerRoman"/>
      <w:lvlText w:val="%9."/>
      <w:lvlJc w:val="right"/>
      <w:pPr>
        <w:tabs>
          <w:tab w:val="left" w:pos="6664"/>
        </w:tabs>
        <w:ind w:left="6664" w:hanging="420"/>
      </w:pPr>
      <w:rPr>
        <w:rFonts w:cs="Times New Roman"/>
      </w:rPr>
    </w:lvl>
  </w:abstractNum>
  <w:abstractNum w:abstractNumId="4">
    <w:nsid w:val="29251894"/>
    <w:multiLevelType w:val="multilevel"/>
    <w:tmpl w:val="29251894"/>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59ADCABA"/>
    <w:multiLevelType w:val="singleLevel"/>
    <w:tmpl w:val="59ADCABA"/>
    <w:lvl w:ilvl="0" w:tentative="0">
      <w:start w:val="1"/>
      <w:numFmt w:val="decimalEnclosedCircle"/>
      <w:lvlText w:val="%1"/>
      <w:lvlJc w:val="left"/>
      <w:rPr>
        <w:rFonts w:ascii="PMingLiU" w:hAnsi="PMingLiU" w:eastAsia="PMingLiU" w:cs="PMingLiU"/>
        <w:b w:val="0"/>
        <w:bCs w:val="0"/>
        <w:i w:val="0"/>
        <w:iCs w:val="0"/>
        <w:smallCaps w:val="0"/>
        <w:strike w:val="0"/>
        <w:color w:val="000000"/>
        <w:spacing w:val="0"/>
        <w:w w:val="100"/>
        <w:position w:val="0"/>
        <w:sz w:val="22"/>
        <w:szCs w:val="22"/>
        <w:u w:val="none"/>
        <w:lang w:val="zh-CN" w:eastAsia="zh-CN" w:bidi="zh-CN"/>
      </w:rPr>
    </w:lvl>
  </w:abstractNum>
  <w:abstractNum w:abstractNumId="7">
    <w:nsid w:val="5A5A071A"/>
    <w:multiLevelType w:val="multilevel"/>
    <w:tmpl w:val="5A5A071A"/>
    <w:lvl w:ilvl="0" w:tentative="0">
      <w:start w:val="2"/>
      <w:numFmt w:val="decimal"/>
      <w:lvlText w:val="%1、"/>
      <w:lvlJc w:val="left"/>
      <w:pPr>
        <w:ind w:left="390" w:hanging="3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E4F164F"/>
    <w:multiLevelType w:val="multilevel"/>
    <w:tmpl w:val="6E4F164F"/>
    <w:lvl w:ilvl="0" w:tentative="0">
      <w:start w:val="3"/>
      <w:numFmt w:val="decimal"/>
      <w:lvlText w:val="%1）"/>
      <w:lvlJc w:val="left"/>
      <w:pPr>
        <w:ind w:left="785" w:hanging="360"/>
      </w:pPr>
      <w:rPr>
        <w:rFonts w:hint="default"/>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9">
    <w:nsid w:val="72183CF9"/>
    <w:multiLevelType w:val="multilevel"/>
    <w:tmpl w:val="72183CF9"/>
    <w:lvl w:ilvl="0" w:tentative="0">
      <w:start w:val="1"/>
      <w:numFmt w:val="decimal"/>
      <w:lvlText w:val="%1."/>
      <w:lvlJc w:val="left"/>
      <w:pPr>
        <w:ind w:left="648" w:hanging="648"/>
      </w:pPr>
      <w:rPr>
        <w:rFonts w:ascii="Wingdings" w:hAnsi="Wingdings" w:eastAsia="Wingdings" w:cs="Wingdings"/>
        <w:b w:val="0"/>
        <w:bCs w:val="0"/>
        <w:i w:val="0"/>
        <w:iCs w:val="0"/>
        <w:caps w:val="0"/>
        <w:smallCaps w:val="0"/>
        <w:strike w:val="0"/>
        <w:dstrike w:val="0"/>
        <w:spacing w:val="0"/>
        <w:w w:val="100"/>
        <w:kern w:val="0"/>
        <w:position w:val="0"/>
        <w:highlight w:val="none"/>
        <w:vertAlign w:val="baseline"/>
      </w:rPr>
    </w:lvl>
    <w:lvl w:ilvl="1" w:tentative="0">
      <w:start w:val="1"/>
      <w:numFmt w:val="decimal"/>
      <w:lvlText w:val="%2."/>
      <w:lvlJc w:val="left"/>
      <w:pPr>
        <w:ind w:left="567" w:hanging="567"/>
      </w:pPr>
      <w:rPr>
        <w:rFonts w:cs="Times New Roman" w:asciiTheme="minorEastAsia" w:hAnsiTheme="minorEastAsia" w:eastAsiaTheme="minorEastAsia"/>
        <w:b w:val="0"/>
        <w:bCs w:val="0"/>
        <w:i w:val="0"/>
        <w:iCs w:val="0"/>
        <w:caps w:val="0"/>
        <w:smallCaps w:val="0"/>
        <w:strike w:val="0"/>
        <w:dstrike w:val="0"/>
        <w:color w:val="000000"/>
        <w:spacing w:val="0"/>
        <w:w w:val="100"/>
        <w:kern w:val="0"/>
        <w:position w:val="0"/>
        <w:sz w:val="24"/>
        <w:szCs w:val="24"/>
        <w:highlight w:val="none"/>
        <w:vertAlign w:val="baseline"/>
      </w:rPr>
    </w:lvl>
    <w:lvl w:ilvl="2" w:tentative="0">
      <w:start w:val="1"/>
      <w:numFmt w:val="decimal"/>
      <w:lvlText w:val="%3)"/>
      <w:lvlJc w:val="left"/>
      <w:pPr>
        <w:ind w:left="420" w:hanging="420"/>
      </w:pPr>
      <w:rPr>
        <w:rFonts w:cs="Times New Roman" w:asciiTheme="minorEastAsia" w:hAnsiTheme="minorEastAsia" w:eastAsiaTheme="minorEastAsia"/>
        <w:b w:val="0"/>
        <w:bCs w:val="0"/>
        <w:i w:val="0"/>
        <w:iCs w:val="0"/>
        <w:caps w:val="0"/>
        <w:smallCaps w:val="0"/>
        <w:strike w:val="0"/>
        <w:dstrike w:val="0"/>
        <w:spacing w:val="0"/>
        <w:w w:val="100"/>
        <w:kern w:val="0"/>
        <w:position w:val="0"/>
        <w:sz w:val="24"/>
        <w:szCs w:val="24"/>
        <w:highlight w:val="none"/>
        <w:vertAlign w:val="baseline"/>
      </w:rPr>
    </w:lvl>
    <w:lvl w:ilvl="3" w:tentative="0">
      <w:start w:val="1"/>
      <w:numFmt w:val="decimal"/>
      <w:lvlText w:val="%4)"/>
      <w:lvlJc w:val="left"/>
      <w:pPr>
        <w:ind w:left="420" w:hanging="420"/>
      </w:pPr>
      <w:rPr>
        <w:rFonts w:ascii="Times New Roman" w:hAnsi="Times New Roman" w:eastAsia="Times New Roman" w:cs="Times New Roman"/>
        <w:b w:val="0"/>
        <w:bCs w:val="0"/>
        <w:i w:val="0"/>
        <w:iCs w:val="0"/>
        <w:caps w:val="0"/>
        <w:smallCaps w:val="0"/>
        <w:strike w:val="0"/>
        <w:dstrike w:val="0"/>
        <w:spacing w:val="0"/>
        <w:w w:val="100"/>
        <w:kern w:val="0"/>
        <w:position w:val="0"/>
        <w:highlight w:val="none"/>
        <w:vertAlign w:val="baseline"/>
      </w:rPr>
    </w:lvl>
    <w:lvl w:ilvl="4" w:tentative="0">
      <w:start w:val="1"/>
      <w:numFmt w:val="decimal"/>
      <w:lvlText w:val="%5)"/>
      <w:lvlJc w:val="left"/>
      <w:pPr>
        <w:ind w:left="420" w:hanging="420"/>
      </w:pPr>
      <w:rPr>
        <w:rFonts w:ascii="Times New Roman" w:hAnsi="Times New Roman" w:eastAsia="Times New Roman" w:cs="Times New Roman"/>
        <w:b w:val="0"/>
        <w:bCs w:val="0"/>
        <w:i w:val="0"/>
        <w:iCs w:val="0"/>
        <w:caps w:val="0"/>
        <w:smallCaps w:val="0"/>
        <w:strike w:val="0"/>
        <w:dstrike w:val="0"/>
        <w:spacing w:val="0"/>
        <w:w w:val="100"/>
        <w:kern w:val="0"/>
        <w:position w:val="0"/>
        <w:highlight w:val="none"/>
        <w:vertAlign w:val="baseline"/>
      </w:rPr>
    </w:lvl>
    <w:lvl w:ilvl="5" w:tentative="0">
      <w:start w:val="1"/>
      <w:numFmt w:val="decimal"/>
      <w:lvlText w:val="%6)"/>
      <w:lvlJc w:val="left"/>
      <w:pPr>
        <w:ind w:left="420" w:hanging="420"/>
      </w:pPr>
      <w:rPr>
        <w:rFonts w:ascii="Times New Roman" w:hAnsi="Times New Roman" w:eastAsia="Times New Roman" w:cs="Times New Roman"/>
        <w:b w:val="0"/>
        <w:bCs w:val="0"/>
        <w:i w:val="0"/>
        <w:iCs w:val="0"/>
        <w:caps w:val="0"/>
        <w:smallCaps w:val="0"/>
        <w:strike w:val="0"/>
        <w:dstrike w:val="0"/>
        <w:spacing w:val="0"/>
        <w:w w:val="100"/>
        <w:kern w:val="0"/>
        <w:position w:val="0"/>
        <w:highlight w:val="none"/>
        <w:vertAlign w:val="baseline"/>
      </w:rPr>
    </w:lvl>
    <w:lvl w:ilvl="6" w:tentative="0">
      <w:start w:val="1"/>
      <w:numFmt w:val="decimal"/>
      <w:lvlText w:val="%7)"/>
      <w:lvlJc w:val="left"/>
      <w:pPr>
        <w:ind w:left="420" w:hanging="420"/>
      </w:pPr>
      <w:rPr>
        <w:rFonts w:ascii="Times New Roman" w:hAnsi="Times New Roman" w:eastAsia="Times New Roman" w:cs="Times New Roman"/>
        <w:b w:val="0"/>
        <w:bCs w:val="0"/>
        <w:i w:val="0"/>
        <w:iCs w:val="0"/>
        <w:caps w:val="0"/>
        <w:smallCaps w:val="0"/>
        <w:strike w:val="0"/>
        <w:dstrike w:val="0"/>
        <w:spacing w:val="0"/>
        <w:w w:val="100"/>
        <w:kern w:val="0"/>
        <w:position w:val="0"/>
        <w:highlight w:val="none"/>
        <w:vertAlign w:val="baseline"/>
      </w:rPr>
    </w:lvl>
    <w:lvl w:ilvl="7" w:tentative="0">
      <w:start w:val="1"/>
      <w:numFmt w:val="decimal"/>
      <w:lvlText w:val="%8)"/>
      <w:lvlJc w:val="left"/>
      <w:pPr>
        <w:ind w:left="420" w:hanging="420"/>
      </w:pPr>
      <w:rPr>
        <w:rFonts w:ascii="Times New Roman" w:hAnsi="Times New Roman" w:eastAsia="Times New Roman" w:cs="Times New Roman"/>
        <w:b w:val="0"/>
        <w:bCs w:val="0"/>
        <w:i w:val="0"/>
        <w:iCs w:val="0"/>
        <w:caps w:val="0"/>
        <w:smallCaps w:val="0"/>
        <w:strike w:val="0"/>
        <w:dstrike w:val="0"/>
        <w:spacing w:val="0"/>
        <w:w w:val="100"/>
        <w:kern w:val="0"/>
        <w:position w:val="0"/>
        <w:highlight w:val="none"/>
        <w:vertAlign w:val="baseline"/>
      </w:rPr>
    </w:lvl>
    <w:lvl w:ilvl="8" w:tentative="0">
      <w:start w:val="1"/>
      <w:numFmt w:val="decimal"/>
      <w:lvlText w:val="%9)"/>
      <w:lvlJc w:val="left"/>
      <w:pPr>
        <w:ind w:left="420" w:hanging="420"/>
      </w:pPr>
      <w:rPr>
        <w:rFonts w:ascii="Times New Roman" w:hAnsi="Times New Roman" w:eastAsia="Times New Roman" w:cs="Times New Roman"/>
        <w:b w:val="0"/>
        <w:bCs w:val="0"/>
        <w:i w:val="0"/>
        <w:iCs w:val="0"/>
        <w:caps w:val="0"/>
        <w:smallCaps w:val="0"/>
        <w:strike w:val="0"/>
        <w:dstrike w:val="0"/>
        <w:spacing w:val="0"/>
        <w:w w:val="100"/>
        <w:kern w:val="0"/>
        <w:position w:val="0"/>
        <w:highlight w:val="none"/>
        <w:vertAlign w:val="baseline"/>
      </w:rPr>
    </w:lvl>
  </w:abstractNum>
  <w:abstractNum w:abstractNumId="10">
    <w:nsid w:val="72475E2C"/>
    <w:multiLevelType w:val="multilevel"/>
    <w:tmpl w:val="72475E2C"/>
    <w:lvl w:ilvl="0" w:tentative="0">
      <w:start w:val="1"/>
      <w:numFmt w:val="decimal"/>
      <w:lvlText w:val="%1."/>
      <w:lvlJc w:val="left"/>
      <w:pPr>
        <w:ind w:left="900" w:hanging="420"/>
      </w:pPr>
    </w:lvl>
    <w:lvl w:ilvl="1" w:tentative="0">
      <w:start w:val="1"/>
      <w:numFmt w:val="lowerLetter"/>
      <w:pStyle w:val="247"/>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10"/>
  </w:num>
  <w:num w:numId="3">
    <w:abstractNumId w:val="3"/>
  </w:num>
  <w:num w:numId="4">
    <w:abstractNumId w:val="1"/>
  </w:num>
  <w:num w:numId="5">
    <w:abstractNumId w:val="6"/>
  </w:num>
  <w:num w:numId="6">
    <w:abstractNumId w:val="0"/>
  </w:num>
  <w:num w:numId="7">
    <w:abstractNumId w:val="5"/>
  </w:num>
  <w:num w:numId="8">
    <w:abstractNumId w:val="9"/>
  </w:num>
  <w:num w:numId="9">
    <w:abstractNumId w:val="8"/>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HorizontalSpacing w:val="105"/>
  <w:drawingGridVerticalSpacing w:val="143"/>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1MGM0MjI3MGVlZjJlYmY5NDVjMjRhYmY0ZGE5NzIifQ=="/>
    <w:docVar w:name="KSO_WPS_MARK_KEY" w:val="36d9a0aa-6714-4e4e-8c11-0d47ec3e6216"/>
  </w:docVars>
  <w:rsids>
    <w:rsidRoot w:val="003277A1"/>
    <w:rsid w:val="00000C45"/>
    <w:rsid w:val="00000C6B"/>
    <w:rsid w:val="0000101F"/>
    <w:rsid w:val="000010A8"/>
    <w:rsid w:val="00001817"/>
    <w:rsid w:val="00002131"/>
    <w:rsid w:val="000033DE"/>
    <w:rsid w:val="00005302"/>
    <w:rsid w:val="000064BA"/>
    <w:rsid w:val="00006801"/>
    <w:rsid w:val="00007820"/>
    <w:rsid w:val="00011412"/>
    <w:rsid w:val="0001262E"/>
    <w:rsid w:val="0001437F"/>
    <w:rsid w:val="00014A9F"/>
    <w:rsid w:val="000152CB"/>
    <w:rsid w:val="000154C6"/>
    <w:rsid w:val="00015BBE"/>
    <w:rsid w:val="00015C09"/>
    <w:rsid w:val="00016D66"/>
    <w:rsid w:val="0002120D"/>
    <w:rsid w:val="00022939"/>
    <w:rsid w:val="00024905"/>
    <w:rsid w:val="0002690C"/>
    <w:rsid w:val="00026E16"/>
    <w:rsid w:val="000325B8"/>
    <w:rsid w:val="0003345E"/>
    <w:rsid w:val="00033DE9"/>
    <w:rsid w:val="00034037"/>
    <w:rsid w:val="00035763"/>
    <w:rsid w:val="00035B70"/>
    <w:rsid w:val="00040E9F"/>
    <w:rsid w:val="00041045"/>
    <w:rsid w:val="00041059"/>
    <w:rsid w:val="00041BB8"/>
    <w:rsid w:val="00041F41"/>
    <w:rsid w:val="00042CF7"/>
    <w:rsid w:val="00044104"/>
    <w:rsid w:val="00045AF6"/>
    <w:rsid w:val="000504C3"/>
    <w:rsid w:val="000506F9"/>
    <w:rsid w:val="00050FB2"/>
    <w:rsid w:val="00052388"/>
    <w:rsid w:val="00052472"/>
    <w:rsid w:val="000524E7"/>
    <w:rsid w:val="00052843"/>
    <w:rsid w:val="00054102"/>
    <w:rsid w:val="000548C1"/>
    <w:rsid w:val="00055769"/>
    <w:rsid w:val="0005668E"/>
    <w:rsid w:val="000571BE"/>
    <w:rsid w:val="00057CED"/>
    <w:rsid w:val="00060803"/>
    <w:rsid w:val="000619A7"/>
    <w:rsid w:val="0006256A"/>
    <w:rsid w:val="000652E5"/>
    <w:rsid w:val="00066B9B"/>
    <w:rsid w:val="00066C42"/>
    <w:rsid w:val="000677F6"/>
    <w:rsid w:val="00072680"/>
    <w:rsid w:val="00072894"/>
    <w:rsid w:val="00072CF1"/>
    <w:rsid w:val="00074ACB"/>
    <w:rsid w:val="0007552A"/>
    <w:rsid w:val="00075B2A"/>
    <w:rsid w:val="000768E1"/>
    <w:rsid w:val="00076D9C"/>
    <w:rsid w:val="000773A0"/>
    <w:rsid w:val="0008001A"/>
    <w:rsid w:val="000803DB"/>
    <w:rsid w:val="00080423"/>
    <w:rsid w:val="00081AF1"/>
    <w:rsid w:val="00084993"/>
    <w:rsid w:val="00084B23"/>
    <w:rsid w:val="000862E9"/>
    <w:rsid w:val="00087870"/>
    <w:rsid w:val="000903E2"/>
    <w:rsid w:val="0009064B"/>
    <w:rsid w:val="00091938"/>
    <w:rsid w:val="000941F7"/>
    <w:rsid w:val="00094B2E"/>
    <w:rsid w:val="00094D54"/>
    <w:rsid w:val="00095428"/>
    <w:rsid w:val="0009615A"/>
    <w:rsid w:val="0009670B"/>
    <w:rsid w:val="00096AE1"/>
    <w:rsid w:val="00096BA2"/>
    <w:rsid w:val="00097037"/>
    <w:rsid w:val="000A054D"/>
    <w:rsid w:val="000A141C"/>
    <w:rsid w:val="000A263E"/>
    <w:rsid w:val="000A29E8"/>
    <w:rsid w:val="000A357A"/>
    <w:rsid w:val="000A4DB8"/>
    <w:rsid w:val="000A772E"/>
    <w:rsid w:val="000A7910"/>
    <w:rsid w:val="000A7D9D"/>
    <w:rsid w:val="000B1A26"/>
    <w:rsid w:val="000B1CE5"/>
    <w:rsid w:val="000B3CAD"/>
    <w:rsid w:val="000B3D35"/>
    <w:rsid w:val="000B57E3"/>
    <w:rsid w:val="000B630B"/>
    <w:rsid w:val="000B66FA"/>
    <w:rsid w:val="000C0417"/>
    <w:rsid w:val="000C08E7"/>
    <w:rsid w:val="000C0EC1"/>
    <w:rsid w:val="000C1362"/>
    <w:rsid w:val="000C140C"/>
    <w:rsid w:val="000C1A0F"/>
    <w:rsid w:val="000C424D"/>
    <w:rsid w:val="000C4452"/>
    <w:rsid w:val="000C47EC"/>
    <w:rsid w:val="000C4EF7"/>
    <w:rsid w:val="000C5C36"/>
    <w:rsid w:val="000C5F01"/>
    <w:rsid w:val="000C7B21"/>
    <w:rsid w:val="000C7CBC"/>
    <w:rsid w:val="000D0EAC"/>
    <w:rsid w:val="000D207E"/>
    <w:rsid w:val="000D3072"/>
    <w:rsid w:val="000D3386"/>
    <w:rsid w:val="000D360D"/>
    <w:rsid w:val="000D64D6"/>
    <w:rsid w:val="000D6E78"/>
    <w:rsid w:val="000E0979"/>
    <w:rsid w:val="000E202C"/>
    <w:rsid w:val="000E22FA"/>
    <w:rsid w:val="000E379F"/>
    <w:rsid w:val="000E5EAA"/>
    <w:rsid w:val="000E6897"/>
    <w:rsid w:val="000E761E"/>
    <w:rsid w:val="000F2351"/>
    <w:rsid w:val="000F3CC4"/>
    <w:rsid w:val="000F524B"/>
    <w:rsid w:val="000F641F"/>
    <w:rsid w:val="00103211"/>
    <w:rsid w:val="0010399F"/>
    <w:rsid w:val="00105A8C"/>
    <w:rsid w:val="00107062"/>
    <w:rsid w:val="001079E6"/>
    <w:rsid w:val="00110F4B"/>
    <w:rsid w:val="001115E2"/>
    <w:rsid w:val="00112D1E"/>
    <w:rsid w:val="0011345E"/>
    <w:rsid w:val="00113F64"/>
    <w:rsid w:val="00114A10"/>
    <w:rsid w:val="00114E8D"/>
    <w:rsid w:val="00116F3B"/>
    <w:rsid w:val="001177EC"/>
    <w:rsid w:val="00117813"/>
    <w:rsid w:val="00121ABD"/>
    <w:rsid w:val="001229DA"/>
    <w:rsid w:val="001247A0"/>
    <w:rsid w:val="00124B1F"/>
    <w:rsid w:val="001258B1"/>
    <w:rsid w:val="0013093F"/>
    <w:rsid w:val="00133338"/>
    <w:rsid w:val="00133E59"/>
    <w:rsid w:val="00134B4A"/>
    <w:rsid w:val="001353E6"/>
    <w:rsid w:val="001356AF"/>
    <w:rsid w:val="001359FE"/>
    <w:rsid w:val="0013622A"/>
    <w:rsid w:val="0013655E"/>
    <w:rsid w:val="0014409F"/>
    <w:rsid w:val="00144ACF"/>
    <w:rsid w:val="00145639"/>
    <w:rsid w:val="001459E4"/>
    <w:rsid w:val="00145A10"/>
    <w:rsid w:val="00146232"/>
    <w:rsid w:val="001466E5"/>
    <w:rsid w:val="001473E7"/>
    <w:rsid w:val="001504B3"/>
    <w:rsid w:val="0015083C"/>
    <w:rsid w:val="001532FE"/>
    <w:rsid w:val="0015434C"/>
    <w:rsid w:val="00155F8B"/>
    <w:rsid w:val="0016007A"/>
    <w:rsid w:val="00162C3A"/>
    <w:rsid w:val="001631E1"/>
    <w:rsid w:val="00163488"/>
    <w:rsid w:val="00163C42"/>
    <w:rsid w:val="00164185"/>
    <w:rsid w:val="00164783"/>
    <w:rsid w:val="00164E46"/>
    <w:rsid w:val="00166F1E"/>
    <w:rsid w:val="001676A7"/>
    <w:rsid w:val="00167857"/>
    <w:rsid w:val="00167B80"/>
    <w:rsid w:val="00170BED"/>
    <w:rsid w:val="00170DE9"/>
    <w:rsid w:val="00171A89"/>
    <w:rsid w:val="00174C87"/>
    <w:rsid w:val="001752F6"/>
    <w:rsid w:val="001754B5"/>
    <w:rsid w:val="001759F7"/>
    <w:rsid w:val="00175AB6"/>
    <w:rsid w:val="00175D6A"/>
    <w:rsid w:val="001800F1"/>
    <w:rsid w:val="00180E60"/>
    <w:rsid w:val="001814FE"/>
    <w:rsid w:val="001824C5"/>
    <w:rsid w:val="00182615"/>
    <w:rsid w:val="00182D27"/>
    <w:rsid w:val="00182E53"/>
    <w:rsid w:val="001856BD"/>
    <w:rsid w:val="001875F9"/>
    <w:rsid w:val="00191373"/>
    <w:rsid w:val="001925EB"/>
    <w:rsid w:val="00193B4B"/>
    <w:rsid w:val="00194C14"/>
    <w:rsid w:val="00195690"/>
    <w:rsid w:val="001956FB"/>
    <w:rsid w:val="001975C5"/>
    <w:rsid w:val="001A4671"/>
    <w:rsid w:val="001A56DA"/>
    <w:rsid w:val="001B0095"/>
    <w:rsid w:val="001B106B"/>
    <w:rsid w:val="001B15AE"/>
    <w:rsid w:val="001B17E6"/>
    <w:rsid w:val="001B61A4"/>
    <w:rsid w:val="001B643D"/>
    <w:rsid w:val="001B6EF4"/>
    <w:rsid w:val="001B7054"/>
    <w:rsid w:val="001C1297"/>
    <w:rsid w:val="001C1371"/>
    <w:rsid w:val="001C165C"/>
    <w:rsid w:val="001C23B7"/>
    <w:rsid w:val="001C42DF"/>
    <w:rsid w:val="001C4454"/>
    <w:rsid w:val="001C4C67"/>
    <w:rsid w:val="001D1A00"/>
    <w:rsid w:val="001D1B35"/>
    <w:rsid w:val="001D400D"/>
    <w:rsid w:val="001D4398"/>
    <w:rsid w:val="001D545E"/>
    <w:rsid w:val="001D5FBE"/>
    <w:rsid w:val="001E0307"/>
    <w:rsid w:val="001E047F"/>
    <w:rsid w:val="001E0DBA"/>
    <w:rsid w:val="001E146B"/>
    <w:rsid w:val="001E2634"/>
    <w:rsid w:val="001E266D"/>
    <w:rsid w:val="001E33D5"/>
    <w:rsid w:val="001E3767"/>
    <w:rsid w:val="001E7602"/>
    <w:rsid w:val="001E7836"/>
    <w:rsid w:val="001F077A"/>
    <w:rsid w:val="001F1860"/>
    <w:rsid w:val="001F1D92"/>
    <w:rsid w:val="001F20C5"/>
    <w:rsid w:val="001F3AEC"/>
    <w:rsid w:val="00201576"/>
    <w:rsid w:val="00201805"/>
    <w:rsid w:val="00202007"/>
    <w:rsid w:val="00202552"/>
    <w:rsid w:val="00202B86"/>
    <w:rsid w:val="00203148"/>
    <w:rsid w:val="0020346D"/>
    <w:rsid w:val="002035CF"/>
    <w:rsid w:val="0020470E"/>
    <w:rsid w:val="0020624E"/>
    <w:rsid w:val="00207CDA"/>
    <w:rsid w:val="00210380"/>
    <w:rsid w:val="00214B71"/>
    <w:rsid w:val="00214C13"/>
    <w:rsid w:val="00215CED"/>
    <w:rsid w:val="00216FAE"/>
    <w:rsid w:val="00217D00"/>
    <w:rsid w:val="00220329"/>
    <w:rsid w:val="00220BB4"/>
    <w:rsid w:val="0022112B"/>
    <w:rsid w:val="002227C4"/>
    <w:rsid w:val="00222EF5"/>
    <w:rsid w:val="00223241"/>
    <w:rsid w:val="0022412E"/>
    <w:rsid w:val="00224846"/>
    <w:rsid w:val="00224A11"/>
    <w:rsid w:val="00224CDE"/>
    <w:rsid w:val="00224D5B"/>
    <w:rsid w:val="002258F0"/>
    <w:rsid w:val="0022652E"/>
    <w:rsid w:val="00227011"/>
    <w:rsid w:val="00230EAE"/>
    <w:rsid w:val="00231ED2"/>
    <w:rsid w:val="00232660"/>
    <w:rsid w:val="002326AF"/>
    <w:rsid w:val="002339B6"/>
    <w:rsid w:val="00236402"/>
    <w:rsid w:val="00236437"/>
    <w:rsid w:val="002425C2"/>
    <w:rsid w:val="00243222"/>
    <w:rsid w:val="002435D0"/>
    <w:rsid w:val="002440E9"/>
    <w:rsid w:val="00244557"/>
    <w:rsid w:val="002446DF"/>
    <w:rsid w:val="00245695"/>
    <w:rsid w:val="002501D6"/>
    <w:rsid w:val="00250800"/>
    <w:rsid w:val="00250E53"/>
    <w:rsid w:val="00251BBA"/>
    <w:rsid w:val="00254B36"/>
    <w:rsid w:val="00257329"/>
    <w:rsid w:val="00257449"/>
    <w:rsid w:val="00257D02"/>
    <w:rsid w:val="002621B7"/>
    <w:rsid w:val="00262802"/>
    <w:rsid w:val="002629AA"/>
    <w:rsid w:val="00263F83"/>
    <w:rsid w:val="00263FE1"/>
    <w:rsid w:val="00266DF2"/>
    <w:rsid w:val="00270E6C"/>
    <w:rsid w:val="002712F4"/>
    <w:rsid w:val="00271A98"/>
    <w:rsid w:val="002730B0"/>
    <w:rsid w:val="002736B4"/>
    <w:rsid w:val="00275AD5"/>
    <w:rsid w:val="00276407"/>
    <w:rsid w:val="002764B1"/>
    <w:rsid w:val="002806E4"/>
    <w:rsid w:val="00280EEA"/>
    <w:rsid w:val="00281B18"/>
    <w:rsid w:val="0028469A"/>
    <w:rsid w:val="00285CBB"/>
    <w:rsid w:val="0028672A"/>
    <w:rsid w:val="00287754"/>
    <w:rsid w:val="0029099D"/>
    <w:rsid w:val="00292F64"/>
    <w:rsid w:val="00293BB6"/>
    <w:rsid w:val="00294465"/>
    <w:rsid w:val="00294EFF"/>
    <w:rsid w:val="002957FF"/>
    <w:rsid w:val="00295A42"/>
    <w:rsid w:val="002960C0"/>
    <w:rsid w:val="002975F3"/>
    <w:rsid w:val="00297D17"/>
    <w:rsid w:val="002A41BA"/>
    <w:rsid w:val="002A5779"/>
    <w:rsid w:val="002A5872"/>
    <w:rsid w:val="002A793B"/>
    <w:rsid w:val="002B35F7"/>
    <w:rsid w:val="002B4397"/>
    <w:rsid w:val="002B47FF"/>
    <w:rsid w:val="002B5526"/>
    <w:rsid w:val="002B5DF2"/>
    <w:rsid w:val="002B5E1E"/>
    <w:rsid w:val="002B658D"/>
    <w:rsid w:val="002B6E8A"/>
    <w:rsid w:val="002B7725"/>
    <w:rsid w:val="002B7818"/>
    <w:rsid w:val="002B787E"/>
    <w:rsid w:val="002C2ED8"/>
    <w:rsid w:val="002C3734"/>
    <w:rsid w:val="002C4ED3"/>
    <w:rsid w:val="002C5843"/>
    <w:rsid w:val="002C6557"/>
    <w:rsid w:val="002C6571"/>
    <w:rsid w:val="002C6AA8"/>
    <w:rsid w:val="002C7814"/>
    <w:rsid w:val="002D25E9"/>
    <w:rsid w:val="002D2F4A"/>
    <w:rsid w:val="002D37BB"/>
    <w:rsid w:val="002D3CDD"/>
    <w:rsid w:val="002D487C"/>
    <w:rsid w:val="002D4D4D"/>
    <w:rsid w:val="002D55F6"/>
    <w:rsid w:val="002D573E"/>
    <w:rsid w:val="002D6284"/>
    <w:rsid w:val="002D7BDE"/>
    <w:rsid w:val="002E0585"/>
    <w:rsid w:val="002E0988"/>
    <w:rsid w:val="002E15CF"/>
    <w:rsid w:val="002E16C9"/>
    <w:rsid w:val="002E42AA"/>
    <w:rsid w:val="002E61BA"/>
    <w:rsid w:val="002E740F"/>
    <w:rsid w:val="002E7738"/>
    <w:rsid w:val="002E7C58"/>
    <w:rsid w:val="002F024D"/>
    <w:rsid w:val="002F16EA"/>
    <w:rsid w:val="002F3B31"/>
    <w:rsid w:val="002F3DCB"/>
    <w:rsid w:val="002F4F4D"/>
    <w:rsid w:val="002F528E"/>
    <w:rsid w:val="002F5BF8"/>
    <w:rsid w:val="002F5DC6"/>
    <w:rsid w:val="002F63ED"/>
    <w:rsid w:val="002F6F59"/>
    <w:rsid w:val="002F71EC"/>
    <w:rsid w:val="002F749B"/>
    <w:rsid w:val="003007A7"/>
    <w:rsid w:val="00300A89"/>
    <w:rsid w:val="00301678"/>
    <w:rsid w:val="00302275"/>
    <w:rsid w:val="0030678B"/>
    <w:rsid w:val="00306FCA"/>
    <w:rsid w:val="00310A70"/>
    <w:rsid w:val="00311D0D"/>
    <w:rsid w:val="0031401A"/>
    <w:rsid w:val="003149FC"/>
    <w:rsid w:val="00314ABF"/>
    <w:rsid w:val="00314B69"/>
    <w:rsid w:val="0031528F"/>
    <w:rsid w:val="00316401"/>
    <w:rsid w:val="003170BC"/>
    <w:rsid w:val="00320AFD"/>
    <w:rsid w:val="003221E9"/>
    <w:rsid w:val="0032222D"/>
    <w:rsid w:val="00322643"/>
    <w:rsid w:val="003229E4"/>
    <w:rsid w:val="00323266"/>
    <w:rsid w:val="00324F72"/>
    <w:rsid w:val="003260F2"/>
    <w:rsid w:val="003273E9"/>
    <w:rsid w:val="003277A1"/>
    <w:rsid w:val="00330B53"/>
    <w:rsid w:val="00330C1D"/>
    <w:rsid w:val="00335FC3"/>
    <w:rsid w:val="003378F2"/>
    <w:rsid w:val="0034243E"/>
    <w:rsid w:val="00343D40"/>
    <w:rsid w:val="003440AB"/>
    <w:rsid w:val="00344140"/>
    <w:rsid w:val="0034471A"/>
    <w:rsid w:val="0034513A"/>
    <w:rsid w:val="0034577D"/>
    <w:rsid w:val="00345A57"/>
    <w:rsid w:val="00345CB9"/>
    <w:rsid w:val="00346F4C"/>
    <w:rsid w:val="0034794F"/>
    <w:rsid w:val="00350EFF"/>
    <w:rsid w:val="00350F25"/>
    <w:rsid w:val="00351291"/>
    <w:rsid w:val="0035246E"/>
    <w:rsid w:val="003539E7"/>
    <w:rsid w:val="00353F64"/>
    <w:rsid w:val="003553AA"/>
    <w:rsid w:val="00355E9B"/>
    <w:rsid w:val="003605FB"/>
    <w:rsid w:val="00360DCA"/>
    <w:rsid w:val="0036104E"/>
    <w:rsid w:val="00361469"/>
    <w:rsid w:val="00361527"/>
    <w:rsid w:val="003640D6"/>
    <w:rsid w:val="00364B11"/>
    <w:rsid w:val="00364F6C"/>
    <w:rsid w:val="00365496"/>
    <w:rsid w:val="003654AB"/>
    <w:rsid w:val="0036589F"/>
    <w:rsid w:val="00366F46"/>
    <w:rsid w:val="0037183E"/>
    <w:rsid w:val="00371CEA"/>
    <w:rsid w:val="00371E51"/>
    <w:rsid w:val="00373877"/>
    <w:rsid w:val="0037731F"/>
    <w:rsid w:val="003803D7"/>
    <w:rsid w:val="003807E7"/>
    <w:rsid w:val="00380BAD"/>
    <w:rsid w:val="003830B5"/>
    <w:rsid w:val="00383588"/>
    <w:rsid w:val="00384BCA"/>
    <w:rsid w:val="00386278"/>
    <w:rsid w:val="0038791B"/>
    <w:rsid w:val="003934E9"/>
    <w:rsid w:val="003970EF"/>
    <w:rsid w:val="003A0C43"/>
    <w:rsid w:val="003A1695"/>
    <w:rsid w:val="003A1D3E"/>
    <w:rsid w:val="003A4731"/>
    <w:rsid w:val="003A48AD"/>
    <w:rsid w:val="003A53AA"/>
    <w:rsid w:val="003B08F5"/>
    <w:rsid w:val="003B183E"/>
    <w:rsid w:val="003B19CD"/>
    <w:rsid w:val="003B262D"/>
    <w:rsid w:val="003B275B"/>
    <w:rsid w:val="003B36CC"/>
    <w:rsid w:val="003B4051"/>
    <w:rsid w:val="003B47C2"/>
    <w:rsid w:val="003B53B0"/>
    <w:rsid w:val="003B5780"/>
    <w:rsid w:val="003B5DC8"/>
    <w:rsid w:val="003B7868"/>
    <w:rsid w:val="003C0DD3"/>
    <w:rsid w:val="003C2BEA"/>
    <w:rsid w:val="003C2CA6"/>
    <w:rsid w:val="003C5D68"/>
    <w:rsid w:val="003C5E7C"/>
    <w:rsid w:val="003C7446"/>
    <w:rsid w:val="003D1FCD"/>
    <w:rsid w:val="003D3CAF"/>
    <w:rsid w:val="003D6B90"/>
    <w:rsid w:val="003E0F33"/>
    <w:rsid w:val="003E18F3"/>
    <w:rsid w:val="003E2056"/>
    <w:rsid w:val="003E37E2"/>
    <w:rsid w:val="003E4A42"/>
    <w:rsid w:val="003E4E39"/>
    <w:rsid w:val="003E5130"/>
    <w:rsid w:val="003E723A"/>
    <w:rsid w:val="003E73CE"/>
    <w:rsid w:val="003E7D7C"/>
    <w:rsid w:val="003F0224"/>
    <w:rsid w:val="003F1401"/>
    <w:rsid w:val="003F150C"/>
    <w:rsid w:val="003F1936"/>
    <w:rsid w:val="003F3605"/>
    <w:rsid w:val="003F3766"/>
    <w:rsid w:val="003F3D6F"/>
    <w:rsid w:val="003F42C1"/>
    <w:rsid w:val="003F57D8"/>
    <w:rsid w:val="003F757A"/>
    <w:rsid w:val="00400DEE"/>
    <w:rsid w:val="004010DB"/>
    <w:rsid w:val="00402368"/>
    <w:rsid w:val="00402EFC"/>
    <w:rsid w:val="004030D2"/>
    <w:rsid w:val="00404B1A"/>
    <w:rsid w:val="00405795"/>
    <w:rsid w:val="004063AF"/>
    <w:rsid w:val="00406C4A"/>
    <w:rsid w:val="00407C87"/>
    <w:rsid w:val="004107F5"/>
    <w:rsid w:val="0041216A"/>
    <w:rsid w:val="00412710"/>
    <w:rsid w:val="00412C07"/>
    <w:rsid w:val="00414157"/>
    <w:rsid w:val="00414318"/>
    <w:rsid w:val="004146C0"/>
    <w:rsid w:val="00414814"/>
    <w:rsid w:val="00415447"/>
    <w:rsid w:val="00417176"/>
    <w:rsid w:val="0041781C"/>
    <w:rsid w:val="00421766"/>
    <w:rsid w:val="004221B7"/>
    <w:rsid w:val="004224E6"/>
    <w:rsid w:val="00423102"/>
    <w:rsid w:val="0042504C"/>
    <w:rsid w:val="0042556A"/>
    <w:rsid w:val="004261F6"/>
    <w:rsid w:val="004263EF"/>
    <w:rsid w:val="0042647C"/>
    <w:rsid w:val="004264D6"/>
    <w:rsid w:val="004277A3"/>
    <w:rsid w:val="00430460"/>
    <w:rsid w:val="00430BAD"/>
    <w:rsid w:val="004316BC"/>
    <w:rsid w:val="00431C64"/>
    <w:rsid w:val="0043238B"/>
    <w:rsid w:val="00432E17"/>
    <w:rsid w:val="00433471"/>
    <w:rsid w:val="00434372"/>
    <w:rsid w:val="00434786"/>
    <w:rsid w:val="00434A61"/>
    <w:rsid w:val="004357DC"/>
    <w:rsid w:val="004367DA"/>
    <w:rsid w:val="004368CB"/>
    <w:rsid w:val="00436D9B"/>
    <w:rsid w:val="00436E7B"/>
    <w:rsid w:val="00437EEE"/>
    <w:rsid w:val="0044041D"/>
    <w:rsid w:val="004407C1"/>
    <w:rsid w:val="0044197D"/>
    <w:rsid w:val="004421E2"/>
    <w:rsid w:val="0044224C"/>
    <w:rsid w:val="00442CC0"/>
    <w:rsid w:val="00443495"/>
    <w:rsid w:val="004456CE"/>
    <w:rsid w:val="00446D30"/>
    <w:rsid w:val="00450D1D"/>
    <w:rsid w:val="00453D27"/>
    <w:rsid w:val="00453E8B"/>
    <w:rsid w:val="0045450B"/>
    <w:rsid w:val="0045483E"/>
    <w:rsid w:val="00454AF9"/>
    <w:rsid w:val="00456651"/>
    <w:rsid w:val="0046170F"/>
    <w:rsid w:val="00461DA6"/>
    <w:rsid w:val="0046218F"/>
    <w:rsid w:val="004629C6"/>
    <w:rsid w:val="00462F31"/>
    <w:rsid w:val="00463128"/>
    <w:rsid w:val="004633C9"/>
    <w:rsid w:val="00465A74"/>
    <w:rsid w:val="00465B18"/>
    <w:rsid w:val="00466137"/>
    <w:rsid w:val="004700AE"/>
    <w:rsid w:val="0047095C"/>
    <w:rsid w:val="00471FF0"/>
    <w:rsid w:val="004725E0"/>
    <w:rsid w:val="00473F7A"/>
    <w:rsid w:val="004761CC"/>
    <w:rsid w:val="00476D0B"/>
    <w:rsid w:val="00476D13"/>
    <w:rsid w:val="0048003F"/>
    <w:rsid w:val="004801C7"/>
    <w:rsid w:val="00480D40"/>
    <w:rsid w:val="0048174C"/>
    <w:rsid w:val="0048219C"/>
    <w:rsid w:val="004856CF"/>
    <w:rsid w:val="00485C5D"/>
    <w:rsid w:val="004871FA"/>
    <w:rsid w:val="00487546"/>
    <w:rsid w:val="00490076"/>
    <w:rsid w:val="004900E8"/>
    <w:rsid w:val="00490372"/>
    <w:rsid w:val="0049080A"/>
    <w:rsid w:val="00490844"/>
    <w:rsid w:val="00491A21"/>
    <w:rsid w:val="004920C9"/>
    <w:rsid w:val="00492199"/>
    <w:rsid w:val="0049356F"/>
    <w:rsid w:val="004937D5"/>
    <w:rsid w:val="00493E1C"/>
    <w:rsid w:val="004955E0"/>
    <w:rsid w:val="00497D74"/>
    <w:rsid w:val="004A16E7"/>
    <w:rsid w:val="004A1958"/>
    <w:rsid w:val="004A1960"/>
    <w:rsid w:val="004A2411"/>
    <w:rsid w:val="004A3A37"/>
    <w:rsid w:val="004A4F12"/>
    <w:rsid w:val="004A725C"/>
    <w:rsid w:val="004B379E"/>
    <w:rsid w:val="004B40FA"/>
    <w:rsid w:val="004B561F"/>
    <w:rsid w:val="004B6A89"/>
    <w:rsid w:val="004B6F72"/>
    <w:rsid w:val="004B7E53"/>
    <w:rsid w:val="004C2FAC"/>
    <w:rsid w:val="004C53B0"/>
    <w:rsid w:val="004C5931"/>
    <w:rsid w:val="004C6DC7"/>
    <w:rsid w:val="004C7279"/>
    <w:rsid w:val="004C72F5"/>
    <w:rsid w:val="004D35B3"/>
    <w:rsid w:val="004D42EE"/>
    <w:rsid w:val="004D48C8"/>
    <w:rsid w:val="004D7CE8"/>
    <w:rsid w:val="004E14D0"/>
    <w:rsid w:val="004E18F5"/>
    <w:rsid w:val="004E369B"/>
    <w:rsid w:val="004E452E"/>
    <w:rsid w:val="004E56B3"/>
    <w:rsid w:val="004E5ADA"/>
    <w:rsid w:val="004E5C07"/>
    <w:rsid w:val="004E7AAA"/>
    <w:rsid w:val="004F1D85"/>
    <w:rsid w:val="004F2049"/>
    <w:rsid w:val="004F24C0"/>
    <w:rsid w:val="004F3D11"/>
    <w:rsid w:val="004F42D1"/>
    <w:rsid w:val="004F45FD"/>
    <w:rsid w:val="004F4807"/>
    <w:rsid w:val="004F5E8F"/>
    <w:rsid w:val="00500329"/>
    <w:rsid w:val="0050334A"/>
    <w:rsid w:val="00503C3F"/>
    <w:rsid w:val="00503FA3"/>
    <w:rsid w:val="005045B7"/>
    <w:rsid w:val="00504E59"/>
    <w:rsid w:val="005051EA"/>
    <w:rsid w:val="00505DCE"/>
    <w:rsid w:val="005069C8"/>
    <w:rsid w:val="0050731A"/>
    <w:rsid w:val="00507D4C"/>
    <w:rsid w:val="005101EE"/>
    <w:rsid w:val="005118E4"/>
    <w:rsid w:val="00512960"/>
    <w:rsid w:val="00513F2D"/>
    <w:rsid w:val="005153F9"/>
    <w:rsid w:val="005158D6"/>
    <w:rsid w:val="0051604C"/>
    <w:rsid w:val="00517D9E"/>
    <w:rsid w:val="005200D5"/>
    <w:rsid w:val="005202E2"/>
    <w:rsid w:val="00520823"/>
    <w:rsid w:val="005218AD"/>
    <w:rsid w:val="00522526"/>
    <w:rsid w:val="0052329B"/>
    <w:rsid w:val="00523341"/>
    <w:rsid w:val="00524653"/>
    <w:rsid w:val="0052482E"/>
    <w:rsid w:val="00525531"/>
    <w:rsid w:val="005258D4"/>
    <w:rsid w:val="00525DA5"/>
    <w:rsid w:val="005307C4"/>
    <w:rsid w:val="00530AD7"/>
    <w:rsid w:val="00530B93"/>
    <w:rsid w:val="00532578"/>
    <w:rsid w:val="005329EE"/>
    <w:rsid w:val="0053357A"/>
    <w:rsid w:val="005339F7"/>
    <w:rsid w:val="00541F4B"/>
    <w:rsid w:val="00542CD4"/>
    <w:rsid w:val="00543658"/>
    <w:rsid w:val="005438DD"/>
    <w:rsid w:val="00544258"/>
    <w:rsid w:val="005445FF"/>
    <w:rsid w:val="00544E91"/>
    <w:rsid w:val="005462B8"/>
    <w:rsid w:val="00546603"/>
    <w:rsid w:val="00546B31"/>
    <w:rsid w:val="00547907"/>
    <w:rsid w:val="00547BB8"/>
    <w:rsid w:val="005500F8"/>
    <w:rsid w:val="0055074F"/>
    <w:rsid w:val="00552FE6"/>
    <w:rsid w:val="005530CF"/>
    <w:rsid w:val="00554239"/>
    <w:rsid w:val="00554E0D"/>
    <w:rsid w:val="0055569B"/>
    <w:rsid w:val="00556041"/>
    <w:rsid w:val="0055625C"/>
    <w:rsid w:val="00560947"/>
    <w:rsid w:val="00561397"/>
    <w:rsid w:val="00561E99"/>
    <w:rsid w:val="00562F0A"/>
    <w:rsid w:val="00563C3F"/>
    <w:rsid w:val="00564691"/>
    <w:rsid w:val="0056586C"/>
    <w:rsid w:val="005663EE"/>
    <w:rsid w:val="00566685"/>
    <w:rsid w:val="00566A4E"/>
    <w:rsid w:val="00567CF5"/>
    <w:rsid w:val="0057087E"/>
    <w:rsid w:val="00570FCA"/>
    <w:rsid w:val="0057119C"/>
    <w:rsid w:val="005713CC"/>
    <w:rsid w:val="00571C93"/>
    <w:rsid w:val="00571E00"/>
    <w:rsid w:val="0057234E"/>
    <w:rsid w:val="005727FE"/>
    <w:rsid w:val="00572E82"/>
    <w:rsid w:val="00575DF2"/>
    <w:rsid w:val="00576F1C"/>
    <w:rsid w:val="0058069B"/>
    <w:rsid w:val="00581286"/>
    <w:rsid w:val="00584739"/>
    <w:rsid w:val="00587238"/>
    <w:rsid w:val="00587462"/>
    <w:rsid w:val="00587BB1"/>
    <w:rsid w:val="00590895"/>
    <w:rsid w:val="005942AE"/>
    <w:rsid w:val="00596503"/>
    <w:rsid w:val="0059697E"/>
    <w:rsid w:val="005A09A8"/>
    <w:rsid w:val="005A0E2D"/>
    <w:rsid w:val="005A2918"/>
    <w:rsid w:val="005A2A1D"/>
    <w:rsid w:val="005A3936"/>
    <w:rsid w:val="005A4027"/>
    <w:rsid w:val="005A550E"/>
    <w:rsid w:val="005A6486"/>
    <w:rsid w:val="005A6FD9"/>
    <w:rsid w:val="005B0A7D"/>
    <w:rsid w:val="005B1DA2"/>
    <w:rsid w:val="005B2875"/>
    <w:rsid w:val="005B3204"/>
    <w:rsid w:val="005B36A0"/>
    <w:rsid w:val="005B45E8"/>
    <w:rsid w:val="005B52E6"/>
    <w:rsid w:val="005B56A0"/>
    <w:rsid w:val="005B5D61"/>
    <w:rsid w:val="005B7066"/>
    <w:rsid w:val="005B79A9"/>
    <w:rsid w:val="005C1378"/>
    <w:rsid w:val="005C23E9"/>
    <w:rsid w:val="005C3138"/>
    <w:rsid w:val="005C3E83"/>
    <w:rsid w:val="005C51F7"/>
    <w:rsid w:val="005C53CF"/>
    <w:rsid w:val="005D05A4"/>
    <w:rsid w:val="005D1231"/>
    <w:rsid w:val="005D15EA"/>
    <w:rsid w:val="005D1977"/>
    <w:rsid w:val="005D1BC3"/>
    <w:rsid w:val="005D1C12"/>
    <w:rsid w:val="005D1E8A"/>
    <w:rsid w:val="005D2C18"/>
    <w:rsid w:val="005D407B"/>
    <w:rsid w:val="005D659D"/>
    <w:rsid w:val="005D67BE"/>
    <w:rsid w:val="005D79CE"/>
    <w:rsid w:val="005E075C"/>
    <w:rsid w:val="005E07B2"/>
    <w:rsid w:val="005E26BA"/>
    <w:rsid w:val="005E2824"/>
    <w:rsid w:val="005E33FF"/>
    <w:rsid w:val="005E3C16"/>
    <w:rsid w:val="005E4A9D"/>
    <w:rsid w:val="005E6462"/>
    <w:rsid w:val="005E7050"/>
    <w:rsid w:val="005E78C9"/>
    <w:rsid w:val="005E7EF0"/>
    <w:rsid w:val="005F0564"/>
    <w:rsid w:val="005F0821"/>
    <w:rsid w:val="005F087A"/>
    <w:rsid w:val="005F0EEF"/>
    <w:rsid w:val="005F1581"/>
    <w:rsid w:val="005F7F51"/>
    <w:rsid w:val="0060185F"/>
    <w:rsid w:val="00602F60"/>
    <w:rsid w:val="00603404"/>
    <w:rsid w:val="0060497F"/>
    <w:rsid w:val="00604C93"/>
    <w:rsid w:val="00605D1F"/>
    <w:rsid w:val="00605DDD"/>
    <w:rsid w:val="006062E4"/>
    <w:rsid w:val="00611070"/>
    <w:rsid w:val="006116EB"/>
    <w:rsid w:val="00613CFC"/>
    <w:rsid w:val="0061489F"/>
    <w:rsid w:val="0061511E"/>
    <w:rsid w:val="006153D2"/>
    <w:rsid w:val="0061611B"/>
    <w:rsid w:val="006167F1"/>
    <w:rsid w:val="00616C67"/>
    <w:rsid w:val="006171D6"/>
    <w:rsid w:val="006171FA"/>
    <w:rsid w:val="00617D83"/>
    <w:rsid w:val="00621BBF"/>
    <w:rsid w:val="00623E66"/>
    <w:rsid w:val="0062514E"/>
    <w:rsid w:val="00625B91"/>
    <w:rsid w:val="0063035C"/>
    <w:rsid w:val="00630E92"/>
    <w:rsid w:val="00631381"/>
    <w:rsid w:val="00631E1A"/>
    <w:rsid w:val="00633B2D"/>
    <w:rsid w:val="00633C2E"/>
    <w:rsid w:val="00633ED2"/>
    <w:rsid w:val="0063409E"/>
    <w:rsid w:val="00635FEB"/>
    <w:rsid w:val="00636021"/>
    <w:rsid w:val="00640A12"/>
    <w:rsid w:val="00641D8A"/>
    <w:rsid w:val="006432A7"/>
    <w:rsid w:val="00643FD2"/>
    <w:rsid w:val="00645006"/>
    <w:rsid w:val="00646E36"/>
    <w:rsid w:val="006475FD"/>
    <w:rsid w:val="00647800"/>
    <w:rsid w:val="00647A7F"/>
    <w:rsid w:val="00650815"/>
    <w:rsid w:val="00650B13"/>
    <w:rsid w:val="00650C24"/>
    <w:rsid w:val="00650D8D"/>
    <w:rsid w:val="0065249D"/>
    <w:rsid w:val="00652582"/>
    <w:rsid w:val="006525F1"/>
    <w:rsid w:val="00655905"/>
    <w:rsid w:val="006560E2"/>
    <w:rsid w:val="006607F3"/>
    <w:rsid w:val="00661954"/>
    <w:rsid w:val="00665479"/>
    <w:rsid w:val="0066576E"/>
    <w:rsid w:val="006658FD"/>
    <w:rsid w:val="00670447"/>
    <w:rsid w:val="0067197B"/>
    <w:rsid w:val="00672646"/>
    <w:rsid w:val="00672A52"/>
    <w:rsid w:val="00672F68"/>
    <w:rsid w:val="00674C9B"/>
    <w:rsid w:val="00674D79"/>
    <w:rsid w:val="00674FF7"/>
    <w:rsid w:val="0068046F"/>
    <w:rsid w:val="0068055D"/>
    <w:rsid w:val="00681548"/>
    <w:rsid w:val="00681756"/>
    <w:rsid w:val="00681D08"/>
    <w:rsid w:val="006844E0"/>
    <w:rsid w:val="0068503A"/>
    <w:rsid w:val="00686F06"/>
    <w:rsid w:val="00690078"/>
    <w:rsid w:val="00691325"/>
    <w:rsid w:val="00692210"/>
    <w:rsid w:val="00692FC3"/>
    <w:rsid w:val="0069689B"/>
    <w:rsid w:val="00696D3F"/>
    <w:rsid w:val="00696F6B"/>
    <w:rsid w:val="006A002B"/>
    <w:rsid w:val="006A0868"/>
    <w:rsid w:val="006A0FD3"/>
    <w:rsid w:val="006A1E78"/>
    <w:rsid w:val="006A464A"/>
    <w:rsid w:val="006A57BD"/>
    <w:rsid w:val="006A5BDD"/>
    <w:rsid w:val="006A62C8"/>
    <w:rsid w:val="006A6660"/>
    <w:rsid w:val="006A6A0F"/>
    <w:rsid w:val="006A7E8D"/>
    <w:rsid w:val="006B15A2"/>
    <w:rsid w:val="006B24E3"/>
    <w:rsid w:val="006B359D"/>
    <w:rsid w:val="006B4EC4"/>
    <w:rsid w:val="006B5A88"/>
    <w:rsid w:val="006B7051"/>
    <w:rsid w:val="006B7589"/>
    <w:rsid w:val="006B7D7D"/>
    <w:rsid w:val="006C0016"/>
    <w:rsid w:val="006C13FD"/>
    <w:rsid w:val="006C1742"/>
    <w:rsid w:val="006C2FD0"/>
    <w:rsid w:val="006C428B"/>
    <w:rsid w:val="006C599F"/>
    <w:rsid w:val="006C5DAF"/>
    <w:rsid w:val="006D04E7"/>
    <w:rsid w:val="006D163E"/>
    <w:rsid w:val="006D2DBE"/>
    <w:rsid w:val="006D2DE8"/>
    <w:rsid w:val="006D479B"/>
    <w:rsid w:val="006D4F72"/>
    <w:rsid w:val="006D6B8E"/>
    <w:rsid w:val="006E0B61"/>
    <w:rsid w:val="006E2775"/>
    <w:rsid w:val="006E2CAF"/>
    <w:rsid w:val="006E2F79"/>
    <w:rsid w:val="006E3196"/>
    <w:rsid w:val="006E4366"/>
    <w:rsid w:val="006E49B0"/>
    <w:rsid w:val="006E6B30"/>
    <w:rsid w:val="006F0532"/>
    <w:rsid w:val="006F32B4"/>
    <w:rsid w:val="006F3852"/>
    <w:rsid w:val="006F42A1"/>
    <w:rsid w:val="006F555E"/>
    <w:rsid w:val="00700884"/>
    <w:rsid w:val="00701335"/>
    <w:rsid w:val="00701498"/>
    <w:rsid w:val="007028E7"/>
    <w:rsid w:val="007036EF"/>
    <w:rsid w:val="0070443D"/>
    <w:rsid w:val="007046DC"/>
    <w:rsid w:val="0070486C"/>
    <w:rsid w:val="007066E9"/>
    <w:rsid w:val="007067BC"/>
    <w:rsid w:val="00710583"/>
    <w:rsid w:val="00710F0E"/>
    <w:rsid w:val="00711920"/>
    <w:rsid w:val="007135D1"/>
    <w:rsid w:val="00713685"/>
    <w:rsid w:val="00714A6C"/>
    <w:rsid w:val="00714B29"/>
    <w:rsid w:val="00714E19"/>
    <w:rsid w:val="007178C1"/>
    <w:rsid w:val="00720C33"/>
    <w:rsid w:val="00721A4C"/>
    <w:rsid w:val="00721D34"/>
    <w:rsid w:val="0072200E"/>
    <w:rsid w:val="00723C22"/>
    <w:rsid w:val="007242D2"/>
    <w:rsid w:val="00725743"/>
    <w:rsid w:val="00727BE9"/>
    <w:rsid w:val="00727E22"/>
    <w:rsid w:val="00732CB6"/>
    <w:rsid w:val="00732D43"/>
    <w:rsid w:val="00734322"/>
    <w:rsid w:val="007349DA"/>
    <w:rsid w:val="0073538A"/>
    <w:rsid w:val="0073563D"/>
    <w:rsid w:val="00735D72"/>
    <w:rsid w:val="00736578"/>
    <w:rsid w:val="007419CA"/>
    <w:rsid w:val="00743B7E"/>
    <w:rsid w:val="00743D21"/>
    <w:rsid w:val="0074439D"/>
    <w:rsid w:val="00745B80"/>
    <w:rsid w:val="00747A26"/>
    <w:rsid w:val="007502FD"/>
    <w:rsid w:val="00750474"/>
    <w:rsid w:val="00750D3A"/>
    <w:rsid w:val="0075152F"/>
    <w:rsid w:val="00751713"/>
    <w:rsid w:val="0075359B"/>
    <w:rsid w:val="00753A20"/>
    <w:rsid w:val="00754BFA"/>
    <w:rsid w:val="00756497"/>
    <w:rsid w:val="00757DC6"/>
    <w:rsid w:val="00760725"/>
    <w:rsid w:val="00760AF4"/>
    <w:rsid w:val="007614F7"/>
    <w:rsid w:val="007632C3"/>
    <w:rsid w:val="00764FF3"/>
    <w:rsid w:val="0076699E"/>
    <w:rsid w:val="007678B6"/>
    <w:rsid w:val="00767FF1"/>
    <w:rsid w:val="00771252"/>
    <w:rsid w:val="00773DE1"/>
    <w:rsid w:val="00775270"/>
    <w:rsid w:val="00775754"/>
    <w:rsid w:val="00776BFA"/>
    <w:rsid w:val="00781433"/>
    <w:rsid w:val="00782C0F"/>
    <w:rsid w:val="00784402"/>
    <w:rsid w:val="0078470F"/>
    <w:rsid w:val="007849A6"/>
    <w:rsid w:val="00785319"/>
    <w:rsid w:val="00786F76"/>
    <w:rsid w:val="00790840"/>
    <w:rsid w:val="00791AE9"/>
    <w:rsid w:val="0079509E"/>
    <w:rsid w:val="00796E18"/>
    <w:rsid w:val="00797A5D"/>
    <w:rsid w:val="007A00E6"/>
    <w:rsid w:val="007A0D45"/>
    <w:rsid w:val="007A2376"/>
    <w:rsid w:val="007A2CA3"/>
    <w:rsid w:val="007A3AC5"/>
    <w:rsid w:val="007A3E5A"/>
    <w:rsid w:val="007A520A"/>
    <w:rsid w:val="007A589C"/>
    <w:rsid w:val="007A58BD"/>
    <w:rsid w:val="007A5C46"/>
    <w:rsid w:val="007A673C"/>
    <w:rsid w:val="007A7F43"/>
    <w:rsid w:val="007B09E6"/>
    <w:rsid w:val="007B23B9"/>
    <w:rsid w:val="007B39E5"/>
    <w:rsid w:val="007B3C2E"/>
    <w:rsid w:val="007B62D2"/>
    <w:rsid w:val="007B6750"/>
    <w:rsid w:val="007C0730"/>
    <w:rsid w:val="007C1773"/>
    <w:rsid w:val="007C1BFC"/>
    <w:rsid w:val="007C23FA"/>
    <w:rsid w:val="007C33DA"/>
    <w:rsid w:val="007C63F1"/>
    <w:rsid w:val="007C695E"/>
    <w:rsid w:val="007C6A63"/>
    <w:rsid w:val="007D0142"/>
    <w:rsid w:val="007D3F32"/>
    <w:rsid w:val="007D5051"/>
    <w:rsid w:val="007D59A9"/>
    <w:rsid w:val="007D5B58"/>
    <w:rsid w:val="007D65ED"/>
    <w:rsid w:val="007D77AB"/>
    <w:rsid w:val="007E0FAE"/>
    <w:rsid w:val="007E126B"/>
    <w:rsid w:val="007E18A3"/>
    <w:rsid w:val="007E19C5"/>
    <w:rsid w:val="007E2B01"/>
    <w:rsid w:val="007E30B9"/>
    <w:rsid w:val="007E444D"/>
    <w:rsid w:val="007E4D0C"/>
    <w:rsid w:val="007F0276"/>
    <w:rsid w:val="007F0D00"/>
    <w:rsid w:val="007F155D"/>
    <w:rsid w:val="007F16E3"/>
    <w:rsid w:val="007F21A7"/>
    <w:rsid w:val="007F37C9"/>
    <w:rsid w:val="007F493A"/>
    <w:rsid w:val="007F5736"/>
    <w:rsid w:val="007F6257"/>
    <w:rsid w:val="007F67BC"/>
    <w:rsid w:val="007F77C8"/>
    <w:rsid w:val="00800F64"/>
    <w:rsid w:val="00801471"/>
    <w:rsid w:val="00803056"/>
    <w:rsid w:val="008043D5"/>
    <w:rsid w:val="0080496C"/>
    <w:rsid w:val="00807319"/>
    <w:rsid w:val="00810C14"/>
    <w:rsid w:val="008114EF"/>
    <w:rsid w:val="0081422D"/>
    <w:rsid w:val="008219B1"/>
    <w:rsid w:val="008232DA"/>
    <w:rsid w:val="00823509"/>
    <w:rsid w:val="00824FA5"/>
    <w:rsid w:val="0082501D"/>
    <w:rsid w:val="008261AB"/>
    <w:rsid w:val="00826CE7"/>
    <w:rsid w:val="00826D32"/>
    <w:rsid w:val="00826D8E"/>
    <w:rsid w:val="008277D0"/>
    <w:rsid w:val="008311E4"/>
    <w:rsid w:val="008317D0"/>
    <w:rsid w:val="00833BFD"/>
    <w:rsid w:val="008353A5"/>
    <w:rsid w:val="00836CED"/>
    <w:rsid w:val="00837BDB"/>
    <w:rsid w:val="00840011"/>
    <w:rsid w:val="008413CA"/>
    <w:rsid w:val="008413D0"/>
    <w:rsid w:val="00841476"/>
    <w:rsid w:val="008417E9"/>
    <w:rsid w:val="00841A1D"/>
    <w:rsid w:val="0084343E"/>
    <w:rsid w:val="0084525E"/>
    <w:rsid w:val="008473F8"/>
    <w:rsid w:val="0084757A"/>
    <w:rsid w:val="00847801"/>
    <w:rsid w:val="00847FAB"/>
    <w:rsid w:val="0085086F"/>
    <w:rsid w:val="00853BAA"/>
    <w:rsid w:val="00853D4D"/>
    <w:rsid w:val="00854138"/>
    <w:rsid w:val="0085462E"/>
    <w:rsid w:val="0085489F"/>
    <w:rsid w:val="0085534D"/>
    <w:rsid w:val="00856FC6"/>
    <w:rsid w:val="00857216"/>
    <w:rsid w:val="00857673"/>
    <w:rsid w:val="00860C35"/>
    <w:rsid w:val="00861CA3"/>
    <w:rsid w:val="008626EB"/>
    <w:rsid w:val="008633F5"/>
    <w:rsid w:val="00863DCF"/>
    <w:rsid w:val="008656DC"/>
    <w:rsid w:val="0086587F"/>
    <w:rsid w:val="0086638F"/>
    <w:rsid w:val="008704F2"/>
    <w:rsid w:val="00870B29"/>
    <w:rsid w:val="00872256"/>
    <w:rsid w:val="00872846"/>
    <w:rsid w:val="00873303"/>
    <w:rsid w:val="008739A9"/>
    <w:rsid w:val="00873BAD"/>
    <w:rsid w:val="008766ED"/>
    <w:rsid w:val="00877897"/>
    <w:rsid w:val="008803F7"/>
    <w:rsid w:val="008814B5"/>
    <w:rsid w:val="00882C4C"/>
    <w:rsid w:val="00884124"/>
    <w:rsid w:val="00885C5F"/>
    <w:rsid w:val="008865AB"/>
    <w:rsid w:val="00886746"/>
    <w:rsid w:val="00886B09"/>
    <w:rsid w:val="00886EB1"/>
    <w:rsid w:val="0088743F"/>
    <w:rsid w:val="0089044F"/>
    <w:rsid w:val="008910CB"/>
    <w:rsid w:val="008919D5"/>
    <w:rsid w:val="00893201"/>
    <w:rsid w:val="008935E7"/>
    <w:rsid w:val="00894F9E"/>
    <w:rsid w:val="008954A4"/>
    <w:rsid w:val="008969CA"/>
    <w:rsid w:val="00896F28"/>
    <w:rsid w:val="00896F29"/>
    <w:rsid w:val="008A2029"/>
    <w:rsid w:val="008A40FE"/>
    <w:rsid w:val="008A4F99"/>
    <w:rsid w:val="008A5ABE"/>
    <w:rsid w:val="008A6685"/>
    <w:rsid w:val="008A6A1D"/>
    <w:rsid w:val="008A7E39"/>
    <w:rsid w:val="008B077A"/>
    <w:rsid w:val="008B1816"/>
    <w:rsid w:val="008B1E30"/>
    <w:rsid w:val="008B3327"/>
    <w:rsid w:val="008B476F"/>
    <w:rsid w:val="008B49A4"/>
    <w:rsid w:val="008B5EE6"/>
    <w:rsid w:val="008C25BD"/>
    <w:rsid w:val="008C374B"/>
    <w:rsid w:val="008C5063"/>
    <w:rsid w:val="008C5DAF"/>
    <w:rsid w:val="008C6C43"/>
    <w:rsid w:val="008C7100"/>
    <w:rsid w:val="008D07EA"/>
    <w:rsid w:val="008D15C4"/>
    <w:rsid w:val="008D592F"/>
    <w:rsid w:val="008D6081"/>
    <w:rsid w:val="008D6EE9"/>
    <w:rsid w:val="008D74DB"/>
    <w:rsid w:val="008D7E66"/>
    <w:rsid w:val="008E0386"/>
    <w:rsid w:val="008E0A11"/>
    <w:rsid w:val="008E0DBE"/>
    <w:rsid w:val="008E14EC"/>
    <w:rsid w:val="008E389B"/>
    <w:rsid w:val="008E452A"/>
    <w:rsid w:val="008E65B9"/>
    <w:rsid w:val="008E7624"/>
    <w:rsid w:val="008E77F2"/>
    <w:rsid w:val="008E7E33"/>
    <w:rsid w:val="008F0450"/>
    <w:rsid w:val="008F3E80"/>
    <w:rsid w:val="008F486A"/>
    <w:rsid w:val="008F49D8"/>
    <w:rsid w:val="008F7001"/>
    <w:rsid w:val="008F7607"/>
    <w:rsid w:val="008F777F"/>
    <w:rsid w:val="009010E0"/>
    <w:rsid w:val="00903F10"/>
    <w:rsid w:val="00904EBE"/>
    <w:rsid w:val="009059F1"/>
    <w:rsid w:val="00905E89"/>
    <w:rsid w:val="009112B8"/>
    <w:rsid w:val="00913109"/>
    <w:rsid w:val="00913179"/>
    <w:rsid w:val="00913F89"/>
    <w:rsid w:val="00914887"/>
    <w:rsid w:val="00914BDE"/>
    <w:rsid w:val="009166BF"/>
    <w:rsid w:val="009168EB"/>
    <w:rsid w:val="00917CB2"/>
    <w:rsid w:val="0092064C"/>
    <w:rsid w:val="009222D7"/>
    <w:rsid w:val="00922744"/>
    <w:rsid w:val="00922C69"/>
    <w:rsid w:val="0092509E"/>
    <w:rsid w:val="00926EBB"/>
    <w:rsid w:val="00927530"/>
    <w:rsid w:val="00930136"/>
    <w:rsid w:val="00931DF1"/>
    <w:rsid w:val="00932517"/>
    <w:rsid w:val="00933324"/>
    <w:rsid w:val="00933CBE"/>
    <w:rsid w:val="00934D25"/>
    <w:rsid w:val="0093582E"/>
    <w:rsid w:val="00937509"/>
    <w:rsid w:val="009405A9"/>
    <w:rsid w:val="00940FF3"/>
    <w:rsid w:val="00943B85"/>
    <w:rsid w:val="009475A3"/>
    <w:rsid w:val="00950316"/>
    <w:rsid w:val="00950C20"/>
    <w:rsid w:val="009518B9"/>
    <w:rsid w:val="009538BA"/>
    <w:rsid w:val="0095390C"/>
    <w:rsid w:val="00954895"/>
    <w:rsid w:val="0095489F"/>
    <w:rsid w:val="0095715A"/>
    <w:rsid w:val="0096134D"/>
    <w:rsid w:val="0096154B"/>
    <w:rsid w:val="00961F1D"/>
    <w:rsid w:val="00963875"/>
    <w:rsid w:val="00963CC5"/>
    <w:rsid w:val="00965780"/>
    <w:rsid w:val="009666E0"/>
    <w:rsid w:val="009670D9"/>
    <w:rsid w:val="0096735C"/>
    <w:rsid w:val="00967A2B"/>
    <w:rsid w:val="00967F55"/>
    <w:rsid w:val="00970B88"/>
    <w:rsid w:val="00971BDE"/>
    <w:rsid w:val="00974440"/>
    <w:rsid w:val="009745CE"/>
    <w:rsid w:val="00974711"/>
    <w:rsid w:val="00974A36"/>
    <w:rsid w:val="00975843"/>
    <w:rsid w:val="00975E42"/>
    <w:rsid w:val="00976709"/>
    <w:rsid w:val="00976E03"/>
    <w:rsid w:val="00976E47"/>
    <w:rsid w:val="00980001"/>
    <w:rsid w:val="0098153C"/>
    <w:rsid w:val="00982670"/>
    <w:rsid w:val="009838D6"/>
    <w:rsid w:val="0098700D"/>
    <w:rsid w:val="009900E9"/>
    <w:rsid w:val="009920AB"/>
    <w:rsid w:val="00992615"/>
    <w:rsid w:val="00992CA5"/>
    <w:rsid w:val="00995E4B"/>
    <w:rsid w:val="00996733"/>
    <w:rsid w:val="009A1118"/>
    <w:rsid w:val="009A156A"/>
    <w:rsid w:val="009A233A"/>
    <w:rsid w:val="009A364D"/>
    <w:rsid w:val="009A4137"/>
    <w:rsid w:val="009A4E16"/>
    <w:rsid w:val="009A61E2"/>
    <w:rsid w:val="009B1120"/>
    <w:rsid w:val="009B384C"/>
    <w:rsid w:val="009B3F42"/>
    <w:rsid w:val="009B67A1"/>
    <w:rsid w:val="009B6E8A"/>
    <w:rsid w:val="009B743E"/>
    <w:rsid w:val="009C0BFD"/>
    <w:rsid w:val="009C20FB"/>
    <w:rsid w:val="009C3395"/>
    <w:rsid w:val="009C34C3"/>
    <w:rsid w:val="009C35F8"/>
    <w:rsid w:val="009C36E2"/>
    <w:rsid w:val="009C489D"/>
    <w:rsid w:val="009C50F0"/>
    <w:rsid w:val="009C5BB1"/>
    <w:rsid w:val="009D0F42"/>
    <w:rsid w:val="009D4150"/>
    <w:rsid w:val="009D4F17"/>
    <w:rsid w:val="009D6B0E"/>
    <w:rsid w:val="009D6ECB"/>
    <w:rsid w:val="009D7AF7"/>
    <w:rsid w:val="009E16C8"/>
    <w:rsid w:val="009E27B3"/>
    <w:rsid w:val="009E2DC2"/>
    <w:rsid w:val="009E38F4"/>
    <w:rsid w:val="009F1124"/>
    <w:rsid w:val="009F30A5"/>
    <w:rsid w:val="009F4145"/>
    <w:rsid w:val="009F58D9"/>
    <w:rsid w:val="009F5933"/>
    <w:rsid w:val="00A01093"/>
    <w:rsid w:val="00A021F2"/>
    <w:rsid w:val="00A045B8"/>
    <w:rsid w:val="00A046C6"/>
    <w:rsid w:val="00A04FBE"/>
    <w:rsid w:val="00A051B5"/>
    <w:rsid w:val="00A072BC"/>
    <w:rsid w:val="00A07566"/>
    <w:rsid w:val="00A11A69"/>
    <w:rsid w:val="00A11D34"/>
    <w:rsid w:val="00A13E4B"/>
    <w:rsid w:val="00A140C4"/>
    <w:rsid w:val="00A17687"/>
    <w:rsid w:val="00A17ECD"/>
    <w:rsid w:val="00A20C6B"/>
    <w:rsid w:val="00A23696"/>
    <w:rsid w:val="00A23B52"/>
    <w:rsid w:val="00A24E7A"/>
    <w:rsid w:val="00A24FAB"/>
    <w:rsid w:val="00A252EB"/>
    <w:rsid w:val="00A30CE5"/>
    <w:rsid w:val="00A317B9"/>
    <w:rsid w:val="00A332B1"/>
    <w:rsid w:val="00A33E36"/>
    <w:rsid w:val="00A34584"/>
    <w:rsid w:val="00A34796"/>
    <w:rsid w:val="00A40BCC"/>
    <w:rsid w:val="00A41B46"/>
    <w:rsid w:val="00A440C6"/>
    <w:rsid w:val="00A44D4F"/>
    <w:rsid w:val="00A451D2"/>
    <w:rsid w:val="00A461A0"/>
    <w:rsid w:val="00A50D29"/>
    <w:rsid w:val="00A5105F"/>
    <w:rsid w:val="00A51DEE"/>
    <w:rsid w:val="00A55BC2"/>
    <w:rsid w:val="00A56535"/>
    <w:rsid w:val="00A5751F"/>
    <w:rsid w:val="00A57623"/>
    <w:rsid w:val="00A606C7"/>
    <w:rsid w:val="00A63082"/>
    <w:rsid w:val="00A635B7"/>
    <w:rsid w:val="00A649C6"/>
    <w:rsid w:val="00A656AA"/>
    <w:rsid w:val="00A65808"/>
    <w:rsid w:val="00A66242"/>
    <w:rsid w:val="00A70535"/>
    <w:rsid w:val="00A7197E"/>
    <w:rsid w:val="00A72484"/>
    <w:rsid w:val="00A72B3B"/>
    <w:rsid w:val="00A74253"/>
    <w:rsid w:val="00A77F09"/>
    <w:rsid w:val="00A81951"/>
    <w:rsid w:val="00A82E12"/>
    <w:rsid w:val="00A83A72"/>
    <w:rsid w:val="00A8443E"/>
    <w:rsid w:val="00A85A86"/>
    <w:rsid w:val="00A86978"/>
    <w:rsid w:val="00A9216E"/>
    <w:rsid w:val="00A923E8"/>
    <w:rsid w:val="00A92EB2"/>
    <w:rsid w:val="00A931F9"/>
    <w:rsid w:val="00A933F0"/>
    <w:rsid w:val="00A94790"/>
    <w:rsid w:val="00A9604E"/>
    <w:rsid w:val="00A971FD"/>
    <w:rsid w:val="00A97A2A"/>
    <w:rsid w:val="00A97C3B"/>
    <w:rsid w:val="00A97E23"/>
    <w:rsid w:val="00AA1121"/>
    <w:rsid w:val="00AA1F53"/>
    <w:rsid w:val="00AA3359"/>
    <w:rsid w:val="00AA3F47"/>
    <w:rsid w:val="00AA42FF"/>
    <w:rsid w:val="00AA6998"/>
    <w:rsid w:val="00AB363E"/>
    <w:rsid w:val="00AB39B7"/>
    <w:rsid w:val="00AB46A6"/>
    <w:rsid w:val="00AB694A"/>
    <w:rsid w:val="00AB751A"/>
    <w:rsid w:val="00AB7EF5"/>
    <w:rsid w:val="00AC0BBE"/>
    <w:rsid w:val="00AC2F8F"/>
    <w:rsid w:val="00AC3312"/>
    <w:rsid w:val="00AC36AE"/>
    <w:rsid w:val="00AC3AD0"/>
    <w:rsid w:val="00AC5BB6"/>
    <w:rsid w:val="00AD5686"/>
    <w:rsid w:val="00AE2689"/>
    <w:rsid w:val="00AE485E"/>
    <w:rsid w:val="00AE65BB"/>
    <w:rsid w:val="00AE6D0E"/>
    <w:rsid w:val="00AE7DE4"/>
    <w:rsid w:val="00AF0509"/>
    <w:rsid w:val="00AF089D"/>
    <w:rsid w:val="00AF19C7"/>
    <w:rsid w:val="00AF5869"/>
    <w:rsid w:val="00AF61E2"/>
    <w:rsid w:val="00AF6AA5"/>
    <w:rsid w:val="00AF71B7"/>
    <w:rsid w:val="00AF7B5F"/>
    <w:rsid w:val="00B0274C"/>
    <w:rsid w:val="00B0309E"/>
    <w:rsid w:val="00B04005"/>
    <w:rsid w:val="00B04FA5"/>
    <w:rsid w:val="00B071AC"/>
    <w:rsid w:val="00B12579"/>
    <w:rsid w:val="00B12F33"/>
    <w:rsid w:val="00B1410F"/>
    <w:rsid w:val="00B143D9"/>
    <w:rsid w:val="00B149EB"/>
    <w:rsid w:val="00B1680B"/>
    <w:rsid w:val="00B177B0"/>
    <w:rsid w:val="00B1798E"/>
    <w:rsid w:val="00B1799C"/>
    <w:rsid w:val="00B20219"/>
    <w:rsid w:val="00B205C1"/>
    <w:rsid w:val="00B20EE5"/>
    <w:rsid w:val="00B21BB1"/>
    <w:rsid w:val="00B22A61"/>
    <w:rsid w:val="00B238CE"/>
    <w:rsid w:val="00B23A80"/>
    <w:rsid w:val="00B24E16"/>
    <w:rsid w:val="00B26661"/>
    <w:rsid w:val="00B26A09"/>
    <w:rsid w:val="00B26B7C"/>
    <w:rsid w:val="00B26C11"/>
    <w:rsid w:val="00B272B8"/>
    <w:rsid w:val="00B27AE9"/>
    <w:rsid w:val="00B305A2"/>
    <w:rsid w:val="00B30E9F"/>
    <w:rsid w:val="00B33633"/>
    <w:rsid w:val="00B33DFA"/>
    <w:rsid w:val="00B34668"/>
    <w:rsid w:val="00B34FE7"/>
    <w:rsid w:val="00B410BE"/>
    <w:rsid w:val="00B41253"/>
    <w:rsid w:val="00B4258A"/>
    <w:rsid w:val="00B4366C"/>
    <w:rsid w:val="00B4470D"/>
    <w:rsid w:val="00B46A06"/>
    <w:rsid w:val="00B46A8A"/>
    <w:rsid w:val="00B526CB"/>
    <w:rsid w:val="00B52C4F"/>
    <w:rsid w:val="00B52ED8"/>
    <w:rsid w:val="00B52F6D"/>
    <w:rsid w:val="00B537B1"/>
    <w:rsid w:val="00B53BE2"/>
    <w:rsid w:val="00B55007"/>
    <w:rsid w:val="00B56637"/>
    <w:rsid w:val="00B576B6"/>
    <w:rsid w:val="00B60087"/>
    <w:rsid w:val="00B61104"/>
    <w:rsid w:val="00B61895"/>
    <w:rsid w:val="00B61A87"/>
    <w:rsid w:val="00B61F34"/>
    <w:rsid w:val="00B62C1A"/>
    <w:rsid w:val="00B62DD3"/>
    <w:rsid w:val="00B6332E"/>
    <w:rsid w:val="00B64350"/>
    <w:rsid w:val="00B6499E"/>
    <w:rsid w:val="00B65424"/>
    <w:rsid w:val="00B67AB5"/>
    <w:rsid w:val="00B7009B"/>
    <w:rsid w:val="00B7279B"/>
    <w:rsid w:val="00B72CC9"/>
    <w:rsid w:val="00B7424E"/>
    <w:rsid w:val="00B74757"/>
    <w:rsid w:val="00B756D8"/>
    <w:rsid w:val="00B77DF3"/>
    <w:rsid w:val="00B80368"/>
    <w:rsid w:val="00B80E69"/>
    <w:rsid w:val="00B81CCB"/>
    <w:rsid w:val="00B820BC"/>
    <w:rsid w:val="00B82776"/>
    <w:rsid w:val="00B82975"/>
    <w:rsid w:val="00B82E69"/>
    <w:rsid w:val="00B85A0A"/>
    <w:rsid w:val="00B85A6E"/>
    <w:rsid w:val="00B86AA6"/>
    <w:rsid w:val="00B90544"/>
    <w:rsid w:val="00B90AD9"/>
    <w:rsid w:val="00B9312E"/>
    <w:rsid w:val="00B94BE3"/>
    <w:rsid w:val="00B951A2"/>
    <w:rsid w:val="00B95F39"/>
    <w:rsid w:val="00B96D07"/>
    <w:rsid w:val="00B97CC8"/>
    <w:rsid w:val="00B97D97"/>
    <w:rsid w:val="00BA0FB0"/>
    <w:rsid w:val="00BA59E5"/>
    <w:rsid w:val="00BA7351"/>
    <w:rsid w:val="00BB35CC"/>
    <w:rsid w:val="00BB3D98"/>
    <w:rsid w:val="00BB3DAD"/>
    <w:rsid w:val="00BB3DDD"/>
    <w:rsid w:val="00BB4074"/>
    <w:rsid w:val="00BB4942"/>
    <w:rsid w:val="00BB5263"/>
    <w:rsid w:val="00BB6B33"/>
    <w:rsid w:val="00BB7A8B"/>
    <w:rsid w:val="00BB7A97"/>
    <w:rsid w:val="00BB7AA9"/>
    <w:rsid w:val="00BC0A89"/>
    <w:rsid w:val="00BC0D46"/>
    <w:rsid w:val="00BC16AD"/>
    <w:rsid w:val="00BC2FBD"/>
    <w:rsid w:val="00BC3421"/>
    <w:rsid w:val="00BC3E85"/>
    <w:rsid w:val="00BC4710"/>
    <w:rsid w:val="00BC5979"/>
    <w:rsid w:val="00BD1915"/>
    <w:rsid w:val="00BD3171"/>
    <w:rsid w:val="00BD3850"/>
    <w:rsid w:val="00BD5058"/>
    <w:rsid w:val="00BD6C7F"/>
    <w:rsid w:val="00BE1591"/>
    <w:rsid w:val="00BE2F08"/>
    <w:rsid w:val="00BE435A"/>
    <w:rsid w:val="00BE48DC"/>
    <w:rsid w:val="00BE52EA"/>
    <w:rsid w:val="00BE703B"/>
    <w:rsid w:val="00BE7707"/>
    <w:rsid w:val="00BF0C78"/>
    <w:rsid w:val="00BF10D8"/>
    <w:rsid w:val="00BF5F4D"/>
    <w:rsid w:val="00BF6999"/>
    <w:rsid w:val="00BF6D11"/>
    <w:rsid w:val="00C0295E"/>
    <w:rsid w:val="00C03299"/>
    <w:rsid w:val="00C0504D"/>
    <w:rsid w:val="00C0522D"/>
    <w:rsid w:val="00C052A3"/>
    <w:rsid w:val="00C05DFE"/>
    <w:rsid w:val="00C06B40"/>
    <w:rsid w:val="00C06B7F"/>
    <w:rsid w:val="00C07DF7"/>
    <w:rsid w:val="00C10207"/>
    <w:rsid w:val="00C10C43"/>
    <w:rsid w:val="00C10DAB"/>
    <w:rsid w:val="00C112F9"/>
    <w:rsid w:val="00C1130C"/>
    <w:rsid w:val="00C1162A"/>
    <w:rsid w:val="00C121F2"/>
    <w:rsid w:val="00C130C8"/>
    <w:rsid w:val="00C150D5"/>
    <w:rsid w:val="00C1563D"/>
    <w:rsid w:val="00C16B6E"/>
    <w:rsid w:val="00C1731D"/>
    <w:rsid w:val="00C178BC"/>
    <w:rsid w:val="00C20D9B"/>
    <w:rsid w:val="00C24B8B"/>
    <w:rsid w:val="00C25977"/>
    <w:rsid w:val="00C316D8"/>
    <w:rsid w:val="00C32BE0"/>
    <w:rsid w:val="00C34694"/>
    <w:rsid w:val="00C34AC0"/>
    <w:rsid w:val="00C356DF"/>
    <w:rsid w:val="00C35FAC"/>
    <w:rsid w:val="00C36134"/>
    <w:rsid w:val="00C41266"/>
    <w:rsid w:val="00C41FE0"/>
    <w:rsid w:val="00C42C18"/>
    <w:rsid w:val="00C44BE0"/>
    <w:rsid w:val="00C44EA7"/>
    <w:rsid w:val="00C466EE"/>
    <w:rsid w:val="00C47AE0"/>
    <w:rsid w:val="00C50E72"/>
    <w:rsid w:val="00C51FC7"/>
    <w:rsid w:val="00C5439A"/>
    <w:rsid w:val="00C5525A"/>
    <w:rsid w:val="00C5631E"/>
    <w:rsid w:val="00C57CE6"/>
    <w:rsid w:val="00C61617"/>
    <w:rsid w:val="00C626E3"/>
    <w:rsid w:val="00C62E67"/>
    <w:rsid w:val="00C6341F"/>
    <w:rsid w:val="00C637EB"/>
    <w:rsid w:val="00C64929"/>
    <w:rsid w:val="00C6503A"/>
    <w:rsid w:val="00C65A8D"/>
    <w:rsid w:val="00C671BF"/>
    <w:rsid w:val="00C67441"/>
    <w:rsid w:val="00C701B7"/>
    <w:rsid w:val="00C705A7"/>
    <w:rsid w:val="00C71E8E"/>
    <w:rsid w:val="00C74127"/>
    <w:rsid w:val="00C74F7D"/>
    <w:rsid w:val="00C756F3"/>
    <w:rsid w:val="00C76441"/>
    <w:rsid w:val="00C8081A"/>
    <w:rsid w:val="00C808B8"/>
    <w:rsid w:val="00C81114"/>
    <w:rsid w:val="00C86045"/>
    <w:rsid w:val="00C86D78"/>
    <w:rsid w:val="00C877EB"/>
    <w:rsid w:val="00C912F0"/>
    <w:rsid w:val="00C9235C"/>
    <w:rsid w:val="00C945E4"/>
    <w:rsid w:val="00C94E5E"/>
    <w:rsid w:val="00C95331"/>
    <w:rsid w:val="00C97B33"/>
    <w:rsid w:val="00CA0AE3"/>
    <w:rsid w:val="00CA1098"/>
    <w:rsid w:val="00CA161F"/>
    <w:rsid w:val="00CA188A"/>
    <w:rsid w:val="00CA2271"/>
    <w:rsid w:val="00CA274D"/>
    <w:rsid w:val="00CA2C6E"/>
    <w:rsid w:val="00CA430D"/>
    <w:rsid w:val="00CA5764"/>
    <w:rsid w:val="00CA78E7"/>
    <w:rsid w:val="00CB1A6A"/>
    <w:rsid w:val="00CB21C0"/>
    <w:rsid w:val="00CB2865"/>
    <w:rsid w:val="00CB3645"/>
    <w:rsid w:val="00CB4A6A"/>
    <w:rsid w:val="00CB7A87"/>
    <w:rsid w:val="00CB7F12"/>
    <w:rsid w:val="00CC0BBB"/>
    <w:rsid w:val="00CC0C43"/>
    <w:rsid w:val="00CC1892"/>
    <w:rsid w:val="00CC20FD"/>
    <w:rsid w:val="00CC238B"/>
    <w:rsid w:val="00CC303C"/>
    <w:rsid w:val="00CC315B"/>
    <w:rsid w:val="00CC333E"/>
    <w:rsid w:val="00CC4025"/>
    <w:rsid w:val="00CC5EB6"/>
    <w:rsid w:val="00CC7958"/>
    <w:rsid w:val="00CC7DFD"/>
    <w:rsid w:val="00CD00C9"/>
    <w:rsid w:val="00CD1456"/>
    <w:rsid w:val="00CD314B"/>
    <w:rsid w:val="00CD3E94"/>
    <w:rsid w:val="00CD4EB1"/>
    <w:rsid w:val="00CD56D5"/>
    <w:rsid w:val="00CD5C75"/>
    <w:rsid w:val="00CD5D7C"/>
    <w:rsid w:val="00CD637B"/>
    <w:rsid w:val="00CD7D17"/>
    <w:rsid w:val="00CE1466"/>
    <w:rsid w:val="00CE618C"/>
    <w:rsid w:val="00CE7B1B"/>
    <w:rsid w:val="00CE7CA4"/>
    <w:rsid w:val="00CF1BE9"/>
    <w:rsid w:val="00CF3302"/>
    <w:rsid w:val="00CF4FEC"/>
    <w:rsid w:val="00CF567E"/>
    <w:rsid w:val="00CF5731"/>
    <w:rsid w:val="00CF5BB9"/>
    <w:rsid w:val="00CF6F73"/>
    <w:rsid w:val="00D01161"/>
    <w:rsid w:val="00D015B3"/>
    <w:rsid w:val="00D04EB0"/>
    <w:rsid w:val="00D05ADE"/>
    <w:rsid w:val="00D05BF1"/>
    <w:rsid w:val="00D10259"/>
    <w:rsid w:val="00D1064C"/>
    <w:rsid w:val="00D1113F"/>
    <w:rsid w:val="00D11FE7"/>
    <w:rsid w:val="00D13477"/>
    <w:rsid w:val="00D13B50"/>
    <w:rsid w:val="00D14B50"/>
    <w:rsid w:val="00D14DEF"/>
    <w:rsid w:val="00D15FA2"/>
    <w:rsid w:val="00D16787"/>
    <w:rsid w:val="00D16C6E"/>
    <w:rsid w:val="00D17756"/>
    <w:rsid w:val="00D21612"/>
    <w:rsid w:val="00D228AB"/>
    <w:rsid w:val="00D2336C"/>
    <w:rsid w:val="00D233FF"/>
    <w:rsid w:val="00D2376C"/>
    <w:rsid w:val="00D23DA4"/>
    <w:rsid w:val="00D25167"/>
    <w:rsid w:val="00D257C6"/>
    <w:rsid w:val="00D25DB9"/>
    <w:rsid w:val="00D265C4"/>
    <w:rsid w:val="00D27DE0"/>
    <w:rsid w:val="00D30695"/>
    <w:rsid w:val="00D31423"/>
    <w:rsid w:val="00D31AB5"/>
    <w:rsid w:val="00D31AEC"/>
    <w:rsid w:val="00D32D35"/>
    <w:rsid w:val="00D41FA8"/>
    <w:rsid w:val="00D42858"/>
    <w:rsid w:val="00D45D7B"/>
    <w:rsid w:val="00D45DBE"/>
    <w:rsid w:val="00D45E04"/>
    <w:rsid w:val="00D45E91"/>
    <w:rsid w:val="00D47022"/>
    <w:rsid w:val="00D50F82"/>
    <w:rsid w:val="00D51C12"/>
    <w:rsid w:val="00D52901"/>
    <w:rsid w:val="00D55336"/>
    <w:rsid w:val="00D55A88"/>
    <w:rsid w:val="00D55B47"/>
    <w:rsid w:val="00D606D7"/>
    <w:rsid w:val="00D60DA1"/>
    <w:rsid w:val="00D60E39"/>
    <w:rsid w:val="00D62258"/>
    <w:rsid w:val="00D63139"/>
    <w:rsid w:val="00D63E27"/>
    <w:rsid w:val="00D653F4"/>
    <w:rsid w:val="00D6657C"/>
    <w:rsid w:val="00D71CD0"/>
    <w:rsid w:val="00D72E1C"/>
    <w:rsid w:val="00D73A5F"/>
    <w:rsid w:val="00D74275"/>
    <w:rsid w:val="00D743F4"/>
    <w:rsid w:val="00D768EC"/>
    <w:rsid w:val="00D777BC"/>
    <w:rsid w:val="00D82072"/>
    <w:rsid w:val="00D83596"/>
    <w:rsid w:val="00D847A7"/>
    <w:rsid w:val="00D87758"/>
    <w:rsid w:val="00D90167"/>
    <w:rsid w:val="00D9182A"/>
    <w:rsid w:val="00D92B0B"/>
    <w:rsid w:val="00D92EC3"/>
    <w:rsid w:val="00D9325F"/>
    <w:rsid w:val="00D93D25"/>
    <w:rsid w:val="00D94620"/>
    <w:rsid w:val="00D94754"/>
    <w:rsid w:val="00D957E5"/>
    <w:rsid w:val="00D95CBB"/>
    <w:rsid w:val="00D95EBD"/>
    <w:rsid w:val="00D96A28"/>
    <w:rsid w:val="00D97723"/>
    <w:rsid w:val="00DA045A"/>
    <w:rsid w:val="00DA051E"/>
    <w:rsid w:val="00DA142F"/>
    <w:rsid w:val="00DA1CA0"/>
    <w:rsid w:val="00DA453D"/>
    <w:rsid w:val="00DA4FBB"/>
    <w:rsid w:val="00DA525A"/>
    <w:rsid w:val="00DA52C9"/>
    <w:rsid w:val="00DA5A6B"/>
    <w:rsid w:val="00DA5C9C"/>
    <w:rsid w:val="00DA645B"/>
    <w:rsid w:val="00DA78E6"/>
    <w:rsid w:val="00DB015C"/>
    <w:rsid w:val="00DB0BA8"/>
    <w:rsid w:val="00DB0E67"/>
    <w:rsid w:val="00DB0FD1"/>
    <w:rsid w:val="00DB5241"/>
    <w:rsid w:val="00DB6807"/>
    <w:rsid w:val="00DB7D83"/>
    <w:rsid w:val="00DC1BFB"/>
    <w:rsid w:val="00DC4902"/>
    <w:rsid w:val="00DC5177"/>
    <w:rsid w:val="00DC5857"/>
    <w:rsid w:val="00DD0F49"/>
    <w:rsid w:val="00DD103D"/>
    <w:rsid w:val="00DD1F11"/>
    <w:rsid w:val="00DD200A"/>
    <w:rsid w:val="00DD2E48"/>
    <w:rsid w:val="00DD3746"/>
    <w:rsid w:val="00DD3B6D"/>
    <w:rsid w:val="00DD4B61"/>
    <w:rsid w:val="00DD4FE0"/>
    <w:rsid w:val="00DD51CB"/>
    <w:rsid w:val="00DD718C"/>
    <w:rsid w:val="00DD7813"/>
    <w:rsid w:val="00DE0E05"/>
    <w:rsid w:val="00DE139C"/>
    <w:rsid w:val="00DE27A5"/>
    <w:rsid w:val="00DE4549"/>
    <w:rsid w:val="00DE45ED"/>
    <w:rsid w:val="00DE5641"/>
    <w:rsid w:val="00DE7CD7"/>
    <w:rsid w:val="00DF16D9"/>
    <w:rsid w:val="00DF1E5A"/>
    <w:rsid w:val="00DF30F0"/>
    <w:rsid w:val="00DF334E"/>
    <w:rsid w:val="00DF33C7"/>
    <w:rsid w:val="00DF4503"/>
    <w:rsid w:val="00DF50E9"/>
    <w:rsid w:val="00DF6560"/>
    <w:rsid w:val="00E0000E"/>
    <w:rsid w:val="00E00084"/>
    <w:rsid w:val="00E01389"/>
    <w:rsid w:val="00E01530"/>
    <w:rsid w:val="00E01E44"/>
    <w:rsid w:val="00E03A27"/>
    <w:rsid w:val="00E04CCA"/>
    <w:rsid w:val="00E12002"/>
    <w:rsid w:val="00E12178"/>
    <w:rsid w:val="00E13643"/>
    <w:rsid w:val="00E13B43"/>
    <w:rsid w:val="00E13DB6"/>
    <w:rsid w:val="00E14398"/>
    <w:rsid w:val="00E17855"/>
    <w:rsid w:val="00E17BA0"/>
    <w:rsid w:val="00E2025A"/>
    <w:rsid w:val="00E206B7"/>
    <w:rsid w:val="00E225D2"/>
    <w:rsid w:val="00E23A22"/>
    <w:rsid w:val="00E245FC"/>
    <w:rsid w:val="00E24763"/>
    <w:rsid w:val="00E24857"/>
    <w:rsid w:val="00E25005"/>
    <w:rsid w:val="00E26035"/>
    <w:rsid w:val="00E26BA5"/>
    <w:rsid w:val="00E273B1"/>
    <w:rsid w:val="00E301BA"/>
    <w:rsid w:val="00E30A13"/>
    <w:rsid w:val="00E31B30"/>
    <w:rsid w:val="00E320E0"/>
    <w:rsid w:val="00E3227C"/>
    <w:rsid w:val="00E35AB0"/>
    <w:rsid w:val="00E36A21"/>
    <w:rsid w:val="00E36C2E"/>
    <w:rsid w:val="00E36ED0"/>
    <w:rsid w:val="00E37D3C"/>
    <w:rsid w:val="00E40ECE"/>
    <w:rsid w:val="00E4196C"/>
    <w:rsid w:val="00E41C58"/>
    <w:rsid w:val="00E42245"/>
    <w:rsid w:val="00E43C84"/>
    <w:rsid w:val="00E43E8E"/>
    <w:rsid w:val="00E44290"/>
    <w:rsid w:val="00E44E44"/>
    <w:rsid w:val="00E45332"/>
    <w:rsid w:val="00E45921"/>
    <w:rsid w:val="00E45C4C"/>
    <w:rsid w:val="00E45EC5"/>
    <w:rsid w:val="00E45F64"/>
    <w:rsid w:val="00E46109"/>
    <w:rsid w:val="00E46E1B"/>
    <w:rsid w:val="00E47DBB"/>
    <w:rsid w:val="00E5198F"/>
    <w:rsid w:val="00E51CB1"/>
    <w:rsid w:val="00E54648"/>
    <w:rsid w:val="00E54FCC"/>
    <w:rsid w:val="00E56336"/>
    <w:rsid w:val="00E61961"/>
    <w:rsid w:val="00E6328C"/>
    <w:rsid w:val="00E66DD1"/>
    <w:rsid w:val="00E67229"/>
    <w:rsid w:val="00E67A8D"/>
    <w:rsid w:val="00E67D15"/>
    <w:rsid w:val="00E700FE"/>
    <w:rsid w:val="00E70A32"/>
    <w:rsid w:val="00E713D4"/>
    <w:rsid w:val="00E74550"/>
    <w:rsid w:val="00E745E1"/>
    <w:rsid w:val="00E760FB"/>
    <w:rsid w:val="00E80B6B"/>
    <w:rsid w:val="00E83CCA"/>
    <w:rsid w:val="00E83D5F"/>
    <w:rsid w:val="00E84C1E"/>
    <w:rsid w:val="00E84CD3"/>
    <w:rsid w:val="00E86C70"/>
    <w:rsid w:val="00E86F3F"/>
    <w:rsid w:val="00E87E99"/>
    <w:rsid w:val="00E9361F"/>
    <w:rsid w:val="00E9436E"/>
    <w:rsid w:val="00E94AA7"/>
    <w:rsid w:val="00E953D5"/>
    <w:rsid w:val="00E95A8B"/>
    <w:rsid w:val="00E96098"/>
    <w:rsid w:val="00E97AE4"/>
    <w:rsid w:val="00EA0AD6"/>
    <w:rsid w:val="00EA25B5"/>
    <w:rsid w:val="00EA2F58"/>
    <w:rsid w:val="00EA3526"/>
    <w:rsid w:val="00EA4DDF"/>
    <w:rsid w:val="00EA4EAF"/>
    <w:rsid w:val="00EA597C"/>
    <w:rsid w:val="00EA5ADD"/>
    <w:rsid w:val="00EA61B6"/>
    <w:rsid w:val="00EB0FEB"/>
    <w:rsid w:val="00EB31AF"/>
    <w:rsid w:val="00EB3615"/>
    <w:rsid w:val="00EB371D"/>
    <w:rsid w:val="00EB4571"/>
    <w:rsid w:val="00EB4F12"/>
    <w:rsid w:val="00EB5137"/>
    <w:rsid w:val="00EB5C48"/>
    <w:rsid w:val="00EB7657"/>
    <w:rsid w:val="00EB77AC"/>
    <w:rsid w:val="00EC031D"/>
    <w:rsid w:val="00EC3A87"/>
    <w:rsid w:val="00EC44FE"/>
    <w:rsid w:val="00EC47CF"/>
    <w:rsid w:val="00EC4C3F"/>
    <w:rsid w:val="00EC58F8"/>
    <w:rsid w:val="00EC5BB6"/>
    <w:rsid w:val="00EC7288"/>
    <w:rsid w:val="00EC7C48"/>
    <w:rsid w:val="00ED240A"/>
    <w:rsid w:val="00ED24C6"/>
    <w:rsid w:val="00ED3E12"/>
    <w:rsid w:val="00ED5C8D"/>
    <w:rsid w:val="00ED6BE3"/>
    <w:rsid w:val="00ED763D"/>
    <w:rsid w:val="00EE0EE7"/>
    <w:rsid w:val="00EE2E29"/>
    <w:rsid w:val="00EE3D24"/>
    <w:rsid w:val="00EE4239"/>
    <w:rsid w:val="00EE4296"/>
    <w:rsid w:val="00EE5436"/>
    <w:rsid w:val="00EE5A51"/>
    <w:rsid w:val="00EE6397"/>
    <w:rsid w:val="00EE6791"/>
    <w:rsid w:val="00EE6903"/>
    <w:rsid w:val="00EF02EA"/>
    <w:rsid w:val="00EF0D64"/>
    <w:rsid w:val="00EF0FA9"/>
    <w:rsid w:val="00EF1DE1"/>
    <w:rsid w:val="00EF2738"/>
    <w:rsid w:val="00EF319D"/>
    <w:rsid w:val="00EF33DE"/>
    <w:rsid w:val="00EF33E5"/>
    <w:rsid w:val="00EF6B59"/>
    <w:rsid w:val="00F0020D"/>
    <w:rsid w:val="00F00391"/>
    <w:rsid w:val="00F02932"/>
    <w:rsid w:val="00F048A8"/>
    <w:rsid w:val="00F060FB"/>
    <w:rsid w:val="00F07B52"/>
    <w:rsid w:val="00F10754"/>
    <w:rsid w:val="00F10F8A"/>
    <w:rsid w:val="00F10FAB"/>
    <w:rsid w:val="00F115C1"/>
    <w:rsid w:val="00F1350C"/>
    <w:rsid w:val="00F13F29"/>
    <w:rsid w:val="00F1645A"/>
    <w:rsid w:val="00F17704"/>
    <w:rsid w:val="00F17CEB"/>
    <w:rsid w:val="00F21367"/>
    <w:rsid w:val="00F225BC"/>
    <w:rsid w:val="00F23A29"/>
    <w:rsid w:val="00F23EE3"/>
    <w:rsid w:val="00F24440"/>
    <w:rsid w:val="00F277BF"/>
    <w:rsid w:val="00F278CC"/>
    <w:rsid w:val="00F27DE7"/>
    <w:rsid w:val="00F30860"/>
    <w:rsid w:val="00F31603"/>
    <w:rsid w:val="00F330D1"/>
    <w:rsid w:val="00F33BB2"/>
    <w:rsid w:val="00F35461"/>
    <w:rsid w:val="00F3557D"/>
    <w:rsid w:val="00F37758"/>
    <w:rsid w:val="00F411E3"/>
    <w:rsid w:val="00F41D5D"/>
    <w:rsid w:val="00F44869"/>
    <w:rsid w:val="00F44C63"/>
    <w:rsid w:val="00F464A6"/>
    <w:rsid w:val="00F46BB9"/>
    <w:rsid w:val="00F46CB6"/>
    <w:rsid w:val="00F47EB8"/>
    <w:rsid w:val="00F50311"/>
    <w:rsid w:val="00F50CD6"/>
    <w:rsid w:val="00F50F0E"/>
    <w:rsid w:val="00F5426E"/>
    <w:rsid w:val="00F55655"/>
    <w:rsid w:val="00F56057"/>
    <w:rsid w:val="00F5753D"/>
    <w:rsid w:val="00F61FE8"/>
    <w:rsid w:val="00F65A11"/>
    <w:rsid w:val="00F70C0D"/>
    <w:rsid w:val="00F71EB7"/>
    <w:rsid w:val="00F7317B"/>
    <w:rsid w:val="00F73619"/>
    <w:rsid w:val="00F74062"/>
    <w:rsid w:val="00F75EC8"/>
    <w:rsid w:val="00F76606"/>
    <w:rsid w:val="00F80E0A"/>
    <w:rsid w:val="00F83BBB"/>
    <w:rsid w:val="00F83FC6"/>
    <w:rsid w:val="00F840A5"/>
    <w:rsid w:val="00F846A9"/>
    <w:rsid w:val="00F84C23"/>
    <w:rsid w:val="00F84EFF"/>
    <w:rsid w:val="00F855DB"/>
    <w:rsid w:val="00F859E0"/>
    <w:rsid w:val="00F85BA8"/>
    <w:rsid w:val="00F85F1D"/>
    <w:rsid w:val="00F862BF"/>
    <w:rsid w:val="00F86F6E"/>
    <w:rsid w:val="00F87793"/>
    <w:rsid w:val="00F91519"/>
    <w:rsid w:val="00F9168A"/>
    <w:rsid w:val="00F92EDC"/>
    <w:rsid w:val="00F94683"/>
    <w:rsid w:val="00F947AB"/>
    <w:rsid w:val="00F95215"/>
    <w:rsid w:val="00F95885"/>
    <w:rsid w:val="00FA0A1B"/>
    <w:rsid w:val="00FA3122"/>
    <w:rsid w:val="00FA36E4"/>
    <w:rsid w:val="00FA5BCB"/>
    <w:rsid w:val="00FA6864"/>
    <w:rsid w:val="00FA6B3E"/>
    <w:rsid w:val="00FA7CEF"/>
    <w:rsid w:val="00FB0A74"/>
    <w:rsid w:val="00FB2538"/>
    <w:rsid w:val="00FB412E"/>
    <w:rsid w:val="00FB4295"/>
    <w:rsid w:val="00FB462A"/>
    <w:rsid w:val="00FB50BA"/>
    <w:rsid w:val="00FB5CC0"/>
    <w:rsid w:val="00FB62C7"/>
    <w:rsid w:val="00FB64B0"/>
    <w:rsid w:val="00FB662A"/>
    <w:rsid w:val="00FB66AE"/>
    <w:rsid w:val="00FB7298"/>
    <w:rsid w:val="00FC04B0"/>
    <w:rsid w:val="00FC084D"/>
    <w:rsid w:val="00FC22E8"/>
    <w:rsid w:val="00FC27BF"/>
    <w:rsid w:val="00FC2CAE"/>
    <w:rsid w:val="00FC32E7"/>
    <w:rsid w:val="00FC46AA"/>
    <w:rsid w:val="00FC4F00"/>
    <w:rsid w:val="00FC5C9D"/>
    <w:rsid w:val="00FC5DAC"/>
    <w:rsid w:val="00FC7CED"/>
    <w:rsid w:val="00FD0810"/>
    <w:rsid w:val="00FD0EAB"/>
    <w:rsid w:val="00FD2478"/>
    <w:rsid w:val="00FD2EAC"/>
    <w:rsid w:val="00FD42A9"/>
    <w:rsid w:val="00FD4B33"/>
    <w:rsid w:val="00FD65B6"/>
    <w:rsid w:val="00FE028C"/>
    <w:rsid w:val="00FE040A"/>
    <w:rsid w:val="00FE1F46"/>
    <w:rsid w:val="00FE2BA2"/>
    <w:rsid w:val="00FE30B5"/>
    <w:rsid w:val="00FE311C"/>
    <w:rsid w:val="00FE379A"/>
    <w:rsid w:val="00FE457E"/>
    <w:rsid w:val="00FE61C1"/>
    <w:rsid w:val="00FE6E24"/>
    <w:rsid w:val="00FE704F"/>
    <w:rsid w:val="00FF17B0"/>
    <w:rsid w:val="00FF1B94"/>
    <w:rsid w:val="00FF2D63"/>
    <w:rsid w:val="00FF3021"/>
    <w:rsid w:val="00FF3B69"/>
    <w:rsid w:val="00FF42B9"/>
    <w:rsid w:val="00FF4546"/>
    <w:rsid w:val="00FF4B7D"/>
    <w:rsid w:val="00FF7987"/>
    <w:rsid w:val="00FF7EC9"/>
    <w:rsid w:val="01606FDB"/>
    <w:rsid w:val="01C37825"/>
    <w:rsid w:val="024A0BB7"/>
    <w:rsid w:val="02A35249"/>
    <w:rsid w:val="02D97461"/>
    <w:rsid w:val="049C60B4"/>
    <w:rsid w:val="04FC0B56"/>
    <w:rsid w:val="05DD246D"/>
    <w:rsid w:val="064651C1"/>
    <w:rsid w:val="067B57BC"/>
    <w:rsid w:val="06E13D39"/>
    <w:rsid w:val="07013F3A"/>
    <w:rsid w:val="076521A5"/>
    <w:rsid w:val="07DF0168"/>
    <w:rsid w:val="08A10AE2"/>
    <w:rsid w:val="08A9036E"/>
    <w:rsid w:val="09600C1D"/>
    <w:rsid w:val="0A1F2634"/>
    <w:rsid w:val="0AC33E6C"/>
    <w:rsid w:val="0B415AEA"/>
    <w:rsid w:val="0BF4251F"/>
    <w:rsid w:val="0C123692"/>
    <w:rsid w:val="0C773AC6"/>
    <w:rsid w:val="0CFA330A"/>
    <w:rsid w:val="0D6D25BC"/>
    <w:rsid w:val="0D7D58F1"/>
    <w:rsid w:val="0DA54976"/>
    <w:rsid w:val="0EBC6DE4"/>
    <w:rsid w:val="0F004266"/>
    <w:rsid w:val="0F0F57B1"/>
    <w:rsid w:val="10EA0134"/>
    <w:rsid w:val="10F16DCD"/>
    <w:rsid w:val="12452584"/>
    <w:rsid w:val="1331703B"/>
    <w:rsid w:val="13900B47"/>
    <w:rsid w:val="14525528"/>
    <w:rsid w:val="16AE44FE"/>
    <w:rsid w:val="16E9DC0A"/>
    <w:rsid w:val="16F776DD"/>
    <w:rsid w:val="16FDD759"/>
    <w:rsid w:val="17343EB7"/>
    <w:rsid w:val="177E1F33"/>
    <w:rsid w:val="180D302F"/>
    <w:rsid w:val="18CC5562"/>
    <w:rsid w:val="19BE42ED"/>
    <w:rsid w:val="1B937435"/>
    <w:rsid w:val="1BCF5ECA"/>
    <w:rsid w:val="1C0E117B"/>
    <w:rsid w:val="1D493C23"/>
    <w:rsid w:val="1F004597"/>
    <w:rsid w:val="1F556ACD"/>
    <w:rsid w:val="1F7BA9AB"/>
    <w:rsid w:val="200D1749"/>
    <w:rsid w:val="211A2370"/>
    <w:rsid w:val="21F37E72"/>
    <w:rsid w:val="22B324D8"/>
    <w:rsid w:val="22BE6D2B"/>
    <w:rsid w:val="22C24285"/>
    <w:rsid w:val="22DB362A"/>
    <w:rsid w:val="230230BC"/>
    <w:rsid w:val="2448172B"/>
    <w:rsid w:val="24A858D3"/>
    <w:rsid w:val="2544164F"/>
    <w:rsid w:val="254E0052"/>
    <w:rsid w:val="259D531E"/>
    <w:rsid w:val="25FC7F84"/>
    <w:rsid w:val="263029E9"/>
    <w:rsid w:val="26BC570C"/>
    <w:rsid w:val="26DC5C3A"/>
    <w:rsid w:val="2721653C"/>
    <w:rsid w:val="273121C1"/>
    <w:rsid w:val="28643ED1"/>
    <w:rsid w:val="289F1FD6"/>
    <w:rsid w:val="29C70DC3"/>
    <w:rsid w:val="29D67050"/>
    <w:rsid w:val="2A447565"/>
    <w:rsid w:val="2BFF402D"/>
    <w:rsid w:val="2D670B79"/>
    <w:rsid w:val="2EDC16BD"/>
    <w:rsid w:val="2EDC6EB7"/>
    <w:rsid w:val="2F0A2A89"/>
    <w:rsid w:val="2F1D0CC5"/>
    <w:rsid w:val="2F2D64B9"/>
    <w:rsid w:val="2F4205B4"/>
    <w:rsid w:val="2FB10040"/>
    <w:rsid w:val="302F1268"/>
    <w:rsid w:val="3132222D"/>
    <w:rsid w:val="317B29B7"/>
    <w:rsid w:val="31E25809"/>
    <w:rsid w:val="32667887"/>
    <w:rsid w:val="3294054B"/>
    <w:rsid w:val="32A27EA0"/>
    <w:rsid w:val="335A2F3F"/>
    <w:rsid w:val="33FF0C9D"/>
    <w:rsid w:val="347A2CBB"/>
    <w:rsid w:val="347FEF10"/>
    <w:rsid w:val="358A5DCF"/>
    <w:rsid w:val="35C60A7D"/>
    <w:rsid w:val="365D08DD"/>
    <w:rsid w:val="36B61BEB"/>
    <w:rsid w:val="377FB9C0"/>
    <w:rsid w:val="3787198A"/>
    <w:rsid w:val="37EE7676"/>
    <w:rsid w:val="389A4D2C"/>
    <w:rsid w:val="38B1452C"/>
    <w:rsid w:val="38DE5291"/>
    <w:rsid w:val="3A272746"/>
    <w:rsid w:val="3A3B3F7A"/>
    <w:rsid w:val="3A6333C4"/>
    <w:rsid w:val="3A7A7E60"/>
    <w:rsid w:val="3A7C6384"/>
    <w:rsid w:val="3A947A1D"/>
    <w:rsid w:val="3AF6F3A2"/>
    <w:rsid w:val="3BD53FA8"/>
    <w:rsid w:val="3C9B3993"/>
    <w:rsid w:val="3DC96799"/>
    <w:rsid w:val="3DCEC952"/>
    <w:rsid w:val="3DFD9EFA"/>
    <w:rsid w:val="3E0D74B8"/>
    <w:rsid w:val="3E2D92C2"/>
    <w:rsid w:val="3E352C5F"/>
    <w:rsid w:val="3EFB3EC6"/>
    <w:rsid w:val="3F6012C0"/>
    <w:rsid w:val="3FEF957C"/>
    <w:rsid w:val="40C02D78"/>
    <w:rsid w:val="40D876FE"/>
    <w:rsid w:val="418B73F6"/>
    <w:rsid w:val="424A2FE1"/>
    <w:rsid w:val="42B011D8"/>
    <w:rsid w:val="4346566C"/>
    <w:rsid w:val="436314FD"/>
    <w:rsid w:val="439672C1"/>
    <w:rsid w:val="44621BA7"/>
    <w:rsid w:val="44B71B00"/>
    <w:rsid w:val="45EA538A"/>
    <w:rsid w:val="46311902"/>
    <w:rsid w:val="47A14AC7"/>
    <w:rsid w:val="482A4238"/>
    <w:rsid w:val="49252A7B"/>
    <w:rsid w:val="494A5982"/>
    <w:rsid w:val="49ED7D72"/>
    <w:rsid w:val="4A6C0C97"/>
    <w:rsid w:val="4AE60E8E"/>
    <w:rsid w:val="4B97AA72"/>
    <w:rsid w:val="4B9D51E7"/>
    <w:rsid w:val="4BF360E5"/>
    <w:rsid w:val="4C70714C"/>
    <w:rsid w:val="4CAB751D"/>
    <w:rsid w:val="4D2D65AF"/>
    <w:rsid w:val="4D5233FF"/>
    <w:rsid w:val="4D844105"/>
    <w:rsid w:val="4DD50ED0"/>
    <w:rsid w:val="4DD553EB"/>
    <w:rsid w:val="4E7408B7"/>
    <w:rsid w:val="4EB4043B"/>
    <w:rsid w:val="4F5A4904"/>
    <w:rsid w:val="4FB65DBF"/>
    <w:rsid w:val="507D4049"/>
    <w:rsid w:val="52860D64"/>
    <w:rsid w:val="52C35B14"/>
    <w:rsid w:val="53CC42F3"/>
    <w:rsid w:val="53FE3747"/>
    <w:rsid w:val="54A559D7"/>
    <w:rsid w:val="54D742A4"/>
    <w:rsid w:val="55A25D17"/>
    <w:rsid w:val="55E52846"/>
    <w:rsid w:val="56832C63"/>
    <w:rsid w:val="577C05D9"/>
    <w:rsid w:val="57D9752A"/>
    <w:rsid w:val="582436D2"/>
    <w:rsid w:val="585E2F5D"/>
    <w:rsid w:val="58BB54C9"/>
    <w:rsid w:val="59A14699"/>
    <w:rsid w:val="59A501E9"/>
    <w:rsid w:val="5A9602D5"/>
    <w:rsid w:val="5AF35442"/>
    <w:rsid w:val="5C8A31FF"/>
    <w:rsid w:val="5CE20D57"/>
    <w:rsid w:val="5CF37398"/>
    <w:rsid w:val="5E323B4E"/>
    <w:rsid w:val="5E3C5123"/>
    <w:rsid w:val="5E7BAB78"/>
    <w:rsid w:val="5EAA7B88"/>
    <w:rsid w:val="5EF3FC06"/>
    <w:rsid w:val="5F4E5A8F"/>
    <w:rsid w:val="5FBC9334"/>
    <w:rsid w:val="5FCA8143"/>
    <w:rsid w:val="5FCD7FD2"/>
    <w:rsid w:val="605121DC"/>
    <w:rsid w:val="6051448B"/>
    <w:rsid w:val="60814CB1"/>
    <w:rsid w:val="610E0F51"/>
    <w:rsid w:val="62177F2E"/>
    <w:rsid w:val="634A5B4D"/>
    <w:rsid w:val="641C3B1B"/>
    <w:rsid w:val="646B02E8"/>
    <w:rsid w:val="65D353A1"/>
    <w:rsid w:val="66533F6E"/>
    <w:rsid w:val="66884E82"/>
    <w:rsid w:val="674453A1"/>
    <w:rsid w:val="67AA200B"/>
    <w:rsid w:val="67B7A5F0"/>
    <w:rsid w:val="67EE022B"/>
    <w:rsid w:val="681E55C5"/>
    <w:rsid w:val="6868233D"/>
    <w:rsid w:val="689916AE"/>
    <w:rsid w:val="68D80F9F"/>
    <w:rsid w:val="68DB0295"/>
    <w:rsid w:val="69294DB9"/>
    <w:rsid w:val="6A1D41B1"/>
    <w:rsid w:val="6A7E67B9"/>
    <w:rsid w:val="6ABC08BB"/>
    <w:rsid w:val="6AF9F799"/>
    <w:rsid w:val="6B0F5227"/>
    <w:rsid w:val="6B171EA5"/>
    <w:rsid w:val="6B174698"/>
    <w:rsid w:val="6CFA7F2C"/>
    <w:rsid w:val="6CFDBF31"/>
    <w:rsid w:val="6D71760C"/>
    <w:rsid w:val="6DB7D14A"/>
    <w:rsid w:val="6DC9F90E"/>
    <w:rsid w:val="6F027AF7"/>
    <w:rsid w:val="6F0F56A4"/>
    <w:rsid w:val="6FFF3D83"/>
    <w:rsid w:val="70172D7A"/>
    <w:rsid w:val="705157C8"/>
    <w:rsid w:val="70791D48"/>
    <w:rsid w:val="70B83B20"/>
    <w:rsid w:val="72064AC3"/>
    <w:rsid w:val="745E7C34"/>
    <w:rsid w:val="74CD7A9C"/>
    <w:rsid w:val="75463A3A"/>
    <w:rsid w:val="756F7F4C"/>
    <w:rsid w:val="758563C1"/>
    <w:rsid w:val="75E556CC"/>
    <w:rsid w:val="75F46ABD"/>
    <w:rsid w:val="762A15F1"/>
    <w:rsid w:val="768121CA"/>
    <w:rsid w:val="76857BB7"/>
    <w:rsid w:val="76DC4439"/>
    <w:rsid w:val="76FF0B18"/>
    <w:rsid w:val="77356304"/>
    <w:rsid w:val="77EEF2EE"/>
    <w:rsid w:val="78B6CE8F"/>
    <w:rsid w:val="7900196B"/>
    <w:rsid w:val="79761C27"/>
    <w:rsid w:val="79C952B0"/>
    <w:rsid w:val="79D013C7"/>
    <w:rsid w:val="79EF29F9"/>
    <w:rsid w:val="79FF5B97"/>
    <w:rsid w:val="7A1707A1"/>
    <w:rsid w:val="7AAC19E4"/>
    <w:rsid w:val="7AED85F8"/>
    <w:rsid w:val="7B043AFF"/>
    <w:rsid w:val="7B233B80"/>
    <w:rsid w:val="7B386A2C"/>
    <w:rsid w:val="7C423CAA"/>
    <w:rsid w:val="7C9D3309"/>
    <w:rsid w:val="7CBD4B2A"/>
    <w:rsid w:val="7CE06866"/>
    <w:rsid w:val="7D140F6A"/>
    <w:rsid w:val="7D76AF98"/>
    <w:rsid w:val="7D7FF3BA"/>
    <w:rsid w:val="7DD6538D"/>
    <w:rsid w:val="7DDDB0E2"/>
    <w:rsid w:val="7DF58F74"/>
    <w:rsid w:val="7DFD531C"/>
    <w:rsid w:val="7E237753"/>
    <w:rsid w:val="7E6A7F35"/>
    <w:rsid w:val="7EC90841"/>
    <w:rsid w:val="7EE34CC4"/>
    <w:rsid w:val="7F17082B"/>
    <w:rsid w:val="7F477001"/>
    <w:rsid w:val="7F764582"/>
    <w:rsid w:val="7F7967A7"/>
    <w:rsid w:val="7F7F9B5A"/>
    <w:rsid w:val="7FAF4A6D"/>
    <w:rsid w:val="7FBF2606"/>
    <w:rsid w:val="7FC36BB9"/>
    <w:rsid w:val="7FF70F67"/>
    <w:rsid w:val="7FFA394A"/>
    <w:rsid w:val="7FFB81FD"/>
    <w:rsid w:val="7FFE2C7F"/>
    <w:rsid w:val="9AFE1B90"/>
    <w:rsid w:val="9F5DE34C"/>
    <w:rsid w:val="A599B854"/>
    <w:rsid w:val="B7FF3DBA"/>
    <w:rsid w:val="BBE717E1"/>
    <w:rsid w:val="BD5F819D"/>
    <w:rsid w:val="BDFEB22D"/>
    <w:rsid w:val="C7FF838C"/>
    <w:rsid w:val="CBCFE2E6"/>
    <w:rsid w:val="CF6E59D1"/>
    <w:rsid w:val="CFBD431B"/>
    <w:rsid w:val="CFDF5B67"/>
    <w:rsid w:val="D62F2C17"/>
    <w:rsid w:val="D667DEE6"/>
    <w:rsid w:val="D8B73F6C"/>
    <w:rsid w:val="DB95D162"/>
    <w:rsid w:val="DBFBB18A"/>
    <w:rsid w:val="E7DF6483"/>
    <w:rsid w:val="EBD767DD"/>
    <w:rsid w:val="EBFF73C2"/>
    <w:rsid w:val="ECBC6018"/>
    <w:rsid w:val="EDFDEF45"/>
    <w:rsid w:val="EEDDC0F0"/>
    <w:rsid w:val="F3799C98"/>
    <w:rsid w:val="F4FCD796"/>
    <w:rsid w:val="F6FDF1F7"/>
    <w:rsid w:val="F77F19A9"/>
    <w:rsid w:val="F7EF8D03"/>
    <w:rsid w:val="F7FEFD35"/>
    <w:rsid w:val="FBF578C5"/>
    <w:rsid w:val="FBF6F128"/>
    <w:rsid w:val="FC9A6F25"/>
    <w:rsid w:val="FDDB0C5D"/>
    <w:rsid w:val="FDFF30F3"/>
    <w:rsid w:val="FE52E7A8"/>
    <w:rsid w:val="FEEF1B0C"/>
    <w:rsid w:val="FEFF6AB2"/>
    <w:rsid w:val="FF739AB0"/>
    <w:rsid w:val="FF7BA93F"/>
    <w:rsid w:val="FF7F4BCA"/>
    <w:rsid w:val="FFB3DF53"/>
    <w:rsid w:val="FFBB1EAB"/>
    <w:rsid w:val="FFDDB90F"/>
    <w:rsid w:val="FFE35FC9"/>
    <w:rsid w:val="FFE698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56"/>
    <w:autoRedefine/>
    <w:qFormat/>
    <w:uiPriority w:val="0"/>
    <w:pPr>
      <w:keepNext/>
      <w:widowControl/>
      <w:tabs>
        <w:tab w:val="left" w:pos="432"/>
      </w:tabs>
      <w:ind w:left="432" w:hanging="432"/>
      <w:jc w:val="center"/>
      <w:outlineLvl w:val="0"/>
    </w:pPr>
    <w:rPr>
      <w:rFonts w:ascii="黑体" w:hAnsi="Times New Roman" w:cs="宋体"/>
      <w:b/>
      <w:kern w:val="0"/>
      <w:sz w:val="28"/>
      <w:szCs w:val="20"/>
      <w:lang w:val="zh-CN"/>
    </w:rPr>
  </w:style>
  <w:style w:type="paragraph" w:styleId="4">
    <w:name w:val="heading 2"/>
    <w:basedOn w:val="1"/>
    <w:next w:val="5"/>
    <w:link w:val="58"/>
    <w:autoRedefine/>
    <w:qFormat/>
    <w:uiPriority w:val="0"/>
    <w:pPr>
      <w:keepNext/>
      <w:keepLines/>
      <w:widowControl/>
      <w:spacing w:before="260" w:after="260" w:line="412" w:lineRule="auto"/>
      <w:outlineLvl w:val="1"/>
    </w:pPr>
    <w:rPr>
      <w:rFonts w:ascii="Arial" w:hAnsi="Arial"/>
      <w:kern w:val="0"/>
      <w:sz w:val="28"/>
      <w:szCs w:val="20"/>
      <w:lang w:val="zh-CN"/>
    </w:rPr>
  </w:style>
  <w:style w:type="paragraph" w:styleId="2">
    <w:name w:val="heading 3"/>
    <w:basedOn w:val="1"/>
    <w:next w:val="1"/>
    <w:link w:val="55"/>
    <w:autoRedefine/>
    <w:qFormat/>
    <w:uiPriority w:val="0"/>
    <w:pPr>
      <w:keepNext/>
      <w:keepLines/>
      <w:widowControl/>
      <w:numPr>
        <w:ilvl w:val="2"/>
        <w:numId w:val="1"/>
      </w:numPr>
      <w:tabs>
        <w:tab w:val="left" w:pos="432"/>
      </w:tabs>
      <w:spacing w:before="120" w:after="120" w:line="360" w:lineRule="auto"/>
      <w:jc w:val="center"/>
      <w:outlineLvl w:val="2"/>
    </w:pPr>
    <w:rPr>
      <w:rFonts w:ascii="Times New Roman" w:hAnsi="Times New Roman"/>
      <w:b/>
      <w:kern w:val="0"/>
      <w:sz w:val="32"/>
      <w:szCs w:val="20"/>
      <w:lang w:val="zh-CN"/>
    </w:rPr>
  </w:style>
  <w:style w:type="paragraph" w:styleId="6">
    <w:name w:val="heading 4"/>
    <w:basedOn w:val="1"/>
    <w:next w:val="1"/>
    <w:link w:val="59"/>
    <w:autoRedefine/>
    <w:qFormat/>
    <w:uiPriority w:val="0"/>
    <w:pPr>
      <w:keepNext/>
      <w:keepLines/>
      <w:spacing w:before="280" w:after="290" w:line="374" w:lineRule="auto"/>
      <w:outlineLvl w:val="3"/>
    </w:pPr>
    <w:rPr>
      <w:rFonts w:ascii="Arial" w:hAnsi="Arial" w:eastAsia="仿宋_GB2312"/>
      <w:b/>
      <w:bCs/>
      <w:sz w:val="28"/>
      <w:szCs w:val="28"/>
    </w:rPr>
  </w:style>
  <w:style w:type="paragraph" w:styleId="7">
    <w:name w:val="heading 5"/>
    <w:basedOn w:val="1"/>
    <w:next w:val="1"/>
    <w:link w:val="60"/>
    <w:autoRedefine/>
    <w:qFormat/>
    <w:uiPriority w:val="0"/>
    <w:pPr>
      <w:keepNext/>
      <w:keepLines/>
      <w:spacing w:before="280" w:after="290" w:line="374" w:lineRule="auto"/>
      <w:outlineLvl w:val="4"/>
    </w:pPr>
    <w:rPr>
      <w:rFonts w:cs="宋体"/>
      <w:b/>
      <w:bCs/>
      <w:sz w:val="28"/>
      <w:szCs w:val="28"/>
    </w:rPr>
  </w:style>
  <w:style w:type="paragraph" w:styleId="8">
    <w:name w:val="heading 6"/>
    <w:basedOn w:val="1"/>
    <w:next w:val="1"/>
    <w:link w:val="61"/>
    <w:autoRedefine/>
    <w:qFormat/>
    <w:uiPriority w:val="0"/>
    <w:pPr>
      <w:keepNext/>
      <w:keepLines/>
      <w:widowControl/>
      <w:tabs>
        <w:tab w:val="left" w:pos="1440"/>
      </w:tabs>
      <w:spacing w:before="240" w:after="64" w:line="316" w:lineRule="auto"/>
      <w:ind w:left="1152" w:hanging="1152"/>
      <w:jc w:val="left"/>
      <w:outlineLvl w:val="5"/>
    </w:pPr>
    <w:rPr>
      <w:rFonts w:ascii="Arial" w:hAnsi="Arial" w:eastAsia="黑体"/>
      <w:b/>
      <w:bCs/>
      <w:kern w:val="0"/>
      <w:sz w:val="24"/>
      <w:szCs w:val="24"/>
      <w:lang w:val="zh-CN"/>
    </w:rPr>
  </w:style>
  <w:style w:type="paragraph" w:styleId="9">
    <w:name w:val="heading 7"/>
    <w:basedOn w:val="1"/>
    <w:next w:val="1"/>
    <w:link w:val="62"/>
    <w:autoRedefine/>
    <w:qFormat/>
    <w:uiPriority w:val="0"/>
    <w:pPr>
      <w:keepNext/>
      <w:keepLines/>
      <w:widowControl/>
      <w:tabs>
        <w:tab w:val="left" w:pos="2520"/>
      </w:tabs>
      <w:spacing w:before="240" w:after="64" w:line="316" w:lineRule="auto"/>
      <w:ind w:left="1296" w:hanging="1296"/>
      <w:jc w:val="left"/>
      <w:outlineLvl w:val="6"/>
    </w:pPr>
    <w:rPr>
      <w:rFonts w:ascii="Times New Roman" w:hAnsi="Times New Roman"/>
      <w:b/>
      <w:bCs/>
      <w:kern w:val="0"/>
      <w:sz w:val="24"/>
      <w:szCs w:val="24"/>
      <w:lang w:val="zh-CN"/>
    </w:rPr>
  </w:style>
  <w:style w:type="paragraph" w:styleId="10">
    <w:name w:val="heading 8"/>
    <w:basedOn w:val="1"/>
    <w:next w:val="1"/>
    <w:link w:val="63"/>
    <w:autoRedefine/>
    <w:qFormat/>
    <w:uiPriority w:val="0"/>
    <w:pPr>
      <w:keepNext/>
      <w:keepLines/>
      <w:widowControl/>
      <w:tabs>
        <w:tab w:val="left" w:pos="1440"/>
      </w:tabs>
      <w:spacing w:before="240" w:after="64" w:line="316" w:lineRule="auto"/>
      <w:ind w:left="1440" w:hanging="1440"/>
      <w:jc w:val="left"/>
      <w:outlineLvl w:val="7"/>
    </w:pPr>
    <w:rPr>
      <w:rFonts w:ascii="Arial" w:hAnsi="Arial" w:eastAsia="黑体"/>
      <w:kern w:val="0"/>
      <w:sz w:val="24"/>
      <w:szCs w:val="24"/>
      <w:lang w:val="zh-CN"/>
    </w:rPr>
  </w:style>
  <w:style w:type="paragraph" w:styleId="11">
    <w:name w:val="heading 9"/>
    <w:basedOn w:val="1"/>
    <w:next w:val="1"/>
    <w:link w:val="64"/>
    <w:autoRedefine/>
    <w:qFormat/>
    <w:uiPriority w:val="0"/>
    <w:pPr>
      <w:keepNext/>
      <w:keepLines/>
      <w:widowControl/>
      <w:tabs>
        <w:tab w:val="left" w:pos="1584"/>
      </w:tabs>
      <w:spacing w:before="240" w:after="64" w:line="316" w:lineRule="auto"/>
      <w:ind w:left="1584" w:hanging="1584"/>
      <w:jc w:val="left"/>
      <w:outlineLvl w:val="8"/>
    </w:pPr>
    <w:rPr>
      <w:rFonts w:ascii="Arial" w:hAnsi="Arial" w:eastAsia="黑体"/>
      <w:kern w:val="0"/>
      <w:szCs w:val="21"/>
      <w:lang w:val="zh-CN"/>
    </w:rPr>
  </w:style>
  <w:style w:type="character" w:default="1" w:styleId="47">
    <w:name w:val="Default Paragraph Font"/>
    <w:autoRedefine/>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57"/>
    <w:autoRedefine/>
    <w:qFormat/>
    <w:uiPriority w:val="0"/>
    <w:pPr>
      <w:widowControl/>
      <w:ind w:firstLine="420"/>
      <w:jc w:val="left"/>
    </w:pPr>
    <w:rPr>
      <w:rFonts w:ascii="Times New Roman" w:hAnsi="Times New Roman"/>
      <w:kern w:val="0"/>
      <w:sz w:val="20"/>
      <w:szCs w:val="20"/>
    </w:rPr>
  </w:style>
  <w:style w:type="paragraph" w:styleId="12">
    <w:name w:val="toc 7"/>
    <w:basedOn w:val="1"/>
    <w:next w:val="1"/>
    <w:autoRedefine/>
    <w:qFormat/>
    <w:uiPriority w:val="0"/>
    <w:pPr>
      <w:ind w:left="2520" w:leftChars="1200"/>
    </w:pPr>
    <w:rPr>
      <w:rFonts w:ascii="Times New Roman" w:hAnsi="Times New Roman"/>
      <w:szCs w:val="24"/>
    </w:rPr>
  </w:style>
  <w:style w:type="paragraph" w:styleId="13">
    <w:name w:val="caption"/>
    <w:basedOn w:val="1"/>
    <w:next w:val="1"/>
    <w:autoRedefine/>
    <w:qFormat/>
    <w:uiPriority w:val="0"/>
    <w:rPr>
      <w:rFonts w:ascii="Cambria" w:hAnsi="Cambria" w:eastAsia="黑体"/>
      <w:sz w:val="20"/>
      <w:szCs w:val="20"/>
    </w:rPr>
  </w:style>
  <w:style w:type="paragraph" w:styleId="14">
    <w:name w:val="Document Map"/>
    <w:basedOn w:val="1"/>
    <w:link w:val="65"/>
    <w:autoRedefine/>
    <w:qFormat/>
    <w:uiPriority w:val="99"/>
    <w:pPr>
      <w:shd w:val="clear" w:color="auto" w:fill="000080"/>
    </w:pPr>
    <w:rPr>
      <w:rFonts w:ascii="Times New Roman" w:hAnsi="Times New Roman" w:eastAsia="Times New Roman"/>
      <w:szCs w:val="24"/>
    </w:rPr>
  </w:style>
  <w:style w:type="paragraph" w:styleId="15">
    <w:name w:val="annotation text"/>
    <w:basedOn w:val="1"/>
    <w:link w:val="66"/>
    <w:autoRedefine/>
    <w:qFormat/>
    <w:uiPriority w:val="99"/>
    <w:pPr>
      <w:jc w:val="left"/>
    </w:pPr>
    <w:rPr>
      <w:rFonts w:ascii="Times New Roman" w:hAnsi="Times New Roman"/>
      <w:szCs w:val="24"/>
    </w:rPr>
  </w:style>
  <w:style w:type="paragraph" w:styleId="16">
    <w:name w:val="Body Text 3"/>
    <w:basedOn w:val="1"/>
    <w:next w:val="1"/>
    <w:link w:val="67"/>
    <w:autoRedefine/>
    <w:qFormat/>
    <w:uiPriority w:val="0"/>
    <w:pPr>
      <w:spacing w:after="120"/>
    </w:pPr>
    <w:rPr>
      <w:rFonts w:ascii="Times New Roman" w:hAnsi="Times New Roman" w:eastAsia="Times New Roman"/>
      <w:sz w:val="16"/>
      <w:szCs w:val="16"/>
    </w:rPr>
  </w:style>
  <w:style w:type="paragraph" w:styleId="17">
    <w:name w:val="Body Text"/>
    <w:basedOn w:val="1"/>
    <w:link w:val="68"/>
    <w:autoRedefine/>
    <w:qFormat/>
    <w:uiPriority w:val="0"/>
    <w:pPr>
      <w:spacing w:line="0" w:lineRule="atLeast"/>
    </w:pPr>
    <w:rPr>
      <w:rFonts w:ascii="Times New Roman" w:hAnsi="Times New Roman" w:eastAsia="Times New Roman"/>
      <w:sz w:val="30"/>
      <w:szCs w:val="20"/>
    </w:rPr>
  </w:style>
  <w:style w:type="paragraph" w:styleId="18">
    <w:name w:val="Body Text Indent"/>
    <w:basedOn w:val="1"/>
    <w:link w:val="69"/>
    <w:autoRedefine/>
    <w:qFormat/>
    <w:uiPriority w:val="0"/>
    <w:pPr>
      <w:widowControl/>
      <w:overflowPunct w:val="0"/>
      <w:autoSpaceDE w:val="0"/>
      <w:autoSpaceDN w:val="0"/>
      <w:adjustRightInd w:val="0"/>
      <w:spacing w:line="360" w:lineRule="auto"/>
      <w:ind w:firstLine="540"/>
    </w:pPr>
    <w:rPr>
      <w:rFonts w:ascii="宋体" w:hAnsi="MS Sans Serif" w:eastAsia="Times New Roman"/>
      <w:spacing w:val="12"/>
      <w:kern w:val="0"/>
      <w:sz w:val="24"/>
      <w:szCs w:val="20"/>
    </w:rPr>
  </w:style>
  <w:style w:type="paragraph" w:styleId="19">
    <w:name w:val="Block Text"/>
    <w:basedOn w:val="1"/>
    <w:autoRedefine/>
    <w:qFormat/>
    <w:uiPriority w:val="0"/>
    <w:pPr>
      <w:adjustRightInd w:val="0"/>
      <w:ind w:left="420" w:right="33"/>
      <w:jc w:val="left"/>
    </w:pPr>
    <w:rPr>
      <w:rFonts w:ascii="Times New Roman" w:hAnsi="Times New Roman"/>
      <w:kern w:val="0"/>
      <w:sz w:val="24"/>
      <w:szCs w:val="20"/>
    </w:rPr>
  </w:style>
  <w:style w:type="paragraph" w:styleId="20">
    <w:name w:val="index 4"/>
    <w:basedOn w:val="1"/>
    <w:next w:val="1"/>
    <w:autoRedefine/>
    <w:qFormat/>
    <w:uiPriority w:val="0"/>
    <w:pPr>
      <w:ind w:left="600" w:leftChars="600"/>
    </w:pPr>
    <w:rPr>
      <w:rFonts w:ascii="Times New Roman" w:hAnsi="Times New Roman"/>
      <w:szCs w:val="24"/>
    </w:rPr>
  </w:style>
  <w:style w:type="paragraph" w:styleId="21">
    <w:name w:val="toc 5"/>
    <w:basedOn w:val="1"/>
    <w:next w:val="1"/>
    <w:autoRedefine/>
    <w:qFormat/>
    <w:uiPriority w:val="0"/>
    <w:pPr>
      <w:ind w:left="1680" w:leftChars="800"/>
    </w:pPr>
    <w:rPr>
      <w:rFonts w:ascii="Times New Roman" w:hAnsi="Times New Roman"/>
      <w:szCs w:val="24"/>
    </w:rPr>
  </w:style>
  <w:style w:type="paragraph" w:styleId="22">
    <w:name w:val="toc 3"/>
    <w:basedOn w:val="1"/>
    <w:next w:val="1"/>
    <w:autoRedefine/>
    <w:qFormat/>
    <w:uiPriority w:val="39"/>
    <w:pPr>
      <w:ind w:left="840" w:leftChars="400"/>
    </w:pPr>
    <w:rPr>
      <w:rFonts w:ascii="Times New Roman" w:hAnsi="Times New Roman"/>
      <w:szCs w:val="24"/>
    </w:rPr>
  </w:style>
  <w:style w:type="paragraph" w:styleId="23">
    <w:name w:val="Plain Text"/>
    <w:basedOn w:val="1"/>
    <w:link w:val="70"/>
    <w:autoRedefine/>
    <w:qFormat/>
    <w:uiPriority w:val="0"/>
    <w:rPr>
      <w:rFonts w:ascii="宋体" w:hAnsi="Courier New" w:cs="Courier New"/>
      <w:szCs w:val="21"/>
    </w:rPr>
  </w:style>
  <w:style w:type="paragraph" w:styleId="24">
    <w:name w:val="toc 8"/>
    <w:basedOn w:val="1"/>
    <w:next w:val="1"/>
    <w:autoRedefine/>
    <w:qFormat/>
    <w:uiPriority w:val="0"/>
    <w:pPr>
      <w:ind w:left="2940" w:leftChars="1400"/>
    </w:pPr>
    <w:rPr>
      <w:rFonts w:ascii="Times New Roman" w:hAnsi="Times New Roman"/>
      <w:szCs w:val="24"/>
    </w:rPr>
  </w:style>
  <w:style w:type="paragraph" w:styleId="25">
    <w:name w:val="Date"/>
    <w:basedOn w:val="1"/>
    <w:next w:val="1"/>
    <w:link w:val="71"/>
    <w:autoRedefine/>
    <w:qFormat/>
    <w:uiPriority w:val="99"/>
    <w:rPr>
      <w:rFonts w:ascii="Times New Roman" w:hAnsi="Times New Roman"/>
      <w:sz w:val="24"/>
      <w:szCs w:val="20"/>
    </w:rPr>
  </w:style>
  <w:style w:type="paragraph" w:styleId="26">
    <w:name w:val="Body Text Indent 2"/>
    <w:basedOn w:val="1"/>
    <w:link w:val="72"/>
    <w:autoRedefine/>
    <w:qFormat/>
    <w:uiPriority w:val="0"/>
    <w:pPr>
      <w:widowControl/>
      <w:overflowPunct w:val="0"/>
      <w:autoSpaceDE w:val="0"/>
      <w:autoSpaceDN w:val="0"/>
      <w:adjustRightInd w:val="0"/>
      <w:spacing w:line="360" w:lineRule="auto"/>
      <w:ind w:firstLine="555"/>
    </w:pPr>
    <w:rPr>
      <w:rFonts w:ascii="宋体" w:hAnsi="MS Sans Serif" w:eastAsia="Times New Roman"/>
      <w:spacing w:val="12"/>
      <w:kern w:val="0"/>
      <w:sz w:val="24"/>
      <w:szCs w:val="20"/>
    </w:rPr>
  </w:style>
  <w:style w:type="paragraph" w:styleId="27">
    <w:name w:val="Balloon Text"/>
    <w:basedOn w:val="1"/>
    <w:link w:val="73"/>
    <w:autoRedefine/>
    <w:qFormat/>
    <w:uiPriority w:val="99"/>
    <w:rPr>
      <w:rFonts w:ascii="Times New Roman" w:hAnsi="Times New Roman" w:eastAsia="Times New Roman"/>
      <w:sz w:val="18"/>
      <w:szCs w:val="18"/>
    </w:rPr>
  </w:style>
  <w:style w:type="paragraph" w:styleId="28">
    <w:name w:val="footer"/>
    <w:basedOn w:val="1"/>
    <w:link w:val="74"/>
    <w:autoRedefine/>
    <w:qFormat/>
    <w:uiPriority w:val="99"/>
    <w:pPr>
      <w:widowControl/>
      <w:tabs>
        <w:tab w:val="center" w:pos="4153"/>
        <w:tab w:val="right" w:pos="8306"/>
      </w:tabs>
      <w:snapToGrid w:val="0"/>
      <w:jc w:val="left"/>
    </w:pPr>
    <w:rPr>
      <w:rFonts w:ascii="Times New Roman" w:hAnsi="Times New Roman" w:eastAsia="Times New Roman"/>
      <w:kern w:val="0"/>
      <w:sz w:val="18"/>
      <w:szCs w:val="20"/>
    </w:rPr>
  </w:style>
  <w:style w:type="paragraph" w:styleId="29">
    <w:name w:val="header"/>
    <w:basedOn w:val="1"/>
    <w:link w:val="75"/>
    <w:autoRedefine/>
    <w:qFormat/>
    <w:uiPriority w:val="99"/>
    <w:pPr>
      <w:widowControl/>
      <w:pBdr>
        <w:bottom w:val="single" w:color="auto" w:sz="6" w:space="1"/>
      </w:pBdr>
      <w:tabs>
        <w:tab w:val="center" w:pos="4153"/>
        <w:tab w:val="right" w:pos="8306"/>
      </w:tabs>
      <w:snapToGrid w:val="0"/>
      <w:jc w:val="center"/>
    </w:pPr>
    <w:rPr>
      <w:rFonts w:ascii="Times New Roman" w:hAnsi="Times New Roman" w:eastAsia="Times New Roman"/>
      <w:kern w:val="0"/>
      <w:sz w:val="18"/>
      <w:szCs w:val="20"/>
    </w:rPr>
  </w:style>
  <w:style w:type="paragraph" w:styleId="30">
    <w:name w:val="toc 1"/>
    <w:basedOn w:val="1"/>
    <w:next w:val="1"/>
    <w:autoRedefine/>
    <w:qFormat/>
    <w:uiPriority w:val="39"/>
    <w:pPr>
      <w:tabs>
        <w:tab w:val="right" w:leader="dot" w:pos="8302"/>
      </w:tabs>
      <w:spacing w:line="400" w:lineRule="exact"/>
    </w:pPr>
    <w:rPr>
      <w:rFonts w:ascii="Times New Roman" w:hAnsi="Times New Roman"/>
      <w:szCs w:val="24"/>
    </w:rPr>
  </w:style>
  <w:style w:type="paragraph" w:styleId="31">
    <w:name w:val="toc 4"/>
    <w:basedOn w:val="1"/>
    <w:next w:val="1"/>
    <w:autoRedefine/>
    <w:qFormat/>
    <w:uiPriority w:val="0"/>
    <w:pPr>
      <w:ind w:left="1260" w:leftChars="600"/>
    </w:pPr>
    <w:rPr>
      <w:rFonts w:ascii="Times New Roman" w:hAnsi="Times New Roman"/>
      <w:szCs w:val="24"/>
    </w:rPr>
  </w:style>
  <w:style w:type="paragraph" w:styleId="32">
    <w:name w:val="Subtitle"/>
    <w:basedOn w:val="1"/>
    <w:next w:val="1"/>
    <w:link w:val="76"/>
    <w:autoRedefine/>
    <w:qFormat/>
    <w:uiPriority w:val="0"/>
    <w:pPr>
      <w:spacing w:before="240" w:after="60" w:line="312" w:lineRule="auto"/>
      <w:jc w:val="center"/>
      <w:outlineLvl w:val="1"/>
    </w:pPr>
    <w:rPr>
      <w:rFonts w:ascii="Cambria" w:hAnsi="Cambria" w:eastAsia="Times New Roman"/>
      <w:b/>
      <w:bCs/>
      <w:kern w:val="28"/>
      <w:sz w:val="32"/>
      <w:szCs w:val="32"/>
    </w:rPr>
  </w:style>
  <w:style w:type="paragraph" w:styleId="33">
    <w:name w:val="footnote text"/>
    <w:basedOn w:val="1"/>
    <w:link w:val="77"/>
    <w:autoRedefine/>
    <w:qFormat/>
    <w:uiPriority w:val="0"/>
    <w:pPr>
      <w:adjustRightInd w:val="0"/>
      <w:spacing w:line="312" w:lineRule="atLeast"/>
      <w:jc w:val="left"/>
    </w:pPr>
    <w:rPr>
      <w:rFonts w:ascii="Times New Roman" w:hAnsi="Times New Roman"/>
      <w:kern w:val="0"/>
      <w:sz w:val="18"/>
      <w:szCs w:val="20"/>
    </w:rPr>
  </w:style>
  <w:style w:type="paragraph" w:styleId="34">
    <w:name w:val="toc 6"/>
    <w:basedOn w:val="1"/>
    <w:next w:val="1"/>
    <w:autoRedefine/>
    <w:qFormat/>
    <w:uiPriority w:val="0"/>
    <w:pPr>
      <w:ind w:left="2100" w:leftChars="1000"/>
    </w:pPr>
    <w:rPr>
      <w:rFonts w:ascii="Times New Roman" w:hAnsi="Times New Roman"/>
      <w:szCs w:val="24"/>
    </w:rPr>
  </w:style>
  <w:style w:type="paragraph" w:styleId="35">
    <w:name w:val="Body Text Indent 3"/>
    <w:basedOn w:val="1"/>
    <w:link w:val="78"/>
    <w:autoRedefine/>
    <w:qFormat/>
    <w:uiPriority w:val="0"/>
    <w:pPr>
      <w:widowControl/>
      <w:overflowPunct w:val="0"/>
      <w:autoSpaceDE w:val="0"/>
      <w:autoSpaceDN w:val="0"/>
      <w:adjustRightInd w:val="0"/>
      <w:spacing w:line="360" w:lineRule="auto"/>
      <w:ind w:firstLine="540"/>
    </w:pPr>
    <w:rPr>
      <w:rFonts w:ascii="宋体" w:hAnsi="MS Sans Serif"/>
      <w:color w:val="000000"/>
      <w:kern w:val="0"/>
      <w:sz w:val="24"/>
      <w:szCs w:val="20"/>
    </w:rPr>
  </w:style>
  <w:style w:type="paragraph" w:styleId="36">
    <w:name w:val="table of figures"/>
    <w:basedOn w:val="1"/>
    <w:next w:val="1"/>
    <w:autoRedefine/>
    <w:qFormat/>
    <w:uiPriority w:val="0"/>
    <w:pPr>
      <w:ind w:left="840" w:hanging="420"/>
    </w:pPr>
    <w:rPr>
      <w:rFonts w:ascii="Times New Roman" w:hAnsi="Times New Roman"/>
      <w:szCs w:val="20"/>
    </w:rPr>
  </w:style>
  <w:style w:type="paragraph" w:styleId="37">
    <w:name w:val="toc 2"/>
    <w:basedOn w:val="1"/>
    <w:next w:val="1"/>
    <w:autoRedefine/>
    <w:qFormat/>
    <w:uiPriority w:val="39"/>
    <w:pPr>
      <w:ind w:left="420" w:leftChars="200"/>
    </w:pPr>
    <w:rPr>
      <w:rFonts w:ascii="Times New Roman" w:hAnsi="Times New Roman"/>
      <w:szCs w:val="24"/>
    </w:rPr>
  </w:style>
  <w:style w:type="paragraph" w:styleId="38">
    <w:name w:val="toc 9"/>
    <w:basedOn w:val="1"/>
    <w:next w:val="1"/>
    <w:autoRedefine/>
    <w:qFormat/>
    <w:uiPriority w:val="0"/>
    <w:pPr>
      <w:ind w:left="3360" w:leftChars="1600"/>
    </w:pPr>
    <w:rPr>
      <w:rFonts w:ascii="Times New Roman" w:hAnsi="Times New Roman"/>
      <w:szCs w:val="24"/>
    </w:rPr>
  </w:style>
  <w:style w:type="paragraph" w:styleId="39">
    <w:name w:val="Body Text 2"/>
    <w:basedOn w:val="1"/>
    <w:link w:val="79"/>
    <w:autoRedefine/>
    <w:qFormat/>
    <w:uiPriority w:val="0"/>
    <w:pPr>
      <w:adjustRightInd w:val="0"/>
      <w:spacing w:line="360" w:lineRule="atLeast"/>
    </w:pPr>
    <w:rPr>
      <w:rFonts w:ascii="宋体" w:hAnsi="宋体"/>
      <w:sz w:val="24"/>
      <w:szCs w:val="24"/>
      <w:u w:val="single"/>
    </w:rPr>
  </w:style>
  <w:style w:type="paragraph" w:styleId="40">
    <w:name w:val="HTML Preformatted"/>
    <w:basedOn w:val="1"/>
    <w:link w:val="8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firstLineChars="200"/>
      <w:jc w:val="left"/>
    </w:pPr>
    <w:rPr>
      <w:rFonts w:ascii="宋体" w:hAnsi="宋体" w:eastAsia="仿宋_GB2312"/>
      <w:kern w:val="0"/>
      <w:sz w:val="24"/>
      <w:szCs w:val="24"/>
    </w:rPr>
  </w:style>
  <w:style w:type="paragraph" w:styleId="41">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paragraph" w:styleId="42">
    <w:name w:val="index 1"/>
    <w:basedOn w:val="1"/>
    <w:next w:val="1"/>
    <w:autoRedefine/>
    <w:qFormat/>
    <w:uiPriority w:val="0"/>
    <w:rPr>
      <w:rFonts w:ascii="Times New Roman" w:hAnsi="Times New Roman"/>
      <w:szCs w:val="21"/>
    </w:rPr>
  </w:style>
  <w:style w:type="paragraph" w:styleId="43">
    <w:name w:val="Title"/>
    <w:basedOn w:val="1"/>
    <w:next w:val="1"/>
    <w:link w:val="81"/>
    <w:autoRedefine/>
    <w:qFormat/>
    <w:uiPriority w:val="0"/>
    <w:pPr>
      <w:spacing w:before="240" w:after="60"/>
      <w:jc w:val="center"/>
      <w:outlineLvl w:val="0"/>
    </w:pPr>
    <w:rPr>
      <w:rFonts w:ascii="Cambria" w:hAnsi="Cambria" w:eastAsia="Times New Roman"/>
      <w:b/>
      <w:bCs/>
      <w:sz w:val="44"/>
      <w:szCs w:val="32"/>
    </w:rPr>
  </w:style>
  <w:style w:type="paragraph" w:styleId="44">
    <w:name w:val="annotation subject"/>
    <w:basedOn w:val="15"/>
    <w:next w:val="15"/>
    <w:link w:val="82"/>
    <w:autoRedefine/>
    <w:qFormat/>
    <w:uiPriority w:val="99"/>
    <w:rPr>
      <w:rFonts w:eastAsia="Times New Roman"/>
      <w:b/>
      <w:bCs/>
    </w:rPr>
  </w:style>
  <w:style w:type="table" w:styleId="46">
    <w:name w:val="Table Grid"/>
    <w:basedOn w:val="4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autoRedefine/>
    <w:qFormat/>
    <w:uiPriority w:val="0"/>
    <w:rPr>
      <w:b/>
      <w:bCs/>
    </w:rPr>
  </w:style>
  <w:style w:type="character" w:styleId="49">
    <w:name w:val="page number"/>
    <w:basedOn w:val="47"/>
    <w:autoRedefine/>
    <w:qFormat/>
    <w:uiPriority w:val="0"/>
  </w:style>
  <w:style w:type="character" w:styleId="50">
    <w:name w:val="FollowedHyperlink"/>
    <w:autoRedefine/>
    <w:qFormat/>
    <w:uiPriority w:val="99"/>
    <w:rPr>
      <w:color w:val="3894C1"/>
      <w:u w:val="none"/>
    </w:rPr>
  </w:style>
  <w:style w:type="character" w:styleId="51">
    <w:name w:val="Emphasis"/>
    <w:autoRedefine/>
    <w:qFormat/>
    <w:uiPriority w:val="0"/>
    <w:rPr>
      <w:b/>
      <w:bCs/>
    </w:rPr>
  </w:style>
  <w:style w:type="character" w:styleId="52">
    <w:name w:val="Hyperlink"/>
    <w:autoRedefine/>
    <w:qFormat/>
    <w:uiPriority w:val="99"/>
    <w:rPr>
      <w:color w:val="3894C1"/>
      <w:u w:val="none"/>
    </w:rPr>
  </w:style>
  <w:style w:type="character" w:styleId="53">
    <w:name w:val="annotation reference"/>
    <w:autoRedefine/>
    <w:qFormat/>
    <w:uiPriority w:val="99"/>
    <w:rPr>
      <w:sz w:val="21"/>
      <w:szCs w:val="21"/>
    </w:rPr>
  </w:style>
  <w:style w:type="character" w:styleId="54">
    <w:name w:val="footnote reference"/>
    <w:autoRedefine/>
    <w:qFormat/>
    <w:uiPriority w:val="0"/>
    <w:rPr>
      <w:vertAlign w:val="superscript"/>
    </w:rPr>
  </w:style>
  <w:style w:type="character" w:customStyle="1" w:styleId="55">
    <w:name w:val="标题 3 Char1"/>
    <w:link w:val="2"/>
    <w:autoRedefine/>
    <w:qFormat/>
    <w:locked/>
    <w:uiPriority w:val="0"/>
    <w:rPr>
      <w:b/>
      <w:sz w:val="32"/>
      <w:lang w:val="zh-CN"/>
    </w:rPr>
  </w:style>
  <w:style w:type="character" w:customStyle="1" w:styleId="56">
    <w:name w:val="标题 1 Char1"/>
    <w:link w:val="3"/>
    <w:autoRedefine/>
    <w:qFormat/>
    <w:locked/>
    <w:uiPriority w:val="0"/>
    <w:rPr>
      <w:rFonts w:ascii="黑体" w:hAnsi="Times New Roman" w:eastAsia="宋体" w:cs="宋体"/>
      <w:b/>
      <w:sz w:val="28"/>
      <w:lang w:val="zh-CN" w:eastAsia="zh-CN"/>
    </w:rPr>
  </w:style>
  <w:style w:type="character" w:customStyle="1" w:styleId="57">
    <w:name w:val="正文缩进 Char"/>
    <w:link w:val="5"/>
    <w:autoRedefine/>
    <w:qFormat/>
    <w:locked/>
    <w:uiPriority w:val="0"/>
    <w:rPr>
      <w:rFonts w:ascii="Times New Roman" w:hAnsi="Times New Roman" w:eastAsia="宋体" w:cs="Times New Roman"/>
      <w:kern w:val="0"/>
      <w:sz w:val="20"/>
      <w:szCs w:val="20"/>
    </w:rPr>
  </w:style>
  <w:style w:type="character" w:customStyle="1" w:styleId="58">
    <w:name w:val="标题 2 Char1"/>
    <w:link w:val="4"/>
    <w:autoRedefine/>
    <w:qFormat/>
    <w:locked/>
    <w:uiPriority w:val="0"/>
    <w:rPr>
      <w:rFonts w:ascii="Arial" w:hAnsi="Arial" w:eastAsia="宋体"/>
      <w:sz w:val="28"/>
      <w:lang w:val="zh-CN" w:eastAsia="zh-CN"/>
    </w:rPr>
  </w:style>
  <w:style w:type="character" w:customStyle="1" w:styleId="59">
    <w:name w:val="标题 4 Char1"/>
    <w:link w:val="6"/>
    <w:autoRedefine/>
    <w:qFormat/>
    <w:locked/>
    <w:uiPriority w:val="0"/>
    <w:rPr>
      <w:rFonts w:ascii="Arial" w:hAnsi="Arial" w:eastAsia="仿宋_GB2312" w:cs="Times New Roman"/>
      <w:b/>
      <w:bCs/>
      <w:sz w:val="28"/>
      <w:szCs w:val="28"/>
    </w:rPr>
  </w:style>
  <w:style w:type="character" w:customStyle="1" w:styleId="60">
    <w:name w:val="标题 5 Char1"/>
    <w:link w:val="7"/>
    <w:autoRedefine/>
    <w:qFormat/>
    <w:locked/>
    <w:uiPriority w:val="0"/>
    <w:rPr>
      <w:rFonts w:ascii="Calibri" w:hAnsi="Calibri" w:eastAsia="宋体" w:cs="宋体"/>
      <w:b/>
      <w:bCs/>
      <w:sz w:val="28"/>
      <w:szCs w:val="28"/>
    </w:rPr>
  </w:style>
  <w:style w:type="character" w:customStyle="1" w:styleId="61">
    <w:name w:val="标题 6 Char1"/>
    <w:link w:val="8"/>
    <w:autoRedefine/>
    <w:qFormat/>
    <w:locked/>
    <w:uiPriority w:val="0"/>
    <w:rPr>
      <w:rFonts w:ascii="Arial" w:hAnsi="Arial" w:eastAsia="黑体" w:cs="Times New Roman"/>
      <w:b/>
      <w:bCs/>
      <w:kern w:val="0"/>
      <w:sz w:val="24"/>
      <w:szCs w:val="24"/>
      <w:lang w:val="zh-CN" w:eastAsia="zh-CN"/>
    </w:rPr>
  </w:style>
  <w:style w:type="character" w:customStyle="1" w:styleId="62">
    <w:name w:val="标题 7 Char1"/>
    <w:link w:val="9"/>
    <w:autoRedefine/>
    <w:qFormat/>
    <w:locked/>
    <w:uiPriority w:val="99"/>
    <w:rPr>
      <w:rFonts w:ascii="Times New Roman" w:hAnsi="Times New Roman" w:eastAsia="宋体" w:cs="Times New Roman"/>
      <w:b/>
      <w:bCs/>
      <w:kern w:val="0"/>
      <w:sz w:val="24"/>
      <w:szCs w:val="24"/>
      <w:lang w:val="zh-CN" w:eastAsia="zh-CN"/>
    </w:rPr>
  </w:style>
  <w:style w:type="character" w:customStyle="1" w:styleId="63">
    <w:name w:val="标题 8 Char1"/>
    <w:link w:val="10"/>
    <w:autoRedefine/>
    <w:qFormat/>
    <w:locked/>
    <w:uiPriority w:val="0"/>
    <w:rPr>
      <w:rFonts w:ascii="Arial" w:hAnsi="Arial" w:eastAsia="黑体" w:cs="Times New Roman"/>
      <w:kern w:val="0"/>
      <w:sz w:val="24"/>
      <w:szCs w:val="24"/>
      <w:lang w:val="zh-CN" w:eastAsia="zh-CN"/>
    </w:rPr>
  </w:style>
  <w:style w:type="character" w:customStyle="1" w:styleId="64">
    <w:name w:val="标题 9 Char1"/>
    <w:link w:val="11"/>
    <w:autoRedefine/>
    <w:qFormat/>
    <w:locked/>
    <w:uiPriority w:val="0"/>
    <w:rPr>
      <w:rFonts w:ascii="Arial" w:hAnsi="Arial" w:eastAsia="黑体" w:cs="Times New Roman"/>
      <w:kern w:val="0"/>
      <w:szCs w:val="21"/>
      <w:lang w:val="zh-CN" w:eastAsia="zh-CN"/>
    </w:rPr>
  </w:style>
  <w:style w:type="character" w:customStyle="1" w:styleId="65">
    <w:name w:val="文档结构图 Char2"/>
    <w:link w:val="14"/>
    <w:autoRedefine/>
    <w:qFormat/>
    <w:locked/>
    <w:uiPriority w:val="0"/>
    <w:rPr>
      <w:rFonts w:ascii="Times New Roman" w:hAnsi="Times New Roman" w:eastAsia="Times New Roman" w:cs="Times New Roman"/>
      <w:szCs w:val="24"/>
      <w:shd w:val="clear" w:color="auto" w:fill="000080"/>
    </w:rPr>
  </w:style>
  <w:style w:type="character" w:customStyle="1" w:styleId="66">
    <w:name w:val="批注文字 Char1"/>
    <w:link w:val="15"/>
    <w:autoRedefine/>
    <w:qFormat/>
    <w:locked/>
    <w:uiPriority w:val="99"/>
    <w:rPr>
      <w:rFonts w:ascii="Times New Roman" w:hAnsi="Times New Roman" w:eastAsia="宋体" w:cs="Times New Roman"/>
      <w:szCs w:val="24"/>
    </w:rPr>
  </w:style>
  <w:style w:type="character" w:customStyle="1" w:styleId="67">
    <w:name w:val="正文文本 3 Char1"/>
    <w:link w:val="16"/>
    <w:autoRedefine/>
    <w:qFormat/>
    <w:locked/>
    <w:uiPriority w:val="0"/>
    <w:rPr>
      <w:rFonts w:ascii="Times New Roman" w:hAnsi="Times New Roman" w:eastAsia="Times New Roman" w:cs="Times New Roman"/>
      <w:sz w:val="16"/>
      <w:szCs w:val="16"/>
    </w:rPr>
  </w:style>
  <w:style w:type="character" w:customStyle="1" w:styleId="68">
    <w:name w:val="正文文本 Char2"/>
    <w:link w:val="17"/>
    <w:autoRedefine/>
    <w:qFormat/>
    <w:locked/>
    <w:uiPriority w:val="0"/>
    <w:rPr>
      <w:rFonts w:ascii="Times New Roman" w:hAnsi="Times New Roman" w:eastAsia="Times New Roman" w:cs="Times New Roman"/>
      <w:sz w:val="30"/>
      <w:szCs w:val="20"/>
    </w:rPr>
  </w:style>
  <w:style w:type="character" w:customStyle="1" w:styleId="69">
    <w:name w:val="正文文本缩进 Char1"/>
    <w:link w:val="18"/>
    <w:autoRedefine/>
    <w:qFormat/>
    <w:locked/>
    <w:uiPriority w:val="0"/>
    <w:rPr>
      <w:rFonts w:ascii="宋体" w:hAnsi="MS Sans Serif" w:eastAsia="Times New Roman" w:cs="Times New Roman"/>
      <w:spacing w:val="12"/>
      <w:kern w:val="0"/>
      <w:sz w:val="24"/>
      <w:szCs w:val="20"/>
    </w:rPr>
  </w:style>
  <w:style w:type="character" w:customStyle="1" w:styleId="70">
    <w:name w:val="纯文本 Char1"/>
    <w:link w:val="23"/>
    <w:autoRedefine/>
    <w:qFormat/>
    <w:locked/>
    <w:uiPriority w:val="0"/>
    <w:rPr>
      <w:rFonts w:ascii="宋体" w:hAnsi="Courier New" w:eastAsia="宋体" w:cs="Courier New"/>
      <w:szCs w:val="21"/>
    </w:rPr>
  </w:style>
  <w:style w:type="character" w:customStyle="1" w:styleId="71">
    <w:name w:val="日期 Char"/>
    <w:link w:val="25"/>
    <w:autoRedefine/>
    <w:qFormat/>
    <w:uiPriority w:val="0"/>
    <w:rPr>
      <w:rFonts w:ascii="Times New Roman" w:hAnsi="Times New Roman" w:eastAsia="宋体" w:cs="Times New Roman"/>
      <w:sz w:val="24"/>
      <w:szCs w:val="20"/>
    </w:rPr>
  </w:style>
  <w:style w:type="character" w:customStyle="1" w:styleId="72">
    <w:name w:val="正文文本缩进 2 Char1"/>
    <w:link w:val="26"/>
    <w:autoRedefine/>
    <w:qFormat/>
    <w:locked/>
    <w:uiPriority w:val="0"/>
    <w:rPr>
      <w:rFonts w:ascii="宋体" w:hAnsi="MS Sans Serif" w:eastAsia="Times New Roman" w:cs="Times New Roman"/>
      <w:spacing w:val="12"/>
      <w:kern w:val="0"/>
      <w:sz w:val="24"/>
      <w:szCs w:val="20"/>
    </w:rPr>
  </w:style>
  <w:style w:type="character" w:customStyle="1" w:styleId="73">
    <w:name w:val="批注框文本 Char2"/>
    <w:link w:val="27"/>
    <w:autoRedefine/>
    <w:qFormat/>
    <w:locked/>
    <w:uiPriority w:val="99"/>
    <w:rPr>
      <w:rFonts w:ascii="Times New Roman" w:hAnsi="Times New Roman" w:eastAsia="Times New Roman" w:cs="Times New Roman"/>
      <w:sz w:val="18"/>
      <w:szCs w:val="18"/>
    </w:rPr>
  </w:style>
  <w:style w:type="character" w:customStyle="1" w:styleId="74">
    <w:name w:val="页脚 Char1"/>
    <w:link w:val="28"/>
    <w:autoRedefine/>
    <w:qFormat/>
    <w:locked/>
    <w:uiPriority w:val="0"/>
    <w:rPr>
      <w:rFonts w:ascii="Times New Roman" w:hAnsi="Times New Roman" w:eastAsia="Times New Roman" w:cs="Times New Roman"/>
      <w:kern w:val="0"/>
      <w:sz w:val="18"/>
      <w:szCs w:val="20"/>
    </w:rPr>
  </w:style>
  <w:style w:type="character" w:customStyle="1" w:styleId="75">
    <w:name w:val="页眉 Char1"/>
    <w:link w:val="29"/>
    <w:autoRedefine/>
    <w:qFormat/>
    <w:locked/>
    <w:uiPriority w:val="0"/>
    <w:rPr>
      <w:rFonts w:ascii="Times New Roman" w:hAnsi="Times New Roman" w:eastAsia="Times New Roman" w:cs="Times New Roman"/>
      <w:kern w:val="0"/>
      <w:sz w:val="18"/>
      <w:szCs w:val="20"/>
    </w:rPr>
  </w:style>
  <w:style w:type="character" w:customStyle="1" w:styleId="76">
    <w:name w:val="副标题 Char2"/>
    <w:link w:val="32"/>
    <w:autoRedefine/>
    <w:qFormat/>
    <w:locked/>
    <w:uiPriority w:val="0"/>
    <w:rPr>
      <w:rFonts w:ascii="Cambria" w:hAnsi="Cambria" w:eastAsia="Times New Roman" w:cs="Times New Roman"/>
      <w:b/>
      <w:bCs/>
      <w:kern w:val="28"/>
      <w:sz w:val="32"/>
      <w:szCs w:val="32"/>
    </w:rPr>
  </w:style>
  <w:style w:type="character" w:customStyle="1" w:styleId="77">
    <w:name w:val="脚注文本 Char"/>
    <w:link w:val="33"/>
    <w:autoRedefine/>
    <w:qFormat/>
    <w:uiPriority w:val="0"/>
    <w:rPr>
      <w:rFonts w:ascii="Times New Roman" w:hAnsi="Times New Roman" w:eastAsia="宋体" w:cs="Times New Roman"/>
      <w:kern w:val="0"/>
      <w:sz w:val="18"/>
      <w:szCs w:val="20"/>
    </w:rPr>
  </w:style>
  <w:style w:type="character" w:customStyle="1" w:styleId="78">
    <w:name w:val="正文文本缩进 3 Char"/>
    <w:link w:val="35"/>
    <w:autoRedefine/>
    <w:qFormat/>
    <w:uiPriority w:val="0"/>
    <w:rPr>
      <w:rFonts w:ascii="宋体" w:hAnsi="MS Sans Serif" w:eastAsia="宋体" w:cs="Times New Roman"/>
      <w:color w:val="000000"/>
      <w:kern w:val="0"/>
      <w:sz w:val="24"/>
      <w:szCs w:val="20"/>
    </w:rPr>
  </w:style>
  <w:style w:type="character" w:customStyle="1" w:styleId="79">
    <w:name w:val="正文文本 2 Char"/>
    <w:link w:val="39"/>
    <w:autoRedefine/>
    <w:qFormat/>
    <w:uiPriority w:val="0"/>
    <w:rPr>
      <w:rFonts w:ascii="宋体" w:hAnsi="宋体" w:eastAsia="宋体" w:cs="Times New Roman"/>
      <w:sz w:val="24"/>
      <w:szCs w:val="24"/>
      <w:u w:val="single"/>
    </w:rPr>
  </w:style>
  <w:style w:type="character" w:customStyle="1" w:styleId="80">
    <w:name w:val="HTML 预设格式 Char2"/>
    <w:link w:val="40"/>
    <w:autoRedefine/>
    <w:qFormat/>
    <w:locked/>
    <w:uiPriority w:val="0"/>
    <w:rPr>
      <w:rFonts w:ascii="宋体" w:hAnsi="宋体" w:eastAsia="仿宋_GB2312" w:cs="Times New Roman"/>
      <w:kern w:val="0"/>
      <w:sz w:val="24"/>
      <w:szCs w:val="24"/>
    </w:rPr>
  </w:style>
  <w:style w:type="character" w:customStyle="1" w:styleId="81">
    <w:name w:val="标题 Char2"/>
    <w:link w:val="43"/>
    <w:autoRedefine/>
    <w:qFormat/>
    <w:locked/>
    <w:uiPriority w:val="0"/>
    <w:rPr>
      <w:rFonts w:ascii="Cambria" w:hAnsi="Cambria" w:eastAsia="Times New Roman"/>
      <w:b/>
      <w:bCs/>
      <w:kern w:val="2"/>
      <w:sz w:val="44"/>
      <w:szCs w:val="32"/>
    </w:rPr>
  </w:style>
  <w:style w:type="character" w:customStyle="1" w:styleId="82">
    <w:name w:val="批注主题 Char2"/>
    <w:link w:val="44"/>
    <w:autoRedefine/>
    <w:qFormat/>
    <w:locked/>
    <w:uiPriority w:val="0"/>
    <w:rPr>
      <w:rFonts w:ascii="Times New Roman" w:hAnsi="Times New Roman" w:eastAsia="Times New Roman" w:cs="Times New Roman"/>
      <w:b/>
      <w:bCs/>
      <w:szCs w:val="24"/>
    </w:rPr>
  </w:style>
  <w:style w:type="character" w:customStyle="1" w:styleId="83">
    <w:name w:val="标题 1 Char"/>
    <w:autoRedefine/>
    <w:qFormat/>
    <w:uiPriority w:val="0"/>
    <w:rPr>
      <w:rFonts w:ascii="Calibri" w:hAnsi="Calibri" w:eastAsia="宋体" w:cs="Times New Roman"/>
      <w:b/>
      <w:bCs/>
      <w:kern w:val="44"/>
      <w:sz w:val="44"/>
      <w:szCs w:val="44"/>
    </w:rPr>
  </w:style>
  <w:style w:type="character" w:customStyle="1" w:styleId="84">
    <w:name w:val="标题 2 Char"/>
    <w:autoRedefine/>
    <w:qFormat/>
    <w:uiPriority w:val="0"/>
    <w:rPr>
      <w:rFonts w:ascii="Cambria" w:hAnsi="Cambria" w:eastAsia="宋体" w:cs="Times New Roman"/>
      <w:b/>
      <w:bCs/>
      <w:sz w:val="32"/>
      <w:szCs w:val="32"/>
    </w:rPr>
  </w:style>
  <w:style w:type="character" w:customStyle="1" w:styleId="85">
    <w:name w:val="标题 3 Char"/>
    <w:autoRedefine/>
    <w:qFormat/>
    <w:uiPriority w:val="0"/>
    <w:rPr>
      <w:rFonts w:ascii="Calibri" w:hAnsi="Calibri" w:eastAsia="宋体" w:cs="Times New Roman"/>
      <w:b/>
      <w:bCs/>
      <w:sz w:val="32"/>
      <w:szCs w:val="32"/>
    </w:rPr>
  </w:style>
  <w:style w:type="character" w:customStyle="1" w:styleId="86">
    <w:name w:val="标题 4 Char"/>
    <w:autoRedefine/>
    <w:qFormat/>
    <w:uiPriority w:val="0"/>
    <w:rPr>
      <w:rFonts w:ascii="Cambria" w:hAnsi="Cambria" w:eastAsia="宋体" w:cs="Times New Roman"/>
      <w:b/>
      <w:bCs/>
      <w:sz w:val="28"/>
      <w:szCs w:val="28"/>
    </w:rPr>
  </w:style>
  <w:style w:type="character" w:customStyle="1" w:styleId="87">
    <w:name w:val="标题 5 Char"/>
    <w:autoRedefine/>
    <w:qFormat/>
    <w:uiPriority w:val="0"/>
    <w:rPr>
      <w:rFonts w:ascii="Calibri" w:hAnsi="Calibri" w:eastAsia="宋体" w:cs="Times New Roman"/>
      <w:b/>
      <w:bCs/>
      <w:sz w:val="28"/>
      <w:szCs w:val="28"/>
    </w:rPr>
  </w:style>
  <w:style w:type="character" w:customStyle="1" w:styleId="88">
    <w:name w:val="标题 6 Char"/>
    <w:autoRedefine/>
    <w:qFormat/>
    <w:uiPriority w:val="0"/>
    <w:rPr>
      <w:rFonts w:ascii="Cambria" w:hAnsi="Cambria" w:eastAsia="宋体" w:cs="Times New Roman"/>
      <w:b/>
      <w:bCs/>
      <w:sz w:val="24"/>
      <w:szCs w:val="24"/>
    </w:rPr>
  </w:style>
  <w:style w:type="character" w:customStyle="1" w:styleId="89">
    <w:name w:val="标题 7 Char"/>
    <w:autoRedefine/>
    <w:qFormat/>
    <w:uiPriority w:val="0"/>
    <w:rPr>
      <w:rFonts w:ascii="Calibri" w:hAnsi="Calibri" w:eastAsia="宋体" w:cs="Times New Roman"/>
      <w:b/>
      <w:bCs/>
      <w:sz w:val="24"/>
      <w:szCs w:val="24"/>
    </w:rPr>
  </w:style>
  <w:style w:type="character" w:customStyle="1" w:styleId="90">
    <w:name w:val="标题 8 Char"/>
    <w:autoRedefine/>
    <w:qFormat/>
    <w:uiPriority w:val="0"/>
    <w:rPr>
      <w:rFonts w:ascii="Cambria" w:hAnsi="Cambria" w:eastAsia="宋体" w:cs="Times New Roman"/>
      <w:sz w:val="24"/>
      <w:szCs w:val="24"/>
    </w:rPr>
  </w:style>
  <w:style w:type="character" w:customStyle="1" w:styleId="91">
    <w:name w:val="标题 9 Char"/>
    <w:autoRedefine/>
    <w:qFormat/>
    <w:uiPriority w:val="0"/>
    <w:rPr>
      <w:rFonts w:ascii="Cambria" w:hAnsi="Cambria" w:eastAsia="宋体" w:cs="Times New Roman"/>
      <w:szCs w:val="21"/>
    </w:rPr>
  </w:style>
  <w:style w:type="character" w:customStyle="1" w:styleId="92">
    <w:name w:val="HTML 预设格式 Char"/>
    <w:autoRedefine/>
    <w:qFormat/>
    <w:uiPriority w:val="0"/>
    <w:rPr>
      <w:rFonts w:ascii="Courier New" w:hAnsi="Courier New" w:eastAsia="宋体" w:cs="Courier New"/>
      <w:sz w:val="20"/>
      <w:szCs w:val="20"/>
    </w:rPr>
  </w:style>
  <w:style w:type="character" w:customStyle="1" w:styleId="93">
    <w:name w:val="批注文字 Char"/>
    <w:link w:val="94"/>
    <w:autoRedefine/>
    <w:qFormat/>
    <w:uiPriority w:val="0"/>
    <w:rPr>
      <w:rFonts w:ascii="Calibri" w:hAnsi="Calibri" w:eastAsia="宋体" w:cs="Times New Roman"/>
    </w:rPr>
  </w:style>
  <w:style w:type="paragraph" w:customStyle="1" w:styleId="94">
    <w:name w:val="批注文字1"/>
    <w:basedOn w:val="1"/>
    <w:link w:val="93"/>
    <w:autoRedefine/>
    <w:qFormat/>
    <w:uiPriority w:val="99"/>
    <w:rPr>
      <w:kern w:val="0"/>
      <w:sz w:val="20"/>
      <w:szCs w:val="20"/>
    </w:rPr>
  </w:style>
  <w:style w:type="character" w:customStyle="1" w:styleId="95">
    <w:name w:val="页眉 Char"/>
    <w:link w:val="96"/>
    <w:autoRedefine/>
    <w:qFormat/>
    <w:uiPriority w:val="0"/>
    <w:rPr>
      <w:rFonts w:ascii="Calibri" w:hAnsi="Calibri" w:eastAsia="宋体" w:cs="Times New Roman"/>
      <w:sz w:val="18"/>
      <w:szCs w:val="18"/>
    </w:rPr>
  </w:style>
  <w:style w:type="paragraph" w:customStyle="1" w:styleId="96">
    <w:name w:val="页眉1"/>
    <w:basedOn w:val="1"/>
    <w:link w:val="95"/>
    <w:autoRedefine/>
    <w:qFormat/>
    <w:uiPriority w:val="0"/>
    <w:pPr>
      <w:pBdr>
        <w:bottom w:val="single" w:color="auto" w:sz="6" w:space="1"/>
      </w:pBdr>
      <w:tabs>
        <w:tab w:val="center" w:pos="4153"/>
        <w:tab w:val="right" w:pos="8306"/>
      </w:tabs>
      <w:snapToGrid w:val="0"/>
    </w:pPr>
    <w:rPr>
      <w:kern w:val="0"/>
      <w:sz w:val="18"/>
      <w:szCs w:val="18"/>
    </w:rPr>
  </w:style>
  <w:style w:type="character" w:customStyle="1" w:styleId="97">
    <w:name w:val="页脚 Char"/>
    <w:link w:val="98"/>
    <w:autoRedefine/>
    <w:qFormat/>
    <w:uiPriority w:val="99"/>
    <w:rPr>
      <w:rFonts w:ascii="Calibri" w:hAnsi="Calibri" w:eastAsia="宋体" w:cs="Times New Roman"/>
      <w:sz w:val="18"/>
      <w:szCs w:val="18"/>
    </w:rPr>
  </w:style>
  <w:style w:type="paragraph" w:customStyle="1" w:styleId="98">
    <w:name w:val="页脚1"/>
    <w:basedOn w:val="1"/>
    <w:link w:val="97"/>
    <w:autoRedefine/>
    <w:qFormat/>
    <w:uiPriority w:val="0"/>
    <w:pPr>
      <w:tabs>
        <w:tab w:val="center" w:pos="4153"/>
        <w:tab w:val="right" w:pos="8306"/>
      </w:tabs>
      <w:snapToGrid w:val="0"/>
    </w:pPr>
    <w:rPr>
      <w:kern w:val="0"/>
      <w:sz w:val="18"/>
      <w:szCs w:val="18"/>
    </w:rPr>
  </w:style>
  <w:style w:type="character" w:customStyle="1" w:styleId="99">
    <w:name w:val="标题 Char"/>
    <w:link w:val="100"/>
    <w:autoRedefine/>
    <w:qFormat/>
    <w:uiPriority w:val="0"/>
    <w:rPr>
      <w:rFonts w:ascii="Cambria" w:hAnsi="Cambria" w:eastAsia="宋体" w:cs="Times New Roman"/>
      <w:b/>
      <w:bCs/>
      <w:sz w:val="32"/>
      <w:szCs w:val="32"/>
    </w:rPr>
  </w:style>
  <w:style w:type="paragraph" w:customStyle="1" w:styleId="100">
    <w:name w:val="标题2"/>
    <w:basedOn w:val="1"/>
    <w:link w:val="99"/>
    <w:autoRedefine/>
    <w:qFormat/>
    <w:uiPriority w:val="0"/>
    <w:pPr>
      <w:autoSpaceDE w:val="0"/>
      <w:autoSpaceDN w:val="0"/>
      <w:adjustRightInd w:val="0"/>
    </w:pPr>
    <w:rPr>
      <w:rFonts w:ascii="Cambria" w:hAnsi="Cambria"/>
      <w:b/>
      <w:bCs/>
      <w:kern w:val="0"/>
      <w:sz w:val="32"/>
      <w:szCs w:val="32"/>
    </w:rPr>
  </w:style>
  <w:style w:type="character" w:customStyle="1" w:styleId="101">
    <w:name w:val="正文文本 Char"/>
    <w:autoRedefine/>
    <w:qFormat/>
    <w:uiPriority w:val="0"/>
    <w:rPr>
      <w:rFonts w:ascii="Calibri" w:hAnsi="Calibri" w:eastAsia="宋体" w:cs="Times New Roman"/>
    </w:rPr>
  </w:style>
  <w:style w:type="character" w:customStyle="1" w:styleId="102">
    <w:name w:val="正文文本缩进 Char"/>
    <w:link w:val="103"/>
    <w:autoRedefine/>
    <w:qFormat/>
    <w:uiPriority w:val="0"/>
    <w:rPr>
      <w:rFonts w:ascii="Calibri" w:hAnsi="Calibri" w:eastAsia="宋体" w:cs="Times New Roman"/>
    </w:rPr>
  </w:style>
  <w:style w:type="paragraph" w:customStyle="1" w:styleId="103">
    <w:name w:val="正文文本缩进1"/>
    <w:basedOn w:val="1"/>
    <w:link w:val="102"/>
    <w:autoRedefine/>
    <w:qFormat/>
    <w:uiPriority w:val="0"/>
    <w:pPr>
      <w:spacing w:after="120"/>
      <w:ind w:left="420" w:leftChars="200"/>
    </w:pPr>
    <w:rPr>
      <w:kern w:val="0"/>
      <w:sz w:val="20"/>
      <w:szCs w:val="20"/>
    </w:rPr>
  </w:style>
  <w:style w:type="character" w:customStyle="1" w:styleId="104">
    <w:name w:val="副标题 Char"/>
    <w:link w:val="105"/>
    <w:autoRedefine/>
    <w:qFormat/>
    <w:uiPriority w:val="0"/>
    <w:rPr>
      <w:rFonts w:ascii="Cambria" w:hAnsi="Cambria" w:eastAsia="宋体" w:cs="Times New Roman"/>
      <w:b/>
      <w:bCs/>
      <w:kern w:val="28"/>
      <w:sz w:val="32"/>
      <w:szCs w:val="32"/>
    </w:rPr>
  </w:style>
  <w:style w:type="paragraph" w:customStyle="1" w:styleId="105">
    <w:name w:val="副标题1"/>
    <w:basedOn w:val="1"/>
    <w:next w:val="1"/>
    <w:link w:val="104"/>
    <w:autoRedefine/>
    <w:qFormat/>
    <w:uiPriority w:val="0"/>
    <w:pPr>
      <w:spacing w:before="240" w:after="60" w:line="312" w:lineRule="auto"/>
      <w:outlineLvl w:val="1"/>
    </w:pPr>
    <w:rPr>
      <w:rFonts w:ascii="Cambria" w:hAnsi="Cambria"/>
      <w:b/>
      <w:bCs/>
      <w:kern w:val="28"/>
      <w:sz w:val="32"/>
      <w:szCs w:val="32"/>
    </w:rPr>
  </w:style>
  <w:style w:type="character" w:customStyle="1" w:styleId="106">
    <w:name w:val="正文文本 3 Char"/>
    <w:link w:val="107"/>
    <w:autoRedefine/>
    <w:qFormat/>
    <w:uiPriority w:val="0"/>
    <w:rPr>
      <w:rFonts w:ascii="Calibri" w:hAnsi="Calibri" w:eastAsia="宋体" w:cs="Times New Roman"/>
      <w:sz w:val="16"/>
      <w:szCs w:val="16"/>
    </w:rPr>
  </w:style>
  <w:style w:type="paragraph" w:customStyle="1" w:styleId="107">
    <w:name w:val="正文文本 31"/>
    <w:basedOn w:val="1"/>
    <w:link w:val="106"/>
    <w:autoRedefine/>
    <w:qFormat/>
    <w:uiPriority w:val="0"/>
    <w:pPr>
      <w:spacing w:after="120"/>
    </w:pPr>
    <w:rPr>
      <w:kern w:val="0"/>
      <w:sz w:val="16"/>
      <w:szCs w:val="16"/>
    </w:rPr>
  </w:style>
  <w:style w:type="character" w:customStyle="1" w:styleId="108">
    <w:name w:val="正文文本缩进 2 Char"/>
    <w:link w:val="109"/>
    <w:autoRedefine/>
    <w:qFormat/>
    <w:uiPriority w:val="0"/>
    <w:rPr>
      <w:rFonts w:ascii="Calibri" w:hAnsi="Calibri" w:eastAsia="宋体" w:cs="Times New Roman"/>
    </w:rPr>
  </w:style>
  <w:style w:type="paragraph" w:customStyle="1" w:styleId="109">
    <w:name w:val="正文文本缩进 21"/>
    <w:basedOn w:val="1"/>
    <w:link w:val="108"/>
    <w:autoRedefine/>
    <w:qFormat/>
    <w:uiPriority w:val="0"/>
    <w:pPr>
      <w:ind w:left="1260"/>
    </w:pPr>
    <w:rPr>
      <w:kern w:val="0"/>
      <w:sz w:val="20"/>
      <w:szCs w:val="20"/>
    </w:rPr>
  </w:style>
  <w:style w:type="character" w:customStyle="1" w:styleId="110">
    <w:name w:val="文档结构图 Char"/>
    <w:link w:val="111"/>
    <w:autoRedefine/>
    <w:qFormat/>
    <w:uiPriority w:val="0"/>
    <w:rPr>
      <w:rFonts w:ascii="宋体" w:hAnsi="Calibri" w:eastAsia="宋体" w:cs="Times New Roman"/>
      <w:sz w:val="18"/>
      <w:szCs w:val="18"/>
    </w:rPr>
  </w:style>
  <w:style w:type="paragraph" w:customStyle="1" w:styleId="111">
    <w:name w:val="文档结构图1"/>
    <w:basedOn w:val="1"/>
    <w:link w:val="110"/>
    <w:autoRedefine/>
    <w:qFormat/>
    <w:uiPriority w:val="0"/>
    <w:pPr>
      <w:shd w:val="clear" w:color="auto" w:fill="000080"/>
    </w:pPr>
    <w:rPr>
      <w:rFonts w:ascii="宋体"/>
      <w:kern w:val="0"/>
      <w:sz w:val="18"/>
      <w:szCs w:val="18"/>
      <w:shd w:val="clear" w:color="auto" w:fill="000080"/>
    </w:rPr>
  </w:style>
  <w:style w:type="character" w:customStyle="1" w:styleId="112">
    <w:name w:val="纯文本 Char"/>
    <w:link w:val="113"/>
    <w:autoRedefine/>
    <w:qFormat/>
    <w:uiPriority w:val="0"/>
    <w:rPr>
      <w:rFonts w:ascii="宋体" w:hAnsi="Courier New" w:eastAsia="宋体" w:cs="Courier New"/>
      <w:szCs w:val="21"/>
    </w:rPr>
  </w:style>
  <w:style w:type="paragraph" w:customStyle="1" w:styleId="113">
    <w:name w:val="纯文本1"/>
    <w:basedOn w:val="1"/>
    <w:link w:val="112"/>
    <w:autoRedefine/>
    <w:qFormat/>
    <w:uiPriority w:val="0"/>
    <w:rPr>
      <w:rFonts w:ascii="宋体" w:hAnsi="Courier New" w:cs="Courier New"/>
      <w:kern w:val="0"/>
      <w:sz w:val="20"/>
      <w:szCs w:val="21"/>
    </w:rPr>
  </w:style>
  <w:style w:type="character" w:customStyle="1" w:styleId="114">
    <w:name w:val="批注主题 Char"/>
    <w:link w:val="115"/>
    <w:autoRedefine/>
    <w:qFormat/>
    <w:uiPriority w:val="0"/>
    <w:rPr>
      <w:rFonts w:ascii="Calibri" w:hAnsi="Calibri" w:eastAsia="宋体" w:cs="Times New Roman"/>
      <w:b/>
      <w:bCs/>
    </w:rPr>
  </w:style>
  <w:style w:type="paragraph" w:customStyle="1" w:styleId="115">
    <w:name w:val="批注主题1"/>
    <w:basedOn w:val="94"/>
    <w:next w:val="94"/>
    <w:link w:val="114"/>
    <w:autoRedefine/>
    <w:qFormat/>
    <w:uiPriority w:val="0"/>
    <w:rPr>
      <w:b/>
      <w:bCs/>
    </w:rPr>
  </w:style>
  <w:style w:type="character" w:customStyle="1" w:styleId="116">
    <w:name w:val="批注框文本 Char"/>
    <w:link w:val="117"/>
    <w:autoRedefine/>
    <w:qFormat/>
    <w:uiPriority w:val="0"/>
    <w:rPr>
      <w:rFonts w:ascii="Calibri" w:hAnsi="Calibri" w:eastAsia="宋体" w:cs="Times New Roman"/>
      <w:sz w:val="18"/>
      <w:szCs w:val="18"/>
    </w:rPr>
  </w:style>
  <w:style w:type="paragraph" w:customStyle="1" w:styleId="117">
    <w:name w:val="批注框文本1"/>
    <w:basedOn w:val="1"/>
    <w:link w:val="116"/>
    <w:autoRedefine/>
    <w:qFormat/>
    <w:uiPriority w:val="0"/>
    <w:rPr>
      <w:kern w:val="0"/>
      <w:sz w:val="18"/>
      <w:szCs w:val="18"/>
    </w:rPr>
  </w:style>
  <w:style w:type="character" w:customStyle="1" w:styleId="118">
    <w:name w:val="标题5 Char Char"/>
    <w:link w:val="119"/>
    <w:autoRedefine/>
    <w:qFormat/>
    <w:locked/>
    <w:uiPriority w:val="0"/>
    <w:rPr>
      <w:rFonts w:ascii="Arial" w:hAnsi="Arial" w:cs="Arial"/>
      <w:b/>
      <w:bCs/>
      <w:sz w:val="24"/>
      <w:szCs w:val="32"/>
    </w:rPr>
  </w:style>
  <w:style w:type="paragraph" w:customStyle="1" w:styleId="119">
    <w:name w:val="标题5"/>
    <w:basedOn w:val="2"/>
    <w:link w:val="118"/>
    <w:autoRedefine/>
    <w:qFormat/>
    <w:uiPriority w:val="0"/>
    <w:pPr>
      <w:widowControl w:val="0"/>
      <w:numPr>
        <w:ilvl w:val="0"/>
        <w:numId w:val="0"/>
      </w:numPr>
      <w:spacing w:before="260" w:after="260" w:line="412" w:lineRule="auto"/>
      <w:jc w:val="both"/>
    </w:pPr>
    <w:rPr>
      <w:rFonts w:ascii="Arial" w:hAnsi="Arial" w:cs="Arial"/>
      <w:bCs/>
      <w:kern w:val="2"/>
      <w:sz w:val="24"/>
      <w:szCs w:val="32"/>
      <w:lang w:val="en-US"/>
    </w:rPr>
  </w:style>
  <w:style w:type="character" w:customStyle="1" w:styleId="120">
    <w:name w:val="xmfy Char Char"/>
    <w:link w:val="121"/>
    <w:autoRedefine/>
    <w:qFormat/>
    <w:locked/>
    <w:uiPriority w:val="0"/>
    <w:rPr>
      <w:rFonts w:ascii="宋体" w:hAnsi="宋体" w:eastAsia="宋体" w:cs="宋体"/>
      <w:sz w:val="28"/>
    </w:rPr>
  </w:style>
  <w:style w:type="paragraph" w:customStyle="1" w:styleId="121">
    <w:name w:val="xmfy"/>
    <w:basedOn w:val="5"/>
    <w:link w:val="120"/>
    <w:autoRedefine/>
    <w:qFormat/>
    <w:uiPriority w:val="0"/>
    <w:pPr>
      <w:widowControl w:val="0"/>
      <w:spacing w:line="312" w:lineRule="auto"/>
      <w:ind w:firstLine="567"/>
      <w:jc w:val="both"/>
    </w:pPr>
    <w:rPr>
      <w:rFonts w:ascii="宋体" w:hAnsi="宋体" w:cs="宋体"/>
      <w:kern w:val="2"/>
      <w:sz w:val="28"/>
      <w:szCs w:val="22"/>
    </w:rPr>
  </w:style>
  <w:style w:type="character" w:customStyle="1" w:styleId="122">
    <w:name w:val="引用 Char"/>
    <w:link w:val="123"/>
    <w:autoRedefine/>
    <w:qFormat/>
    <w:locked/>
    <w:uiPriority w:val="0"/>
    <w:rPr>
      <w:i/>
      <w:iCs/>
      <w:color w:val="000000"/>
    </w:rPr>
  </w:style>
  <w:style w:type="paragraph" w:customStyle="1" w:styleId="123">
    <w:name w:val="引用1"/>
    <w:basedOn w:val="1"/>
    <w:next w:val="1"/>
    <w:link w:val="122"/>
    <w:autoRedefine/>
    <w:qFormat/>
    <w:uiPriority w:val="0"/>
    <w:rPr>
      <w:i/>
      <w:iCs/>
      <w:color w:val="000000"/>
    </w:rPr>
  </w:style>
  <w:style w:type="character" w:customStyle="1" w:styleId="124">
    <w:name w:val="引用 Char1"/>
    <w:autoRedefine/>
    <w:qFormat/>
    <w:uiPriority w:val="29"/>
    <w:rPr>
      <w:rFonts w:ascii="Calibri" w:hAnsi="Calibri" w:eastAsia="宋体" w:cs="Times New Roman"/>
      <w:i/>
      <w:iCs/>
      <w:color w:val="000000"/>
    </w:rPr>
  </w:style>
  <w:style w:type="character" w:customStyle="1" w:styleId="125">
    <w:name w:val="标题4 Char Char"/>
    <w:link w:val="126"/>
    <w:autoRedefine/>
    <w:qFormat/>
    <w:locked/>
    <w:uiPriority w:val="0"/>
    <w:rPr>
      <w:rFonts w:ascii="Arial" w:hAnsi="Arial" w:cs="Arial"/>
      <w:b/>
      <w:bCs/>
      <w:sz w:val="24"/>
      <w:szCs w:val="32"/>
    </w:rPr>
  </w:style>
  <w:style w:type="paragraph" w:customStyle="1" w:styleId="126">
    <w:name w:val="标题4"/>
    <w:basedOn w:val="4"/>
    <w:next w:val="20"/>
    <w:link w:val="125"/>
    <w:autoRedefine/>
    <w:qFormat/>
    <w:uiPriority w:val="0"/>
    <w:pPr>
      <w:widowControl w:val="0"/>
    </w:pPr>
    <w:rPr>
      <w:rFonts w:cs="Arial"/>
      <w:bCs/>
      <w:kern w:val="2"/>
      <w:sz w:val="24"/>
      <w:szCs w:val="32"/>
      <w:lang w:val="en-US"/>
    </w:rPr>
  </w:style>
  <w:style w:type="character" w:customStyle="1" w:styleId="127">
    <w:name w:val="!BECC正文 Char"/>
    <w:link w:val="128"/>
    <w:autoRedefine/>
    <w:qFormat/>
    <w:locked/>
    <w:uiPriority w:val="0"/>
    <w:rPr>
      <w:sz w:val="24"/>
      <w:szCs w:val="24"/>
    </w:rPr>
  </w:style>
  <w:style w:type="paragraph" w:customStyle="1" w:styleId="128">
    <w:name w:val="!BECC正文"/>
    <w:basedOn w:val="1"/>
    <w:link w:val="127"/>
    <w:autoRedefine/>
    <w:qFormat/>
    <w:uiPriority w:val="0"/>
    <w:pPr>
      <w:tabs>
        <w:tab w:val="left" w:pos="0"/>
      </w:tabs>
      <w:spacing w:beforeLines="50" w:line="360" w:lineRule="auto"/>
      <w:ind w:firstLine="200" w:firstLineChars="200"/>
      <w:contextualSpacing/>
    </w:pPr>
    <w:rPr>
      <w:sz w:val="24"/>
      <w:szCs w:val="24"/>
    </w:rPr>
  </w:style>
  <w:style w:type="character" w:customStyle="1" w:styleId="129">
    <w:name w:val="正文加粗 Char"/>
    <w:link w:val="130"/>
    <w:autoRedefine/>
    <w:qFormat/>
    <w:locked/>
    <w:uiPriority w:val="0"/>
    <w:rPr>
      <w:b/>
      <w:sz w:val="24"/>
      <w:szCs w:val="24"/>
    </w:rPr>
  </w:style>
  <w:style w:type="paragraph" w:customStyle="1" w:styleId="130">
    <w:name w:val="正文加粗"/>
    <w:basedOn w:val="1"/>
    <w:next w:val="1"/>
    <w:link w:val="129"/>
    <w:autoRedefine/>
    <w:qFormat/>
    <w:uiPriority w:val="0"/>
    <w:pPr>
      <w:adjustRightInd w:val="0"/>
      <w:snapToGrid w:val="0"/>
      <w:spacing w:line="360" w:lineRule="auto"/>
      <w:ind w:right="240" w:firstLine="480" w:firstLineChars="200"/>
      <w:jc w:val="left"/>
    </w:pPr>
    <w:rPr>
      <w:b/>
      <w:sz w:val="24"/>
      <w:szCs w:val="24"/>
    </w:rPr>
  </w:style>
  <w:style w:type="character" w:customStyle="1" w:styleId="131">
    <w:name w:val="明显引用 Char"/>
    <w:link w:val="132"/>
    <w:autoRedefine/>
    <w:qFormat/>
    <w:locked/>
    <w:uiPriority w:val="0"/>
    <w:rPr>
      <w:b/>
      <w:bCs/>
      <w:i/>
      <w:iCs/>
      <w:color w:val="4F81BD"/>
    </w:rPr>
  </w:style>
  <w:style w:type="paragraph" w:customStyle="1" w:styleId="132">
    <w:name w:val="明显引用1"/>
    <w:basedOn w:val="1"/>
    <w:next w:val="1"/>
    <w:link w:val="131"/>
    <w:autoRedefine/>
    <w:qFormat/>
    <w:uiPriority w:val="0"/>
    <w:pPr>
      <w:pBdr>
        <w:bottom w:val="single" w:color="4F81BD" w:sz="4" w:space="4"/>
      </w:pBdr>
      <w:spacing w:before="200" w:after="280"/>
      <w:ind w:left="936" w:right="936"/>
    </w:pPr>
    <w:rPr>
      <w:b/>
      <w:bCs/>
      <w:i/>
      <w:iCs/>
      <w:color w:val="4F81BD"/>
    </w:rPr>
  </w:style>
  <w:style w:type="character" w:customStyle="1" w:styleId="133">
    <w:name w:val="明显引用 Char1"/>
    <w:autoRedefine/>
    <w:qFormat/>
    <w:uiPriority w:val="30"/>
    <w:rPr>
      <w:rFonts w:ascii="Calibri" w:hAnsi="Calibri" w:eastAsia="宋体" w:cs="Times New Roman"/>
      <w:b/>
      <w:bCs/>
      <w:i/>
      <w:iCs/>
      <w:color w:val="4F81BD"/>
    </w:rPr>
  </w:style>
  <w:style w:type="character" w:customStyle="1" w:styleId="134">
    <w:name w:val="my正文 Char"/>
    <w:link w:val="135"/>
    <w:autoRedefine/>
    <w:qFormat/>
    <w:locked/>
    <w:uiPriority w:val="0"/>
    <w:rPr>
      <w:rFonts w:ascii="宋体" w:hAnsi="宋体" w:eastAsia="宋体"/>
      <w:sz w:val="24"/>
    </w:rPr>
  </w:style>
  <w:style w:type="paragraph" w:customStyle="1" w:styleId="135">
    <w:name w:val="my正文"/>
    <w:link w:val="134"/>
    <w:autoRedefine/>
    <w:qFormat/>
    <w:uiPriority w:val="0"/>
    <w:pPr>
      <w:spacing w:line="360" w:lineRule="auto"/>
      <w:ind w:firstLine="225" w:firstLineChars="225"/>
    </w:pPr>
    <w:rPr>
      <w:rFonts w:ascii="宋体" w:hAnsi="宋体" w:eastAsia="宋体" w:cs="Times New Roman"/>
      <w:kern w:val="2"/>
      <w:sz w:val="24"/>
      <w:szCs w:val="22"/>
      <w:lang w:val="en-US" w:eastAsia="zh-CN" w:bidi="ar-SA"/>
    </w:rPr>
  </w:style>
  <w:style w:type="paragraph" w:customStyle="1" w:styleId="136">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7">
    <w:name w:val="样式 标题 2 + Times New Roman 四号 非加粗 段前: 5 磅 段后: 0 磅 行距: 固定值 20..."/>
    <w:basedOn w:val="4"/>
    <w:autoRedefine/>
    <w:qFormat/>
    <w:uiPriority w:val="0"/>
    <w:pPr>
      <w:widowControl w:val="0"/>
      <w:spacing w:before="100" w:after="0" w:line="400" w:lineRule="exact"/>
    </w:pPr>
    <w:rPr>
      <w:rFonts w:ascii="Times New Roman" w:hAnsi="Times New Roman" w:cs="宋体"/>
      <w:b/>
    </w:rPr>
  </w:style>
  <w:style w:type="paragraph" w:customStyle="1" w:styleId="138">
    <w:name w:val="表内文字居中"/>
    <w:autoRedefine/>
    <w:qFormat/>
    <w:uiPriority w:val="0"/>
    <w:pPr>
      <w:jc w:val="center"/>
    </w:pPr>
    <w:rPr>
      <w:rFonts w:ascii="Times New Roman" w:hAnsi="Times New Roman" w:eastAsia="宋体" w:cs="Times New Roman"/>
      <w:kern w:val="2"/>
      <w:sz w:val="24"/>
      <w:szCs w:val="24"/>
      <w:lang w:val="en-US" w:eastAsia="zh-CN" w:bidi="ar-SA"/>
    </w:rPr>
  </w:style>
  <w:style w:type="paragraph" w:customStyle="1" w:styleId="139">
    <w:name w:val="xl8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0">
    <w:name w:val="Style4"/>
    <w:basedOn w:val="1"/>
    <w:autoRedefine/>
    <w:qFormat/>
    <w:uiPriority w:val="0"/>
    <w:pPr>
      <w:adjustRightInd w:val="0"/>
      <w:jc w:val="left"/>
    </w:pPr>
    <w:rPr>
      <w:rFonts w:ascii="宋体"/>
      <w:kern w:val="0"/>
      <w:sz w:val="24"/>
      <w:szCs w:val="24"/>
    </w:rPr>
  </w:style>
  <w:style w:type="paragraph" w:customStyle="1" w:styleId="141">
    <w:name w:val="列出段落1"/>
    <w:basedOn w:val="1"/>
    <w:autoRedefine/>
    <w:qFormat/>
    <w:uiPriority w:val="0"/>
    <w:pPr>
      <w:ind w:firstLine="420" w:firstLineChars="200"/>
    </w:pPr>
    <w:rPr>
      <w:rFonts w:ascii="Cambria" w:hAnsi="Cambria"/>
      <w:sz w:val="24"/>
      <w:szCs w:val="24"/>
    </w:rPr>
  </w:style>
  <w:style w:type="paragraph" w:customStyle="1" w:styleId="142">
    <w:name w:val="xl8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3">
    <w:name w:val="xl7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44">
    <w:name w:val="目录"/>
    <w:basedOn w:val="1"/>
    <w:autoRedefine/>
    <w:qFormat/>
    <w:uiPriority w:val="0"/>
    <w:pPr>
      <w:widowControl/>
      <w:jc w:val="center"/>
    </w:pPr>
    <w:rPr>
      <w:rFonts w:ascii="宋体" w:hAnsi="Times New Roman"/>
      <w:b/>
      <w:kern w:val="0"/>
      <w:sz w:val="36"/>
      <w:szCs w:val="20"/>
    </w:rPr>
  </w:style>
  <w:style w:type="paragraph" w:customStyle="1" w:styleId="145">
    <w:name w:val="默认段落字体 Para Char Char Char Char"/>
    <w:basedOn w:val="1"/>
    <w:autoRedefine/>
    <w:qFormat/>
    <w:uiPriority w:val="0"/>
    <w:rPr>
      <w:rFonts w:ascii="Times New Roman" w:hAnsi="Times New Roman"/>
      <w:szCs w:val="24"/>
    </w:rPr>
  </w:style>
  <w:style w:type="paragraph" w:customStyle="1" w:styleId="146">
    <w:name w:val="空半行"/>
    <w:basedOn w:val="1"/>
    <w:autoRedefine/>
    <w:qFormat/>
    <w:uiPriority w:val="0"/>
    <w:pPr>
      <w:adjustRightInd w:val="0"/>
      <w:spacing w:line="120" w:lineRule="exact"/>
    </w:pPr>
    <w:rPr>
      <w:rFonts w:ascii="Times New Roman" w:hAnsi="Times New Roman" w:eastAsia="仿宋_GB2312"/>
      <w:color w:val="FFFFFF"/>
      <w:kern w:val="0"/>
      <w:sz w:val="30"/>
      <w:szCs w:val="20"/>
    </w:rPr>
  </w:style>
  <w:style w:type="paragraph" w:customStyle="1" w:styleId="147">
    <w:name w:val="Style3"/>
    <w:basedOn w:val="1"/>
    <w:autoRedefine/>
    <w:qFormat/>
    <w:uiPriority w:val="0"/>
    <w:pPr>
      <w:adjustRightInd w:val="0"/>
      <w:spacing w:line="550" w:lineRule="exact"/>
      <w:ind w:firstLine="571"/>
      <w:jc w:val="left"/>
    </w:pPr>
    <w:rPr>
      <w:rFonts w:ascii="宋体"/>
      <w:kern w:val="0"/>
      <w:sz w:val="24"/>
      <w:szCs w:val="24"/>
    </w:rPr>
  </w:style>
  <w:style w:type="paragraph" w:customStyle="1" w:styleId="148">
    <w:name w:val="xl8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9">
    <w:name w:val="xl8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50">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51">
    <w:name w:val="xl8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152">
    <w:name w:val="图内文字5号居中"/>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153">
    <w:name w:val="xl821"/>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4">
    <w:name w:val="font14"/>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5">
    <w:name w:val="样式 标题 3 + (中文) 黑体 小四 非加粗 段前: 7.8 磅 段后: 0 磅 行距: 固定值 20 磅"/>
    <w:basedOn w:val="2"/>
    <w:autoRedefine/>
    <w:qFormat/>
    <w:uiPriority w:val="0"/>
    <w:pPr>
      <w:widowControl w:val="0"/>
      <w:numPr>
        <w:ilvl w:val="0"/>
        <w:numId w:val="0"/>
      </w:numPr>
      <w:spacing w:before="0" w:after="0" w:line="400" w:lineRule="exact"/>
      <w:jc w:val="both"/>
    </w:pPr>
    <w:rPr>
      <w:rFonts w:eastAsia="黑体" w:cs="宋体"/>
      <w:b w:val="0"/>
      <w:kern w:val="2"/>
      <w:sz w:val="24"/>
      <w:lang w:val="en-US"/>
    </w:rPr>
  </w:style>
  <w:style w:type="paragraph" w:customStyle="1" w:styleId="156">
    <w:name w:val="font7"/>
    <w:basedOn w:val="1"/>
    <w:autoRedefine/>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57">
    <w:name w:val="xl8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58">
    <w:name w:val="font13"/>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9">
    <w:name w:val="xl7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0">
    <w:name w:val="xl8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1">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162">
    <w:name w:val="xl8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163">
    <w:name w:val="xl8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4">
    <w:name w:val="font11"/>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65">
    <w:name w:val="正文文字缩进"/>
    <w:basedOn w:val="1"/>
    <w:next w:val="1"/>
    <w:autoRedefine/>
    <w:qFormat/>
    <w:uiPriority w:val="0"/>
    <w:pPr>
      <w:widowControl/>
      <w:ind w:left="420"/>
    </w:pPr>
    <w:rPr>
      <w:rFonts w:ascii="仿宋_GB2312" w:hAnsi="Times New Roman" w:eastAsia="仿宋_GB2312"/>
      <w:color w:val="000000"/>
      <w:sz w:val="30"/>
      <w:szCs w:val="24"/>
    </w:rPr>
  </w:style>
  <w:style w:type="paragraph" w:customStyle="1" w:styleId="166">
    <w:name w:val="xl8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7">
    <w:name w:val="xl8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68">
    <w:name w:val="xl8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9">
    <w:name w:val="Style1"/>
    <w:basedOn w:val="1"/>
    <w:autoRedefine/>
    <w:qFormat/>
    <w:uiPriority w:val="0"/>
    <w:pPr>
      <w:adjustRightInd w:val="0"/>
      <w:jc w:val="left"/>
    </w:pPr>
    <w:rPr>
      <w:rFonts w:ascii="宋体"/>
      <w:kern w:val="0"/>
      <w:sz w:val="24"/>
      <w:szCs w:val="24"/>
    </w:rPr>
  </w:style>
  <w:style w:type="paragraph" w:customStyle="1" w:styleId="170">
    <w:name w:val="xl8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71">
    <w:name w:val="xl7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72">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173">
    <w:name w:val="Char"/>
    <w:basedOn w:val="1"/>
    <w:autoRedefine/>
    <w:qFormat/>
    <w:uiPriority w:val="0"/>
    <w:rPr>
      <w:rFonts w:ascii="宋体" w:hAnsi="Times New Roman"/>
      <w:kern w:val="0"/>
      <w:sz w:val="24"/>
      <w:szCs w:val="24"/>
    </w:rPr>
  </w:style>
  <w:style w:type="paragraph" w:customStyle="1" w:styleId="174">
    <w:name w:val="图标题"/>
    <w:basedOn w:val="1"/>
    <w:autoRedefine/>
    <w:qFormat/>
    <w:uiPriority w:val="0"/>
    <w:pPr>
      <w:spacing w:line="360" w:lineRule="auto"/>
      <w:jc w:val="center"/>
    </w:pPr>
    <w:rPr>
      <w:rFonts w:ascii="Times New Roman" w:hAnsi="Times New Roman"/>
      <w:szCs w:val="24"/>
    </w:rPr>
  </w:style>
  <w:style w:type="paragraph" w:customStyle="1" w:styleId="175">
    <w:name w:val="xl7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6">
    <w:name w:val="xl8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7">
    <w:name w:val="xl82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8">
    <w:name w:val="xl8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79">
    <w:name w:val="xl8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80">
    <w:name w:val="font8"/>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181">
    <w:name w:val="xl7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182">
    <w:name w:val="列出段落2"/>
    <w:basedOn w:val="1"/>
    <w:autoRedefine/>
    <w:qFormat/>
    <w:uiPriority w:val="34"/>
    <w:pPr>
      <w:ind w:firstLine="420" w:firstLineChars="200"/>
    </w:pPr>
  </w:style>
  <w:style w:type="paragraph" w:customStyle="1" w:styleId="183">
    <w:name w:val="插图居中"/>
    <w:next w:val="1"/>
    <w:autoRedefine/>
    <w:qFormat/>
    <w:uiPriority w:val="0"/>
    <w:pPr>
      <w:spacing w:beforeLines="50" w:afterLines="50" w:line="360" w:lineRule="auto"/>
      <w:jc w:val="center"/>
    </w:pPr>
    <w:rPr>
      <w:rFonts w:ascii="Times New Roman" w:hAnsi="Times New Roman" w:eastAsia="宋体" w:cs="Times New Roman"/>
      <w:kern w:val="2"/>
      <w:sz w:val="24"/>
      <w:szCs w:val="24"/>
      <w:lang w:val="en-US" w:eastAsia="zh-CN" w:bidi="ar-SA"/>
    </w:rPr>
  </w:style>
  <w:style w:type="paragraph" w:customStyle="1" w:styleId="184">
    <w:name w:val="xl8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5">
    <w:name w:val="font10"/>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6">
    <w:name w:val="font9"/>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7">
    <w:name w:val="Char1 Char Char Char"/>
    <w:basedOn w:val="1"/>
    <w:autoRedefine/>
    <w:qFormat/>
    <w:uiPriority w:val="0"/>
    <w:rPr>
      <w:rFonts w:ascii="Tahoma" w:hAnsi="Tahoma"/>
      <w:sz w:val="24"/>
      <w:szCs w:val="20"/>
    </w:rPr>
  </w:style>
  <w:style w:type="paragraph" w:customStyle="1" w:styleId="188">
    <w:name w:val="样式1"/>
    <w:basedOn w:val="1"/>
    <w:link w:val="189"/>
    <w:autoRedefine/>
    <w:qFormat/>
    <w:uiPriority w:val="0"/>
    <w:pPr>
      <w:spacing w:before="120" w:after="120" w:line="300" w:lineRule="auto"/>
    </w:pPr>
    <w:rPr>
      <w:rFonts w:ascii="宋体" w:hAnsi="宋体"/>
      <w:b/>
      <w:sz w:val="24"/>
      <w:szCs w:val="20"/>
    </w:rPr>
  </w:style>
  <w:style w:type="character" w:customStyle="1" w:styleId="189">
    <w:name w:val="样式1 Char"/>
    <w:link w:val="188"/>
    <w:autoRedefine/>
    <w:qFormat/>
    <w:uiPriority w:val="0"/>
    <w:rPr>
      <w:rFonts w:ascii="宋体" w:hAnsi="宋体"/>
      <w:b/>
      <w:kern w:val="2"/>
      <w:sz w:val="24"/>
    </w:rPr>
  </w:style>
  <w:style w:type="paragraph" w:customStyle="1" w:styleId="190">
    <w:name w:val="xl81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91">
    <w:name w:val="xl8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92">
    <w:name w:val="Style2"/>
    <w:basedOn w:val="1"/>
    <w:autoRedefine/>
    <w:qFormat/>
    <w:uiPriority w:val="0"/>
    <w:pPr>
      <w:adjustRightInd w:val="0"/>
      <w:spacing w:line="533" w:lineRule="exact"/>
      <w:jc w:val="left"/>
    </w:pPr>
    <w:rPr>
      <w:rFonts w:ascii="宋体"/>
      <w:kern w:val="0"/>
      <w:sz w:val="24"/>
      <w:szCs w:val="24"/>
    </w:rPr>
  </w:style>
  <w:style w:type="paragraph" w:customStyle="1" w:styleId="193">
    <w:name w:val="font12"/>
    <w:basedOn w:val="1"/>
    <w:autoRedefine/>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94">
    <w:name w:val="xl7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95">
    <w:name w:val="修订1"/>
    <w:autoRedefine/>
    <w:semiHidden/>
    <w:qFormat/>
    <w:uiPriority w:val="99"/>
    <w:rPr>
      <w:rFonts w:ascii="Times New Roman" w:hAnsi="Times New Roman" w:eastAsia="宋体" w:cs="Times New Roman"/>
      <w:kern w:val="2"/>
      <w:sz w:val="21"/>
      <w:szCs w:val="24"/>
      <w:lang w:val="en-US" w:eastAsia="zh-CN" w:bidi="ar-SA"/>
    </w:rPr>
  </w:style>
  <w:style w:type="paragraph" w:customStyle="1" w:styleId="196">
    <w:name w:val="flNote"/>
    <w:basedOn w:val="1"/>
    <w:autoRedefine/>
    <w:qFormat/>
    <w:uiPriority w:val="0"/>
    <w:pPr>
      <w:adjustRightInd w:val="0"/>
      <w:spacing w:before="320" w:after="160" w:line="360" w:lineRule="atLeast"/>
      <w:jc w:val="center"/>
    </w:pPr>
    <w:rPr>
      <w:rFonts w:ascii="Arial" w:hAnsi="Times New Roman" w:eastAsia="黑体"/>
      <w:kern w:val="0"/>
      <w:sz w:val="30"/>
      <w:szCs w:val="20"/>
    </w:rPr>
  </w:style>
  <w:style w:type="paragraph" w:customStyle="1" w:styleId="197">
    <w:name w:val="TOC 标题1"/>
    <w:basedOn w:val="3"/>
    <w:next w:val="1"/>
    <w:autoRedefine/>
    <w:qFormat/>
    <w:uiPriority w:val="39"/>
    <w:pPr>
      <w:keepLines/>
      <w:widowControl w:val="0"/>
      <w:spacing w:before="340" w:after="330" w:line="576" w:lineRule="auto"/>
      <w:ind w:left="0" w:firstLine="0"/>
      <w:jc w:val="both"/>
      <w:outlineLvl w:val="9"/>
    </w:pPr>
    <w:rPr>
      <w:rFonts w:ascii="Calibri" w:hAnsi="Calibri" w:cs="Times New Roman"/>
      <w:b w:val="0"/>
      <w:bCs/>
      <w:kern w:val="44"/>
      <w:sz w:val="44"/>
      <w:szCs w:val="44"/>
    </w:rPr>
  </w:style>
  <w:style w:type="paragraph" w:customStyle="1" w:styleId="198">
    <w:name w:val="表内文字居左"/>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19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200">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01">
    <w:name w:val="xl8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02">
    <w:name w:val="xl8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03">
    <w:name w:val="正文文字缩进 2"/>
    <w:basedOn w:val="1"/>
    <w:next w:val="1"/>
    <w:autoRedefine/>
    <w:qFormat/>
    <w:uiPriority w:val="0"/>
    <w:pPr>
      <w:widowControl/>
      <w:spacing w:line="288" w:lineRule="auto"/>
      <w:ind w:firstLine="560"/>
    </w:pPr>
    <w:rPr>
      <w:rFonts w:ascii="宋体" w:hAnsi="Times New Roman"/>
      <w:color w:val="000000"/>
      <w:sz w:val="28"/>
      <w:szCs w:val="24"/>
    </w:rPr>
  </w:style>
  <w:style w:type="paragraph" w:customStyle="1" w:styleId="204">
    <w:name w:val="xl8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05">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Cs w:val="21"/>
    </w:rPr>
  </w:style>
  <w:style w:type="character" w:customStyle="1" w:styleId="206">
    <w:name w:val="样式 正文 +"/>
    <w:autoRedefine/>
    <w:qFormat/>
    <w:uiPriority w:val="0"/>
    <w:rPr>
      <w:rFonts w:hint="default" w:ascii="Times New Roman" w:hAnsi="Times New Roman" w:eastAsia="Times New Roman" w:cs="Times New Roman"/>
      <w:kern w:val="0"/>
      <w:sz w:val="28"/>
    </w:rPr>
  </w:style>
  <w:style w:type="character" w:customStyle="1" w:styleId="207">
    <w:name w:val="文档结构图 Char1"/>
    <w:autoRedefine/>
    <w:qFormat/>
    <w:uiPriority w:val="99"/>
    <w:rPr>
      <w:rFonts w:hint="eastAsia" w:ascii="宋体" w:hAnsi="宋体" w:eastAsia="宋体"/>
      <w:kern w:val="2"/>
      <w:sz w:val="18"/>
      <w:szCs w:val="18"/>
    </w:rPr>
  </w:style>
  <w:style w:type="character" w:customStyle="1" w:styleId="208">
    <w:name w:val="Font Style18"/>
    <w:autoRedefine/>
    <w:qFormat/>
    <w:uiPriority w:val="0"/>
    <w:rPr>
      <w:rFonts w:hint="default" w:ascii="Candara" w:hAnsi="Candara" w:cs="Candara"/>
      <w:spacing w:val="-20"/>
      <w:sz w:val="20"/>
      <w:szCs w:val="20"/>
    </w:rPr>
  </w:style>
  <w:style w:type="character" w:customStyle="1" w:styleId="209">
    <w:name w:val="Font Style15"/>
    <w:autoRedefine/>
    <w:qFormat/>
    <w:uiPriority w:val="0"/>
    <w:rPr>
      <w:rFonts w:hint="eastAsia" w:ascii="宋体" w:hAnsi="宋体" w:eastAsia="宋体" w:cs="宋体"/>
      <w:b/>
      <w:bCs/>
      <w:sz w:val="20"/>
      <w:szCs w:val="20"/>
    </w:rPr>
  </w:style>
  <w:style w:type="character" w:customStyle="1" w:styleId="210">
    <w:name w:val="xmfy Char Char Char"/>
    <w:autoRedefine/>
    <w:qFormat/>
    <w:uiPriority w:val="0"/>
    <w:rPr>
      <w:rFonts w:hint="eastAsia" w:ascii="宋体" w:hAnsi="宋体" w:eastAsia="宋体" w:cs="宋体"/>
      <w:kern w:val="2"/>
      <w:sz w:val="28"/>
      <w:szCs w:val="28"/>
      <w:lang w:val="en-US" w:eastAsia="zh-CN" w:bidi="ar-SA"/>
    </w:rPr>
  </w:style>
  <w:style w:type="character" w:customStyle="1" w:styleId="211">
    <w:name w:val="Char Char1"/>
    <w:autoRedefine/>
    <w:qFormat/>
    <w:uiPriority w:val="0"/>
    <w:rPr>
      <w:sz w:val="24"/>
    </w:rPr>
  </w:style>
  <w:style w:type="character" w:customStyle="1" w:styleId="212">
    <w:name w:val="不明显参考1"/>
    <w:qFormat/>
    <w:uiPriority w:val="31"/>
    <w:rPr>
      <w:smallCaps/>
      <w:color w:val="C0504D"/>
      <w:u w:val="single"/>
    </w:rPr>
  </w:style>
  <w:style w:type="character" w:customStyle="1" w:styleId="213">
    <w:name w:val="文字加横线"/>
    <w:qFormat/>
    <w:uiPriority w:val="0"/>
    <w:rPr>
      <w:u w:val="single"/>
    </w:rPr>
  </w:style>
  <w:style w:type="character" w:customStyle="1" w:styleId="214">
    <w:name w:val="text1"/>
    <w:qFormat/>
    <w:uiPriority w:val="0"/>
    <w:rPr>
      <w:spacing w:val="280"/>
      <w:sz w:val="18"/>
      <w:szCs w:val="18"/>
    </w:rPr>
  </w:style>
  <w:style w:type="character" w:customStyle="1" w:styleId="215">
    <w:name w:val="不明显强调1"/>
    <w:qFormat/>
    <w:uiPriority w:val="19"/>
    <w:rPr>
      <w:i/>
      <w:iCs/>
      <w:color w:val="808080"/>
    </w:rPr>
  </w:style>
  <w:style w:type="character" w:customStyle="1" w:styleId="216">
    <w:name w:val="书籍标题1"/>
    <w:autoRedefine/>
    <w:qFormat/>
    <w:uiPriority w:val="33"/>
    <w:rPr>
      <w:b/>
      <w:bCs/>
      <w:smallCaps/>
      <w:spacing w:val="5"/>
    </w:rPr>
  </w:style>
  <w:style w:type="character" w:customStyle="1" w:styleId="217">
    <w:name w:val="批注框文本 Char1"/>
    <w:link w:val="218"/>
    <w:qFormat/>
    <w:uiPriority w:val="0"/>
    <w:rPr>
      <w:kern w:val="2"/>
      <w:sz w:val="18"/>
      <w:szCs w:val="18"/>
    </w:rPr>
  </w:style>
  <w:style w:type="paragraph" w:customStyle="1" w:styleId="218">
    <w:name w:val="批注框文本2"/>
    <w:basedOn w:val="1"/>
    <w:link w:val="217"/>
    <w:qFormat/>
    <w:uiPriority w:val="0"/>
    <w:rPr>
      <w:rFonts w:ascii="Times New Roman" w:hAnsi="Times New Roman"/>
      <w:sz w:val="18"/>
      <w:szCs w:val="18"/>
    </w:rPr>
  </w:style>
  <w:style w:type="character" w:customStyle="1" w:styleId="219">
    <w:name w:val="textcontents"/>
    <w:autoRedefine/>
    <w:qFormat/>
    <w:uiPriority w:val="0"/>
    <w:rPr>
      <w:rFonts w:hint="default" w:ascii="Times New Roman" w:hAnsi="Times New Roman" w:cs="Times New Roman"/>
    </w:rPr>
  </w:style>
  <w:style w:type="character" w:customStyle="1" w:styleId="220">
    <w:name w:val="副标题 Char1"/>
    <w:autoRedefine/>
    <w:qFormat/>
    <w:uiPriority w:val="0"/>
    <w:rPr>
      <w:rFonts w:hint="default" w:ascii="Cambria" w:hAnsi="Cambria" w:cs="Times New Roman"/>
      <w:b/>
      <w:bCs/>
      <w:kern w:val="28"/>
      <w:sz w:val="32"/>
      <w:szCs w:val="32"/>
    </w:rPr>
  </w:style>
  <w:style w:type="character" w:customStyle="1" w:styleId="221">
    <w:name w:val="批注文字 Char Char"/>
    <w:qFormat/>
    <w:uiPriority w:val="0"/>
    <w:rPr>
      <w:rFonts w:hint="eastAsia" w:ascii="宋体" w:hAnsi="Times New Roman" w:eastAsia="宋体" w:cs="Times New Roman"/>
      <w:sz w:val="28"/>
      <w:szCs w:val="20"/>
    </w:rPr>
  </w:style>
  <w:style w:type="character" w:customStyle="1" w:styleId="222">
    <w:name w:val="Font Style13"/>
    <w:qFormat/>
    <w:uiPriority w:val="0"/>
    <w:rPr>
      <w:rFonts w:hint="eastAsia" w:ascii="宋体" w:hAnsi="宋体" w:eastAsia="宋体" w:cs="宋体"/>
      <w:b/>
      <w:bCs/>
      <w:spacing w:val="500"/>
      <w:sz w:val="48"/>
      <w:szCs w:val="48"/>
    </w:rPr>
  </w:style>
  <w:style w:type="character" w:customStyle="1" w:styleId="223">
    <w:name w:val="HTML 预设格式 Char1"/>
    <w:autoRedefine/>
    <w:qFormat/>
    <w:uiPriority w:val="0"/>
    <w:rPr>
      <w:rFonts w:hint="default" w:ascii="Courier New" w:hAnsi="Courier New" w:cs="Courier New"/>
      <w:kern w:val="2"/>
    </w:rPr>
  </w:style>
  <w:style w:type="character" w:customStyle="1" w:styleId="224">
    <w:name w:val="标题 Char1"/>
    <w:autoRedefine/>
    <w:qFormat/>
    <w:uiPriority w:val="0"/>
    <w:rPr>
      <w:rFonts w:hint="default" w:ascii="Cambria" w:hAnsi="Cambria" w:cs="Times New Roman"/>
      <w:b/>
      <w:bCs/>
      <w:kern w:val="2"/>
      <w:sz w:val="32"/>
      <w:szCs w:val="32"/>
    </w:rPr>
  </w:style>
  <w:style w:type="character" w:customStyle="1" w:styleId="225">
    <w:name w:val="批注主题 Char1"/>
    <w:link w:val="226"/>
    <w:autoRedefine/>
    <w:qFormat/>
    <w:uiPriority w:val="0"/>
    <w:rPr>
      <w:b/>
      <w:bCs/>
      <w:kern w:val="2"/>
      <w:sz w:val="21"/>
      <w:szCs w:val="22"/>
    </w:rPr>
  </w:style>
  <w:style w:type="paragraph" w:customStyle="1" w:styleId="226">
    <w:name w:val="批注主题2"/>
    <w:basedOn w:val="227"/>
    <w:next w:val="227"/>
    <w:link w:val="225"/>
    <w:autoRedefine/>
    <w:qFormat/>
    <w:uiPriority w:val="0"/>
    <w:rPr>
      <w:rFonts w:ascii="Times New Roman" w:hAnsi="Times New Roman"/>
      <w:b/>
      <w:bCs/>
      <w:szCs w:val="22"/>
    </w:rPr>
  </w:style>
  <w:style w:type="paragraph" w:customStyle="1" w:styleId="227">
    <w:name w:val="批注文字2"/>
    <w:basedOn w:val="1"/>
    <w:autoRedefine/>
    <w:qFormat/>
    <w:uiPriority w:val="0"/>
    <w:pPr>
      <w:jc w:val="left"/>
    </w:pPr>
    <w:rPr>
      <w:szCs w:val="20"/>
    </w:rPr>
  </w:style>
  <w:style w:type="character" w:customStyle="1" w:styleId="228">
    <w:name w:val="Font Style16"/>
    <w:autoRedefine/>
    <w:qFormat/>
    <w:uiPriority w:val="0"/>
    <w:rPr>
      <w:rFonts w:hint="default" w:ascii="Times New Roman" w:hAnsi="Times New Roman" w:cs="Times New Roman"/>
      <w:sz w:val="22"/>
      <w:szCs w:val="22"/>
    </w:rPr>
  </w:style>
  <w:style w:type="character" w:customStyle="1" w:styleId="229">
    <w:name w:val="style11"/>
    <w:autoRedefine/>
    <w:qFormat/>
    <w:uiPriority w:val="0"/>
    <w:rPr>
      <w:color w:val="000000"/>
      <w:sz w:val="18"/>
      <w:szCs w:val="18"/>
    </w:rPr>
  </w:style>
  <w:style w:type="character" w:customStyle="1" w:styleId="230">
    <w:name w:val="Font Style14"/>
    <w:autoRedefine/>
    <w:qFormat/>
    <w:uiPriority w:val="0"/>
    <w:rPr>
      <w:rFonts w:hint="eastAsia" w:ascii="宋体" w:hAnsi="宋体" w:eastAsia="宋体" w:cs="宋体"/>
      <w:sz w:val="22"/>
      <w:szCs w:val="22"/>
    </w:rPr>
  </w:style>
  <w:style w:type="character" w:customStyle="1" w:styleId="231">
    <w:name w:val="明显强调1"/>
    <w:autoRedefine/>
    <w:qFormat/>
    <w:uiPriority w:val="21"/>
    <w:rPr>
      <w:b/>
      <w:bCs/>
      <w:i/>
      <w:iCs/>
      <w:color w:val="4F81BD"/>
    </w:rPr>
  </w:style>
  <w:style w:type="character" w:customStyle="1" w:styleId="232">
    <w:name w:val="Font Style11"/>
    <w:qFormat/>
    <w:uiPriority w:val="0"/>
    <w:rPr>
      <w:rFonts w:hint="eastAsia" w:ascii="宋体" w:hAnsi="宋体" w:eastAsia="宋体" w:cs="宋体"/>
      <w:sz w:val="22"/>
      <w:szCs w:val="22"/>
    </w:rPr>
  </w:style>
  <w:style w:type="character" w:customStyle="1" w:styleId="233">
    <w:name w:val="日期 Char1"/>
    <w:autoRedefine/>
    <w:qFormat/>
    <w:uiPriority w:val="0"/>
    <w:rPr>
      <w:kern w:val="2"/>
      <w:sz w:val="21"/>
      <w:szCs w:val="22"/>
    </w:rPr>
  </w:style>
  <w:style w:type="character" w:customStyle="1" w:styleId="234">
    <w:name w:val="正文文本 Char1"/>
    <w:autoRedefine/>
    <w:qFormat/>
    <w:uiPriority w:val="0"/>
    <w:rPr>
      <w:kern w:val="2"/>
      <w:sz w:val="21"/>
      <w:szCs w:val="22"/>
    </w:rPr>
  </w:style>
  <w:style w:type="character" w:customStyle="1" w:styleId="235">
    <w:name w:val="明显参考1"/>
    <w:autoRedefine/>
    <w:qFormat/>
    <w:uiPriority w:val="32"/>
    <w:rPr>
      <w:b/>
      <w:bCs/>
      <w:smallCaps/>
      <w:color w:val="C0504D"/>
      <w:spacing w:val="5"/>
      <w:u w:val="single"/>
    </w:rPr>
  </w:style>
  <w:style w:type="paragraph" w:customStyle="1" w:styleId="236">
    <w:name w:val="Char1"/>
    <w:basedOn w:val="1"/>
    <w:autoRedefine/>
    <w:qFormat/>
    <w:uiPriority w:val="0"/>
    <w:rPr>
      <w:rFonts w:ascii="Times New Roman" w:hAnsi="Times New Roman"/>
      <w:szCs w:val="24"/>
    </w:rPr>
  </w:style>
  <w:style w:type="character" w:customStyle="1" w:styleId="237">
    <w:name w:val="font112"/>
    <w:basedOn w:val="47"/>
    <w:autoRedefine/>
    <w:qFormat/>
    <w:uiPriority w:val="0"/>
    <w:rPr>
      <w:rFonts w:hint="eastAsia" w:ascii="宋体" w:hAnsi="宋体" w:eastAsia="宋体" w:cs="宋体"/>
      <w:color w:val="000000"/>
      <w:sz w:val="20"/>
      <w:szCs w:val="20"/>
      <w:u w:val="none"/>
    </w:rPr>
  </w:style>
  <w:style w:type="character" w:customStyle="1" w:styleId="238">
    <w:name w:val="font41"/>
    <w:basedOn w:val="47"/>
    <w:qFormat/>
    <w:uiPriority w:val="0"/>
    <w:rPr>
      <w:rFonts w:hint="eastAsia" w:ascii="宋体" w:hAnsi="宋体" w:eastAsia="宋体" w:cs="宋体"/>
      <w:color w:val="000000"/>
      <w:sz w:val="21"/>
      <w:szCs w:val="21"/>
      <w:u w:val="none"/>
    </w:rPr>
  </w:style>
  <w:style w:type="character" w:customStyle="1" w:styleId="239">
    <w:name w:val="font81"/>
    <w:basedOn w:val="47"/>
    <w:autoRedefine/>
    <w:qFormat/>
    <w:uiPriority w:val="0"/>
    <w:rPr>
      <w:rFonts w:hint="default" w:ascii="Times New Roman" w:hAnsi="Times New Roman" w:cs="Times New Roman"/>
      <w:color w:val="000000"/>
      <w:sz w:val="21"/>
      <w:szCs w:val="21"/>
      <w:u w:val="none"/>
    </w:rPr>
  </w:style>
  <w:style w:type="character" w:customStyle="1" w:styleId="240">
    <w:name w:val="font71"/>
    <w:basedOn w:val="47"/>
    <w:autoRedefine/>
    <w:qFormat/>
    <w:uiPriority w:val="0"/>
    <w:rPr>
      <w:rFonts w:hint="default" w:ascii="Times New Roman" w:hAnsi="Times New Roman" w:cs="Times New Roman"/>
      <w:color w:val="000000"/>
      <w:sz w:val="20"/>
      <w:szCs w:val="20"/>
      <w:u w:val="none"/>
    </w:rPr>
  </w:style>
  <w:style w:type="character" w:customStyle="1" w:styleId="241">
    <w:name w:val="font21"/>
    <w:basedOn w:val="47"/>
    <w:autoRedefine/>
    <w:qFormat/>
    <w:uiPriority w:val="0"/>
    <w:rPr>
      <w:rFonts w:hint="default" w:ascii="Arial" w:hAnsi="Arial" w:cs="Arial"/>
      <w:color w:val="000000"/>
      <w:sz w:val="20"/>
      <w:szCs w:val="20"/>
      <w:u w:val="none"/>
    </w:rPr>
  </w:style>
  <w:style w:type="paragraph" w:styleId="242">
    <w:name w:val="List Paragraph"/>
    <w:basedOn w:val="1"/>
    <w:link w:val="243"/>
    <w:autoRedefine/>
    <w:qFormat/>
    <w:uiPriority w:val="34"/>
    <w:pPr>
      <w:ind w:firstLine="420" w:firstLineChars="200"/>
    </w:pPr>
    <w:rPr>
      <w:rFonts w:asciiTheme="minorHAnsi" w:hAnsiTheme="minorHAnsi" w:eastAsiaTheme="minorEastAsia" w:cstheme="minorBidi"/>
    </w:rPr>
  </w:style>
  <w:style w:type="character" w:customStyle="1" w:styleId="243">
    <w:name w:val="列出段落 Char"/>
    <w:link w:val="242"/>
    <w:autoRedefine/>
    <w:qFormat/>
    <w:uiPriority w:val="34"/>
    <w:rPr>
      <w:rFonts w:asciiTheme="minorHAnsi" w:hAnsiTheme="minorHAnsi" w:eastAsiaTheme="minorEastAsia" w:cstheme="minorBidi"/>
      <w:kern w:val="2"/>
      <w:sz w:val="21"/>
      <w:szCs w:val="22"/>
    </w:rPr>
  </w:style>
  <w:style w:type="paragraph" w:customStyle="1" w:styleId="244">
    <w:name w:val="正常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正文首缩两字"/>
    <w:basedOn w:val="1"/>
    <w:autoRedefine/>
    <w:qFormat/>
    <w:uiPriority w:val="0"/>
    <w:pPr>
      <w:spacing w:line="360" w:lineRule="auto"/>
      <w:ind w:firstLine="200" w:firstLineChars="200"/>
    </w:pPr>
    <w:rPr>
      <w:rFonts w:ascii="Verdana" w:hAnsi="Verdana"/>
      <w:sz w:val="24"/>
    </w:rPr>
  </w:style>
  <w:style w:type="paragraph" w:customStyle="1" w:styleId="246">
    <w:name w:val="列出段落3"/>
    <w:basedOn w:val="1"/>
    <w:autoRedefine/>
    <w:qFormat/>
    <w:uiPriority w:val="0"/>
    <w:pPr>
      <w:ind w:firstLine="420" w:firstLineChars="200"/>
    </w:pPr>
  </w:style>
  <w:style w:type="paragraph" w:customStyle="1" w:styleId="247">
    <w:name w:val="样式2"/>
    <w:basedOn w:val="1"/>
    <w:autoRedefine/>
    <w:qFormat/>
    <w:uiPriority w:val="0"/>
    <w:pPr>
      <w:numPr>
        <w:ilvl w:val="1"/>
        <w:numId w:val="2"/>
      </w:numPr>
      <w:textAlignment w:val="baseline"/>
    </w:pPr>
    <w:rPr>
      <w:rFonts w:ascii="宋体"/>
      <w:szCs w:val="21"/>
    </w:rPr>
  </w:style>
  <w:style w:type="character" w:customStyle="1" w:styleId="248">
    <w:name w:val="批注文字 字符"/>
    <w:autoRedefine/>
    <w:semiHidden/>
    <w:qFormat/>
    <w:uiPriority w:val="99"/>
    <w:rPr>
      <w:kern w:val="2"/>
      <w:sz w:val="21"/>
      <w:szCs w:val="22"/>
    </w:rPr>
  </w:style>
  <w:style w:type="paragraph" w:styleId="249">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50">
    <w:name w:val="Table Paragraph"/>
    <w:basedOn w:val="1"/>
    <w:autoRedefine/>
    <w:qFormat/>
    <w:uiPriority w:val="1"/>
    <w:pPr>
      <w:autoSpaceDE w:val="0"/>
      <w:autoSpaceDN w:val="0"/>
      <w:jc w:val="left"/>
    </w:pPr>
    <w:rPr>
      <w:rFonts w:ascii="宋体" w:hAnsi="宋体" w:cs="宋体"/>
      <w:kern w:val="0"/>
      <w:sz w:val="22"/>
      <w:lang w:val="zh-CN" w:bidi="zh-CN"/>
    </w:rPr>
  </w:style>
  <w:style w:type="paragraph" w:customStyle="1" w:styleId="251">
    <w:name w:val="列出段落6"/>
    <w:basedOn w:val="1"/>
    <w:autoRedefine/>
    <w:qFormat/>
    <w:uiPriority w:val="0"/>
    <w:pPr>
      <w:ind w:firstLine="420" w:firstLineChars="200"/>
    </w:pPr>
  </w:style>
  <w:style w:type="character" w:styleId="252">
    <w:name w:val="Placeholder Text"/>
    <w:basedOn w:val="47"/>
    <w:unhideWhenUsed/>
    <w:qFormat/>
    <w:uiPriority w:val="99"/>
    <w:rPr>
      <w:color w:val="808080"/>
    </w:rPr>
  </w:style>
  <w:style w:type="paragraph" w:customStyle="1" w:styleId="253">
    <w:name w:val="List Paragraph2"/>
    <w:basedOn w:val="1"/>
    <w:qFormat/>
    <w:uiPriority w:val="34"/>
    <w:pPr>
      <w:widowControl/>
      <w:ind w:firstLine="420" w:firstLineChars="200"/>
      <w:jc w:val="left"/>
    </w:pPr>
    <w:rPr>
      <w:rFonts w:ascii="宋体"/>
      <w:kern w:val="0"/>
      <w:sz w:val="24"/>
      <w:szCs w:val="24"/>
    </w:rPr>
  </w:style>
  <w:style w:type="character" w:customStyle="1" w:styleId="254">
    <w:name w:val="font01"/>
    <w:basedOn w:val="47"/>
    <w:qFormat/>
    <w:uiPriority w:val="0"/>
    <w:rPr>
      <w:rFonts w:ascii="font-weight : 400" w:hAnsi="font-weight : 400" w:eastAsia="font-weight : 400" w:cs="font-weight : 400"/>
      <w:color w:val="000000"/>
      <w:sz w:val="22"/>
      <w:szCs w:val="22"/>
      <w:u w:val="none"/>
    </w:rPr>
  </w:style>
  <w:style w:type="character" w:customStyle="1" w:styleId="255">
    <w:name w:val="font61"/>
    <w:basedOn w:val="47"/>
    <w:autoRedefine/>
    <w:qFormat/>
    <w:uiPriority w:val="0"/>
    <w:rPr>
      <w:rFonts w:ascii="宋体" w:hAnsi="宋体" w:eastAsia="宋体" w:cs="宋体"/>
      <w:color w:val="000000"/>
      <w:sz w:val="22"/>
      <w:szCs w:val="22"/>
      <w:u w:val="none"/>
    </w:rPr>
  </w:style>
  <w:style w:type="character" w:customStyle="1" w:styleId="256">
    <w:name w:val="font141"/>
    <w:basedOn w:val="47"/>
    <w:autoRedefine/>
    <w:qFormat/>
    <w:uiPriority w:val="0"/>
    <w:rPr>
      <w:rFonts w:hint="eastAsia" w:ascii="宋体" w:hAnsi="宋体" w:eastAsia="宋体" w:cs="宋体"/>
      <w:color w:val="000000"/>
      <w:sz w:val="22"/>
      <w:szCs w:val="22"/>
      <w:u w:val="none"/>
    </w:rPr>
  </w:style>
  <w:style w:type="paragraph" w:customStyle="1" w:styleId="257">
    <w:name w:val="修订2"/>
    <w:hidden/>
    <w:semiHidden/>
    <w:unhideWhenUsed/>
    <w:qFormat/>
    <w:uiPriority w:val="99"/>
    <w:rPr>
      <w:rFonts w:ascii="Calibri" w:hAnsi="Calibri" w:eastAsia="宋体" w:cs="Times New Roman"/>
      <w:kern w:val="2"/>
      <w:sz w:val="21"/>
      <w:szCs w:val="22"/>
      <w:lang w:val="en-US" w:eastAsia="zh-CN" w:bidi="ar-SA"/>
    </w:rPr>
  </w:style>
  <w:style w:type="paragraph" w:customStyle="1" w:styleId="258">
    <w:name w:val="修订3"/>
    <w:autoRedefine/>
    <w:hidden/>
    <w:unhideWhenUsed/>
    <w:qFormat/>
    <w:uiPriority w:val="99"/>
    <w:rPr>
      <w:rFonts w:ascii="Calibri" w:hAnsi="Calibri" w:eastAsia="宋体" w:cs="Times New Roman"/>
      <w:kern w:val="2"/>
      <w:sz w:val="21"/>
      <w:szCs w:val="22"/>
      <w:lang w:val="en-US" w:eastAsia="zh-CN" w:bidi="ar-SA"/>
    </w:rPr>
  </w:style>
  <w:style w:type="paragraph" w:customStyle="1" w:styleId="259">
    <w:name w:val="修订4"/>
    <w:hidden/>
    <w:unhideWhenUsed/>
    <w:qFormat/>
    <w:uiPriority w:val="99"/>
    <w:rPr>
      <w:rFonts w:ascii="Calibri" w:hAnsi="Calibri" w:eastAsia="宋体" w:cs="Times New Roman"/>
      <w:kern w:val="2"/>
      <w:sz w:val="21"/>
      <w:szCs w:val="22"/>
      <w:lang w:val="en-US" w:eastAsia="zh-CN" w:bidi="ar-SA"/>
    </w:rPr>
  </w:style>
  <w:style w:type="paragraph" w:customStyle="1" w:styleId="260">
    <w:name w:val="标题 + 仿宋_GB2312"/>
    <w:basedOn w:val="1"/>
    <w:autoRedefine/>
    <w:qFormat/>
    <w:uiPriority w:val="99"/>
    <w:pPr>
      <w:numPr>
        <w:ilvl w:val="0"/>
        <w:numId w:val="3"/>
      </w:numPr>
      <w:spacing w:before="120" w:line="360" w:lineRule="auto"/>
    </w:pPr>
    <w:rPr>
      <w:rFonts w:ascii="仿宋_GB2312" w:hAnsi="宋体" w:eastAsia="仿宋_GB2312"/>
      <w:b/>
      <w:color w:val="000000"/>
      <w:sz w:val="24"/>
      <w:szCs w:val="24"/>
    </w:rPr>
  </w:style>
  <w:style w:type="paragraph" w:customStyle="1" w:styleId="261">
    <w:name w:val="样式 标题 1 + 四号 居中 段前: 12 磅 段后: 12 磅 行距: 单倍行距"/>
    <w:basedOn w:val="3"/>
    <w:autoRedefine/>
    <w:qFormat/>
    <w:uiPriority w:val="0"/>
    <w:pPr>
      <w:keepLines/>
      <w:widowControl w:val="0"/>
      <w:tabs>
        <w:tab w:val="clear" w:pos="432"/>
      </w:tabs>
      <w:spacing w:before="240" w:after="240"/>
      <w:ind w:left="0" w:firstLine="288"/>
    </w:pPr>
    <w:rPr>
      <w:rFonts w:ascii="Times New Roman"/>
      <w:bCs/>
      <w:kern w:val="44"/>
      <w:lang w:val="en-US"/>
    </w:rPr>
  </w:style>
  <w:style w:type="paragraph" w:customStyle="1" w:styleId="262">
    <w:name w:val="Default"/>
    <w:autoRedefine/>
    <w:qFormat/>
    <w:uiPriority w:val="0"/>
    <w:pPr>
      <w:widowControl w:val="0"/>
      <w:autoSpaceDE w:val="0"/>
      <w:autoSpaceDN w:val="0"/>
      <w:adjustRightInd w:val="0"/>
    </w:pPr>
    <w:rPr>
      <w:rFonts w:ascii="Arial,Bold" w:hAnsi="Arial,Bold" w:eastAsia="Times New Roman" w:cs="Times New Roman"/>
      <w:lang w:val="en-US" w:eastAsia="en-US" w:bidi="ar-SA"/>
    </w:rPr>
  </w:style>
  <w:style w:type="paragraph" w:customStyle="1" w:styleId="263">
    <w:name w:val="修订5"/>
    <w:autoRedefine/>
    <w:hidden/>
    <w:unhideWhenUsed/>
    <w:qFormat/>
    <w:uiPriority w:val="99"/>
    <w:rPr>
      <w:rFonts w:ascii="Calibri" w:hAnsi="Calibri" w:eastAsia="宋体" w:cs="Times New Roman"/>
      <w:kern w:val="2"/>
      <w:sz w:val="21"/>
      <w:szCs w:val="22"/>
      <w:lang w:val="en-US" w:eastAsia="zh-CN" w:bidi="ar-SA"/>
    </w:rPr>
  </w:style>
  <w:style w:type="paragraph" w:customStyle="1" w:styleId="264">
    <w:name w:val="修订6"/>
    <w:autoRedefine/>
    <w:hidden/>
    <w:semiHidden/>
    <w:qFormat/>
    <w:uiPriority w:val="99"/>
    <w:rPr>
      <w:rFonts w:ascii="Calibri" w:hAnsi="Calibri" w:eastAsia="宋体" w:cs="Times New Roman"/>
      <w:kern w:val="2"/>
      <w:sz w:val="21"/>
      <w:szCs w:val="22"/>
      <w:lang w:val="en-US" w:eastAsia="zh-CN" w:bidi="ar-SA"/>
    </w:rPr>
  </w:style>
  <w:style w:type="paragraph" w:customStyle="1" w:styleId="265">
    <w:name w:val="修订7"/>
    <w:autoRedefine/>
    <w:hidden/>
    <w:semiHidden/>
    <w:qFormat/>
    <w:uiPriority w:val="99"/>
    <w:rPr>
      <w:rFonts w:ascii="Calibri" w:hAnsi="Calibri" w:eastAsia="宋体" w:cs="Times New Roman"/>
      <w:kern w:val="2"/>
      <w:sz w:val="21"/>
      <w:szCs w:val="22"/>
      <w:lang w:val="en-US" w:eastAsia="zh-CN" w:bidi="ar-SA"/>
    </w:rPr>
  </w:style>
  <w:style w:type="paragraph" w:customStyle="1" w:styleId="266">
    <w:name w:val="正文缩进1"/>
    <w:basedOn w:val="1"/>
    <w:autoRedefine/>
    <w:qFormat/>
    <w:uiPriority w:val="0"/>
    <w:pPr>
      <w:ind w:firstLine="420"/>
    </w:pPr>
    <w:rPr>
      <w:szCs w:val="20"/>
    </w:rPr>
  </w:style>
  <w:style w:type="character" w:customStyle="1" w:styleId="267">
    <w:name w:val="普通文字1 Char Char"/>
    <w:autoRedefine/>
    <w:qFormat/>
    <w:uiPriority w:val="0"/>
    <w:rPr>
      <w:rFonts w:ascii="宋体" w:hAnsi="Courier New"/>
    </w:rPr>
  </w:style>
  <w:style w:type="character" w:customStyle="1" w:styleId="268">
    <w:name w:val="apple-style-span"/>
    <w:autoRedefine/>
    <w:qFormat/>
    <w:uiPriority w:val="0"/>
  </w:style>
  <w:style w:type="character" w:customStyle="1" w:styleId="269">
    <w:name w:val="正文首行缩进 2 Char"/>
    <w:link w:val="270"/>
    <w:autoRedefine/>
    <w:qFormat/>
    <w:uiPriority w:val="0"/>
    <w:rPr>
      <w:kern w:val="2"/>
      <w:sz w:val="21"/>
    </w:rPr>
  </w:style>
  <w:style w:type="paragraph" w:customStyle="1" w:styleId="270">
    <w:name w:val="正文首行缩进 21"/>
    <w:basedOn w:val="271"/>
    <w:link w:val="269"/>
    <w:autoRedefine/>
    <w:qFormat/>
    <w:uiPriority w:val="0"/>
    <w:pPr>
      <w:tabs>
        <w:tab w:val="left" w:pos="8640"/>
      </w:tabs>
      <w:spacing w:after="120"/>
      <w:ind w:left="420" w:leftChars="200" w:firstLine="420" w:firstLineChars="200"/>
    </w:pPr>
    <w:rPr>
      <w:rFonts w:ascii="Times New Roman" w:hAnsi="Times New Roman"/>
    </w:rPr>
  </w:style>
  <w:style w:type="paragraph" w:customStyle="1" w:styleId="271">
    <w:name w:val="正文文本缩进11"/>
    <w:basedOn w:val="1"/>
    <w:autoRedefine/>
    <w:qFormat/>
    <w:uiPriority w:val="0"/>
    <w:pPr>
      <w:tabs>
        <w:tab w:val="left" w:pos="8640"/>
      </w:tabs>
      <w:ind w:left="1365"/>
    </w:pPr>
    <w:rPr>
      <w:szCs w:val="20"/>
    </w:rPr>
  </w:style>
  <w:style w:type="character" w:customStyle="1" w:styleId="272">
    <w:name w:val="wj"/>
    <w:autoRedefine/>
    <w:qFormat/>
    <w:uiPriority w:val="0"/>
  </w:style>
  <w:style w:type="character" w:customStyle="1" w:styleId="273">
    <w:name w:val="h3 Char"/>
    <w:autoRedefine/>
    <w:qFormat/>
    <w:uiPriority w:val="0"/>
    <w:rPr>
      <w:rFonts w:eastAsia="宋体"/>
      <w:b/>
      <w:sz w:val="21"/>
      <w:lang w:val="en-US" w:eastAsia="zh-CN"/>
    </w:rPr>
  </w:style>
  <w:style w:type="character" w:customStyle="1" w:styleId="274">
    <w:name w:val="页码1"/>
    <w:autoRedefine/>
    <w:qFormat/>
    <w:uiPriority w:val="0"/>
  </w:style>
  <w:style w:type="paragraph" w:customStyle="1" w:styleId="275">
    <w:name w:val="页脚2"/>
    <w:basedOn w:val="1"/>
    <w:autoRedefine/>
    <w:qFormat/>
    <w:uiPriority w:val="0"/>
    <w:pPr>
      <w:tabs>
        <w:tab w:val="center" w:pos="4153"/>
        <w:tab w:val="right" w:pos="8306"/>
      </w:tabs>
      <w:snapToGrid w:val="0"/>
      <w:jc w:val="left"/>
    </w:pPr>
    <w:rPr>
      <w:sz w:val="18"/>
      <w:szCs w:val="20"/>
    </w:rPr>
  </w:style>
  <w:style w:type="character" w:customStyle="1" w:styleId="276">
    <w:name w:val="页码11"/>
    <w:autoRedefine/>
    <w:qFormat/>
    <w:uiPriority w:val="0"/>
  </w:style>
  <w:style w:type="character" w:customStyle="1" w:styleId="277">
    <w:name w:val="Char4"/>
    <w:autoRedefine/>
    <w:qFormat/>
    <w:uiPriority w:val="0"/>
    <w:rPr>
      <w:rFonts w:ascii="宋体" w:hAnsi="Courier New"/>
      <w:kern w:val="2"/>
      <w:sz w:val="21"/>
    </w:rPr>
  </w:style>
  <w:style w:type="character" w:customStyle="1" w:styleId="278">
    <w:name w:val="批注引用1"/>
    <w:autoRedefine/>
    <w:qFormat/>
    <w:uiPriority w:val="0"/>
    <w:rPr>
      <w:sz w:val="21"/>
    </w:rPr>
  </w:style>
  <w:style w:type="character" w:customStyle="1" w:styleId="279">
    <w:name w:val="已访问的超链接1"/>
    <w:qFormat/>
    <w:uiPriority w:val="0"/>
    <w:rPr>
      <w:color w:val="800080"/>
      <w:u w:val="single"/>
    </w:rPr>
  </w:style>
  <w:style w:type="character" w:customStyle="1" w:styleId="280">
    <w:name w:val="正文首行缩进 Char"/>
    <w:link w:val="281"/>
    <w:autoRedefine/>
    <w:qFormat/>
    <w:uiPriority w:val="0"/>
    <w:rPr>
      <w:rFonts w:ascii="宋体"/>
      <w:spacing w:val="2"/>
      <w:kern w:val="2"/>
      <w:sz w:val="24"/>
    </w:rPr>
  </w:style>
  <w:style w:type="paragraph" w:customStyle="1" w:styleId="281">
    <w:name w:val="正文首行缩进1"/>
    <w:basedOn w:val="1"/>
    <w:link w:val="280"/>
    <w:autoRedefine/>
    <w:qFormat/>
    <w:uiPriority w:val="0"/>
    <w:pPr>
      <w:snapToGrid w:val="0"/>
      <w:spacing w:before="120"/>
      <w:ind w:firstLine="476"/>
    </w:pPr>
    <w:rPr>
      <w:rFonts w:ascii="宋体" w:hAnsi="Times New Roman"/>
      <w:spacing w:val="2"/>
      <w:sz w:val="24"/>
      <w:szCs w:val="20"/>
    </w:rPr>
  </w:style>
  <w:style w:type="character" w:customStyle="1" w:styleId="282">
    <w:name w:val="Char Char13"/>
    <w:autoRedefine/>
    <w:qFormat/>
    <w:uiPriority w:val="0"/>
    <w:rPr>
      <w:rFonts w:ascii="Times New Roman" w:hAnsi="Times New Roman" w:eastAsia="宋体"/>
      <w:kern w:val="0"/>
      <w:sz w:val="18"/>
    </w:rPr>
  </w:style>
  <w:style w:type="character" w:customStyle="1" w:styleId="283">
    <w:name w:val="Char2"/>
    <w:autoRedefine/>
    <w:qFormat/>
    <w:uiPriority w:val="0"/>
    <w:rPr>
      <w:rFonts w:ascii="宋体" w:hAnsi="Courier New" w:eastAsia="宋体"/>
      <w:kern w:val="2"/>
      <w:sz w:val="21"/>
      <w:lang w:val="en-US" w:eastAsia="zh-CN"/>
    </w:rPr>
  </w:style>
  <w:style w:type="character" w:customStyle="1" w:styleId="284">
    <w:name w:val="brandcolor1"/>
    <w:autoRedefine/>
    <w:qFormat/>
    <w:uiPriority w:val="0"/>
    <w:rPr>
      <w:color w:val="2685C1"/>
    </w:rPr>
  </w:style>
  <w:style w:type="paragraph" w:customStyle="1" w:styleId="285">
    <w:name w:val="正文文本缩进 31"/>
    <w:basedOn w:val="1"/>
    <w:autoRedefine/>
    <w:qFormat/>
    <w:uiPriority w:val="0"/>
    <w:pPr>
      <w:widowControl/>
      <w:spacing w:before="60" w:after="60" w:line="280" w:lineRule="atLeast"/>
      <w:ind w:firstLine="400"/>
    </w:pPr>
    <w:rPr>
      <w:rFonts w:ascii="宋体"/>
      <w:kern w:val="0"/>
      <w:szCs w:val="20"/>
    </w:rPr>
  </w:style>
  <w:style w:type="character" w:customStyle="1" w:styleId="286">
    <w:name w:val="Char5"/>
    <w:qFormat/>
    <w:uiPriority w:val="0"/>
    <w:rPr>
      <w:b/>
      <w:sz w:val="32"/>
      <w:lang w:eastAsia="en-US"/>
    </w:rPr>
  </w:style>
  <w:style w:type="character" w:customStyle="1" w:styleId="287">
    <w:name w:val="tcnt3"/>
    <w:qFormat/>
    <w:uiPriority w:val="0"/>
  </w:style>
  <w:style w:type="paragraph" w:customStyle="1" w:styleId="288">
    <w:name w:val="正文文本 21"/>
    <w:basedOn w:val="1"/>
    <w:autoRedefine/>
    <w:qFormat/>
    <w:uiPriority w:val="0"/>
    <w:pPr>
      <w:spacing w:after="120" w:line="480" w:lineRule="auto"/>
    </w:pPr>
    <w:rPr>
      <w:szCs w:val="20"/>
    </w:rPr>
  </w:style>
  <w:style w:type="character" w:customStyle="1" w:styleId="289">
    <w:name w:val="样式 宋体 小四 黑色"/>
    <w:autoRedefine/>
    <w:qFormat/>
    <w:uiPriority w:val="0"/>
    <w:rPr>
      <w:rFonts w:hint="eastAsia" w:ascii="宋体" w:hAnsi="宋体" w:eastAsia="楷体_GB2312"/>
      <w:color w:val="000000"/>
      <w:kern w:val="0"/>
      <w:sz w:val="24"/>
    </w:rPr>
  </w:style>
  <w:style w:type="character" w:customStyle="1" w:styleId="290">
    <w:name w:val="black9font1"/>
    <w:autoRedefine/>
    <w:qFormat/>
    <w:uiPriority w:val="0"/>
    <w:rPr>
      <w:rFonts w:hint="eastAsia" w:ascii="宋体" w:hAnsi="宋体" w:eastAsia="宋体"/>
      <w:sz w:val="18"/>
      <w:u w:val="none"/>
    </w:rPr>
  </w:style>
  <w:style w:type="paragraph" w:customStyle="1" w:styleId="291">
    <w:name w:val="页眉2"/>
    <w:basedOn w:val="1"/>
    <w:qFormat/>
    <w:uiPriority w:val="0"/>
    <w:pPr>
      <w:pBdr>
        <w:bottom w:val="single" w:color="auto" w:sz="6" w:space="1"/>
      </w:pBdr>
      <w:tabs>
        <w:tab w:val="center" w:pos="4153"/>
        <w:tab w:val="right" w:pos="8306"/>
      </w:tabs>
      <w:snapToGrid w:val="0"/>
      <w:jc w:val="center"/>
    </w:pPr>
    <w:rPr>
      <w:sz w:val="18"/>
      <w:szCs w:val="20"/>
    </w:rPr>
  </w:style>
  <w:style w:type="character" w:customStyle="1" w:styleId="292">
    <w:name w:val="Char Char12"/>
    <w:autoRedefine/>
    <w:qFormat/>
    <w:uiPriority w:val="0"/>
    <w:rPr>
      <w:rFonts w:eastAsia="宋体"/>
      <w:b/>
      <w:kern w:val="44"/>
      <w:sz w:val="44"/>
      <w:lang w:val="en-US" w:eastAsia="zh-CN"/>
    </w:rPr>
  </w:style>
  <w:style w:type="character" w:customStyle="1" w:styleId="293">
    <w:name w:val="tw4winMark"/>
    <w:autoRedefine/>
    <w:qFormat/>
    <w:uiPriority w:val="0"/>
    <w:rPr>
      <w:rFonts w:ascii="Courier New" w:hAnsi="Courier New"/>
      <w:vanish/>
      <w:color w:val="800080"/>
      <w:vertAlign w:val="subscript"/>
    </w:rPr>
  </w:style>
  <w:style w:type="character" w:customStyle="1" w:styleId="294">
    <w:name w:val="zz31"/>
    <w:autoRedefine/>
    <w:qFormat/>
    <w:uiPriority w:val="0"/>
    <w:rPr>
      <w:color w:val="000000"/>
      <w:sz w:val="18"/>
      <w:u w:val="none"/>
    </w:rPr>
  </w:style>
  <w:style w:type="character" w:customStyle="1" w:styleId="295">
    <w:name w:val="批注引用11"/>
    <w:autoRedefine/>
    <w:qFormat/>
    <w:uiPriority w:val="0"/>
    <w:rPr>
      <w:sz w:val="21"/>
    </w:rPr>
  </w:style>
  <w:style w:type="character" w:customStyle="1" w:styleId="296">
    <w:name w:val="font1"/>
    <w:autoRedefine/>
    <w:qFormat/>
    <w:uiPriority w:val="0"/>
    <w:rPr>
      <w:color w:val="000000"/>
      <w:sz w:val="18"/>
    </w:rPr>
  </w:style>
  <w:style w:type="character" w:customStyle="1" w:styleId="297">
    <w:name w:val="脚注引用1"/>
    <w:autoRedefine/>
    <w:qFormat/>
    <w:uiPriority w:val="0"/>
    <w:rPr>
      <w:vertAlign w:val="superscript"/>
    </w:rPr>
  </w:style>
  <w:style w:type="character" w:customStyle="1" w:styleId="298">
    <w:name w:val="标题三 Char"/>
    <w:link w:val="299"/>
    <w:qFormat/>
    <w:uiPriority w:val="0"/>
    <w:rPr>
      <w:rFonts w:ascii="黑体" w:eastAsia="黑体"/>
      <w:kern w:val="44"/>
      <w:sz w:val="28"/>
    </w:rPr>
  </w:style>
  <w:style w:type="paragraph" w:customStyle="1" w:styleId="299">
    <w:name w:val="标题三"/>
    <w:basedOn w:val="3"/>
    <w:next w:val="300"/>
    <w:link w:val="298"/>
    <w:autoRedefine/>
    <w:qFormat/>
    <w:uiPriority w:val="0"/>
    <w:pPr>
      <w:keepLines/>
      <w:widowControl w:val="0"/>
      <w:tabs>
        <w:tab w:val="clear" w:pos="432"/>
      </w:tabs>
      <w:spacing w:before="340" w:after="330" w:line="576" w:lineRule="auto"/>
      <w:jc w:val="both"/>
    </w:pPr>
    <w:rPr>
      <w:rFonts w:eastAsia="黑体" w:cs="Times New Roman"/>
      <w:b w:val="0"/>
      <w:kern w:val="44"/>
      <w:lang w:val="en-US"/>
    </w:rPr>
  </w:style>
  <w:style w:type="paragraph" w:customStyle="1" w:styleId="300">
    <w:name w:val="正文文本1"/>
    <w:basedOn w:val="1"/>
    <w:autoRedefine/>
    <w:qFormat/>
    <w:uiPriority w:val="0"/>
    <w:pPr>
      <w:spacing w:line="288" w:lineRule="auto"/>
    </w:pPr>
    <w:rPr>
      <w:rFonts w:ascii="楷体_GB2312" w:eastAsia="楷体_GB2312" w:cs="Calibri"/>
      <w:color w:val="FF0000"/>
      <w:szCs w:val="20"/>
    </w:rPr>
  </w:style>
  <w:style w:type="character" w:customStyle="1" w:styleId="301">
    <w:name w:val="title_emph1"/>
    <w:autoRedefine/>
    <w:qFormat/>
    <w:uiPriority w:val="0"/>
    <w:rPr>
      <w:rFonts w:hint="default" w:ascii="Arial" w:hAnsi="Arial"/>
      <w:b/>
      <w:sz w:val="20"/>
    </w:rPr>
  </w:style>
  <w:style w:type="character" w:customStyle="1" w:styleId="302">
    <w:name w:val="编号列表 Char"/>
    <w:link w:val="303"/>
    <w:qFormat/>
    <w:uiPriority w:val="0"/>
    <w:rPr>
      <w:rFonts w:ascii="Verdana" w:hAnsi="Verdana"/>
      <w:kern w:val="2"/>
      <w:sz w:val="24"/>
    </w:rPr>
  </w:style>
  <w:style w:type="paragraph" w:customStyle="1" w:styleId="303">
    <w:name w:val="编号列表"/>
    <w:basedOn w:val="1"/>
    <w:link w:val="302"/>
    <w:autoRedefine/>
    <w:qFormat/>
    <w:uiPriority w:val="0"/>
    <w:pPr>
      <w:tabs>
        <w:tab w:val="left" w:pos="992"/>
      </w:tabs>
      <w:adjustRightInd w:val="0"/>
      <w:snapToGrid w:val="0"/>
      <w:spacing w:before="156" w:beforeLines="50" w:after="156" w:afterLines="50" w:line="360" w:lineRule="auto"/>
      <w:ind w:left="992" w:hanging="572"/>
    </w:pPr>
    <w:rPr>
      <w:rFonts w:ascii="Verdana" w:hAnsi="Verdana"/>
      <w:sz w:val="24"/>
      <w:szCs w:val="20"/>
    </w:rPr>
  </w:style>
  <w:style w:type="character" w:customStyle="1" w:styleId="304">
    <w:name w:val="f121"/>
    <w:autoRedefine/>
    <w:qFormat/>
    <w:uiPriority w:val="0"/>
    <w:rPr>
      <w:sz w:val="20"/>
      <w:u w:val="none"/>
    </w:rPr>
  </w:style>
  <w:style w:type="paragraph" w:customStyle="1" w:styleId="305">
    <w:name w:val="日期2"/>
    <w:basedOn w:val="1"/>
    <w:next w:val="1"/>
    <w:autoRedefine/>
    <w:qFormat/>
    <w:uiPriority w:val="0"/>
    <w:rPr>
      <w:szCs w:val="20"/>
    </w:rPr>
  </w:style>
  <w:style w:type="paragraph" w:customStyle="1" w:styleId="306">
    <w:name w:val="标题一三"/>
    <w:basedOn w:val="1"/>
    <w:autoRedefine/>
    <w:qFormat/>
    <w:uiPriority w:val="0"/>
    <w:pPr>
      <w:widowControl/>
      <w:spacing w:line="360" w:lineRule="auto"/>
    </w:pPr>
    <w:rPr>
      <w:rFonts w:ascii="楷体_GB2312" w:hAnsi="宋体" w:eastAsia="楷体_GB2312" w:cs="Calibri"/>
      <w:b/>
      <w:i/>
      <w:color w:val="FF0000"/>
      <w:kern w:val="0"/>
      <w:sz w:val="28"/>
      <w:szCs w:val="20"/>
    </w:rPr>
  </w:style>
  <w:style w:type="paragraph" w:customStyle="1" w:styleId="307">
    <w:name w:val="文档正文"/>
    <w:basedOn w:val="1"/>
    <w:autoRedefine/>
    <w:qFormat/>
    <w:uiPriority w:val="0"/>
    <w:pPr>
      <w:adjustRightInd w:val="0"/>
      <w:spacing w:before="60" w:after="60" w:line="312" w:lineRule="atLeast"/>
      <w:ind w:firstLine="567"/>
      <w:textAlignment w:val="baseline"/>
    </w:pPr>
    <w:rPr>
      <w:rFonts w:cs="Calibri"/>
      <w:kern w:val="0"/>
      <w:sz w:val="28"/>
      <w:szCs w:val="20"/>
    </w:rPr>
  </w:style>
  <w:style w:type="paragraph" w:customStyle="1" w:styleId="308">
    <w:name w:val="表格项目符号 2"/>
    <w:basedOn w:val="309"/>
    <w:autoRedefine/>
    <w:qFormat/>
    <w:uiPriority w:val="0"/>
    <w:pPr>
      <w:tabs>
        <w:tab w:val="left" w:pos="624"/>
        <w:tab w:val="left" w:pos="735"/>
      </w:tabs>
      <w:snapToGrid w:val="0"/>
      <w:spacing w:line="300" w:lineRule="auto"/>
      <w:ind w:left="623" w:hanging="374"/>
    </w:pPr>
  </w:style>
  <w:style w:type="paragraph" w:customStyle="1" w:styleId="309">
    <w:name w:val="列表项目符号 21"/>
    <w:basedOn w:val="1"/>
    <w:autoRedefine/>
    <w:qFormat/>
    <w:uiPriority w:val="0"/>
    <w:pPr>
      <w:spacing w:line="360" w:lineRule="auto"/>
      <w:ind w:left="480"/>
    </w:pPr>
    <w:rPr>
      <w:rFonts w:cs="Calibri"/>
      <w:sz w:val="24"/>
      <w:szCs w:val="20"/>
    </w:rPr>
  </w:style>
  <w:style w:type="paragraph" w:customStyle="1" w:styleId="310">
    <w:name w:val="1 Char"/>
    <w:basedOn w:val="1"/>
    <w:autoRedefine/>
    <w:qFormat/>
    <w:uiPriority w:val="0"/>
    <w:rPr>
      <w:rFonts w:ascii="Tahoma" w:hAnsi="Tahoma" w:cs="Calibri"/>
      <w:sz w:val="24"/>
      <w:szCs w:val="20"/>
    </w:rPr>
  </w:style>
  <w:style w:type="paragraph" w:customStyle="1" w:styleId="311">
    <w:name w:val="xl53"/>
    <w:basedOn w:val="1"/>
    <w:autoRedefine/>
    <w:qFormat/>
    <w:uiPriority w:val="0"/>
    <w:pPr>
      <w:widowControl/>
      <w:pBdr>
        <w:left w:val="single" w:color="auto" w:sz="4" w:space="0"/>
        <w:bottom w:val="single" w:color="auto" w:sz="4" w:space="0"/>
      </w:pBdr>
      <w:spacing w:before="100" w:beforeAutospacing="1" w:after="100" w:afterAutospacing="1"/>
      <w:textAlignment w:val="center"/>
    </w:pPr>
    <w:rPr>
      <w:rFonts w:ascii="宋体" w:hAnsi="宋体" w:cs="Calibri"/>
      <w:kern w:val="0"/>
      <w:sz w:val="24"/>
      <w:szCs w:val="20"/>
    </w:rPr>
  </w:style>
  <w:style w:type="paragraph" w:customStyle="1" w:styleId="312">
    <w:name w:val="样式 样式 样式 标题 2 + 宋体 五号 非加粗 黑色 + 段前: 6 磅 段后: 0 磅 行距: 单倍行距 + 段前: 12..."/>
    <w:basedOn w:val="313"/>
    <w:autoRedefine/>
    <w:qFormat/>
    <w:uiPriority w:val="0"/>
    <w:pPr>
      <w:spacing w:before="240"/>
    </w:pPr>
  </w:style>
  <w:style w:type="paragraph" w:customStyle="1" w:styleId="313">
    <w:name w:val="样式 样式 标题 2 + 宋体 五号 非加粗 黑色 + 段前: 6 磅 段后: 0 磅 行距: 单倍行距"/>
    <w:basedOn w:val="314"/>
    <w:qFormat/>
    <w:uiPriority w:val="0"/>
    <w:pPr>
      <w:spacing w:before="120" w:after="0" w:line="240" w:lineRule="auto"/>
    </w:pPr>
  </w:style>
  <w:style w:type="paragraph" w:customStyle="1" w:styleId="314">
    <w:name w:val="样式 标题 2 + 宋体 五号 非加粗 黑色"/>
    <w:basedOn w:val="4"/>
    <w:autoRedefine/>
    <w:qFormat/>
    <w:uiPriority w:val="0"/>
    <w:pPr>
      <w:widowControl w:val="0"/>
      <w:adjustRightInd w:val="0"/>
      <w:spacing w:line="416" w:lineRule="atLeast"/>
      <w:ind w:left="360"/>
      <w:textAlignment w:val="baseline"/>
    </w:pPr>
    <w:rPr>
      <w:rFonts w:ascii="宋体" w:hAnsi="宋体" w:cs="Calibri"/>
      <w:color w:val="000000"/>
      <w:sz w:val="21"/>
      <w:lang w:val="en-US"/>
    </w:rPr>
  </w:style>
  <w:style w:type="paragraph" w:customStyle="1" w:styleId="315">
    <w:name w:val="项目 1 Char Char"/>
    <w:basedOn w:val="1"/>
    <w:autoRedefine/>
    <w:qFormat/>
    <w:uiPriority w:val="0"/>
    <w:pPr>
      <w:tabs>
        <w:tab w:val="left" w:pos="907"/>
      </w:tabs>
      <w:adjustRightInd w:val="0"/>
      <w:snapToGrid w:val="0"/>
      <w:spacing w:after="156" w:afterLines="50"/>
      <w:ind w:left="902" w:hanging="420"/>
    </w:pPr>
    <w:rPr>
      <w:rFonts w:ascii="Tahoma" w:hAnsi="Tahoma" w:cs="Calibri"/>
      <w:sz w:val="24"/>
      <w:szCs w:val="20"/>
    </w:rPr>
  </w:style>
  <w:style w:type="paragraph" w:customStyle="1" w:styleId="316">
    <w:name w:val="表格文字"/>
    <w:basedOn w:val="1"/>
    <w:qFormat/>
    <w:uiPriority w:val="0"/>
    <w:pPr>
      <w:spacing w:before="25" w:after="25" w:line="300" w:lineRule="auto"/>
    </w:pPr>
    <w:rPr>
      <w:rFonts w:ascii="Times" w:hAnsi="Times" w:cs="Calibri"/>
      <w:spacing w:val="10"/>
      <w:kern w:val="0"/>
      <w:sz w:val="24"/>
      <w:szCs w:val="20"/>
    </w:rPr>
  </w:style>
  <w:style w:type="paragraph" w:customStyle="1" w:styleId="317">
    <w:name w:val="招标文件正文"/>
    <w:autoRedefine/>
    <w:qFormat/>
    <w:uiPriority w:val="0"/>
    <w:pPr>
      <w:spacing w:before="120" w:after="120" w:line="300" w:lineRule="auto"/>
      <w:ind w:firstLine="200" w:firstLineChars="200"/>
    </w:pPr>
    <w:rPr>
      <w:rFonts w:ascii="宋体" w:hAnsi="Calibri" w:eastAsia="宋体" w:cs="Calibri"/>
      <w:spacing w:val="10"/>
      <w:w w:val="95"/>
      <w:sz w:val="21"/>
      <w:lang w:val="en-US" w:eastAsia="zh-CN" w:bidi="ar-SA"/>
    </w:rPr>
  </w:style>
  <w:style w:type="paragraph" w:customStyle="1" w:styleId="318">
    <w:name w:val="我的正文下级"/>
    <w:basedOn w:val="1"/>
    <w:qFormat/>
    <w:uiPriority w:val="0"/>
    <w:rPr>
      <w:rFonts w:hint="eastAsia" w:ascii="仿宋_GB2312" w:hAnsi="宋体" w:eastAsia="仿宋_GB2312" w:cs="Calibri"/>
      <w:kern w:val="0"/>
      <w:sz w:val="28"/>
      <w:szCs w:val="20"/>
    </w:rPr>
  </w:style>
  <w:style w:type="paragraph" w:customStyle="1" w:styleId="319">
    <w:name w:val="Date1"/>
    <w:basedOn w:val="1"/>
    <w:next w:val="1"/>
    <w:qFormat/>
    <w:uiPriority w:val="0"/>
    <w:pPr>
      <w:adjustRightInd w:val="0"/>
      <w:spacing w:line="312" w:lineRule="atLeast"/>
      <w:textAlignment w:val="baseline"/>
    </w:pPr>
    <w:rPr>
      <w:rFonts w:cs="Calibri"/>
      <w:kern w:val="0"/>
      <w:sz w:val="24"/>
      <w:szCs w:val="20"/>
    </w:rPr>
  </w:style>
  <w:style w:type="paragraph" w:customStyle="1" w:styleId="320">
    <w:name w:val="Char6"/>
    <w:basedOn w:val="1"/>
    <w:autoRedefine/>
    <w:qFormat/>
    <w:uiPriority w:val="0"/>
    <w:pPr>
      <w:spacing w:line="360" w:lineRule="auto"/>
      <w:ind w:firstLine="200" w:firstLineChars="200"/>
    </w:pPr>
    <w:rPr>
      <w:rFonts w:ascii="Tahoma" w:hAnsi="Tahoma" w:cs="Calibri"/>
      <w:sz w:val="24"/>
      <w:szCs w:val="20"/>
    </w:rPr>
  </w:style>
  <w:style w:type="paragraph" w:customStyle="1" w:styleId="321">
    <w:name w:val="操作步骤"/>
    <w:basedOn w:val="1"/>
    <w:autoRedefine/>
    <w:qFormat/>
    <w:uiPriority w:val="0"/>
    <w:pPr>
      <w:tabs>
        <w:tab w:val="left" w:pos="840"/>
      </w:tabs>
      <w:autoSpaceDE w:val="0"/>
      <w:autoSpaceDN w:val="0"/>
      <w:adjustRightInd w:val="0"/>
      <w:snapToGrid w:val="0"/>
      <w:spacing w:line="40" w:lineRule="atLeast"/>
      <w:ind w:left="840" w:hanging="420"/>
      <w:textAlignment w:val="bottom"/>
    </w:pPr>
    <w:rPr>
      <w:rFonts w:ascii="昆仑楷体" w:eastAsia="楷体_GB2312" w:cs="Calibri"/>
      <w:kern w:val="0"/>
      <w:szCs w:val="20"/>
    </w:rPr>
  </w:style>
  <w:style w:type="paragraph" w:customStyle="1" w:styleId="322">
    <w:name w:val="Char Char3"/>
    <w:basedOn w:val="1"/>
    <w:qFormat/>
    <w:uiPriority w:val="0"/>
    <w:rPr>
      <w:rFonts w:ascii="Tahoma" w:hAnsi="Tahoma" w:cs="Calibri"/>
      <w:sz w:val="24"/>
      <w:szCs w:val="20"/>
    </w:rPr>
  </w:style>
  <w:style w:type="paragraph" w:customStyle="1" w:styleId="323">
    <w:name w:val="正文居中"/>
    <w:basedOn w:val="1"/>
    <w:qFormat/>
    <w:uiPriority w:val="0"/>
    <w:pPr>
      <w:spacing w:line="360" w:lineRule="auto"/>
      <w:jc w:val="center"/>
    </w:pPr>
    <w:rPr>
      <w:rFonts w:cs="Calibri"/>
      <w:sz w:val="24"/>
      <w:szCs w:val="20"/>
    </w:rPr>
  </w:style>
  <w:style w:type="paragraph" w:customStyle="1" w:styleId="324">
    <w:name w:val="Char Char Char1"/>
    <w:basedOn w:val="1"/>
    <w:autoRedefine/>
    <w:qFormat/>
    <w:uiPriority w:val="0"/>
    <w:rPr>
      <w:rFonts w:ascii="Tahoma" w:hAnsi="Tahoma" w:cs="Calibri"/>
      <w:sz w:val="24"/>
      <w:szCs w:val="20"/>
    </w:rPr>
  </w:style>
  <w:style w:type="paragraph" w:customStyle="1" w:styleId="325">
    <w:name w:val="附录 Heading 2"/>
    <w:basedOn w:val="4"/>
    <w:autoRedefine/>
    <w:qFormat/>
    <w:uiPriority w:val="0"/>
    <w:pPr>
      <w:tabs>
        <w:tab w:val="left" w:pos="0"/>
        <w:tab w:val="left" w:pos="420"/>
      </w:tabs>
      <w:spacing w:before="480" w:after="120" w:line="288" w:lineRule="auto"/>
      <w:ind w:left="420" w:hanging="420"/>
    </w:pPr>
    <w:rPr>
      <w:rFonts w:ascii="Microsoft Sans Serif" w:hAnsi="Microsoft Sans Serif" w:eastAsia="仿宋_GB2312" w:cs="Calibri"/>
      <w:b/>
      <w:sz w:val="32"/>
      <w:lang w:val="en-US"/>
    </w:rPr>
  </w:style>
  <w:style w:type="paragraph" w:customStyle="1" w:styleId="326">
    <w:name w:val="纯文本11"/>
    <w:basedOn w:val="1"/>
    <w:autoRedefine/>
    <w:qFormat/>
    <w:uiPriority w:val="0"/>
    <w:pPr>
      <w:tabs>
        <w:tab w:val="left" w:pos="425"/>
      </w:tabs>
      <w:adjustRightInd w:val="0"/>
    </w:pPr>
    <w:rPr>
      <w:rFonts w:hint="eastAsia" w:ascii="宋体" w:hAnsi="Courier New" w:cs="Calibri"/>
      <w:szCs w:val="20"/>
    </w:rPr>
  </w:style>
  <w:style w:type="paragraph" w:customStyle="1" w:styleId="327">
    <w:name w:val="样式 样式 标题 4 + 段前: 5 磅 段后: 5 磅 行距: 单倍行距 + 五号"/>
    <w:basedOn w:val="328"/>
    <w:autoRedefine/>
    <w:qFormat/>
    <w:uiPriority w:val="0"/>
    <w:rPr>
      <w:sz w:val="21"/>
    </w:rPr>
  </w:style>
  <w:style w:type="paragraph" w:customStyle="1" w:styleId="328">
    <w:name w:val="样式 标题 4 + 段前: 5 磅 段后: 5 磅 行距: 单倍行距"/>
    <w:basedOn w:val="6"/>
    <w:qFormat/>
    <w:uiPriority w:val="0"/>
    <w:pPr>
      <w:adjustRightInd w:val="0"/>
      <w:spacing w:before="100" w:after="100" w:line="240" w:lineRule="auto"/>
      <w:textAlignment w:val="baseline"/>
    </w:pPr>
    <w:rPr>
      <w:rFonts w:eastAsia="黑体" w:cs="Calibri"/>
      <w:bCs w:val="0"/>
      <w:kern w:val="0"/>
      <w:szCs w:val="20"/>
    </w:rPr>
  </w:style>
  <w:style w:type="paragraph" w:customStyle="1" w:styleId="329">
    <w:name w:val="样式 标题 3h3H3sect1.2.3 + 五号 段前: 6 磅 段后: 6 磅 行距: 单倍行距"/>
    <w:basedOn w:val="2"/>
    <w:qFormat/>
    <w:uiPriority w:val="0"/>
    <w:pPr>
      <w:widowControl w:val="0"/>
      <w:numPr>
        <w:ilvl w:val="0"/>
        <w:numId w:val="0"/>
      </w:numPr>
      <w:tabs>
        <w:tab w:val="clear" w:pos="432"/>
        <w:tab w:val="clear" w:pos="720"/>
      </w:tabs>
      <w:adjustRightInd w:val="0"/>
      <w:spacing w:line="240" w:lineRule="auto"/>
      <w:jc w:val="both"/>
      <w:textAlignment w:val="baseline"/>
    </w:pPr>
    <w:rPr>
      <w:rFonts w:ascii="Calibri" w:hAnsi="Calibri"/>
      <w:sz w:val="21"/>
      <w:lang w:val="en-US"/>
    </w:rPr>
  </w:style>
  <w:style w:type="paragraph" w:customStyle="1" w:styleId="330">
    <w:name w:val="编号正文"/>
    <w:basedOn w:val="307"/>
    <w:autoRedefine/>
    <w:qFormat/>
    <w:uiPriority w:val="0"/>
    <w:pPr>
      <w:tabs>
        <w:tab w:val="left" w:pos="1407"/>
      </w:tabs>
      <w:spacing w:before="0" w:after="0" w:line="440" w:lineRule="exact"/>
      <w:ind w:left="1407" w:hanging="420"/>
    </w:pPr>
    <w:rPr>
      <w:rFonts w:ascii="Arial Narrow" w:hAnsi="Arial Narrow" w:eastAsia="仿宋_GB2312"/>
      <w:sz w:val="24"/>
    </w:rPr>
  </w:style>
  <w:style w:type="paragraph" w:customStyle="1" w:styleId="331">
    <w:name w:val="SOW正文"/>
    <w:basedOn w:val="1"/>
    <w:autoRedefine/>
    <w:qFormat/>
    <w:uiPriority w:val="0"/>
    <w:pPr>
      <w:snapToGrid w:val="0"/>
      <w:spacing w:before="120" w:line="400" w:lineRule="exact"/>
      <w:ind w:firstLine="425"/>
    </w:pPr>
    <w:rPr>
      <w:rFonts w:cs="Calibri"/>
      <w:sz w:val="24"/>
      <w:szCs w:val="20"/>
    </w:rPr>
  </w:style>
  <w:style w:type="paragraph" w:customStyle="1" w:styleId="332">
    <w:name w:val="项目 1"/>
    <w:basedOn w:val="1"/>
    <w:autoRedefine/>
    <w:qFormat/>
    <w:uiPriority w:val="0"/>
    <w:pPr>
      <w:tabs>
        <w:tab w:val="left" w:pos="720"/>
      </w:tabs>
      <w:adjustRightInd w:val="0"/>
      <w:snapToGrid w:val="0"/>
      <w:spacing w:after="156" w:afterLines="50"/>
      <w:ind w:left="720" w:hanging="720"/>
    </w:pPr>
    <w:rPr>
      <w:rFonts w:ascii="Tahoma" w:hAnsi="Tahoma" w:cs="Calibri"/>
      <w:sz w:val="24"/>
      <w:szCs w:val="20"/>
    </w:rPr>
  </w:style>
  <w:style w:type="paragraph" w:customStyle="1" w:styleId="333">
    <w:name w:val="列表接续 21"/>
    <w:basedOn w:val="1"/>
    <w:qFormat/>
    <w:uiPriority w:val="0"/>
    <w:pPr>
      <w:spacing w:after="120"/>
      <w:ind w:left="840" w:leftChars="400"/>
    </w:pPr>
    <w:rPr>
      <w:rFonts w:cs="Calibri"/>
      <w:szCs w:val="20"/>
    </w:rPr>
  </w:style>
  <w:style w:type="paragraph" w:customStyle="1" w:styleId="334">
    <w:name w:val="首行缩进:  0.85 厘米"/>
    <w:basedOn w:val="1"/>
    <w:autoRedefine/>
    <w:qFormat/>
    <w:uiPriority w:val="0"/>
    <w:pPr>
      <w:widowControl/>
      <w:spacing w:after="100" w:line="360" w:lineRule="auto"/>
      <w:ind w:firstLine="482"/>
      <w:jc w:val="left"/>
    </w:pPr>
    <w:rPr>
      <w:rFonts w:cs="Calibri"/>
      <w:kern w:val="0"/>
      <w:sz w:val="24"/>
      <w:szCs w:val="20"/>
      <w:lang w:eastAsia="en-US"/>
    </w:rPr>
  </w:style>
  <w:style w:type="paragraph" w:customStyle="1" w:styleId="335">
    <w:name w:val="项目"/>
    <w:basedOn w:val="271"/>
    <w:autoRedefine/>
    <w:qFormat/>
    <w:uiPriority w:val="0"/>
    <w:pPr>
      <w:spacing w:after="120"/>
      <w:ind w:left="0"/>
    </w:pPr>
    <w:rPr>
      <w:rFonts w:ascii="楷体_GB2312" w:eastAsia="楷体_GB2312"/>
      <w:b/>
      <w:sz w:val="24"/>
    </w:rPr>
  </w:style>
  <w:style w:type="paragraph" w:customStyle="1" w:styleId="336">
    <w:name w:val="ddddd"/>
    <w:basedOn w:val="1"/>
    <w:autoRedefine/>
    <w:qFormat/>
    <w:uiPriority w:val="0"/>
    <w:pPr>
      <w:pageBreakBefore/>
    </w:pPr>
    <w:rPr>
      <w:rFonts w:ascii="Tahoma" w:hAnsi="Tahoma" w:cs="Calibri"/>
      <w:sz w:val="24"/>
      <w:szCs w:val="20"/>
    </w:rPr>
  </w:style>
  <w:style w:type="paragraph" w:customStyle="1" w:styleId="337">
    <w:name w:val="首行缩进 1"/>
    <w:basedOn w:val="1"/>
    <w:autoRedefine/>
    <w:qFormat/>
    <w:uiPriority w:val="0"/>
    <w:pPr>
      <w:spacing w:after="120" w:line="360" w:lineRule="auto"/>
      <w:ind w:firstLine="200" w:firstLineChars="200"/>
    </w:pPr>
    <w:rPr>
      <w:rFonts w:cs="Calibri"/>
      <w:sz w:val="24"/>
      <w:szCs w:val="20"/>
    </w:rPr>
  </w:style>
  <w:style w:type="paragraph" w:customStyle="1" w:styleId="338">
    <w:name w:val="Char Char21"/>
    <w:basedOn w:val="1"/>
    <w:autoRedefine/>
    <w:qFormat/>
    <w:uiPriority w:val="0"/>
    <w:rPr>
      <w:rFonts w:ascii="Tahoma" w:hAnsi="Tahoma" w:cs="Calibri"/>
      <w:sz w:val="24"/>
      <w:szCs w:val="20"/>
    </w:rPr>
  </w:style>
  <w:style w:type="paragraph" w:customStyle="1" w:styleId="339">
    <w:name w:val="图号"/>
    <w:basedOn w:val="1"/>
    <w:autoRedefine/>
    <w:qFormat/>
    <w:uiPriority w:val="0"/>
    <w:pPr>
      <w:jc w:val="center"/>
    </w:pPr>
    <w:rPr>
      <w:rFonts w:ascii="仿宋_GB2312" w:eastAsia="仿宋_GB2312" w:cs="Calibri"/>
      <w:sz w:val="32"/>
      <w:szCs w:val="20"/>
    </w:rPr>
  </w:style>
  <w:style w:type="paragraph" w:customStyle="1" w:styleId="340">
    <w:name w:val="列表编号1"/>
    <w:basedOn w:val="1"/>
    <w:autoRedefine/>
    <w:qFormat/>
    <w:uiPriority w:val="0"/>
    <w:pPr>
      <w:tabs>
        <w:tab w:val="left" w:pos="360"/>
      </w:tabs>
      <w:adjustRightInd w:val="0"/>
      <w:snapToGrid w:val="0"/>
      <w:spacing w:line="360" w:lineRule="auto"/>
      <w:ind w:left="360" w:hanging="360" w:hangingChars="200"/>
    </w:pPr>
    <w:rPr>
      <w:rFonts w:cs="Calibri"/>
      <w:sz w:val="24"/>
      <w:szCs w:val="20"/>
    </w:rPr>
  </w:style>
  <w:style w:type="paragraph" w:customStyle="1" w:styleId="341">
    <w:name w:val="索引标题1"/>
    <w:basedOn w:val="1"/>
    <w:next w:val="342"/>
    <w:autoRedefine/>
    <w:qFormat/>
    <w:uiPriority w:val="0"/>
    <w:rPr>
      <w:rFonts w:eastAsia="仿宋_GB2312" w:cs="Calibri"/>
      <w:szCs w:val="20"/>
    </w:rPr>
  </w:style>
  <w:style w:type="paragraph" w:customStyle="1" w:styleId="342">
    <w:name w:val="索引 11"/>
    <w:basedOn w:val="1"/>
    <w:next w:val="1"/>
    <w:autoRedefine/>
    <w:qFormat/>
    <w:uiPriority w:val="0"/>
    <w:pPr>
      <w:ind w:left="-2"/>
    </w:pPr>
    <w:rPr>
      <w:rFonts w:ascii="Verdana" w:hAnsi="Verdana" w:cs="Calibri"/>
      <w:sz w:val="18"/>
      <w:szCs w:val="20"/>
    </w:rPr>
  </w:style>
  <w:style w:type="paragraph" w:customStyle="1" w:styleId="343">
    <w:name w:val="默认段落字体 Para Char Char Char1 Char Char Char Char Char Char Char"/>
    <w:basedOn w:val="1"/>
    <w:autoRedefine/>
    <w:qFormat/>
    <w:uiPriority w:val="0"/>
    <w:pPr>
      <w:adjustRightInd w:val="0"/>
      <w:spacing w:line="360" w:lineRule="auto"/>
    </w:pPr>
    <w:rPr>
      <w:rFonts w:cs="Calibri"/>
      <w:kern w:val="0"/>
      <w:sz w:val="24"/>
      <w:szCs w:val="20"/>
    </w:rPr>
  </w:style>
  <w:style w:type="paragraph" w:customStyle="1" w:styleId="344">
    <w:name w:val="Normal Cenered"/>
    <w:basedOn w:val="1"/>
    <w:autoRedefine/>
    <w:qFormat/>
    <w:uiPriority w:val="0"/>
    <w:pPr>
      <w:widowControl/>
      <w:tabs>
        <w:tab w:val="left" w:pos="6660"/>
      </w:tabs>
      <w:spacing w:before="240" w:after="120" w:line="288" w:lineRule="auto"/>
    </w:pPr>
    <w:rPr>
      <w:rFonts w:cs="Calibri"/>
      <w:kern w:val="0"/>
      <w:szCs w:val="20"/>
    </w:rPr>
  </w:style>
  <w:style w:type="paragraph" w:customStyle="1" w:styleId="345">
    <w:name w:val="样式6"/>
    <w:basedOn w:val="1"/>
    <w:autoRedefine/>
    <w:qFormat/>
    <w:uiPriority w:val="0"/>
    <w:pPr>
      <w:keepNext/>
      <w:keepLines/>
      <w:tabs>
        <w:tab w:val="left" w:pos="720"/>
      </w:tabs>
      <w:spacing w:before="260" w:after="260" w:line="413" w:lineRule="auto"/>
      <w:ind w:left="720" w:hanging="720"/>
      <w:outlineLvl w:val="2"/>
    </w:pPr>
    <w:rPr>
      <w:rFonts w:ascii="仿宋_GB2312" w:hAnsi="仿宋_GB2312" w:eastAsia="仿宋_GB2312" w:cs="Calibri"/>
      <w:b/>
      <w:color w:val="000000"/>
      <w:sz w:val="28"/>
      <w:szCs w:val="20"/>
    </w:rPr>
  </w:style>
  <w:style w:type="paragraph" w:customStyle="1" w:styleId="346">
    <w:name w:val="附件小标题"/>
    <w:basedOn w:val="6"/>
    <w:autoRedefine/>
    <w:qFormat/>
    <w:uiPriority w:val="0"/>
    <w:pPr>
      <w:tabs>
        <w:tab w:val="left" w:pos="720"/>
      </w:tabs>
      <w:spacing w:before="120" w:after="120" w:line="240" w:lineRule="atLeast"/>
      <w:ind w:left="720" w:hanging="720"/>
    </w:pPr>
    <w:rPr>
      <w:rFonts w:ascii="Verdana" w:hAnsi="Verdana" w:eastAsia="宋体" w:cs="Calibri"/>
      <w:bCs w:val="0"/>
      <w:szCs w:val="20"/>
    </w:rPr>
  </w:style>
  <w:style w:type="paragraph" w:customStyle="1" w:styleId="347">
    <w:name w:val="CN Title"/>
    <w:basedOn w:val="1"/>
    <w:autoRedefine/>
    <w:qFormat/>
    <w:uiPriority w:val="0"/>
    <w:pPr>
      <w:widowControl/>
      <w:tabs>
        <w:tab w:val="left" w:pos="720"/>
      </w:tabs>
      <w:spacing w:before="144" w:after="72"/>
      <w:ind w:left="720" w:hanging="360"/>
      <w:jc w:val="center"/>
    </w:pPr>
    <w:rPr>
      <w:rFonts w:cs="Calibri"/>
      <w:b/>
      <w:kern w:val="0"/>
      <w:sz w:val="28"/>
      <w:szCs w:val="20"/>
    </w:rPr>
  </w:style>
  <w:style w:type="paragraph" w:customStyle="1" w:styleId="348">
    <w:name w:val="Char Char Char Char Char Char Char Char Char Char Char Char Char"/>
    <w:basedOn w:val="1"/>
    <w:autoRedefine/>
    <w:qFormat/>
    <w:uiPriority w:val="0"/>
    <w:rPr>
      <w:rFonts w:ascii="Tahoma" w:hAnsi="Tahoma" w:cs="Calibri"/>
      <w:sz w:val="24"/>
      <w:szCs w:val="20"/>
    </w:rPr>
  </w:style>
  <w:style w:type="paragraph" w:customStyle="1" w:styleId="349">
    <w:name w:val="Char Char1 Char Char Char Char Char Char Char Char Char Char Char Char Char Char Char"/>
    <w:basedOn w:val="1"/>
    <w:autoRedefine/>
    <w:qFormat/>
    <w:uiPriority w:val="0"/>
    <w:pPr>
      <w:widowControl/>
      <w:spacing w:after="160" w:line="240" w:lineRule="exact"/>
    </w:pPr>
    <w:rPr>
      <w:rFonts w:ascii="Verdana" w:hAnsi="Verdana" w:cs="Calibri"/>
      <w:kern w:val="0"/>
      <w:sz w:val="20"/>
      <w:szCs w:val="20"/>
      <w:lang w:eastAsia="en-US"/>
    </w:rPr>
  </w:style>
  <w:style w:type="paragraph" w:customStyle="1" w:styleId="350">
    <w:name w:val="样式 标题 5 + 段前: 5 磅 段后: 5 磅 行距: 单倍行距"/>
    <w:basedOn w:val="7"/>
    <w:autoRedefine/>
    <w:qFormat/>
    <w:uiPriority w:val="0"/>
    <w:pPr>
      <w:adjustRightInd w:val="0"/>
      <w:spacing w:before="100" w:after="100" w:line="240" w:lineRule="auto"/>
      <w:textAlignment w:val="baseline"/>
    </w:pPr>
    <w:rPr>
      <w:rFonts w:cs="Times New Roman"/>
      <w:bCs w:val="0"/>
      <w:kern w:val="0"/>
      <w:szCs w:val="20"/>
    </w:rPr>
  </w:style>
  <w:style w:type="paragraph" w:customStyle="1" w:styleId="351">
    <w:name w:val="样式4"/>
    <w:autoRedefine/>
    <w:qFormat/>
    <w:uiPriority w:val="0"/>
    <w:rPr>
      <w:rFonts w:ascii="宋体" w:hAnsi="宋体" w:eastAsia="宋体" w:cs="Calibri"/>
      <w:b/>
      <w:kern w:val="2"/>
      <w:sz w:val="28"/>
      <w:lang w:val="en-US" w:eastAsia="zh-CN" w:bidi="ar-SA"/>
    </w:rPr>
  </w:style>
  <w:style w:type="paragraph" w:customStyle="1" w:styleId="352">
    <w:name w:val="列表 31"/>
    <w:basedOn w:val="1"/>
    <w:autoRedefine/>
    <w:qFormat/>
    <w:uiPriority w:val="0"/>
    <w:pPr>
      <w:ind w:left="100" w:leftChars="400" w:hanging="200" w:hangingChars="200"/>
    </w:pPr>
    <w:rPr>
      <w:rFonts w:cs="Calibri"/>
      <w:szCs w:val="20"/>
    </w:rPr>
  </w:style>
  <w:style w:type="paragraph" w:customStyle="1" w:styleId="353">
    <w:name w:val="Char1 Char Char Char Char Char Char"/>
    <w:basedOn w:val="1"/>
    <w:qFormat/>
    <w:uiPriority w:val="0"/>
    <w:pPr>
      <w:autoSpaceDE w:val="0"/>
      <w:autoSpaceDN w:val="0"/>
    </w:pPr>
    <w:rPr>
      <w:rFonts w:ascii="Tahoma" w:hAnsi="Tahoma" w:cs="Calibri"/>
      <w:sz w:val="24"/>
      <w:szCs w:val="20"/>
    </w:rPr>
  </w:style>
  <w:style w:type="paragraph" w:customStyle="1" w:styleId="354">
    <w:name w:val="Char Char Char Char Char Char Char"/>
    <w:basedOn w:val="1"/>
    <w:autoRedefine/>
    <w:qFormat/>
    <w:uiPriority w:val="0"/>
    <w:rPr>
      <w:rFonts w:ascii="Tahoma" w:hAnsi="Tahoma" w:cs="Calibri"/>
      <w:sz w:val="24"/>
      <w:szCs w:val="20"/>
    </w:rPr>
  </w:style>
  <w:style w:type="paragraph" w:customStyle="1" w:styleId="355">
    <w:name w:val="样式 样式 样式 样式 标题 2 + 宋体 五号 非加粗 黑色 + 段前: 6 磅 段后: 0 磅 行距: 单倍行距 + 段前:..."/>
    <w:basedOn w:val="312"/>
    <w:autoRedefine/>
    <w:qFormat/>
    <w:uiPriority w:val="0"/>
    <w:rPr>
      <w:b/>
    </w:rPr>
  </w:style>
  <w:style w:type="paragraph" w:customStyle="1" w:styleId="356">
    <w:name w:val="项目2"/>
    <w:autoRedefine/>
    <w:qFormat/>
    <w:uiPriority w:val="0"/>
    <w:pPr>
      <w:tabs>
        <w:tab w:val="left" w:pos="425"/>
      </w:tabs>
      <w:spacing w:before="120" w:after="120" w:line="360" w:lineRule="auto"/>
      <w:ind w:left="425" w:hanging="425"/>
    </w:pPr>
    <w:rPr>
      <w:rFonts w:ascii="Calibri" w:hAnsi="Calibri" w:eastAsia="仿宋_GB2312" w:cs="Calibri"/>
      <w:sz w:val="24"/>
      <w:lang w:val="en-US" w:eastAsia="zh-CN" w:bidi="ar-SA"/>
    </w:rPr>
  </w:style>
  <w:style w:type="paragraph" w:customStyle="1" w:styleId="357">
    <w:name w:val="日期1"/>
    <w:basedOn w:val="1"/>
    <w:next w:val="1"/>
    <w:autoRedefine/>
    <w:qFormat/>
    <w:uiPriority w:val="0"/>
    <w:pPr>
      <w:tabs>
        <w:tab w:val="left" w:pos="425"/>
      </w:tabs>
      <w:autoSpaceDE w:val="0"/>
      <w:autoSpaceDN w:val="0"/>
      <w:adjustRightInd w:val="0"/>
      <w:spacing w:before="60" w:after="60" w:line="312" w:lineRule="atLeast"/>
      <w:ind w:left="425" w:hanging="425"/>
      <w:textAlignment w:val="baseline"/>
    </w:pPr>
    <w:rPr>
      <w:rFonts w:cs="Calibri"/>
      <w:kern w:val="0"/>
      <w:sz w:val="44"/>
      <w:szCs w:val="20"/>
    </w:rPr>
  </w:style>
  <w:style w:type="paragraph" w:customStyle="1" w:styleId="358">
    <w:name w:val="可研正文"/>
    <w:basedOn w:val="300"/>
    <w:autoRedefine/>
    <w:qFormat/>
    <w:uiPriority w:val="0"/>
    <w:pPr>
      <w:adjustRightInd w:val="0"/>
      <w:snapToGrid w:val="0"/>
      <w:spacing w:line="440" w:lineRule="exact"/>
      <w:ind w:firstLine="567"/>
    </w:pPr>
    <w:rPr>
      <w:rFonts w:ascii="仿宋_GB2312" w:eastAsia="仿宋_GB2312"/>
      <w:color w:val="auto"/>
      <w:sz w:val="28"/>
    </w:rPr>
  </w:style>
  <w:style w:type="paragraph" w:customStyle="1" w:styleId="359">
    <w:name w:val="列表项目符号 41"/>
    <w:basedOn w:val="1"/>
    <w:autoRedefine/>
    <w:qFormat/>
    <w:uiPriority w:val="0"/>
    <w:pPr>
      <w:widowControl/>
      <w:tabs>
        <w:tab w:val="left" w:pos="1134"/>
      </w:tabs>
      <w:adjustRightInd w:val="0"/>
      <w:snapToGrid w:val="0"/>
      <w:spacing w:before="120" w:line="280" w:lineRule="atLeast"/>
      <w:ind w:left="1418" w:hanging="284"/>
    </w:pPr>
    <w:rPr>
      <w:rFonts w:ascii="宋体" w:cs="Calibri"/>
      <w:kern w:val="0"/>
      <w:sz w:val="22"/>
      <w:szCs w:val="20"/>
    </w:rPr>
  </w:style>
  <w:style w:type="paragraph" w:customStyle="1" w:styleId="360">
    <w:name w:val="列表项目符号 31"/>
    <w:basedOn w:val="1"/>
    <w:autoRedefine/>
    <w:qFormat/>
    <w:uiPriority w:val="0"/>
    <w:pPr>
      <w:tabs>
        <w:tab w:val="left" w:pos="1200"/>
      </w:tabs>
      <w:ind w:left="420" w:hanging="420"/>
    </w:pPr>
    <w:rPr>
      <w:rFonts w:cs="Calibri"/>
      <w:szCs w:val="20"/>
    </w:rPr>
  </w:style>
  <w:style w:type="paragraph" w:customStyle="1" w:styleId="361">
    <w:name w:val="普通(网站)1"/>
    <w:basedOn w:val="1"/>
    <w:autoRedefine/>
    <w:qFormat/>
    <w:uiPriority w:val="0"/>
    <w:rPr>
      <w:rFonts w:cs="Calibri"/>
      <w:sz w:val="24"/>
      <w:szCs w:val="20"/>
    </w:rPr>
  </w:style>
  <w:style w:type="paragraph" w:customStyle="1" w:styleId="362">
    <w:name w:val="_Style 155"/>
    <w:basedOn w:val="1"/>
    <w:autoRedefine/>
    <w:qFormat/>
    <w:uiPriority w:val="0"/>
    <w:pPr>
      <w:ind w:firstLine="420" w:firstLineChars="200"/>
    </w:pPr>
    <w:rPr>
      <w:rFonts w:cs="Calibri"/>
      <w:szCs w:val="20"/>
    </w:rPr>
  </w:style>
  <w:style w:type="paragraph" w:customStyle="1" w:styleId="363">
    <w:name w:val="列表内容"/>
    <w:basedOn w:val="1"/>
    <w:next w:val="1"/>
    <w:autoRedefine/>
    <w:qFormat/>
    <w:uiPriority w:val="0"/>
    <w:pPr>
      <w:widowControl/>
      <w:tabs>
        <w:tab w:val="left" w:pos="600"/>
        <w:tab w:val="left" w:pos="840"/>
      </w:tabs>
      <w:ind w:left="600" w:hanging="600"/>
    </w:pPr>
    <w:rPr>
      <w:rFonts w:cs="Calibri"/>
      <w:kern w:val="0"/>
      <w:sz w:val="18"/>
      <w:szCs w:val="20"/>
    </w:rPr>
  </w:style>
  <w:style w:type="paragraph" w:customStyle="1" w:styleId="364">
    <w:name w:val="正文缩进2"/>
    <w:basedOn w:val="1"/>
    <w:autoRedefine/>
    <w:qFormat/>
    <w:uiPriority w:val="0"/>
    <w:pPr>
      <w:ind w:firstLine="420"/>
    </w:pPr>
    <w:rPr>
      <w:rFonts w:cs="Calibri"/>
      <w:szCs w:val="20"/>
    </w:rPr>
  </w:style>
  <w:style w:type="paragraph" w:customStyle="1" w:styleId="365">
    <w:name w:val="正文加点1"/>
    <w:basedOn w:val="266"/>
    <w:autoRedefine/>
    <w:qFormat/>
    <w:uiPriority w:val="0"/>
    <w:pPr>
      <w:tabs>
        <w:tab w:val="left" w:pos="600"/>
      </w:tabs>
      <w:spacing w:before="156" w:beforeLines="50" w:after="156" w:afterLines="50" w:line="360" w:lineRule="auto"/>
      <w:ind w:left="600" w:hanging="600"/>
    </w:pPr>
    <w:rPr>
      <w:rFonts w:ascii="Arial" w:hAnsi="Arial"/>
      <w:b/>
      <w:sz w:val="24"/>
    </w:rPr>
  </w:style>
  <w:style w:type="paragraph" w:customStyle="1" w:styleId="366">
    <w:name w:val="样式 样式 标题 5 + 段前: 5 磅 段后: 5 磅 行距: 单倍行距 + 五号"/>
    <w:basedOn w:val="350"/>
    <w:autoRedefine/>
    <w:qFormat/>
    <w:uiPriority w:val="0"/>
    <w:rPr>
      <w:sz w:val="21"/>
    </w:rPr>
  </w:style>
  <w:style w:type="paragraph" w:customStyle="1" w:styleId="367">
    <w:name w:val="招标文件1）"/>
    <w:autoRedefine/>
    <w:qFormat/>
    <w:uiPriority w:val="0"/>
    <w:pPr>
      <w:spacing w:before="120" w:after="120" w:line="300" w:lineRule="auto"/>
      <w:outlineLvl w:val="5"/>
    </w:pPr>
    <w:rPr>
      <w:rFonts w:ascii="宋体" w:hAnsi="Calibri" w:eastAsia="宋体" w:cs="Calibri"/>
      <w:spacing w:val="10"/>
      <w:w w:val="95"/>
      <w:sz w:val="21"/>
      <w:lang w:val="en-US" w:eastAsia="zh-CN" w:bidi="ar-SA"/>
    </w:rPr>
  </w:style>
  <w:style w:type="paragraph" w:customStyle="1" w:styleId="368">
    <w:name w:val="金宏发行正文"/>
    <w:basedOn w:val="1"/>
    <w:autoRedefine/>
    <w:qFormat/>
    <w:uiPriority w:val="0"/>
    <w:pPr>
      <w:spacing w:line="500" w:lineRule="exact"/>
      <w:ind w:firstLine="560" w:firstLineChars="200"/>
    </w:pPr>
    <w:rPr>
      <w:rFonts w:eastAsia="仿宋_GB2312" w:cs="Calibri"/>
      <w:sz w:val="28"/>
      <w:szCs w:val="20"/>
    </w:rPr>
  </w:style>
  <w:style w:type="paragraph" w:customStyle="1" w:styleId="369">
    <w:name w:val="Char Char Char"/>
    <w:basedOn w:val="1"/>
    <w:autoRedefine/>
    <w:qFormat/>
    <w:uiPriority w:val="0"/>
    <w:rPr>
      <w:rFonts w:hint="eastAsia" w:cs="Calibri"/>
      <w:szCs w:val="20"/>
    </w:rPr>
  </w:style>
  <w:style w:type="paragraph" w:customStyle="1" w:styleId="370">
    <w:name w:val="Char3 Char Char"/>
    <w:basedOn w:val="1"/>
    <w:autoRedefine/>
    <w:qFormat/>
    <w:uiPriority w:val="0"/>
    <w:rPr>
      <w:rFonts w:ascii="Tahoma" w:hAnsi="Tahoma" w:cs="Calibri"/>
      <w:sz w:val="24"/>
      <w:szCs w:val="20"/>
    </w:rPr>
  </w:style>
  <w:style w:type="paragraph" w:customStyle="1" w:styleId="371">
    <w:name w:val="列表 21"/>
    <w:basedOn w:val="1"/>
    <w:qFormat/>
    <w:uiPriority w:val="0"/>
    <w:pPr>
      <w:ind w:left="100" w:leftChars="200" w:hanging="200" w:hangingChars="200"/>
    </w:pPr>
    <w:rPr>
      <w:rFonts w:cs="Calibri"/>
      <w:szCs w:val="20"/>
    </w:rPr>
  </w:style>
  <w:style w:type="paragraph" w:customStyle="1" w:styleId="372">
    <w:name w:val="6"/>
    <w:basedOn w:val="1"/>
    <w:next w:val="361"/>
    <w:autoRedefine/>
    <w:qFormat/>
    <w:uiPriority w:val="0"/>
    <w:pPr>
      <w:adjustRightInd w:val="0"/>
      <w:snapToGrid w:val="0"/>
    </w:pPr>
    <w:rPr>
      <w:rFonts w:cs="Calibri"/>
      <w:sz w:val="24"/>
      <w:szCs w:val="20"/>
    </w:rPr>
  </w:style>
  <w:style w:type="paragraph" w:customStyle="1" w:styleId="373">
    <w:name w:val="Char Char1 Char Char Char Char1 Char Char Char Char Char Char Char Char"/>
    <w:basedOn w:val="1"/>
    <w:autoRedefine/>
    <w:qFormat/>
    <w:uiPriority w:val="0"/>
    <w:rPr>
      <w:rFonts w:ascii="Tahoma" w:hAnsi="Tahoma" w:cs="Calibri"/>
      <w:sz w:val="24"/>
      <w:szCs w:val="20"/>
    </w:rPr>
  </w:style>
  <w:style w:type="paragraph" w:customStyle="1" w:styleId="374">
    <w:name w:val="招标文件1.1"/>
    <w:autoRedefine/>
    <w:qFormat/>
    <w:uiPriority w:val="0"/>
    <w:pPr>
      <w:tabs>
        <w:tab w:val="left" w:pos="630"/>
      </w:tabs>
      <w:spacing w:before="120" w:after="120" w:line="480" w:lineRule="exact"/>
      <w:ind w:left="200"/>
      <w:outlineLvl w:val="2"/>
    </w:pPr>
    <w:rPr>
      <w:rFonts w:ascii="宋体" w:hAnsi="Calibri" w:eastAsia="宋体" w:cs="Calibri"/>
      <w:b/>
      <w:spacing w:val="10"/>
      <w:w w:val="95"/>
      <w:sz w:val="24"/>
      <w:lang w:val="en-US" w:eastAsia="zh-CN" w:bidi="ar-SA"/>
    </w:rPr>
  </w:style>
  <w:style w:type="paragraph" w:customStyle="1" w:styleId="375">
    <w:name w:val="默认段落字体 Para Char Char Char1 Char Char Char Char Char Char Char Char Char Char Char Char"/>
    <w:basedOn w:val="1"/>
    <w:autoRedefine/>
    <w:qFormat/>
    <w:uiPriority w:val="0"/>
    <w:pPr>
      <w:adjustRightInd w:val="0"/>
      <w:spacing w:line="360" w:lineRule="auto"/>
    </w:pPr>
    <w:rPr>
      <w:rFonts w:cs="Calibri"/>
      <w:kern w:val="0"/>
      <w:sz w:val="24"/>
      <w:szCs w:val="20"/>
    </w:rPr>
  </w:style>
  <w:style w:type="paragraph" w:customStyle="1" w:styleId="376">
    <w:name w:val="纯文本2"/>
    <w:basedOn w:val="1"/>
    <w:autoRedefine/>
    <w:qFormat/>
    <w:uiPriority w:val="0"/>
    <w:rPr>
      <w:rFonts w:ascii="宋体" w:hAnsi="Courier New" w:cs="Calibri"/>
      <w:szCs w:val="20"/>
    </w:rPr>
  </w:style>
  <w:style w:type="paragraph" w:customStyle="1" w:styleId="377">
    <w:name w:val="xl23"/>
    <w:basedOn w:val="1"/>
    <w:qFormat/>
    <w:uiPriority w:val="0"/>
    <w:pPr>
      <w:widowControl/>
      <w:spacing w:before="100" w:beforeAutospacing="1" w:after="100" w:afterAutospacing="1"/>
    </w:pPr>
    <w:rPr>
      <w:rFonts w:eastAsia="Arial Unicode MS" w:cs="Calibri"/>
      <w:kern w:val="0"/>
      <w:szCs w:val="20"/>
    </w:rPr>
  </w:style>
  <w:style w:type="paragraph" w:customStyle="1" w:styleId="378">
    <w:name w:val="列表接续 31"/>
    <w:basedOn w:val="1"/>
    <w:qFormat/>
    <w:uiPriority w:val="0"/>
    <w:pPr>
      <w:spacing w:after="120"/>
      <w:ind w:left="1260" w:leftChars="600"/>
    </w:pPr>
    <w:rPr>
      <w:rFonts w:cs="Calibri"/>
      <w:szCs w:val="20"/>
    </w:rPr>
  </w:style>
  <w:style w:type="paragraph" w:customStyle="1" w:styleId="379">
    <w:name w:val="Char Char5"/>
    <w:basedOn w:val="111"/>
    <w:qFormat/>
    <w:uiPriority w:val="0"/>
    <w:rPr>
      <w:rFonts w:ascii="Tahoma" w:hAnsi="Tahoma"/>
      <w:sz w:val="24"/>
    </w:rPr>
  </w:style>
  <w:style w:type="paragraph" w:customStyle="1" w:styleId="380">
    <w:name w:val="Item List in Table"/>
    <w:basedOn w:val="1"/>
    <w:autoRedefine/>
    <w:qFormat/>
    <w:uiPriority w:val="0"/>
    <w:pPr>
      <w:tabs>
        <w:tab w:val="left" w:pos="425"/>
      </w:tabs>
      <w:ind w:left="425" w:hanging="425"/>
    </w:pPr>
    <w:rPr>
      <w:rFonts w:cs="Calibri"/>
      <w:szCs w:val="20"/>
    </w:rPr>
  </w:style>
  <w:style w:type="paragraph" w:customStyle="1" w:styleId="381">
    <w:name w:val="p0"/>
    <w:basedOn w:val="1"/>
    <w:autoRedefine/>
    <w:qFormat/>
    <w:uiPriority w:val="0"/>
    <w:pPr>
      <w:widowControl/>
    </w:pPr>
    <w:rPr>
      <w:rFonts w:cs="Calibri"/>
      <w:kern w:val="0"/>
      <w:szCs w:val="20"/>
    </w:rPr>
  </w:style>
  <w:style w:type="paragraph" w:customStyle="1" w:styleId="382">
    <w:name w:val="*8. General Text"/>
    <w:basedOn w:val="1"/>
    <w:next w:val="1"/>
    <w:autoRedefine/>
    <w:qFormat/>
    <w:uiPriority w:val="0"/>
    <w:pPr>
      <w:autoSpaceDE w:val="0"/>
      <w:autoSpaceDN w:val="0"/>
      <w:adjustRightInd w:val="0"/>
      <w:spacing w:after="120"/>
    </w:pPr>
    <w:rPr>
      <w:rFonts w:cs="Calibri"/>
      <w:kern w:val="0"/>
      <w:sz w:val="24"/>
      <w:szCs w:val="20"/>
    </w:rPr>
  </w:style>
  <w:style w:type="paragraph" w:customStyle="1" w:styleId="383">
    <w:name w:val="空项目内容"/>
    <w:basedOn w:val="1"/>
    <w:autoRedefine/>
    <w:qFormat/>
    <w:uiPriority w:val="0"/>
    <w:pPr>
      <w:tabs>
        <w:tab w:val="left" w:pos="720"/>
      </w:tabs>
      <w:spacing w:line="360" w:lineRule="auto"/>
      <w:ind w:left="720" w:hanging="720"/>
    </w:pPr>
    <w:rPr>
      <w:rFonts w:cs="Calibri"/>
      <w:sz w:val="24"/>
      <w:szCs w:val="20"/>
    </w:rPr>
  </w:style>
  <w:style w:type="paragraph" w:customStyle="1" w:styleId="384">
    <w:name w:val="Table Heading"/>
    <w:basedOn w:val="1"/>
    <w:autoRedefine/>
    <w:qFormat/>
    <w:uiPriority w:val="0"/>
    <w:rPr>
      <w:rFonts w:ascii="宋体" w:hAnsi="宋体" w:cs="Calibri"/>
      <w:b/>
      <w:kern w:val="0"/>
      <w:szCs w:val="20"/>
    </w:rPr>
  </w:style>
  <w:style w:type="paragraph" w:customStyle="1" w:styleId="385">
    <w:name w:val="样式 标题 2 + 行距: 1.5 倍行距"/>
    <w:basedOn w:val="4"/>
    <w:autoRedefine/>
    <w:qFormat/>
    <w:uiPriority w:val="0"/>
    <w:pPr>
      <w:widowControl w:val="0"/>
      <w:tabs>
        <w:tab w:val="left" w:pos="425"/>
      </w:tabs>
      <w:spacing w:line="360" w:lineRule="auto"/>
      <w:ind w:left="425" w:hanging="425"/>
    </w:pPr>
    <w:rPr>
      <w:rFonts w:cs="Calibri"/>
      <w:b/>
      <w:kern w:val="2"/>
      <w:sz w:val="32"/>
      <w:lang w:val="en-US"/>
    </w:rPr>
  </w:style>
  <w:style w:type="paragraph" w:customStyle="1" w:styleId="386">
    <w:name w:val="样式 正文缩进正文（首行缩进两字）表正文正文非缩进特点标题4段1 + 首行缩进:  2 字符"/>
    <w:basedOn w:val="266"/>
    <w:qFormat/>
    <w:uiPriority w:val="0"/>
    <w:pPr>
      <w:adjustRightInd w:val="0"/>
      <w:snapToGrid w:val="0"/>
      <w:spacing w:line="360" w:lineRule="auto"/>
      <w:ind w:firstLine="480" w:firstLineChars="200"/>
    </w:pPr>
    <w:rPr>
      <w:sz w:val="24"/>
    </w:rPr>
  </w:style>
  <w:style w:type="paragraph" w:customStyle="1" w:styleId="387">
    <w:name w:val="一级标题"/>
    <w:basedOn w:val="111"/>
    <w:autoRedefine/>
    <w:qFormat/>
    <w:uiPriority w:val="0"/>
    <w:pPr>
      <w:adjustRightInd w:val="0"/>
      <w:spacing w:line="360" w:lineRule="auto"/>
      <w:ind w:left="1985" w:hanging="709"/>
      <w:outlineLvl w:val="3"/>
    </w:pPr>
    <w:rPr>
      <w:rFonts w:ascii="Tahoma" w:hAnsi="Tahoma"/>
      <w:sz w:val="24"/>
    </w:rPr>
  </w:style>
  <w:style w:type="paragraph" w:customStyle="1" w:styleId="388">
    <w:name w:val="楷体粗正文文字"/>
    <w:basedOn w:val="1"/>
    <w:next w:val="285"/>
    <w:autoRedefine/>
    <w:qFormat/>
    <w:uiPriority w:val="0"/>
    <w:pPr>
      <w:snapToGrid w:val="0"/>
      <w:spacing w:line="480" w:lineRule="exact"/>
      <w:ind w:firstLine="560"/>
    </w:pPr>
    <w:rPr>
      <w:rFonts w:cs="Calibri"/>
      <w:sz w:val="28"/>
      <w:szCs w:val="20"/>
    </w:rPr>
  </w:style>
  <w:style w:type="paragraph" w:customStyle="1" w:styleId="389">
    <w:name w:val="Date2"/>
    <w:basedOn w:val="1"/>
    <w:next w:val="1"/>
    <w:autoRedefine/>
    <w:qFormat/>
    <w:uiPriority w:val="0"/>
    <w:pPr>
      <w:adjustRightInd w:val="0"/>
      <w:spacing w:line="312" w:lineRule="atLeast"/>
      <w:textAlignment w:val="baseline"/>
    </w:pPr>
    <w:rPr>
      <w:rFonts w:cs="Calibri"/>
      <w:kern w:val="0"/>
      <w:sz w:val="24"/>
      <w:szCs w:val="20"/>
    </w:rPr>
  </w:style>
  <w:style w:type="paragraph" w:customStyle="1" w:styleId="390">
    <w:name w:val="修订8"/>
    <w:qFormat/>
    <w:uiPriority w:val="0"/>
    <w:rPr>
      <w:rFonts w:ascii="Calibri" w:hAnsi="Calibri" w:eastAsia="宋体" w:cs="Calibri"/>
      <w:kern w:val="2"/>
      <w:sz w:val="21"/>
      <w:lang w:val="en-US" w:eastAsia="zh-CN" w:bidi="ar-SA"/>
    </w:rPr>
  </w:style>
  <w:style w:type="paragraph" w:customStyle="1" w:styleId="391">
    <w:name w:val="1 Char Char Char Char"/>
    <w:basedOn w:val="1"/>
    <w:autoRedefine/>
    <w:qFormat/>
    <w:uiPriority w:val="0"/>
    <w:rPr>
      <w:rFonts w:ascii="Tahoma" w:hAnsi="Tahoma" w:cs="Calibri"/>
      <w:sz w:val="24"/>
      <w:szCs w:val="20"/>
    </w:rPr>
  </w:style>
  <w:style w:type="paragraph" w:customStyle="1" w:styleId="392">
    <w:name w:val="文档正文 Char Char Char Char Char"/>
    <w:basedOn w:val="1"/>
    <w:qFormat/>
    <w:uiPriority w:val="0"/>
    <w:pPr>
      <w:adjustRightInd w:val="0"/>
      <w:spacing w:line="440" w:lineRule="exact"/>
      <w:ind w:left="100" w:leftChars="100" w:right="100" w:rightChars="100" w:firstLine="420"/>
      <w:textAlignment w:val="baseline"/>
    </w:pPr>
    <w:rPr>
      <w:rFonts w:ascii="Arial Narrow" w:hAnsi="Arial Narrow" w:cs="Calibri"/>
      <w:kern w:val="0"/>
      <w:sz w:val="24"/>
      <w:szCs w:val="20"/>
    </w:rPr>
  </w:style>
  <w:style w:type="paragraph" w:customStyle="1" w:styleId="393">
    <w:name w:val="招标文件1"/>
    <w:basedOn w:val="1"/>
    <w:qFormat/>
    <w:uiPriority w:val="0"/>
    <w:pPr>
      <w:tabs>
        <w:tab w:val="left" w:pos="420"/>
      </w:tabs>
      <w:spacing w:before="120" w:after="120" w:line="480" w:lineRule="exact"/>
      <w:ind w:left="200"/>
      <w:outlineLvl w:val="1"/>
    </w:pPr>
    <w:rPr>
      <w:rFonts w:ascii="宋体" w:cs="Calibri"/>
      <w:b/>
      <w:spacing w:val="10"/>
      <w:w w:val="95"/>
      <w:kern w:val="0"/>
      <w:sz w:val="28"/>
      <w:szCs w:val="20"/>
    </w:rPr>
  </w:style>
  <w:style w:type="paragraph" w:customStyle="1" w:styleId="394">
    <w:name w:val="Char Char Char Char Char Char Char1"/>
    <w:basedOn w:val="1"/>
    <w:autoRedefine/>
    <w:qFormat/>
    <w:uiPriority w:val="0"/>
    <w:rPr>
      <w:rFonts w:cs="Calibri"/>
      <w:szCs w:val="20"/>
    </w:rPr>
  </w:style>
  <w:style w:type="paragraph" w:customStyle="1" w:styleId="395">
    <w:name w:val="招标文件1.1.1"/>
    <w:qFormat/>
    <w:uiPriority w:val="0"/>
    <w:pPr>
      <w:spacing w:before="120" w:after="120" w:line="480" w:lineRule="exact"/>
      <w:ind w:left="200"/>
      <w:outlineLvl w:val="3"/>
    </w:pPr>
    <w:rPr>
      <w:rFonts w:ascii="宋体" w:hAnsi="Calibri" w:eastAsia="宋体" w:cs="Calibri"/>
      <w:b/>
      <w:spacing w:val="10"/>
      <w:w w:val="95"/>
      <w:sz w:val="21"/>
      <w:lang w:val="en-US" w:eastAsia="zh-CN" w:bidi="ar-SA"/>
    </w:rPr>
  </w:style>
  <w:style w:type="paragraph" w:customStyle="1" w:styleId="396">
    <w:name w:val="脚注文本1"/>
    <w:basedOn w:val="1"/>
    <w:autoRedefine/>
    <w:qFormat/>
    <w:uiPriority w:val="0"/>
    <w:pPr>
      <w:snapToGrid w:val="0"/>
    </w:pPr>
    <w:rPr>
      <w:rFonts w:cs="Calibri"/>
      <w:sz w:val="18"/>
      <w:szCs w:val="20"/>
    </w:rPr>
  </w:style>
  <w:style w:type="paragraph" w:customStyle="1" w:styleId="397">
    <w:name w:val="标题3"/>
    <w:basedOn w:val="2"/>
    <w:next w:val="300"/>
    <w:qFormat/>
    <w:uiPriority w:val="0"/>
    <w:pPr>
      <w:widowControl w:val="0"/>
      <w:numPr>
        <w:ilvl w:val="0"/>
        <w:numId w:val="0"/>
      </w:numPr>
      <w:tabs>
        <w:tab w:val="clear" w:pos="432"/>
        <w:tab w:val="clear" w:pos="720"/>
      </w:tabs>
      <w:spacing w:before="260" w:after="260" w:line="413" w:lineRule="auto"/>
      <w:ind w:left="720" w:hanging="720"/>
      <w:jc w:val="both"/>
    </w:pPr>
    <w:rPr>
      <w:rFonts w:ascii="黑体" w:hAnsi="Calibri" w:eastAsia="黑体"/>
      <w:kern w:val="2"/>
      <w:sz w:val="28"/>
      <w:lang w:val="en-US"/>
    </w:rPr>
  </w:style>
  <w:style w:type="paragraph" w:customStyle="1" w:styleId="398">
    <w:name w:val="Char Char Char Char Char Char1 Char Char Char Char"/>
    <w:basedOn w:val="111"/>
    <w:autoRedefine/>
    <w:qFormat/>
    <w:uiPriority w:val="0"/>
  </w:style>
  <w:style w:type="paragraph" w:customStyle="1" w:styleId="399">
    <w:name w:val="样式 标题 1 + 行距: 1.5 倍行距1"/>
    <w:basedOn w:val="3"/>
    <w:autoRedefine/>
    <w:qFormat/>
    <w:uiPriority w:val="0"/>
    <w:pPr>
      <w:keepLines/>
      <w:widowControl w:val="0"/>
      <w:tabs>
        <w:tab w:val="left" w:pos="425"/>
        <w:tab w:val="clear" w:pos="432"/>
      </w:tabs>
      <w:spacing w:before="340" w:after="330" w:line="360" w:lineRule="auto"/>
      <w:ind w:left="425" w:hanging="425"/>
      <w:jc w:val="both"/>
    </w:pPr>
    <w:rPr>
      <w:rFonts w:ascii="Calibri" w:hAnsi="Calibri" w:cs="Times New Roman"/>
      <w:kern w:val="44"/>
      <w:sz w:val="44"/>
      <w:lang w:val="en-US"/>
    </w:rPr>
  </w:style>
  <w:style w:type="paragraph" w:customStyle="1" w:styleId="400">
    <w:name w:val="Char Char Char Char Char Char Char Char Char Char Char Char Char Char Char Char"/>
    <w:basedOn w:val="1"/>
    <w:autoRedefine/>
    <w:qFormat/>
    <w:uiPriority w:val="0"/>
    <w:rPr>
      <w:rFonts w:ascii="Tahoma" w:hAnsi="Tahoma" w:cs="Calibri"/>
      <w:sz w:val="24"/>
      <w:szCs w:val="20"/>
    </w:rPr>
  </w:style>
  <w:style w:type="paragraph" w:customStyle="1" w:styleId="401">
    <w:name w:val="样式 标题 1Heading 0H1PIM 1123321Title1卷标题h11.ch章节标题第*部分..."/>
    <w:basedOn w:val="3"/>
    <w:autoRedefine/>
    <w:qFormat/>
    <w:uiPriority w:val="0"/>
    <w:pPr>
      <w:keepLines/>
      <w:widowControl w:val="0"/>
      <w:tabs>
        <w:tab w:val="left" w:pos="420"/>
        <w:tab w:val="clear" w:pos="432"/>
      </w:tabs>
      <w:spacing w:before="340" w:after="330" w:line="360" w:lineRule="auto"/>
      <w:ind w:left="420" w:hanging="420"/>
      <w:jc w:val="both"/>
    </w:pPr>
    <w:rPr>
      <w:rFonts w:ascii="Arial" w:hAnsi="Arial" w:cs="Times New Roman"/>
      <w:color w:val="000000"/>
      <w:kern w:val="44"/>
      <w:sz w:val="44"/>
      <w:lang w:val="en-US"/>
    </w:rPr>
  </w:style>
  <w:style w:type="paragraph" w:customStyle="1" w:styleId="402">
    <w:name w:val="标题1"/>
    <w:basedOn w:val="30"/>
    <w:autoRedefine/>
    <w:qFormat/>
    <w:uiPriority w:val="0"/>
    <w:pPr>
      <w:tabs>
        <w:tab w:val="right" w:leader="underscore" w:pos="9061"/>
        <w:tab w:val="clear" w:pos="8302"/>
      </w:tabs>
      <w:spacing w:before="120" w:after="120" w:line="240" w:lineRule="auto"/>
      <w:jc w:val="left"/>
    </w:pPr>
    <w:rPr>
      <w:rFonts w:ascii="方正姚体" w:hAnsi="宋体" w:eastAsia="方正姚体" w:cs="Calibri"/>
      <w:i/>
      <w:caps/>
      <w:sz w:val="20"/>
      <w:szCs w:val="20"/>
    </w:rPr>
  </w:style>
  <w:style w:type="paragraph" w:customStyle="1" w:styleId="403">
    <w:name w:val="正文文字(ALT+W)"/>
    <w:basedOn w:val="1"/>
    <w:next w:val="266"/>
    <w:autoRedefine/>
    <w:qFormat/>
    <w:uiPriority w:val="0"/>
    <w:pPr>
      <w:adjustRightInd w:val="0"/>
      <w:snapToGrid w:val="0"/>
      <w:spacing w:line="360" w:lineRule="auto"/>
      <w:ind w:firstLine="420"/>
    </w:pPr>
    <w:rPr>
      <w:rFonts w:cs="Calibri"/>
      <w:sz w:val="24"/>
      <w:szCs w:val="20"/>
    </w:rPr>
  </w:style>
  <w:style w:type="paragraph" w:customStyle="1" w:styleId="404">
    <w:name w:val="列出段落4"/>
    <w:basedOn w:val="1"/>
    <w:autoRedefine/>
    <w:qFormat/>
    <w:uiPriority w:val="0"/>
    <w:pPr>
      <w:ind w:firstLine="420" w:firstLineChars="200"/>
    </w:pPr>
    <w:rPr>
      <w:rFonts w:cs="Calibri"/>
      <w:szCs w:val="20"/>
    </w:rPr>
  </w:style>
  <w:style w:type="paragraph" w:customStyle="1" w:styleId="405">
    <w:name w:val="Char Char1 Char Char Char Char1 Char Char Char Char Char Char Char Char Char Char Char Char1"/>
    <w:basedOn w:val="1"/>
    <w:qFormat/>
    <w:uiPriority w:val="0"/>
    <w:rPr>
      <w:rFonts w:ascii="Tahoma" w:hAnsi="Tahoma" w:cs="Calibri"/>
      <w:sz w:val="24"/>
      <w:szCs w:val="20"/>
    </w:rPr>
  </w:style>
  <w:style w:type="paragraph" w:customStyle="1" w:styleId="406">
    <w:name w:val="prop1"/>
    <w:basedOn w:val="6"/>
    <w:autoRedefine/>
    <w:qFormat/>
    <w:uiPriority w:val="0"/>
    <w:pPr>
      <w:tabs>
        <w:tab w:val="left" w:pos="425"/>
      </w:tabs>
      <w:spacing w:line="360" w:lineRule="auto"/>
      <w:ind w:left="425" w:hanging="425"/>
    </w:pPr>
    <w:rPr>
      <w:rFonts w:eastAsia="黑体" w:cs="Calibri"/>
      <w:bCs w:val="0"/>
      <w:szCs w:val="20"/>
    </w:rPr>
  </w:style>
  <w:style w:type="paragraph" w:customStyle="1" w:styleId="407">
    <w:name w:val="gczx正文"/>
    <w:basedOn w:val="1"/>
    <w:autoRedefine/>
    <w:qFormat/>
    <w:uiPriority w:val="0"/>
    <w:pPr>
      <w:spacing w:before="78" w:beforeLines="25" w:after="78" w:afterLines="25" w:line="440" w:lineRule="exact"/>
      <w:ind w:firstLine="200" w:firstLineChars="200"/>
    </w:pPr>
    <w:rPr>
      <w:rFonts w:cs="Calibri"/>
      <w:sz w:val="24"/>
      <w:szCs w:val="20"/>
    </w:rPr>
  </w:style>
  <w:style w:type="paragraph" w:customStyle="1" w:styleId="408">
    <w:name w:val="正文首行缩进2字符"/>
    <w:basedOn w:val="1"/>
    <w:autoRedefine/>
    <w:qFormat/>
    <w:uiPriority w:val="0"/>
    <w:pPr>
      <w:widowControl/>
      <w:spacing w:line="276" w:lineRule="auto"/>
      <w:ind w:firstLine="420" w:firstLineChars="200"/>
      <w:jc w:val="left"/>
    </w:pPr>
    <w:rPr>
      <w:rFonts w:ascii="Cambria" w:hAnsi="Cambria" w:cs="Calibri"/>
      <w:kern w:val="0"/>
      <w:szCs w:val="20"/>
    </w:rPr>
  </w:style>
  <w:style w:type="paragraph" w:customStyle="1" w:styleId="409">
    <w:name w:val="Char Char2"/>
    <w:basedOn w:val="1"/>
    <w:autoRedefine/>
    <w:qFormat/>
    <w:uiPriority w:val="0"/>
    <w:rPr>
      <w:rFonts w:ascii="Tahoma" w:hAnsi="Tahoma" w:cs="Calibri"/>
      <w:sz w:val="24"/>
      <w:szCs w:val="20"/>
    </w:rPr>
  </w:style>
  <w:style w:type="paragraph" w:customStyle="1" w:styleId="410">
    <w:name w:val="正文表格"/>
    <w:basedOn w:val="1"/>
    <w:autoRedefine/>
    <w:qFormat/>
    <w:uiPriority w:val="0"/>
    <w:pPr>
      <w:ind w:left="10" w:leftChars="10" w:right="10" w:rightChars="10"/>
    </w:pPr>
    <w:rPr>
      <w:rFonts w:cs="Calibri"/>
      <w:szCs w:val="20"/>
    </w:rPr>
  </w:style>
  <w:style w:type="paragraph" w:customStyle="1" w:styleId="411">
    <w:name w:val="招标文件》"/>
    <w:basedOn w:val="317"/>
    <w:autoRedefine/>
    <w:qFormat/>
    <w:uiPriority w:val="0"/>
    <w:pPr>
      <w:tabs>
        <w:tab w:val="left" w:pos="560"/>
      </w:tabs>
      <w:ind w:left="200" w:firstLine="0" w:firstLineChars="0"/>
    </w:pPr>
  </w:style>
  <w:style w:type="paragraph" w:customStyle="1" w:styleId="412">
    <w:name w:val="a"/>
    <w:basedOn w:val="1"/>
    <w:autoRedefine/>
    <w:qFormat/>
    <w:uiPriority w:val="0"/>
    <w:pPr>
      <w:widowControl/>
      <w:spacing w:before="100" w:beforeAutospacing="1" w:after="100" w:afterAutospacing="1"/>
    </w:pPr>
    <w:rPr>
      <w:rFonts w:ascii="宋体" w:hAnsi="宋体" w:cs="Calibri"/>
      <w:kern w:val="0"/>
      <w:sz w:val="24"/>
      <w:szCs w:val="20"/>
    </w:rPr>
  </w:style>
  <w:style w:type="paragraph" w:customStyle="1" w:styleId="413">
    <w:name w:val="List Bullet1"/>
    <w:basedOn w:val="1"/>
    <w:qFormat/>
    <w:uiPriority w:val="0"/>
    <w:pPr>
      <w:widowControl/>
      <w:tabs>
        <w:tab w:val="left" w:pos="987"/>
      </w:tabs>
      <w:adjustRightInd w:val="0"/>
      <w:snapToGrid w:val="0"/>
      <w:spacing w:line="360" w:lineRule="auto"/>
      <w:ind w:left="987" w:hanging="420"/>
    </w:pPr>
    <w:rPr>
      <w:rFonts w:cs="Calibri"/>
      <w:kern w:val="0"/>
      <w:sz w:val="24"/>
      <w:szCs w:val="20"/>
    </w:rPr>
  </w:style>
  <w:style w:type="paragraph" w:customStyle="1" w:styleId="414">
    <w:name w:val="样式3"/>
    <w:basedOn w:val="4"/>
    <w:autoRedefine/>
    <w:qFormat/>
    <w:uiPriority w:val="0"/>
    <w:pPr>
      <w:widowControl w:val="0"/>
      <w:tabs>
        <w:tab w:val="left" w:pos="576"/>
      </w:tabs>
      <w:spacing w:before="0" w:after="0" w:line="360" w:lineRule="auto"/>
      <w:ind w:left="576" w:hanging="576"/>
    </w:pPr>
    <w:rPr>
      <w:rFonts w:ascii="宋体" w:hAnsi="宋体" w:cs="Calibri"/>
      <w:b/>
      <w:kern w:val="2"/>
      <w:lang w:val="en-US"/>
    </w:rPr>
  </w:style>
  <w:style w:type="paragraph" w:customStyle="1" w:styleId="415">
    <w:name w:val="文本框样式1"/>
    <w:basedOn w:val="1"/>
    <w:qFormat/>
    <w:uiPriority w:val="0"/>
    <w:pPr>
      <w:adjustRightInd w:val="0"/>
      <w:snapToGrid w:val="0"/>
      <w:spacing w:before="60" w:line="180" w:lineRule="exact"/>
    </w:pPr>
    <w:rPr>
      <w:rFonts w:cs="Calibri"/>
      <w:szCs w:val="20"/>
    </w:rPr>
  </w:style>
  <w:style w:type="paragraph" w:customStyle="1" w:styleId="416">
    <w:name w:val="目录4"/>
    <w:basedOn w:val="1"/>
    <w:autoRedefine/>
    <w:qFormat/>
    <w:uiPriority w:val="0"/>
    <w:pPr>
      <w:widowControl/>
      <w:tabs>
        <w:tab w:val="left" w:pos="425"/>
      </w:tabs>
      <w:spacing w:line="360" w:lineRule="auto"/>
      <w:ind w:left="179" w:hanging="179"/>
    </w:pPr>
    <w:rPr>
      <w:rFonts w:ascii="宋体" w:hAnsi="宋体" w:cs="Calibri"/>
      <w:b/>
      <w:kern w:val="0"/>
      <w:szCs w:val="20"/>
    </w:rPr>
  </w:style>
  <w:style w:type="paragraph" w:customStyle="1" w:styleId="417">
    <w:name w:val="1正文首行缩进"/>
    <w:basedOn w:val="1"/>
    <w:autoRedefine/>
    <w:qFormat/>
    <w:uiPriority w:val="0"/>
    <w:pPr>
      <w:spacing w:line="460" w:lineRule="atLeast"/>
      <w:ind w:firstLine="200" w:firstLineChars="200"/>
    </w:pPr>
    <w:rPr>
      <w:rFonts w:hint="eastAsia" w:ascii="宋体" w:hAnsi="宋体" w:cs="Calibri"/>
      <w:sz w:val="24"/>
      <w:szCs w:val="20"/>
    </w:rPr>
  </w:style>
  <w:style w:type="paragraph" w:customStyle="1" w:styleId="418">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hAnsi="Courier New" w:eastAsia="黑体" w:cs="Calibri"/>
      <w:kern w:val="0"/>
      <w:sz w:val="20"/>
      <w:szCs w:val="20"/>
    </w:rPr>
  </w:style>
  <w:style w:type="paragraph" w:customStyle="1" w:styleId="419">
    <w:name w:val="样式 首行缩进:  2 字符"/>
    <w:basedOn w:val="1"/>
    <w:autoRedefine/>
    <w:qFormat/>
    <w:uiPriority w:val="0"/>
    <w:pPr>
      <w:spacing w:line="480" w:lineRule="exact"/>
      <w:ind w:firstLine="560" w:firstLineChars="200"/>
    </w:pPr>
    <w:rPr>
      <w:rFonts w:eastAsia="仿宋_GB2312" w:cs="Calibri"/>
      <w:sz w:val="28"/>
      <w:szCs w:val="20"/>
    </w:rPr>
  </w:style>
  <w:style w:type="paragraph" w:customStyle="1" w:styleId="420">
    <w:name w:val="默认段落字体 Para Char"/>
    <w:basedOn w:val="270"/>
    <w:next w:val="270"/>
    <w:autoRedefine/>
    <w:qFormat/>
    <w:uiPriority w:val="0"/>
    <w:pPr>
      <w:adjustRightInd w:val="0"/>
      <w:snapToGrid w:val="0"/>
      <w:spacing w:before="156" w:beforeLines="50" w:after="312" w:afterLines="100" w:line="360" w:lineRule="auto"/>
      <w:ind w:left="0" w:leftChars="0" w:firstLine="200"/>
    </w:pPr>
    <w:rPr>
      <w:rFonts w:ascii="Tahoma" w:hAnsi="Tahoma"/>
    </w:rPr>
  </w:style>
  <w:style w:type="paragraph" w:customStyle="1" w:styleId="421">
    <w:name w:val="样式 标题 2 + 宋体 五号 行距: 单倍行距"/>
    <w:basedOn w:val="4"/>
    <w:autoRedefine/>
    <w:qFormat/>
    <w:uiPriority w:val="0"/>
    <w:pPr>
      <w:widowControl w:val="0"/>
      <w:adjustRightInd w:val="0"/>
      <w:spacing w:line="240" w:lineRule="auto"/>
      <w:ind w:left="360"/>
      <w:textAlignment w:val="baseline"/>
    </w:pPr>
    <w:rPr>
      <w:rFonts w:ascii="宋体" w:hAnsi="宋体" w:cs="Calibri"/>
      <w:b/>
      <w:sz w:val="21"/>
      <w:lang w:val="en-US"/>
    </w:rPr>
  </w:style>
  <w:style w:type="paragraph" w:customStyle="1" w:styleId="422">
    <w:name w:val="标题6"/>
    <w:basedOn w:val="1"/>
    <w:autoRedefine/>
    <w:qFormat/>
    <w:uiPriority w:val="0"/>
    <w:pPr>
      <w:spacing w:before="240" w:after="240" w:line="360" w:lineRule="auto"/>
      <w:jc w:val="center"/>
      <w:outlineLvl w:val="0"/>
    </w:pPr>
    <w:rPr>
      <w:rFonts w:ascii="宋体" w:cs="Calibri"/>
      <w:sz w:val="32"/>
      <w:szCs w:val="20"/>
    </w:rPr>
  </w:style>
  <w:style w:type="paragraph" w:customStyle="1" w:styleId="423">
    <w:name w:val="招标文件1.1.1.1"/>
    <w:basedOn w:val="1"/>
    <w:autoRedefine/>
    <w:qFormat/>
    <w:uiPriority w:val="0"/>
    <w:pPr>
      <w:spacing w:before="120" w:after="120" w:line="480" w:lineRule="exact"/>
      <w:ind w:left="200"/>
      <w:outlineLvl w:val="4"/>
    </w:pPr>
    <w:rPr>
      <w:rFonts w:ascii="宋体" w:cs="Calibri"/>
      <w:b/>
      <w:spacing w:val="10"/>
      <w:w w:val="95"/>
      <w:szCs w:val="20"/>
    </w:rPr>
  </w:style>
  <w:style w:type="paragraph" w:customStyle="1" w:styleId="424">
    <w:name w:val="Table Text"/>
    <w:basedOn w:val="1"/>
    <w:qFormat/>
    <w:uiPriority w:val="0"/>
    <w:pPr>
      <w:widowControl/>
      <w:spacing w:before="60" w:after="60" w:line="360" w:lineRule="auto"/>
      <w:ind w:left="181" w:leftChars="86" w:firstLine="210" w:firstLineChars="100"/>
    </w:pPr>
    <w:rPr>
      <w:rFonts w:ascii="宋体" w:hAnsi="宋体" w:cs="Calibri"/>
      <w:kern w:val="0"/>
      <w:szCs w:val="20"/>
    </w:rPr>
  </w:style>
  <w:style w:type="paragraph" w:customStyle="1" w:styleId="425">
    <w:name w:val="图中文字"/>
    <w:basedOn w:val="1"/>
    <w:autoRedefine/>
    <w:qFormat/>
    <w:uiPriority w:val="0"/>
    <w:pPr>
      <w:adjustRightInd w:val="0"/>
      <w:snapToGrid w:val="0"/>
      <w:spacing w:line="0" w:lineRule="atLeast"/>
    </w:pPr>
    <w:rPr>
      <w:rFonts w:cs="Calibri"/>
      <w:szCs w:val="20"/>
    </w:rPr>
  </w:style>
  <w:style w:type="paragraph" w:customStyle="1" w:styleId="426">
    <w:name w:val="Char31"/>
    <w:basedOn w:val="1"/>
    <w:autoRedefine/>
    <w:qFormat/>
    <w:uiPriority w:val="0"/>
    <w:rPr>
      <w:rFonts w:ascii="Tahoma" w:hAnsi="Tahoma" w:cs="Calibri"/>
      <w:sz w:val="24"/>
      <w:szCs w:val="20"/>
    </w:rPr>
  </w:style>
  <w:style w:type="paragraph" w:customStyle="1" w:styleId="427">
    <w:name w:val="Char Char1 Char Char Char Char1 Char Char Char Char Char Char Char Char Char Char Char Char"/>
    <w:basedOn w:val="1"/>
    <w:autoRedefine/>
    <w:qFormat/>
    <w:uiPriority w:val="0"/>
    <w:rPr>
      <w:rFonts w:ascii="Tahoma" w:hAnsi="Tahoma" w:cs="Calibri"/>
      <w:sz w:val="24"/>
      <w:szCs w:val="20"/>
    </w:rPr>
  </w:style>
  <w:style w:type="paragraph" w:customStyle="1" w:styleId="428">
    <w:name w:val="正文文字（缩进2字）"/>
    <w:basedOn w:val="300"/>
    <w:autoRedefine/>
    <w:qFormat/>
    <w:uiPriority w:val="0"/>
    <w:pPr>
      <w:spacing w:before="156" w:beforeLines="50" w:after="156" w:afterLines="50" w:line="240" w:lineRule="auto"/>
      <w:ind w:firstLine="200" w:firstLineChars="200"/>
    </w:pPr>
    <w:rPr>
      <w:rFonts w:ascii="Times New Roman" w:eastAsia="宋体"/>
      <w:color w:val="auto"/>
    </w:rPr>
  </w:style>
  <w:style w:type="paragraph" w:customStyle="1" w:styleId="429">
    <w:name w:val="Char3"/>
    <w:basedOn w:val="1"/>
    <w:autoRedefine/>
    <w:qFormat/>
    <w:uiPriority w:val="0"/>
    <w:rPr>
      <w:rFonts w:cs="Calibri"/>
      <w:szCs w:val="20"/>
    </w:rPr>
  </w:style>
  <w:style w:type="paragraph" w:customStyle="1" w:styleId="430">
    <w:name w:val="Char1 Char Char Char Char Char Char1"/>
    <w:basedOn w:val="1"/>
    <w:autoRedefine/>
    <w:qFormat/>
    <w:uiPriority w:val="0"/>
    <w:rPr>
      <w:rFonts w:ascii="Tahoma" w:hAnsi="Tahoma" w:cs="Calibri"/>
      <w:sz w:val="24"/>
      <w:szCs w:val="20"/>
    </w:rPr>
  </w:style>
  <w:style w:type="paragraph" w:customStyle="1" w:styleId="431">
    <w:name w:val="普通正文"/>
    <w:basedOn w:val="1"/>
    <w:autoRedefine/>
    <w:qFormat/>
    <w:uiPriority w:val="0"/>
    <w:pPr>
      <w:adjustRightInd w:val="0"/>
      <w:spacing w:before="120" w:after="120" w:line="360" w:lineRule="auto"/>
      <w:ind w:firstLine="480"/>
      <w:jc w:val="left"/>
      <w:textAlignment w:val="baseline"/>
    </w:pPr>
    <w:rPr>
      <w:rFonts w:ascii="Arial" w:hAnsi="Arial" w:cs="Calibri"/>
      <w:kern w:val="0"/>
      <w:sz w:val="24"/>
      <w:szCs w:val="20"/>
    </w:rPr>
  </w:style>
  <w:style w:type="paragraph" w:customStyle="1" w:styleId="432">
    <w:name w:val="Char Char Char Char Char Char1 Char Char Char Char Char Char Char Char Char Char Char Char Char Char"/>
    <w:basedOn w:val="1"/>
    <w:autoRedefine/>
    <w:qFormat/>
    <w:uiPriority w:val="0"/>
    <w:pPr>
      <w:widowControl/>
      <w:spacing w:after="160" w:line="240" w:lineRule="exact"/>
    </w:pPr>
    <w:rPr>
      <w:rFonts w:ascii="Verdana" w:hAnsi="Verdana" w:eastAsia="仿宋_GB2312" w:cs="Calibri"/>
      <w:kern w:val="0"/>
      <w:sz w:val="24"/>
      <w:szCs w:val="20"/>
      <w:lang w:eastAsia="en-US"/>
    </w:rPr>
  </w:style>
  <w:style w:type="character" w:customStyle="1" w:styleId="433">
    <w:name w:val="页脚 字符"/>
    <w:autoRedefine/>
    <w:qFormat/>
    <w:uiPriority w:val="99"/>
  </w:style>
  <w:style w:type="character" w:customStyle="1" w:styleId="434">
    <w:name w:val="批注文字 Char3"/>
    <w:autoRedefine/>
    <w:semiHidden/>
    <w:qFormat/>
    <w:uiPriority w:val="99"/>
    <w:rPr>
      <w:kern w:val="2"/>
      <w:sz w:val="21"/>
    </w:rPr>
  </w:style>
  <w:style w:type="character" w:customStyle="1" w:styleId="435">
    <w:name w:val="页脚 Char2"/>
    <w:autoRedefine/>
    <w:semiHidden/>
    <w:qFormat/>
    <w:uiPriority w:val="99"/>
    <w:rPr>
      <w:kern w:val="2"/>
      <w:sz w:val="18"/>
      <w:szCs w:val="18"/>
    </w:rPr>
  </w:style>
  <w:style w:type="character" w:customStyle="1" w:styleId="436">
    <w:name w:val="页眉 Char2"/>
    <w:autoRedefine/>
    <w:semiHidden/>
    <w:qFormat/>
    <w:uiPriority w:val="99"/>
    <w:rPr>
      <w:kern w:val="2"/>
      <w:sz w:val="18"/>
      <w:szCs w:val="18"/>
    </w:rPr>
  </w:style>
  <w:style w:type="paragraph" w:customStyle="1" w:styleId="437">
    <w:name w:val="纯文本3"/>
    <w:basedOn w:val="1"/>
    <w:autoRedefine/>
    <w:qFormat/>
    <w:uiPriority w:val="0"/>
    <w:rPr>
      <w:rFonts w:ascii="宋体" w:hAnsi="Courier New"/>
      <w:szCs w:val="20"/>
    </w:rPr>
  </w:style>
  <w:style w:type="character" w:customStyle="1" w:styleId="438">
    <w:name w:val="页码2"/>
    <w:autoRedefine/>
    <w:qFormat/>
    <w:uiPriority w:val="0"/>
  </w:style>
  <w:style w:type="paragraph" w:customStyle="1" w:styleId="439">
    <w:name w:val="页脚3"/>
    <w:basedOn w:val="1"/>
    <w:autoRedefine/>
    <w:qFormat/>
    <w:uiPriority w:val="0"/>
    <w:pPr>
      <w:tabs>
        <w:tab w:val="center" w:pos="4153"/>
        <w:tab w:val="right" w:pos="8306"/>
      </w:tabs>
      <w:snapToGrid w:val="0"/>
      <w:jc w:val="left"/>
    </w:pPr>
    <w:rPr>
      <w:sz w:val="18"/>
      <w:szCs w:val="20"/>
    </w:rPr>
  </w:style>
  <w:style w:type="character" w:customStyle="1" w:styleId="440">
    <w:name w:val="批注引用2"/>
    <w:qFormat/>
    <w:uiPriority w:val="0"/>
    <w:rPr>
      <w:sz w:val="21"/>
    </w:rPr>
  </w:style>
  <w:style w:type="paragraph" w:customStyle="1" w:styleId="441">
    <w:name w:val="批注框文本3"/>
    <w:basedOn w:val="1"/>
    <w:autoRedefine/>
    <w:qFormat/>
    <w:uiPriority w:val="0"/>
    <w:rPr>
      <w:sz w:val="18"/>
      <w:szCs w:val="20"/>
    </w:rPr>
  </w:style>
  <w:style w:type="paragraph" w:customStyle="1" w:styleId="442">
    <w:name w:val="批注主题3"/>
    <w:basedOn w:val="443"/>
    <w:next w:val="443"/>
    <w:autoRedefine/>
    <w:qFormat/>
    <w:uiPriority w:val="0"/>
    <w:rPr>
      <w:b/>
    </w:rPr>
  </w:style>
  <w:style w:type="paragraph" w:customStyle="1" w:styleId="443">
    <w:name w:val="批注文字3"/>
    <w:basedOn w:val="1"/>
    <w:qFormat/>
    <w:uiPriority w:val="0"/>
    <w:pPr>
      <w:jc w:val="left"/>
    </w:pPr>
    <w:rPr>
      <w:szCs w:val="20"/>
    </w:rPr>
  </w:style>
  <w:style w:type="paragraph" w:customStyle="1" w:styleId="444">
    <w:name w:val="页眉3"/>
    <w:basedOn w:val="1"/>
    <w:autoRedefine/>
    <w:qFormat/>
    <w:uiPriority w:val="0"/>
    <w:pPr>
      <w:pBdr>
        <w:bottom w:val="single" w:color="auto" w:sz="6" w:space="1"/>
      </w:pBdr>
      <w:tabs>
        <w:tab w:val="center" w:pos="4153"/>
        <w:tab w:val="right" w:pos="8306"/>
      </w:tabs>
      <w:snapToGrid w:val="0"/>
      <w:jc w:val="center"/>
    </w:pPr>
    <w:rPr>
      <w:sz w:val="18"/>
      <w:szCs w:val="20"/>
    </w:rPr>
  </w:style>
  <w:style w:type="character" w:customStyle="1" w:styleId="445">
    <w:name w:val="批注文字 Char2"/>
    <w:autoRedefine/>
    <w:semiHidden/>
    <w:qFormat/>
    <w:uiPriority w:val="99"/>
    <w:rPr>
      <w:kern w:val="2"/>
      <w:sz w:val="21"/>
    </w:rPr>
  </w:style>
  <w:style w:type="paragraph" w:customStyle="1" w:styleId="446">
    <w:name w:val="正文文本缩进2"/>
    <w:basedOn w:val="1"/>
    <w:qFormat/>
    <w:uiPriority w:val="0"/>
    <w:pPr>
      <w:spacing w:after="120"/>
      <w:ind w:left="420" w:leftChars="200"/>
    </w:pPr>
    <w:rPr>
      <w:kern w:val="0"/>
      <w:sz w:val="24"/>
      <w:szCs w:val="20"/>
    </w:rPr>
  </w:style>
  <w:style w:type="paragraph" w:customStyle="1" w:styleId="447">
    <w:name w:val="正文缩进3"/>
    <w:basedOn w:val="1"/>
    <w:autoRedefine/>
    <w:qFormat/>
    <w:uiPriority w:val="0"/>
    <w:pPr>
      <w:ind w:firstLine="420"/>
    </w:pPr>
    <w:rPr>
      <w:rFonts w:cs="Calibri"/>
      <w:szCs w:val="20"/>
    </w:rPr>
  </w:style>
  <w:style w:type="paragraph" w:customStyle="1" w:styleId="448">
    <w:name w:val="修订9"/>
    <w:autoRedefine/>
    <w:qFormat/>
    <w:uiPriority w:val="0"/>
    <w:rPr>
      <w:rFonts w:ascii="Calibri" w:hAnsi="Calibri" w:eastAsia="宋体" w:cs="Calibri"/>
      <w:kern w:val="2"/>
      <w:sz w:val="21"/>
      <w:lang w:val="en-US" w:eastAsia="zh-CN" w:bidi="ar-SA"/>
    </w:rPr>
  </w:style>
  <w:style w:type="paragraph" w:customStyle="1" w:styleId="449">
    <w:name w:val="列出段落5"/>
    <w:basedOn w:val="1"/>
    <w:autoRedefine/>
    <w:qFormat/>
    <w:uiPriority w:val="0"/>
    <w:pPr>
      <w:ind w:firstLine="420" w:firstLineChars="200"/>
    </w:pPr>
    <w:rPr>
      <w:rFonts w:cs="Calibri"/>
      <w:szCs w:val="20"/>
    </w:rPr>
  </w:style>
  <w:style w:type="paragraph" w:customStyle="1" w:styleId="450">
    <w:name w:val="标题7"/>
    <w:basedOn w:val="1"/>
    <w:qFormat/>
    <w:uiPriority w:val="0"/>
    <w:pPr>
      <w:spacing w:before="240" w:after="240" w:line="360" w:lineRule="auto"/>
      <w:jc w:val="center"/>
      <w:outlineLvl w:val="0"/>
    </w:pPr>
    <w:rPr>
      <w:rFonts w:ascii="宋体" w:cs="Calibri"/>
      <w:sz w:val="32"/>
      <w:szCs w:val="20"/>
    </w:rPr>
  </w:style>
  <w:style w:type="table" w:customStyle="1" w:styleId="451">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452">
    <w:name w:val="修订10"/>
    <w:hidden/>
    <w:unhideWhenUsed/>
    <w:qFormat/>
    <w:uiPriority w:val="99"/>
    <w:rPr>
      <w:rFonts w:ascii="Calibri" w:hAnsi="Calibri" w:eastAsia="宋体" w:cs="Times New Roman"/>
      <w:kern w:val="2"/>
      <w:sz w:val="21"/>
      <w:szCs w:val="22"/>
      <w:lang w:val="en-US" w:eastAsia="zh-CN" w:bidi="ar-SA"/>
    </w:rPr>
  </w:style>
  <w:style w:type="character" w:customStyle="1" w:styleId="453">
    <w:name w:val="Body text|2"/>
    <w:unhideWhenUsed/>
    <w:qFormat/>
    <w:uiPriority w:val="0"/>
    <w:rPr>
      <w:rFonts w:ascii="PMingLiU" w:hAnsi="PMingLiU" w:eastAsia="PMingLiU" w:cs="PMingLiU"/>
      <w:color w:val="000000"/>
      <w:spacing w:val="0"/>
      <w:w w:val="100"/>
      <w:position w:val="0"/>
      <w:sz w:val="22"/>
      <w:szCs w:val="22"/>
      <w:u w:val="none"/>
      <w:lang w:val="zh-CN" w:eastAsia="zh-CN" w:bidi="zh-CN"/>
    </w:rPr>
  </w:style>
  <w:style w:type="character" w:customStyle="1" w:styleId="454">
    <w:name w:val="Body text|3_"/>
    <w:link w:val="455"/>
    <w:autoRedefine/>
    <w:qFormat/>
    <w:uiPriority w:val="0"/>
    <w:rPr>
      <w:rFonts w:ascii="PMingLiU" w:hAnsi="PMingLiU" w:eastAsia="PMingLiU" w:cs="PMingLiU"/>
      <w:b/>
      <w:bCs/>
      <w:color w:val="000000"/>
      <w:sz w:val="22"/>
      <w:shd w:val="clear" w:color="auto" w:fill="FFFFFF"/>
      <w:lang w:val="zh-CN" w:bidi="zh-CN"/>
    </w:rPr>
  </w:style>
  <w:style w:type="paragraph" w:customStyle="1" w:styleId="455">
    <w:name w:val="Body text|3"/>
    <w:basedOn w:val="1"/>
    <w:link w:val="454"/>
    <w:autoRedefine/>
    <w:qFormat/>
    <w:uiPriority w:val="0"/>
    <w:pPr>
      <w:shd w:val="clear" w:color="auto" w:fill="FFFFFF"/>
      <w:spacing w:after="1620" w:line="220" w:lineRule="exact"/>
      <w:jc w:val="center"/>
    </w:pPr>
    <w:rPr>
      <w:rFonts w:ascii="PMingLiU" w:hAnsi="PMingLiU" w:eastAsia="PMingLiU" w:cs="PMingLiU"/>
      <w:b/>
      <w:bCs/>
      <w:color w:val="000000"/>
      <w:kern w:val="0"/>
      <w:sz w:val="22"/>
      <w:szCs w:val="20"/>
      <w:lang w:val="zh-CN" w:bidi="zh-CN"/>
    </w:rPr>
  </w:style>
  <w:style w:type="character" w:customStyle="1" w:styleId="456">
    <w:name w:val="Body text|2 + Bold"/>
    <w:autoRedefine/>
    <w:unhideWhenUsed/>
    <w:qFormat/>
    <w:uiPriority w:val="0"/>
    <w:rPr>
      <w:rFonts w:ascii="PMingLiU" w:hAnsi="PMingLiU" w:eastAsia="PMingLiU" w:cs="PMingLiU"/>
      <w:b/>
      <w:bCs/>
      <w:color w:val="000000"/>
      <w:spacing w:val="0"/>
      <w:w w:val="100"/>
      <w:position w:val="0"/>
      <w:sz w:val="22"/>
      <w:szCs w:val="22"/>
      <w:u w:val="none"/>
      <w:lang w:val="zh-CN" w:eastAsia="zh-CN" w:bidi="zh-CN"/>
    </w:rPr>
  </w:style>
  <w:style w:type="character" w:customStyle="1" w:styleId="457">
    <w:name w:val="Body text|2 + 12 pt"/>
    <w:autoRedefine/>
    <w:unhideWhenUsed/>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458">
    <w:name w:val="Body text|2_"/>
    <w:link w:val="459"/>
    <w:autoRedefine/>
    <w:qFormat/>
    <w:locked/>
    <w:uiPriority w:val="0"/>
    <w:rPr>
      <w:rFonts w:ascii="PMingLiU" w:hAnsi="PMingLiU" w:eastAsia="PMingLiU" w:cs="PMingLiU"/>
      <w:color w:val="000000"/>
      <w:sz w:val="22"/>
      <w:shd w:val="clear" w:color="auto" w:fill="FFFFFF"/>
      <w:lang w:val="zh-CN" w:bidi="zh-CN"/>
    </w:rPr>
  </w:style>
  <w:style w:type="paragraph" w:customStyle="1" w:styleId="459">
    <w:name w:val="Body text|22"/>
    <w:basedOn w:val="1"/>
    <w:link w:val="458"/>
    <w:autoRedefine/>
    <w:qFormat/>
    <w:uiPriority w:val="0"/>
    <w:pPr>
      <w:shd w:val="clear" w:color="auto" w:fill="FFFFFF"/>
      <w:spacing w:before="1300" w:after="440" w:line="466" w:lineRule="exact"/>
      <w:ind w:hanging="240"/>
      <w:jc w:val="left"/>
    </w:pPr>
    <w:rPr>
      <w:rFonts w:ascii="PMingLiU" w:hAnsi="PMingLiU" w:eastAsia="PMingLiU" w:cs="PMingLiU"/>
      <w:color w:val="000000"/>
      <w:kern w:val="0"/>
      <w:sz w:val="22"/>
      <w:szCs w:val="20"/>
      <w:lang w:val="zh-CN" w:bidi="zh-CN"/>
    </w:rPr>
  </w:style>
  <w:style w:type="character" w:customStyle="1" w:styleId="460">
    <w:name w:val="Body text|2 + Spacing 0 pt"/>
    <w:unhideWhenUsed/>
    <w:qFormat/>
    <w:uiPriority w:val="0"/>
    <w:rPr>
      <w:rFonts w:ascii="PMingLiU" w:hAnsi="PMingLiU" w:eastAsia="PMingLiU" w:cs="PMingLiU"/>
      <w:color w:val="000000"/>
      <w:spacing w:val="10"/>
      <w:w w:val="100"/>
      <w:position w:val="0"/>
      <w:sz w:val="22"/>
      <w:szCs w:val="22"/>
      <w:u w:val="none"/>
      <w:lang w:val="en-US" w:eastAsia="en-US" w:bidi="en-US"/>
    </w:rPr>
  </w:style>
  <w:style w:type="character" w:customStyle="1" w:styleId="461">
    <w:name w:val="Body text|21"/>
    <w:autoRedefine/>
    <w:unhideWhenUsed/>
    <w:qFormat/>
    <w:uiPriority w:val="0"/>
    <w:rPr>
      <w:rFonts w:ascii="PMingLiU" w:hAnsi="PMingLiU" w:eastAsia="PMingLiU" w:cs="PMingLiU"/>
      <w:color w:val="000000"/>
      <w:spacing w:val="0"/>
      <w:w w:val="100"/>
      <w:position w:val="0"/>
      <w:sz w:val="22"/>
      <w:szCs w:val="22"/>
      <w:u w:val="single"/>
      <w:lang w:val="zh-CN" w:eastAsia="zh-CN" w:bidi="zh-CN"/>
    </w:rPr>
  </w:style>
  <w:style w:type="paragraph" w:customStyle="1" w:styleId="462">
    <w:name w:val="Biao00"/>
    <w:qFormat/>
    <w:uiPriority w:val="0"/>
    <w:pPr>
      <w:widowControl w:val="0"/>
      <w:spacing w:line="0" w:lineRule="atLeast"/>
      <w:jc w:val="center"/>
    </w:pPr>
    <w:rPr>
      <w:rFonts w:ascii="Arial" w:hAnsi="Arial" w:eastAsia="仿宋_GB2312" w:cs="Times New Roman"/>
      <w:bCs/>
      <w:w w:val="90"/>
      <w:kern w:val="18"/>
      <w:sz w:val="24"/>
      <w:szCs w:val="24"/>
      <w:lang w:val="en-US" w:eastAsia="zh-CN" w:bidi="ar-SA"/>
    </w:rPr>
  </w:style>
  <w:style w:type="paragraph" w:customStyle="1" w:styleId="463">
    <w:name w:val="表格标题"/>
    <w:basedOn w:val="1"/>
    <w:qFormat/>
    <w:uiPriority w:val="0"/>
    <w:pPr>
      <w:spacing w:line="467" w:lineRule="exact"/>
      <w:ind w:firstLine="480"/>
    </w:pPr>
    <w:rPr>
      <w:rFonts w:ascii="宋体" w:hAnsi="宋体" w:cs="宋体"/>
      <w:sz w:val="22"/>
      <w:lang w:val="zh-CN" w:bidi="zh-CN"/>
    </w:rPr>
  </w:style>
  <w:style w:type="paragraph" w:customStyle="1" w:styleId="464">
    <w:name w:val="其他"/>
    <w:basedOn w:val="1"/>
    <w:autoRedefine/>
    <w:qFormat/>
    <w:uiPriority w:val="0"/>
    <w:pPr>
      <w:spacing w:line="434" w:lineRule="auto"/>
      <w:ind w:firstLine="400"/>
    </w:pPr>
    <w:rPr>
      <w:rFonts w:ascii="宋体" w:hAnsi="宋体" w:cs="宋体"/>
      <w:sz w:val="22"/>
      <w:lang w:val="zh-CN" w:bidi="zh-CN"/>
    </w:rPr>
  </w:style>
  <w:style w:type="character" w:customStyle="1" w:styleId="465">
    <w:name w:val="Hyperlink.0"/>
    <w:basedOn w:val="466"/>
    <w:autoRedefine/>
    <w:qFormat/>
    <w:uiPriority w:val="0"/>
    <w:rPr>
      <w:sz w:val="21"/>
      <w:szCs w:val="21"/>
      <w:lang w:val="zh-TW" w:eastAsia="zh-TW"/>
    </w:rPr>
  </w:style>
  <w:style w:type="character" w:customStyle="1" w:styleId="466">
    <w:name w:val="无"/>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76</Pages>
  <Words>36954</Words>
  <Characters>38808</Characters>
  <Lines>317</Lines>
  <Paragraphs>89</Paragraphs>
  <TotalTime>5</TotalTime>
  <ScaleCrop>false</ScaleCrop>
  <LinksUpToDate>false</LinksUpToDate>
  <CharactersWithSpaces>40702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2022-04-17T10:54:00Z</dcterms:created>
  <dc:creator>lqy</dc:creator>
  <cp:lastModifiedBy>微信用户</cp:lastModifiedBy>
  <cp:lastPrinted>2023-06-07T03:10:00Z</cp:lastPrinted>
  <dcterms:modified xsi:type="dcterms:W3CDTF">2024-07-31T08:41:28Z</dcterms:modified>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4B0FEF3721EB4E68A52E0C3501B9C861_13</vt:lpwstr>
  </property>
</Properties>
</file>