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采购包2微检和病毒实验室设备</w:t>
      </w:r>
    </w:p>
    <w:tbl>
      <w:tblPr>
        <w:tblStyle w:val="5"/>
        <w:tblW w:w="97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65"/>
        <w:gridCol w:w="1148"/>
        <w:gridCol w:w="80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规格\设备技术要求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隔水式电热恒温培养箱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1.LED显示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2.先进的四向分散风道系统，温度更均匀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3.内置玻璃门，防止开门温度突然变化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4.有效体积（升）：150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5.对流方式：强制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6.控温范围：室温+5℃-100℃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7.温度显示精度（度）：0.1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8.控温精度（度）：±1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▲9.超温保护：3种上下超温保护功能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★10.控温均匀度（20度时）：±0.2（九个点计量报告）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11.控制方式：模糊智能P.I.D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12.加热功率(300度时功率）：1800W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13.托盘（标配）：三层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14.排气孔：顶部一个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15.室内尺寸（W×D×H）mm：≥500×400×750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16.室外尺寸（W×D×H）mm：约685×690×960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17.输入电压：AC220V±10%50HZ/60HZ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负责现场安装调试，现场使用培训，整机保修3年，保修日期从通过验收之日开始计算。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生化培养箱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★1.控温范围：-40℃～100℃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2.控温精度度：±0.1℃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3.温度显示精度：±0.1℃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4.程序控制：模糊智能PID控制方式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▲5.5级自动除霜功能，温湿度稳定不波动，20度以上可无霜运行，温度无波动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6.采用温度传感器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7.采用冷凝风机，采用环保型制冷剂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8.左右各设置45mm直径的测试孔，内配硅胶软塞两只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9.标配USB接口，数据实时记录和导出功能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10.监控密码，操作员密码，管理员密码，高级管理员密码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11.三种断电模式选择功能：断电恢复，停止或重新开始全方面满足用户需求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12.历史数据和历史曲线查询功能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13.显示屏：7寸触摸屏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14.保温材料：聚氨酯发泡材料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15.安全装置：压缩机过热保护，超温保护，过载保护，风机过热保护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16.可选配数据处理终端监控软件，内玻璃门，GPRS短信报警功能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17.故障检测，报警，记录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18.容积（升）：250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★19.内胆尺寸（W×D×H）mm：≥640×440×890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20.外形尺寸（W×D×H）mm：约800×850×1450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21.温度均匀度（37度时）：±0.5度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22.制冷功率：500W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23.加热功率：750W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24.搁板：三层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25.输入电压：AC220V±10%50HZ/60HZ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培训采购方工作人员操作设备，直至能完全独立操作设备为止，整机保修3年，保修日期从通过验收之日开始计算。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霉菌培养箱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★1.控温范围：-40℃～100℃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2.控温精度度：±0.1℃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3.温度显示精度：±0.1℃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4.湿度范围：2-100%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5.湿度波动度：±1%rh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6.程序控制：模糊智能PID控制方式。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7.5级自动除霜功能，温湿度稳定不波动，20度以上可无霜运行，温度无波动。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8.采用温度传感器。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9.采用制冷压缩机和冷凝风机，采用环保型134a制冷剂。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10.左右各设置45mm直径的测试孔，内配硅胶软塞两只。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11.标配USB接口，数据实时记录和导出功能。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12.监控密码，操作员密码，管理员密码，高级管理员密码。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13.三种断电模式选择功能：断电恢复，停止或重新开始全方面满足用户需求。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14.历史数据和历史曲线查询功能。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15.显示屏：7寸触摸屏。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16.保温材料：聚氨酯发泡材料。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17.安全装置：压缩机过热保护，超温保护，，过载保护，风机过热保护。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18.可选配数据处理终端监控软件，内玻璃门，GPRS短信报警功能。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19.故障检测，报警，记录。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★20.消毒功能：紫外灯。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21.监测功能：水位监测和自动补水功能。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★22.容积（升）：≥250L</w:t>
            </w:r>
            <w:r>
              <w:rPr>
                <w:rFonts w:hint="eastAsia" w:ascii="宋体" w:hAnsi="宋体" w:eastAsia="宋体" w:cs="宋体"/>
                <w:sz w:val="18"/>
                <w:szCs w:val="18"/>
                <w:lang w:eastAsia="zh-CN"/>
              </w:rPr>
              <w: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23.内胆尺寸（W×D×H）mm：约650×450×900。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24.外形尺寸（W×D×H）mm：约800×850×1450。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25.温度均匀度（37度时）：±0.5度。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26.制冷功率：500W。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27.加热功率：750W。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28.搁板：三层。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负责现场安装调试，现场使用培训，整机保修3年，保修日期从通过验收之日开始计算。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均质仪</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1.样品处理袋规格：最大装量体积250ml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2.均质频率：93次/秒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3.输出功率：60W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4.规格：约315×275×255mm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5.电压：220V50Hz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二、仪器配件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1.样品处理袋（均质袋）1盒（100个/盒，250ml/个）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2.开口器（有机玻璃）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3.全不锈钢样品袋（12格）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负责现场安装调试，现场使用培训，整机保修1年，保修日期从通过验收之日开始计算。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旋涡振荡混合器</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1.外形尺寸（W×D×H）：约120×160×175mm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★2.转速范围约：400-3000rpm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3.时间设置范围1s-99min59s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4.操作方式：全息触控界面，点动+常动调速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5.振幅：3mm（圆周振荡）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6.电源适配器：DC12V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7.功率：12W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1.标配托盘2个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2.标准头，直径30mm1个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3.平板垫片，直径108mm1个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负责现场安装调试，现场使用培训，整机保修3年，保修日期从通过验收之日开始计算。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全自动分液仪</w:t>
            </w:r>
          </w:p>
        </w:tc>
        <w:tc>
          <w:tcPr>
            <w:tcW w:w="8022" w:type="dxa"/>
            <w:tcBorders>
              <w:tl2br w:val="nil"/>
              <w:tr2bl w:val="nil"/>
            </w:tcBorders>
            <w:shd w:val="clear" w:color="auto" w:fill="auto"/>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1、体积：≥50cm×30cm×45cm；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★2、适用范围：液体试剂的分装，分装体积：5-15mL(可以在5-15mL之间调整）；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3、分装精度：体积误差≤±0.1mL；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▲4、分装对象：可分装至18mm×180mm，15mm×150mm的试管中；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5、分装效率：≥1000支/小时；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6、工作模式：至少包含自动分装模式和手动分装模式2种方式；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7、工作方式：仪器为机械臂运动机构，灌装管两端具备不锈钢沉头及灌装头。</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8、操作安全提示：分装过程中触碰到异物可自动停止分装并能报警。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▲9、功能要求：仪器可自动清洗，自动灌装模式、手动灌装模式、自动清洗模式、一键校准。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10、校准要求：仪器可以借助实验室的简单配套设施实现自动校准；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11、电源要求：220V±10%,50Hz；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12、环境要求：在10-35℃，湿度＜85RH%环境下正常工作；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其他配套附件：可配套放置18mm×180mm，15mm×150mm试管的试管架(可放置大于等于64支试管，可根据试管规格尺寸定制试管架），且该试管架可承受温度121℃、压力0.1Mpa的高温高压灭菌；需要配套此设备对应的耗材包括对应管路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1.耐高压不锈钢(316材质）试管架：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15×150试管的双排单支排布试管架（80支试管）2个；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15×150试管的捆扎式试管架（90支试管）2个；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18×180、18×150试管的双排单支排布试管架（64支试管）2个；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18×180、18×150试管的捆扎式试管架（63支试管）2个。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2.为软件系统提供升级服务，所产生的费用由中标人负责。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3.可根据实验特殊试管定制试管架且升级设备软件系统实现灌装。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培训采购方工作人员操作设备，直至能完全独立操作设备为止，整机保修1年，保修日期从通过验收之日开始计算。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精密鼓风干燥箱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1.液晶显示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2.定值和程式两种控制方式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3.定时运行，时钟显示功能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4.先进的四向分散风道系统，温度更均匀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★5.有效体积（升）：≥150L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6.对流方式：强制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▲7.控温范围：室温+5℃-250℃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8.温度显示精度（度）：0.1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9.控温精度（度）：±1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10.超温保护：3种上下超温保护功能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11.控温均匀度（100度时）：±1.8℃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12.控制方式：模糊智能P.I.D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13.加热功率(300度时功率）：1800W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14.托盘（标配）：三层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15.排气孔：顶部一个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16.新鲜空气进气口：底部2个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17.室内尺寸（W×D×H）mm：≥500×400×750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18.输入电压：AC220V±10%50HZ/60HZ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负责现场安装调试，培训采购方工作人员操作设备，直至能完全独立操作设备为止，整机保修3年，保修日期从通过验收之日开始计算。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2～8℃医用冷藏箱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2-8℃医用冷藏箱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★4.1产品容积：有效容积：≥525L，立式，单门结构，电加热玻璃门，具有多种门体加热模式；具有小角度自动关门功能。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4.2外部尺寸：高度≤1975mm，宽度≤830mm，方便进门。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4.3箱体材料：外箱采用PCM彩板，内胆采用喷涂铝板。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4.4保温材料：无CFC聚氨酯发泡。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4.5照明装置：配置LED冷光源，功耗低，亮度高，箱体内部一目了然。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4.6制冷系统：采用高效压缩机，风扇电机；风冷式高效冷凝器，翅片式蒸发器；具备自然化霜功能，化霜过程中箱内温度仍保持在2-8℃范围内。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温度控制：高精度微数据处理终端温度控制系统，内置上部温度、下部温度、控制/报警温度、环境温度、蒸发器温度、冷凝器温度、湿度传感器等7路传感器，确保运行状态安全稳定,温度传感器置于箱内空气中，实时感应温度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4.8控温性能：风冷式高效冷凝器，翅片式蒸发器，冷藏内置吸风风扇，制冷迅速；具备自然化霜功能，化霜过程中箱内温度仍保持在2-8℃范围内。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4.9温度显示：天蓝色数码温度屏，视觉柔和，显示精度0.1℃。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4.10产品配置：6个高密度钢丝浸塑搁架，带标签卡，方便存放物品标识，且易于清洗。门体带锁设计，防止随意开启；前后4个万向脚轮（其中2个自带刹车锁止功能），移动固定方便。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4.11报警功能：声音蜂鸣、报警代码3秒/次间隔闪烁，具备远程报警功能。具有高温、低温、传感器故警、开门、断电报警等多种功能，物品存放更安全。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4.12蓄电池：提供≥4</w:t>
            </w:r>
            <w:r>
              <w:rPr>
                <w:rFonts w:hint="eastAsia" w:ascii="宋体" w:hAnsi="宋体" w:eastAsia="宋体" w:cs="宋体"/>
                <w:i w:val="0"/>
                <w:iCs w:val="0"/>
                <w:color w:val="000000"/>
                <w:kern w:val="0"/>
                <w:sz w:val="18"/>
                <w:szCs w:val="18"/>
                <w:u w:val="none"/>
                <w:lang w:val="en-US" w:eastAsia="zh-CN" w:bidi="ar"/>
              </w:rPr>
              <w:t>8小时显示及报警功能，并为温度记录打印机、USB端口供电。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4.13数据接口：USB数据导出接口，默认导出未导出过的数据，最多导出12个月，数据PDF格式。U盘持续连接可自动存储温度数据。标配RS485接口、远程报警接口。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4.14运行安全：当控制/报警传感器发生故障时，压缩机规律智能开停，确保物品存储安全。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4.15冷凝水处理：冷凝水汇集后自动蒸发，免除人工处理的烦恼。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4.16测试孔：标配测试孔，方便用户测试箱内温度。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2～8℃医用冷藏箱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2-8℃医用冷藏箱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★4.1产品结构：有效容积：≥725L，立式，双门结构，电加热玻璃门，具有多种门体加热模式；具备自动关门功能；铝合金门把手。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4.2外部尺寸：高度≤2000mm，宽度≤1100mm，深度≤780</w:t>
            </w:r>
            <w:r>
              <w:rPr>
                <w:rFonts w:hint="eastAsia" w:ascii="宋体" w:hAnsi="宋体" w:eastAsia="宋体" w:cs="宋体"/>
                <w:i w:val="0"/>
                <w:iCs w:val="0"/>
                <w:color w:val="000000"/>
                <w:kern w:val="0"/>
                <w:sz w:val="18"/>
                <w:szCs w:val="18"/>
                <w:highlight w:val="none"/>
                <w:u w:val="none"/>
                <w:lang w:val="en-US" w:eastAsia="zh-CN" w:bidi="ar"/>
              </w:rPr>
              <w:t>mm</w:t>
            </w:r>
            <w:r>
              <w:rPr>
                <w:rFonts w:hint="eastAsia" w:ascii="宋体" w:hAnsi="宋体" w:eastAsia="宋体" w:cs="宋体"/>
                <w:i w:val="0"/>
                <w:iCs w:val="0"/>
                <w:color w:val="000000"/>
                <w:kern w:val="0"/>
                <w:sz w:val="18"/>
                <w:szCs w:val="18"/>
                <w:u w:val="none"/>
                <w:lang w:val="en-US" w:eastAsia="zh-CN" w:bidi="ar"/>
              </w:rPr>
              <w:t>，方便进门及置放；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4.3箱体材料：外箱采用PCM彩板，内胆采用喷涂铝板材质。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4.4保温材料：无CFC聚氨酯发泡。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4.5照明装置：配置LED冷光源，功耗低，亮度高，箱体内部一目了然。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4.6制冷系统：采用效压缩机，风扇电机，节能高效、静音；风冷式高效冷凝器，翅片式蒸发器；具备自动化霜功能，化霜过程中箱内温度仍保持在2-8℃范围内。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温度控制：高精度微数据处理终端温度控制系统，内置上部温度、下部温度、控制/报警温度、环境温度、蒸发器温度、冷凝器温度、湿度传感器等7路传感器，确保运行状态安全稳定,温度传感器置于箱内空气中，实时感应温度变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4.8控温性能：风道式强制冷气循环系统，确保箱体内部温度均匀性。箱内温度波动范围±3℃，可通过设定温度使箱内温度保持在2-8℃范围内。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4.9温度显示：天蓝色数码温度屏，视觉柔和，显示精度0.1℃。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4.10产品配置：12个高密度钢丝浸塑搁架，带标签卡，方便存放物品标识，且易于清洗。门体带锁设计，防止随意开启；4个万向脚轮（其中2个自带刹车锁止功能），移动固定方便。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4.11报警功能：声音蜂鸣、报警代码3秒/次间隔闪烁，具备远程报警功能。具有高温、低温、传感器故警、开门、断电报警等多种功能，具备远程报警接口。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4.12蓄电池：</w:t>
            </w:r>
            <w:r>
              <w:rPr>
                <w:rFonts w:hint="eastAsia" w:ascii="宋体" w:hAnsi="宋体" w:eastAsia="宋体" w:cs="宋体"/>
                <w:i w:val="0"/>
                <w:iCs w:val="0"/>
                <w:color w:val="000000"/>
                <w:kern w:val="0"/>
                <w:sz w:val="18"/>
                <w:szCs w:val="18"/>
                <w:u w:val="none"/>
                <w:lang w:val="en-US" w:eastAsia="zh-CN" w:bidi="ar"/>
              </w:rPr>
              <w:t>提供≥48小时显示及报警功能，并为温度记录打印机、USB端口供电。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4.13数据接口：标配USB数据导出接口，接入U盘可自动存储当月及上月数据，数据PDF格式。U盘持续连接可自动存储温度数据。标配RS485接口、远程报警接口。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4.14运行安全：当控制/报警传感器发生故障时，压缩机规律智能开停，确保物品存储安全。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4.15冷凝水处理：冷凝水汇集后自动蒸发，免除人工处理的烦恼。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4.16测试孔：标配测试孔，方便用户测试箱内温度。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2～8℃医用冷藏箱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2-8℃医用冷藏箱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★4.1规格：有效容积：≥395L，立式单门，功率≤300W。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4.2门体：PVC材质门框，隐藏式门把手；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▲4.3玻璃门：双层钢化玻璃门，带电加热功能，防止凝露。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4.4控制系统：微数据处理终端板控制，数字显示箱内温度，可通过调整设定使箱内温度恒定控制在2～8℃。调节增量0.1℃，显示精度0.1℃。三位密码设计，防止随意调整参数。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4.5制冷系统：丝管式冷凝器，翅片式蒸发器，知名品牌压缩机，采用碳氢环保制冷剂，节能环保。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▲4.6感温系统：高精度微数据处理终端温度控制系统，内置上部温度、下部温度、控制/报警温度、环境温度、蒸发器温度、冷凝器温度、湿度传感器等7路传感器，确保运行状态安全稳定。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4.7温度均匀性、波动性：风冷式结构，强制冷气循环系统，确保箱体内部温度均匀性、波动性；温度均匀性、波动性≤2℃。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4.8报警模式：具有高温、低温、高环温报警、传感器故警、开门、断电报警、电池电量低报警、显示板通信故障报警、记录仪通讯故障报警等多种报警功能。开门蜂鸣报警，门关闭报警消除。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4.9电池能效：箱内配有电池，断电后支持声光报警＞24小时。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4.10内部照明：LED冷光源设计，亮度高，低能耗。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4.11安全锁：门体暗锁设计，保证存储物品的安全。可外接挂锁，实现双人双锁，物品存放安全。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4.12物品置放：高密度钢丝浸塑搁架（间距小于1公分，防止物品掉落），带标签卡，方便存放物品标识，且易于清洗，配备储物篮筐（6搁架+1吊篮）。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4.13冷凝水：冷凝水自动蒸发功能，无需人工倒水。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4.14内胆材质：HIPS材质，抗腐蚀，使用寿命长，清洗方便；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4.15数据接口：配置USB数据导出接口，485数据接口、远程报警接口。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4.16测试孔：标配测试孔，方便用户测试箱内温度。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2～8℃/-10～-26℃医用冷藏冷冻箱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2～8℃/-10～-26℃医用冷藏冷冻箱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★4.1规格：立式，有效容积：≥450升，其中冷藏室≥225升，冷冻室≥225升。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4.2箱体材料：PCM彩板，表面耐腐蚀，易清洁。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4.3内胆材料：喷涂铝板，抗腐蚀，使用寿命长，清洗方便。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4.4精准控温：高精度微数据处理终端温度控制系统，内置上下室温度传感器，确保运行状态安全稳定，冷藏温度范围2～8℃，冷冻温度-10～-26℃可设定；确保运行状态安全稳定。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4.5温度显示：高亮度数码温度显示，冷藏室冷冻室分区显示，显示精度0.1℃。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制冷系统：双压缩机双系统，上冷藏室和下冷冻室可独立控制运行，其中一个出现故障不影响另外一个正常运行使用。当上下室显示控制/报警传感器发生故障时，压缩机以正常开停规律运行，确保物品存储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4.7保温材料：冷藏室发泡层厚度≥80mm，冷冻室发泡层厚度≥80mm，高效锁冷，保温节能。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4.8防凝露：冷藏箱玻璃视窗具有LOW-E膜+电加热功能，双重保障防凝露。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4.9安全防护：箱体配锁，一锁可锁两室，可以选配外挂锁。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声光报警：具备声光报警功能，包括断电、电池电量检测故障、电池电量低、环境温度传感器故障、上室温度传感器故障、下室温度传感器故障、环境温度高报警、上、下室高低温报警、门长时间打开报警、主控板通信故障、电源电压检测故障等多种功能。开门持续1分钟，蜂鸣报警，门关闭报警消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▲4.11箱体配置：冷藏室配置≥3个钢丝搁板（带标签卡），冷冻室配置≥6个ABS抽屉，方便物体分类存放。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4.12自动化霜：冷藏室具备自动化霜功能。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4.13断电报警：断电情况下，蓄电池可提供≥24小时报警及为温度记录打印机、USB端口供电。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4.14功率：额定功率≤320W。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4.15测试孔：箱体标配≥2个测试孔，冷藏室冷冻室各标配≥1个测试孔，方便用户测试使用。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4.16数据存储：标配USB数据导出接口，接入U盘可自动存储当月及上月数据，最大存储条数≥100000条，最大存储时限≥10年。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红外线接种环灭菌器</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1.中心区温：825℃±25℃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2.外径：φ15mm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3.加热区总长：140mm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4.升温时间：15min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5.环境温度：5℃～40℃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6.熔断器：250V3A5×20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7.输入电源：AC220V-50-60Hz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8.功率：150W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负责现场安装调试，现场使用培训，整机保修1年，保修日期从通过验收之日开始计算。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全自动高压蒸汽灭菌器</w:t>
            </w:r>
          </w:p>
        </w:tc>
        <w:tc>
          <w:tcPr>
            <w:tcW w:w="8022" w:type="dxa"/>
            <w:tcBorders>
              <w:tl2br w:val="nil"/>
              <w:tr2bl w:val="nil"/>
            </w:tcBorders>
            <w:shd w:val="clear" w:color="auto" w:fill="auto"/>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1.标配自动进水灭菌胆尺寸(mm)（内径×深度）≥450×600、容积≥85L；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2.内胆材质3mm厚SUS304内胆电化学抛光，减少细菌附着面积；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3.灭菌腔体材质：SUS304；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4.锅盖开启方式：一键式上掀盖；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★5.灭菌最高设定温度138℃设计压力0.35MPa，安全阀起跳压力0.28MPa，最高设计温度148度；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▲6.灭菌范围105-138℃；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7.溶解温度50-100℃；保温温度40-80℃，开盖温度80℃，可选配开盖温度40-95℃；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8.设定时间范围：灭菌，融化：1-9999分钟,连接保温：1-9999小时,预约灭菌：0-99天延迟；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9.采用温度传感器，显示精度：0.1℃；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10.灭菌精度图形显示，开盖温度可根据客户需求95℃以下自行调节；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11.具有多种灭菌程序保存功能（可拓展80条）；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12.排气方式：全内排，智能20级排气方式，调整沸点：可根据海拔高度调整沸点温度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13.压力表显示范围-0.1-0.5mpa；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14.自带水箱；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15.智能功能：定时启动功能、自动排气控制、饱和蒸汽检测、自检验系统、记忆存储系统、自动补水功能；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★16.标配独立的双风机冷却系统，缩短降温时间；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17.具有USB接口，可导出电子版灭菌数据；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18.安全装置：压力安全阀，防止干烧，门锁安全连锁装置，腔盖关闭检测系统，过压检测，超温检测，漏电短路检测；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19.温度、压力：标配气温，水温双温度传感器和压力传感器，可校准。独特的软件控制防干烧技术，水温传感器，软件升温速率控制，液涨式超温保护3种防干烧保护，配备双水位传感器；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20.要求压力表可拆卸：压力表模块化卡扣式组件，可快速拆卸，方便校验；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21.提篮尺寸(mm)：（内径×深度）约430×230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22.电源（50/60HZ）、220V16A；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23.功率：4800W；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▲24.压力容器自制生产许可证与设备生产厂家一致，压力容器设计使用年限20年（供货时提供压力容器证书）。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二、配置表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1.提篮3个；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2.物体传感器。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2.安装调试经用户验收合格当天起，质量保证期3年；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生物安全型高压蒸汽灭菌器</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一、技术参数要求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1.灭菌胆尺寸(mm)（内径×深度）≥450×600、容积≥85L；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2.内胆材质3mm厚SUS304内胆电化学抛光，减少细菌附着面积；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3.灭菌腔体材质：SUS304；</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4.锅盖开启方式：一键式上掀盖；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★5.灭菌最高设定温度138℃设计压力0.35MPa，安全阀起跳压力0.28MPa，最高设计温度148度；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6.灭菌范围105-138℃；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7.溶解温度50-100℃，保温温度40-80℃，开盖温度80℃，可选配开盖温度40-95℃；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8.设定时间范围：灭菌，融化：1-9999分钟,连接保温：1-9999小时,预约灭菌：0-99天延迟；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9.采用传感器，显示精度：0.1℃；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10.灭菌精度图形显示，开盖温度可根据客户需求95℃以下自行调节；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11.具有多种灭菌程序保存功能（可拓展80条）；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12.排气方式：全内排，智能20级排气方式；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13.调整沸点：可根据海拔高度调整沸点温度；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14.压力表显示范围-0.1-0.5mpa；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15.智能功能：定时启动功能、自动排气控制、饱和蒸汽检测、自检验系统、记忆存储系统；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16.标配独立的双风机冷却系统，缩短降温时间；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17.具有USB接口，可导出电子版灭菌数据；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18.安全装置：压力安全阀，防止干烧，门锁安全连锁装置，腔盖关闭检测系统，过压检测，超温检测，漏电短路检测；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19.温度、压力：标配气温，水温双温度传感器和压力传感器，可校准。，独特的软件控制防干烧技术，水温传感器，软件升温速率控制，液涨式超温保护3种防干烧保护。配备双水位传感器；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1）生物安全型功能排汽端接孔径为≤0.2μm的疏水型PTFE过滤器,加热及灭菌过程中的空气和冷凝水在灭菌结束前全部都被保留在腔体内部灭菌，增设小锅炉，同步灭菌，确保了所有的致病微生物及气溶胶在排放出去前被过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（2）在线灭菌功能：独立在线灭菌控制系统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嵌入式系统在装载物灭菌时对过滤器进行同步灭菌，并实时监测过滤器灭菌温度及使用情况，确保过滤器灭菌的有效性，杜绝二次感染；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（3）具有内排功能：灭菌完成后，腔内气体通过过滤器排出腔体，避免灭菌蒸汽直接排入实验室，污染环境，带自动进水，自动干燥功能；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w:t>
            </w:r>
            <w:bookmarkStart w:id="0" w:name="_GoBack"/>
            <w:bookmarkEnd w:id="0"/>
            <w:r>
              <w:rPr>
                <w:rFonts w:hint="eastAsia" w:ascii="宋体" w:hAnsi="宋体" w:eastAsia="宋体" w:cs="宋体"/>
                <w:i w:val="0"/>
                <w:iCs w:val="0"/>
                <w:color w:val="000000"/>
                <w:kern w:val="0"/>
                <w:sz w:val="18"/>
                <w:szCs w:val="18"/>
                <w:u w:val="none"/>
                <w:lang w:val="en-US" w:eastAsia="zh-CN" w:bidi="ar"/>
              </w:rPr>
              <w:t>21.要求压力表可拆卸：压力表模块化卡扣式组件，可快速拆卸，方便校验；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22.电源（50/60HZ）、220V16A；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23.功率：4800W；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24.提篮尺寸：（内径×深度）约430mm×230mm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25.压力容器设计使用年限20年（供货时提供压力容器证书）。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二、配置表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1.提篮3个；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2.物体传感器。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2.安装调试经用户验收合格当天起，质量保证期3年；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全自动微生物过滤系统</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一、主要技术参数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★1、过滤支架材质，316L不锈钢；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2、过滤支架能够手工拆卸成底座、阀门、过滤头、滤膜支撑网等几部分，即插即用型连接，以便彻底消毒灭菌，支架内部可用试管刷进行清洁；开关阀门为铝质；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3、独特边缘设计使得取膜操作更加安全和简单，可将由于接触膜过滤区域而带来的污染风险最小化。多孔过滤支撑网通过按压边缘能够很方便的移除，无需维护；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▲4、底座可根据需要选择不同型号，匹配多种过滤装置，可重复使用的玻璃及不锈钢滤杯；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5、即拿即用型滤杯，样品过滤后，可以将滤膜转移至固体培养基上培养，也可直接加入液体培养基，将滤杯底座转换成培养皿进行后续培养；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6、滤杯须具有透明可视的刻度线，刻度线应明确标示出实验常用过滤体积；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7、滤杯容量规格100mL和250mL；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8、滤杯与过滤头之间应为卡箍式连接，并应杜绝硅胶垫等易溶出的物质的使用；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9、使用直排式真空隔膜泵；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▲10、有止回阀设计，防止过滤液体回流，造成污染风险；两个支架之间可通过不锈钢三通阀进行连接；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11、清洁方便：可手工拆除部件，支架内部可用试管刷清洁并高压灭菌，安全无死角，有效防止生物膜产生；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12、真空泵的管道可连接支架的任一边，即可根据实验情况选择合适的废液排出方向；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★13、三联支架外形尺寸(mm)（长×宽×高）≥165×430×115，高度适中，便于在层流罩内使用；整套装置通过调整可在非平坦区域工作，三联支架总重量约≤2.9kg，方便转移。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二、配置清单：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1、三联不锈钢过滤器1台；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2、直排式真空隔膜泵1台；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3、其他配件：硅胶管1条，止回阀1包；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4、滤膜100张；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5、一次性无菌滤杯100个。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负责现场安装调试，现场使用培训，整机保修1年，保修日期从通过验收之日开始计算。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04"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移液枪</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1.1量程为0.5-10μl，移液精度≤0.5%。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1.2量程为2-20μl，移液精度≤0.5%。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1.3量程为10-100μl，移液精度≤0.5%。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1.4量程为20-200μl，移液精度≤0.5%。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1.5量程为100-1000μl，移液精度≤0.5%。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1.6量程为500-5000μl，移液精度≤0.5%。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1年保修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17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﹣25℃医用低温箱</w:t>
            </w:r>
          </w:p>
        </w:tc>
        <w:tc>
          <w:tcPr>
            <w:tcW w:w="8022" w:type="dxa"/>
            <w:tcBorders>
              <w:tl2br w:val="nil"/>
              <w:tr2bl w:val="nil"/>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﹣25℃医用低温箱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★4.1规格：有效容积≥450L，双门，立式。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4.2万向脚轮：四个万向脚轮，方便移动安放。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4.3箱体材料：优质PCM钢板。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4.4内胆材料：吸塑胆材质。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精确独立控温：微数据处理终端高精度温度控制系统，箱内温度在-10℃～-25℃范围内任意设定；高清晰数码温度显示，上下室温度左右分区独立显示，显示精度0.1℃，双压缩机双制冷系统，上室、下室可独立控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4.6制冷系统：采用高效压缩机，品牌风扇电机，节能高效、静音，系统可靠，丝管式蒸发器，丝管冷凝器，温度稳定，确保箱内温度均匀性，箱内温度波动性及均匀性≤2℃。</w:t>
            </w:r>
          </w:p>
          <w:p>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▲4.7内部结构：上下两室，每室配置≥4个ABS抽屉。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4.8门把手：上下独立明把手设计，美观大方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4.9保温材料：无CFC聚氨酯发泡保温层，环保无污染。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4.10报警模式：具有高低温报警、开门报警、断电报警、电池电量低报警、传感器故障报警等声光报警功能，开门超过1分钟，指示灯闪烁及蜂鸣报警，门关闭报警消除。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4.11运行保护：具备开机延时和停机间隔保护功能，确保运行可靠。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4.12耗电量：高效节能，单日耗电量≤2.5Kw.h/24h。</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4.13运行功率：≤250W。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4.14测试孔：箱体上下室各配置≥1个测试孔，方便测试温度。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4.15数据存储：标配USB数据导出接口，接入U盘可自动存储当月及上月数据，最大存储时限≥10年。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18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旋涡震荡仪</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旋涡震荡仪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可用于试剂溶液的震荡混匀。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4.1振幅4.9mm，触控/待机/连续3种模式可选，具有更好的混合效果；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4.2振动速度500-2800rpm，旋钮控制；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4.3标配杯形振荡头和7.6cm平振荡头；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4.4外形尺寸(cm)（长×宽×高）：约21.0×12.0×16.5；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4.5工作条件：设备可在温度4至40°C，相对湿度为20%至85%的非冷凝条件下运行。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5.2标配杯形振荡头和7.6cm平振荡头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19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﹣25℃医用低温箱</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﹣25℃医用低温箱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样品保存。</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★4.1规格：有效容积≥270L，单门，立式。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4.2箱体材质：箱体采用优质钢板。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4.3内胆材质：喷涂铝板内胆。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4.4精确控温：数码温度显示，微数据处理终端温度控制系统，箱体内温度-10℃～-25℃范围内任意设定，显示精度≤1℃。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4.5制冷系统：采用高效压缩机、环保制冷剂。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4.6报警模式：具有高低温、传感器故障、开门报警等多重声光报警功能，保障样本安全。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4.7发泡层：无CFC聚氨酯发泡保温层，发泡层厚度≥100mm，高效锁冷。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4.8运行保护：具备开机延时、停机间隔等保护功能，确保运行可靠。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▲4.9物品置放：≥7个ABS抽屉，便于分类存储。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4.10门把手：明把手。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4.11箱内温度均匀性：每层具有蒸发器，保证箱内温度均匀性≤2℃。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4.12整机运行功率：≤120W。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4.13测试孔：标配≥1个测试孔，方便测试箱内温度。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5、保修期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1、冷藏箱整机1年保修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2、主要零部件5年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迷你离心机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迷你离心机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可用于试剂溶液和PCR八连管的离心混匀。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4.1转速范围3000-9999rpm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4.2相对离心力≥2000g，0.2ml离心管，0.2mLPCR管（八连管）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4.3转子类型一体式复合转子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★4.4样品处理量6×1.5/2.0ml离心管+2×8×0.2mLPCR管（八连管）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4.5内腔直径≥130mm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5.2一体式复合转子，兼容2.0mL、1.5mL、0.5mL、0.2mL离心管和0.2mL八连排管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八连管微量离心机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八连管微量离心机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可用于PCR实验离心和八联管液体挂壁分离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4.1转速范围：最高转速7000r/min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4.2转速偏差：±5%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4.3最大相对离心力：≥3950g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★4.4转子类型：联排管转子0.2mL×8×4排+角度转子2mL×8（转换适配器：0.2mL、0.5mL、1.5mL）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4.5样品处理量：0.2mL×8×4排PCR管（八连管）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4.6外型尺寸(mm)：约150×165×125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4.7升速时间：6s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4.8噪声：≤48dB（A）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4.9净重：1kg(含空载的角转子）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4.10驱动方式：直流永磁电机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输出电压：DC24V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4.11电源：AC110V-250V；50/60Hz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5.2角转子一套：角度转子2mL×8支（转换适配器：0.2mL、0.5mL、1.5mL）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5.3联排管转子一套：0.2mL×8×4排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22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96微孔板离心机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96微孔板离心机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可用于PCR实验96微孔板的离心混匀。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4.1转速范围：最高转速2800r/min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4.2转子固定：垂直固定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4.3最大相对离心力：≥</w:t>
            </w:r>
            <w:r>
              <w:rPr>
                <w:rFonts w:hint="eastAsia" w:ascii="宋体" w:hAnsi="宋体" w:eastAsia="宋体" w:cs="宋体"/>
                <w:i w:val="0"/>
                <w:iCs w:val="0"/>
                <w:color w:val="000000"/>
                <w:kern w:val="0"/>
                <w:sz w:val="18"/>
                <w:szCs w:val="18"/>
                <w:highlight w:val="none"/>
                <w:u w:val="none"/>
                <w:lang w:val="en-US" w:eastAsia="zh-CN" w:bidi="ar"/>
              </w:rPr>
              <w:t>620g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4.4定速时间：1-99s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4.5加速时间：0-9档，减速时间：0-9档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4.6整机噪音：无噪音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4.7电源：DC24/2A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4.8输入功率：40KW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4.9外型尺寸(mm)：约220×190×185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4.10净重：2.7kg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★4.11载量：2×96PCR微孔板（0.1mL和0.2mL体积）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5.2电源线一条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高速离心机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高速离心机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可用于样品的离心混匀。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4.1可设定自动/手动停机开盖方式、微机控制，高清液晶显示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4.2具有超速、不平衡、超温、开盖停机等多项保护功能；可设定启动计时/到达转速计时模式，具有瞬时离心功能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4.3转速范围：最高转速20000r/min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4.4转速偏差：±1%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▲4.5最大相对离心力：≥26380g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★4.6转子类型：10mL×12孔位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4.7定时时间：1-99min59s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4.8外型尺寸：约50×35×35cm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4.9升减0-9档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4.10整机噪音：≤65dB（A）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4.11净重：35kg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4.12电源：AC100V-250V,50/60HZ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4.13输入功率：0.75KW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5.2配置转子，适用于10mL离心管×12孔位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高速冷冻离心机（适用50ml离心管）</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高速冷冻离心机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可用于对需要低温保存的样品进行离心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4.1可设定自动/手动停机开盖方式、微机控制，高清液晶显示、触摸屏操作；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4.2具有超速、不平衡、超温、开盖停机等多项保护功能；可设定启动计时/到达转速计时模式，具有瞬时离心功能；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4.3停机防回荡技术，减速时分离面平整清晰；无二次悬沉现象；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4.4可自由设定5级梯度离心程序；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4.5具备一键预冷功能、转子识别功能，确保转子不会超速运行；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4.6转速范围：最高转速20000r/min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4.7转速偏差：±1%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4.8最大相对离心力：≥</w:t>
            </w:r>
            <w:r>
              <w:rPr>
                <w:rFonts w:hint="eastAsia" w:ascii="宋体" w:hAnsi="宋体" w:eastAsia="宋体" w:cs="宋体"/>
                <w:i w:val="0"/>
                <w:iCs w:val="0"/>
                <w:color w:val="000000"/>
                <w:kern w:val="0"/>
                <w:sz w:val="18"/>
                <w:szCs w:val="18"/>
                <w:highlight w:val="none"/>
                <w:u w:val="none"/>
                <w:lang w:val="en-US" w:eastAsia="zh-CN" w:bidi="ar"/>
              </w:rPr>
              <w:t>26380g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★4.9转子类型：50mL×6孔位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★4.10温度设定范围及精度：-20℃—+40℃（±2℃）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4.11定时时间：1-99min59s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4.12外形尺寸(cm)：约65×40×30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4.13升减速：0-9档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4.14整机噪音：≤65dB（A）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4.15电源：AC100V-250V,50/60HZ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4.16输入功率：1.0KW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5.2角转子一套：角度转子50mL×6孔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超低温离心机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超低温离心机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可用于对需要低温保存的样品进行离心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4.1可设定自动/手动停机开盖方式、微机控制，高清液晶显示、触摸屏操作；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4.2具有超速、不平衡、超温、开盖停机等多项保护功能；可设定启动计时/到达转速计时模式，具有瞬时离心功能；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4.3停机防回荡技术，减速时分离面平整清晰；无二次悬沉现象；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4.4可自由设定5级梯度离心程序；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4.5具备一键预冷功能、转子识别功能，确保转子不会超速运行；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4.6转速范围：最高转速20000r/min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4.7转速偏差：±1%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4.8最大相对离心力：≥</w:t>
            </w:r>
            <w:r>
              <w:rPr>
                <w:rFonts w:hint="eastAsia" w:ascii="宋体" w:hAnsi="宋体" w:eastAsia="宋体" w:cs="宋体"/>
                <w:i w:val="0"/>
                <w:iCs w:val="0"/>
                <w:color w:val="000000"/>
                <w:kern w:val="0"/>
                <w:sz w:val="18"/>
                <w:szCs w:val="18"/>
                <w:highlight w:val="none"/>
                <w:u w:val="none"/>
                <w:lang w:val="en-US" w:eastAsia="zh-CN" w:bidi="ar"/>
              </w:rPr>
              <w:t>26380g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★4.9转子类型：5mL/10mL×12孔位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★4.10温度设定范围及精度：-20℃—+40℃（±2℃）</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4.11定时时间：1-99min59s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4.12外形尺寸(cm)：约65×40×30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4.13升减速：0-9档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4.14整机噪音：≤65dB（A）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4.15电源：AC100V-250V,50/60HZ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4.16输入功率：1.0KW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5.2角转子一套：角度转子5mL/10mL×12孔位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离心机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离心机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可用于血液样品的离心分离血清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4.1转速、离心力可同步设定显示，不需转换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4.2具备停机防回荡功能、有停机自动开盖功能、真空采血管自动脱帽，脱帽成功率能达到90%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4.3转速范围：最高转速4200r/min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4.4转速偏差：±2.5%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4.5最大相对离心力：≥</w:t>
            </w:r>
            <w:r>
              <w:rPr>
                <w:rFonts w:hint="eastAsia" w:ascii="宋体" w:hAnsi="宋体" w:eastAsia="宋体" w:cs="宋体"/>
                <w:i w:val="0"/>
                <w:iCs w:val="0"/>
                <w:color w:val="000000"/>
                <w:kern w:val="0"/>
                <w:sz w:val="18"/>
                <w:szCs w:val="18"/>
                <w:highlight w:val="none"/>
                <w:u w:val="none"/>
                <w:lang w:val="en-US" w:eastAsia="zh-CN" w:bidi="ar"/>
              </w:rPr>
              <w:t>3150g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★4.6转子类型：3mL/5mL×48孔位（真空采血管）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4.7外型尺寸：约55×45×35cm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4.8定时范围：1-99min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4.9升减速时间：1-9档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4.10噪声：＜65dB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4.11电源：AC100V-250V,50/60HZ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4.12输入功率：0.75KW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★5.2脱帽转子——吊篮×4组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5.3适配器2套：3mL×48支，5mL×48支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多重病原体核酸检测系统</w:t>
            </w:r>
          </w:p>
        </w:tc>
        <w:tc>
          <w:tcPr>
            <w:tcW w:w="8022" w:type="dxa"/>
            <w:tcBorders>
              <w:tl2br w:val="nil"/>
              <w:tr2bl w:val="nil"/>
            </w:tcBorders>
            <w:shd w:val="clear" w:color="auto" w:fill="auto"/>
            <w:vAlign w:val="center"/>
          </w:tcPr>
          <w:p>
            <w:pPr>
              <w:keepNext w:val="0"/>
              <w:keepLines w:val="0"/>
              <w:pageBreakBefore w:val="0"/>
              <w:widowControl/>
              <w:numPr>
                <w:ilvl w:val="0"/>
                <w:numId w:val="4"/>
              </w:numPr>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多重病原体核酸检测系统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用于传染病疾病研究、病原体检测、病毒载量分析、药物代谢、基因表达、突变检测、蛋白热稳定性分析等，微流体芯片主要应用于呼吸道病原体检测、肠道微生物检测、多重转基因检测、多重虫媒病原体检测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电源电压220ACV±10%，配备万用接线板。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4.1热循环采用珀耳帖效应系统，加热冷却方式为半导体，温控精准度高，使用寿命长；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4.2温度范围：4–99.9℃；</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★4.3最多支持四种半导体控温的加热模块，0.2ml×96孔、0.1ml×96孔、384孔和微流体模块；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▲4.4四种半导体控温加热模块可由用户点击仪器界面按钮，通过电动马达进行更换，更换后无需校准即可使用；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▲4.50.2ml或0.1ml的96模块均含有6个独立的精确数码温控区域，每个区域可独立设置反应温度；实时反映每个独立区域的精确温度，而非模糊的软件模拟温度；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4.6相邻温控区温度差异最多可达5℃，最大温度差异为25℃；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4.7激发光源为高亮度白光半导体光源，工作寿命＞5年；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★4.8检测系统为低温高分辨CMOS一次成像，实时动态检测，动态显示，96孔或384孔均同步成像检测仪器支持的所有荧光染料，无逐个扫描时间差；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▲4.96色发射光通道和6色激发光通道可自由组合，最多可检测21种不同的荧光光谱；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4.10单管单次反应可同时检测6种不同靶标；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4.11能同时检测并区分VIC荧光和TAMRA荧光，以用于基因拷贝数(CNV）检测；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▲4.12支持ROX荧光校正，去除移液误差和耗材透光度引起的物理误差；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▲4.13支持Purple荧光校正，去除移液误差和耗材透光度引起的物理误差；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4.14安装时已校准染料：通道一：FAM,SYBRGreenI；通道二：VIC；通道三：NED,ABY,TAMRA；通道四：JUN,ROX；通道五MustangPurple,Cy5；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4.15升降温速率≥6.5℃/秒；</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4.16运行速度快，30分钟内完成40个循环，并能提供现场验证实验支持；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4.17检测灵敏度高，低至单拷贝检测/反应体系；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4.18检测精密度高，可区分1.5倍拷贝数差异，置信度≥99.7%；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4.19仪器具有宽广的动态范围，不低于10个对数的线性动态范围；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4.20支持高分辨率熔解曲线，分辨率最小至0.015℃；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4.21样本检测的重复性高，对高浓度和低浓度核酸样本分别进行重复性检测，CV值＜3%；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4.22内置12英寸电容式触摸屏，可提供一键式的实验方案，同时支持触屏设置个性化实验程序并启动实验；支持实时察看实验进程以及最终实验结果查看和分析；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4.23触摸屏支持智能远程支持，一键即可远程联系到原厂的技术支持和工程师，第一时间获取售后支持，显著缩短问题解决时间；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4.24内置摄像头，支持人脸识别，无需手动操作即可登录个人账户；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4.25仪器具有断电保护功能，可支持断电时间在一小时之内的实验正常恢复；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4.26支持PCR主机独立运行，还可同时连接数据处理终端或连接云服务平台,除支持仪器连接的数据处理终端储存数据外，仪器也支持自身储存数据；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4.27软件自带多组分算法，可去除多色荧光间的相互干扰，保证多重分析结果的准确性，无需颜色补偿；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5.1实时荧光定量PCR主机一台；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5.2配备0.1ml×96孔和微流体模块各一套；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5.3数据处理终端工作站一套；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5.4数据采集和分析软件一套（中文版）；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5.5安装试剂盒一套；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5.6培训芯片试剂一套；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5.7芯片专用离心机一台；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5.8打印设备一台；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6.4仪器提供2名到厂家在国内的培训中心的培训班名额。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酶标仪</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酶标仪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适于酶活性实验、蛋白浓度测定、核酸浓度测定、ELISA、细胞增殖和凋亡、动力学检测、内毒素检测、细菌生长曲线测定。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电源电压220ACV±10%，配备万用接线板。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★4.1仪器的触摸式操作，单机使用即可得浓度、纯度及扫描光谱图；检测模式包括：终点法、动力学法、光谱扫描、动力学光谱扫描等；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4.2光源：闪烁式氙灯；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▲4.3适用板型：96和384孔板，标准比色杯以及超微量检测板；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4.4波长范围：200-1000nm，1nm步进；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4.5带宽≤2.5nm；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4.6读数范围：0-3.0Abs；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4.7准确性@450nm：1.0%+0.003OD；</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4.8精确性@450nm：SD≤0.003OD或CV≤1.0%；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▲4.97英寸图形化超灵敏触摸屏，中文操作界面，支持U盘数据导出以及Cloud数据云分享；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4.10具备自动光程校准功能，无需软件，单机可自动输出校准数据；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4.11整板测量速度：6s，96孔板；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4.12波长扫描速度：10s，200-1000nm，1nm步进；</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★4.13孵育器功能包括比色杯基座和微孔板，温度范围：室温+2℃至45℃；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4.14振荡器：线性振荡，三档速度可调，三种振荡模式可选；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4.15与自动化系统兼容，可扩展至高通量自动化检测系统，无需人工干预；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4.16仪器控制和高级分析功能二合一，实时显示运行结果，一键选择列表、板布局等多种直观数据显示方式；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4.17中文、英文、西班牙语等多种语言选择设置，Windows直观界面，图标按钮显示基于SQL数据库；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4.18智能化安全监控设置，测量数据自动保存，断电后恢复等；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4.19智能化自动填充铺板布局，可自定义测量模板及命名、颜色设置；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4.20可自定义Blanksubtraction、CurveFit、Cut-Off等计算模式；自动孔间光程校准；数据测量及分析过程可包括：扣减本底、定量曲线拟合、动力学计算、临界值分析和质控等；自动保存标准曲线；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4.21具备结果报告输出功能，xls/pdf/txt/xml格式，一键输出excel表格，支持报告email发送。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5.2数据采集和分析软件一套（中文版）；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5.3数据处理终端一台；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5.7打印设备一台。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29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自动洗板机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1、设备名称：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自动洗板机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2、主要用途：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主要用于酶联免疫吸附检测(ELISA）等多种常规检验中的洗板和备板。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3、工作环境：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良好通风，可避免阳光直射，无强烈对流及温度波动的环境。电源电压220ACV±10%，有良好的接地，万用接线板。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4、系统性能及指标：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4.1洗液、废液通道：各1个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4.2瓶容量：2L洗液瓶、2L废液瓶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4.3非压力式洗瓶废液瓶，可开盖操作，配液位报警器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★4.4洗头：同轴套管式8道或12道洗头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4.5清洗板型：96孔板，U型底、V型底、C型底、星型底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4.6分液、吸液高度及吸液速度可调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4.7清洗体积：50-1000µl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4.8预洗体积：5-100ml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4.9冲洗体积：5-100ml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4.10加液量：50-400µl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4.11残液量：≤1.5µl</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4.12吸液模式：正常、两点清扫、三点清扫</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▲4.13具有溢流清洗功能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4.14振荡器：三档速度可调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4.15数据接口：USB接口，可存储及更新程序软件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4.16程序内存：可存储99个程序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▲4.17按键显示：高分辨彩色液晶显示，图形化界面，支持中文在内的多国语言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5、系统配置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5.1主机一台；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5.2单排12道洗头两套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5.32L洗液瓶一个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5.42升废液瓶一个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5.5防气溶胶盖一个</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5.6电源线一条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5.7产品使用说明书一份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5.8产品保修卡一份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5.9产品合格证一份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6、售后服务与培训：</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6.1负责现场安装调试。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6.2安装调试经用户验收合格当天起，质量保证期1年。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6.3现场培训2人直至能完全独立操作。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数显水平旋转仪</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一、主要参数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1、数显水平旋转仪又称水平摇床，可用于梅毒血清检测、酶联免疫吸附试验中摇匀反应物；</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2、运行方式：圆周运行；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3、LED屏幕显示时间和转速，配置时间旋钮和转速旋钮；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4、速度范围：40-350RPM；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5、时间设置范围：1-19h59min；</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6、可定时或者连续运行；</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7、工作尺寸：约255×255mm（配置透明保护罩：IP21材质）；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8、外形尺寸：约420×360×145mm；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9、输入电压和功率：AC100-240V（50/60HZ），20W；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10、允许承重：2KG；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11、采用直流电机，经久耐用，宽电压设计，有效避免电源不稳定对仪器干扰。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二、培训维护服务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负责现场安装调试，现场使用培训，整机保修1年，保修日期从通过验收之日开始计算。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碳酸氢钠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碳酸钠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33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氯胺T</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磷酸二氢钾</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FF0000"/>
                <w:sz w:val="18"/>
                <w:szCs w:val="18"/>
                <w:u w:val="none"/>
                <w:lang w:val="en-US"/>
              </w:rPr>
            </w:pPr>
            <w:r>
              <w:rPr>
                <w:rFonts w:hint="eastAsia" w:ascii="宋体" w:hAnsi="宋体" w:eastAsia="宋体" w:cs="宋体"/>
                <w:i w:val="0"/>
                <w:iCs w:val="0"/>
                <w:color w:val="FF0000"/>
                <w:kern w:val="0"/>
                <w:sz w:val="18"/>
                <w:szCs w:val="18"/>
                <w:u w:val="none"/>
                <w:lang w:val="en-US" w:eastAsia="zh-CN" w:bidi="ar"/>
              </w:rPr>
              <w:t>35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异烟酸</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巴比妥酸</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25g/瓶GR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二合水乙酸锌</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酒石酸</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39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铬黑T</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氨水（p=0.88g/mL）</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500mL/瓶GR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纳氏试剂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100mL/瓶，满足纳氏试剂分光光度法要求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四水合酒石酸钾钠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氯化钠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500g/瓶GR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抗坏血酸</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二苯碳酰二肼</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硫酸肼</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氯化钾</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碘化钾</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49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淀粉</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95%乙醇</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51</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铬天青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52</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乳化剂OP</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100mL/瓶AR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53</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溴代十六烷基吡啶（CPB）</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54</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安替比林</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二乙酰一肟</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25g/瓶AR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氯化钠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57</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营养琼脂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四硫磺酸钠煌绿增菌液基础</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59</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碘液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2mL/支×20/盒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60</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0.1%煌绿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1mL/支×20/盒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61</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甘露醇卵黄多粘菌素琼脂基础</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62</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多粘菌素B</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10000IU/支×5/盒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63</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乳糖胆盐发酵培养基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64</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乳糖复发酵培养基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65</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EC肉汤</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66</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乳糖蛋白胨培养液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67</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霉菌液体培养基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液体硫乙醇酸盐培养基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69</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无菌检验用洗脱液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3%氯化钠碱性蛋白胨水</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营养肉汤</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7.5氯化钠肉汤</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Baird-Parker琼脂基础</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亚碲酸钾卵黄增菌液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5mL×10/盒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脑心浸液培养基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缓冲蛋白胨水</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亚硒酸盐胱氨酸增菌液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亚硫酸铋琼脂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79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HE琼脂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木糖赖氨酸脱氧胆盐琼脂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三糖铁琼脂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半固体琼脂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志贺氏菌增菌肉汤基础</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新生霉素添加剂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0.125mg/支×5/盒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肠道增菌肉汤</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伊红美蓝琼脂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3%氯化钠碱性蛋白胨水</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TCBS琼脂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89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氯化钠三糖铁琼脂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3%胰蛋白胨大豆琼脂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弧菌显色培养基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GN增菌液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SS琼脂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四号琼脂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1%亚碲酸钾溶液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5mL×10/盒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碱性蛋白胨水</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庆大霉素琼脂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金黄色葡萄球菌显色培养基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99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蜡样芽胞杆菌显色培养基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大肠杆菌显色培养基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沙门氏菌显色培养基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志贺氏菌显色培养基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1000mL/瓶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沙氏琼脂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十六烷三甲基溴化铵琼脂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SCDLP液体培养基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孟加拉红（虎红）琼脂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马铃薯葡萄糖琼脂</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108</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冻干血浆</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0.5mL×10/盒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109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沙门氏菌干制生化鉴定试剂盒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110</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致泻大肠埃希氏菌干制生化鉴定试剂盒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蜡样芽胞杆菌干制生化鉴定试剂盒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8种×10套/盒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副溶血性弧菌干制生化鉴定试剂盒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16种×10套/盒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霍乱弧菌干制生化鉴定试剂盒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14种×10套/盒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志贺氏菌干制生化鉴定试剂盒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17种×10套/盒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变形杆菌生化鉴定试剂盒</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13种×11套/盒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沙门氏菌属诊断血清11种</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1mL×12瓶/套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志贺氏菌属诊断血清22种</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1mL×26瓶/套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O1,O139霍乱弧菌多价诊断血清</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119</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O139霍乱弧菌诊断血清</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120</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Vitek2革兰氏阴性细菌鉴定卡</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20卡/盒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血平板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Cary-Blair氏运送培养基</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革兰氏染色液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硫代硫酸钠</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125</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甘氨酸</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500g/瓶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126</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金黄色葡萄球菌显色培养基平板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127</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Baird-Parker琼脂平板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血琼脂平板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129</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哥伦比亚血平板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130</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沙门氏菌显色培养基平板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131</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HE琼脂平板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132</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XLD琼脂平板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133</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弧菌显色培养基平板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134</w:t>
            </w:r>
          </w:p>
        </w:tc>
        <w:tc>
          <w:tcPr>
            <w:tcW w:w="1148"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TCBS琼脂平板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135</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四号琼脂平板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136</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庆大霉素琼脂平板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137</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志贺氏菌显色培养基平板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麦康凯琼脂平板（MAC）</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139</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蜡样芽孢显色培养基平板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140</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甘露醇卵黄多粘菌素B琼脂平板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141</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大肠显色培养基平板（ECA）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142</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伊红美蓝琼脂平板（EMB）</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143</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SS琼脂平板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144</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BS琼脂平板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145</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营养琼脂斜面</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20支/盒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146</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O157显色培养基平板</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10皿/包×2/盒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147</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0.85%生理盐水</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9mL/支×20/盒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148</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布病试管凝集抗原（光滑型）</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12ml/瓶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149</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布病虎红平板凝集抗原（光滑性）</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12ml/瓶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150</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50%卵黄液</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5mL×10/盒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151</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人类免疫缺陷病毒抗体(HIV）检测试剂盒（ELISA）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152</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人类免疫缺陷病毒抗体(HIV）检测试剂盒（ELISA）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153</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梅毒甲苯胺红不加热血清试验诊断试剂盒(TRUST）</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154</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丙型肝炎病毒抗体诊断试剂盒（ELISA）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155</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人乙肝核心抗体试剂盒（ELISA）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156</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麻疹病毒IgM抗体检测试剂盒（ELISA）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65"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FF0000"/>
                <w:sz w:val="18"/>
                <w:szCs w:val="18"/>
                <w:u w:val="none"/>
              </w:rPr>
            </w:pPr>
            <w:r>
              <w:rPr>
                <w:rFonts w:hint="eastAsia" w:ascii="宋体" w:hAnsi="宋体" w:eastAsia="宋体" w:cs="宋体"/>
                <w:i w:val="0"/>
                <w:iCs w:val="0"/>
                <w:color w:val="FF0000"/>
                <w:kern w:val="0"/>
                <w:sz w:val="18"/>
                <w:szCs w:val="18"/>
                <w:u w:val="none"/>
                <w:lang w:val="en-US" w:eastAsia="zh-CN" w:bidi="ar"/>
              </w:rPr>
              <w:t>157</w:t>
            </w:r>
          </w:p>
        </w:tc>
        <w:tc>
          <w:tcPr>
            <w:tcW w:w="1148" w:type="dxa"/>
            <w:tcBorders>
              <w:tl2br w:val="nil"/>
              <w:tr2bl w:val="nil"/>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风疹病毒IgM抗体检测试剂盒（ELISA）</w:t>
            </w:r>
          </w:p>
        </w:tc>
        <w:tc>
          <w:tcPr>
            <w:tcW w:w="8022"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48人份/盒，适用于临床检验</w:t>
            </w:r>
          </w:p>
        </w:tc>
      </w:tr>
    </w:tbl>
    <w:p>
      <w:pPr>
        <w:rPr>
          <w:rFonts w:hint="eastAsia" w:ascii="宋体" w:hAnsi="宋体" w:eastAsia="宋体" w:cs="宋体"/>
          <w:sz w:val="21"/>
          <w:szCs w:val="21"/>
          <w:lang w:val="en-US" w:eastAsia="zh-CN"/>
        </w:rPr>
      </w:pPr>
    </w:p>
    <w:p>
      <w:pPr>
        <w:rPr>
          <w:rFonts w:hint="eastAsia" w:ascii="宋体" w:hAnsi="宋体" w:eastAsia="宋体" w:cs="宋体"/>
          <w:sz w:val="21"/>
          <w:szCs w:val="21"/>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第</w:t>
                          </w:r>
                          <w:r>
                            <w:fldChar w:fldCharType="begin"/>
                          </w:r>
                          <w:r>
                            <w:instrText xml:space="preserve"> PAGE  \* MERGEFORMAT </w:instrText>
                          </w:r>
                          <w:r>
                            <w:fldChar w:fldCharType="separate"/>
                          </w:r>
                          <w:r>
                            <w:t>1</w:t>
                          </w:r>
                          <w:r>
                            <w:fldChar w:fldCharType="end"/>
                          </w:r>
                          <w:r>
                            <w:t>页共</w:t>
                          </w:r>
                          <w:r>
                            <w:fldChar w:fldCharType="begin"/>
                          </w:r>
                          <w:r>
                            <w:instrText xml:space="preserve"> NUMPAGES  \* MERGEFORMAT </w:instrText>
                          </w:r>
                          <w:r>
                            <w:fldChar w:fldCharType="separate"/>
                          </w:r>
                          <w:r>
                            <w:t>29</w:t>
                          </w:r>
                          <w:r>
                            <w:fldChar w:fldCharType="end"/>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第</w:t>
                    </w:r>
                    <w:r>
                      <w:fldChar w:fldCharType="begin"/>
                    </w:r>
                    <w:r>
                      <w:instrText xml:space="preserve"> PAGE  \* MERGEFORMAT </w:instrText>
                    </w:r>
                    <w:r>
                      <w:fldChar w:fldCharType="separate"/>
                    </w:r>
                    <w:r>
                      <w:t>1</w:t>
                    </w:r>
                    <w:r>
                      <w:fldChar w:fldCharType="end"/>
                    </w:r>
                    <w:r>
                      <w:t>页共</w:t>
                    </w:r>
                    <w:r>
                      <w:fldChar w:fldCharType="begin"/>
                    </w:r>
                    <w:r>
                      <w:instrText xml:space="preserve"> NUMPAGES  \* MERGEFORMAT </w:instrText>
                    </w:r>
                    <w:r>
                      <w:fldChar w:fldCharType="separate"/>
                    </w:r>
                    <w:r>
                      <w:t>29</w:t>
                    </w:r>
                    <w:r>
                      <w:fldChar w:fldCharType="end"/>
                    </w:r>
                    <w: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1368B4"/>
    <w:multiLevelType w:val="singleLevel"/>
    <w:tmpl w:val="CD1368B4"/>
    <w:lvl w:ilvl="0" w:tentative="0">
      <w:start w:val="1"/>
      <w:numFmt w:val="chineseCounting"/>
      <w:suff w:val="nothing"/>
      <w:lvlText w:val="%1、"/>
      <w:lvlJc w:val="left"/>
      <w:rPr>
        <w:rFonts w:hint="eastAsia"/>
      </w:rPr>
    </w:lvl>
  </w:abstractNum>
  <w:abstractNum w:abstractNumId="1">
    <w:nsid w:val="39CE2847"/>
    <w:multiLevelType w:val="singleLevel"/>
    <w:tmpl w:val="39CE2847"/>
    <w:lvl w:ilvl="0" w:tentative="0">
      <w:start w:val="1"/>
      <w:numFmt w:val="decimal"/>
      <w:suff w:val="nothing"/>
      <w:lvlText w:val="%1、"/>
      <w:lvlJc w:val="left"/>
    </w:lvl>
  </w:abstractNum>
  <w:abstractNum w:abstractNumId="2">
    <w:nsid w:val="78905C89"/>
    <w:multiLevelType w:val="singleLevel"/>
    <w:tmpl w:val="78905C89"/>
    <w:lvl w:ilvl="0" w:tentative="0">
      <w:start w:val="1"/>
      <w:numFmt w:val="decimal"/>
      <w:suff w:val="nothing"/>
      <w:lvlText w:val="%1、"/>
      <w:lvlJc w:val="left"/>
    </w:lvl>
  </w:abstractNum>
  <w:abstractNum w:abstractNumId="3">
    <w:nsid w:val="7CD86728"/>
    <w:multiLevelType w:val="singleLevel"/>
    <w:tmpl w:val="7CD86728"/>
    <w:lvl w:ilvl="0" w:tentative="0">
      <w:start w:val="1"/>
      <w:numFmt w:val="chineseCounting"/>
      <w:suff w:val="nothing"/>
      <w:lvlText w:val="%1、"/>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C72170"/>
    <w:rsid w:val="00262C22"/>
    <w:rsid w:val="01C40DDD"/>
    <w:rsid w:val="02D30FA9"/>
    <w:rsid w:val="039878D9"/>
    <w:rsid w:val="03E2554B"/>
    <w:rsid w:val="047168CE"/>
    <w:rsid w:val="050B287F"/>
    <w:rsid w:val="05B65897"/>
    <w:rsid w:val="06CC6419"/>
    <w:rsid w:val="0A0F0502"/>
    <w:rsid w:val="0B1E4713"/>
    <w:rsid w:val="0C0A20F5"/>
    <w:rsid w:val="0EBE7CFD"/>
    <w:rsid w:val="0FF014B0"/>
    <w:rsid w:val="152903AF"/>
    <w:rsid w:val="15653784"/>
    <w:rsid w:val="19A075E2"/>
    <w:rsid w:val="1B2D4292"/>
    <w:rsid w:val="1F3D4918"/>
    <w:rsid w:val="2408202E"/>
    <w:rsid w:val="25264F18"/>
    <w:rsid w:val="260B04D9"/>
    <w:rsid w:val="26252DBF"/>
    <w:rsid w:val="29084B6E"/>
    <w:rsid w:val="2F230642"/>
    <w:rsid w:val="2FDC480B"/>
    <w:rsid w:val="335B4C1D"/>
    <w:rsid w:val="33884589"/>
    <w:rsid w:val="33B21DDB"/>
    <w:rsid w:val="35EB7C22"/>
    <w:rsid w:val="39400042"/>
    <w:rsid w:val="3FC7326B"/>
    <w:rsid w:val="40CF5B9E"/>
    <w:rsid w:val="42936697"/>
    <w:rsid w:val="43600DFA"/>
    <w:rsid w:val="43BE5805"/>
    <w:rsid w:val="516F02F2"/>
    <w:rsid w:val="51EC51F8"/>
    <w:rsid w:val="5BA0460D"/>
    <w:rsid w:val="5C8A6FBF"/>
    <w:rsid w:val="5E0F35C8"/>
    <w:rsid w:val="5FAB635B"/>
    <w:rsid w:val="607B2957"/>
    <w:rsid w:val="61315D6C"/>
    <w:rsid w:val="624D53FA"/>
    <w:rsid w:val="62783CCA"/>
    <w:rsid w:val="689625FE"/>
    <w:rsid w:val="6BBB1626"/>
    <w:rsid w:val="6BF7704D"/>
    <w:rsid w:val="6CDF7650"/>
    <w:rsid w:val="6F30295B"/>
    <w:rsid w:val="6FAD7D46"/>
    <w:rsid w:val="707412EF"/>
    <w:rsid w:val="72671BC0"/>
    <w:rsid w:val="751A116C"/>
    <w:rsid w:val="768858BC"/>
    <w:rsid w:val="782F5058"/>
    <w:rsid w:val="7A0E6458"/>
    <w:rsid w:val="7BC721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font51"/>
    <w:basedOn w:val="6"/>
    <w:qFormat/>
    <w:uiPriority w:val="0"/>
    <w:rPr>
      <w:rFonts w:hint="eastAsia" w:ascii="仿宋" w:hAnsi="仿宋" w:eastAsia="仿宋" w:cs="仿宋"/>
      <w:color w:val="000000"/>
      <w:sz w:val="20"/>
      <w:szCs w:val="20"/>
      <w:u w:val="none"/>
    </w:rPr>
  </w:style>
  <w:style w:type="character" w:customStyle="1" w:styleId="8">
    <w:name w:val="font01"/>
    <w:basedOn w:val="6"/>
    <w:qFormat/>
    <w:uiPriority w:val="0"/>
    <w:rPr>
      <w:rFonts w:ascii="Arial" w:hAnsi="Arial" w:cs="Arial"/>
      <w:color w:val="000000"/>
      <w:sz w:val="20"/>
      <w:szCs w:val="20"/>
      <w:u w:val="none"/>
    </w:rPr>
  </w:style>
  <w:style w:type="character" w:customStyle="1" w:styleId="9">
    <w:name w:val="font61"/>
    <w:basedOn w:val="6"/>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17254</Words>
  <Characters>21213</Characters>
  <Lines>0</Lines>
  <Paragraphs>0</Paragraphs>
  <TotalTime>0</TotalTime>
  <ScaleCrop>false</ScaleCrop>
  <LinksUpToDate>false</LinksUpToDate>
  <CharactersWithSpaces>21213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2024-11-25T07:30:00Z</dcterms:created>
  <dc:creator>Administrator</dc:creator>
  <cp:lastModifiedBy>Administrator</cp:lastModifiedBy>
  <dcterms:modified xsi:type="dcterms:W3CDTF">2024-12-13T02:02:10Z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B857E8F69C474235BB3CC201F0CA09BE</vt:lpwstr>
  </property>
</Properties>
</file>