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版本号：N510812202600003320260804003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广元市朝天区2025年中央财政林草专项资金（第二批）森林修复（森林可持续经营）项目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N5108122026000033</w:t>
      </w:r>
    </w:p>
    <w:p>
      <w:pPr>
        <w:pStyle w:val="null3"/>
        <w:jc w:val="left"/>
        <w:outlineLvl w:val="2"/>
      </w:pPr>
      <w:r>
        <w:rPr>
          <w:rFonts w:ascii="仿宋_GB2312" w:hAnsi="仿宋_GB2312" w:cs="仿宋_GB2312" w:eastAsia="仿宋_GB2312"/>
          <w:sz w:val="28"/>
          <w:b/>
        </w:rPr>
        <w:t>广元市朝天区林业局</w:t>
      </w:r>
    </w:p>
    <w:p>
      <w:pPr>
        <w:pStyle w:val="null3"/>
        <w:jc w:val="center"/>
        <w:outlineLvl w:val="2"/>
      </w:pPr>
      <w:r>
        <w:rPr>
          <w:rFonts w:ascii="仿宋_GB2312" w:hAnsi="仿宋_GB2312" w:cs="仿宋_GB2312" w:eastAsia="仿宋_GB2312"/>
          <w:sz w:val="28"/>
          <w:b/>
        </w:rPr>
        <w:t>四川利顺招标代理有限公司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四川利顺招标代理有限公司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广元市朝天区林业局</w:t>
      </w:r>
      <w:r>
        <w:rPr>
          <w:rFonts w:ascii="仿宋_GB2312" w:hAnsi="仿宋_GB2312" w:cs="仿宋_GB2312" w:eastAsia="仿宋_GB2312"/>
        </w:rPr>
        <w:t xml:space="preserve"> 委托，拟对 </w:t>
      </w:r>
      <w:r>
        <w:rPr>
          <w:rFonts w:ascii="仿宋_GB2312" w:hAnsi="仿宋_GB2312" w:cs="仿宋_GB2312" w:eastAsia="仿宋_GB2312"/>
        </w:rPr>
        <w:t>广元市朝天区2025年中央财政林草专项资金（第二批）森林修复（森林可持续经营）项目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广元市朝天区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N5108122026000033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广元市朝天区2025年中央财政林草专项资金（第二批）森林修复（森林可持续经营）项目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实施森林修复（森林可持续经营）20,000亩，涵盖336个小班，涉及朝天镇、大滩镇、临溪乡、麻柳乡、水磨沟镇、羊木镇等6个镇23个村。修复方式为：生长伐+人工修枝19,299.3亩、疏伐+人工修枝700.7亩。采伐强度：株数强度24.46%，蓄积强度14.06%；采伐株数608,020株，采伐蓄积24,878.68立方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广元市朝天区林业局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广元市朝天区朝天镇明月大道二段4号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628012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18783474936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四川利顺招标代理有限公司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四川省广元市利州区四川省广元市利州区东坝街道利州东路，兴安路康隆·财富旺角3幢3-1号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0839-3366537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采购包1：8,400,000.00元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代理服务费收费标准：中标金额的0.8%收取。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广元市朝天区林业局</w:t>
      </w:r>
      <w:r>
        <w:rPr>
          <w:rFonts w:ascii="仿宋_GB2312" w:hAnsi="仿宋_GB2312" w:cs="仿宋_GB2312" w:eastAsia="仿宋_GB2312"/>
        </w:rPr>
        <w:t xml:space="preserve"> 和 </w:t>
      </w:r>
      <w:r>
        <w:rPr>
          <w:rFonts w:ascii="仿宋_GB2312" w:hAnsi="仿宋_GB2312" w:cs="仿宋_GB2312" w:eastAsia="仿宋_GB2312"/>
        </w:rPr>
        <w:t>四川利顺招标代理有限公司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广元市朝天区林业局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四川利顺招标代理有限公司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供应商全部工作完成提交验收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根据技术服务要求进行验收。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 号）和财政部关于印发《政府采购需求管理办法》的通知（财库〔2021〕22号）文件的规定以及行业部门的技术要求统一验收。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广元市朝天区林业局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四川利顺招标代理有限公司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四川利顺招标代理有限公司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联系人：杨女士</w:t>
      </w:r>
    </w:p>
    <w:p>
      <w:pPr>
        <w:pStyle w:val="null3"/>
        <w:jc w:val="left"/>
      </w:pPr>
      <w:r>
        <w:rPr>
          <w:rFonts w:ascii="仿宋_GB2312" w:hAnsi="仿宋_GB2312" w:cs="仿宋_GB2312" w:eastAsia="仿宋_GB2312"/>
        </w:rPr>
        <w:t>联系电话： 0839-3366537</w:t>
      </w:r>
    </w:p>
    <w:p>
      <w:pPr>
        <w:pStyle w:val="null3"/>
        <w:jc w:val="left"/>
      </w:pPr>
      <w:r>
        <w:rPr>
          <w:rFonts w:ascii="仿宋_GB2312" w:hAnsi="仿宋_GB2312" w:cs="仿宋_GB2312" w:eastAsia="仿宋_GB2312"/>
        </w:rPr>
        <w:t>地址：四川省广元市利州区四川省广元市利州区东坝街道利州东路，兴安路康隆·财富旺角3幢3-1号</w:t>
      </w:r>
    </w:p>
    <w:p>
      <w:pPr>
        <w:pStyle w:val="null3"/>
        <w:jc w:val="left"/>
      </w:pPr>
      <w:r>
        <w:rPr>
          <w:rFonts w:ascii="仿宋_GB2312" w:hAnsi="仿宋_GB2312" w:cs="仿宋_GB2312" w:eastAsia="仿宋_GB2312"/>
        </w:rPr>
        <w:t>邮编：628000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8,400,000.00</w:t>
      </w:r>
    </w:p>
    <w:p>
      <w:pPr>
        <w:pStyle w:val="null3"/>
        <w:jc w:val="left"/>
      </w:pPr>
      <w:r>
        <w:rPr>
          <w:rFonts w:ascii="仿宋_GB2312" w:hAnsi="仿宋_GB2312" w:cs="仿宋_GB2312" w:eastAsia="仿宋_GB2312"/>
        </w:rPr>
        <w:t>采购包最高限价（元）: 7,540,000.00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C09029900 其他林业服务</w:t>
            </w:r>
          </w:p>
        </w:tc>
        <w:tc>
          <w:tcPr>
            <w:tcW w:type="dxa" w:w="821"/>
          </w:tcPr>
          <w:p>
            <w:pPr>
              <w:pStyle w:val="null3"/>
              <w:jc w:val="left"/>
            </w:pPr>
            <w:r>
              <w:rPr>
                <w:rFonts w:ascii="仿宋_GB2312" w:hAnsi="仿宋_GB2312" w:cs="仿宋_GB2312" w:eastAsia="仿宋_GB2312"/>
              </w:rPr>
              <w:t>广元市朝天区2025年中央财政林草专项资金（第二批）森林修复（森林可持续经营）项目</w:t>
            </w:r>
          </w:p>
        </w:tc>
        <w:tc>
          <w:tcPr>
            <w:tcW w:type="dxa" w:w="821"/>
          </w:tcPr>
          <w:p>
            <w:pPr>
              <w:pStyle w:val="null3"/>
              <w:jc w:val="right"/>
            </w:pPr>
            <w:r>
              <w:rPr>
                <w:rFonts w:ascii="仿宋_GB2312" w:hAnsi="仿宋_GB2312" w:cs="仿宋_GB2312" w:eastAsia="仿宋_GB2312"/>
              </w:rPr>
              <w:t>20,000.00（亩）</w:t>
            </w:r>
          </w:p>
        </w:tc>
        <w:tc>
          <w:tcPr>
            <w:tcW w:type="dxa" w:w="821"/>
          </w:tcPr>
          <w:p>
            <w:pPr>
              <w:pStyle w:val="null3"/>
              <w:jc w:val="right"/>
            </w:pPr>
            <w:r>
              <w:rPr>
                <w:rFonts w:ascii="仿宋_GB2312" w:hAnsi="仿宋_GB2312" w:cs="仿宋_GB2312" w:eastAsia="仿宋_GB2312"/>
              </w:rPr>
              <w:t>7,540,000.00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广元市朝天区2025年中央财政林草专项资金（第二批）森林修复（森林可持续经营）项目</w:t>
            </w:r>
          </w:p>
        </w:tc>
        <w:tc>
          <w:tcPr>
            <w:tcW w:type="dxa" w:w="1138"/>
          </w:tcPr>
          <w:p>
            <w:pPr>
              <w:pStyle w:val="null3"/>
              <w:jc w:val="center"/>
            </w:pPr>
            <w:r>
              <w:rPr>
                <w:rFonts w:ascii="仿宋_GB2312" w:hAnsi="仿宋_GB2312" w:cs="仿宋_GB2312" w:eastAsia="仿宋_GB2312"/>
              </w:rPr>
              <w:t>20,000.00（亩）</w:t>
            </w:r>
          </w:p>
        </w:tc>
        <w:tc>
          <w:tcPr>
            <w:tcW w:type="dxa" w:w="1365"/>
          </w:tcPr>
          <w:p>
            <w:pPr>
              <w:pStyle w:val="null3"/>
              <w:jc w:val="center"/>
            </w:pPr>
            <w:r>
              <w:rPr>
                <w:rFonts w:ascii="仿宋_GB2312" w:hAnsi="仿宋_GB2312" w:cs="仿宋_GB2312" w:eastAsia="仿宋_GB2312"/>
              </w:rPr>
              <w:t>7,540,000.00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报价是投标人完成本项目所有的服务内容的最终报价，包括投标人履约过程中的人工费、材料费、利润、设备费、税金及与投标人履约本项目所需要的其他所有费用。采购人在项目结算时不再向投标人支付其他任何费用。如出现在投标报价估算错误等引起的损失由投标人自行承担。</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标的名称：广元市朝天区2025年中央财政林草专项资金（第二批）森林修复（森林可持续经营）项目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实施作业内容</w:t>
            </w:r>
          </w:p>
        </w:tc>
        <w:tc>
          <w:tcPr>
            <w:tcW w:type="dxa" w:w="5814"/>
          </w:tcPr>
          <w:p>
            <w:pPr>
              <w:pStyle w:val="null3"/>
              <w:jc w:val="left"/>
            </w:pPr>
            <w:r>
              <w:rPr>
                <w:rFonts w:ascii="仿宋_GB2312" w:hAnsi="仿宋_GB2312" w:cs="仿宋_GB2312" w:eastAsia="仿宋_GB2312"/>
                <w:sz w:val="21"/>
              </w:rPr>
              <w:t>1、采伐</w:t>
            </w:r>
          </w:p>
          <w:tbl>
            <w:tblPr>
              <w:tblInd w:type="dxa" w:w="225"/>
              <w:tblBorders>
                <w:top w:val="none" w:color="000000" w:sz="4"/>
                <w:left w:val="none" w:color="000000" w:sz="4"/>
                <w:bottom w:val="none" w:color="000000" w:sz="4"/>
                <w:right w:val="none" w:color="000000" w:sz="4"/>
                <w:insideH w:val="none"/>
                <w:insideV w:val="none"/>
              </w:tblBorders>
            </w:tblPr>
            <w:tblGrid>
              <w:gridCol w:w="2143"/>
              <w:gridCol w:w="3454"/>
            </w:tblGrid>
            <w:tr>
              <w:tc>
                <w:tcPr>
                  <w:tcW w:type="dxa" w:w="2143"/>
                  <w:tcBorders>
                    <w:top w:val="single" w:color="000000" w:sz="4"/>
                    <w:left w:val="single" w:color="000000" w:sz="4"/>
                    <w:bottom w:val="single" w:color="000000" w:sz="4"/>
                    <w:right w:val="single" w:color="000000" w:sz="4"/>
                  </w:tcBorders>
                  <w:shd w:fill="F5F5F5"/>
                  <w:tcMar>
                    <w:top w:type="dxa" w:w="0"/>
                    <w:left w:type="dxa" w:w="0"/>
                    <w:bottom w:type="dxa" w:w="0"/>
                    <w:right w:type="dxa" w:w="0"/>
                  </w:tcMar>
                  <w:vAlign w:val="top"/>
                </w:tcPr>
                <w:p>
                  <w:pPr>
                    <w:pStyle w:val="null3"/>
                    <w:jc w:val="left"/>
                  </w:pPr>
                  <w:r>
                    <w:rPr>
                      <w:rFonts w:ascii="仿宋_GB2312" w:hAnsi="仿宋_GB2312" w:cs="仿宋_GB2312" w:eastAsia="仿宋_GB2312"/>
                      <w:sz w:val="21"/>
                    </w:rPr>
                    <w:t>采伐类型</w:t>
                  </w:r>
                </w:p>
              </w:tc>
              <w:tc>
                <w:tcPr>
                  <w:tcW w:type="dxa" w:w="3454"/>
                  <w:tcBorders>
                    <w:top w:val="single" w:color="000000" w:sz="4"/>
                    <w:left w:val="none" w:color="000000" w:sz="4"/>
                    <w:bottom w:val="single" w:color="000000" w:sz="4"/>
                    <w:right w:val="single" w:color="000000" w:sz="4"/>
                  </w:tcBorders>
                  <w:shd w:fill="F5F5F5"/>
                  <w:tcMar>
                    <w:top w:type="dxa" w:w="0"/>
                    <w:left w:type="dxa" w:w="0"/>
                    <w:bottom w:type="dxa" w:w="0"/>
                    <w:right w:type="dxa" w:w="0"/>
                  </w:tcMar>
                  <w:vAlign w:val="top"/>
                </w:tcPr>
                <w:p>
                  <w:pPr>
                    <w:pStyle w:val="null3"/>
                    <w:jc w:val="left"/>
                  </w:pPr>
                  <w:r>
                    <w:rPr>
                      <w:rFonts w:ascii="仿宋_GB2312" w:hAnsi="仿宋_GB2312" w:cs="仿宋_GB2312" w:eastAsia="仿宋_GB2312"/>
                      <w:sz w:val="21"/>
                    </w:rPr>
                    <w:t>采伐方式</w:t>
                  </w:r>
                </w:p>
              </w:tc>
            </w:tr>
            <w:tr>
              <w:tc>
                <w:tcPr>
                  <w:tcW w:type="dxa" w:w="2143"/>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rPr>
                    <w:t>抚育采伐</w:t>
                  </w:r>
                </w:p>
              </w:tc>
              <w:tc>
                <w:tcPr>
                  <w:tcW w:type="dxa" w:w="345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rPr>
                    <w:t>生长伐辅以人工修枝</w:t>
                  </w:r>
                </w:p>
              </w:tc>
            </w:tr>
            <w:tr>
              <w:tc>
                <w:tcPr>
                  <w:tcW w:type="dxa" w:w="2143"/>
                  <w:vMerge/>
                  <w:tcBorders>
                    <w:top w:val="none" w:color="000000" w:sz="4"/>
                    <w:left w:val="single" w:color="000000" w:sz="4"/>
                    <w:bottom w:val="single" w:color="000000" w:sz="4"/>
                    <w:right w:val="single" w:color="000000" w:sz="4"/>
                  </w:tcBorders>
                </w:tcPr>
                <w:p/>
              </w:tc>
              <w:tc>
                <w:tcPr>
                  <w:tcW w:type="dxa" w:w="345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rPr>
                    <w:t>疏伐辅以人工修枝</w:t>
                  </w:r>
                </w:p>
              </w:tc>
            </w:tr>
          </w:tbl>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1）采伐要求</w:t>
            </w:r>
            <w:r>
              <w:rPr>
                <w:rFonts w:ascii="仿宋_GB2312" w:hAnsi="仿宋_GB2312" w:cs="仿宋_GB2312" w:eastAsia="仿宋_GB2312"/>
                <w:sz w:val="21"/>
                <w:shd w:fill="00FF00" w:val="clear"/>
              </w:rPr>
              <w:t>（具体采伐要求以作业设计为准）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伐除对象：</w:t>
            </w:r>
            <w:r>
              <w:rPr>
                <w:rFonts w:ascii="仿宋_GB2312" w:hAnsi="仿宋_GB2312" w:cs="仿宋_GB2312" w:eastAsia="仿宋_GB2312"/>
                <w:sz w:val="21"/>
              </w:rPr>
              <w:t>V级木、IV级木（枯死木、病虫害木、霸王树、濒死木、树干弯曲/损伤/折断木），必要时采伐III级木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2）保留对象：I级木、II级木（目标树、辅助树），包括质量好、寿命长、生长健壮的林木，以及有利于提高生物多样性、改善森林空间结构的林木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3）采伐强度：拟采伐株数608020株，株数强度24.46%；拟采伐蓄积24878.68立方米，蓄积强度14.06%</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4）伐根控制：根径＜22cm，伐根高度≤5cm；根径≥22cm，伐根高度≤10cm</w:t>
            </w:r>
          </w:p>
          <w:p>
            <w:pPr>
              <w:pStyle w:val="null3"/>
              <w:jc w:val="left"/>
            </w:pPr>
            <w:r>
              <w:rPr>
                <w:rFonts w:ascii="仿宋_GB2312" w:hAnsi="仿宋_GB2312" w:cs="仿宋_GB2312" w:eastAsia="仿宋_GB2312"/>
                <w:sz w:val="21"/>
              </w:rPr>
              <w:t>2.人工修枝</w:t>
            </w:r>
          </w:p>
          <w:p>
            <w:pPr>
              <w:pStyle w:val="null3"/>
              <w:jc w:val="left"/>
            </w:pPr>
            <w:r>
              <w:rPr>
                <w:rFonts w:ascii="仿宋_GB2312" w:hAnsi="仿宋_GB2312" w:cs="仿宋_GB2312" w:eastAsia="仿宋_GB2312"/>
                <w:sz w:val="21"/>
              </w:rPr>
              <w:t>作为综合抚育措施与抚育采伐结合实施，修枝必须打尽、修平，保证树干表面平整光滑</w:t>
            </w:r>
          </w:p>
          <w:p>
            <w:pPr>
              <w:pStyle w:val="null3"/>
              <w:jc w:val="left"/>
            </w:pPr>
            <w:r>
              <w:rPr>
                <w:rFonts w:ascii="仿宋_GB2312" w:hAnsi="仿宋_GB2312" w:cs="仿宋_GB2312" w:eastAsia="仿宋_GB2312"/>
                <w:sz w:val="21"/>
              </w:rPr>
              <w:t>3.采伐木标记</w:t>
            </w:r>
          </w:p>
          <w:p>
            <w:pPr>
              <w:pStyle w:val="null3"/>
              <w:jc w:val="left"/>
            </w:pPr>
            <w:r>
              <w:rPr>
                <w:rFonts w:ascii="仿宋_GB2312" w:hAnsi="仿宋_GB2312" w:cs="仿宋_GB2312" w:eastAsia="仿宋_GB2312"/>
                <w:sz w:val="21"/>
              </w:rPr>
              <w:t>对选择的采伐木，在胸高（距地面</w:t>
            </w:r>
            <w:r>
              <w:rPr>
                <w:rFonts w:ascii="仿宋_GB2312" w:hAnsi="仿宋_GB2312" w:cs="仿宋_GB2312" w:eastAsia="仿宋_GB2312"/>
                <w:sz w:val="21"/>
              </w:rPr>
              <w:t>1.3米）处用油漆标记；填写《伐区（小班）林木采伐标记记录表》</w:t>
            </w:r>
          </w:p>
          <w:p>
            <w:pPr>
              <w:pStyle w:val="null3"/>
              <w:jc w:val="left"/>
            </w:pPr>
            <w:r>
              <w:rPr>
                <w:rFonts w:ascii="仿宋_GB2312" w:hAnsi="仿宋_GB2312" w:cs="仿宋_GB2312" w:eastAsia="仿宋_GB2312"/>
                <w:sz w:val="21"/>
              </w:rPr>
              <w:t>4.打枝与造材</w:t>
            </w:r>
          </w:p>
          <w:p>
            <w:pPr>
              <w:pStyle w:val="null3"/>
              <w:jc w:val="left"/>
            </w:pPr>
            <w:r>
              <w:rPr>
                <w:rFonts w:ascii="仿宋_GB2312" w:hAnsi="仿宋_GB2312" w:cs="仿宋_GB2312" w:eastAsia="仿宋_GB2312"/>
                <w:sz w:val="21"/>
              </w:rPr>
              <w:t>由伐倒木大头向梢头方向进行，紧贴树干表面砍（锯）掉枝丫，不留楂和深陷、劈裂。按规格造材：原木：长度</w:t>
            </w:r>
            <w:r>
              <w:rPr>
                <w:rFonts w:ascii="仿宋_GB2312" w:hAnsi="仿宋_GB2312" w:cs="仿宋_GB2312" w:eastAsia="仿宋_GB2312"/>
                <w:sz w:val="21"/>
              </w:rPr>
              <w:t xml:space="preserve"> 2、2.6、3.2、4、5、6 米，小头直径 14 厘米以上。小径材：长度 1、2、2.5、3 米，小头直径 4~14 厘米。薪材：小头直径 4厘米以下。</w:t>
            </w:r>
          </w:p>
          <w:p>
            <w:pPr>
              <w:pStyle w:val="null3"/>
              <w:jc w:val="left"/>
            </w:pPr>
            <w:r>
              <w:rPr>
                <w:rFonts w:ascii="仿宋_GB2312" w:hAnsi="仿宋_GB2312" w:cs="仿宋_GB2312" w:eastAsia="仿宋_GB2312"/>
                <w:sz w:val="21"/>
              </w:rPr>
              <w:t>5.集材</w:t>
            </w:r>
          </w:p>
          <w:p>
            <w:pPr>
              <w:pStyle w:val="null3"/>
              <w:jc w:val="left"/>
            </w:pPr>
            <w:r>
              <w:rPr>
                <w:rFonts w:ascii="仿宋_GB2312" w:hAnsi="仿宋_GB2312" w:cs="仿宋_GB2312" w:eastAsia="仿宋_GB2312"/>
                <w:sz w:val="21"/>
              </w:rPr>
              <w:t>方式：人力集材（使用吊钩、撬棍、绳索等工具）</w:t>
            </w:r>
          </w:p>
          <w:p>
            <w:pPr>
              <w:pStyle w:val="null3"/>
              <w:jc w:val="left"/>
            </w:pPr>
            <w:r>
              <w:rPr>
                <w:rFonts w:ascii="仿宋_GB2312" w:hAnsi="仿宋_GB2312" w:cs="仿宋_GB2312" w:eastAsia="仿宋_GB2312"/>
                <w:sz w:val="21"/>
              </w:rPr>
              <w:t>将木材逐根拖运、抬运或撬动滑下到小班下方或道路边。</w:t>
            </w:r>
          </w:p>
          <w:p>
            <w:pPr>
              <w:pStyle w:val="null3"/>
              <w:jc w:val="left"/>
            </w:pPr>
            <w:r>
              <w:rPr>
                <w:rFonts w:ascii="仿宋_GB2312" w:hAnsi="仿宋_GB2312" w:cs="仿宋_GB2312" w:eastAsia="仿宋_GB2312"/>
                <w:sz w:val="21"/>
              </w:rPr>
              <w:t>6.归楞与装车</w:t>
            </w:r>
          </w:p>
          <w:p>
            <w:pPr>
              <w:pStyle w:val="null3"/>
              <w:jc w:val="left"/>
            </w:pPr>
            <w:r>
              <w:rPr>
                <w:rFonts w:ascii="仿宋_GB2312" w:hAnsi="仿宋_GB2312" w:cs="仿宋_GB2312" w:eastAsia="仿宋_GB2312"/>
                <w:sz w:val="21"/>
              </w:rPr>
              <w:t>不设归楞场，通过人力集材至小班下方和道路边，人力归楞高度</w:t>
            </w:r>
            <w:r>
              <w:rPr>
                <w:rFonts w:ascii="仿宋_GB2312" w:hAnsi="仿宋_GB2312" w:cs="仿宋_GB2312" w:eastAsia="仿宋_GB2312"/>
                <w:sz w:val="21"/>
              </w:rPr>
              <w:t>1~2米，楞间距1~1.5米</w:t>
            </w:r>
          </w:p>
          <w:p>
            <w:pPr>
              <w:pStyle w:val="null3"/>
              <w:jc w:val="left"/>
            </w:pPr>
            <w:r>
              <w:rPr>
                <w:rFonts w:ascii="仿宋_GB2312" w:hAnsi="仿宋_GB2312" w:cs="仿宋_GB2312" w:eastAsia="仿宋_GB2312"/>
                <w:sz w:val="21"/>
              </w:rPr>
              <w:t>7.剩余物清理</w:t>
            </w:r>
          </w:p>
          <w:p>
            <w:pPr>
              <w:pStyle w:val="null3"/>
              <w:jc w:val="left"/>
            </w:pPr>
            <w:r>
              <w:rPr>
                <w:rFonts w:ascii="仿宋_GB2312" w:hAnsi="仿宋_GB2312" w:cs="仿宋_GB2312" w:eastAsia="仿宋_GB2312"/>
                <w:sz w:val="21"/>
              </w:rPr>
              <w:t>将枝桠、梢木、截头等按要求集中堆成小堆，长度</w:t>
            </w:r>
            <w:r>
              <w:rPr>
                <w:rFonts w:ascii="仿宋_GB2312" w:hAnsi="仿宋_GB2312" w:cs="仿宋_GB2312" w:eastAsia="仿宋_GB2312"/>
                <w:sz w:val="21"/>
              </w:rPr>
              <w:t>2米、小头直径6cm以上的木材全部运出利用枯死、濒死松木执行“疫木管理”标准，即发现即除治伐桩进行药物喷淋或覆膜处理，采伐剩余物就地粉碎（切片厚度≤1cm）或集中清运至定点除害处理场。</w:t>
            </w:r>
          </w:p>
          <w:p>
            <w:pPr>
              <w:pStyle w:val="null3"/>
              <w:jc w:val="left"/>
            </w:pPr>
            <w:r>
              <w:rPr>
                <w:rFonts w:ascii="仿宋_GB2312" w:hAnsi="仿宋_GB2312" w:cs="仿宋_GB2312" w:eastAsia="仿宋_GB2312"/>
                <w:sz w:val="21"/>
              </w:rPr>
              <w:t>8.辅助工程</w:t>
            </w:r>
          </w:p>
          <w:p>
            <w:pPr>
              <w:pStyle w:val="null3"/>
              <w:spacing w:before="105" w:after="105"/>
              <w:jc w:val="both"/>
            </w:pPr>
            <w:r>
              <w:rPr>
                <w:rFonts w:ascii="仿宋_GB2312" w:hAnsi="仿宋_GB2312" w:cs="仿宋_GB2312" w:eastAsia="仿宋_GB2312"/>
                <w:sz w:val="21"/>
              </w:rPr>
              <w:t>设立宣传标牌</w:t>
            </w:r>
            <w:r>
              <w:rPr>
                <w:rFonts w:ascii="仿宋_GB2312" w:hAnsi="仿宋_GB2312" w:cs="仿宋_GB2312" w:eastAsia="仿宋_GB2312"/>
                <w:sz w:val="21"/>
              </w:rPr>
              <w:t>23座，安装在项目小班集中区域或道路交通要道口。</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实施要求</w:t>
            </w:r>
          </w:p>
        </w:tc>
        <w:tc>
          <w:tcPr>
            <w:tcW w:type="dxa" w:w="5814"/>
          </w:tcPr>
          <w:p>
            <w:pPr>
              <w:pStyle w:val="null3"/>
              <w:jc w:val="left"/>
            </w:pPr>
            <w:r>
              <w:rPr>
                <w:rFonts w:ascii="仿宋_GB2312" w:hAnsi="仿宋_GB2312" w:cs="仿宋_GB2312" w:eastAsia="仿宋_GB2312"/>
              </w:rPr>
              <w:t>（一）技术标准要求</w:t>
            </w:r>
          </w:p>
          <w:p>
            <w:pPr>
              <w:pStyle w:val="null3"/>
              <w:jc w:val="left"/>
            </w:pPr>
            <w:r>
              <w:rPr>
                <w:rFonts w:ascii="仿宋_GB2312" w:hAnsi="仿宋_GB2312" w:cs="仿宋_GB2312" w:eastAsia="仿宋_GB2312"/>
              </w:rPr>
              <w:t>《森林抚育规程》（GB/T15781-2015）；</w:t>
            </w:r>
          </w:p>
          <w:p>
            <w:pPr>
              <w:pStyle w:val="null3"/>
              <w:jc w:val="left"/>
            </w:pPr>
            <w:r>
              <w:rPr>
                <w:rFonts w:ascii="仿宋_GB2312" w:hAnsi="仿宋_GB2312" w:cs="仿宋_GB2312" w:eastAsia="仿宋_GB2312"/>
              </w:rPr>
              <w:t>《林木采伐技术规程》（DB51/2918-2022）；</w:t>
            </w:r>
          </w:p>
          <w:p>
            <w:pPr>
              <w:pStyle w:val="null3"/>
              <w:jc w:val="left"/>
            </w:pPr>
            <w:r>
              <w:rPr>
                <w:rFonts w:ascii="仿宋_GB2312" w:hAnsi="仿宋_GB2312" w:cs="仿宋_GB2312" w:eastAsia="仿宋_GB2312"/>
              </w:rPr>
              <w:t>《森林抚育工程实施指南》（GB/T33890-2017）；</w:t>
            </w:r>
          </w:p>
          <w:p>
            <w:pPr>
              <w:pStyle w:val="null3"/>
              <w:jc w:val="left"/>
            </w:pPr>
            <w:r>
              <w:rPr>
                <w:rFonts w:ascii="仿宋_GB2312" w:hAnsi="仿宋_GB2312" w:cs="仿宋_GB2312" w:eastAsia="仿宋_GB2312"/>
              </w:rPr>
              <w:t>《松材线虫病防治技术方案》（2024年）。</w:t>
            </w:r>
          </w:p>
          <w:p>
            <w:pPr>
              <w:pStyle w:val="null3"/>
              <w:jc w:val="left"/>
            </w:pPr>
            <w:r>
              <w:rPr>
                <w:rFonts w:ascii="仿宋_GB2312" w:hAnsi="仿宋_GB2312" w:cs="仿宋_GB2312" w:eastAsia="仿宋_GB2312"/>
              </w:rPr>
              <w:t>（二）施工质量要求</w:t>
            </w:r>
          </w:p>
          <w:p>
            <w:pPr>
              <w:pStyle w:val="null3"/>
              <w:jc w:val="left"/>
            </w:pPr>
            <w:r>
              <w:rPr>
                <w:rFonts w:ascii="仿宋_GB2312" w:hAnsi="仿宋_GB2312" w:cs="仿宋_GB2312" w:eastAsia="仿宋_GB2312"/>
              </w:rPr>
              <w:t>1.施工须严格遵照作业设计载明的修复措施、采伐强度、采伐木标记实施，严禁超范围、超强度采伐，不得擅自采伐未标记林木；</w:t>
            </w:r>
          </w:p>
          <w:p>
            <w:pPr>
              <w:pStyle w:val="null3"/>
              <w:jc w:val="left"/>
            </w:pPr>
            <w:r>
              <w:rPr>
                <w:rFonts w:ascii="仿宋_GB2312" w:hAnsi="仿宋_GB2312" w:cs="仿宋_GB2312" w:eastAsia="仿宋_GB2312"/>
              </w:rPr>
              <w:t>2.伐根高度符合标准（根径＜22cm，伐根高度≤5cm；根径≥22cm，伐根高度≤10cm）；</w:t>
            </w:r>
          </w:p>
          <w:p>
            <w:pPr>
              <w:pStyle w:val="null3"/>
              <w:jc w:val="left"/>
            </w:pPr>
            <w:r>
              <w:rPr>
                <w:rFonts w:ascii="仿宋_GB2312" w:hAnsi="仿宋_GB2312" w:cs="仿宋_GB2312" w:eastAsia="仿宋_GB2312"/>
              </w:rPr>
              <w:t>3.下口深度为树木根部直径的1/4～1/3，留弦厚度不小于直径的10%；</w:t>
            </w:r>
          </w:p>
          <w:p>
            <w:pPr>
              <w:pStyle w:val="null3"/>
              <w:jc w:val="left"/>
            </w:pPr>
            <w:r>
              <w:rPr>
                <w:rFonts w:ascii="仿宋_GB2312" w:hAnsi="仿宋_GB2312" w:cs="仿宋_GB2312" w:eastAsia="仿宋_GB2312"/>
              </w:rPr>
              <w:t>4.保留木不得损伤，幼树幼苗应注意保留；</w:t>
            </w:r>
          </w:p>
          <w:p>
            <w:pPr>
              <w:pStyle w:val="null3"/>
              <w:jc w:val="left"/>
            </w:pPr>
            <w:r>
              <w:rPr>
                <w:rFonts w:ascii="仿宋_GB2312" w:hAnsi="仿宋_GB2312" w:cs="仿宋_GB2312" w:eastAsia="仿宋_GB2312"/>
              </w:rPr>
              <w:t>5.打枝应紧贴树干表面砍（锯）掉枝丫，不留楂和深陷、劈裂；</w:t>
            </w:r>
          </w:p>
          <w:p>
            <w:pPr>
              <w:pStyle w:val="null3"/>
              <w:jc w:val="left"/>
            </w:pPr>
            <w:r>
              <w:rPr>
                <w:rFonts w:ascii="仿宋_GB2312" w:hAnsi="仿宋_GB2312" w:cs="仿宋_GB2312" w:eastAsia="仿宋_GB2312"/>
              </w:rPr>
              <w:t>6.造材做到长材不短造、优材不劣造；</w:t>
            </w:r>
          </w:p>
          <w:p>
            <w:pPr>
              <w:pStyle w:val="null3"/>
              <w:jc w:val="left"/>
            </w:pPr>
            <w:r>
              <w:rPr>
                <w:rFonts w:ascii="仿宋_GB2312" w:hAnsi="仿宋_GB2312" w:cs="仿宋_GB2312" w:eastAsia="仿宋_GB2312"/>
              </w:rPr>
              <w:t>7.剩余物清理彻底，不得遗留于溪沟、河道；</w:t>
            </w:r>
          </w:p>
          <w:p>
            <w:pPr>
              <w:pStyle w:val="null3"/>
              <w:jc w:val="left"/>
            </w:pPr>
            <w:r>
              <w:rPr>
                <w:rFonts w:ascii="仿宋_GB2312" w:hAnsi="仿宋_GB2312" w:cs="仿宋_GB2312" w:eastAsia="仿宋_GB2312"/>
              </w:rPr>
              <w:t>8.施工日志逐日填写，如实记录施工情况；</w:t>
            </w:r>
          </w:p>
          <w:p>
            <w:pPr>
              <w:pStyle w:val="null3"/>
              <w:jc w:val="left"/>
            </w:pPr>
            <w:r>
              <w:rPr>
                <w:rFonts w:ascii="仿宋_GB2312" w:hAnsi="仿宋_GB2312" w:cs="仿宋_GB2312" w:eastAsia="仿宋_GB2312"/>
              </w:rPr>
              <w:t>9.以上未尽事宜，均以项目作业设计实施要求为准。</w:t>
            </w:r>
          </w:p>
          <w:p>
            <w:pPr>
              <w:pStyle w:val="null3"/>
              <w:jc w:val="left"/>
            </w:pPr>
            <w:r>
              <w:rPr>
                <w:rFonts w:ascii="仿宋_GB2312" w:hAnsi="仿宋_GB2312" w:cs="仿宋_GB2312" w:eastAsia="仿宋_GB2312"/>
              </w:rPr>
              <w:t>（三）安全生产要求</w:t>
            </w:r>
          </w:p>
          <w:p>
            <w:pPr>
              <w:pStyle w:val="null3"/>
              <w:jc w:val="left"/>
            </w:pPr>
            <w:r>
              <w:rPr>
                <w:rFonts w:ascii="仿宋_GB2312" w:hAnsi="仿宋_GB2312" w:cs="仿宋_GB2312" w:eastAsia="仿宋_GB2312"/>
              </w:rPr>
              <w:t>1.人员要求：采伐作业人员须具备相应专业技能，上岗前进行培训；</w:t>
            </w:r>
          </w:p>
          <w:p>
            <w:pPr>
              <w:pStyle w:val="null3"/>
              <w:jc w:val="left"/>
            </w:pPr>
            <w:r>
              <w:rPr>
                <w:rFonts w:ascii="仿宋_GB2312" w:hAnsi="仿宋_GB2312" w:cs="仿宋_GB2312" w:eastAsia="仿宋_GB2312"/>
              </w:rPr>
              <w:t>2.防护要求：施工人员须佩戴安全帽、手套等防护用品；</w:t>
            </w:r>
          </w:p>
          <w:p>
            <w:pPr>
              <w:pStyle w:val="null3"/>
              <w:jc w:val="left"/>
            </w:pPr>
            <w:r>
              <w:rPr>
                <w:rFonts w:ascii="仿宋_GB2312" w:hAnsi="仿宋_GB2312" w:cs="仿宋_GB2312" w:eastAsia="仿宋_GB2312"/>
              </w:rPr>
              <w:t>3.伐木安全：伐木时应“喊山”并喊出树倒方向，确认危险区内无其他作业人员；</w:t>
            </w:r>
          </w:p>
          <w:p>
            <w:pPr>
              <w:pStyle w:val="null3"/>
              <w:jc w:val="left"/>
            </w:pPr>
            <w:r>
              <w:rPr>
                <w:rFonts w:ascii="仿宋_GB2312" w:hAnsi="仿宋_GB2312" w:cs="仿宋_GB2312" w:eastAsia="仿宋_GB2312"/>
              </w:rPr>
              <w:t>4.油锯使用：严禁一人单独作业，启动时锯链不应与地面接触；</w:t>
            </w:r>
          </w:p>
          <w:p>
            <w:pPr>
              <w:pStyle w:val="null3"/>
              <w:jc w:val="left"/>
            </w:pPr>
            <w:r>
              <w:rPr>
                <w:rFonts w:ascii="仿宋_GB2312" w:hAnsi="仿宋_GB2312" w:cs="仿宋_GB2312" w:eastAsia="仿宋_GB2312"/>
              </w:rPr>
              <w:t>5.搭挂树处理：由现场安全技术人员指挥处理，不得私自摘挂；</w:t>
            </w:r>
          </w:p>
          <w:p>
            <w:pPr>
              <w:pStyle w:val="null3"/>
              <w:jc w:val="left"/>
            </w:pPr>
            <w:r>
              <w:rPr>
                <w:rFonts w:ascii="仿宋_GB2312" w:hAnsi="仿宋_GB2312" w:cs="仿宋_GB2312" w:eastAsia="仿宋_GB2312"/>
              </w:rPr>
              <w:t>6.</w:t>
            </w:r>
            <w:r>
              <w:rPr>
                <w:rFonts w:ascii="仿宋_GB2312" w:hAnsi="仿宋_GB2312" w:cs="仿宋_GB2312" w:eastAsia="仿宋_GB2312"/>
              </w:rPr>
              <w:t>保险要求：中标人须为实施人员购买意外保险；</w:t>
            </w:r>
          </w:p>
          <w:p>
            <w:pPr>
              <w:pStyle w:val="null3"/>
              <w:jc w:val="left"/>
            </w:pPr>
            <w:r>
              <w:rPr>
                <w:rFonts w:ascii="仿宋_GB2312" w:hAnsi="仿宋_GB2312" w:cs="仿宋_GB2312" w:eastAsia="仿宋_GB2312"/>
              </w:rPr>
              <w:t>7.安全预案：编制详细的项目安全预案。</w:t>
            </w:r>
          </w:p>
          <w:p>
            <w:pPr>
              <w:pStyle w:val="null3"/>
              <w:jc w:val="left"/>
            </w:pPr>
            <w:r>
              <w:rPr>
                <w:rFonts w:ascii="仿宋_GB2312" w:hAnsi="仿宋_GB2312" w:cs="仿宋_GB2312" w:eastAsia="仿宋_GB2312"/>
              </w:rPr>
              <w:t>（四）森林防火要求</w:t>
            </w:r>
          </w:p>
          <w:p>
            <w:pPr>
              <w:pStyle w:val="null3"/>
              <w:jc w:val="left"/>
            </w:pPr>
            <w:r>
              <w:rPr>
                <w:rFonts w:ascii="仿宋_GB2312" w:hAnsi="仿宋_GB2312" w:cs="仿宋_GB2312" w:eastAsia="仿宋_GB2312"/>
              </w:rPr>
              <w:t>1.严禁携带火种进山，严禁烧山、严禁野外用火，严禁</w:t>
            </w:r>
            <w:r>
              <w:rPr>
                <w:rFonts w:ascii="仿宋_GB2312" w:hAnsi="仿宋_GB2312" w:cs="仿宋_GB2312" w:eastAsia="仿宋_GB2312"/>
              </w:rPr>
              <w:t>烟</w:t>
            </w:r>
            <w:r>
              <w:rPr>
                <w:rFonts w:ascii="仿宋_GB2312" w:hAnsi="仿宋_GB2312" w:cs="仿宋_GB2312" w:eastAsia="仿宋_GB2312"/>
              </w:rPr>
              <w:t>火；</w:t>
            </w:r>
          </w:p>
          <w:p>
            <w:pPr>
              <w:pStyle w:val="null3"/>
              <w:jc w:val="left"/>
            </w:pPr>
            <w:r>
              <w:rPr>
                <w:rFonts w:ascii="仿宋_GB2312" w:hAnsi="仿宋_GB2312" w:cs="仿宋_GB2312" w:eastAsia="仿宋_GB2312"/>
              </w:rPr>
              <w:t>2.对施工人员签订《森林草原防火安全责任书》；</w:t>
            </w:r>
          </w:p>
          <w:p>
            <w:pPr>
              <w:pStyle w:val="null3"/>
              <w:jc w:val="left"/>
            </w:pPr>
            <w:r>
              <w:rPr>
                <w:rFonts w:ascii="仿宋_GB2312" w:hAnsi="仿宋_GB2312" w:cs="仿宋_GB2312" w:eastAsia="仿宋_GB2312"/>
              </w:rPr>
              <w:t>3.学习森林防火法规和林区防火基本知识；</w:t>
            </w:r>
          </w:p>
          <w:p>
            <w:pPr>
              <w:pStyle w:val="null3"/>
              <w:jc w:val="left"/>
            </w:pPr>
            <w:r>
              <w:rPr>
                <w:rFonts w:ascii="仿宋_GB2312" w:hAnsi="仿宋_GB2312" w:cs="仿宋_GB2312" w:eastAsia="仿宋_GB2312"/>
              </w:rPr>
              <w:t>4.每日开始作业前进行防火宣讲。</w:t>
            </w:r>
          </w:p>
          <w:p>
            <w:pPr>
              <w:pStyle w:val="null3"/>
              <w:jc w:val="left"/>
            </w:pPr>
            <w:r>
              <w:rPr>
                <w:rFonts w:ascii="仿宋_GB2312" w:hAnsi="仿宋_GB2312" w:cs="仿宋_GB2312" w:eastAsia="仿宋_GB2312"/>
              </w:rPr>
              <w:t>（五）环境保护要求</w:t>
            </w:r>
          </w:p>
          <w:p>
            <w:pPr>
              <w:pStyle w:val="null3"/>
              <w:jc w:val="left"/>
            </w:pPr>
            <w:r>
              <w:rPr>
                <w:rFonts w:ascii="仿宋_GB2312" w:hAnsi="仿宋_GB2312" w:cs="仿宋_GB2312" w:eastAsia="仿宋_GB2312"/>
              </w:rPr>
              <w:t>1.施工废弃物及生活垃圾不得随意弃入林内、河道；</w:t>
            </w:r>
          </w:p>
          <w:p>
            <w:pPr>
              <w:pStyle w:val="null3"/>
              <w:jc w:val="left"/>
            </w:pPr>
            <w:r>
              <w:rPr>
                <w:rFonts w:ascii="仿宋_GB2312" w:hAnsi="仿宋_GB2312" w:cs="仿宋_GB2312" w:eastAsia="仿宋_GB2312"/>
              </w:rPr>
              <w:t>2.尽量采用人工方式，减少大型机械使用；</w:t>
            </w:r>
          </w:p>
          <w:p>
            <w:pPr>
              <w:pStyle w:val="null3"/>
              <w:jc w:val="left"/>
            </w:pPr>
            <w:r>
              <w:rPr>
                <w:rFonts w:ascii="仿宋_GB2312" w:hAnsi="仿宋_GB2312" w:cs="仿宋_GB2312" w:eastAsia="仿宋_GB2312"/>
              </w:rPr>
              <w:t>3.沿等高线方向施工作业，避免纵向施工造成水土流失；</w:t>
            </w:r>
          </w:p>
          <w:p>
            <w:pPr>
              <w:pStyle w:val="null3"/>
              <w:jc w:val="left"/>
            </w:pPr>
            <w:r>
              <w:rPr>
                <w:rFonts w:ascii="仿宋_GB2312" w:hAnsi="仿宋_GB2312" w:cs="仿宋_GB2312" w:eastAsia="仿宋_GB2312"/>
              </w:rPr>
              <w:t>4.遇有鸟巢的林木应注重保留。</w:t>
            </w:r>
          </w:p>
          <w:p>
            <w:pPr>
              <w:pStyle w:val="null3"/>
              <w:jc w:val="left"/>
            </w:pPr>
            <w:r>
              <w:rPr>
                <w:rFonts w:ascii="仿宋_GB2312" w:hAnsi="仿宋_GB2312" w:cs="仿宋_GB2312" w:eastAsia="仿宋_GB2312"/>
              </w:rPr>
              <w:t>（六）档案资料与上图配合</w:t>
            </w:r>
          </w:p>
          <w:p>
            <w:pPr>
              <w:pStyle w:val="null3"/>
              <w:jc w:val="left"/>
            </w:pPr>
            <w:r>
              <w:rPr>
                <w:rFonts w:ascii="仿宋_GB2312" w:hAnsi="仿宋_GB2312" w:cs="仿宋_GB2312" w:eastAsia="仿宋_GB2312"/>
              </w:rPr>
              <w:t>配合采购人完成项目档案整理、落地上图及各级验收工作。</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以工代赈要求（提供承诺函）</w:t>
            </w:r>
          </w:p>
        </w:tc>
        <w:tc>
          <w:tcPr>
            <w:tcW w:type="dxa" w:w="5814"/>
          </w:tcPr>
          <w:p>
            <w:pPr>
              <w:pStyle w:val="null3"/>
              <w:jc w:val="left"/>
            </w:pPr>
            <w:r>
              <w:rPr>
                <w:rFonts w:ascii="仿宋_GB2312" w:hAnsi="仿宋_GB2312" w:cs="仿宋_GB2312" w:eastAsia="仿宋_GB2312"/>
              </w:rPr>
              <w:t>1、根据《国务院办公厅转发国家发展改革委关于在重点工程项目中大力实施以工代赈促进当地群众就业增收工作方案的通知》（国办函〔2022〕58号）、《国家以工代赈管理办法》（国家发展改革委令第57号）及四川省相关以工代赈政策文件要求，本项目严格落实以工代赈政策；</w:t>
            </w:r>
          </w:p>
          <w:p>
            <w:pPr>
              <w:pStyle w:val="null3"/>
              <w:jc w:val="left"/>
            </w:pPr>
            <w:r>
              <w:rPr>
                <w:rFonts w:ascii="仿宋_GB2312" w:hAnsi="仿宋_GB2312" w:cs="仿宋_GB2312" w:eastAsia="仿宋_GB2312"/>
              </w:rPr>
              <w:t>2、用工原则</w:t>
            </w:r>
          </w:p>
          <w:p>
            <w:pPr>
              <w:pStyle w:val="null3"/>
              <w:jc w:val="left"/>
            </w:pPr>
            <w:r>
              <w:rPr>
                <w:rFonts w:ascii="仿宋_GB2312" w:hAnsi="仿宋_GB2312" w:cs="仿宋_GB2312" w:eastAsia="仿宋_GB2312"/>
              </w:rPr>
              <w:t>按照“应用尽用、能用尽用”的原则，严格落实“能用人工尽量不用机械，能用当地群众就不用专业队伍”的要求，优先吸纳项目所在地农村劳动力、脱贫人口、防返贫监测对象、低收入人口等重点群体参与项目建设；</w:t>
            </w:r>
          </w:p>
          <w:p>
            <w:pPr>
              <w:pStyle w:val="null3"/>
              <w:jc w:val="left"/>
            </w:pPr>
            <w:r>
              <w:rPr>
                <w:rFonts w:ascii="仿宋_GB2312" w:hAnsi="仿宋_GB2312" w:cs="仿宋_GB2312" w:eastAsia="仿宋_GB2312"/>
              </w:rPr>
              <w:t>3、劳务报酬</w:t>
            </w:r>
          </w:p>
          <w:p>
            <w:pPr>
              <w:pStyle w:val="null3"/>
              <w:jc w:val="left"/>
            </w:pPr>
            <w:r>
              <w:rPr>
                <w:rFonts w:ascii="仿宋_GB2312" w:hAnsi="仿宋_GB2312" w:cs="仿宋_GB2312" w:eastAsia="仿宋_GB2312"/>
              </w:rPr>
              <w:t>中标人需吸纳项目区乡镇为主的群众参与工程项目建设，中标人向项目区乡镇为主的群众发放劳务报酬，发放总额不低于本项目中标金额的10%。中标人向采购人提供以工代赈劳务花名册，以工代赈部分劳务报酬，由采购人通过财政“一卡通”平台直接发放至务工人员个人银行账户，不得以现金形式发放。</w:t>
            </w:r>
          </w:p>
          <w:p>
            <w:pPr>
              <w:pStyle w:val="null3"/>
              <w:jc w:val="left"/>
            </w:pPr>
            <w:r>
              <w:rPr>
                <w:rFonts w:ascii="仿宋_GB2312" w:hAnsi="仿宋_GB2312" w:cs="仿宋_GB2312" w:eastAsia="仿宋_GB2312"/>
              </w:rPr>
              <w:t>4、台账管理</w:t>
            </w:r>
          </w:p>
          <w:p>
            <w:pPr>
              <w:pStyle w:val="null3"/>
              <w:jc w:val="left"/>
            </w:pPr>
            <w:r>
              <w:rPr>
                <w:rFonts w:ascii="仿宋_GB2312" w:hAnsi="仿宋_GB2312" w:cs="仿宋_GB2312" w:eastAsia="仿宋_GB2312"/>
              </w:rPr>
              <w:t>中标人须建立统一的用工名册和劳务报酬发放台账，详细记录务工人员姓名、所在村组、务工内容、劳务报酬标准、务工天数、发放金额、身份证号、银行卡号等信息，经务工人员签字确认后存档备案。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自合同签订之日起150日。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朝天镇、大滩镇、临溪乡、麻柳乡、水磨沟镇、羊木镇等6个镇23个村。</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1、验收单位：采购人； 2、验收方式：按照相关技术规程要求，逐小班进行验收； 3、验收时间：供应商完成森林可持续经营面积共20000亩自检合格后向采购人递交验收申请，采购人收到供应商的验收申请后15日内组织相关人员进行验收，并签订政府采购验收报告； 4、验收标准：完成森林可持续经营面积共20000亩，清理对象及清理效果达到作业设计要求，目的树种幼林幼树无损伤，生物多样性保护措施得到落实； 5、其他按照《财政部关于进一步加强政府采购需求和履约验收管理的指导意见》（财库〔2016〕205 号）和财政部关于印发《政府采购需求管理办法》的通知（财库〔2021〕22号）文件的规定以及行业部门的技术要求统一验收。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1付款条件：自政府采购合同签订之日后，向采购人出具合法有效完整的完税发票起，达到该付款条件起7个工作日内，支付合同总金额的30.00%</w:t>
            </w:r>
          </w:p>
          <w:p>
            <w:pPr>
              <w:pStyle w:val="null3"/>
              <w:jc w:val="left"/>
            </w:pPr>
            <w:r>
              <w:rPr>
                <w:rFonts w:ascii="仿宋_GB2312" w:hAnsi="仿宋_GB2312" w:cs="仿宋_GB2312" w:eastAsia="仿宋_GB2312"/>
              </w:rPr>
              <w:t>2付款条件：项目完成20000亩森林修复作业后，验收合格后，达到该付款条件起7个工作日内，支付合同总金额的70.00%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在执行本合同中发生的或与本合同有关的争端，双方应通过友好协商解决，经协商在60天内不能达成协议时，各方均可向采购人所在地人民法院提起诉讼。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1、供应商根据本项目要求提供项目管理人员，包括项目负责人、技术负责人及现场技术人员。 2、供应商具有类似项目履约经验。 3、供应商根据项目服务要求提供详细的（1）采伐作业方案，内容包括：①组织管理方案；②人员配备及技术培训方案；③实施进度方案；④质量保障方案；⑤采伐施工作业流程；⑥以工代赈用工组织方案；⑦档案管理方案； （2）安全保障方案，内容包括：①安全管理方案；②森林防火方案；③应急处置措施； （3）后续管理方案，内容包括：①采伐迹地的清理措施；②后续服务保障措施。 ★4、供应商负责其工作人员的安全，同时供应商必须给本单位参加此项目的工作人员购买意外险。采购人对供应商所属工作人员不承担任何责任。 供应商承诺针对本项目所派服务人员在实施期间发生安全、伤亡事故或者服务过程中造成第三人安全或伤亡的，责任由供应商承担。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第三章技术、服务及其他要求带“★”的要求为实质性要求</w:t>
            </w:r>
          </w:p>
        </w:tc>
        <w:tc>
          <w:tcPr>
            <w:tcW w:type="dxa" w:w="3322"/>
          </w:tcPr>
          <w:p>
            <w:pPr>
              <w:pStyle w:val="null3"/>
              <w:jc w:val="left"/>
            </w:pPr>
            <w:r>
              <w:rPr>
                <w:rFonts w:ascii="仿宋_GB2312" w:hAnsi="仿宋_GB2312" w:cs="仿宋_GB2312" w:eastAsia="仿宋_GB2312"/>
              </w:rPr>
              <w:t>供应商按要求响应第三章技术、服务及其他要求带“★”的要求为实质性要求</w:t>
            </w:r>
          </w:p>
        </w:tc>
        <w:tc>
          <w:tcPr>
            <w:tcW w:type="dxa" w:w="1661"/>
          </w:tcPr>
          <w:p>
            <w:pPr>
              <w:pStyle w:val="null3"/>
              <w:jc w:val="left"/>
            </w:pPr>
            <w:r>
              <w:rPr>
                <w:rFonts w:ascii="仿宋_GB2312" w:hAnsi="仿宋_GB2312" w:cs="仿宋_GB2312" w:eastAsia="仿宋_GB2312"/>
              </w:rPr>
              <w:t>投标人应提交的相关证明材料,技术、服务要求应答表(公招).docx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一、人员保障 1、项目负责人：具有林业类中级职称证书得4分，具有林业类高级职称证书得6分 2、技术负责人：具有林业类中级及以上职称证书得3分，本项最高得3分 3、现场技术人员：每具有一个林业类初级及以上职称证书的得1分，本项最高得3分。 注：投标人须提供人员身份证、职称证及在职证明复印件加盖公章。 以上人员不重复计分。 二、履约经验 2023年1月1日（含1日）至今，投标人具有已完成类似项目业绩的得3分,本项最高得3分。 类似项目业绩是指：森林抚育或退化林修复或森林质量精准提升或森林可持续经营。 注：投标人须提供合同复印件和验收合格相关证明资料；类似业绩以合同签订时间为准。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供应商拟投入本项目管理、技术、服务人员情况表.docx</w:t>
            </w:r>
          </w:p>
          <w:p>
            <w:pPr>
              <w:pStyle w:val="null3"/>
              <w:jc w:val="left"/>
            </w:pPr>
            <w:r>
              <w:rPr>
                <w:rFonts w:ascii="仿宋_GB2312" w:hAnsi="仿宋_GB2312" w:cs="仿宋_GB2312" w:eastAsia="仿宋_GB2312"/>
              </w:rPr>
              <w:t>供应商项目业绩一览表.docx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采伐作业方案</w:t>
            </w:r>
          </w:p>
        </w:tc>
        <w:tc>
          <w:tcPr>
            <w:tcW w:type="dxa" w:w="2575"/>
          </w:tcPr>
          <w:p>
            <w:pPr>
              <w:pStyle w:val="null3"/>
              <w:jc w:val="left"/>
            </w:pPr>
            <w:r>
              <w:rPr>
                <w:rFonts w:ascii="仿宋_GB2312" w:hAnsi="仿宋_GB2312" w:cs="仿宋_GB2312" w:eastAsia="仿宋_GB2312"/>
              </w:rPr>
              <w:t>投标人编制的采伐作业方案，包括但不限于 ①组织管理方案； ②人员配备及技术培训方案； ③实施进度方案； ④质量保障方案； ⑤采伐施工作业流程； ⑥以工代赈用工组织方案； ⑦档案管理方案； 以上内容齐全且无缺项缺陷的得49分，每有一项内容缺失的扣7分 ，每有一项内容存在缺陷的扣3.5分，扣完为止，不提供的不得分。 注：缺陷是指：1.方案内容与本项目20000亩森林修复、采伐抚育核心作业内容无关，不具备本项目履约适用性等。 2.方案载明的项目名称、实施地点、作业范围、采伐强度、伐根高度、施工工艺等核心技术参数，与采购文件不一致或存在错误等。 3.方案引用的法律法规、行业规范、政策依据、技术标准过期、失效、适用错误，不符合本项目作业要求等。 4.方案前后章节的技术参数、施工流程、进度计划、质量标准、用工要求等内容相互矛盾，无法指导现场标准化施工等。 5.直接套用通用模板或其他项目方案，未结合本项目6个乡镇23个村作业区域、采伐方式、施工及用工标准编制专项内容等。 6.方案核心要素缺失、内容简略，无法满足本项目采伐施工、质量管控、以工代赈用工管理、项目档案归档等履约要求。 7.无针对本项目的专属实施内容、落地性管控及保障措施等。</w:t>
            </w:r>
          </w:p>
        </w:tc>
        <w:tc>
          <w:tcPr>
            <w:tcW w:type="dxa" w:w="831"/>
          </w:tcPr>
          <w:p>
            <w:pPr>
              <w:pStyle w:val="null3"/>
              <w:jc w:val="center"/>
            </w:pPr>
            <w:r>
              <w:rPr>
                <w:rFonts w:ascii="仿宋_GB2312" w:hAnsi="仿宋_GB2312" w:cs="仿宋_GB2312" w:eastAsia="仿宋_GB2312"/>
              </w:rPr>
              <w:t>49.0000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安全保障方案</w:t>
            </w:r>
          </w:p>
        </w:tc>
        <w:tc>
          <w:tcPr>
            <w:tcW w:type="dxa" w:w="2575"/>
          </w:tcPr>
          <w:p>
            <w:pPr>
              <w:pStyle w:val="null3"/>
              <w:jc w:val="left"/>
            </w:pPr>
            <w:r>
              <w:rPr>
                <w:rFonts w:ascii="仿宋_GB2312" w:hAnsi="仿宋_GB2312" w:cs="仿宋_GB2312" w:eastAsia="仿宋_GB2312"/>
              </w:rPr>
              <w:t>投标人编制的安全保障方案，包括但不限于 ①安全管理方案； ②森林防火方案 ③应急处置措施； 以上内容齐全且无缺项缺陷的得12分，每有一项内容缺失的扣4分 ，每有一项内容存在缺陷的扣2分，扣完为止，未提供的不得分。 注：缺陷是指：1.方案内容与本项目林区采伐、野外作业安全及森林防火核心工作无关，不具备本项目履约适用性等。 2. 方案载明的项目信息、实施地点、安全管控、防火作业等核心标准参数，与采购文件、项目作业标准不一致或存在错误等。 3. 方案引用的安全生产、森林防火、应急处置相关法规规范、政策依据失效、错误或不适用于本项目等。 4. 方案前后安全管理制度、防火流程、应急处置、风险防控等内容相互矛盾，无实际可执行性等。 5. 直接套用通用安全模板或其他项目方案，未结合本项目山地林区、多点分散施工特点编制专项保障内容等。 6. 方案关键要素缺失、内容简略，无法满足本项目安全生产、森林防火、突发事件应急处置的履约管控要求等。 7. 无针对本项目施工现场、林区环境、作业人员的专属安全防控、防火管控及应急保障措施等。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后续管理方案</w:t>
            </w:r>
          </w:p>
        </w:tc>
        <w:tc>
          <w:tcPr>
            <w:tcW w:type="dxa" w:w="2575"/>
          </w:tcPr>
          <w:p>
            <w:pPr>
              <w:pStyle w:val="null3"/>
              <w:jc w:val="left"/>
            </w:pPr>
            <w:r>
              <w:rPr>
                <w:rFonts w:ascii="仿宋_GB2312" w:hAnsi="仿宋_GB2312" w:cs="仿宋_GB2312" w:eastAsia="仿宋_GB2312"/>
              </w:rPr>
              <w:t>投标人编制的后续管理方案，包括但不限于 ①采伐迹地的清理措施； ②后续服务保障措施。 以上内容齐全且无缺项缺陷的得4分，每有一项内容缺失的扣2分 ，每有一项内容存在缺陷的扣1分，扣完为止，未提供的不得分。 注：缺陷是指：1. 方案内容与本项目采伐迹地清理、后续服务保障核心工作无关，不具备本项目履约适用性等。 2. 方案载明的实施范围、清理标准、服务要求等核心内容，与采购文件、作业设计标准不一致或存在错误等。 3. 方案引用的森林修复、迹地清理相关政策及技术标准失效、错误或与本项目不符等。 4. 方案前后迹地清理方式、服务承诺、验收标准等内容相互矛盾，无法落地实施等。 5. 直接套用通用后续管理模板或其他项目方案，未结合本项目林地现状、作业规模、生态保护要求编制专项内容等。 6. 方案要素缺失、内容简略，无具体管护、清理、保障细则，无法满足本项目后续管理履约要求等。</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详见附件：技术、服务要求应答表(公招).docx</w:t>
      </w:r>
    </w:p>
    <w:p>
      <w:pPr>
        <w:pStyle w:val="null3"/>
        <w:ind w:firstLine="960"/>
        <w:jc w:val="left"/>
      </w:pPr>
      <w:r>
        <w:rPr>
          <w:rFonts w:ascii="仿宋_GB2312" w:hAnsi="仿宋_GB2312" w:cs="仿宋_GB2312" w:eastAsia="仿宋_GB2312"/>
        </w:rPr>
        <w:t>详见附件：供应商拟投入本项目管理、技术、服务人员情况表.docx</w:t>
      </w:r>
    </w:p>
    <w:p>
      <w:pPr>
        <w:pStyle w:val="null3"/>
        <w:ind w:firstLine="960"/>
        <w:jc w:val="left"/>
      </w:pPr>
      <w:r>
        <w:rPr>
          <w:rFonts w:ascii="仿宋_GB2312" w:hAnsi="仿宋_GB2312" w:cs="仿宋_GB2312" w:eastAsia="仿宋_GB2312"/>
        </w:rPr>
        <w:t>详见附件：供应商项目业绩一览表.docx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