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版本号：240903001</w:t>
      </w:r>
    </w:p>
    <w:p>
      <w:pPr>
        <w:pStyle w:val="null3"/>
        <w:jc w:val="left"/>
        <w:outlineLvl w:val="0"/>
      </w:pPr>
      <w:r>
        <w:rPr>
          <w:b/>
          <w:sz w:val="48"/>
        </w:rPr>
        <w:t>招 标 文 件</w:t>
      </w:r>
    </w:p>
    <w:p>
      <w:pPr>
        <w:pStyle w:val="null3"/>
        <w:jc w:val="center"/>
        <w:outlineLvl w:val="0"/>
      </w:pPr>
      <w:r>
        <w:rPr>
          <w:b/>
          <w:sz w:val="48"/>
        </w:rPr>
        <w:t>（服务类）</w:t>
      </w:r>
    </w:p>
    <w:p>
      <w:pPr>
        <w:pStyle w:val="null3"/>
        <w:jc w:val="left"/>
        <w:outlineLvl w:val="2"/>
      </w:pPr>
      <w:r>
        <w:rPr>
          <w:b/>
          <w:sz w:val="28"/>
        </w:rPr>
        <w:t>采购项目名称：</w:t>
      </w:r>
      <w:r>
        <w:rPr>
          <w:b/>
          <w:sz w:val="28"/>
        </w:rPr>
        <w:t>成都市第四人民医院心理援助热线信息系统(三次)</w:t>
      </w:r>
    </w:p>
    <w:p>
      <w:pPr>
        <w:pStyle w:val="null3"/>
        <w:jc w:val="center"/>
        <w:outlineLvl w:val="2"/>
      </w:pPr>
      <w:r>
        <w:rPr>
          <w:b/>
          <w:sz w:val="28"/>
        </w:rPr>
        <w:t>采购项目编号：</w:t>
      </w:r>
      <w:r>
        <w:rPr>
          <w:b/>
          <w:sz w:val="28"/>
        </w:rPr>
        <w:t>N5101012024001236</w:t>
      </w:r>
    </w:p>
    <w:p>
      <w:pPr>
        <w:pStyle w:val="null3"/>
        <w:jc w:val="left"/>
        <w:outlineLvl w:val="2"/>
      </w:pPr>
      <w:r>
        <w:rPr>
          <w:b/>
          <w:sz w:val="28"/>
        </w:rPr>
        <w:t>成都市第四人民医院（成都市未成年人心理咨询中心）</w:t>
      </w:r>
    </w:p>
    <w:p>
      <w:pPr>
        <w:pStyle w:val="null3"/>
        <w:jc w:val="center"/>
        <w:outlineLvl w:val="2"/>
      </w:pPr>
      <w:r>
        <w:rPr>
          <w:b/>
          <w:sz w:val="28"/>
        </w:rPr>
        <w:t>四川乐投招标代理有限公司</w:t>
      </w:r>
      <w:r>
        <w:rPr>
          <w:b/>
          <w:sz w:val="28"/>
        </w:rPr>
        <w:t>共同编制</w:t>
      </w:r>
    </w:p>
    <w:p>
      <w:pPr>
        <w:pStyle w:val="null3"/>
        <w:jc w:val="center"/>
      </w:pPr>
      <w:r>
        <w:rPr/>
        <w:t>2024年09月04日</w:t>
      </w:r>
    </w:p>
    <w:p>
      <w:pPr>
        <w:pStyle w:val="null3"/>
      </w:pPr>
      <w:r>
        <w:rPr/>
        <w:t xml:space="preserve"> </w:t>
        <w:br/>
        <w:br w:type="page"/>
      </w:r>
    </w:p>
    <w:p>
      <w:pPr>
        <w:pStyle w:val="null3"/>
        <w:jc w:val="center"/>
        <w:outlineLvl w:val="1"/>
      </w:pPr>
      <w:r>
        <w:rPr>
          <w:b/>
          <w:sz w:val="36"/>
        </w:rPr>
        <w:t>第一章 投标邀请</w:t>
      </w:r>
    </w:p>
    <w:p>
      <w:pPr>
        <w:pStyle w:val="null3"/>
        <w:ind w:firstLine="480"/>
        <w:jc w:val="left"/>
      </w:pPr>
      <w:r>
        <w:rPr/>
        <w:t>四川乐投招标代理有限公司</w:t>
      </w:r>
      <w:r>
        <w:rPr/>
        <w:t xml:space="preserve"> （以下简称“代理机构”）受 </w:t>
      </w:r>
      <w:r>
        <w:rPr/>
        <w:t>成都市第四人民医院（成都市未成年人心理咨询中心）</w:t>
      </w:r>
      <w:r>
        <w:rPr/>
        <w:t xml:space="preserve"> 委托，拟对 </w:t>
      </w:r>
      <w:r>
        <w:rPr/>
        <w:t>成都市第四人民医院心理援助热线信息系统(三次)</w:t>
      </w:r>
      <w:r>
        <w:rPr/>
        <w:t xml:space="preserve"> 采用公开招标方式进行采购，兹邀请符合本次招标要求的供应商参加投标。本项目为四川省</w:t>
      </w:r>
      <w:r>
        <w:rPr/>
        <w:t>成都市市本级</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N5101012024001236</w:t>
      </w:r>
    </w:p>
    <w:p>
      <w:pPr>
        <w:pStyle w:val="null3"/>
        <w:jc w:val="left"/>
        <w:outlineLvl w:val="2"/>
      </w:pPr>
      <w:r>
        <w:rPr>
          <w:b/>
          <w:sz w:val="28"/>
        </w:rPr>
        <w:t>1.2.采购项目名称</w:t>
      </w:r>
      <w:r>
        <w:rPr>
          <w:b/>
          <w:sz w:val="28"/>
        </w:rPr>
        <w:t xml:space="preserve">： </w:t>
      </w:r>
      <w:r>
        <w:rPr>
          <w:b/>
          <w:sz w:val="28"/>
        </w:rPr>
        <w:t>成都市第四人民医院心理援助热线信息系统(三次)</w:t>
      </w:r>
    </w:p>
    <w:p>
      <w:pPr>
        <w:pStyle w:val="null3"/>
        <w:jc w:val="left"/>
        <w:outlineLvl w:val="2"/>
      </w:pPr>
      <w:r>
        <w:rPr>
          <w:b/>
          <w:sz w:val="28"/>
        </w:rPr>
        <w:t>1.3.招标项目简介</w:t>
      </w:r>
    </w:p>
    <w:p>
      <w:pPr>
        <w:pStyle w:val="null3"/>
        <w:ind w:firstLine="480"/>
        <w:jc w:val="left"/>
      </w:pPr>
      <w:r>
        <w:rPr/>
        <w:t>按照市卫健委要求，结合《“蔚蓝热线-96008”成都市心理援助热线建设方案》，为加快建设集服务诉求接听、业务地域分发、进度追踪反馈、服务成效评价等于一体的心理援助热线信息系统，根据现场调研与工作实际，拟购买心理援助热线信息系统。</w:t>
      </w:r>
    </w:p>
    <w:p>
      <w:pPr>
        <w:pStyle w:val="null3"/>
        <w:jc w:val="left"/>
        <w:outlineLvl w:val="2"/>
      </w:pPr>
      <w:r>
        <w:rPr>
          <w:b/>
          <w:sz w:val="28"/>
        </w:rPr>
        <w:t>1.4.邀请供应商方式</w:t>
      </w:r>
    </w:p>
    <w:p>
      <w:pPr>
        <w:pStyle w:val="null3"/>
        <w:ind w:firstLine="480"/>
        <w:jc w:val="left"/>
      </w:pPr>
      <w:r>
        <w:rPr/>
        <w:t>本项目以招标公告的方式邀请供应商参加投标，招标公告在四川政府采购网（www.ccgp-sichuan.gov.cn）发布。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采购包1：无。</w:t>
      </w:r>
    </w:p>
    <w:p>
      <w:pPr>
        <w:pStyle w:val="null3"/>
        <w:ind w:firstLine="480"/>
        <w:jc w:val="left"/>
      </w:pPr>
      <w:r>
        <w:rPr/>
        <w:t>三、本项目的特定资格要求：</w:t>
      </w:r>
    </w:p>
    <w:p>
      <w:pPr>
        <w:pStyle w:val="null3"/>
        <w:ind w:firstLine="480"/>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1.7.招标文件获取时间、方式及地址</w:t>
      </w:r>
    </w:p>
    <w:p>
      <w:pPr>
        <w:pStyle w:val="null3"/>
        <w:ind w:firstLine="480"/>
        <w:jc w:val="left"/>
      </w:pPr>
      <w:r>
        <w:rPr/>
        <w:t>一、招标文件获取时间：详见采购公告。</w:t>
      </w:r>
    </w:p>
    <w:p>
      <w:pPr>
        <w:pStyle w:val="null3"/>
        <w:ind w:firstLine="480"/>
        <w:jc w:val="left"/>
      </w:pPr>
      <w:r>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t>注：获取的招标文件由正文和附件组成，正文部分包括pdf、word两种格式版本，如内容有不一致的，以pdf格式内容为准。</w:t>
      </w:r>
    </w:p>
    <w:p>
      <w:pPr>
        <w:pStyle w:val="null3"/>
        <w:jc w:val="left"/>
        <w:outlineLvl w:val="2"/>
      </w:pPr>
      <w:r>
        <w:rPr>
          <w:b/>
          <w:sz w:val="28"/>
        </w:rPr>
        <w:t>1.8.投标截止时间及开标时间、方式、地点</w:t>
      </w:r>
    </w:p>
    <w:p>
      <w:pPr>
        <w:pStyle w:val="null3"/>
        <w:ind w:firstLine="480"/>
        <w:jc w:val="left"/>
      </w:pPr>
      <w:r>
        <w:rPr/>
        <w:t>一、投标截止时间及开标时间：详见采购公告。</w:t>
      </w:r>
    </w:p>
    <w:p>
      <w:pPr>
        <w:pStyle w:val="null3"/>
        <w:ind w:firstLine="480"/>
        <w:jc w:val="left"/>
      </w:pPr>
      <w:r>
        <w:rPr/>
        <w:t>二、投标人应当在投标截止时间前，通过交易系统提交投标文件。成功提交的，投标人将收到已提交投标文件的回执单。</w:t>
      </w:r>
    </w:p>
    <w:p>
      <w:pPr>
        <w:pStyle w:val="null3"/>
        <w:ind w:firstLine="480"/>
        <w:jc w:val="left"/>
      </w:pPr>
      <w:r>
        <w:rPr/>
        <w:t>三、本项目采取网上开标，采购人或者代理机构通过交易系统“开标/开启大厅”组织在线开标。</w:t>
      </w:r>
    </w:p>
    <w:p>
      <w:pPr>
        <w:pStyle w:val="null3"/>
        <w:jc w:val="left"/>
        <w:outlineLvl w:val="2"/>
      </w:pPr>
      <w:r>
        <w:rPr>
          <w:b/>
          <w:sz w:val="28"/>
        </w:rPr>
        <w:t>1.9.供应商信用融资</w:t>
      </w:r>
    </w:p>
    <w:p>
      <w:pPr>
        <w:pStyle w:val="null3"/>
        <w:ind w:firstLine="480"/>
        <w:jc w:val="left"/>
      </w:pPr>
      <w:r>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b/>
          <w:sz w:val="28"/>
        </w:rPr>
        <w:t>1.10.联系方式</w:t>
      </w:r>
    </w:p>
    <w:p>
      <w:pPr>
        <w:pStyle w:val="null3"/>
        <w:ind w:firstLine="480"/>
        <w:jc w:val="left"/>
      </w:pPr>
      <w:r>
        <w:rPr>
          <w:b/>
        </w:rPr>
        <w:t>采购人</w:t>
      </w:r>
      <w:r>
        <w:rPr>
          <w:b/>
        </w:rPr>
        <w:t xml:space="preserve">： </w:t>
      </w:r>
      <w:r>
        <w:rPr>
          <w:b/>
        </w:rPr>
        <w:t>成都市第四人民医院（成都市未成年人心理咨询中心）</w:t>
      </w:r>
    </w:p>
    <w:p>
      <w:pPr>
        <w:pStyle w:val="null3"/>
        <w:ind w:firstLine="480"/>
        <w:jc w:val="left"/>
      </w:pPr>
      <w:r>
        <w:rPr/>
        <w:t xml:space="preserve"> 地址： </w:t>
      </w:r>
      <w:r>
        <w:rPr/>
        <w:t>四川省成都市金牛区互利西一巷8号</w:t>
      </w:r>
    </w:p>
    <w:p>
      <w:pPr>
        <w:pStyle w:val="null3"/>
        <w:jc w:val="left"/>
      </w:pPr>
      <w:r>
        <w:rPr/>
        <w:t xml:space="preserve"> 邮编： </w:t>
      </w:r>
      <w:r>
        <w:rPr/>
        <w:t>610000</w:t>
      </w:r>
    </w:p>
    <w:p>
      <w:pPr>
        <w:pStyle w:val="null3"/>
        <w:jc w:val="left"/>
      </w:pPr>
      <w:r>
        <w:rPr/>
        <w:t xml:space="preserve"> 联系人： </w:t>
      </w:r>
      <w:r>
        <w:rPr/>
        <w:t>何老师</w:t>
      </w:r>
    </w:p>
    <w:p>
      <w:pPr>
        <w:pStyle w:val="null3"/>
        <w:jc w:val="left"/>
      </w:pPr>
      <w:r>
        <w:rPr/>
        <w:t xml:space="preserve"> 联系电话： </w:t>
      </w:r>
      <w:r>
        <w:rPr/>
        <w:t>69510784</w:t>
      </w:r>
    </w:p>
    <w:p>
      <w:pPr>
        <w:pStyle w:val="null3"/>
        <w:ind w:firstLine="480"/>
        <w:jc w:val="left"/>
      </w:pPr>
      <w:r>
        <w:rPr>
          <w:b/>
        </w:rPr>
        <w:t>代理机构</w:t>
      </w:r>
      <w:r>
        <w:rPr>
          <w:b/>
        </w:rPr>
        <w:t xml:space="preserve">： </w:t>
      </w:r>
      <w:r>
        <w:rPr>
          <w:b/>
        </w:rPr>
        <w:t>四川乐投招标代理有限公司</w:t>
      </w:r>
    </w:p>
    <w:p>
      <w:pPr>
        <w:pStyle w:val="null3"/>
        <w:ind w:firstLine="480"/>
        <w:jc w:val="left"/>
      </w:pPr>
      <w:r>
        <w:rPr/>
        <w:t xml:space="preserve"> 地址： </w:t>
      </w:r>
      <w:r>
        <w:rPr/>
        <w:t>四川省乐山市市中区乐山市市中区嘉定中路570号19楼2、3、4、5号</w:t>
      </w:r>
    </w:p>
    <w:p>
      <w:pPr>
        <w:pStyle w:val="null3"/>
        <w:jc w:val="left"/>
      </w:pPr>
      <w:r>
        <w:rPr/>
        <w:t xml:space="preserve"> 邮编： </w:t>
      </w:r>
      <w:r>
        <w:rPr/>
        <w:t>614000</w:t>
      </w:r>
    </w:p>
    <w:p>
      <w:pPr>
        <w:pStyle w:val="null3"/>
        <w:jc w:val="left"/>
      </w:pPr>
      <w:r>
        <w:rPr/>
        <w:t xml:space="preserve"> 联系人： </w:t>
      </w:r>
      <w:r>
        <w:rPr/>
        <w:t>张女士</w:t>
      </w:r>
    </w:p>
    <w:p>
      <w:pPr>
        <w:pStyle w:val="null3"/>
        <w:jc w:val="left"/>
      </w:pPr>
      <w:r>
        <w:rPr/>
        <w:t xml:space="preserve"> 联系电话： </w:t>
      </w:r>
      <w:r>
        <w:rPr/>
        <w:t>0833-2485290/2350977-811</w:t>
      </w:r>
    </w:p>
    <w:p>
      <w:pPr>
        <w:pStyle w:val="null3"/>
      </w:pPr>
      <w:r>
        <w:rPr/>
        <w:t xml:space="preserve"> </w:t>
        <w:br/>
        <w:br w:type="page"/>
      </w:r>
    </w:p>
    <w:p>
      <w:pPr>
        <w:pStyle w:val="null3"/>
        <w:jc w:val="center"/>
        <w:outlineLvl w:val="1"/>
      </w:pPr>
      <w:r>
        <w:rPr>
          <w:b/>
          <w:sz w:val="36"/>
        </w:rPr>
        <w:t>第二章 投标人须知</w:t>
      </w:r>
    </w:p>
    <w:p>
      <w:pPr>
        <w:pStyle w:val="null3"/>
        <w:jc w:val="left"/>
        <w:outlineLvl w:val="2"/>
      </w:pPr>
      <w:r>
        <w:rPr>
          <w:b/>
          <w:sz w:val="28"/>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采购包1：850,000.00元</w:t>
            </w:r>
          </w:p>
          <w:p>
            <w:pPr>
              <w:pStyle w:val="null3"/>
              <w:jc w:val="left"/>
            </w:pPr>
            <w:r>
              <w:rPr/>
              <w:t>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t>2</w:t>
            </w:r>
          </w:p>
        </w:tc>
        <w:tc>
          <w:tcPr>
            <w:tcW w:type="dxa" w:w="2252"/>
          </w:tcPr>
          <w:p>
            <w:pPr>
              <w:pStyle w:val="null3"/>
              <w:jc w:val="left"/>
            </w:pPr>
            <w:r>
              <w:rPr/>
              <w:t>评标方法</w:t>
            </w:r>
          </w:p>
        </w:tc>
        <w:tc>
          <w:tcPr>
            <w:tcW w:type="dxa" w:w="5004"/>
          </w:tcPr>
          <w:p>
            <w:pPr>
              <w:pStyle w:val="null3"/>
              <w:jc w:val="left"/>
            </w:pPr>
            <w:r>
              <w:rPr/>
              <w:t>采购包1：综合评分法</w:t>
            </w:r>
            <w:r>
              <w:rPr/>
              <w:t xml:space="preserve"> （具体规则详见第五章）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采购包1：收取</w:t>
            </w:r>
          </w:p>
          <w:p>
            <w:pPr>
              <w:pStyle w:val="null3"/>
              <w:jc w:val="left"/>
            </w:pPr>
            <w:r>
              <w:rPr/>
              <w:t>本采购包履约保证金为合同金额的5.0%</w:t>
            </w:r>
          </w:p>
          <w:p>
            <w:pPr>
              <w:pStyle w:val="null3"/>
              <w:jc w:val="left"/>
            </w:pPr>
            <w:r>
              <w:rPr/>
              <w:t>交款方式：银行转账，支票、汇票、本票，保函</w:t>
            </w:r>
          </w:p>
          <w:p>
            <w:pPr>
              <w:pStyle w:val="null3"/>
              <w:jc w:val="left"/>
            </w:pPr>
            <w:r>
              <w:rPr/>
              <w:t>收款单位：成都市第四人民医院</w:t>
              <w:br/>
              <w:t>开户银行：中信银行成都金牛支行</w:t>
              <w:br/>
              <w:t xml:space="preserve">银行账号： 7413 1101 8310 0000 111  </w:t>
              <w:br/>
              <w:t>供应商交纳时间:采购合同签订前</w:t>
              <w:br/>
              <w:t>采购人退还时间及条件:维护期（三年）满后，在此期间中标供应商无违约情形，且采购人收到中标供应商请款说明后10日内全额无息退还。</w:t>
              <w:br/>
            </w:r>
          </w:p>
        </w:tc>
      </w:tr>
      <w:tr>
        <w:tc>
          <w:tcPr>
            <w:tcW w:type="dxa" w:w="1051"/>
          </w:tcPr>
          <w:p>
            <w:pPr>
              <w:pStyle w:val="null3"/>
              <w:jc w:val="left"/>
            </w:pPr>
            <w:r>
              <w:rPr/>
              <w:t>6</w:t>
            </w:r>
          </w:p>
        </w:tc>
        <w:tc>
          <w:tcPr>
            <w:tcW w:type="dxa" w:w="2252"/>
          </w:tcPr>
          <w:p>
            <w:pPr>
              <w:pStyle w:val="null3"/>
              <w:jc w:val="left"/>
            </w:pPr>
            <w:r>
              <w:rPr/>
              <w:t>投标有效期★</w:t>
            </w:r>
          </w:p>
        </w:tc>
        <w:tc>
          <w:tcPr>
            <w:tcW w:type="dxa" w:w="5004"/>
          </w:tcPr>
          <w:p>
            <w:pPr>
              <w:pStyle w:val="null3"/>
              <w:jc w:val="left"/>
            </w:pPr>
            <w:r>
              <w:rPr/>
              <w:t xml:space="preserve">提交投标文件的截止之日起不少于 </w:t>
            </w:r>
            <w:r>
              <w:rPr/>
              <w:t>90</w:t>
            </w:r>
            <w:r>
              <w:rPr/>
              <w:t xml:space="preserve"> 天。投标文件未明确投标有效期或者少于前述规定天数的，其投标文件按无效处理。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1.按照《四川省政府采购营商环境指标提升专项行动工作方案&gt;中“成本+合理利润”原则及与采购人签订的委托代理协议之相关规定，各包以中标（成交）金额作为计算基数，下浮28%计算后进行收取，不足6000元的按6000元收取。由中标人承担，在领取中标通知书前向代理机构交纳采购招标代理服务费。 2.代理服务费账户 交款方式：公对公账户 银行转账（以当地银行下账时间为准）。 采购代理机构：四川乐投招标代理有限公司。 联 系 人：刘女士 联系电话：19938850937（财务室） 收款单位：四川乐投招标代理有限公司。 开 户 行：乐山市商业银行股份有限公司通悦路支行。 开户行行号：313665000367 银行账号：03092100000148990 特别注意：请在备注栏必须填写“采购文件项目编号”代理服务费!</w:t>
            </w:r>
          </w:p>
        </w:tc>
      </w:tr>
      <w:tr>
        <w:tc>
          <w:tcPr>
            <w:tcW w:type="dxa" w:w="1051"/>
          </w:tcPr>
          <w:p>
            <w:pPr>
              <w:pStyle w:val="null3"/>
              <w:jc w:val="left"/>
            </w:pPr>
            <w:r>
              <w:rPr/>
              <w:t>8</w:t>
            </w:r>
          </w:p>
        </w:tc>
        <w:tc>
          <w:tcPr>
            <w:tcW w:type="dxa" w:w="2252"/>
          </w:tcPr>
          <w:p>
            <w:pPr>
              <w:pStyle w:val="null3"/>
              <w:jc w:val="left"/>
            </w:pPr>
            <w:r>
              <w:rPr/>
              <w:t>中标结果公告</w:t>
            </w:r>
          </w:p>
        </w:tc>
        <w:tc>
          <w:tcPr>
            <w:tcW w:type="dxa" w:w="5004"/>
          </w:tcPr>
          <w:p>
            <w:pPr>
              <w:pStyle w:val="null3"/>
              <w:jc w:val="left"/>
            </w:pPr>
            <w:r>
              <w:rPr/>
              <w:t>中标结果将在四川政府采购网予以公告。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是否组织潜在投标人现场考察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是否召开开标前答疑会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本招标文件所称的“以上”、“以下”、“内”、“以内”、“不少于”包括本数；所称的“不足”、“低于”、“超过”不包括本数。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一、本招标文件仅适用于本次公开招标采购项目。</w:t>
      </w:r>
    </w:p>
    <w:p>
      <w:pPr>
        <w:pStyle w:val="null3"/>
        <w:ind w:firstLine="480"/>
        <w:jc w:val="left"/>
      </w:pPr>
      <w:r>
        <w:rPr/>
        <w:t xml:space="preserve">二、本招标文件由 </w:t>
      </w:r>
      <w:r>
        <w:rPr/>
        <w:t>成都市第四人民医院（成都市未成年人心理咨询中心）</w:t>
      </w:r>
      <w:r>
        <w:rPr/>
        <w:t xml:space="preserve"> 和 </w:t>
      </w:r>
      <w:r>
        <w:rPr/>
        <w:t>四川乐投招标代理有限公司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一、“采购人”是指依法进行政府采购的国家机关、事业单位、团体组织。本次招标的采购人是 </w:t>
      </w:r>
      <w:r>
        <w:rPr/>
        <w:t>成都市第四人民医院（成都市未成年人心理咨询中心）</w:t>
      </w:r>
      <w:r>
        <w:rPr/>
        <w:t xml:space="preserve"> 。</w:t>
      </w:r>
    </w:p>
    <w:p>
      <w:pPr>
        <w:pStyle w:val="null3"/>
        <w:ind w:firstLine="480"/>
        <w:jc w:val="left"/>
      </w:pPr>
      <w:r>
        <w:rPr/>
        <w:t>二、“投标人”是指按照采购公告规定获取招标文件，参加投标竞争的法人、其他组织或者自然人。</w:t>
      </w:r>
    </w:p>
    <w:p>
      <w:pPr>
        <w:pStyle w:val="null3"/>
        <w:ind w:firstLine="480"/>
        <w:jc w:val="left"/>
      </w:pPr>
      <w:r>
        <w:rPr/>
        <w:t xml:space="preserve">三、“代理机构”是指集中采购机构和从事采购代理业务的社会中介机构。本项目的代理机构是 </w:t>
      </w:r>
      <w:r>
        <w:rPr/>
        <w:t>四川乐投招标代理有限公司</w:t>
      </w:r>
      <w:r>
        <w:rPr/>
        <w:t xml:space="preserve"> 。</w:t>
      </w:r>
    </w:p>
    <w:p>
      <w:pPr>
        <w:pStyle w:val="null3"/>
        <w:ind w:firstLine="480"/>
        <w:jc w:val="left"/>
      </w:pPr>
      <w:r>
        <w:rPr/>
        <w:t>四、“网上开标”是指代理机构通过交易系统在线组织投标文件解密，投标人通过交易系统在线解密投标文件等活动。</w:t>
      </w:r>
    </w:p>
    <w:p>
      <w:pPr>
        <w:pStyle w:val="null3"/>
        <w:ind w:firstLine="480"/>
        <w:jc w:val="left"/>
      </w:pPr>
      <w:r>
        <w:rPr/>
        <w:t>五、“电子评标”是指采购人或者代理机构开展资格审查，评标委员会开展符合性审查、比较与评价、推荐中标候选人、出具评标报告等活动。</w:t>
      </w:r>
    </w:p>
    <w:p>
      <w:pPr>
        <w:pStyle w:val="null3"/>
        <w:jc w:val="left"/>
        <w:outlineLvl w:val="2"/>
      </w:pPr>
      <w:r>
        <w:rPr>
          <w:b/>
          <w:sz w:val="28"/>
        </w:rPr>
        <w:t>2.3.招标文件</w:t>
      </w:r>
    </w:p>
    <w:p>
      <w:pPr>
        <w:pStyle w:val="null3"/>
        <w:jc w:val="left"/>
        <w:outlineLvl w:val="3"/>
      </w:pPr>
      <w:r>
        <w:rPr>
          <w:b/>
          <w:sz w:val="24"/>
        </w:rPr>
        <w:t>2.3.1.招标文件的构成</w:t>
      </w:r>
    </w:p>
    <w:p>
      <w:pPr>
        <w:pStyle w:val="null3"/>
        <w:ind w:firstLine="480"/>
        <w:jc w:val="left"/>
      </w:pPr>
      <w:r>
        <w:rPr/>
        <w:t>招标文件由采购人、代理机构编制，是项目采购活动开展的基本依据，主要包括以下内容：</w:t>
      </w:r>
    </w:p>
    <w:p>
      <w:pPr>
        <w:pStyle w:val="null3"/>
        <w:ind w:firstLine="480"/>
        <w:jc w:val="left"/>
      </w:pPr>
      <w:r>
        <w:rPr/>
        <w:t>一、投标邀请；</w:t>
      </w:r>
    </w:p>
    <w:p>
      <w:pPr>
        <w:pStyle w:val="null3"/>
        <w:ind w:firstLine="480"/>
        <w:jc w:val="left"/>
      </w:pPr>
      <w:r>
        <w:rPr/>
        <w:t>二、投标人须知；</w:t>
      </w:r>
    </w:p>
    <w:p>
      <w:pPr>
        <w:pStyle w:val="null3"/>
        <w:ind w:firstLine="480"/>
        <w:jc w:val="left"/>
      </w:pPr>
      <w:r>
        <w:rPr/>
        <w:t>三、技术、服务及其他要求；</w:t>
      </w:r>
    </w:p>
    <w:p>
      <w:pPr>
        <w:pStyle w:val="null3"/>
        <w:ind w:firstLine="480"/>
        <w:jc w:val="left"/>
      </w:pPr>
      <w:r>
        <w:rPr/>
        <w:t>四、资格审查；</w:t>
      </w:r>
    </w:p>
    <w:p>
      <w:pPr>
        <w:pStyle w:val="null3"/>
        <w:ind w:firstLine="480"/>
        <w:jc w:val="left"/>
      </w:pPr>
      <w:r>
        <w:rPr/>
        <w:t>五、评标办法；</w:t>
      </w:r>
    </w:p>
    <w:p>
      <w:pPr>
        <w:pStyle w:val="null3"/>
        <w:ind w:firstLine="480"/>
        <w:jc w:val="left"/>
      </w:pPr>
      <w:r>
        <w:rPr/>
        <w:t>六、投标文件格式；</w:t>
      </w:r>
    </w:p>
    <w:p>
      <w:pPr>
        <w:pStyle w:val="null3"/>
        <w:ind w:firstLine="480"/>
        <w:jc w:val="left"/>
      </w:pPr>
      <w:r>
        <w:rPr/>
        <w:t>七、拟签订采购合同文本。</w:t>
      </w:r>
    </w:p>
    <w:p>
      <w:pPr>
        <w:pStyle w:val="null3"/>
        <w:jc w:val="left"/>
        <w:outlineLvl w:val="3"/>
      </w:pPr>
      <w:r>
        <w:rPr>
          <w:b/>
          <w:sz w:val="24"/>
        </w:rPr>
        <w:t>2.3.2.招标文件的澄清和修改</w:t>
      </w:r>
    </w:p>
    <w:p>
      <w:pPr>
        <w:pStyle w:val="null3"/>
        <w:ind w:firstLine="480"/>
        <w:jc w:val="left"/>
      </w:pPr>
      <w:r>
        <w:rPr/>
        <w:t>一、投标截止时间前，采购人或者代理机构可以对已发出的招标文件进行必要的澄清或者修改，但不得改变采购标的和资格条件。</w:t>
      </w:r>
    </w:p>
    <w:p>
      <w:pPr>
        <w:pStyle w:val="null3"/>
        <w:ind w:firstLine="480"/>
        <w:jc w:val="left"/>
      </w:pPr>
      <w:r>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t>三、投标人根据更正公告、更正信息要求，下载更正后的招标文件，进行投标文件编制。</w:t>
      </w:r>
    </w:p>
    <w:p>
      <w:pPr>
        <w:pStyle w:val="null3"/>
        <w:jc w:val="left"/>
        <w:outlineLvl w:val="2"/>
      </w:pPr>
      <w:r>
        <w:rPr>
          <w:b/>
          <w:sz w:val="28"/>
        </w:rPr>
        <w:t>2.4.投标文件</w:t>
      </w:r>
    </w:p>
    <w:p>
      <w:pPr>
        <w:pStyle w:val="null3"/>
        <w:jc w:val="left"/>
        <w:outlineLvl w:val="3"/>
      </w:pPr>
      <w:r>
        <w:rPr>
          <w:b/>
          <w:sz w:val="24"/>
        </w:rPr>
        <w:t>2.4.1.投标文件的语言</w:t>
      </w:r>
    </w:p>
    <w:p>
      <w:pPr>
        <w:pStyle w:val="null3"/>
        <w:ind w:firstLine="480"/>
        <w:jc w:val="left"/>
      </w:pPr>
      <w:r>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t>（一）投标人的法定代表人为外籍人士的，法定代表人的签字和护照。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三、如因未翻译而造成对投标人的不利后果，由投标人承担。</w:t>
      </w:r>
    </w:p>
    <w:p>
      <w:pPr>
        <w:pStyle w:val="null3"/>
        <w:jc w:val="left"/>
        <w:outlineLvl w:val="3"/>
      </w:pPr>
      <w:r>
        <w:rPr>
          <w:b/>
          <w:sz w:val="24"/>
        </w:rPr>
        <w:t>2.4.2.计量单位★</w:t>
      </w:r>
    </w:p>
    <w:p>
      <w:pPr>
        <w:pStyle w:val="null3"/>
        <w:ind w:firstLine="480"/>
        <w:jc w:val="left"/>
      </w:pPr>
      <w:r>
        <w:rPr/>
        <w:t>除招标文件中另有规定外，本项目均采用国家法定的计量单位。</w:t>
      </w:r>
    </w:p>
    <w:p>
      <w:pPr>
        <w:pStyle w:val="null3"/>
        <w:jc w:val="left"/>
        <w:outlineLvl w:val="3"/>
      </w:pPr>
      <w:r>
        <w:rPr>
          <w:b/>
          <w:sz w:val="24"/>
        </w:rPr>
        <w:t>2.4.3.投标货币★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t>三、如使用投标人所不拥有的知识产权，则在投标报价中必须包括合法使用该知识产权的相关费用。</w:t>
      </w:r>
    </w:p>
    <w:p>
      <w:pPr>
        <w:pStyle w:val="null3"/>
        <w:jc w:val="left"/>
        <w:outlineLvl w:val="3"/>
      </w:pPr>
      <w:r>
        <w:rPr>
          <w:b/>
          <w:sz w:val="24"/>
        </w:rPr>
        <w:t>2.4.5.投标报价★</w:t>
      </w:r>
    </w:p>
    <w:p>
      <w:pPr>
        <w:pStyle w:val="null3"/>
        <w:ind w:firstLine="480"/>
        <w:jc w:val="left"/>
      </w:pPr>
      <w:r>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b/>
          <w:sz w:val="24"/>
        </w:rPr>
        <w:t>2.4.6.投标文件的编制、签章和加密★</w:t>
      </w:r>
    </w:p>
    <w:p>
      <w:pPr>
        <w:pStyle w:val="null3"/>
        <w:ind w:firstLine="480"/>
        <w:jc w:val="left"/>
      </w:pPr>
      <w:r>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t>二、投标人通过四川政府采购网-下载专区下载投标（响应）客户端，使用投标（响应）客户端编制投标文件，完成投标文件编制、加盖电子印章和加密。</w:t>
      </w:r>
    </w:p>
    <w:p>
      <w:pPr>
        <w:pStyle w:val="null3"/>
        <w:jc w:val="left"/>
        <w:outlineLvl w:val="3"/>
      </w:pPr>
      <w:r>
        <w:rPr>
          <w:b/>
          <w:sz w:val="24"/>
        </w:rPr>
        <w:t>2.4.7.投标文件的提交★</w:t>
      </w:r>
    </w:p>
    <w:p>
      <w:pPr>
        <w:pStyle w:val="null3"/>
        <w:ind w:firstLine="480"/>
        <w:jc w:val="left"/>
      </w:pPr>
      <w:r>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t>未按招标文件和采购平台操作规范编制、确认、加密、盖章和提交的投标文件，将被拒绝接收。</w:t>
      </w:r>
    </w:p>
    <w:p>
      <w:pPr>
        <w:pStyle w:val="null3"/>
        <w:ind w:firstLine="480"/>
        <w:jc w:val="left"/>
      </w:pPr>
      <w:r>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t>三、除投标人外，其他任何单位和个人不得解密投标文件或者调整修改已提交投标文件的内容及提交状态。</w:t>
      </w:r>
    </w:p>
    <w:p>
      <w:pPr>
        <w:pStyle w:val="null3"/>
        <w:jc w:val="left"/>
        <w:outlineLvl w:val="3"/>
      </w:pPr>
      <w:r>
        <w:rPr>
          <w:b/>
          <w:sz w:val="24"/>
        </w:rPr>
        <w:t>2.4.8.投标文件的补充、修改、撤回★</w:t>
      </w:r>
    </w:p>
    <w:p>
      <w:pPr>
        <w:pStyle w:val="null3"/>
        <w:ind w:firstLine="480"/>
        <w:jc w:val="left"/>
      </w:pPr>
      <w:r>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t>投标人投标文件撤回后，视为未提交过投标文件。</w:t>
      </w:r>
    </w:p>
    <w:p>
      <w:pPr>
        <w:pStyle w:val="null3"/>
        <w:jc w:val="left"/>
        <w:outlineLvl w:val="2"/>
      </w:pPr>
      <w:r>
        <w:rPr>
          <w:b/>
          <w:sz w:val="28"/>
        </w:rPr>
        <w:t>2.5.开标、资格审查、评标和中标</w:t>
      </w:r>
    </w:p>
    <w:p>
      <w:pPr>
        <w:pStyle w:val="null3"/>
        <w:jc w:val="left"/>
        <w:outlineLvl w:val="3"/>
      </w:pPr>
      <w:r>
        <w:rPr>
          <w:b/>
          <w:sz w:val="24"/>
        </w:rPr>
        <w:t>2.5.1.开标</w:t>
      </w:r>
    </w:p>
    <w:p>
      <w:pPr>
        <w:pStyle w:val="null3"/>
        <w:jc w:val="left"/>
      </w:pPr>
      <w:r>
        <w:rPr>
          <w:b/>
        </w:rPr>
        <w:t>2.5.1.2.开标程序</w:t>
      </w:r>
    </w:p>
    <w:p>
      <w:pPr>
        <w:pStyle w:val="null3"/>
        <w:ind w:firstLine="480"/>
        <w:jc w:val="left"/>
      </w:pPr>
      <w:r>
        <w:rPr/>
        <w:t>投标截止时间后，通过交易系统“开标/开启大厅”网上开标，在线解密投标文件。</w:t>
      </w:r>
    </w:p>
    <w:p>
      <w:pPr>
        <w:pStyle w:val="null3"/>
        <w:jc w:val="left"/>
      </w:pPr>
      <w:r>
        <w:rPr>
          <w:b/>
        </w:rPr>
        <w:t>2.5.1.3.解密投标文件★</w:t>
      </w:r>
    </w:p>
    <w:p>
      <w:pPr>
        <w:pStyle w:val="null3"/>
        <w:ind w:firstLine="480"/>
        <w:jc w:val="left"/>
      </w:pPr>
      <w:r>
        <w:rPr/>
        <w:t xml:space="preserve">投标截止时间后，成功提交投标文件的投标人符合招标文件规定数量的，代理机构将启动投标文件解密程序，解密时间为 </w:t>
      </w:r>
      <w:r>
        <w:rPr/>
        <w:t>30</w:t>
      </w:r>
      <w:r>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b/>
        </w:rPr>
        <w:t>2.5.1.4.有关要求</w:t>
      </w:r>
    </w:p>
    <w:p>
      <w:pPr>
        <w:pStyle w:val="null3"/>
        <w:ind w:firstLine="480"/>
        <w:jc w:val="left"/>
      </w:pPr>
      <w:r>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t>开标过程中，投标人对开标过程有疑义，可向代理机构提出询问，代理机构应当及时予以答复。</w:t>
      </w:r>
    </w:p>
    <w:p>
      <w:pPr>
        <w:pStyle w:val="null3"/>
        <w:ind w:firstLine="480"/>
        <w:jc w:val="left"/>
      </w:pPr>
      <w:r>
        <w:rPr/>
        <w:t>投标人完成投标文件解密后，自主决定是否参加在线开标，未参加的，视同认可开标结果。</w:t>
      </w:r>
    </w:p>
    <w:p>
      <w:pPr>
        <w:pStyle w:val="null3"/>
        <w:ind w:firstLine="480"/>
        <w:jc w:val="left"/>
      </w:pPr>
      <w:r>
        <w:rPr/>
        <w:t>成功提交或者成功解密电子投标文件的投标人不足3家的，采购人或者代理机构将作废标处理。</w:t>
      </w:r>
    </w:p>
    <w:p>
      <w:pPr>
        <w:pStyle w:val="null3"/>
        <w:jc w:val="left"/>
        <w:outlineLvl w:val="3"/>
      </w:pPr>
      <w:r>
        <w:rPr>
          <w:b/>
          <w:sz w:val="24"/>
        </w:rPr>
        <w:t>2.5.2.查询及使用信用记录</w:t>
      </w:r>
    </w:p>
    <w:p>
      <w:pPr>
        <w:pStyle w:val="null3"/>
        <w:ind w:firstLine="480"/>
        <w:jc w:val="left"/>
      </w:pPr>
      <w:r>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2.5.3.资格审查</w:t>
      </w:r>
    </w:p>
    <w:p>
      <w:pPr>
        <w:pStyle w:val="null3"/>
        <w:ind w:firstLine="480"/>
        <w:jc w:val="left"/>
      </w:pPr>
      <w:r>
        <w:rPr/>
        <w:t>详见招标文件第四章。</w:t>
      </w:r>
    </w:p>
    <w:p>
      <w:pPr>
        <w:pStyle w:val="null3"/>
        <w:jc w:val="left"/>
        <w:outlineLvl w:val="3"/>
      </w:pPr>
      <w:r>
        <w:rPr>
          <w:b/>
          <w:sz w:val="24"/>
        </w:rPr>
        <w:t>2.5.4.评标</w:t>
      </w:r>
    </w:p>
    <w:p>
      <w:pPr>
        <w:pStyle w:val="null3"/>
        <w:ind w:firstLine="480"/>
        <w:jc w:val="left"/>
      </w:pPr>
      <w:r>
        <w:rPr/>
        <w:t>详见招标文件第五章。</w:t>
      </w:r>
    </w:p>
    <w:p>
      <w:pPr>
        <w:pStyle w:val="null3"/>
        <w:jc w:val="left"/>
        <w:outlineLvl w:val="3"/>
      </w:pPr>
      <w:r>
        <w:rPr>
          <w:b/>
          <w:sz w:val="24"/>
        </w:rPr>
        <w:t>2.5.5.中标通知书</w:t>
      </w:r>
    </w:p>
    <w:p>
      <w:pPr>
        <w:pStyle w:val="null3"/>
        <w:ind w:firstLine="480"/>
        <w:jc w:val="left"/>
      </w:pPr>
      <w:r>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t>三、政府采购合同自采购人和中标人在书面合同上签章之日起生效。</w:t>
      </w:r>
    </w:p>
    <w:p>
      <w:pPr>
        <w:pStyle w:val="null3"/>
        <w:ind w:firstLine="480"/>
        <w:jc w:val="left"/>
      </w:pPr>
      <w:r>
        <w:rPr/>
        <w:t>四、中标人完全遵守《中华人民共和国劳动合同法》有关规定和《中华人民共和国妇女权益保障法》中关于“劳动和社会保障权益”的有关要求。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一、严禁中标人将本项目合同转包。</w:t>
      </w:r>
    </w:p>
    <w:p>
      <w:pPr>
        <w:pStyle w:val="null3"/>
        <w:ind w:firstLine="480"/>
        <w:jc w:val="left"/>
      </w:pPr>
      <w:r>
        <w:rPr/>
        <w:t>二、中标人将合同转包的，将依法追究法律责任。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b/>
          <w:sz w:val="24"/>
        </w:rPr>
        <w:t>2.6.5.履行合同</w:t>
      </w:r>
    </w:p>
    <w:p>
      <w:pPr>
        <w:pStyle w:val="null3"/>
        <w:ind w:firstLine="480"/>
        <w:jc w:val="left"/>
      </w:pPr>
      <w:r>
        <w:rPr/>
        <w:t>一、采购人与中标人应当根据合同的约定依法履行合同义务。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系统上线运行后，依据经评审后的采购要求和中标供应商投标时规格（包括配置）、技术指标响应承诺及其它承诺逐项（条）验收</w:t>
      </w:r>
      <w:r>
        <w:rPr/>
        <w:t xml:space="preserve"> ，达到验收条件起 </w:t>
      </w:r>
      <w:r>
        <w:rPr/>
        <w:t>10</w:t>
      </w:r>
      <w:r>
        <w:rPr/>
        <w:t xml:space="preserve"> 日内，验收合同总金额的 </w:t>
      </w:r>
      <w:r>
        <w:rPr/>
        <w:t>100</w:t>
      </w:r>
      <w:r>
        <w:rPr/>
        <w:t>%；</w:t>
      </w:r>
    </w:p>
    <w:p>
      <w:pPr>
        <w:pStyle w:val="null3"/>
        <w:ind w:firstLine="480"/>
        <w:jc w:val="left"/>
      </w:pPr>
      <w:r>
        <w:rPr/>
        <w:t>八、验收组织的其他事项：</w:t>
      </w:r>
    </w:p>
    <w:p>
      <w:pPr>
        <w:pStyle w:val="null3"/>
        <w:ind w:firstLine="480"/>
        <w:jc w:val="left"/>
      </w:pPr>
      <w:r>
        <w:rPr/>
        <w:t>采购包1：</w:t>
      </w:r>
      <w:r>
        <w:rPr/>
        <w:t>采购人组织相关人员验收。</w:t>
      </w:r>
    </w:p>
    <w:p>
      <w:pPr>
        <w:pStyle w:val="null3"/>
        <w:ind w:firstLine="480"/>
        <w:jc w:val="left"/>
      </w:pPr>
      <w:r>
        <w:rPr/>
        <w:t>九、技术履约验收内容：</w:t>
      </w:r>
    </w:p>
    <w:p>
      <w:pPr>
        <w:pStyle w:val="null3"/>
        <w:ind w:firstLine="480"/>
        <w:jc w:val="left"/>
      </w:pPr>
      <w:r>
        <w:rPr/>
        <w:t>采购包1：</w:t>
      </w:r>
      <w:r>
        <w:rPr/>
        <w:t>根据合同约定的质量要求和技术指标逐项进行验收</w:t>
      </w:r>
    </w:p>
    <w:p>
      <w:pPr>
        <w:pStyle w:val="null3"/>
        <w:ind w:firstLine="480"/>
        <w:jc w:val="left"/>
      </w:pPr>
      <w:r>
        <w:rPr/>
        <w:t>十、商务履约验收内容：</w:t>
      </w:r>
    </w:p>
    <w:p>
      <w:pPr>
        <w:pStyle w:val="null3"/>
        <w:ind w:firstLine="480"/>
        <w:jc w:val="left"/>
      </w:pPr>
      <w:r>
        <w:rPr/>
        <w:t>采购包1：</w:t>
      </w:r>
      <w:r>
        <w:rPr/>
        <w:t>根据合同约定的质量要求和技术指标逐项进行验收</w:t>
      </w:r>
    </w:p>
    <w:p>
      <w:pPr>
        <w:pStyle w:val="null3"/>
        <w:ind w:firstLine="480"/>
        <w:jc w:val="left"/>
      </w:pPr>
      <w:r>
        <w:rPr/>
        <w:t>十一、履约验收标准：</w:t>
      </w:r>
    </w:p>
    <w:p>
      <w:pPr>
        <w:pStyle w:val="null3"/>
        <w:ind w:firstLine="480"/>
        <w:jc w:val="left"/>
      </w:pPr>
      <w:r>
        <w:rPr/>
        <w:t>采购包1：</w:t>
      </w:r>
      <w:r>
        <w:rPr/>
        <w:t>按照合同约定的内容逐项（条）验收，如发现任何一项与合同约定的内容承诺不符，采购人有权拒绝接受，给采购人带来损失的将按相关规定进行赔偿和承担虚假响应责任。</w:t>
      </w:r>
    </w:p>
    <w:p>
      <w:pPr>
        <w:pStyle w:val="null3"/>
        <w:ind w:firstLine="480"/>
        <w:jc w:val="left"/>
      </w:pPr>
      <w:r>
        <w:rPr/>
        <w:t>十二、履约验收其他事项：</w:t>
      </w:r>
    </w:p>
    <w:p>
      <w:pPr>
        <w:pStyle w:val="null3"/>
        <w:ind w:firstLine="480"/>
        <w:jc w:val="left"/>
      </w:pPr>
      <w:r>
        <w:rPr/>
        <w:t>采购包1：</w:t>
      </w:r>
      <w:r>
        <w:rPr/>
        <w:t>其他未尽事宜应严格按照《财政部关于进一步加强政府采购需求和履约验收管理的指导意见》（财库[2016]205号）的要求进行。</w:t>
      </w:r>
    </w:p>
    <w:p>
      <w:pPr>
        <w:pStyle w:val="null3"/>
        <w:jc w:val="left"/>
        <w:outlineLvl w:val="3"/>
      </w:pPr>
      <w:r>
        <w:rPr>
          <w:b/>
          <w:sz w:val="24"/>
        </w:rPr>
        <w:t>2.6.7.资金支付</w:t>
      </w:r>
    </w:p>
    <w:p>
      <w:pPr>
        <w:pStyle w:val="null3"/>
        <w:ind w:firstLine="480"/>
        <w:jc w:val="left"/>
      </w:pPr>
      <w:r>
        <w:rPr/>
        <w:t>采购人将按照政府采购合同规定，及时向中标人支付采购资金。具体支付约定详见第三章。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t>有关人员对评标情况以及在评标过程中获悉的国家秘密、商业秘密负有保密责任。</w:t>
      </w:r>
    </w:p>
    <w:p>
      <w:pPr>
        <w:pStyle w:val="null3"/>
        <w:jc w:val="left"/>
        <w:outlineLvl w:val="3"/>
      </w:pPr>
      <w:r>
        <w:rPr>
          <w:b/>
          <w:sz w:val="24"/>
        </w:rPr>
        <w:t>2.7.2.投标人不得具有的情形</w:t>
      </w:r>
    </w:p>
    <w:p>
      <w:pPr>
        <w:pStyle w:val="null3"/>
        <w:ind w:firstLine="480"/>
        <w:jc w:val="left"/>
      </w:pPr>
      <w:r>
        <w:rPr/>
        <w:t>投标人参加投标不得有下列情形：</w:t>
      </w:r>
    </w:p>
    <w:p>
      <w:pPr>
        <w:pStyle w:val="null3"/>
        <w:ind w:firstLine="480"/>
        <w:jc w:val="left"/>
      </w:pPr>
      <w:r>
        <w:rPr/>
        <w:t>一、有下列情形之一的，视为投标人串通投标：</w:t>
      </w:r>
    </w:p>
    <w:p>
      <w:pPr>
        <w:pStyle w:val="null3"/>
        <w:ind w:firstLine="480"/>
        <w:jc w:val="left"/>
      </w:pPr>
      <w:r>
        <w:rPr/>
        <w:t>（一）不同投标人的投标文件由同一单位或者个人编制；</w:t>
      </w:r>
    </w:p>
    <w:p>
      <w:pPr>
        <w:pStyle w:val="null3"/>
        <w:ind w:firstLine="480"/>
        <w:jc w:val="left"/>
      </w:pPr>
      <w:r>
        <w:rPr/>
        <w:t>（二）不同投标人委托同一单位或者个人办理投标事宜；</w:t>
      </w:r>
    </w:p>
    <w:p>
      <w:pPr>
        <w:pStyle w:val="null3"/>
        <w:ind w:firstLine="480"/>
        <w:jc w:val="left"/>
      </w:pPr>
      <w:r>
        <w:rPr/>
        <w:t>（三）不同投标人的投标文件载明的项目管理成员或者联系人员为同一人；</w:t>
      </w:r>
    </w:p>
    <w:p>
      <w:pPr>
        <w:pStyle w:val="null3"/>
        <w:ind w:firstLine="480"/>
        <w:jc w:val="left"/>
      </w:pPr>
      <w:r>
        <w:rPr/>
        <w:t>（四）不同投标人的投标文件异常一致或者投标报价呈规律性差异；</w:t>
      </w:r>
    </w:p>
    <w:p>
      <w:pPr>
        <w:pStyle w:val="null3"/>
        <w:ind w:firstLine="480"/>
        <w:jc w:val="left"/>
      </w:pPr>
      <w:r>
        <w:rPr/>
        <w:t>（五）不同投标人的投标文件相互混装；</w:t>
      </w:r>
    </w:p>
    <w:p>
      <w:pPr>
        <w:pStyle w:val="null3"/>
        <w:ind w:firstLine="480"/>
        <w:jc w:val="left"/>
      </w:pPr>
      <w:r>
        <w:rPr/>
        <w:t>（六）不同投标人的投标保证金从同一单位和账户转出。</w:t>
      </w:r>
    </w:p>
    <w:p>
      <w:pPr>
        <w:pStyle w:val="null3"/>
        <w:ind w:firstLine="480"/>
        <w:jc w:val="left"/>
      </w:pPr>
      <w:r>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（一）投标人直接或者间接从采购人或者代理机构处获得其他投标人的相关情况并修改其投标文件；</w:t>
      </w:r>
    </w:p>
    <w:p>
      <w:pPr>
        <w:pStyle w:val="null3"/>
        <w:ind w:firstLine="480"/>
        <w:jc w:val="left"/>
      </w:pPr>
      <w:r>
        <w:rPr/>
        <w:t>（二）投标人按照采购人或者代理机构的授意撤换、修改投标文件；</w:t>
      </w:r>
    </w:p>
    <w:p>
      <w:pPr>
        <w:pStyle w:val="null3"/>
        <w:ind w:firstLine="480"/>
        <w:jc w:val="left"/>
      </w:pPr>
      <w:r>
        <w:rPr/>
        <w:t>（三）投标人之间协商报价、技术方案等投标文件的实质性内容；</w:t>
      </w:r>
    </w:p>
    <w:p>
      <w:pPr>
        <w:pStyle w:val="null3"/>
        <w:ind w:firstLine="480"/>
        <w:jc w:val="left"/>
      </w:pPr>
      <w:r>
        <w:rPr/>
        <w:t>（四）属于同一集团、协会、商会等组织成员的投标人按照该组织要求协同参加政府采购活动；</w:t>
      </w:r>
    </w:p>
    <w:p>
      <w:pPr>
        <w:pStyle w:val="null3"/>
        <w:ind w:firstLine="480"/>
        <w:jc w:val="left"/>
      </w:pPr>
      <w:r>
        <w:rPr/>
        <w:t>（五）投标人之间事先约定由某一特定投标人中标；</w:t>
      </w:r>
    </w:p>
    <w:p>
      <w:pPr>
        <w:pStyle w:val="null3"/>
        <w:ind w:firstLine="480"/>
        <w:jc w:val="left"/>
      </w:pPr>
      <w:r>
        <w:rPr/>
        <w:t>（六）投标人之间商定部分投标人放弃参加政府采购活动或者放弃中标；</w:t>
      </w:r>
    </w:p>
    <w:p>
      <w:pPr>
        <w:pStyle w:val="null3"/>
        <w:ind w:firstLine="480"/>
        <w:jc w:val="left"/>
      </w:pPr>
      <w:r>
        <w:rPr/>
        <w:t>（七）投标人与采购人或者代理机构之间、投标人相互之间，为谋求特定投标人成交或者排斥其他投标人的其他串通行为。</w:t>
      </w:r>
    </w:p>
    <w:p>
      <w:pPr>
        <w:pStyle w:val="null3"/>
        <w:ind w:firstLine="480"/>
        <w:jc w:val="left"/>
      </w:pPr>
      <w:r>
        <w:rPr/>
        <w:t>三、提供虚假材料谋取中标；</w:t>
      </w:r>
    </w:p>
    <w:p>
      <w:pPr>
        <w:pStyle w:val="null3"/>
        <w:ind w:firstLine="480"/>
        <w:jc w:val="left"/>
      </w:pPr>
      <w:r>
        <w:rPr/>
        <w:t>四、采取不正当手段诋毁、排挤其他投标人；</w:t>
      </w:r>
    </w:p>
    <w:p>
      <w:pPr>
        <w:pStyle w:val="null3"/>
        <w:ind w:firstLine="480"/>
        <w:jc w:val="left"/>
      </w:pPr>
      <w:r>
        <w:rPr/>
        <w:t>五、与采购人或者代理机构、其他投标人恶意串通；</w:t>
      </w:r>
    </w:p>
    <w:p>
      <w:pPr>
        <w:pStyle w:val="null3"/>
        <w:ind w:firstLine="480"/>
        <w:jc w:val="left"/>
      </w:pPr>
      <w:r>
        <w:rPr/>
        <w:t>六、向采购人或者代理机构、评标委员会成员行贿或者提供其他不正当利益；</w:t>
      </w:r>
    </w:p>
    <w:p>
      <w:pPr>
        <w:pStyle w:val="null3"/>
        <w:ind w:firstLine="480"/>
        <w:jc w:val="left"/>
      </w:pPr>
      <w:r>
        <w:rPr/>
        <w:t>七、在招标过程中与采购人或者代理机构进行协商谈判；</w:t>
      </w:r>
    </w:p>
    <w:p>
      <w:pPr>
        <w:pStyle w:val="null3"/>
        <w:ind w:firstLine="480"/>
        <w:jc w:val="left"/>
      </w:pPr>
      <w:r>
        <w:rPr/>
        <w:t>八、中标后无正当理由拒不与采购人签订政府采购合同；</w:t>
      </w:r>
    </w:p>
    <w:p>
      <w:pPr>
        <w:pStyle w:val="null3"/>
        <w:ind w:firstLine="480"/>
        <w:jc w:val="left"/>
      </w:pPr>
      <w:r>
        <w:rPr/>
        <w:t>九、未按照招标文件确定的事项签订政府采购合同；</w:t>
      </w:r>
    </w:p>
    <w:p>
      <w:pPr>
        <w:pStyle w:val="null3"/>
        <w:ind w:firstLine="480"/>
        <w:jc w:val="left"/>
      </w:pPr>
      <w:r>
        <w:rPr/>
        <w:t>十、将政府采购合同转包或者违规分包；</w:t>
      </w:r>
    </w:p>
    <w:p>
      <w:pPr>
        <w:pStyle w:val="null3"/>
        <w:ind w:firstLine="480"/>
        <w:jc w:val="left"/>
      </w:pPr>
      <w:r>
        <w:rPr/>
        <w:t>十一、提供假冒伪劣产品；</w:t>
      </w:r>
    </w:p>
    <w:p>
      <w:pPr>
        <w:pStyle w:val="null3"/>
        <w:ind w:firstLine="480"/>
        <w:jc w:val="left"/>
      </w:pPr>
      <w:r>
        <w:rPr/>
        <w:t>十二、擅自变更、中止或者终止政府采购合同；</w:t>
      </w:r>
    </w:p>
    <w:p>
      <w:pPr>
        <w:pStyle w:val="null3"/>
        <w:ind w:firstLine="480"/>
        <w:jc w:val="left"/>
      </w:pPr>
      <w:r>
        <w:rPr/>
        <w:t>十三、拒绝有关部门的监督检查或者向监督检查部门提供虚假情况；</w:t>
      </w:r>
    </w:p>
    <w:p>
      <w:pPr>
        <w:pStyle w:val="null3"/>
        <w:ind w:firstLine="480"/>
        <w:jc w:val="left"/>
      </w:pPr>
      <w:r>
        <w:rPr/>
        <w:t>十四、法律法规规定的其他禁止情形。</w:t>
      </w:r>
    </w:p>
    <w:p>
      <w:pPr>
        <w:pStyle w:val="null3"/>
        <w:ind w:firstLine="480"/>
        <w:jc w:val="left"/>
      </w:pPr>
      <w:r>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b/>
          <w:sz w:val="24"/>
        </w:rPr>
        <w:t>2.7.3.采购人员及相关人员回避要求</w:t>
      </w:r>
    </w:p>
    <w:p>
      <w:pPr>
        <w:pStyle w:val="null3"/>
        <w:ind w:firstLine="480"/>
        <w:jc w:val="left"/>
      </w:pPr>
      <w:r>
        <w:rPr/>
        <w:t>政府采购活动中，采购人员及相关人员与投标人有下列利害关系之一的，应当回避：</w:t>
      </w:r>
    </w:p>
    <w:p>
      <w:pPr>
        <w:pStyle w:val="null3"/>
        <w:ind w:firstLine="480"/>
        <w:jc w:val="left"/>
      </w:pPr>
      <w:r>
        <w:rPr/>
        <w:t>一、参加采购活动前3年内与投标人存在劳动关系；</w:t>
      </w:r>
    </w:p>
    <w:p>
      <w:pPr>
        <w:pStyle w:val="null3"/>
        <w:ind w:firstLine="480"/>
        <w:jc w:val="left"/>
      </w:pPr>
      <w:r>
        <w:rPr/>
        <w:t>二、参加采购活动前3年内担任投标人的董事、监事；</w:t>
      </w:r>
    </w:p>
    <w:p>
      <w:pPr>
        <w:pStyle w:val="null3"/>
        <w:ind w:firstLine="480"/>
        <w:jc w:val="left"/>
      </w:pPr>
      <w:r>
        <w:rPr/>
        <w:t>三、参加采购活动前3年内是投标人的控股股东或者实际控制人；</w:t>
      </w:r>
    </w:p>
    <w:p>
      <w:pPr>
        <w:pStyle w:val="null3"/>
        <w:ind w:firstLine="480"/>
        <w:jc w:val="left"/>
      </w:pPr>
      <w:r>
        <w:rPr/>
        <w:t>四、与投标人的法定代表人或者负责人有夫妻、直系血亲、三代以内旁系血亲或者近姻亲关系；</w:t>
      </w:r>
    </w:p>
    <w:p>
      <w:pPr>
        <w:pStyle w:val="null3"/>
        <w:ind w:firstLine="480"/>
        <w:jc w:val="left"/>
      </w:pPr>
      <w:r>
        <w:rPr/>
        <w:t>五、与投标人有其他可能影响政府采购活动公平、公正进行的关系。</w:t>
      </w:r>
    </w:p>
    <w:p>
      <w:pPr>
        <w:pStyle w:val="null3"/>
        <w:ind w:firstLine="480"/>
        <w:jc w:val="left"/>
      </w:pPr>
      <w:r>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二、投标人询问、质疑的答复主体：</w:t>
      </w:r>
    </w:p>
    <w:p>
      <w:pPr>
        <w:pStyle w:val="null3"/>
        <w:ind w:firstLine="480"/>
        <w:jc w:val="left"/>
      </w:pPr>
      <w:r>
        <w:rPr/>
        <w:t xml:space="preserve">根据委托代理协议约定，投标人对招标文件中采购需求的询问、质疑由 </w:t>
      </w:r>
      <w:r>
        <w:rPr/>
        <w:t>成都市第四人民医院（成都市未成年人心理咨询中心）</w:t>
      </w:r>
      <w:r>
        <w:rPr/>
        <w:t xml:space="preserve"> 负责答复；投标人对除采购需求外的招标文件的询问、质疑由 </w:t>
      </w:r>
      <w:r>
        <w:rPr/>
        <w:t>四川乐投招标代理有限公司</w:t>
      </w:r>
      <w:r>
        <w:rPr/>
        <w:t xml:space="preserve"> 负责答复；投标人对采购过程、采购结果的询问、质疑由 </w:t>
      </w:r>
      <w:r>
        <w:rPr/>
        <w:t>四川乐投招标代理有限公司</w:t>
      </w:r>
      <w:r>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t>答复主体：代理机构</w:t>
      </w:r>
    </w:p>
    <w:p>
      <w:pPr>
        <w:pStyle w:val="null3"/>
        <w:jc w:val="left"/>
      </w:pPr>
      <w:r>
        <w:rPr/>
        <w:t>联系人：张女士</w:t>
      </w:r>
    </w:p>
    <w:p>
      <w:pPr>
        <w:pStyle w:val="null3"/>
        <w:jc w:val="left"/>
      </w:pPr>
      <w:r>
        <w:rPr/>
        <w:t>联系电话：0833-2485290/2350977-811</w:t>
      </w:r>
    </w:p>
    <w:p>
      <w:pPr>
        <w:pStyle w:val="null3"/>
        <w:jc w:val="left"/>
      </w:pPr>
      <w:r>
        <w:rPr/>
        <w:t>地址：乐山市市中区嘉定中路570号19 楼 2、3、4、5 号</w:t>
      </w:r>
    </w:p>
    <w:p>
      <w:pPr>
        <w:pStyle w:val="null3"/>
        <w:jc w:val="left"/>
      </w:pPr>
      <w:r>
        <w:rPr/>
        <w:t>邮编：614000</w:t>
      </w:r>
    </w:p>
    <w:p>
      <w:pPr>
        <w:pStyle w:val="null3"/>
        <w:ind w:firstLine="480"/>
        <w:jc w:val="left"/>
      </w:pPr>
      <w:r>
        <w:rPr/>
        <w:t>三、投标人提出的询问，应当明确询问事项，如以书面形式提出的，应由投标人签字并加盖公章。</w:t>
      </w:r>
    </w:p>
    <w:p>
      <w:pPr>
        <w:pStyle w:val="null3"/>
        <w:ind w:firstLine="480"/>
        <w:jc w:val="left"/>
      </w:pPr>
      <w:r>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t>（一）对可以质疑的招标文件提出质疑的，为收到招标文件之日或者招标文件公告期限届满之日；</w:t>
      </w:r>
    </w:p>
    <w:p>
      <w:pPr>
        <w:pStyle w:val="null3"/>
        <w:ind w:firstLine="480"/>
        <w:jc w:val="left"/>
      </w:pPr>
      <w:r>
        <w:rPr/>
        <w:t>（二）对采购过程提出质疑的，为各采购程序环节结束之日；</w:t>
      </w:r>
    </w:p>
    <w:p>
      <w:pPr>
        <w:pStyle w:val="null3"/>
        <w:ind w:firstLine="480"/>
        <w:jc w:val="left"/>
      </w:pPr>
      <w:r>
        <w:rPr/>
        <w:t>（三）对中标结果提出质疑的，为中标结果公告期限届满之日。</w:t>
      </w:r>
    </w:p>
    <w:p>
      <w:pPr>
        <w:pStyle w:val="null3"/>
        <w:ind w:firstLine="480"/>
        <w:jc w:val="left"/>
      </w:pPr>
      <w:r>
        <w:rPr/>
        <w:t>五、投标人通过书面形式线下向采购人或者代理机构提交质疑资料。</w:t>
      </w:r>
    </w:p>
    <w:p>
      <w:pPr>
        <w:pStyle w:val="null3"/>
        <w:ind w:firstLine="480"/>
        <w:jc w:val="left"/>
      </w:pPr>
      <w:r>
        <w:rPr/>
        <w:t>六、投标人提出质疑时应当准备的资料</w:t>
      </w:r>
    </w:p>
    <w:p>
      <w:pPr>
        <w:pStyle w:val="null3"/>
        <w:ind w:firstLine="480"/>
        <w:jc w:val="left"/>
      </w:pPr>
      <w:r>
        <w:rPr/>
        <w:t>（一）质疑函正本1份；（政府采购投标人质疑函范本可在四川政府采购网下载专区下载）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（五）针对质疑事项必要的证明材料（针对招标文件提出的质疑，需提交从交易系统获取的招标文件回执单）。</w:t>
      </w:r>
    </w:p>
    <w:p>
      <w:pPr>
        <w:pStyle w:val="null3"/>
        <w:ind w:firstLine="480"/>
        <w:jc w:val="left"/>
      </w:pPr>
      <w:r>
        <w:rPr/>
        <w:t>注：根据《中华人民共和国政府采购法》的规定，投标人质疑不得超出招标文件、采购过程、采购结果的范围。</w:t>
      </w:r>
    </w:p>
    <w:p>
      <w:pPr>
        <w:pStyle w:val="null3"/>
        <w:ind w:firstLine="480"/>
        <w:jc w:val="left"/>
      </w:pPr>
      <w:r>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（三）以非法手段取得证明材料。证据来源的合法性存在明显疑问，投标人无法证明其取得方式合法的，视为以非法手段取得证明材料。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850,000.00</w:t>
      </w:r>
    </w:p>
    <w:p>
      <w:pPr>
        <w:pStyle w:val="null3"/>
        <w:jc w:val="left"/>
      </w:pPr>
      <w:r>
        <w:rPr/>
        <w:t>采购包最高限价（元）: 712,890.00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行业应用软件开发服务</w:t>
            </w:r>
          </w:p>
        </w:tc>
        <w:tc>
          <w:tcPr>
            <w:tcW w:type="dxa" w:w="821"/>
          </w:tcPr>
          <w:p>
            <w:pPr>
              <w:pStyle w:val="null3"/>
              <w:jc w:val="left"/>
            </w:pPr>
            <w:r>
              <w:rPr/>
              <w:t>心理援助热线信息系统</w:t>
            </w:r>
          </w:p>
        </w:tc>
        <w:tc>
          <w:tcPr>
            <w:tcW w:type="dxa" w:w="821"/>
          </w:tcPr>
          <w:p>
            <w:pPr>
              <w:pStyle w:val="null3"/>
              <w:jc w:val="right"/>
            </w:pPr>
            <w:r>
              <w:rPr/>
              <w:t>1.00（套）</w:t>
            </w:r>
          </w:p>
        </w:tc>
        <w:tc>
          <w:tcPr>
            <w:tcW w:type="dxa" w:w="821"/>
          </w:tcPr>
          <w:p>
            <w:pPr>
              <w:pStyle w:val="null3"/>
              <w:jc w:val="right"/>
            </w:pPr>
            <w:r>
              <w:rPr/>
              <w:t>712,890.00</w:t>
            </w:r>
          </w:p>
        </w:tc>
        <w:tc>
          <w:tcPr>
            <w:tcW w:type="dxa" w:w="821"/>
          </w:tcPr>
          <w:p>
            <w:pPr>
              <w:pStyle w:val="null3"/>
              <w:jc w:val="left"/>
            </w:pPr>
            <w:r>
              <w:rPr/>
              <w:t>软件和信息技术服务业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是</w:t>
            </w:r>
          </w:p>
        </w:tc>
        <w:tc>
          <w:tcPr>
            <w:tcW w:type="dxa" w:w="639"/>
          </w:tcPr>
          <w:p>
            <w:pPr>
              <w:pStyle w:val="null3"/>
              <w:jc w:val="left"/>
            </w:pPr>
            <w:r>
              <w:rPr/>
              <w:t>否</w:t>
            </w:r>
          </w:p>
        </w:tc>
        <w:tc>
          <w:tcPr>
            <w:tcW w:type="dxa" w:w="639"/>
          </w:tcPr>
          <w:p>
            <w:pPr>
              <w:pStyle w:val="null3"/>
              <w:jc w:val="left"/>
            </w:pPr>
            <w:r>
              <w:rPr/>
              <w:t>是</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心理援助热线信息系统</w:t>
            </w:r>
          </w:p>
        </w:tc>
        <w:tc>
          <w:tcPr>
            <w:tcW w:type="dxa" w:w="977"/>
          </w:tcPr>
          <w:p>
            <w:pPr>
              <w:pStyle w:val="null3"/>
              <w:jc w:val="right"/>
            </w:pPr>
            <w:r>
              <w:rPr/>
              <w:t>1.00（套）</w:t>
            </w:r>
          </w:p>
        </w:tc>
        <w:tc>
          <w:tcPr>
            <w:tcW w:type="dxa" w:w="1173"/>
          </w:tcPr>
          <w:p>
            <w:pPr>
              <w:pStyle w:val="null3"/>
              <w:jc w:val="right"/>
            </w:pPr>
            <w:r>
              <w:rPr/>
              <w:t>712,890（元）</w:t>
            </w:r>
          </w:p>
        </w:tc>
        <w:tc>
          <w:tcPr>
            <w:tcW w:type="dxa" w:w="1173"/>
          </w:tcPr>
          <w:p>
            <w:pPr>
              <w:pStyle w:val="null3"/>
              <w:jc w:val="right"/>
            </w:pPr>
            <w:r>
              <w:rPr/>
              <w:t>712,890.00</w:t>
            </w:r>
          </w:p>
        </w:tc>
        <w:tc>
          <w:tcPr>
            <w:tcW w:type="dxa" w:w="977"/>
          </w:tcPr>
          <w:p>
            <w:pPr>
              <w:pStyle w:val="null3"/>
              <w:jc w:val="left"/>
            </w:pPr>
            <w:r>
              <w:rPr/>
              <w:t>总价</w:t>
            </w:r>
          </w:p>
        </w:tc>
        <w:tc>
          <w:tcPr>
            <w:tcW w:type="dxa" w:w="1661"/>
          </w:tcPr>
          <w:p>
            <w:pPr>
              <w:pStyle w:val="null3"/>
              <w:jc w:val="left"/>
            </w:pPr>
            <w:r>
              <w:rPr/>
              <w:t>本项目报总价，投标人报价包含完成本项目的所有费用。采购人不再支付任何费用，投标报价估算错误等引起的风险由投标人自行承担。</w:t>
            </w:r>
          </w:p>
        </w:tc>
      </w:tr>
    </w:tbl>
    <w:p>
      <w:pPr>
        <w:pStyle w:val="null3"/>
        <w:ind w:firstLine="480"/>
        <w:jc w:val="left"/>
      </w:pPr>
      <w:r>
        <w:rPr/>
        <w:t>★注：采购包涉及采购货物的，投标人响应产品应当明确品牌和规格型号并指向唯一产品，不能指向唯一产品的，应通过报价表唯一产品说明栏补充说明。</w:t>
      </w:r>
    </w:p>
    <w:p>
      <w:pPr>
        <w:pStyle w:val="null3"/>
        <w:jc w:val="left"/>
      </w:pPr>
      <w:r>
        <w:rPr>
          <w:b/>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★注：不涉及采购进口产品时，投标人不得提供进口产品进行响应；涉及采购进口产品时，如国产产品满足采购需求，也可提供国产产品进行响应。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行业应用软件开发服务</w:t>
            </w:r>
          </w:p>
        </w:tc>
        <w:tc>
          <w:tcPr>
            <w:tcW w:type="dxa" w:w="2492"/>
          </w:tcPr>
          <w:p>
            <w:pPr>
              <w:pStyle w:val="null3"/>
              <w:jc w:val="left"/>
            </w:pPr>
            <w:r>
              <w:rPr/>
              <w:t>心理援助热线信息系统</w:t>
            </w:r>
          </w:p>
        </w:tc>
        <w:tc>
          <w:tcPr>
            <w:tcW w:type="dxa" w:w="2492"/>
          </w:tcPr>
          <w:p>
            <w:pPr>
              <w:pStyle w:val="null3"/>
              <w:jc w:val="left"/>
            </w:pPr>
            <w:r>
              <w:rPr/>
              <w:t>心理援助热线数据分析主机及其配套的显示器</w:t>
            </w:r>
          </w:p>
        </w:tc>
      </w:tr>
      <w:tr>
        <w:tc>
          <w:tcPr>
            <w:tcW w:type="dxa" w:w="831"/>
          </w:tcPr>
          <w:p>
            <w:pPr>
              <w:pStyle w:val="null3"/>
              <w:jc w:val="left"/>
            </w:pPr>
            <w:r>
              <w:rPr/>
              <w:t>2</w:t>
            </w:r>
          </w:p>
        </w:tc>
        <w:tc>
          <w:tcPr>
            <w:tcW w:type="dxa" w:w="2492"/>
          </w:tcPr>
          <w:p>
            <w:pPr>
              <w:pStyle w:val="null3"/>
              <w:jc w:val="left"/>
            </w:pPr>
            <w:r>
              <w:rPr/>
              <w:t>行业应用软件开发服务</w:t>
            </w:r>
          </w:p>
        </w:tc>
        <w:tc>
          <w:tcPr>
            <w:tcW w:type="dxa" w:w="2492"/>
          </w:tcPr>
          <w:p>
            <w:pPr>
              <w:pStyle w:val="null3"/>
              <w:jc w:val="left"/>
            </w:pPr>
            <w:r>
              <w:rPr/>
              <w:t>心理援助热线信息系统</w:t>
            </w:r>
          </w:p>
        </w:tc>
        <w:tc>
          <w:tcPr>
            <w:tcW w:type="dxa" w:w="2492"/>
          </w:tcPr>
          <w:p>
            <w:pPr>
              <w:pStyle w:val="null3"/>
              <w:jc w:val="left"/>
            </w:pPr>
            <w:r>
              <w:rPr/>
              <w:t>控制终端的配套显示器</w:t>
            </w:r>
          </w:p>
        </w:tc>
      </w:tr>
    </w:tbl>
    <w:p>
      <w:pPr>
        <w:pStyle w:val="null3"/>
        <w:ind w:firstLine="480"/>
        <w:jc w:val="left"/>
      </w:pPr>
      <w:r>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行业应用软件开发服务</w:t>
            </w:r>
          </w:p>
        </w:tc>
        <w:tc>
          <w:tcPr>
            <w:tcW w:type="dxa" w:w="2492"/>
          </w:tcPr>
          <w:p>
            <w:pPr>
              <w:pStyle w:val="null3"/>
              <w:jc w:val="left"/>
            </w:pPr>
            <w:r>
              <w:rPr/>
              <w:t>心理援助热线信息系统</w:t>
            </w:r>
          </w:p>
        </w:tc>
        <w:tc>
          <w:tcPr>
            <w:tcW w:type="dxa" w:w="2492"/>
          </w:tcPr>
          <w:p>
            <w:pPr>
              <w:pStyle w:val="null3"/>
              <w:jc w:val="left"/>
            </w:pPr>
            <w:r>
              <w:rPr/>
              <w:t>心理援助热线数据分析主机及其配套的显示器</w:t>
            </w:r>
          </w:p>
        </w:tc>
      </w:tr>
      <w:tr>
        <w:tc>
          <w:tcPr>
            <w:tcW w:type="dxa" w:w="831"/>
          </w:tcPr>
          <w:p>
            <w:pPr>
              <w:pStyle w:val="null3"/>
              <w:jc w:val="left"/>
            </w:pPr>
            <w:r>
              <w:rPr/>
              <w:t>2</w:t>
            </w:r>
          </w:p>
        </w:tc>
        <w:tc>
          <w:tcPr>
            <w:tcW w:type="dxa" w:w="2492"/>
          </w:tcPr>
          <w:p>
            <w:pPr>
              <w:pStyle w:val="null3"/>
              <w:jc w:val="left"/>
            </w:pPr>
            <w:r>
              <w:rPr/>
              <w:t>行业应用软件开发服务</w:t>
            </w:r>
          </w:p>
        </w:tc>
        <w:tc>
          <w:tcPr>
            <w:tcW w:type="dxa" w:w="2492"/>
          </w:tcPr>
          <w:p>
            <w:pPr>
              <w:pStyle w:val="null3"/>
              <w:jc w:val="left"/>
            </w:pPr>
            <w:r>
              <w:rPr/>
              <w:t>心理援助热线信息系统</w:t>
            </w:r>
          </w:p>
        </w:tc>
        <w:tc>
          <w:tcPr>
            <w:tcW w:type="dxa" w:w="2492"/>
          </w:tcPr>
          <w:p>
            <w:pPr>
              <w:pStyle w:val="null3"/>
              <w:jc w:val="left"/>
            </w:pPr>
            <w:r>
              <w:rPr/>
              <w:t>控制终端及其配套的显示器</w:t>
            </w:r>
          </w:p>
        </w:tc>
      </w:tr>
      <w:tr>
        <w:tc>
          <w:tcPr>
            <w:tcW w:type="dxa" w:w="831"/>
          </w:tcPr>
          <w:p>
            <w:pPr>
              <w:pStyle w:val="null3"/>
              <w:jc w:val="left"/>
            </w:pPr>
            <w:r>
              <w:rPr/>
              <w:t>3</w:t>
            </w:r>
          </w:p>
        </w:tc>
        <w:tc>
          <w:tcPr>
            <w:tcW w:type="dxa" w:w="2492"/>
          </w:tcPr>
          <w:p>
            <w:pPr>
              <w:pStyle w:val="null3"/>
              <w:jc w:val="left"/>
            </w:pPr>
            <w:r>
              <w:rPr/>
              <w:t>行业应用软件开发服务</w:t>
            </w:r>
          </w:p>
        </w:tc>
        <w:tc>
          <w:tcPr>
            <w:tcW w:type="dxa" w:w="2492"/>
          </w:tcPr>
          <w:p>
            <w:pPr>
              <w:pStyle w:val="null3"/>
              <w:jc w:val="left"/>
            </w:pPr>
            <w:r>
              <w:rPr/>
              <w:t>心理援助热线信息系统</w:t>
            </w:r>
          </w:p>
        </w:tc>
        <w:tc>
          <w:tcPr>
            <w:tcW w:type="dxa" w:w="2492"/>
          </w:tcPr>
          <w:p>
            <w:pPr>
              <w:pStyle w:val="null3"/>
              <w:jc w:val="left"/>
            </w:pPr>
            <w:r>
              <w:rPr/>
              <w:t>定制座位</w:t>
            </w:r>
          </w:p>
        </w:tc>
      </w:tr>
      <w:tr>
        <w:tc>
          <w:tcPr>
            <w:tcW w:type="dxa" w:w="831"/>
          </w:tcPr>
          <w:p>
            <w:pPr>
              <w:pStyle w:val="null3"/>
              <w:jc w:val="left"/>
            </w:pPr>
            <w:r>
              <w:rPr/>
              <w:t>4</w:t>
            </w:r>
          </w:p>
        </w:tc>
        <w:tc>
          <w:tcPr>
            <w:tcW w:type="dxa" w:w="2492"/>
          </w:tcPr>
          <w:p>
            <w:pPr>
              <w:pStyle w:val="null3"/>
              <w:jc w:val="left"/>
            </w:pPr>
            <w:r>
              <w:rPr/>
              <w:t>行业应用软件开发服务</w:t>
            </w:r>
          </w:p>
        </w:tc>
        <w:tc>
          <w:tcPr>
            <w:tcW w:type="dxa" w:w="2492"/>
          </w:tcPr>
          <w:p>
            <w:pPr>
              <w:pStyle w:val="null3"/>
              <w:jc w:val="left"/>
            </w:pPr>
            <w:r>
              <w:rPr/>
              <w:t>心理援助热线信息系统</w:t>
            </w:r>
          </w:p>
        </w:tc>
        <w:tc>
          <w:tcPr>
            <w:tcW w:type="dxa" w:w="2492"/>
          </w:tcPr>
          <w:p>
            <w:pPr>
              <w:pStyle w:val="null3"/>
              <w:jc w:val="left"/>
            </w:pPr>
            <w:r>
              <w:rPr/>
              <w:t>定制工作台</w:t>
            </w:r>
          </w:p>
        </w:tc>
      </w:tr>
    </w:tbl>
    <w:p>
      <w:pPr>
        <w:pStyle w:val="null3"/>
        <w:ind w:firstLine="480"/>
        <w:jc w:val="left"/>
      </w:pPr>
      <w:r>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标的名称：心理援助热线信息系统</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ind w:firstLine="472"/>
              <w:jc w:val="left"/>
            </w:pPr>
            <w:r>
              <w:rPr>
                <w:rFonts w:ascii="simsun" w:hAnsi="simsun" w:cs="simsun" w:eastAsia="simsun"/>
                <w:color w:val="333333"/>
                <w:sz w:val="24"/>
                <w:shd w:fill="FFFFFF" w:val="clear"/>
              </w:rPr>
              <w:t>（一）系统架构</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1.系统采用对接云坐席通信的方式，提供电脑版与手机（小程序）版系统。</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2.来电者的语音呼叫可通过系统转接到座席电话或手机，咨询信息可通过电脑端网页或手机（小程序）提供服务，实现移动在线咨询、自动同步数据。</w:t>
            </w:r>
          </w:p>
          <w:p>
            <w:pPr>
              <w:pStyle w:val="null3"/>
              <w:ind w:firstLine="472"/>
              <w:jc w:val="left"/>
            </w:pPr>
            <w:r>
              <w:rPr>
                <w:rFonts w:ascii="simsun" w:hAnsi="simsun" w:cs="simsun" w:eastAsia="simsun"/>
                <w:color w:val="333333"/>
                <w:sz w:val="24"/>
                <w:shd w:fill="FFFFFF" w:val="clear"/>
              </w:rPr>
              <w:t>★3.供应商报价包含负责与医院现有信息系统进行对接。开放标准接口，支持与医院预约挂号系统连通，具备转诊转介功能，如：推送医院就诊信息、预约挂号链接等</w:t>
            </w:r>
            <w:r>
              <w:rPr>
                <w:rFonts w:ascii="simsun" w:hAnsi="simsun" w:cs="simsun" w:eastAsia="simsun"/>
                <w:color w:val="333333"/>
                <w:sz w:val="24"/>
                <w:shd w:fill="FFFFFF" w:val="clear"/>
              </w:rPr>
              <w:t>，</w:t>
            </w:r>
            <w:r>
              <w:rPr>
                <w:rFonts w:ascii="simsun" w:hAnsi="simsun" w:cs="simsun" w:eastAsia="simsun"/>
                <w:color w:val="333333"/>
                <w:sz w:val="24"/>
                <w:shd w:fill="FFFFFF" w:val="clear"/>
              </w:rPr>
              <w:t>不再产生二次开发费用</w:t>
            </w:r>
            <w:r>
              <w:rPr>
                <w:rFonts w:ascii="simsun" w:hAnsi="simsun" w:cs="simsun" w:eastAsia="simsun"/>
                <w:color w:val="333333"/>
                <w:sz w:val="24"/>
                <w:shd w:fill="FFFFFF" w:val="clear"/>
              </w:rPr>
              <w:t>（</w:t>
            </w:r>
            <w:r>
              <w:rPr>
                <w:rFonts w:ascii="simsun" w:hAnsi="simsun" w:cs="simsun" w:eastAsia="simsun"/>
                <w:color w:val="333333"/>
                <w:sz w:val="24"/>
                <w:shd w:fill="FFFFFF" w:val="clear"/>
              </w:rPr>
              <w:t>提供加盖供应商</w:t>
            </w:r>
            <w:r>
              <w:rPr>
                <w:rFonts w:ascii="simsun" w:hAnsi="simsun" w:cs="simsun" w:eastAsia="simsun"/>
                <w:color w:val="333333"/>
                <w:sz w:val="24"/>
                <w:shd w:fill="FFFFFF" w:val="clear"/>
              </w:rPr>
              <w:t>电子</w:t>
            </w:r>
            <w:r>
              <w:rPr>
                <w:rFonts w:ascii="simsun" w:hAnsi="simsun" w:cs="simsun" w:eastAsia="simsun"/>
                <w:color w:val="333333"/>
                <w:sz w:val="24"/>
                <w:shd w:fill="FFFFFF" w:val="clear"/>
              </w:rPr>
              <w:t>章的承诺函</w:t>
            </w:r>
            <w:r>
              <w:rPr>
                <w:rFonts w:ascii="simsun" w:hAnsi="simsun" w:cs="simsun" w:eastAsia="simsun"/>
                <w:color w:val="333333"/>
                <w:sz w:val="24"/>
                <w:shd w:fill="FFFFFF" w:val="clear"/>
              </w:rPr>
              <w:t>，</w:t>
            </w:r>
            <w:r>
              <w:rPr>
                <w:rFonts w:ascii="simsun" w:hAnsi="simsun" w:cs="simsun" w:eastAsia="simsun"/>
                <w:color w:val="333333"/>
                <w:sz w:val="24"/>
                <w:shd w:fill="FFFFFF" w:val="clear"/>
              </w:rPr>
              <w:t>格式自拟</w:t>
            </w:r>
            <w:r>
              <w:rPr>
                <w:rFonts w:ascii="simsun" w:hAnsi="simsun" w:cs="simsun" w:eastAsia="simsun"/>
                <w:color w:val="333333"/>
                <w:sz w:val="24"/>
                <w:shd w:fill="FFFFFF" w:val="clear"/>
              </w:rPr>
              <w:t>）</w:t>
            </w:r>
            <w:r>
              <w:rPr>
                <w:rFonts w:ascii="simsun" w:hAnsi="simsun" w:cs="simsun" w:eastAsia="simsun"/>
                <w:color w:val="333333"/>
                <w:sz w:val="24"/>
                <w:shd w:fill="FFFFFF" w:val="clear"/>
              </w:rPr>
              <w:t>。</w:t>
            </w:r>
          </w:p>
          <w:p>
            <w:pPr>
              <w:pStyle w:val="null3"/>
              <w:ind w:firstLine="472"/>
              <w:jc w:val="left"/>
            </w:pPr>
            <w:r>
              <w:rPr>
                <w:rFonts w:ascii="simsun" w:hAnsi="simsun" w:cs="simsun" w:eastAsia="simsun"/>
                <w:color w:val="333333"/>
                <w:sz w:val="24"/>
                <w:shd w:fill="FFFFFF" w:val="clear"/>
              </w:rPr>
              <w:t>★4.开放标准接口，支持与“12345”、“110”、“120”等热线一键互转等</w:t>
            </w:r>
            <w:r>
              <w:rPr>
                <w:rFonts w:ascii="simsun" w:hAnsi="simsun" w:cs="simsun" w:eastAsia="simsun"/>
                <w:color w:val="333333"/>
                <w:sz w:val="24"/>
                <w:shd w:fill="FFFFFF" w:val="clear"/>
              </w:rPr>
              <w:t>（按采购人要求进行对接时，供应商不另外收取实施费用（</w:t>
            </w:r>
            <w:r>
              <w:rPr>
                <w:rFonts w:ascii="simsun" w:hAnsi="simsun" w:cs="simsun" w:eastAsia="simsun"/>
                <w:color w:val="333333"/>
                <w:sz w:val="24"/>
                <w:shd w:fill="FFFFFF" w:val="clear"/>
              </w:rPr>
              <w:t>提供加盖供应商</w:t>
            </w:r>
            <w:r>
              <w:rPr>
                <w:rFonts w:ascii="simsun" w:hAnsi="simsun" w:cs="simsun" w:eastAsia="simsun"/>
                <w:color w:val="333333"/>
                <w:sz w:val="24"/>
                <w:shd w:fill="FFFFFF" w:val="clear"/>
              </w:rPr>
              <w:t>电子</w:t>
            </w:r>
            <w:r>
              <w:rPr>
                <w:rFonts w:ascii="simsun" w:hAnsi="simsun" w:cs="simsun" w:eastAsia="simsun"/>
                <w:color w:val="333333"/>
                <w:sz w:val="24"/>
                <w:shd w:fill="FFFFFF" w:val="clear"/>
              </w:rPr>
              <w:t>章的承诺函</w:t>
            </w:r>
            <w:r>
              <w:rPr>
                <w:rFonts w:ascii="simsun" w:hAnsi="simsun" w:cs="simsun" w:eastAsia="simsun"/>
                <w:color w:val="333333"/>
                <w:sz w:val="24"/>
                <w:shd w:fill="FFFFFF" w:val="clear"/>
              </w:rPr>
              <w:t>，</w:t>
            </w:r>
            <w:r>
              <w:rPr>
                <w:rFonts w:ascii="simsun" w:hAnsi="simsun" w:cs="simsun" w:eastAsia="simsun"/>
                <w:color w:val="333333"/>
                <w:sz w:val="24"/>
                <w:shd w:fill="FFFFFF" w:val="clear"/>
              </w:rPr>
              <w:t>格式自拟</w:t>
            </w:r>
            <w:r>
              <w:rPr>
                <w:rFonts w:ascii="simsun" w:hAnsi="simsun" w:cs="simsun" w:eastAsia="simsun"/>
                <w:color w:val="333333"/>
                <w:sz w:val="24"/>
                <w:shd w:fill="FFFFFF" w:val="clear"/>
              </w:rPr>
              <w:t>）</w:t>
            </w:r>
            <w:r>
              <w:rPr>
                <w:rFonts w:ascii="simsun" w:hAnsi="simsun" w:cs="simsun" w:eastAsia="simsun"/>
                <w:sz w:val="32"/>
              </w:rPr>
              <w:t>。</w:t>
            </w:r>
          </w:p>
          <w:p>
            <w:pPr>
              <w:pStyle w:val="null3"/>
              <w:ind w:firstLine="472"/>
              <w:jc w:val="left"/>
            </w:pPr>
            <w:r>
              <w:rPr>
                <w:rFonts w:ascii="simsun" w:hAnsi="simsun" w:cs="simsun" w:eastAsia="simsun"/>
                <w:color w:val="333333"/>
                <w:sz w:val="24"/>
                <w:shd w:fill="FFFFFF" w:val="clear"/>
              </w:rPr>
              <w:t>★5.</w:t>
            </w:r>
            <w:r>
              <w:rPr>
                <w:rFonts w:ascii="simsun" w:hAnsi="simsun" w:cs="simsun" w:eastAsia="simsun"/>
                <w:color w:val="333333"/>
                <w:sz w:val="24"/>
                <w:shd w:fill="FFFFFF" w:val="clear"/>
              </w:rPr>
              <w:t>中标后</w:t>
            </w:r>
            <w:r>
              <w:rPr>
                <w:rFonts w:ascii="simsun" w:hAnsi="simsun" w:cs="simsun" w:eastAsia="simsun"/>
                <w:color w:val="333333"/>
                <w:sz w:val="24"/>
                <w:shd w:fill="FFFFFF" w:val="clear"/>
              </w:rPr>
              <w:t>签署保密承诺书。所有相关业务的任何包含有包括但不限于客户资料、客户数据等信息的任何纸制的和（或）电子的文件、文档、复印件等一些载体均被视为采购人的商业秘密，均应受到供应商的严格保密</w:t>
            </w:r>
            <w:r>
              <w:rPr>
                <w:rFonts w:ascii="simsun" w:hAnsi="simsun" w:cs="simsun" w:eastAsia="simsun"/>
                <w:color w:val="333333"/>
                <w:sz w:val="24"/>
                <w:shd w:fill="FFFFFF" w:val="clear"/>
              </w:rPr>
              <w:t>（</w:t>
            </w:r>
            <w:r>
              <w:rPr>
                <w:rFonts w:ascii="simsun" w:hAnsi="simsun" w:cs="simsun" w:eastAsia="simsun"/>
                <w:color w:val="333333"/>
                <w:sz w:val="24"/>
                <w:shd w:fill="FFFFFF" w:val="clear"/>
              </w:rPr>
              <w:t>提供加盖供应商</w:t>
            </w:r>
            <w:r>
              <w:rPr>
                <w:rFonts w:ascii="simsun" w:hAnsi="simsun" w:cs="simsun" w:eastAsia="simsun"/>
                <w:color w:val="333333"/>
                <w:sz w:val="24"/>
                <w:shd w:fill="FFFFFF" w:val="clear"/>
              </w:rPr>
              <w:t>电子</w:t>
            </w:r>
            <w:r>
              <w:rPr>
                <w:rFonts w:ascii="simsun" w:hAnsi="simsun" w:cs="simsun" w:eastAsia="simsun"/>
                <w:color w:val="333333"/>
                <w:sz w:val="24"/>
                <w:shd w:fill="FFFFFF" w:val="clear"/>
              </w:rPr>
              <w:t>章的</w:t>
            </w:r>
            <w:r>
              <w:rPr>
                <w:rFonts w:ascii="simsun" w:hAnsi="simsun" w:cs="simsun" w:eastAsia="simsun"/>
                <w:color w:val="333333"/>
                <w:sz w:val="24"/>
                <w:shd w:fill="FFFFFF" w:val="clear"/>
              </w:rPr>
              <w:t>保密</w:t>
            </w:r>
            <w:r>
              <w:rPr>
                <w:rFonts w:ascii="simsun" w:hAnsi="simsun" w:cs="simsun" w:eastAsia="simsun"/>
                <w:color w:val="333333"/>
                <w:sz w:val="24"/>
                <w:shd w:fill="FFFFFF" w:val="clear"/>
              </w:rPr>
              <w:t>承诺函</w:t>
            </w:r>
            <w:r>
              <w:rPr>
                <w:rFonts w:ascii="simsun" w:hAnsi="simsun" w:cs="simsun" w:eastAsia="simsun"/>
                <w:color w:val="333333"/>
                <w:sz w:val="24"/>
                <w:shd w:fill="FFFFFF" w:val="clear"/>
              </w:rPr>
              <w:t>，</w:t>
            </w:r>
            <w:r>
              <w:rPr>
                <w:rFonts w:ascii="simsun" w:hAnsi="simsun" w:cs="simsun" w:eastAsia="simsun"/>
                <w:color w:val="333333"/>
                <w:sz w:val="24"/>
                <w:shd w:fill="FFFFFF" w:val="clear"/>
              </w:rPr>
              <w:t>格式自拟</w:t>
            </w:r>
            <w:r>
              <w:rPr>
                <w:rFonts w:ascii="simsun" w:hAnsi="simsun" w:cs="simsun" w:eastAsia="simsun"/>
                <w:color w:val="333333"/>
                <w:sz w:val="24"/>
                <w:shd w:fill="FFFFFF" w:val="clear"/>
              </w:rPr>
              <w:t>）</w:t>
            </w:r>
            <w:r>
              <w:rPr>
                <w:rFonts w:ascii="simsun" w:hAnsi="simsun" w:cs="simsun" w:eastAsia="simsun"/>
                <w:color w:val="333333"/>
                <w:sz w:val="24"/>
                <w:shd w:fill="FFFFFF" w:val="clear"/>
              </w:rPr>
              <w:t>。</w:t>
            </w:r>
          </w:p>
          <w:p>
            <w:pPr>
              <w:pStyle w:val="null3"/>
              <w:ind w:firstLine="472"/>
              <w:jc w:val="left"/>
            </w:pPr>
            <w:r>
              <w:rPr>
                <w:rFonts w:ascii="simsun" w:hAnsi="simsun" w:cs="simsun" w:eastAsia="simsun"/>
                <w:color w:val="333333"/>
                <w:sz w:val="24"/>
                <w:shd w:fill="FFFFFF" w:val="clear"/>
              </w:rPr>
              <w:t>▲6.服务点位授权数量</w:t>
            </w:r>
            <w:r>
              <w:rPr>
                <w:rFonts w:ascii="simsun" w:hAnsi="simsun" w:cs="simsun" w:eastAsia="simsun"/>
                <w:color w:val="333333"/>
                <w:sz w:val="24"/>
                <w:shd w:fill="FFFFFF" w:val="clear"/>
              </w:rPr>
              <w:t>包含但不限于以下</w:t>
            </w:r>
            <w:r>
              <w:rPr>
                <w:rFonts w:ascii="simsun" w:hAnsi="simsun" w:cs="simsun" w:eastAsia="simsun"/>
                <w:color w:val="333333"/>
                <w:sz w:val="24"/>
                <w:shd w:fill="FFFFFF" w:val="clear"/>
              </w:rPr>
              <w:t>21个点位</w:t>
            </w:r>
            <w:r>
              <w:rPr>
                <w:rFonts w:ascii="simsun" w:hAnsi="simsun" w:cs="simsun" w:eastAsia="simsun"/>
                <w:color w:val="333333"/>
                <w:sz w:val="24"/>
                <w:shd w:fill="FFFFFF" w:val="clear"/>
              </w:rPr>
              <w:t>：</w:t>
            </w:r>
            <w:r>
              <w:rPr>
                <w:rFonts w:ascii="simsun" w:hAnsi="simsun" w:cs="simsun" w:eastAsia="simsun"/>
                <w:color w:val="333333"/>
                <w:sz w:val="24"/>
                <w:shd w:fill="FFFFFF" w:val="clear"/>
              </w:rPr>
              <w:t>成都市（8个中心点位）、</w:t>
            </w:r>
            <w:r>
              <w:rPr>
                <w:rFonts w:ascii="simsun" w:hAnsi="simsun" w:cs="simsun" w:eastAsia="simsun"/>
                <w:color w:val="333333"/>
                <w:sz w:val="24"/>
                <w:shd w:fill="FFFFFF" w:val="clear"/>
              </w:rPr>
              <w:t>温江区</w:t>
            </w:r>
            <w:r>
              <w:rPr>
                <w:rFonts w:ascii="simsun" w:hAnsi="simsun" w:cs="simsun" w:eastAsia="simsun"/>
                <w:color w:val="333333"/>
                <w:sz w:val="24"/>
                <w:shd w:fill="FFFFFF" w:val="clear"/>
              </w:rPr>
              <w:t>、</w:t>
            </w:r>
            <w:r>
              <w:rPr>
                <w:rFonts w:ascii="simsun" w:hAnsi="simsun" w:cs="simsun" w:eastAsia="simsun"/>
                <w:color w:val="333333"/>
                <w:sz w:val="24"/>
                <w:shd w:fill="FFFFFF" w:val="clear"/>
              </w:rPr>
              <w:t>彭州市</w:t>
            </w:r>
            <w:r>
              <w:rPr>
                <w:rFonts w:ascii="simsun" w:hAnsi="simsun" w:cs="simsun" w:eastAsia="simsun"/>
                <w:color w:val="333333"/>
                <w:sz w:val="24"/>
                <w:shd w:fill="FFFFFF" w:val="clear"/>
              </w:rPr>
              <w:t>、</w:t>
            </w:r>
            <w:r>
              <w:rPr>
                <w:rFonts w:ascii="simsun" w:hAnsi="simsun" w:cs="simsun" w:eastAsia="simsun"/>
                <w:color w:val="333333"/>
                <w:sz w:val="24"/>
                <w:shd w:fill="FFFFFF" w:val="clear"/>
              </w:rPr>
              <w:t>青白江区</w:t>
            </w:r>
            <w:r>
              <w:rPr>
                <w:rFonts w:ascii="simsun" w:hAnsi="simsun" w:cs="simsun" w:eastAsia="simsun"/>
                <w:color w:val="333333"/>
                <w:sz w:val="24"/>
                <w:shd w:fill="FFFFFF" w:val="clear"/>
              </w:rPr>
              <w:t>、</w:t>
            </w:r>
            <w:r>
              <w:rPr>
                <w:rFonts w:ascii="simsun" w:hAnsi="simsun" w:cs="simsun" w:eastAsia="simsun"/>
                <w:color w:val="333333"/>
                <w:sz w:val="24"/>
                <w:shd w:fill="FFFFFF" w:val="clear"/>
              </w:rPr>
              <w:t>锦江区、双流区、</w:t>
            </w:r>
            <w:r>
              <w:rPr>
                <w:rFonts w:ascii="simsun" w:hAnsi="simsun" w:cs="simsun" w:eastAsia="simsun"/>
                <w:color w:val="333333"/>
                <w:sz w:val="24"/>
                <w:shd w:fill="FFFFFF" w:val="clear"/>
              </w:rPr>
              <w:t>天府新区</w:t>
            </w:r>
            <w:r>
              <w:rPr>
                <w:rFonts w:ascii="simsun" w:hAnsi="simsun" w:cs="simsun" w:eastAsia="simsun"/>
                <w:color w:val="333333"/>
                <w:sz w:val="24"/>
                <w:shd w:fill="FFFFFF" w:val="clear"/>
              </w:rPr>
              <w:t>、</w:t>
            </w:r>
            <w:r>
              <w:rPr>
                <w:rFonts w:ascii="simsun" w:hAnsi="simsun" w:cs="simsun" w:eastAsia="simsun"/>
                <w:color w:val="333333"/>
                <w:sz w:val="24"/>
                <w:shd w:fill="FFFFFF" w:val="clear"/>
              </w:rPr>
              <w:t>崇州市、</w:t>
            </w:r>
            <w:r>
              <w:rPr>
                <w:rFonts w:ascii="simsun" w:hAnsi="simsun" w:cs="simsun" w:eastAsia="simsun"/>
                <w:color w:val="333333"/>
                <w:sz w:val="24"/>
                <w:shd w:fill="FFFFFF" w:val="clear"/>
              </w:rPr>
              <w:t>新津区</w:t>
            </w:r>
            <w:r>
              <w:rPr>
                <w:rFonts w:ascii="simsun" w:hAnsi="simsun" w:cs="simsun" w:eastAsia="simsun"/>
                <w:color w:val="333333"/>
                <w:sz w:val="24"/>
                <w:shd w:fill="FFFFFF" w:val="clear"/>
              </w:rPr>
              <w:t>、</w:t>
            </w:r>
            <w:r>
              <w:rPr>
                <w:rFonts w:ascii="simsun" w:hAnsi="simsun" w:cs="simsun" w:eastAsia="simsun"/>
                <w:color w:val="333333"/>
                <w:sz w:val="24"/>
                <w:shd w:fill="FFFFFF" w:val="clear"/>
              </w:rPr>
              <w:t>成华区</w:t>
            </w:r>
            <w:r>
              <w:rPr>
                <w:rFonts w:ascii="simsun" w:hAnsi="simsun" w:cs="simsun" w:eastAsia="simsun"/>
                <w:color w:val="333333"/>
                <w:sz w:val="24"/>
                <w:shd w:fill="FFFFFF" w:val="clear"/>
              </w:rPr>
              <w:t>、</w:t>
            </w:r>
            <w:r>
              <w:rPr>
                <w:rFonts w:ascii="simsun" w:hAnsi="simsun" w:cs="simsun" w:eastAsia="simsun"/>
                <w:color w:val="333333"/>
                <w:sz w:val="24"/>
                <w:shd w:fill="FFFFFF" w:val="clear"/>
              </w:rPr>
              <w:t>金堂县</w:t>
            </w:r>
            <w:r>
              <w:rPr>
                <w:rFonts w:ascii="simsun" w:hAnsi="simsun" w:cs="simsun" w:eastAsia="simsun"/>
                <w:color w:val="333333"/>
                <w:sz w:val="24"/>
                <w:shd w:fill="FFFFFF" w:val="clear"/>
              </w:rPr>
              <w:t>、</w:t>
            </w:r>
            <w:r>
              <w:rPr>
                <w:rFonts w:ascii="simsun" w:hAnsi="simsun" w:cs="simsun" w:eastAsia="simsun"/>
                <w:color w:val="333333"/>
                <w:sz w:val="24"/>
                <w:shd w:fill="FFFFFF" w:val="clear"/>
              </w:rPr>
              <w:t>都江堰市</w:t>
            </w:r>
            <w:r>
              <w:rPr>
                <w:rFonts w:ascii="simsun" w:hAnsi="simsun" w:cs="simsun" w:eastAsia="simsun"/>
                <w:color w:val="333333"/>
                <w:sz w:val="24"/>
                <w:shd w:fill="FFFFFF" w:val="clear"/>
              </w:rPr>
              <w:t>、</w:t>
            </w:r>
            <w:r>
              <w:rPr>
                <w:rFonts w:ascii="simsun" w:hAnsi="simsun" w:cs="simsun" w:eastAsia="simsun"/>
                <w:color w:val="333333"/>
                <w:sz w:val="24"/>
                <w:shd w:fill="FFFFFF" w:val="clear"/>
              </w:rPr>
              <w:t>简阳市</w:t>
            </w:r>
            <w:r>
              <w:rPr>
                <w:rFonts w:ascii="simsun" w:hAnsi="simsun" w:cs="simsun" w:eastAsia="simsun"/>
                <w:color w:val="333333"/>
                <w:sz w:val="24"/>
                <w:shd w:fill="FFFFFF" w:val="clear"/>
              </w:rPr>
              <w:t>、</w:t>
            </w:r>
            <w:r>
              <w:rPr>
                <w:rFonts w:ascii="simsun" w:hAnsi="simsun" w:cs="simsun" w:eastAsia="simsun"/>
                <w:color w:val="333333"/>
                <w:sz w:val="24"/>
                <w:shd w:fill="FFFFFF" w:val="clear"/>
              </w:rPr>
              <w:t>大邑县。</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7.储存方式采取本地硬盘储存。</w:t>
            </w:r>
          </w:p>
          <w:p>
            <w:pPr>
              <w:pStyle w:val="null3"/>
              <w:ind w:firstLine="472"/>
              <w:jc w:val="left"/>
            </w:pPr>
            <w:r>
              <w:rPr>
                <w:rFonts w:ascii="simsun" w:hAnsi="simsun" w:cs="simsun" w:eastAsia="simsun"/>
                <w:color w:val="333333"/>
                <w:sz w:val="24"/>
                <w:shd w:fill="FFFFFF" w:val="clear"/>
              </w:rPr>
              <w:t>★</w:t>
            </w:r>
            <w:r>
              <w:rPr>
                <w:sz w:val="24"/>
              </w:rPr>
              <w:t>8.</w:t>
            </w:r>
            <w:r>
              <w:rPr>
                <w:rFonts w:ascii="方正仿宋_gbk" w:hAnsi="方正仿宋_gbk" w:cs="方正仿宋_gbk" w:eastAsia="方正仿宋_gbk"/>
                <w:sz w:val="24"/>
              </w:rPr>
              <w:t>支持麒麟、欧拉、统信等操作系统；支持金仓数据库、OpenGauss、GBase南大通用等数据库。</w:t>
            </w:r>
          </w:p>
          <w:p>
            <w:pPr>
              <w:pStyle w:val="null3"/>
              <w:ind w:firstLine="472"/>
              <w:jc w:val="left"/>
            </w:pPr>
            <w:r>
              <w:rPr>
                <w:rFonts w:ascii="simsun" w:hAnsi="simsun" w:cs="simsun" w:eastAsia="simsun"/>
                <w:color w:val="333333"/>
                <w:sz w:val="24"/>
                <w:shd w:fill="FFFFFF" w:val="clear"/>
              </w:rPr>
              <w:t>（二）在线咨询</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1.语音交换功能同时满足分机组、自动话务员、应答、外拨、呼转、保持、静音、代接、挂断、呼叫权限设置功能。</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2.支持 SIP话机接听和手机接听：通过拨打热线咨询电话，根据语音导航提示，选择心理咨询服务类型，解决咨询问题。</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3.支持自动展示历史咨询记录和来电者信息(包含来电次数、每次来电时间、通话时长、登记信息、接听人员等)，帮助心理咨询师快速了解来访者情况。同时支持信息展示界面可视化字段自定义，页面页签自定义显示及工单字段支持自定义。</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4.具备高危预警功能，高危来电自动弹出提醒。并弹出登记表格，方便心理咨询师及时进行信息登记。</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5.支持在线心理咨询功能：开放标准接口，可支持各类接入方式（语音、Web、微信在线接入等方式）的统一排队，满足咨询者通过不同的方式获得心理热线服务中心的咨询或帮助。</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6.支持来电者管理功能：可录入紧急联系人的联系电话信息，在紧急事件发生时，短时间内的将信息传达到相关人员，将危机事件损失减少到最少程度。</w:t>
            </w:r>
          </w:p>
          <w:p>
            <w:pPr>
              <w:pStyle w:val="null3"/>
              <w:ind w:firstLine="472"/>
              <w:jc w:val="left"/>
            </w:pPr>
            <w:r>
              <w:rPr>
                <w:rFonts w:ascii="simsun" w:hAnsi="simsun" w:cs="simsun" w:eastAsia="simsun"/>
                <w:color w:val="333333"/>
                <w:sz w:val="24"/>
                <w:shd w:fill="FFFFFF" w:val="clear"/>
              </w:rPr>
              <w:t>▲7.座席辅助功能，管理台席支持实时监听、强拦、强插、密语、强退功能。在咨询师接线时，现场可干预、提醒咨询师操作，也可加入当前通话，进行高危、困难来电的辅助工作。</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8.支持提醒功能，如超时会在页面弹出时间提醒框等。</w:t>
            </w:r>
          </w:p>
          <w:p>
            <w:pPr>
              <w:pStyle w:val="null3"/>
              <w:ind w:firstLine="472"/>
              <w:jc w:val="left"/>
            </w:pPr>
            <w:r>
              <w:rPr>
                <w:rFonts w:ascii="simsun" w:hAnsi="simsun" w:cs="simsun" w:eastAsia="simsun"/>
                <w:color w:val="333333"/>
                <w:sz w:val="24"/>
                <w:shd w:fill="FFFFFF" w:val="clear"/>
              </w:rPr>
              <w:t>▲9.支持自动录音功能，满足根据账号权限配录音、回放、查阅等。</w:t>
            </w:r>
          </w:p>
          <w:p>
            <w:pPr>
              <w:pStyle w:val="null3"/>
              <w:ind w:firstLine="472"/>
              <w:jc w:val="left"/>
            </w:pPr>
            <w:r>
              <w:rPr>
                <w:rFonts w:ascii="simsun" w:hAnsi="simsun" w:cs="simsun" w:eastAsia="simsun"/>
                <w:color w:val="333333"/>
                <w:sz w:val="24"/>
                <w:shd w:fill="FFFFFF" w:val="clear"/>
              </w:rPr>
              <w:t>★10.支持服务评价功能，在结束热线后，播放录音请来电人评价本次热线的满意程度。</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11.同一软件面板可同时处理电话咨询和在线评估。</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12.支持拉入黑名单功能，拉黑留痕(拉黑需要相应权限):拉黑信息可以溯源，并填写拉黑记录，查看拉黑详情时可以溯源到拉黑当次的通话、拉黑操作员、以及拉黑记录。</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13.特殊来电（高危来电、重复来电、骚扰来电）自动弹出提醒。重复来电次数标注及显示（来电频次及时长）功能。</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14.在线咨询支持进行评估量表及实时查看评估结果。</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15.电话咨询自动识别来电归属地功能。</w:t>
            </w:r>
          </w:p>
          <w:p>
            <w:pPr>
              <w:pStyle w:val="null3"/>
              <w:ind w:firstLine="472"/>
              <w:jc w:val="left"/>
            </w:pPr>
            <w:r>
              <w:rPr>
                <w:rFonts w:ascii="simsun" w:hAnsi="simsun" w:cs="simsun" w:eastAsia="simsun"/>
                <w:color w:val="333333"/>
                <w:sz w:val="24"/>
                <w:shd w:fill="FFFFFF" w:val="clear"/>
              </w:rPr>
              <w:t>▲16.提供等待队列、排队提醒、漏话回拨功能，坐席可选择线上等待咨询人员到咨询列表，安排坐席进行会话服务。可设置高危来电排序优先等级，提前接听。</w:t>
            </w:r>
          </w:p>
          <w:p>
            <w:pPr>
              <w:pStyle w:val="null3"/>
              <w:ind w:firstLine="472"/>
              <w:jc w:val="left"/>
            </w:pPr>
            <w:r>
              <w:rPr>
                <w:rFonts w:ascii="simsun" w:hAnsi="simsun" w:cs="simsun" w:eastAsia="simsun"/>
                <w:color w:val="333333"/>
                <w:sz w:val="24"/>
                <w:shd w:fill="FFFFFF" w:val="clear"/>
              </w:rPr>
              <w:t>▲17.提供跟踪回访功能</w:t>
            </w:r>
            <w:r>
              <w:rPr>
                <w:rFonts w:ascii="simsun" w:hAnsi="simsun" w:cs="simsun" w:eastAsia="simsun"/>
                <w:color w:val="333333"/>
                <w:sz w:val="24"/>
                <w:shd w:fill="FFFFFF" w:val="clear"/>
              </w:rPr>
              <w:t>，</w:t>
            </w:r>
            <w:r>
              <w:rPr>
                <w:rFonts w:ascii="simsun" w:hAnsi="simsun" w:cs="simsun" w:eastAsia="simsun"/>
                <w:color w:val="333333"/>
                <w:sz w:val="24"/>
                <w:shd w:fill="FFFFFF" w:val="clear"/>
              </w:rPr>
              <w:t>发送回访信息给来电者，来电者可自主进行勾选反馈。回访内容包括：心理服务效果评价、后续处置情况反馈、心理服务需求等</w:t>
            </w:r>
            <w:r>
              <w:rPr>
                <w:rFonts w:ascii="simsun" w:hAnsi="simsun" w:cs="simsun" w:eastAsia="simsun"/>
                <w:color w:val="333333"/>
                <w:sz w:val="24"/>
                <w:shd w:fill="FFFFFF" w:val="clear"/>
              </w:rPr>
              <w:t>。</w:t>
            </w:r>
          </w:p>
          <w:p>
            <w:pPr>
              <w:pStyle w:val="null3"/>
              <w:ind w:firstLine="472"/>
              <w:jc w:val="left"/>
            </w:pPr>
            <w:r>
              <w:rPr>
                <w:rFonts w:ascii="simsun" w:hAnsi="simsun" w:cs="simsun" w:eastAsia="simsun"/>
                <w:color w:val="333333"/>
                <w:sz w:val="24"/>
                <w:shd w:fill="FFFFFF" w:val="clear"/>
              </w:rPr>
              <w:t>（三）记录管理</w:t>
            </w:r>
          </w:p>
          <w:p>
            <w:pPr>
              <w:pStyle w:val="null3"/>
              <w:ind w:firstLine="472"/>
              <w:jc w:val="left"/>
            </w:pPr>
            <w:r>
              <w:rPr>
                <w:rFonts w:ascii="simsun" w:hAnsi="simsun" w:cs="simsun" w:eastAsia="simsun"/>
                <w:color w:val="333333"/>
                <w:sz w:val="24"/>
                <w:shd w:fill="FFFFFF" w:val="clear"/>
              </w:rPr>
              <w:t>▲1.支持在线工单填报、生成功能，包含：来电者信息、风险类型评估、干预处理、咨询效果评定填报等。表格在来电接通时可自动弹出。工单表格可根据使用需求进行调整，支持可视化工单流程配置，界面展示工单流转节点时效及催单、完成等操作。支持短信、语音或钉钉等通知方式。</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2.支持文字记录功能，在热线结束后，接线员可填写如危机热线的详细记录。</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3.支持查看所有的咨询记录详情。包括该记录的(通话状态、响铃时长、处置情况、咨询报告、咨询师)。</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4.支持根据账号权限录音下载、回放、查阅等功能。</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5.支持根据坐席情况、来电人员、年龄、性别、职业、来电地域、来电时间、通话时长、咨询内容、高危来电、通话高峰/低峰时段、咨询类别、咨询效果、来电者后续处置、工作量、报告完善程度等多个方面进行搜索，并按要求显示及导出统计表格。</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6.支持模糊搜索功能:(可以针对来电者会话或记录报告中的某些字段进行关键词搜索，例如 搜索‘自杀’即可检索出报告中含有‘自杀’关键字的会话记录，并且支持多关键词空格隔开同时搜索 例如“学生 抑郁”等 )。</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7.电话咨询支持将来电信息将会根据当前接线人员自动分配到该人员账号中，登录后即可继续完善来电人目的、来电人情绪状态等多种信息报告。</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8.支持对来电的排队人数提醒、自动挂断、超时提示文字等进行设置。</w:t>
            </w:r>
          </w:p>
          <w:p>
            <w:pPr>
              <w:pStyle w:val="null3"/>
              <w:ind w:firstLine="472"/>
              <w:jc w:val="left"/>
            </w:pPr>
            <w:r>
              <w:rPr>
                <w:rFonts w:ascii="simsun" w:hAnsi="simsun" w:cs="simsun" w:eastAsia="simsun"/>
                <w:color w:val="333333"/>
                <w:sz w:val="24"/>
                <w:shd w:fill="FFFFFF" w:val="clear"/>
              </w:rPr>
              <w:t>（四）知识库服务</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1.提供心理专业相关知识库。</w:t>
            </w:r>
            <w:r>
              <w:rPr>
                <w:rFonts w:ascii="simsun" w:hAnsi="simsun" w:cs="simsun" w:eastAsia="simsun"/>
                <w:color w:val="333333"/>
                <w:sz w:val="24"/>
                <w:shd w:fill="FFFFFF" w:val="clear"/>
              </w:rPr>
              <w:t>包括：心理学基础知识点不少于100个；精神心理疾病评估诊断治疗知识点不少于50个；心理危机干预理论及技术知识点不少于50个；心理沟通技巧不少于40个；解压放松技术不少于30个；心理健康评估量表不少于30个。</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2.支持知识库管理功能：可关联知识库至坐席工作台，导入知识点、评估量表等，进行线上评估，并实时查看评估结果。支持坐席对知识内容评价及收藏。</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3.知识库管理员能进行实时更新及编辑。</w:t>
            </w:r>
          </w:p>
          <w:p>
            <w:pPr>
              <w:pStyle w:val="null3"/>
              <w:ind w:firstLine="472"/>
              <w:jc w:val="left"/>
            </w:pPr>
            <w:r>
              <w:rPr>
                <w:rFonts w:ascii="simsun" w:hAnsi="simsun" w:cs="simsun" w:eastAsia="simsun"/>
                <w:color w:val="333333"/>
                <w:sz w:val="24"/>
                <w:shd w:fill="FFFFFF" w:val="clear"/>
              </w:rPr>
              <w:t>（五）账号管理</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1.支持对工作人员账号管理(创建、删除、修改)设置。</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2.支持权限与角色的管理。可以根据需求设置及调整权限等级。(系统中，每一个页面都有一个单独的执行权限控制，可以将权限的集合赋予角色。当账号归属于某角色时，该账号只能使用角色中包含的权限)。</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3.支持系统账号签入、签出、示忙、示闲、外拨、内呼、应答、转接、评价、挂机功能、排队提醒、漏话回拨等功能。</w:t>
            </w:r>
          </w:p>
          <w:p>
            <w:pPr>
              <w:pStyle w:val="null3"/>
              <w:ind w:firstLine="472"/>
              <w:jc w:val="left"/>
            </w:pPr>
            <w:r>
              <w:rPr>
                <w:rFonts w:ascii="simsun" w:hAnsi="simsun" w:cs="simsun" w:eastAsia="simsun"/>
                <w:color w:val="333333"/>
                <w:sz w:val="24"/>
                <w:shd w:fill="FFFFFF" w:val="clear"/>
              </w:rPr>
              <w:t>▲4.支持排班管理功能：支持根据日历，每日分时段排班，并在值守时段，自动启动电话接听。管理咨询师每天的排班表，以直观简洁的页面呈现每个坐席的排班状态（忙线、闲时、休假等）。支持系统查看咨询师的通话状态展示（忙线、闲时、整理等）。</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5.支持通知公告功能:展示通知、公告。管理员可以统一发布或删除公告或信息。</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6.支持设置管理紧急电话号码,当遇到特殊、危机情况时，可进行转接到紧急电话号码或加入通话，进行干预。</w:t>
            </w:r>
          </w:p>
          <w:p>
            <w:pPr>
              <w:pStyle w:val="null3"/>
              <w:ind w:firstLine="472"/>
              <w:jc w:val="left"/>
            </w:pPr>
            <w:r>
              <w:rPr>
                <w:rFonts w:ascii="simsun" w:hAnsi="simsun" w:cs="simsun" w:eastAsia="simsun"/>
                <w:color w:val="333333"/>
                <w:sz w:val="24"/>
                <w:shd w:fill="FFFFFF" w:val="clear"/>
              </w:rPr>
              <w:t>（六）综合报表</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1.支持查询统计功能：系统可根据不同条件提供数据统计:坐席/时间段/工作量/来电信息/来电地区/问题类型/咨询对象/来电时长/来电者后续处理情况/风险预警/特殊情况（危机干预、重复来电）、12345/110/120等联动情况等，满足系统内存在的信息按照需求灵活分类统计，并提供初步的分析功能，如：风险预警针对风险的人口学条件分析等。</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2.提供可查询统计的来电类型包括但不限于：性别、年龄、职业、年级、来电地区、来电类别（来电挂断、骚扰来电等）、来电时长、精神心理问题（抑郁、焦虑、睡眠问题、其他精神疾病等）、子女教育、现实问题、亲密关系、人际关系、婚姻家庭、学习问题、工作问题、一般问题、亲子关系、咨询效果等。</w:t>
            </w:r>
          </w:p>
          <w:p>
            <w:pPr>
              <w:pStyle w:val="null3"/>
              <w:ind w:firstLine="472"/>
              <w:jc w:val="left"/>
            </w:pPr>
            <w:r>
              <w:rPr>
                <w:rFonts w:ascii="simsun" w:hAnsi="simsun" w:cs="simsun" w:eastAsia="simsun"/>
                <w:color w:val="333333"/>
                <w:sz w:val="24"/>
                <w:shd w:fill="FFFFFF" w:val="clear"/>
              </w:rPr>
              <w:t>▲3.提供数据统计图表，可按年、月、周、日或自由选择时间段，进行接听量、来电人员、年龄、性别、职业、来电地域、来电时间、通话时长、来电类型等方面的数据统计并按需生成相应图表。</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4.提供数据统计分析报告（年报、月报、周报、日报）及预警，出现超标指标时会进行提示，如出现超长时间通话会标注显示。</w:t>
            </w:r>
          </w:p>
          <w:p>
            <w:pPr>
              <w:pStyle w:val="null3"/>
              <w:ind w:firstLine="472"/>
              <w:jc w:val="left"/>
            </w:pPr>
            <w:r>
              <w:rPr>
                <w:rFonts w:ascii="simsun" w:hAnsi="simsun" w:cs="simsun" w:eastAsia="simsun"/>
                <w:color w:val="333333"/>
                <w:sz w:val="24"/>
                <w:shd w:fill="FFFFFF" w:val="clear"/>
              </w:rPr>
              <w:t>▲5.提供个人绩效报表，包含平均接起时间、平均通话时长、通话数量、在线咨询数量、满意度评分等多项指标；工作统计可查看多人的绩效对比，支持时间范围、咨询员筛选功能。</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6.支持数据导出功能。</w:t>
            </w:r>
          </w:p>
          <w:p>
            <w:pPr>
              <w:pStyle w:val="null3"/>
              <w:ind w:firstLine="472"/>
              <w:jc w:val="left"/>
            </w:pPr>
            <w:r>
              <w:rPr>
                <w:rFonts w:ascii="simsun" w:hAnsi="simsun" w:cs="simsun" w:eastAsia="simsun"/>
                <w:color w:val="333333"/>
                <w:sz w:val="24"/>
                <w:shd w:fill="FFFFFF" w:val="clear"/>
              </w:rPr>
              <w:t>（七）手机小程序功能</w:t>
            </w:r>
          </w:p>
          <w:p>
            <w:pPr>
              <w:pStyle w:val="null3"/>
              <w:ind w:firstLine="472"/>
              <w:jc w:val="left"/>
            </w:pPr>
            <w:r>
              <w:rPr>
                <w:rFonts w:ascii="simsun" w:hAnsi="simsun" w:cs="simsun" w:eastAsia="simsun"/>
                <w:color w:val="333333"/>
                <w:sz w:val="24"/>
                <w:shd w:fill="FFFFFF" w:val="clear"/>
              </w:rPr>
              <w:t>▲1.手机（小程序）支持在线工单填报、生成功能，包含：来电者信息、风险类型评估、干预处理、咨询效果评定填报等。</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2.手机（小程序）支持文字记录功能，在热线结束后，接线员可填写如危机热线记录。手机（小程序）在线咨询支持</w:t>
            </w:r>
            <w:r>
              <w:rPr>
                <w:rFonts w:ascii="simsun" w:hAnsi="simsun" w:cs="simsun" w:eastAsia="simsun"/>
                <w:color w:val="333333"/>
                <w:sz w:val="24"/>
                <w:shd w:fill="FFFFFF" w:val="clear"/>
              </w:rPr>
              <w:t>发送</w:t>
            </w:r>
            <w:r>
              <w:rPr>
                <w:rFonts w:ascii="simsun" w:hAnsi="simsun" w:cs="simsun" w:eastAsia="simsun"/>
                <w:color w:val="333333"/>
                <w:sz w:val="24"/>
                <w:shd w:fill="FFFFFF" w:val="clear"/>
              </w:rPr>
              <w:t>评估量表及实时查看评估结果</w:t>
            </w:r>
            <w:r>
              <w:rPr>
                <w:rFonts w:ascii="simsun" w:hAnsi="simsun" w:cs="simsun" w:eastAsia="simsun"/>
                <w:color w:val="333333"/>
                <w:sz w:val="24"/>
                <w:shd w:fill="FFFFFF" w:val="clear"/>
              </w:rPr>
              <w:t>功能，可对干预进行指导</w:t>
            </w:r>
            <w:r>
              <w:rPr>
                <w:rFonts w:ascii="simsun" w:hAnsi="simsun" w:cs="simsun" w:eastAsia="simsun"/>
                <w:color w:val="333333"/>
                <w:sz w:val="24"/>
                <w:shd w:fill="FFFFFF" w:val="clear"/>
              </w:rPr>
              <w:t>。</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3.手机（小程序）支持查看所有的咨询记录详情。包括该记录的通话状态、响铃时长、处置情况、咨询报告、咨询师等。</w:t>
            </w:r>
          </w:p>
          <w:p>
            <w:pPr>
              <w:pStyle w:val="null3"/>
              <w:ind w:firstLine="472"/>
              <w:jc w:val="left"/>
            </w:pPr>
            <w:r>
              <w:rPr>
                <w:rFonts w:ascii="simsun" w:hAnsi="simsun" w:cs="simsun" w:eastAsia="simsun"/>
                <w:color w:val="333333"/>
                <w:sz w:val="24"/>
                <w:shd w:fill="FFFFFF" w:val="clear"/>
              </w:rPr>
              <w:t>▲4.手机（小程序）支持根据坐席情况、来电人员、年龄、性别、职业、来电地域、来电时间、通话时长、咨询内容、高危来电、通话高峰/低峰时段、咨询类别、咨询效果、来电者后续处置、12345/110/120等联动情况、工作量、报告完善程度等多个方面进行查询。</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5.手机（小程序）支持对工作人员账号管理(创建、删除、修改)设置。</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6.手机（小程序）支持权限与角色的管理。可以根据需求设置及调整权限等级。(系统中，每一个页面都有一个单独的执行权限控制，可以将权限的集合赋予角色。当账号归属于某角色时，该账号只能使用角色中包含的权限)。</w:t>
            </w:r>
          </w:p>
          <w:p>
            <w:pPr>
              <w:pStyle w:val="null3"/>
              <w:ind w:firstLine="472"/>
              <w:jc w:val="left"/>
            </w:pPr>
            <w:r>
              <w:rPr>
                <w:rFonts w:ascii="simsun" w:hAnsi="simsun" w:cs="simsun" w:eastAsia="simsun"/>
                <w:color w:val="333333"/>
                <w:sz w:val="24"/>
                <w:shd w:fill="FFFFFF" w:val="clear"/>
              </w:rPr>
              <w:t>▲7.手机（小程序）支持排班管理功能：支持根据日历，每日分时段排班，并在值守时段，自动启动电话接听。支持系统查看咨询师的通话状态展示（忙线、闲时、下线等）。</w:t>
            </w:r>
          </w:p>
          <w:p>
            <w:pPr>
              <w:pStyle w:val="null3"/>
              <w:ind w:firstLine="472"/>
              <w:jc w:val="left"/>
            </w:pPr>
            <w:r>
              <w:rPr>
                <w:rFonts w:ascii="simsun" w:hAnsi="simsun" w:cs="simsun" w:eastAsia="simsun"/>
                <w:color w:val="333333"/>
                <w:sz w:val="24"/>
                <w:shd w:fill="FFFFFF" w:val="clear"/>
              </w:rPr>
              <w:t>▲8.手机（小程序）提供数据统计图表，可选择年、月、周、日或自由选择时间段，进行接听量、来电人员、年龄、性别、职业、来电地域、来电时间、通话时长、来电信息等方面的数据统计并按需生成相应图表。</w:t>
            </w:r>
          </w:p>
          <w:p>
            <w:pPr>
              <w:pStyle w:val="null3"/>
              <w:ind w:firstLine="472"/>
              <w:jc w:val="left"/>
            </w:pPr>
            <w:r>
              <w:rPr>
                <w:rFonts w:ascii="simsun" w:hAnsi="simsun" w:cs="simsun" w:eastAsia="simsun"/>
                <w:color w:val="333333"/>
                <w:sz w:val="24"/>
                <w:shd w:fill="FFFFFF" w:val="clear"/>
              </w:rPr>
              <w:t>（八）</w:t>
            </w:r>
            <w:r>
              <w:rPr>
                <w:rFonts w:ascii="simsun" w:hAnsi="simsun" w:cs="simsun" w:eastAsia="simsun"/>
                <w:color w:val="333333"/>
                <w:sz w:val="24"/>
                <w:shd w:fill="FFFFFF" w:val="clear"/>
              </w:rPr>
              <w:t>其他配套模块</w:t>
            </w:r>
            <w:r>
              <w:rPr>
                <w:rFonts w:ascii="simsun" w:hAnsi="simsun" w:cs="simsun" w:eastAsia="simsun"/>
                <w:color w:val="333333"/>
                <w:sz w:val="24"/>
                <w:shd w:fill="FFFFFF" w:val="clear"/>
              </w:rPr>
              <w:t>参数</w:t>
            </w:r>
          </w:p>
          <w:p>
            <w:pPr>
              <w:pStyle w:val="null3"/>
              <w:ind w:firstLine="472"/>
              <w:jc w:val="left"/>
            </w:pPr>
            <w:r>
              <w:rPr>
                <w:rFonts w:ascii="simsun" w:hAnsi="simsun" w:cs="simsun" w:eastAsia="simsun"/>
                <w:color w:val="333333"/>
                <w:sz w:val="24"/>
                <w:shd w:fill="FFFFFF" w:val="clear"/>
              </w:rPr>
              <w:t>1.SIP电话机</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（1）</w:t>
            </w:r>
            <w:r>
              <w:rPr>
                <w:rFonts w:ascii="simsun" w:hAnsi="simsun" w:cs="simsun" w:eastAsia="simsun"/>
                <w:color w:val="333333"/>
                <w:sz w:val="24"/>
                <w:shd w:fill="FFFFFF" w:val="clear"/>
              </w:rPr>
              <w:t>支持IPv4&amp;IPv6；支持SIP连接模式；支持即插即用配置：支持冗余服务器，基于服务器的录音功能；支持手动配置、本地WEB页面配置；支持耳机接口（如需要使用耳麦接听电话）。</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（2）</w:t>
            </w:r>
            <w:r>
              <w:rPr>
                <w:rFonts w:ascii="simsun" w:hAnsi="simsun" w:cs="simsun" w:eastAsia="simsun"/>
                <w:color w:val="333333"/>
                <w:sz w:val="24"/>
                <w:shd w:fill="FFFFFF" w:val="clear"/>
              </w:rPr>
              <w:t>话机特性：固件统一；放置两个角度可调；支持 STUN 内网穿透；SIP 连接模式 : 代理模式、对等直连模式。</w:t>
            </w:r>
          </w:p>
          <w:p>
            <w:pPr>
              <w:pStyle w:val="null3"/>
              <w:ind w:firstLine="472"/>
              <w:jc w:val="both"/>
            </w:pPr>
            <w:r>
              <w:rPr>
                <w:rFonts w:ascii="simsun" w:hAnsi="simsun" w:cs="simsun" w:eastAsia="simsun"/>
                <w:color w:val="333333"/>
                <w:sz w:val="24"/>
                <w:shd w:fill="FFFFFF" w:val="clear"/>
              </w:rPr>
              <w:t>★</w:t>
            </w:r>
            <w:r>
              <w:rPr>
                <w:rFonts w:ascii="simsun" w:hAnsi="simsun" w:cs="simsun" w:eastAsia="simsun"/>
                <w:color w:val="333333"/>
                <w:sz w:val="24"/>
                <w:shd w:fill="FFFFFF" w:val="clear"/>
              </w:rPr>
              <w:t>（3）数量：8套。</w:t>
            </w:r>
          </w:p>
          <w:p>
            <w:pPr>
              <w:pStyle w:val="null3"/>
              <w:ind w:firstLine="472"/>
              <w:jc w:val="left"/>
            </w:pPr>
            <w:r>
              <w:rPr>
                <w:rFonts w:ascii="simsun" w:hAnsi="simsun" w:cs="simsun" w:eastAsia="simsun"/>
                <w:color w:val="333333"/>
                <w:sz w:val="24"/>
                <w:shd w:fill="FFFFFF" w:val="clear"/>
              </w:rPr>
              <w:t>2.耳机麦克风</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（1）</w:t>
            </w:r>
            <w:r>
              <w:rPr>
                <w:rFonts w:ascii="simsun" w:hAnsi="simsun" w:cs="simsun" w:eastAsia="simsun"/>
                <w:color w:val="333333"/>
                <w:sz w:val="24"/>
                <w:shd w:fill="FFFFFF" w:val="clear"/>
              </w:rPr>
              <w:t>即插即用；高清音质，宽带音频 ；降噪麦克风和被动降噪 ；符合人体工程学；≥320°可旋转麦克风杆，精准的定位在最适合的位置；耳机设计小于50g，轻便使用，适合呼叫中心长时间佩戴；海绵耳套，贴合皮肤。</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（2）</w:t>
            </w:r>
            <w:r>
              <w:rPr>
                <w:rFonts w:ascii="simsun" w:hAnsi="simsun" w:cs="simsun" w:eastAsia="simsun"/>
                <w:color w:val="333333"/>
                <w:sz w:val="24"/>
                <w:shd w:fill="FFFFFF" w:val="clear"/>
              </w:rPr>
              <w:t>耳麦参数：受话器</w:t>
            </w:r>
          </w:p>
          <w:p>
            <w:pPr>
              <w:pStyle w:val="null3"/>
              <w:ind w:firstLine="472"/>
              <w:jc w:val="left"/>
            </w:pPr>
            <w:r>
              <w:rPr>
                <w:rFonts w:ascii="simsun" w:hAnsi="simsun" w:cs="simsun" w:eastAsia="simsun"/>
                <w:color w:val="333333"/>
                <w:sz w:val="24"/>
                <w:shd w:fill="FFFFFF" w:val="clear"/>
              </w:rPr>
              <w:t>• 动圈式钕铁棚磁喇叭</w:t>
            </w:r>
          </w:p>
          <w:p>
            <w:pPr>
              <w:pStyle w:val="null3"/>
              <w:ind w:firstLine="472"/>
              <w:jc w:val="left"/>
            </w:pPr>
            <w:r>
              <w:rPr>
                <w:rFonts w:ascii="simsun" w:hAnsi="simsun" w:cs="simsun" w:eastAsia="simsun"/>
                <w:color w:val="333333"/>
                <w:sz w:val="24"/>
                <w:shd w:fill="FFFFFF" w:val="clear"/>
              </w:rPr>
              <w:t>• 频率响应:150HZ～6.8KHZ</w:t>
            </w:r>
          </w:p>
          <w:p>
            <w:pPr>
              <w:pStyle w:val="null3"/>
              <w:ind w:firstLine="472"/>
              <w:jc w:val="left"/>
            </w:pPr>
            <w:r>
              <w:rPr>
                <w:rFonts w:ascii="simsun" w:hAnsi="simsun" w:cs="simsun" w:eastAsia="simsun"/>
                <w:color w:val="333333"/>
                <w:sz w:val="24"/>
                <w:shd w:fill="FFFFFF" w:val="clear"/>
              </w:rPr>
              <w:t>• 灵敏度:105±3dB(at1KHz 1mw)</w:t>
            </w:r>
          </w:p>
          <w:p>
            <w:pPr>
              <w:pStyle w:val="null3"/>
              <w:ind w:firstLine="472"/>
              <w:jc w:val="left"/>
            </w:pPr>
            <w:r>
              <w:rPr>
                <w:rFonts w:ascii="simsun" w:hAnsi="simsun" w:cs="simsun" w:eastAsia="simsun"/>
                <w:color w:val="333333"/>
                <w:sz w:val="24"/>
                <w:shd w:fill="FFFFFF" w:val="clear"/>
              </w:rPr>
              <w:t>• 阻抗:150Ω±20%</w:t>
            </w:r>
          </w:p>
          <w:p>
            <w:pPr>
              <w:pStyle w:val="null3"/>
              <w:ind w:firstLine="472"/>
              <w:jc w:val="left"/>
            </w:pPr>
            <w:r>
              <w:rPr>
                <w:rFonts w:ascii="simsun" w:hAnsi="simsun" w:cs="simsun" w:eastAsia="simsun"/>
                <w:color w:val="333333"/>
                <w:sz w:val="24"/>
                <w:shd w:fill="FFFFFF" w:val="clear"/>
              </w:rPr>
              <w:t>• 失真度:&lt;3%；</w:t>
            </w:r>
          </w:p>
          <w:p>
            <w:pPr>
              <w:pStyle w:val="null3"/>
              <w:ind w:firstLine="472"/>
              <w:jc w:val="left"/>
            </w:pPr>
            <w:r>
              <w:rPr>
                <w:rFonts w:ascii="simsun" w:hAnsi="simsun" w:cs="simsun" w:eastAsia="simsun"/>
                <w:color w:val="333333"/>
                <w:sz w:val="24"/>
                <w:shd w:fill="FFFFFF" w:val="clear"/>
              </w:rPr>
              <w:t xml:space="preserve"> 麦克风参数：</w:t>
            </w:r>
          </w:p>
          <w:p>
            <w:pPr>
              <w:pStyle w:val="null3"/>
              <w:ind w:firstLine="472"/>
              <w:jc w:val="left"/>
            </w:pPr>
            <w:r>
              <w:rPr>
                <w:rFonts w:ascii="simsun" w:hAnsi="simsun" w:cs="simsun" w:eastAsia="simsun"/>
                <w:color w:val="333333"/>
                <w:sz w:val="24"/>
                <w:shd w:fill="FFFFFF" w:val="clear"/>
              </w:rPr>
              <w:t>• 方向性:单指向</w:t>
            </w:r>
          </w:p>
          <w:p>
            <w:pPr>
              <w:pStyle w:val="null3"/>
              <w:ind w:firstLine="472"/>
              <w:jc w:val="left"/>
            </w:pPr>
            <w:r>
              <w:rPr>
                <w:rFonts w:ascii="simsun" w:hAnsi="simsun" w:cs="simsun" w:eastAsia="simsun"/>
                <w:color w:val="333333"/>
                <w:sz w:val="24"/>
                <w:shd w:fill="FFFFFF" w:val="clear"/>
              </w:rPr>
              <w:t>• 频率范围:50HZ～3.0kHZ</w:t>
            </w:r>
          </w:p>
          <w:p>
            <w:pPr>
              <w:pStyle w:val="null3"/>
              <w:ind w:firstLine="472"/>
              <w:jc w:val="left"/>
            </w:pPr>
            <w:r>
              <w:rPr>
                <w:rFonts w:ascii="simsun" w:hAnsi="simsun" w:cs="simsun" w:eastAsia="simsun"/>
                <w:color w:val="333333"/>
                <w:sz w:val="24"/>
                <w:shd w:fill="FFFFFF" w:val="clear"/>
              </w:rPr>
              <w:t>• 灵敏度:-38±3dB</w:t>
            </w:r>
          </w:p>
          <w:p>
            <w:pPr>
              <w:pStyle w:val="null3"/>
              <w:ind w:firstLine="472"/>
              <w:jc w:val="left"/>
            </w:pPr>
            <w:r>
              <w:rPr>
                <w:rFonts w:ascii="simsun" w:hAnsi="simsun" w:cs="simsun" w:eastAsia="simsun"/>
                <w:color w:val="333333"/>
                <w:sz w:val="24"/>
                <w:shd w:fill="FFFFFF" w:val="clear"/>
              </w:rPr>
              <w:t>• 频响在300HZ以下灵敏度按一定斜率衰减，声音听起来不发闷；</w:t>
            </w:r>
          </w:p>
          <w:p>
            <w:pPr>
              <w:pStyle w:val="null3"/>
              <w:ind w:firstLine="472"/>
              <w:jc w:val="left"/>
            </w:pPr>
            <w:r>
              <w:rPr>
                <w:rFonts w:ascii="simsun" w:hAnsi="simsun" w:cs="simsun" w:eastAsia="simsun"/>
                <w:color w:val="333333"/>
                <w:sz w:val="24"/>
                <w:shd w:fill="FFFFFF" w:val="clear"/>
              </w:rPr>
              <w:t>• 频响在300HZ～1KHZ间比较平坦，1KHZ～2KHZ间灵敏度小幅度变小，2KHZ～3KHZ间灵敏度小幅度变大，根据频响曲线理论人耳在中频比较敏感，因此频响曲线在300HZ～6.8KHZ间设计。</w:t>
            </w:r>
          </w:p>
          <w:p>
            <w:pPr>
              <w:pStyle w:val="null3"/>
              <w:ind w:firstLine="472"/>
              <w:jc w:val="both"/>
            </w:pPr>
            <w:r>
              <w:rPr>
                <w:rFonts w:ascii="simsun" w:hAnsi="simsun" w:cs="simsun" w:eastAsia="simsun"/>
                <w:color w:val="333333"/>
                <w:sz w:val="24"/>
                <w:shd w:fill="FFFFFF" w:val="clear"/>
              </w:rPr>
              <w:t>★</w:t>
            </w:r>
            <w:r>
              <w:rPr>
                <w:rFonts w:ascii="simsun" w:hAnsi="simsun" w:cs="simsun" w:eastAsia="simsun"/>
                <w:color w:val="333333"/>
                <w:sz w:val="24"/>
                <w:shd w:fill="FFFFFF" w:val="clear"/>
              </w:rPr>
              <w:t>（3）数量：8套。</w:t>
            </w:r>
          </w:p>
          <w:p>
            <w:pPr>
              <w:pStyle w:val="null3"/>
              <w:ind w:firstLine="472"/>
              <w:jc w:val="left"/>
            </w:pPr>
            <w:r>
              <w:rPr>
                <w:rFonts w:ascii="simsun" w:hAnsi="simsun" w:cs="simsun" w:eastAsia="simsun"/>
                <w:color w:val="333333"/>
                <w:sz w:val="24"/>
                <w:shd w:fill="FFFFFF" w:val="clear"/>
              </w:rPr>
              <w:t>★3.</w:t>
            </w:r>
            <w:r>
              <w:rPr>
                <w:rFonts w:ascii="simsun" w:hAnsi="simsun" w:cs="simsun" w:eastAsia="simsun"/>
                <w:color w:val="333333"/>
                <w:sz w:val="24"/>
                <w:shd w:fill="FFFFFF" w:val="clear"/>
              </w:rPr>
              <w:t>心理援助热线数据分析主机</w:t>
            </w:r>
            <w:r>
              <w:rPr>
                <w:rFonts w:ascii="simsun" w:hAnsi="simsun" w:cs="simsun" w:eastAsia="simsun"/>
                <w:color w:val="333333"/>
                <w:sz w:val="24"/>
                <w:shd w:fill="FFFFFF" w:val="clear"/>
              </w:rPr>
              <w:t>（</w:t>
            </w:r>
            <w:r>
              <w:rPr>
                <w:rFonts w:ascii="simsun" w:hAnsi="simsun" w:cs="simsun" w:eastAsia="simsun"/>
                <w:color w:val="333333"/>
                <w:sz w:val="24"/>
                <w:shd w:fill="FFFFFF" w:val="clear"/>
              </w:rPr>
              <w:t>8套</w:t>
            </w:r>
            <w:r>
              <w:rPr>
                <w:rFonts w:ascii="simsun" w:hAnsi="simsun" w:cs="simsun" w:eastAsia="simsun"/>
                <w:color w:val="333333"/>
                <w:sz w:val="24"/>
                <w:shd w:fill="FFFFFF" w:val="clear"/>
              </w:rPr>
              <w:t>）</w:t>
            </w:r>
          </w:p>
          <w:p>
            <w:pPr>
              <w:pStyle w:val="null3"/>
              <w:ind w:firstLine="472"/>
              <w:jc w:val="left"/>
            </w:pPr>
            <w:r>
              <w:rPr>
                <w:rFonts w:ascii="simsun" w:hAnsi="simsun" w:cs="simsun" w:eastAsia="simsun"/>
                <w:color w:val="333333"/>
                <w:sz w:val="24"/>
                <w:shd w:fill="FFFFFF" w:val="clear"/>
              </w:rPr>
              <w:t>CPU：</w:t>
            </w:r>
            <w:r>
              <w:rPr>
                <w:rFonts w:ascii="宋体" w:hAnsi="宋体" w:cs="宋体" w:eastAsia="宋体"/>
                <w:color w:val="333333"/>
                <w:sz w:val="24"/>
                <w:shd w:fill="FFFFFF" w:val="clear"/>
              </w:rPr>
              <w:t>≥4</w:t>
            </w:r>
            <w:r>
              <w:rPr>
                <w:rFonts w:ascii="宋体" w:hAnsi="宋体" w:cs="宋体" w:eastAsia="宋体"/>
                <w:color w:val="333333"/>
                <w:sz w:val="24"/>
                <w:shd w:fill="FFFFFF" w:val="clear"/>
              </w:rPr>
              <w:t>核、</w:t>
            </w:r>
            <w:r>
              <w:rPr>
                <w:rFonts w:ascii="宋体" w:hAnsi="宋体" w:cs="宋体" w:eastAsia="宋体"/>
                <w:color w:val="333333"/>
                <w:sz w:val="24"/>
                <w:shd w:fill="FFFFFF" w:val="clear"/>
              </w:rPr>
              <w:t>基础主频</w:t>
            </w:r>
            <w:r>
              <w:rPr>
                <w:rFonts w:ascii="宋体" w:hAnsi="宋体" w:cs="宋体" w:eastAsia="宋体"/>
                <w:color w:val="333333"/>
                <w:sz w:val="24"/>
                <w:shd w:fill="FFFFFF" w:val="clear"/>
              </w:rPr>
              <w:t>≥2.3Ghz</w:t>
            </w:r>
            <w:r>
              <w:rPr>
                <w:rFonts w:ascii="宋体" w:hAnsi="宋体" w:cs="宋体" w:eastAsia="宋体"/>
                <w:color w:val="333333"/>
                <w:sz w:val="24"/>
                <w:shd w:fill="FFFFFF" w:val="clear"/>
              </w:rPr>
              <w:t>。</w:t>
            </w:r>
            <w:r>
              <w:rPr>
                <w:rFonts w:ascii="simsun" w:hAnsi="simsun" w:cs="simsun" w:eastAsia="simsun"/>
                <w:color w:val="333333"/>
                <w:sz w:val="24"/>
                <w:shd w:fill="FFFFFF" w:val="clear"/>
              </w:rPr>
              <w:t>；</w:t>
            </w:r>
          </w:p>
          <w:p>
            <w:pPr>
              <w:pStyle w:val="null3"/>
              <w:ind w:firstLine="472"/>
              <w:jc w:val="left"/>
            </w:pPr>
            <w:r>
              <w:rPr>
                <w:rFonts w:ascii="simsun" w:hAnsi="simsun" w:cs="simsun" w:eastAsia="simsun"/>
                <w:color w:val="333333"/>
                <w:sz w:val="24"/>
                <w:shd w:fill="FFFFFF" w:val="clear"/>
              </w:rPr>
              <w:t>内存：8G内存，内存最大支持容量32GB</w:t>
            </w:r>
            <w:r>
              <w:rPr>
                <w:rFonts w:ascii="simsun" w:hAnsi="simsun" w:cs="simsun" w:eastAsia="simsun"/>
                <w:color w:val="333333"/>
                <w:sz w:val="24"/>
                <w:shd w:fill="FFFFFF" w:val="clear"/>
              </w:rPr>
              <w:t>；</w:t>
            </w:r>
          </w:p>
          <w:p>
            <w:pPr>
              <w:pStyle w:val="null3"/>
              <w:ind w:firstLine="472"/>
              <w:jc w:val="left"/>
            </w:pPr>
            <w:r>
              <w:rPr>
                <w:rFonts w:ascii="simsun" w:hAnsi="simsun" w:cs="simsun" w:eastAsia="simsun"/>
                <w:color w:val="333333"/>
                <w:sz w:val="24"/>
                <w:shd w:fill="FFFFFF" w:val="clear"/>
              </w:rPr>
              <w:t>USB接口数：USB2.0 ≥2个，USB3.0≥ 4个，RJ45</w:t>
            </w:r>
            <w:r>
              <w:rPr>
                <w:rFonts w:ascii="simsun" w:hAnsi="simsun" w:cs="simsun" w:eastAsia="simsun"/>
                <w:color w:val="333333"/>
                <w:sz w:val="24"/>
                <w:shd w:fill="FFFFFF" w:val="clear"/>
              </w:rPr>
              <w:t>：</w:t>
            </w:r>
            <w:r>
              <w:rPr>
                <w:rFonts w:ascii="simsun" w:hAnsi="simsun" w:cs="simsun" w:eastAsia="simsun"/>
                <w:color w:val="333333"/>
                <w:sz w:val="24"/>
                <w:shd w:fill="FFFFFF" w:val="clear"/>
              </w:rPr>
              <w:t>1个，COM口：1个</w:t>
            </w:r>
            <w:r>
              <w:rPr>
                <w:rFonts w:ascii="simsun" w:hAnsi="simsun" w:cs="simsun" w:eastAsia="simsun"/>
                <w:color w:val="333333"/>
                <w:sz w:val="24"/>
                <w:shd w:fill="FFFFFF" w:val="clear"/>
              </w:rPr>
              <w:t>；</w:t>
            </w:r>
          </w:p>
          <w:p>
            <w:pPr>
              <w:pStyle w:val="null3"/>
              <w:ind w:firstLine="472"/>
              <w:jc w:val="left"/>
            </w:pPr>
            <w:r>
              <w:rPr>
                <w:rFonts w:ascii="simsun" w:hAnsi="simsun" w:cs="simsun" w:eastAsia="simsun"/>
                <w:color w:val="333333"/>
                <w:sz w:val="24"/>
                <w:shd w:fill="FFFFFF" w:val="clear"/>
              </w:rPr>
              <w:t>硬盘：</w:t>
            </w:r>
            <w:r>
              <w:rPr>
                <w:rFonts w:ascii="simsun" w:hAnsi="simsun" w:cs="simsun" w:eastAsia="simsun"/>
                <w:color w:val="333333"/>
                <w:sz w:val="24"/>
                <w:shd w:fill="FFFFFF" w:val="clear"/>
              </w:rPr>
              <w:t>≥</w:t>
            </w:r>
            <w:r>
              <w:rPr>
                <w:rFonts w:ascii="simsun" w:hAnsi="simsun" w:cs="simsun" w:eastAsia="simsun"/>
                <w:color w:val="333333"/>
                <w:sz w:val="24"/>
                <w:shd w:fill="FFFFFF" w:val="clear"/>
              </w:rPr>
              <w:t xml:space="preserve">512GB </w:t>
            </w:r>
            <w:r>
              <w:rPr>
                <w:rFonts w:ascii="simsun" w:hAnsi="simsun" w:cs="simsun" w:eastAsia="simsun"/>
                <w:color w:val="333333"/>
                <w:sz w:val="24"/>
                <w:shd w:fill="FFFFFF" w:val="clear"/>
              </w:rPr>
              <w:t>；</w:t>
            </w:r>
          </w:p>
          <w:p>
            <w:pPr>
              <w:pStyle w:val="null3"/>
              <w:ind w:firstLine="472"/>
              <w:jc w:val="left"/>
            </w:pPr>
            <w:r>
              <w:rPr>
                <w:rFonts w:ascii="simsun" w:hAnsi="simsun" w:cs="simsun" w:eastAsia="simsun"/>
                <w:color w:val="333333"/>
                <w:sz w:val="24"/>
                <w:shd w:fill="FFFFFF" w:val="clear"/>
              </w:rPr>
              <w:t>SSD 硬盘</w:t>
            </w:r>
            <w:r>
              <w:rPr>
                <w:rFonts w:ascii="simsun" w:hAnsi="simsun" w:cs="simsun" w:eastAsia="simsun"/>
                <w:color w:val="333333"/>
                <w:sz w:val="24"/>
                <w:shd w:fill="FFFFFF" w:val="clear"/>
              </w:rPr>
              <w:t>；</w:t>
            </w:r>
          </w:p>
          <w:p>
            <w:pPr>
              <w:pStyle w:val="null3"/>
              <w:ind w:firstLine="472"/>
              <w:jc w:val="left"/>
            </w:pPr>
            <w:r>
              <w:rPr>
                <w:rFonts w:ascii="simsun" w:hAnsi="simsun" w:cs="simsun" w:eastAsia="simsun"/>
                <w:color w:val="333333"/>
                <w:sz w:val="24"/>
                <w:shd w:fill="FFFFFF" w:val="clear"/>
              </w:rPr>
              <w:t>屏幕尺寸≥23.8英寸</w:t>
            </w:r>
            <w:r>
              <w:rPr>
                <w:rFonts w:ascii="simsun" w:hAnsi="simsun" w:cs="simsun" w:eastAsia="simsun"/>
                <w:color w:val="333333"/>
                <w:sz w:val="24"/>
                <w:shd w:fill="FFFFFF" w:val="clear"/>
              </w:rPr>
              <w:t>；</w:t>
            </w:r>
          </w:p>
          <w:p>
            <w:pPr>
              <w:pStyle w:val="null3"/>
              <w:ind w:firstLine="472"/>
              <w:jc w:val="left"/>
            </w:pPr>
            <w:r>
              <w:rPr>
                <w:rFonts w:ascii="simsun" w:hAnsi="simsun" w:cs="simsun" w:eastAsia="simsun"/>
                <w:color w:val="333333"/>
                <w:sz w:val="24"/>
                <w:shd w:fill="FFFFFF" w:val="clear"/>
              </w:rPr>
              <w:t>操作系统：正版操作系统，支持心理援助热线信息系统运行</w:t>
            </w:r>
            <w:r>
              <w:rPr>
                <w:rFonts w:ascii="simsun" w:hAnsi="simsun" w:cs="simsun" w:eastAsia="simsun"/>
                <w:color w:val="333333"/>
                <w:sz w:val="24"/>
                <w:shd w:fill="FFFFFF" w:val="clear"/>
              </w:rPr>
              <w:t>；</w:t>
            </w:r>
          </w:p>
          <w:p>
            <w:pPr>
              <w:pStyle w:val="null3"/>
              <w:ind w:firstLine="472"/>
              <w:jc w:val="left"/>
            </w:pPr>
            <w:r>
              <w:rPr>
                <w:rFonts w:ascii="simsun" w:hAnsi="simsun" w:cs="simsun" w:eastAsia="simsun"/>
                <w:color w:val="333333"/>
                <w:sz w:val="24"/>
                <w:shd w:fill="FFFFFF" w:val="clear"/>
              </w:rPr>
              <w:t>需与项目中SIP电话机及耳机麦克风适配</w:t>
            </w:r>
            <w:r>
              <w:rPr>
                <w:rFonts w:ascii="simsun" w:hAnsi="simsun" w:cs="simsun" w:eastAsia="simsun"/>
                <w:color w:val="333333"/>
                <w:sz w:val="24"/>
                <w:shd w:fill="FFFFFF" w:val="clear"/>
              </w:rPr>
              <w:t>。</w:t>
            </w:r>
          </w:p>
          <w:p>
            <w:pPr>
              <w:pStyle w:val="null3"/>
              <w:ind w:firstLine="472"/>
              <w:jc w:val="left"/>
            </w:pPr>
            <w:r>
              <w:rPr>
                <w:rFonts w:ascii="simsun" w:hAnsi="simsun" w:cs="simsun" w:eastAsia="simsun"/>
                <w:color w:val="333333"/>
                <w:sz w:val="24"/>
                <w:shd w:fill="FFFFFF" w:val="clear"/>
              </w:rPr>
              <w:t>★4.心理援助热线定制化配套服务设施</w:t>
            </w:r>
          </w:p>
          <w:p>
            <w:pPr>
              <w:pStyle w:val="null3"/>
              <w:ind w:firstLine="472"/>
              <w:jc w:val="left"/>
            </w:pPr>
            <w:r>
              <w:rPr>
                <w:rFonts w:ascii="simsun" w:hAnsi="simsun" w:cs="simsun" w:eastAsia="simsun"/>
                <w:color w:val="333333"/>
                <w:sz w:val="24"/>
                <w:shd w:fill="FFFFFF" w:val="clear"/>
              </w:rPr>
              <w:t>（1）定制座位</w:t>
            </w:r>
          </w:p>
          <w:p>
            <w:pPr>
              <w:pStyle w:val="null3"/>
              <w:ind w:firstLine="472"/>
              <w:jc w:val="left"/>
            </w:pPr>
            <w:r>
              <w:rPr>
                <w:rFonts w:ascii="simsun" w:hAnsi="simsun" w:cs="simsun" w:eastAsia="simsun"/>
                <w:color w:val="333333"/>
                <w:sz w:val="24"/>
                <w:shd w:fill="FFFFFF" w:val="clear"/>
              </w:rPr>
              <w:t>规格：575*560*940mm(±50mm)。</w:t>
            </w:r>
          </w:p>
          <w:p>
            <w:pPr>
              <w:pStyle w:val="null3"/>
              <w:ind w:firstLine="472"/>
              <w:jc w:val="left"/>
            </w:pPr>
            <w:r>
              <w:rPr>
                <w:rFonts w:ascii="simsun" w:hAnsi="simsun" w:cs="simsun" w:eastAsia="simsun"/>
                <w:color w:val="333333"/>
                <w:sz w:val="24"/>
                <w:shd w:fill="FFFFFF" w:val="clear"/>
              </w:rPr>
              <w:t>材质：</w:t>
            </w:r>
            <w:r>
              <w:rPr>
                <w:rFonts w:ascii="simsun" w:hAnsi="simsun" w:cs="simsun" w:eastAsia="simsun"/>
                <w:color w:val="333333"/>
                <w:sz w:val="24"/>
                <w:shd w:fill="FFFFFF" w:val="clear"/>
              </w:rPr>
              <w:t>A.面料：椅背、椅座采用网布饰面；B.钢架：五星脚架，钢架壁厚≥1.5mm；C.海绵：弹性好，不变形；D.五金：连接牢固，永不生锈；E.座位颜色：座位面网格布颜色白色、坐垫颜色白色，座位其余部分颜色黑色。</w:t>
            </w:r>
          </w:p>
          <w:p>
            <w:pPr>
              <w:pStyle w:val="null3"/>
              <w:ind w:firstLine="472"/>
              <w:jc w:val="left"/>
            </w:pPr>
            <w:r>
              <w:rPr>
                <w:rFonts w:ascii="simsun" w:hAnsi="simsun" w:cs="simsun" w:eastAsia="simsun"/>
                <w:color w:val="333333"/>
                <w:sz w:val="24"/>
                <w:shd w:fill="FFFFFF" w:val="clear"/>
              </w:rPr>
              <w:t>数量：8，单位：把。</w:t>
            </w:r>
          </w:p>
          <w:p>
            <w:pPr>
              <w:pStyle w:val="null3"/>
              <w:ind w:firstLine="472"/>
              <w:jc w:val="left"/>
            </w:pPr>
            <w:r>
              <w:rPr>
                <w:rFonts w:ascii="simsun" w:hAnsi="simsun" w:cs="simsun" w:eastAsia="simsun"/>
                <w:color w:val="333333"/>
                <w:sz w:val="24"/>
                <w:shd w:fill="FFFFFF" w:val="clear"/>
              </w:rPr>
              <w:t>（2）定制工作台</w:t>
            </w:r>
          </w:p>
          <w:p>
            <w:pPr>
              <w:pStyle w:val="null3"/>
              <w:ind w:firstLine="472"/>
              <w:jc w:val="left"/>
            </w:pPr>
            <w:r>
              <w:rPr>
                <w:rFonts w:ascii="simsun" w:hAnsi="simsun" w:cs="simsun" w:eastAsia="simsun"/>
                <w:color w:val="333333"/>
                <w:sz w:val="24"/>
                <w:shd w:fill="FFFFFF" w:val="clear"/>
              </w:rPr>
              <w:t>规格：长4500*宽600*高760mm（±5％）。</w:t>
            </w:r>
          </w:p>
          <w:p>
            <w:pPr>
              <w:pStyle w:val="null3"/>
              <w:ind w:firstLine="472"/>
              <w:jc w:val="left"/>
            </w:pPr>
            <w:r>
              <w:rPr>
                <w:rFonts w:ascii="simsun" w:hAnsi="simsun" w:cs="simsun" w:eastAsia="simsun"/>
                <w:color w:val="333333"/>
                <w:sz w:val="24"/>
                <w:shd w:fill="FFFFFF" w:val="clear"/>
              </w:rPr>
              <w:t>材质：A.基材：采用中密度纤维板；B.工作台颜色：白色；C.封边：采用实木封边；E.五金件：连接牢固，永不生锈。</w:t>
            </w:r>
          </w:p>
          <w:p>
            <w:pPr>
              <w:pStyle w:val="null3"/>
              <w:ind w:firstLine="472"/>
              <w:jc w:val="left"/>
            </w:pPr>
            <w:r>
              <w:rPr>
                <w:rFonts w:ascii="simsun" w:hAnsi="simsun" w:cs="simsun" w:eastAsia="simsun"/>
                <w:color w:val="333333"/>
                <w:sz w:val="24"/>
                <w:shd w:fill="FFFFFF" w:val="clear"/>
              </w:rPr>
              <w:t>数量：2，单位：张，含8个工位。</w:t>
            </w:r>
          </w:p>
          <w:p>
            <w:pPr>
              <w:pStyle w:val="null3"/>
              <w:ind w:firstLine="472"/>
              <w:jc w:val="left"/>
            </w:pPr>
            <w:r>
              <w:rPr>
                <w:rFonts w:ascii="simsun" w:hAnsi="simsun" w:cs="simsun" w:eastAsia="simsun"/>
                <w:color w:val="333333"/>
                <w:sz w:val="24"/>
                <w:shd w:fill="FFFFFF" w:val="clear"/>
              </w:rPr>
              <w:t>（3）配套服务设施定制标识，标识字样、风格、样式、颜色等需提前进行沟通确认。</w:t>
            </w:r>
          </w:p>
          <w:p>
            <w:pPr>
              <w:pStyle w:val="null3"/>
              <w:ind w:firstLine="472"/>
              <w:jc w:val="both"/>
            </w:pPr>
            <w:r>
              <w:rPr>
                <w:rFonts w:ascii="simsun" w:hAnsi="simsun" w:cs="simsun" w:eastAsia="simsun"/>
                <w:color w:val="333333"/>
                <w:sz w:val="24"/>
                <w:shd w:fill="FFFFFF" w:val="clear"/>
              </w:rPr>
              <w:t>（4）配套服务设施定制在交付前需提前进行沟通确认。</w:t>
            </w:r>
          </w:p>
          <w:p>
            <w:pPr>
              <w:pStyle w:val="null3"/>
              <w:ind w:firstLine="472"/>
              <w:jc w:val="both"/>
            </w:pPr>
            <w:r>
              <w:rPr>
                <w:rFonts w:ascii="simsun" w:hAnsi="simsun" w:cs="simsun" w:eastAsia="simsun"/>
                <w:sz w:val="24"/>
              </w:rPr>
              <w:t>参考样式：</w:t>
            </w:r>
          </w:p>
          <w:p>
            <w:pPr>
              <w:pStyle w:val="null3"/>
              <w:ind w:firstLine="472"/>
              <w:jc w:val="both"/>
            </w:pPr>
            <w:r>
              <w:drawing>
                <wp:inline distT="0" distR="0" distB="0" distL="0">
                  <wp:extent cx="2236470" cy="149098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2236470" cy="1490980"/>
                          </a:xfrm>
                          <a:prstGeom prst="rect">
                            <a:avLst/>
                          </a:prstGeom>
                        </pic:spPr>
                      </pic:pic>
                    </a:graphicData>
                  </a:graphic>
                </wp:inline>
              </w:drawing>
            </w:r>
          </w:p>
          <w:p>
            <w:pPr>
              <w:pStyle w:val="null3"/>
              <w:ind w:firstLine="472"/>
              <w:jc w:val="both"/>
            </w:pPr>
            <w:r>
              <w:drawing>
                <wp:inline distT="0" distR="0" distB="0" distL="0">
                  <wp:extent cx="2236470" cy="1490980"/>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2236470" cy="1490980"/>
                          </a:xfrm>
                          <a:prstGeom prst="rect">
                            <a:avLst/>
                          </a:prstGeom>
                        </pic:spPr>
                      </pic:pic>
                    </a:graphicData>
                  </a:graphic>
                </wp:inline>
              </w:drawing>
            </w:r>
          </w:p>
          <w:p>
            <w:pPr>
              <w:pStyle w:val="null3"/>
              <w:ind w:firstLine="472"/>
              <w:jc w:val="both"/>
            </w:pPr>
            <w:r>
              <w:rPr>
                <w:rFonts w:ascii="simsun" w:hAnsi="simsun" w:cs="simsun" w:eastAsia="simsun"/>
                <w:color w:val="333333"/>
                <w:sz w:val="24"/>
                <w:shd w:fill="FFFFFF" w:val="clear"/>
              </w:rPr>
              <w:t>5</w:t>
            </w:r>
            <w:r>
              <w:rPr>
                <w:rFonts w:ascii="simsun" w:hAnsi="simsun" w:cs="simsun" w:eastAsia="simsun"/>
                <w:color w:val="333333"/>
                <w:sz w:val="24"/>
                <w:shd w:fill="FFFFFF" w:val="clear"/>
              </w:rPr>
              <w:t>.</w:t>
            </w:r>
            <w:r>
              <w:rPr>
                <w:rFonts w:ascii="simsun" w:hAnsi="simsun" w:cs="simsun" w:eastAsia="simsun"/>
                <w:color w:val="333333"/>
                <w:sz w:val="24"/>
                <w:shd w:fill="FFFFFF" w:val="clear"/>
              </w:rPr>
              <w:t>心理援助热线数据显示模块</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（1）显示终端采用大数据图表和地图的形式对当前系统中的数据从多个维度进行呈现</w:t>
            </w:r>
            <w:r>
              <w:rPr>
                <w:rFonts w:ascii="simsun" w:hAnsi="simsun" w:cs="simsun" w:eastAsia="simsun"/>
                <w:color w:val="333333"/>
                <w:sz w:val="24"/>
                <w:shd w:fill="FFFFFF" w:val="clear"/>
              </w:rPr>
              <w:t>；</w:t>
            </w:r>
            <w:r>
              <w:rPr>
                <w:rFonts w:ascii="simsun" w:hAnsi="simsun" w:cs="simsun" w:eastAsia="simsun"/>
                <w:color w:val="333333"/>
                <w:sz w:val="24"/>
                <w:shd w:fill="FFFFFF" w:val="clear"/>
              </w:rPr>
              <w:t>显示终端支持动态配置，可以通过拖动和选择的方式，动态配置图表的位置以及呈现所需图表</w:t>
            </w:r>
            <w:r>
              <w:rPr>
                <w:rFonts w:ascii="simsun" w:hAnsi="simsun" w:cs="simsun" w:eastAsia="simsun"/>
                <w:color w:val="333333"/>
                <w:sz w:val="24"/>
                <w:shd w:fill="FFFFFF" w:val="clear"/>
              </w:rPr>
              <w:t>；</w:t>
            </w:r>
            <w:r>
              <w:rPr>
                <w:rFonts w:ascii="simsun" w:hAnsi="simsun" w:cs="simsun" w:eastAsia="simsun"/>
                <w:color w:val="333333"/>
                <w:sz w:val="24"/>
                <w:shd w:fill="FFFFFF" w:val="clear"/>
              </w:rPr>
              <w:t>支持点击地图某区域，将所有数据分析的图表指向该区域数据显示。</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w:t>
            </w:r>
            <w:r>
              <w:rPr>
                <w:rFonts w:ascii="simsun" w:hAnsi="simsun" w:cs="simsun" w:eastAsia="simsun"/>
                <w:color w:val="333333"/>
                <w:sz w:val="24"/>
                <w:shd w:fill="FFFFFF" w:val="clear"/>
              </w:rPr>
              <w:t>2</w:t>
            </w:r>
            <w:r>
              <w:rPr>
                <w:rFonts w:ascii="simsun" w:hAnsi="simsun" w:cs="simsun" w:eastAsia="simsun"/>
                <w:color w:val="333333"/>
                <w:sz w:val="24"/>
                <w:shd w:fill="FFFFFF" w:val="clear"/>
              </w:rPr>
              <w:t>）显示终端规格：4.</w:t>
            </w:r>
            <w:r>
              <w:rPr>
                <w:rFonts w:ascii="simsun" w:hAnsi="simsun" w:cs="simsun" w:eastAsia="simsun"/>
                <w:color w:val="333333"/>
                <w:sz w:val="24"/>
                <w:shd w:fill="FFFFFF" w:val="clear"/>
              </w:rPr>
              <w:t>55（±5cm）</w:t>
            </w:r>
            <w:r>
              <w:rPr>
                <w:rFonts w:ascii="simsun" w:hAnsi="simsun" w:cs="simsun" w:eastAsia="simsun"/>
                <w:color w:val="333333"/>
                <w:sz w:val="24"/>
                <w:shd w:fill="FFFFFF" w:val="clear"/>
              </w:rPr>
              <w:t>*1.</w:t>
            </w:r>
            <w:r>
              <w:rPr>
                <w:rFonts w:ascii="simsun" w:hAnsi="simsun" w:cs="simsun" w:eastAsia="simsun"/>
                <w:color w:val="333333"/>
                <w:sz w:val="24"/>
                <w:shd w:fill="FFFFFF" w:val="clear"/>
              </w:rPr>
              <w:t>85（±5cm）</w:t>
            </w:r>
            <w:r>
              <w:rPr>
                <w:rFonts w:ascii="simsun" w:hAnsi="simsun" w:cs="simsun" w:eastAsia="simsun"/>
                <w:color w:val="333333"/>
                <w:sz w:val="24"/>
                <w:shd w:fill="FFFFFF" w:val="clear"/>
              </w:rPr>
              <w:t>米。支持分屏显示。</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w:t>
            </w:r>
            <w:r>
              <w:rPr>
                <w:rFonts w:ascii="simsun" w:hAnsi="simsun" w:cs="simsun" w:eastAsia="simsun"/>
                <w:color w:val="333333"/>
                <w:sz w:val="24"/>
                <w:shd w:fill="FFFFFF" w:val="clear"/>
              </w:rPr>
              <w:t>3</w:t>
            </w:r>
            <w:r>
              <w:rPr>
                <w:rFonts w:ascii="simsun" w:hAnsi="simsun" w:cs="simsun" w:eastAsia="simsun"/>
                <w:color w:val="333333"/>
                <w:sz w:val="24"/>
                <w:shd w:fill="FFFFFF" w:val="clear"/>
              </w:rPr>
              <w:t>）清晰度：①像素点间距≤1.54mm，像素密度：422500Dots/㎡，像素构成：1R1G1B，单元板分辨率：21632Dots； ②亮度≥450Cd/㎡，亮度均匀性：≥95%；</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w:t>
            </w:r>
            <w:r>
              <w:rPr>
                <w:rFonts w:ascii="simsun" w:hAnsi="simsun" w:cs="simsun" w:eastAsia="simsun"/>
                <w:color w:val="333333"/>
                <w:sz w:val="24"/>
                <w:shd w:fill="FFFFFF" w:val="clear"/>
              </w:rPr>
              <w:t>4</w:t>
            </w:r>
            <w:r>
              <w:rPr>
                <w:rFonts w:ascii="simsun" w:hAnsi="simsun" w:cs="simsun" w:eastAsia="simsun"/>
                <w:color w:val="333333"/>
                <w:sz w:val="24"/>
                <w:shd w:fill="FFFFFF" w:val="clear"/>
              </w:rPr>
              <w:t>）接收卡</w:t>
            </w:r>
            <w:r>
              <w:rPr>
                <w:rFonts w:ascii="simsun" w:hAnsi="simsun" w:cs="simsun" w:eastAsia="simsun"/>
                <w:color w:val="333333"/>
                <w:sz w:val="24"/>
                <w:shd w:fill="FFFFFF" w:val="clear"/>
              </w:rPr>
              <w:t>适配控制终端；</w:t>
            </w:r>
            <w:r>
              <w:rPr>
                <w:rFonts w:ascii="simsun" w:hAnsi="simsun" w:cs="simsun" w:eastAsia="simsun"/>
                <w:color w:val="333333"/>
                <w:sz w:val="24"/>
                <w:shd w:fill="FFFFFF" w:val="clear"/>
              </w:rPr>
              <w:t>支持 8bit 视频源输入</w:t>
            </w:r>
            <w:r>
              <w:rPr>
                <w:rFonts w:ascii="simsun" w:hAnsi="simsun" w:cs="simsun" w:eastAsia="simsun"/>
                <w:color w:val="333333"/>
                <w:sz w:val="24"/>
                <w:shd w:fill="FFFFFF" w:val="clear"/>
              </w:rPr>
              <w:t>；</w:t>
            </w:r>
            <w:r>
              <w:rPr>
                <w:rFonts w:ascii="simsun" w:hAnsi="simsun" w:cs="simsun" w:eastAsia="simsun"/>
                <w:color w:val="333333"/>
                <w:sz w:val="24"/>
                <w:shd w:fill="FFFFFF" w:val="clear"/>
              </w:rPr>
              <w:t>支持色域调整功能，可根据视频源、图像所采用的色彩空间选择对应的输出方式，使显示屏的色彩呈现更精准，可解决因显示屏色域差异而导致的颜色失真问题。</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w:t>
            </w:r>
            <w:r>
              <w:rPr>
                <w:rFonts w:ascii="simsun" w:hAnsi="simsun" w:cs="simsun" w:eastAsia="simsun"/>
                <w:color w:val="333333"/>
                <w:sz w:val="24"/>
                <w:shd w:fill="FFFFFF" w:val="clear"/>
              </w:rPr>
              <w:t>5</w:t>
            </w:r>
            <w:r>
              <w:rPr>
                <w:rFonts w:ascii="simsun" w:hAnsi="simsun" w:cs="simsun" w:eastAsia="simsun"/>
                <w:color w:val="333333"/>
                <w:sz w:val="24"/>
                <w:shd w:fill="FFFFFF" w:val="clear"/>
              </w:rPr>
              <w:t>）户内屏体结构 ：矩管定制，不锈钢包边，边框宽度≤5CM</w:t>
            </w:r>
            <w:r>
              <w:rPr>
                <w:rFonts w:ascii="simsun" w:hAnsi="simsun" w:cs="simsun" w:eastAsia="simsun"/>
                <w:color w:val="333333"/>
                <w:sz w:val="24"/>
                <w:shd w:fill="FFFFFF" w:val="clear"/>
              </w:rPr>
              <w:t>。</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w:t>
            </w:r>
            <w:r>
              <w:rPr>
                <w:rFonts w:ascii="simsun" w:hAnsi="simsun" w:cs="simsun" w:eastAsia="simsun"/>
                <w:color w:val="333333"/>
                <w:sz w:val="24"/>
                <w:shd w:fill="FFFFFF" w:val="clear"/>
              </w:rPr>
              <w:t>6</w:t>
            </w:r>
            <w:r>
              <w:rPr>
                <w:rFonts w:ascii="simsun" w:hAnsi="simsun" w:cs="simsun" w:eastAsia="simsun"/>
                <w:color w:val="333333"/>
                <w:sz w:val="24"/>
                <w:shd w:fill="FFFFFF" w:val="clear"/>
              </w:rPr>
              <w:t>）功放</w:t>
            </w:r>
            <w:r>
              <w:rPr>
                <w:rFonts w:ascii="simsun" w:hAnsi="simsun" w:cs="simsun" w:eastAsia="simsun"/>
                <w:color w:val="333333"/>
                <w:sz w:val="24"/>
                <w:shd w:fill="FFFFFF" w:val="clear"/>
              </w:rPr>
              <w:t>及音响：</w:t>
            </w:r>
            <w:r>
              <w:rPr>
                <w:rFonts w:ascii="simsun" w:hAnsi="simsun" w:cs="simsun" w:eastAsia="simsun"/>
                <w:color w:val="333333"/>
                <w:sz w:val="24"/>
                <w:shd w:fill="FFFFFF" w:val="clear"/>
              </w:rPr>
              <w:t>支持两个话筒输入口，三个辅助输入口，一个辅助输出口；支持 4-16Ω定阻（平衡，不接地）输出； 自带 6 分区选择器，每分区音量单独可调并输出电平指示；有默音功能,便于插入优先广播；  支持各通道独立音量控制，支持高音和低音音调控制；吸顶音箱</w:t>
            </w:r>
            <w:r>
              <w:rPr>
                <w:rFonts w:ascii="simsun" w:hAnsi="simsun" w:cs="simsun" w:eastAsia="simsun"/>
                <w:color w:val="333333"/>
                <w:sz w:val="24"/>
                <w:shd w:fill="FFFFFF" w:val="clear"/>
              </w:rPr>
              <w:t>：</w:t>
            </w:r>
            <w:r>
              <w:rPr>
                <w:rFonts w:ascii="simsun" w:hAnsi="simsun" w:cs="simsun" w:eastAsia="simsun"/>
                <w:color w:val="333333"/>
                <w:sz w:val="24"/>
                <w:shd w:fill="FFFFFF" w:val="clear"/>
              </w:rPr>
              <w:t xml:space="preserve"> 灵敏度(1m,1W)：92dB±2dB </w:t>
            </w:r>
            <w:r>
              <w:rPr>
                <w:rFonts w:ascii="simsun" w:hAnsi="simsun" w:cs="simsun" w:eastAsia="simsun"/>
                <w:color w:val="333333"/>
                <w:sz w:val="24"/>
                <w:shd w:fill="FFFFFF" w:val="clear"/>
              </w:rPr>
              <w:t>；</w:t>
            </w:r>
            <w:r>
              <w:rPr>
                <w:rFonts w:ascii="simsun" w:hAnsi="simsun" w:cs="simsun" w:eastAsia="simsun"/>
                <w:color w:val="333333"/>
                <w:sz w:val="24"/>
                <w:shd w:fill="FFFFFF" w:val="clear"/>
              </w:rPr>
              <w:t xml:space="preserve"> 最大声压级(1m)：100dB±2dB </w:t>
            </w:r>
            <w:r>
              <w:rPr>
                <w:rFonts w:ascii="simsun" w:hAnsi="simsun" w:cs="simsun" w:eastAsia="simsun"/>
                <w:color w:val="333333"/>
                <w:sz w:val="24"/>
                <w:shd w:fill="FFFFFF" w:val="clear"/>
              </w:rPr>
              <w:t>；</w:t>
            </w:r>
            <w:r>
              <w:rPr>
                <w:rFonts w:ascii="simsun" w:hAnsi="simsun" w:cs="simsun" w:eastAsia="simsun"/>
                <w:color w:val="333333"/>
                <w:sz w:val="24"/>
                <w:shd w:fill="FFFFFF" w:val="clear"/>
              </w:rPr>
              <w:t xml:space="preserve"> 频率响应：140-16,000Hz</w:t>
            </w:r>
            <w:r>
              <w:rPr>
                <w:rFonts w:ascii="simsun" w:hAnsi="simsun" w:cs="simsun" w:eastAsia="simsun"/>
                <w:color w:val="333333"/>
                <w:sz w:val="24"/>
                <w:shd w:fill="FFFFFF" w:val="clear"/>
              </w:rPr>
              <w:t>。</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w:t>
            </w:r>
            <w:r>
              <w:rPr>
                <w:rFonts w:ascii="simsun" w:hAnsi="simsun" w:cs="simsun" w:eastAsia="simsun"/>
                <w:color w:val="333333"/>
                <w:sz w:val="24"/>
                <w:shd w:fill="FFFFFF" w:val="clear"/>
              </w:rPr>
              <w:t>7</w:t>
            </w:r>
            <w:r>
              <w:rPr>
                <w:rFonts w:ascii="simsun" w:hAnsi="simsun" w:cs="simsun" w:eastAsia="simsun"/>
                <w:color w:val="333333"/>
                <w:sz w:val="24"/>
                <w:shd w:fill="FFFFFF" w:val="clear"/>
              </w:rPr>
              <w:t>）控制终端：CPU：</w:t>
            </w:r>
            <w:r>
              <w:rPr>
                <w:rFonts w:ascii="宋体" w:hAnsi="宋体" w:cs="宋体" w:eastAsia="宋体"/>
                <w:color w:val="333333"/>
                <w:sz w:val="24"/>
                <w:shd w:fill="FFFFFF" w:val="clear"/>
              </w:rPr>
              <w:t>≥4</w:t>
            </w:r>
            <w:r>
              <w:rPr>
                <w:rFonts w:ascii="宋体" w:hAnsi="宋体" w:cs="宋体" w:eastAsia="宋体"/>
                <w:color w:val="333333"/>
                <w:sz w:val="24"/>
                <w:shd w:fill="FFFFFF" w:val="clear"/>
              </w:rPr>
              <w:t>核、</w:t>
            </w:r>
            <w:r>
              <w:rPr>
                <w:rFonts w:ascii="宋体" w:hAnsi="宋体" w:cs="宋体" w:eastAsia="宋体"/>
                <w:color w:val="333333"/>
                <w:sz w:val="24"/>
                <w:shd w:fill="FFFFFF" w:val="clear"/>
              </w:rPr>
              <w:t>基础主频</w:t>
            </w:r>
            <w:r>
              <w:rPr>
                <w:rFonts w:ascii="宋体" w:hAnsi="宋体" w:cs="宋体" w:eastAsia="宋体"/>
                <w:color w:val="333333"/>
                <w:sz w:val="24"/>
                <w:shd w:fill="FFFFFF" w:val="clear"/>
              </w:rPr>
              <w:t>≥2.3Ghz</w:t>
            </w:r>
            <w:r>
              <w:rPr>
                <w:rFonts w:ascii="宋体" w:hAnsi="宋体" w:cs="宋体" w:eastAsia="宋体"/>
                <w:color w:val="333333"/>
                <w:sz w:val="24"/>
                <w:shd w:fill="FFFFFF" w:val="clear"/>
              </w:rPr>
              <w:t>；</w:t>
            </w:r>
            <w:r>
              <w:rPr>
                <w:rFonts w:ascii="simsun" w:hAnsi="simsun" w:cs="simsun" w:eastAsia="simsun"/>
                <w:color w:val="333333"/>
                <w:sz w:val="24"/>
                <w:shd w:fill="FFFFFF" w:val="clear"/>
              </w:rPr>
              <w:t>性能不低于8G/1T/256G/2G 独显 /</w:t>
            </w:r>
            <w:r>
              <w:rPr>
                <w:rFonts w:ascii="simsun" w:hAnsi="simsun" w:cs="simsun" w:eastAsia="simsun"/>
                <w:color w:val="333333"/>
                <w:sz w:val="24"/>
                <w:shd w:fill="FFFFFF" w:val="clear"/>
              </w:rPr>
              <w:t>正版操作系统</w:t>
            </w:r>
            <w:r>
              <w:rPr>
                <w:rFonts w:ascii="simsun" w:hAnsi="simsun" w:cs="simsun" w:eastAsia="simsun"/>
                <w:color w:val="333333"/>
                <w:sz w:val="24"/>
                <w:shd w:fill="FFFFFF" w:val="clear"/>
              </w:rPr>
              <w:t>/正版</w:t>
            </w:r>
            <w:r>
              <w:rPr>
                <w:rFonts w:ascii="simsun" w:hAnsi="simsun" w:cs="simsun" w:eastAsia="simsun"/>
                <w:color w:val="333333"/>
                <w:sz w:val="24"/>
                <w:shd w:fill="FFFFFF" w:val="clear"/>
              </w:rPr>
              <w:t>办公</w:t>
            </w:r>
            <w:r>
              <w:rPr>
                <w:rFonts w:ascii="simsun" w:hAnsi="simsun" w:cs="simsun" w:eastAsia="simsun"/>
                <w:color w:val="333333"/>
                <w:sz w:val="24"/>
                <w:shd w:fill="FFFFFF" w:val="clear"/>
              </w:rPr>
              <w:t>软件 /显示器尺寸≥21.5 英寸</w:t>
            </w:r>
            <w:r>
              <w:rPr>
                <w:rFonts w:ascii="simsun" w:hAnsi="simsun" w:cs="simsun" w:eastAsia="simsun"/>
                <w:color w:val="333333"/>
                <w:sz w:val="24"/>
                <w:shd w:fill="FFFFFF" w:val="clear"/>
              </w:rPr>
              <w:t>。</w:t>
            </w:r>
          </w:p>
          <w:p>
            <w:pPr>
              <w:pStyle w:val="null3"/>
              <w:ind w:firstLine="472"/>
              <w:jc w:val="left"/>
            </w:pPr>
            <w:r>
              <w:rPr>
                <w:rFonts w:ascii="simsun" w:hAnsi="simsun" w:cs="simsun" w:eastAsia="simsun"/>
                <w:color w:val="333333"/>
                <w:sz w:val="24"/>
                <w:shd w:fill="FFFFFF" w:val="clear"/>
              </w:rPr>
              <w:t>◎</w:t>
            </w:r>
            <w:r>
              <w:rPr>
                <w:rFonts w:ascii="simsun" w:hAnsi="simsun" w:cs="simsun" w:eastAsia="simsun"/>
                <w:color w:val="333333"/>
                <w:sz w:val="24"/>
                <w:shd w:fill="FFFFFF" w:val="clear"/>
              </w:rPr>
              <w:t>（</w:t>
            </w:r>
            <w:r>
              <w:rPr>
                <w:rFonts w:ascii="simsun" w:hAnsi="simsun" w:cs="simsun" w:eastAsia="simsun"/>
                <w:color w:val="333333"/>
                <w:sz w:val="24"/>
                <w:shd w:fill="FFFFFF" w:val="clear"/>
              </w:rPr>
              <w:t>8</w:t>
            </w:r>
            <w:r>
              <w:rPr>
                <w:rFonts w:ascii="simsun" w:hAnsi="simsun" w:cs="simsun" w:eastAsia="simsun"/>
                <w:color w:val="333333"/>
                <w:sz w:val="24"/>
                <w:shd w:fill="FFFFFF" w:val="clear"/>
              </w:rPr>
              <w:t>）显示终端相关配线系统及安装调试</w:t>
            </w:r>
            <w:r>
              <w:rPr>
                <w:rFonts w:ascii="simsun" w:hAnsi="simsun" w:cs="simsun" w:eastAsia="simsun"/>
                <w:color w:val="333333"/>
                <w:sz w:val="24"/>
                <w:shd w:fill="FFFFFF" w:val="clear"/>
              </w:rPr>
              <w:t>。</w:t>
            </w:r>
          </w:p>
          <w:p>
            <w:pPr>
              <w:pStyle w:val="null3"/>
              <w:ind w:firstLine="472"/>
              <w:jc w:val="left"/>
            </w:pPr>
            <w:r>
              <w:rPr>
                <w:rFonts w:ascii="simsun" w:hAnsi="simsun" w:cs="simsun" w:eastAsia="simsun"/>
                <w:color w:val="333333"/>
                <w:sz w:val="24"/>
                <w:shd w:fill="FFFFFF" w:val="clear"/>
              </w:rPr>
              <w:t>“系统参数要求”中实质性参数★12条；重点参数</w:t>
            </w:r>
            <w:r>
              <w:rPr>
                <w:rFonts w:ascii="simsun" w:hAnsi="simsun" w:cs="simsun" w:eastAsia="simsun"/>
                <w:color w:val="333333"/>
                <w:sz w:val="24"/>
                <w:shd w:fill="FFFFFF" w:val="clear"/>
              </w:rPr>
              <w:t>▲</w:t>
            </w:r>
            <w:r>
              <w:rPr>
                <w:rFonts w:ascii="simsun" w:hAnsi="simsun" w:cs="simsun" w:eastAsia="simsun"/>
                <w:color w:val="333333"/>
                <w:sz w:val="24"/>
                <w:shd w:fill="FFFFFF" w:val="clear"/>
              </w:rPr>
              <w:t>14条；一般参数</w:t>
            </w:r>
            <w:r>
              <w:rPr>
                <w:rFonts w:ascii="simsun" w:hAnsi="simsun" w:cs="simsun" w:eastAsia="simsun"/>
                <w:color w:val="333333"/>
                <w:sz w:val="24"/>
                <w:shd w:fill="FFFFFF" w:val="clear"/>
              </w:rPr>
              <w:t>◎</w:t>
            </w:r>
            <w:r>
              <w:rPr>
                <w:rFonts w:ascii="simsun" w:hAnsi="simsun" w:cs="simsun" w:eastAsia="simsun"/>
                <w:color w:val="333333"/>
                <w:sz w:val="24"/>
                <w:shd w:fill="FFFFFF" w:val="clear"/>
              </w:rPr>
              <w:t>40条；演示性参数●5条。</w:t>
            </w: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rFonts w:ascii="宋体" w:hAnsi="宋体" w:cs="宋体" w:eastAsia="宋体"/>
                <w:color w:val="333333"/>
                <w:sz w:val="21"/>
                <w:shd w:fill="FFFFFF" w:val="clear"/>
              </w:rPr>
              <w:t>供应商负责对合约范围内的信息系统及相关硬件进行质保三年，维护期为验收合格之日起三年。</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知识产权归属和处理方式</w:t>
            </w:r>
          </w:p>
        </w:tc>
        <w:tc>
          <w:tcPr>
            <w:tcW w:type="dxa" w:w="2076"/>
          </w:tcPr>
          <w:p>
            <w:pPr>
              <w:pStyle w:val="null3"/>
              <w:jc w:val="left"/>
            </w:pPr>
            <w:r>
              <w:rPr>
                <w:rFonts w:ascii="宋体" w:hAnsi="宋体" w:cs="宋体" w:eastAsia="宋体"/>
                <w:color w:val="333333"/>
                <w:sz w:val="21"/>
                <w:shd w:fill="FFFFFF" w:val="clear"/>
              </w:rPr>
              <w:t>供应商须提供完整的项目建设内容，且产权归属清楚，不得侵害他人的知识产权。</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成本补偿和风险分担约定</w:t>
            </w:r>
          </w:p>
        </w:tc>
        <w:tc>
          <w:tcPr>
            <w:tcW w:type="dxa" w:w="2076"/>
          </w:tcPr>
          <w:p>
            <w:pPr>
              <w:pStyle w:val="null3"/>
              <w:ind w:firstLine="480"/>
              <w:jc w:val="left"/>
            </w:pPr>
            <w:r>
              <w:rPr>
                <w:rFonts w:ascii="宋体" w:hAnsi="宋体" w:cs="宋体" w:eastAsia="宋体"/>
                <w:color w:val="333333"/>
                <w:sz w:val="21"/>
                <w:shd w:fill="FFFFFF" w:val="clear"/>
              </w:rPr>
              <w:t>(1)</w:t>
            </w:r>
            <w:r>
              <w:rPr>
                <w:rFonts w:ascii="宋体" w:hAnsi="宋体" w:cs="宋体" w:eastAsia="宋体"/>
                <w:color w:val="333333"/>
                <w:sz w:val="21"/>
                <w:shd w:fill="FFFFFF" w:val="clear"/>
              </w:rPr>
              <w:t>供应商逾期交付的（不可抗力事件除外），每逾期一日应向采购人支付合同总金额0.05%的违约金，累计至完成之日止；如供应商逾期30日历日仍未完成的，采购人有权终止合同，供应商除应按逾期天数向甲方支付违约金外，还应按合同总金额30%向采购人支付违约金，并全额退还采购人已支付给供应商的款项。</w:t>
            </w:r>
          </w:p>
          <w:p>
            <w:pPr>
              <w:pStyle w:val="null3"/>
              <w:jc w:val="left"/>
            </w:pPr>
            <w:r>
              <w:rPr>
                <w:rFonts w:ascii="宋体" w:hAnsi="宋体" w:cs="宋体" w:eastAsia="宋体"/>
                <w:color w:val="333333"/>
                <w:sz w:val="21"/>
                <w:shd w:fill="FFFFFF" w:val="clear"/>
              </w:rPr>
              <w:t>(2)</w:t>
            </w:r>
            <w:r>
              <w:rPr>
                <w:rFonts w:ascii="宋体" w:hAnsi="宋体" w:cs="宋体" w:eastAsia="宋体"/>
                <w:color w:val="333333"/>
                <w:sz w:val="21"/>
                <w:shd w:fill="FFFFFF" w:val="clear"/>
              </w:rPr>
              <w:t>在合同有效期内，任何一方因为不可抗力事件导致不能履行合同，则合同履行期可延长，其延长期与不可抗力影响期相同。3.不可抗力事件发生后，应立即通知对方。</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rFonts w:ascii="宋体" w:hAnsi="宋体" w:cs="宋体" w:eastAsia="宋体"/>
                <w:color w:val="333333"/>
                <w:sz w:val="21"/>
                <w:shd w:fill="FFFFFF" w:val="clear"/>
              </w:rPr>
              <w:t>违约责任：在履行合同过程中，如果成交供应商可能遇到妨碍按时提供产品的情况时，应及时以书面形式将拖延的事实、可能拖延的期限和理由通知甲方。采购人在收到供应商通知后，5个工作日对情况进行评价，并确定是否同意延期。如果成交供应商没有按照合同规定的时间提供服务（因甲方原因造成的除外），采购人可以在应付的合同款项中扣除误期赔偿费而不影响合同项下的其他补救方法，赔偿费按每（天）赔偿合同总价的百分之零点零五（0.05%）计收，直至提供服务为止。</w:t>
            </w:r>
          </w:p>
          <w:p>
            <w:pPr>
              <w:pStyle w:val="null3"/>
              <w:jc w:val="left"/>
            </w:pPr>
            <w:r>
              <w:rPr/>
              <w:t>解决争议：</w:t>
            </w:r>
          </w:p>
          <w:p>
            <w:pPr>
              <w:pStyle w:val="null3"/>
              <w:ind w:firstLine="480"/>
              <w:jc w:val="left"/>
            </w:pPr>
            <w:r>
              <w:rPr>
                <w:rFonts w:ascii="simsun" w:hAnsi="simsun" w:cs="simsun" w:eastAsia="simsun"/>
                <w:sz w:val="21"/>
              </w:rPr>
              <w:t>（一）所有因本合同引起的或与本合同有关的任何争议将通过双方友好协商解决。如果双方不能协商达成一致的，向甲方所在地有管辖权的法院提起诉讼。</w:t>
            </w:r>
          </w:p>
          <w:p>
            <w:pPr>
              <w:pStyle w:val="null3"/>
              <w:ind w:firstLine="480"/>
              <w:jc w:val="left"/>
            </w:pPr>
            <w:r>
              <w:rPr>
                <w:rFonts w:ascii="simsun" w:hAnsi="simsun" w:cs="simsun" w:eastAsia="simsun"/>
                <w:sz w:val="21"/>
              </w:rPr>
              <w:t>（二）仲裁、诉讼或调解进行过程中，双方将继续履行本合同未涉争议的其他部分。</w:t>
            </w:r>
          </w:p>
          <w:p>
            <w:pPr>
              <w:pStyle w:val="null3"/>
              <w:ind w:firstLine="480"/>
              <w:jc w:val="left"/>
            </w:pPr>
            <w:r>
              <w:rPr>
                <w:rFonts w:ascii="simsun" w:hAnsi="simsun" w:cs="simsun" w:eastAsia="simsun"/>
                <w:sz w:val="21"/>
              </w:rPr>
              <w:t>（三）因争议产生的所有费用，包括不限于仲裁费用、律师费、交通费、采取财产保全的费用、公证费等，均由违约方承担。</w:t>
            </w:r>
          </w:p>
          <w:p>
            <w:pPr>
              <w:pStyle w:val="null3"/>
              <w:jc w:val="left"/>
            </w:pPr>
            <w:r>
              <w:rPr/>
              <w:t xml:space="preserve"> </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风险控制措施和替代方案</w:t>
            </w:r>
          </w:p>
        </w:tc>
        <w:tc>
          <w:tcPr>
            <w:tcW w:type="dxa" w:w="2076"/>
          </w:tcPr>
          <w:p>
            <w:pPr>
              <w:pStyle w:val="null3"/>
              <w:ind w:firstLine="480"/>
              <w:jc w:val="left"/>
            </w:pPr>
            <w:r>
              <w:rPr>
                <w:rFonts w:ascii="simsun" w:hAnsi="simsun" w:cs="simsun" w:eastAsia="simsun"/>
                <w:color w:val="333333"/>
                <w:sz w:val="21"/>
                <w:shd w:fill="FFFFFF" w:val="clear"/>
              </w:rPr>
              <w:t>该采购项目按照《政府采购需求管理办法》第二十五条规定，本项目是否需要组织风险判断、提出处置措施和替代方案：是</w:t>
            </w:r>
          </w:p>
          <w:p>
            <w:pPr>
              <w:pStyle w:val="null3"/>
              <w:ind w:firstLine="480"/>
              <w:jc w:val="left"/>
            </w:pPr>
            <w:r>
              <w:rPr>
                <w:rFonts w:ascii="simsun" w:hAnsi="simsun" w:cs="simsun" w:eastAsia="simsun"/>
                <w:color w:val="333333"/>
                <w:sz w:val="21"/>
                <w:shd w:fill="FFFFFF" w:val="clear"/>
              </w:rPr>
              <w:t>（1）国家政策变化风险的应对措施： 双方协商解决。</w:t>
            </w:r>
          </w:p>
          <w:p>
            <w:pPr>
              <w:pStyle w:val="null3"/>
              <w:ind w:firstLine="480"/>
              <w:jc w:val="left"/>
            </w:pPr>
            <w:r>
              <w:rPr>
                <w:rFonts w:ascii="simsun" w:hAnsi="simsun" w:cs="simsun" w:eastAsia="simsun"/>
                <w:color w:val="333333"/>
                <w:sz w:val="21"/>
                <w:shd w:fill="FFFFFF" w:val="clear"/>
              </w:rPr>
              <w:t>（2）实施环境变化风险的应对措施： 双方协商解决。</w:t>
            </w:r>
          </w:p>
          <w:p>
            <w:pPr>
              <w:pStyle w:val="null3"/>
              <w:ind w:firstLine="480"/>
              <w:jc w:val="left"/>
            </w:pPr>
            <w:r>
              <w:rPr>
                <w:rFonts w:ascii="simsun" w:hAnsi="simsun" w:cs="simsun" w:eastAsia="simsun"/>
                <w:color w:val="333333"/>
                <w:sz w:val="21"/>
                <w:shd w:fill="FFFFFF" w:val="clear"/>
              </w:rPr>
              <w:t>（3）重大技术变化风险的应对措施： 双方协商解决。</w:t>
            </w:r>
          </w:p>
          <w:p>
            <w:pPr>
              <w:pStyle w:val="null3"/>
              <w:ind w:firstLine="480"/>
              <w:jc w:val="left"/>
            </w:pPr>
            <w:r>
              <w:rPr>
                <w:rFonts w:ascii="simsun" w:hAnsi="simsun" w:cs="simsun" w:eastAsia="simsun"/>
                <w:color w:val="333333"/>
                <w:sz w:val="21"/>
                <w:shd w:fill="FFFFFF" w:val="clear"/>
              </w:rPr>
              <w:t>（4）预算项目调整风险的应对措施： 双方协商解决。</w:t>
            </w:r>
          </w:p>
          <w:p>
            <w:pPr>
              <w:pStyle w:val="null3"/>
              <w:ind w:firstLine="480"/>
              <w:jc w:val="left"/>
            </w:pPr>
            <w:r>
              <w:rPr>
                <w:rFonts w:ascii="simsun" w:hAnsi="simsun" w:cs="simsun" w:eastAsia="simsun"/>
                <w:color w:val="333333"/>
                <w:sz w:val="21"/>
                <w:shd w:fill="FFFFFF" w:val="clear"/>
              </w:rPr>
              <w:t>（5）因质疑投诉影响采购进度风险的应对措施： 1.严格按照采购程序执行；2.采购的前期工作准备充分，保证发布的采购文件符合《政府采购法》相关规定，无歧视性、指向性，确保充分竞争；3.一旦发生质疑、投诉，按照法定要求及时规范处理。</w:t>
            </w:r>
          </w:p>
          <w:p>
            <w:pPr>
              <w:pStyle w:val="null3"/>
              <w:ind w:firstLine="480"/>
              <w:jc w:val="left"/>
            </w:pPr>
            <w:r>
              <w:rPr>
                <w:rFonts w:ascii="simsun" w:hAnsi="simsun" w:cs="simsun" w:eastAsia="simsun"/>
                <w:color w:val="333333"/>
                <w:sz w:val="21"/>
                <w:shd w:fill="FFFFFF" w:val="clear"/>
              </w:rPr>
              <w:t>（6）采购失败风险的应对措施： 1.与主管职能部门、招标代理公司共同分析失败原因；2.针对失败原因（如预算不足、资格条件过高等），及时调整需求并修订采购文件，按照法定流程再次启动采购程序。</w:t>
            </w:r>
          </w:p>
          <w:p>
            <w:pPr>
              <w:pStyle w:val="null3"/>
              <w:ind w:firstLine="480"/>
              <w:jc w:val="left"/>
            </w:pPr>
            <w:r>
              <w:rPr>
                <w:rFonts w:ascii="simsun" w:hAnsi="simsun" w:cs="simsun" w:eastAsia="simsun"/>
                <w:color w:val="333333"/>
                <w:sz w:val="21"/>
                <w:shd w:fill="FFFFFF" w:val="clear"/>
              </w:rPr>
              <w:t>（7）不按规定签订或者履行合同风险的应对措施： 甲、乙双方对因履行本合同所持有或知悉的信息资料（包括但不限于各方及其工作人员、客户的信息、文件、影音资料等）负有保密等义务，若双方中任何一方违反前述约定的，应向被泄密方承担违约责任，承担被泄密方及其客户遭受的一切损失（包括但不限于经济损失、商誉损失）。 若有一方违反本合同规定导致本合同无法履行，另外一方有权终止合同，如违约方造成守约方或第三方其他损失的，违约方需进行相关赔偿。 双方都违反合同约定的，应当各自承担相应的责任。</w:t>
            </w:r>
          </w:p>
          <w:p>
            <w:pPr>
              <w:pStyle w:val="null3"/>
              <w:ind w:firstLine="480"/>
              <w:jc w:val="left"/>
            </w:pPr>
            <w:r>
              <w:rPr>
                <w:rFonts w:ascii="simsun" w:hAnsi="simsun" w:cs="simsun" w:eastAsia="simsun"/>
                <w:color w:val="333333"/>
                <w:sz w:val="21"/>
                <w:shd w:fill="FFFFFF" w:val="clear"/>
              </w:rPr>
              <w:t>（8）出现损害国家利益和社会公共利益情形风险的应对措施： 若因一方违约给另外一方造成不良社会影响或经济损失，则非违约方有权要求违约方消除影响并作相应的经济赔偿。</w:t>
            </w:r>
          </w:p>
          <w:p>
            <w:pPr>
              <w:pStyle w:val="null3"/>
              <w:ind w:firstLine="480"/>
              <w:jc w:val="left"/>
            </w:pPr>
            <w:r>
              <w:rPr>
                <w:rFonts w:ascii="simsun" w:hAnsi="simsun" w:cs="simsun" w:eastAsia="simsun"/>
                <w:color w:val="333333"/>
                <w:sz w:val="21"/>
                <w:shd w:fill="FFFFFF" w:val="clear"/>
              </w:rPr>
              <w:t>(9</w:t>
            </w:r>
            <w:r>
              <w:rPr>
                <w:rFonts w:ascii="simsun" w:hAnsi="simsun" w:cs="simsun" w:eastAsia="simsun"/>
                <w:color w:val="333333"/>
                <w:sz w:val="21"/>
                <w:shd w:fill="FFFFFF" w:val="clear"/>
              </w:rPr>
              <w:t>）其他采购和合同履行过程的风险及应对措施： 无。</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履约验收方案</w:t>
            </w:r>
          </w:p>
        </w:tc>
        <w:tc>
          <w:tcPr>
            <w:tcW w:type="dxa" w:w="2076"/>
          </w:tcPr>
          <w:p>
            <w:pPr>
              <w:pStyle w:val="null3"/>
              <w:ind w:firstLine="480"/>
              <w:jc w:val="left"/>
            </w:pPr>
            <w:r>
              <w:rPr>
                <w:rFonts w:ascii="simsun" w:hAnsi="simsun" w:cs="simsun" w:eastAsia="simsun"/>
                <w:color w:val="333333"/>
                <w:sz w:val="21"/>
                <w:shd w:fill="FFFFFF" w:val="clear"/>
              </w:rPr>
              <w:t>（1）验收组织方式：</w:t>
            </w:r>
            <w:r>
              <w:rPr>
                <w:rFonts w:ascii="simsun" w:hAnsi="simsun" w:cs="simsun" w:eastAsia="simsun"/>
                <w:color w:val="333333"/>
                <w:sz w:val="21"/>
                <w:shd w:fill="FFFFFF" w:val="clear"/>
              </w:rPr>
              <w:t xml:space="preserve">自行验收    </w:t>
            </w:r>
          </w:p>
          <w:p>
            <w:pPr>
              <w:pStyle w:val="null3"/>
              <w:ind w:firstLine="480"/>
              <w:jc w:val="left"/>
            </w:pPr>
            <w:r>
              <w:rPr>
                <w:rFonts w:ascii="simsun" w:hAnsi="simsun" w:cs="simsun" w:eastAsia="simsun"/>
                <w:color w:val="333333"/>
                <w:sz w:val="21"/>
                <w:shd w:fill="FFFFFF" w:val="clear"/>
              </w:rPr>
              <w:t xml:space="preserve">（2）是否邀请本项目的其他供应商：否  </w:t>
            </w:r>
          </w:p>
          <w:p>
            <w:pPr>
              <w:pStyle w:val="null3"/>
              <w:ind w:firstLine="480"/>
              <w:jc w:val="left"/>
            </w:pPr>
            <w:r>
              <w:rPr>
                <w:rFonts w:ascii="simsun" w:hAnsi="simsun" w:cs="simsun" w:eastAsia="simsun"/>
                <w:color w:val="333333"/>
                <w:sz w:val="21"/>
                <w:shd w:fill="FFFFFF" w:val="clear"/>
              </w:rPr>
              <w:t xml:space="preserve">（3）是否邀请专家：否   </w:t>
            </w:r>
          </w:p>
          <w:p>
            <w:pPr>
              <w:pStyle w:val="null3"/>
              <w:ind w:firstLine="480"/>
              <w:jc w:val="left"/>
            </w:pPr>
            <w:r>
              <w:rPr>
                <w:rFonts w:ascii="simsun" w:hAnsi="simsun" w:cs="simsun" w:eastAsia="simsun"/>
                <w:color w:val="333333"/>
                <w:sz w:val="21"/>
                <w:shd w:fill="FFFFFF" w:val="clear"/>
              </w:rPr>
              <w:t xml:space="preserve">（4）是否邀请服务对象：否   </w:t>
            </w:r>
          </w:p>
          <w:p>
            <w:pPr>
              <w:pStyle w:val="null3"/>
              <w:ind w:firstLine="480"/>
              <w:jc w:val="left"/>
            </w:pPr>
            <w:r>
              <w:rPr>
                <w:rFonts w:ascii="simsun" w:hAnsi="simsun" w:cs="simsun" w:eastAsia="simsun"/>
                <w:color w:val="333333"/>
                <w:sz w:val="21"/>
                <w:shd w:fill="FFFFFF" w:val="clear"/>
              </w:rPr>
              <w:t xml:space="preserve">（5）是否邀请第三方检测机构：否   </w:t>
            </w:r>
          </w:p>
          <w:p>
            <w:pPr>
              <w:pStyle w:val="null3"/>
              <w:ind w:firstLine="480"/>
              <w:jc w:val="left"/>
            </w:pPr>
            <w:r>
              <w:rPr>
                <w:rFonts w:ascii="simsun" w:hAnsi="simsun" w:cs="simsun" w:eastAsia="simsun"/>
                <w:color w:val="333333"/>
                <w:sz w:val="21"/>
                <w:shd w:fill="FFFFFF" w:val="clear"/>
              </w:rPr>
              <w:t>（6）履约验收程序：</w:t>
            </w:r>
            <w:r>
              <w:rPr>
                <w:rFonts w:ascii="simsun" w:hAnsi="simsun" w:cs="simsun" w:eastAsia="simsun"/>
                <w:color w:val="333333"/>
                <w:sz w:val="21"/>
                <w:shd w:fill="FFFFFF" w:val="clear"/>
              </w:rPr>
              <w:t>一次性验收</w:t>
            </w:r>
          </w:p>
          <w:p>
            <w:pPr>
              <w:pStyle w:val="null3"/>
              <w:ind w:firstLine="480"/>
              <w:jc w:val="left"/>
            </w:pPr>
            <w:r>
              <w:rPr>
                <w:rFonts w:ascii="simsun" w:hAnsi="simsun" w:cs="simsun" w:eastAsia="simsun"/>
                <w:color w:val="333333"/>
                <w:sz w:val="21"/>
                <w:shd w:fill="FFFFFF" w:val="clear"/>
              </w:rPr>
              <w:t>（7）履约验收时间：</w:t>
            </w:r>
          </w:p>
          <w:tbl>
            <w:tblPr>
              <w:tblInd w:type="dxa" w:w="135"/>
              <w:tblBorders>
                <w:top w:val="none" w:color="000000" w:sz="4"/>
                <w:left w:val="none" w:color="000000" w:sz="4"/>
                <w:bottom w:val="none" w:color="000000" w:sz="4"/>
                <w:right w:val="none" w:color="000000" w:sz="4"/>
                <w:insideH w:val="none"/>
                <w:insideV w:val="none"/>
              </w:tblBorders>
            </w:tblPr>
            <w:tblGrid>
              <w:gridCol w:w="620"/>
              <w:gridCol w:w="620"/>
              <w:gridCol w:w="620"/>
            </w:tblGrid>
            <w:tr>
              <w:tc>
                <w:tcPr>
                  <w:tcW w:type="dxa" w:w="62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left"/>
                  </w:pPr>
                  <w:r>
                    <w:rPr>
                      <w:rFonts w:ascii="simsun" w:hAnsi="simsun" w:cs="simsun" w:eastAsia="simsun"/>
                      <w:color w:val="333333"/>
                      <w:sz w:val="21"/>
                      <w:shd w:fill="FFFFFF" w:val="clear"/>
                    </w:rPr>
                    <w:t>验收条件</w:t>
                  </w:r>
                </w:p>
              </w:tc>
              <w:tc>
                <w:tcPr>
                  <w:tcW w:type="dxa" w:w="62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simsun" w:hAnsi="simsun" w:cs="simsun" w:eastAsia="simsun"/>
                      <w:color w:val="333333"/>
                      <w:sz w:val="21"/>
                      <w:shd w:fill="FFFFFF" w:val="clear"/>
                    </w:rPr>
                    <w:t>达到验收条件XX日内</w:t>
                  </w:r>
                </w:p>
              </w:tc>
              <w:tc>
                <w:tcPr>
                  <w:tcW w:type="dxa" w:w="62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left"/>
                  </w:pPr>
                  <w:r>
                    <w:rPr>
                      <w:rFonts w:ascii="simsun" w:hAnsi="simsun" w:cs="simsun" w:eastAsia="simsun"/>
                      <w:color w:val="333333"/>
                      <w:sz w:val="21"/>
                      <w:shd w:fill="FFFFFF" w:val="clear"/>
                    </w:rPr>
                    <w:t>验收合同总金额XX%</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simsun" w:hAnsi="simsun" w:cs="simsun" w:eastAsia="simsun"/>
                      <w:color w:val="333333"/>
                      <w:sz w:val="21"/>
                      <w:shd w:fill="FFFFFF" w:val="clear"/>
                    </w:rPr>
                    <w:t>系统上线运行后，依据经评审后的采购要求和中标供应商投标时规格（包括配置）、技术指标响应承诺及其它承诺逐项（条）验收</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left"/>
                  </w:pPr>
                  <w:r>
                    <w:rPr>
                      <w:rFonts w:ascii="simsun" w:hAnsi="simsun" w:cs="simsun" w:eastAsia="simsun"/>
                      <w:color w:val="333333"/>
                      <w:sz w:val="21"/>
                      <w:shd w:fill="FFFFFF" w:val="clear"/>
                    </w:rPr>
                    <w:t>10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left"/>
                  </w:pPr>
                  <w:r>
                    <w:rPr>
                      <w:rFonts w:ascii="simsun" w:hAnsi="simsun" w:cs="simsun" w:eastAsia="simsun"/>
                      <w:color w:val="333333"/>
                      <w:sz w:val="21"/>
                      <w:shd w:fill="FFFFFF" w:val="clear"/>
                    </w:rPr>
                    <w:t>100</w:t>
                  </w:r>
                </w:p>
              </w:tc>
            </w:tr>
          </w:tbl>
          <w:p>
            <w:pPr>
              <w:pStyle w:val="null3"/>
              <w:ind w:firstLine="480"/>
              <w:jc w:val="left"/>
            </w:pPr>
            <w:r>
              <w:rPr/>
              <w:t xml:space="preserve"> </w:t>
            </w:r>
          </w:p>
          <w:p>
            <w:pPr>
              <w:pStyle w:val="null3"/>
              <w:ind w:firstLine="480"/>
              <w:jc w:val="left"/>
            </w:pPr>
            <w:r>
              <w:rPr>
                <w:rFonts w:ascii="simsun" w:hAnsi="simsun" w:cs="simsun" w:eastAsia="simsun"/>
                <w:color w:val="333333"/>
                <w:sz w:val="21"/>
                <w:shd w:fill="FFFFFF" w:val="clear"/>
              </w:rPr>
              <w:t>（8）验收组织的其他事项： 采购人组织相关人员验收。</w:t>
            </w:r>
          </w:p>
          <w:p>
            <w:pPr>
              <w:pStyle w:val="null3"/>
              <w:ind w:firstLine="480"/>
              <w:jc w:val="left"/>
            </w:pPr>
            <w:r>
              <w:rPr>
                <w:rFonts w:ascii="simsun" w:hAnsi="simsun" w:cs="simsun" w:eastAsia="simsun"/>
                <w:color w:val="333333"/>
                <w:sz w:val="21"/>
                <w:shd w:fill="FFFFFF" w:val="clear"/>
              </w:rPr>
              <w:t xml:space="preserve">（9）技术履约验收内容：  根据合同约定的质量要求和技术指标逐项进行验收            </w:t>
            </w:r>
          </w:p>
          <w:p>
            <w:pPr>
              <w:pStyle w:val="null3"/>
              <w:ind w:firstLine="480"/>
              <w:jc w:val="left"/>
            </w:pPr>
            <w:r>
              <w:rPr>
                <w:rFonts w:ascii="simsun" w:hAnsi="simsun" w:cs="simsun" w:eastAsia="simsun"/>
                <w:color w:val="333333"/>
                <w:sz w:val="21"/>
                <w:shd w:fill="FFFFFF" w:val="clear"/>
              </w:rPr>
              <w:t xml:space="preserve">（10）商务履约验收内容： 根据合同约定的质量要求和技术指标逐项进行验收            </w:t>
            </w:r>
          </w:p>
          <w:p>
            <w:pPr>
              <w:pStyle w:val="null3"/>
              <w:ind w:firstLine="480"/>
              <w:jc w:val="left"/>
            </w:pPr>
            <w:r>
              <w:rPr>
                <w:rFonts w:ascii="simsun" w:hAnsi="simsun" w:cs="simsun" w:eastAsia="simsun"/>
                <w:color w:val="333333"/>
                <w:sz w:val="21"/>
                <w:shd w:fill="FFFFFF" w:val="clear"/>
              </w:rPr>
              <w:t xml:space="preserve">（11）履约验收标准： 按照合同约定的内容逐项（条）验收，如发现任何一项与合同约定的内容承诺不符，采购人有权拒绝接受，给采购人带来损失的将按相关规定进行赔偿和承担虚假响应责任。                </w:t>
            </w:r>
          </w:p>
          <w:p>
            <w:pPr>
              <w:pStyle w:val="null3"/>
              <w:ind w:firstLine="480"/>
              <w:jc w:val="left"/>
            </w:pPr>
            <w:r>
              <w:rPr>
                <w:rFonts w:ascii="simsun" w:hAnsi="simsun" w:cs="simsun" w:eastAsia="simsun"/>
                <w:color w:val="333333"/>
                <w:sz w:val="21"/>
                <w:shd w:fill="FFFFFF" w:val="clear"/>
              </w:rPr>
              <w:t>（12）履约验收其他事项：其他未尽事宜应严格按照《财政部关于进一步加强政府采购需求和履约验收管理的指导意见》（财库[2016]205号）的要求进行。</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服务期限</w:t>
            </w:r>
          </w:p>
        </w:tc>
        <w:tc>
          <w:tcPr>
            <w:tcW w:type="dxa" w:w="2076"/>
          </w:tcPr>
          <w:p>
            <w:pPr>
              <w:pStyle w:val="null3"/>
              <w:jc w:val="left"/>
            </w:pPr>
            <w:r>
              <w:rPr/>
              <w:t>自合同签订之日起90日内</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服务地点</w:t>
            </w:r>
          </w:p>
        </w:tc>
        <w:tc>
          <w:tcPr>
            <w:tcW w:type="dxa" w:w="2076"/>
          </w:tcPr>
          <w:p>
            <w:pPr>
              <w:pStyle w:val="null3"/>
              <w:jc w:val="left"/>
            </w:pPr>
            <w:r>
              <w:rPr/>
              <w:t>成都市第四人民医院</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①完成项目上线运行一个月，系统功能达到合同要求后进行验收。②依据经评审后的采购要求和中标供应商投标时规格（包括配置）、技术指标响应承诺及其它承诺逐项（条）验收，如发现任何一项与采购文件承诺不符，采购人有权拒绝接受，给采购人带来损失的中标供应商将按相关规定向采购人进行赔偿和承担虚假响应责任。③验收时如发现所交付的软件、设备质量不符合标准及本合同规定之情形者，采购人应做出详尽的现场记录，或由双方签署备忘录，此现场记录或备忘录可用作补充、缺失和更换设备的有效证据，由此产生的时间延误与有关费用由中标供应商承担，验收期限相应顺延。验收前供应商需提供有资质的第三方机构测试报告。验收合格，双方签署初步验收报告。④验收完成后，中标供应商应将项目建设相关的技术资料交付给采购人； ⑤其他未尽事宜应严格按照《财政部关于进一步加强政府采购需求和履约验收管理的指导意见》（财库〔2016〕205 号）的要求进行。</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1、合同签订生效且收到供应商合法等额有效发票后，达到付款条件起10日内，支付合同总金额的30.00%</w:t>
            </w:r>
          </w:p>
          <w:p>
            <w:pPr>
              <w:pStyle w:val="null3"/>
              <w:jc w:val="left"/>
            </w:pPr>
            <w:r>
              <w:rPr/>
              <w:t>2、项目验收合格且收到供应商合法等额有效发票后，达到付款条件起10日内，支付合同总金额的70.00%</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在履行合同过程中，如果成交供应商可能遇到妨碍按时提供产品的情况时，应及时以书面形式将拖延的事实、可能拖延的期限和理由通知甲方。采购人在收到供应商通知后，5个工作日对情况进行评价，并确定是否同意延期。如果成交供应商没有按照合同规定的时间提供服务（因甲方原因造成的除外），采购人可以在应付的合同款项中扣除误期赔偿费而不影响合同项下的其他补救方法，赔偿费按每（天）赔偿合同总价的百分之零点零五（0.05%）计收，直至提供服务为止。</w:t>
            </w:r>
          </w:p>
        </w:tc>
      </w:tr>
    </w:tbl>
    <w:p>
      <w:pPr>
        <w:pStyle w:val="null3"/>
        <w:jc w:val="left"/>
        <w:outlineLvl w:val="2"/>
      </w:pPr>
      <w:r>
        <w:rPr>
          <w:b/>
          <w:sz w:val="28"/>
        </w:rPr>
        <w:t>3.4.其他要求</w:t>
      </w:r>
    </w:p>
    <w:p>
      <w:pPr>
        <w:pStyle w:val="null3"/>
        <w:ind w:firstLine="480"/>
        <w:jc w:val="left"/>
      </w:pPr>
      <w:r>
        <w:rPr/>
        <w:t>采购包1：</w:t>
      </w:r>
    </w:p>
    <w:p>
      <w:pPr>
        <w:pStyle w:val="null3"/>
        <w:jc w:val="left"/>
      </w:pPr>
      <w:r>
        <w:rPr/>
        <w:t>1)注：以上标注“★”的内容为本次采购项目实质性要求，不允许有负偏离。 2)供应商为本项目配备项目实施方案（评审因素）（①.系统的主要流程；②.人员配置；③.建设需求分析及项目总体框架设计方案；④.系统性能设计方案；⑤.项目重难点分析及合理化建议；⑥.工期管控及进度安排；⑦.质量保证措施等）；售后服务方案（评审因素）（①售后服务计划；②应急响应措施；③服务承诺；④培训计划等）</w:t>
      </w:r>
    </w:p>
    <w:p>
      <w:pPr>
        <w:pStyle w:val="null3"/>
      </w:pPr>
      <w:r>
        <w:rPr/>
        <w:t xml:space="preserve"> </w:t>
        <w:br/>
        <w:br w:type="page"/>
      </w:r>
    </w:p>
    <w:p>
      <w:pPr>
        <w:pStyle w:val="null3"/>
        <w:jc w:val="center"/>
        <w:outlineLvl w:val="1"/>
      </w:pPr>
      <w:r>
        <w:rPr>
          <w:b/>
          <w:sz w:val="36"/>
        </w:rPr>
        <w:t>第四章 资格审查</w:t>
      </w:r>
    </w:p>
    <w:p>
      <w:pPr>
        <w:pStyle w:val="null3"/>
        <w:ind w:firstLine="480"/>
        <w:jc w:val="left"/>
      </w:pPr>
      <w:r>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b/>
          <w:sz w:val="28"/>
        </w:rPr>
        <w:t>4.1.一般资格审查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①供应商若为企业法人：提供“统一社会信用代码营业执照”；未换证的提供“营业执照、税务登记证、组织机构代码证”；②若为事业法人：提供“统一社会信用代码法人登记证书”；未换证的提交“事业法人登记证书、组织机构代码证”；③若为其他组织：提供“对应主管部门颁发的准许执业证明文件或营业执照”；④若为自然人：提供“身份证明材料”；（复印件盖投标人公章） 银行、保险、石油石化、电力、电信行业由分机构参与投标的均视为具有独立承担民事责任的能力，不得因其为负责人形式而认定不符合《中华人民共和国政府采购法》第二十二条第一款规定。</w:t>
            </w:r>
          </w:p>
        </w:tc>
        <w:tc>
          <w:tcPr>
            <w:tcW w:type="dxa" w:w="1910"/>
          </w:tcPr>
          <w:p>
            <w:pPr>
              <w:pStyle w:val="null3"/>
              <w:jc w:val="left"/>
            </w:pPr>
            <w:r>
              <w:rPr/>
              <w:t>具有独立承担民事责任能力的证明材料</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①可提供2021年以来任意一年度经审计的财务审计报告复印件（至少包含报告本身以及报告中提及的财务报表），②也可提供2021年以来任意一年度供应商内部财务报表复印件（至少包含资产负债表），③也可提供截至响应文件递交截止日一年内银行出具的资信证明，④成立不足一年的法人或者组织以及非盈利性单位或其他机关事业单位提供内部财务制度（复印件盖投标人公章），⑤也可提供具有健全的财务会计制度的承诺函原件（承诺函格式自拟）；</w:t>
            </w:r>
          </w:p>
        </w:tc>
        <w:tc>
          <w:tcPr>
            <w:tcW w:type="dxa" w:w="1910"/>
          </w:tcPr>
          <w:p>
            <w:pPr>
              <w:pStyle w:val="null3"/>
              <w:jc w:val="left"/>
            </w:pPr>
            <w:r>
              <w:rPr/>
              <w:t>投标人应提交的相关资格证明材料</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outlineLvl w:val="2"/>
      </w:pPr>
      <w:r>
        <w:rPr>
          <w:b/>
          <w:sz w:val="28"/>
        </w:rPr>
        <w:t>4.2.落实政府采购政策资格审查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outlineLvl w:val="2"/>
      </w:pPr>
      <w:r>
        <w:rPr>
          <w:b/>
          <w:sz w:val="28"/>
        </w:rPr>
        <w:t>4.3.特定资格审查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pPr>
      <w:r>
        <w:rPr/>
        <w:t xml:space="preserve"> </w:t>
        <w:br/>
        <w:br w:type="page"/>
      </w:r>
    </w:p>
    <w:p>
      <w:pPr>
        <w:pStyle w:val="null3"/>
        <w:jc w:val="center"/>
        <w:outlineLvl w:val="1"/>
      </w:pPr>
      <w:r>
        <w:rPr>
          <w:b/>
          <w:sz w:val="36"/>
        </w:rPr>
        <w:t>第五章 评标办法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t>二、评标工作由代理机构负责组织，具体评标事务由依法组建的评标委员会负责。评标委员会由采购人代表和评审专家组成。</w:t>
      </w:r>
    </w:p>
    <w:p>
      <w:pPr>
        <w:pStyle w:val="null3"/>
        <w:ind w:firstLine="480"/>
        <w:jc w:val="left"/>
      </w:pPr>
      <w:r>
        <w:rPr/>
        <w:t>三、评标工作应遵循客观、公正、审慎的原则，根据招标文件规定的评标程序、评标方法和评标标准进行独立评标。</w:t>
      </w:r>
    </w:p>
    <w:p>
      <w:pPr>
        <w:pStyle w:val="null3"/>
        <w:ind w:firstLine="480"/>
        <w:jc w:val="left"/>
      </w:pPr>
      <w:r>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b/>
          <w:sz w:val="28"/>
        </w:rPr>
        <w:t>5.2.评标委员会</w:t>
      </w:r>
    </w:p>
    <w:p>
      <w:pPr>
        <w:pStyle w:val="null3"/>
        <w:ind w:firstLine="480"/>
        <w:jc w:val="left"/>
      </w:pPr>
      <w:r>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t>四、评标委员会应当履行下列职责：</w:t>
      </w:r>
    </w:p>
    <w:p>
      <w:pPr>
        <w:pStyle w:val="null3"/>
        <w:ind w:firstLine="480"/>
        <w:jc w:val="left"/>
      </w:pPr>
      <w:r>
        <w:rPr/>
        <w:t>（一）熟悉和理解招标文件；</w:t>
      </w:r>
    </w:p>
    <w:p>
      <w:pPr>
        <w:pStyle w:val="null3"/>
        <w:ind w:firstLine="480"/>
        <w:jc w:val="left"/>
      </w:pPr>
      <w:r>
        <w:rPr/>
        <w:t>（二）审查、评价投标文件是否符合招标文件的商务、技术等实质性要求；</w:t>
      </w:r>
    </w:p>
    <w:p>
      <w:pPr>
        <w:pStyle w:val="null3"/>
        <w:ind w:firstLine="480"/>
        <w:jc w:val="left"/>
      </w:pPr>
      <w:r>
        <w:rPr/>
        <w:t>（三）对投标文件进行比较和评价；</w:t>
      </w:r>
    </w:p>
    <w:p>
      <w:pPr>
        <w:pStyle w:val="null3"/>
        <w:ind w:firstLine="480"/>
        <w:jc w:val="left"/>
      </w:pPr>
      <w:r>
        <w:rPr/>
        <w:t>（四）根据需要要求采购人、代理机构对招标文件作出解释；根据需要要求投标人对投标文件有关事项作出澄清、说明或者补正；</w:t>
      </w:r>
    </w:p>
    <w:p>
      <w:pPr>
        <w:pStyle w:val="null3"/>
        <w:ind w:firstLine="480"/>
        <w:jc w:val="left"/>
      </w:pPr>
      <w:r>
        <w:rPr/>
        <w:t>（五）确定中标候选人名单，以及根据采购人委托直接确定中标人；</w:t>
      </w:r>
    </w:p>
    <w:p>
      <w:pPr>
        <w:pStyle w:val="null3"/>
        <w:ind w:firstLine="480"/>
        <w:jc w:val="left"/>
      </w:pPr>
      <w:r>
        <w:rPr/>
        <w:t>（六）起草评标报告并进行签署；</w:t>
      </w:r>
    </w:p>
    <w:p>
      <w:pPr>
        <w:pStyle w:val="null3"/>
        <w:ind w:firstLine="480"/>
        <w:jc w:val="left"/>
      </w:pPr>
      <w:r>
        <w:rPr/>
        <w:t>（七）向采购人、代理机构或者有关部门报告评标中发现的违法行为；</w:t>
      </w:r>
    </w:p>
    <w:p>
      <w:pPr>
        <w:pStyle w:val="null3"/>
        <w:ind w:firstLine="480"/>
        <w:jc w:val="left"/>
      </w:pPr>
      <w:r>
        <w:rPr/>
        <w:t>（八）法律、法规和规章规定的其他职责。</w:t>
      </w:r>
    </w:p>
    <w:p>
      <w:pPr>
        <w:pStyle w:val="null3"/>
        <w:jc w:val="left"/>
        <w:outlineLvl w:val="2"/>
      </w:pPr>
      <w:r>
        <w:rPr>
          <w:b/>
          <w:sz w:val="28"/>
        </w:rPr>
        <w:t>5.3.评标程序</w:t>
      </w:r>
    </w:p>
    <w:p>
      <w:pPr>
        <w:pStyle w:val="null3"/>
        <w:jc w:val="left"/>
        <w:outlineLvl w:val="3"/>
      </w:pPr>
      <w:r>
        <w:rPr>
          <w:b/>
          <w:sz w:val="24"/>
        </w:rPr>
        <w:t>5.3.1.熟悉和理解招标文件</w:t>
      </w:r>
    </w:p>
    <w:p>
      <w:pPr>
        <w:pStyle w:val="null3"/>
        <w:ind w:firstLine="480"/>
        <w:jc w:val="left"/>
      </w:pPr>
      <w:r>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b/>
          <w:sz w:val="24"/>
        </w:rPr>
        <w:t>5.3.2.停止评标的情形</w:t>
      </w:r>
    </w:p>
    <w:p>
      <w:pPr>
        <w:pStyle w:val="null3"/>
        <w:ind w:firstLine="480"/>
        <w:jc w:val="left"/>
      </w:pPr>
      <w:r>
        <w:rPr/>
        <w:t>本招标文件有下列情形之一的，评标委员会应当停止评标：</w:t>
      </w:r>
    </w:p>
    <w:p>
      <w:pPr>
        <w:pStyle w:val="null3"/>
        <w:ind w:firstLine="480"/>
        <w:jc w:val="left"/>
      </w:pPr>
      <w:r>
        <w:rPr/>
        <w:t>一、招标文件的规定存在歧义、重大缺陷，导致评标工作无法进行的；</w:t>
      </w:r>
    </w:p>
    <w:p>
      <w:pPr>
        <w:pStyle w:val="null3"/>
        <w:ind w:firstLine="480"/>
        <w:jc w:val="left"/>
      </w:pPr>
      <w:r>
        <w:rPr/>
        <w:t>二、招标文件明显以不合理条件对投标人实行差别待遇或者歧视待遇的；</w:t>
      </w:r>
    </w:p>
    <w:p>
      <w:pPr>
        <w:pStyle w:val="null3"/>
        <w:ind w:firstLine="480"/>
        <w:jc w:val="left"/>
      </w:pPr>
      <w:r>
        <w:rPr/>
        <w:t>三、采购项目属于国家规定的优先、强制采购范围，但是招标文件未依法体现优先、强制采购相关规定的；</w:t>
      </w:r>
    </w:p>
    <w:p>
      <w:pPr>
        <w:pStyle w:val="null3"/>
        <w:ind w:firstLine="480"/>
        <w:jc w:val="left"/>
      </w:pPr>
      <w:r>
        <w:rPr/>
        <w:t>四、采购项目属于政府采购促进中小企业发展的范围，但是招标文件未依法体现促进中小企业发展相关规定的；</w:t>
      </w:r>
    </w:p>
    <w:p>
      <w:pPr>
        <w:pStyle w:val="null3"/>
        <w:ind w:firstLine="480"/>
        <w:jc w:val="left"/>
      </w:pPr>
      <w:r>
        <w:rPr/>
        <w:t>五、招标文件规定的评标方法是综合评分法、最低评标价法之外的评标方法，或者虽然名称为综合评分法、最低评标价法，但实际上不符合国家规定的；</w:t>
      </w:r>
    </w:p>
    <w:p>
      <w:pPr>
        <w:pStyle w:val="null3"/>
        <w:ind w:firstLine="480"/>
        <w:jc w:val="left"/>
      </w:pPr>
      <w:r>
        <w:rPr/>
        <w:t>六、招标文件将投标人的资格条件列为评分因素的；</w:t>
      </w:r>
    </w:p>
    <w:p>
      <w:pPr>
        <w:pStyle w:val="null3"/>
        <w:ind w:firstLine="480"/>
        <w:jc w:val="left"/>
      </w:pPr>
      <w:r>
        <w:rPr/>
        <w:t>七、招标文件有违反国家其他有关强制性规定的情形。</w:t>
      </w:r>
    </w:p>
    <w:p>
      <w:pPr>
        <w:pStyle w:val="null3"/>
        <w:ind w:firstLine="480"/>
        <w:jc w:val="left"/>
      </w:pPr>
      <w:r>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b/>
          <w:sz w:val="24"/>
        </w:rPr>
        <w:t>5.3.3.符合性审查</w:t>
      </w:r>
    </w:p>
    <w:p>
      <w:pPr>
        <w:pStyle w:val="null3"/>
        <w:ind w:firstLine="480"/>
        <w:jc w:val="left"/>
      </w:pPr>
      <w:r>
        <w:rPr/>
        <w:t>评标委员会依据本招标文件的符合性审查要求，对符合资格要求投标人的投标文件进行符合性审查。</w:t>
      </w:r>
    </w:p>
    <w:p>
      <w:pPr>
        <w:pStyle w:val="null3"/>
        <w:ind w:firstLine="480"/>
        <w:jc w:val="left"/>
      </w:pPr>
      <w:r>
        <w:rPr/>
        <w:t>在符合性审查过程中，如果出现评标委员会成员意见不一致的情况，按照少数服从多数的原则确定，但不得违反政府采购基本原则和招标文件规定。</w:t>
      </w:r>
    </w:p>
    <w:p>
      <w:pPr>
        <w:pStyle w:val="null3"/>
        <w:ind w:firstLine="480"/>
        <w:jc w:val="left"/>
      </w:pPr>
      <w:r>
        <w:rPr/>
        <w:t>符合性审查标准见下表：</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除采购文件中的明确要求进行单独响应或承诺的实质性要求外，对于其他实质性要求，供应商在《投标(响应)函》中以“十四、我单位完全接受和理解本项目采购文件规定的实质性要求”进行承诺即视为响应。</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低于成本价不正当竞争预防措施</w:t>
            </w:r>
          </w:p>
        </w:tc>
        <w:tc>
          <w:tcPr>
            <w:tcW w:type="dxa" w:w="3322"/>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910"/>
          </w:tcPr>
          <w:p>
            <w:pPr>
              <w:pStyle w:val="null3"/>
              <w:jc w:val="left"/>
            </w:pPr>
            <w:r>
              <w:rPr/>
              <w:t>报价一览表 报价明细表</w:t>
            </w:r>
          </w:p>
        </w:tc>
      </w:tr>
      <w:tr>
        <w:tc>
          <w:tcPr>
            <w:tcW w:type="dxa" w:w="581"/>
          </w:tcPr>
          <w:p>
            <w:pPr>
              <w:pStyle w:val="null3"/>
              <w:jc w:val="center"/>
            </w:pPr>
            <w:r>
              <w:rPr/>
              <w:t>3</w:t>
            </w:r>
          </w:p>
        </w:tc>
        <w:tc>
          <w:tcPr>
            <w:tcW w:type="dxa" w:w="2492"/>
          </w:tcPr>
          <w:p>
            <w:pPr>
              <w:pStyle w:val="null3"/>
              <w:jc w:val="left"/>
            </w:pPr>
            <w:r>
              <w:rPr/>
              <w:t>其他实质性要求</w:t>
            </w:r>
          </w:p>
        </w:tc>
        <w:tc>
          <w:tcPr>
            <w:tcW w:type="dxa" w:w="3322"/>
          </w:tcPr>
          <w:p>
            <w:pPr>
              <w:pStyle w:val="null3"/>
              <w:jc w:val="left"/>
            </w:pPr>
            <w:r>
              <w:rPr/>
              <w:t>投标文件是否符合采购文件其他实质性要求。</w:t>
            </w:r>
          </w:p>
        </w:tc>
        <w:tc>
          <w:tcPr>
            <w:tcW w:type="dxa" w:w="1910"/>
          </w:tcPr>
          <w:p>
            <w:pPr>
              <w:pStyle w:val="null3"/>
              <w:jc w:val="left"/>
            </w:pPr>
            <w:r>
              <w:rPr/>
              <w:t>技术、服务及其他要求应答表 知识产权声明函 投标文件封面</w:t>
            </w:r>
          </w:p>
        </w:tc>
      </w:tr>
    </w:tbl>
    <w:p>
      <w:pPr>
        <w:pStyle w:val="null3"/>
        <w:ind w:firstLine="480"/>
        <w:jc w:val="left"/>
      </w:pPr>
      <w:r>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b/>
          <w:sz w:val="24"/>
        </w:rPr>
        <w:t>5.3.4.解释、澄清、说明的有关问题</w:t>
      </w:r>
    </w:p>
    <w:p>
      <w:pPr>
        <w:pStyle w:val="null3"/>
        <w:ind w:firstLine="480"/>
        <w:jc w:val="left"/>
      </w:pPr>
      <w:r>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t>三、投标文件报价出现前后不一致的，除招标文件另有规定外，按照下列规定修正：</w:t>
      </w:r>
    </w:p>
    <w:p>
      <w:pPr>
        <w:pStyle w:val="null3"/>
        <w:ind w:firstLine="480"/>
        <w:jc w:val="left"/>
      </w:pPr>
      <w:r>
        <w:rPr/>
        <w:t>（一）投标文件中报价表内容与投标文件中相应内容不一致的，以报价表为准；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t>四、对不同语言文本投标文件的解释发生异议的，以中文文本为准。</w:t>
      </w:r>
    </w:p>
    <w:p>
      <w:pPr>
        <w:pStyle w:val="null3"/>
        <w:ind w:firstLine="480"/>
        <w:jc w:val="left"/>
      </w:pPr>
      <w:r>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b/>
          <w:sz w:val="24"/>
        </w:rPr>
        <w:t>5.3.5.比较与评价</w:t>
      </w:r>
    </w:p>
    <w:p>
      <w:pPr>
        <w:pStyle w:val="null3"/>
        <w:ind w:firstLine="480"/>
        <w:jc w:val="left"/>
      </w:pPr>
      <w:r>
        <w:rPr/>
        <w:t>评标委员会应当按照招标文件规定的评标细则及标准，对符合性审查合格的投标文件进行商务和技术评估，综合比较和评价。</w:t>
      </w:r>
    </w:p>
    <w:p>
      <w:pPr>
        <w:pStyle w:val="null3"/>
        <w:jc w:val="left"/>
        <w:outlineLvl w:val="3"/>
      </w:pPr>
      <w:r>
        <w:rPr>
          <w:b/>
          <w:sz w:val="24"/>
        </w:rPr>
        <w:t>5.3.6.评标委员会复核</w:t>
      </w:r>
    </w:p>
    <w:p>
      <w:pPr>
        <w:pStyle w:val="null3"/>
        <w:ind w:firstLine="480"/>
        <w:jc w:val="left"/>
      </w:pPr>
      <w:r>
        <w:rPr/>
        <w:t>评分汇总结束后，评标委员会应当进行复核，对拟推荐为中标候选人的、报价最低的、投标文件被认定为无效的进行重点复核。</w:t>
      </w:r>
    </w:p>
    <w:p>
      <w:pPr>
        <w:pStyle w:val="null3"/>
        <w:jc w:val="left"/>
        <w:outlineLvl w:val="3"/>
      </w:pPr>
      <w:r>
        <w:rPr>
          <w:b/>
          <w:sz w:val="24"/>
        </w:rPr>
        <w:t>5.3.7.代理机构现场复核评审结果</w:t>
      </w:r>
    </w:p>
    <w:p>
      <w:pPr>
        <w:pStyle w:val="null3"/>
        <w:ind w:firstLine="480"/>
        <w:jc w:val="left"/>
      </w:pPr>
      <w:r>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t>（一）分值汇总计算错误的；</w:t>
      </w:r>
    </w:p>
    <w:p>
      <w:pPr>
        <w:pStyle w:val="null3"/>
        <w:ind w:firstLine="480"/>
        <w:jc w:val="left"/>
      </w:pPr>
      <w:r>
        <w:rPr/>
        <w:t>（二）分项评分超出评分标准范围的；</w:t>
      </w:r>
    </w:p>
    <w:p>
      <w:pPr>
        <w:pStyle w:val="null3"/>
        <w:ind w:firstLine="480"/>
        <w:jc w:val="left"/>
      </w:pPr>
      <w:r>
        <w:rPr/>
        <w:t>（三）评标委员会成员对客观评审因素评分不一致的；</w:t>
      </w:r>
    </w:p>
    <w:p>
      <w:pPr>
        <w:pStyle w:val="null3"/>
        <w:ind w:firstLine="480"/>
        <w:jc w:val="left"/>
      </w:pPr>
      <w:r>
        <w:rPr/>
        <w:t>（四）经评标委员会认定评分畸高、畸低的。</w:t>
      </w:r>
    </w:p>
    <w:p>
      <w:pPr>
        <w:pStyle w:val="null3"/>
        <w:ind w:firstLine="480"/>
        <w:jc w:val="left"/>
      </w:pPr>
      <w:r>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t>三、代理机构复核过程中，评标委员会成员不得离开评审现场。</w:t>
      </w:r>
    </w:p>
    <w:p>
      <w:pPr>
        <w:pStyle w:val="null3"/>
        <w:jc w:val="left"/>
        <w:outlineLvl w:val="3"/>
      </w:pPr>
      <w:r>
        <w:rPr>
          <w:b/>
          <w:sz w:val="24"/>
        </w:rPr>
        <w:t>5.3.8.确定中标候选人名单</w:t>
      </w:r>
    </w:p>
    <w:p>
      <w:pPr>
        <w:pStyle w:val="null3"/>
        <w:ind w:firstLine="480"/>
        <w:jc w:val="left"/>
      </w:pPr>
      <w:r>
        <w:rPr/>
        <w:t>采购包1：</w:t>
      </w:r>
      <w:r>
        <w:rPr/>
        <w:t>确定3名中标候选人。</w:t>
      </w:r>
    </w:p>
    <w:p>
      <w:pPr>
        <w:pStyle w:val="null3"/>
        <w:ind w:firstLine="480"/>
        <w:jc w:val="left"/>
      </w:pPr>
      <w:r>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b/>
          <w:sz w:val="24"/>
        </w:rPr>
        <w:t>5.3.9.出具评标报告</w:t>
      </w:r>
    </w:p>
    <w:p>
      <w:pPr>
        <w:pStyle w:val="null3"/>
        <w:ind w:firstLine="480"/>
        <w:jc w:val="left"/>
      </w:pPr>
      <w:r>
        <w:rPr/>
        <w:t>评标报告是评标委员会根据全体评标成员签署的评标记录和评标结果编写的报告，其主要内容包括：</w:t>
      </w:r>
    </w:p>
    <w:p>
      <w:pPr>
        <w:pStyle w:val="null3"/>
        <w:ind w:firstLine="480"/>
        <w:jc w:val="left"/>
      </w:pPr>
      <w:r>
        <w:rPr/>
        <w:t>一、招标公告刊登的媒体名称、开标日期和地点；</w:t>
      </w:r>
    </w:p>
    <w:p>
      <w:pPr>
        <w:pStyle w:val="null3"/>
        <w:ind w:firstLine="480"/>
        <w:jc w:val="left"/>
      </w:pPr>
      <w:r>
        <w:rPr/>
        <w:t>二、投标人名单和评标委员会成员名单；</w:t>
      </w:r>
    </w:p>
    <w:p>
      <w:pPr>
        <w:pStyle w:val="null3"/>
        <w:ind w:firstLine="480"/>
        <w:jc w:val="left"/>
      </w:pPr>
      <w:r>
        <w:rPr/>
        <w:t>三、评标方法和标准；</w:t>
      </w:r>
    </w:p>
    <w:p>
      <w:pPr>
        <w:pStyle w:val="null3"/>
        <w:ind w:firstLine="480"/>
        <w:jc w:val="left"/>
      </w:pPr>
      <w:r>
        <w:rPr/>
        <w:t>四、开标记录和评标情况及说明，包括投标无效投标人名单及原因；</w:t>
      </w:r>
    </w:p>
    <w:p>
      <w:pPr>
        <w:pStyle w:val="null3"/>
        <w:ind w:firstLine="480"/>
        <w:jc w:val="left"/>
      </w:pPr>
      <w:r>
        <w:rPr/>
        <w:t>五、评标结果，确定的中标候选人名单或者经采购人委托直接确定的中标人；</w:t>
      </w:r>
    </w:p>
    <w:p>
      <w:pPr>
        <w:pStyle w:val="null3"/>
        <w:ind w:firstLine="480"/>
        <w:jc w:val="left"/>
      </w:pPr>
      <w:r>
        <w:rPr/>
        <w:t>六、其他需要说明的情况，包括评标过程中投标人根据评标委员会要求进行的澄清、说明或者补正，评标委员会成员的更换等；</w:t>
      </w:r>
    </w:p>
    <w:p>
      <w:pPr>
        <w:pStyle w:val="null3"/>
        <w:ind w:firstLine="480"/>
        <w:jc w:val="left"/>
      </w:pPr>
      <w:r>
        <w:rPr/>
        <w:t>七、报价最高的投标人为中标候选人的，评标委员会应当对其报价的合理性予以特别说明。</w:t>
      </w:r>
    </w:p>
    <w:p>
      <w:pPr>
        <w:pStyle w:val="null3"/>
        <w:ind w:firstLine="480"/>
        <w:jc w:val="left"/>
      </w:pPr>
      <w:r>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b/>
          <w:sz w:val="24"/>
        </w:rPr>
        <w:t>5.3.10评标争议处理规则</w:t>
      </w:r>
    </w:p>
    <w:p>
      <w:pPr>
        <w:pStyle w:val="null3"/>
        <w:ind w:firstLine="480"/>
        <w:jc w:val="left"/>
      </w:pPr>
      <w:r>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b/>
          <w:sz w:val="28"/>
        </w:rPr>
        <w:t>5.4.评标方法、细则及标准</w:t>
      </w:r>
    </w:p>
    <w:p>
      <w:pPr>
        <w:pStyle w:val="null3"/>
        <w:jc w:val="left"/>
        <w:outlineLvl w:val="3"/>
      </w:pPr>
      <w:r>
        <w:rPr>
          <w:b/>
          <w:sz w:val="24"/>
        </w:rPr>
        <w:t>5.4.1.评标方法</w:t>
      </w:r>
    </w:p>
    <w:p>
      <w:pPr>
        <w:pStyle w:val="null3"/>
        <w:ind w:firstLine="480"/>
        <w:jc w:val="left"/>
      </w:pPr>
      <w:r>
        <w:rPr/>
        <w:t>（一）若采用综合评分法的，由评标委员会各成员对通过资格审查和符合性审查的投标人的投标文件进行独立评标。</w:t>
      </w:r>
    </w:p>
    <w:p>
      <w:pPr>
        <w:pStyle w:val="null3"/>
        <w:ind w:firstLine="960"/>
        <w:jc w:val="left"/>
      </w:pPr>
      <w:r>
        <w:rPr/>
        <w:t>投标报价得分=（评标基准价／投标报价）×100</w:t>
      </w:r>
    </w:p>
    <w:p>
      <w:pPr>
        <w:pStyle w:val="null3"/>
        <w:ind w:firstLine="960"/>
        <w:jc w:val="left"/>
      </w:pPr>
      <w:r>
        <w:rPr/>
        <w:t>评标总得分＝F1×A1＋F2×A2＋……＋Fn×An</w:t>
      </w:r>
    </w:p>
    <w:p>
      <w:pPr>
        <w:pStyle w:val="null3"/>
        <w:ind w:firstLine="960"/>
        <w:jc w:val="left"/>
      </w:pPr>
      <w:r>
        <w:rPr/>
        <w:t>F1、F2……Fn分别为各项评审因素的得分；</w:t>
      </w:r>
    </w:p>
    <w:p>
      <w:pPr>
        <w:pStyle w:val="null3"/>
        <w:ind w:firstLine="960"/>
        <w:jc w:val="left"/>
      </w:pPr>
      <w:r>
        <w:rPr/>
        <w:t>A1、A2、……An 分别为各项评审因素所占的权重（A1＋A2＋……＋An＝1）。</w:t>
      </w:r>
    </w:p>
    <w:p>
      <w:pPr>
        <w:pStyle w:val="null3"/>
        <w:ind w:firstLine="480"/>
        <w:jc w:val="left"/>
      </w:pPr>
      <w:r>
        <w:rPr/>
        <w:t>评标过程中，不得去掉报价中的最高报价和最低报价。</w:t>
      </w:r>
    </w:p>
    <w:p>
      <w:pPr>
        <w:pStyle w:val="null3"/>
        <w:ind w:firstLine="480"/>
        <w:jc w:val="left"/>
      </w:pPr>
      <w:r>
        <w:rPr/>
        <w:t>说明：</w:t>
      </w:r>
    </w:p>
    <w:p>
      <w:pPr>
        <w:pStyle w:val="null3"/>
        <w:ind w:firstLine="480"/>
        <w:jc w:val="left"/>
      </w:pPr>
      <w:r>
        <w:rPr/>
        <w:t>1.评分的取值按四舍五入法，保留小数点后两位；</w:t>
      </w:r>
    </w:p>
    <w:p>
      <w:pPr>
        <w:pStyle w:val="null3"/>
        <w:ind w:firstLine="480"/>
        <w:jc w:val="left"/>
      </w:pPr>
      <w:r>
        <w:rPr/>
        <w:t>2.评分标准中要求提供的证明材料须清晰可辨。</w:t>
      </w:r>
    </w:p>
    <w:p>
      <w:pPr>
        <w:pStyle w:val="null3"/>
        <w:ind w:firstLine="480"/>
        <w:jc w:val="left"/>
      </w:pPr>
      <w:r>
        <w:rPr/>
        <w:t>因落实政府采购政策进行价格调整的，以调整后的价格计算评标基准价和投标报价。</w:t>
      </w:r>
    </w:p>
    <w:p>
      <w:pPr>
        <w:pStyle w:val="null3"/>
        <w:ind w:firstLine="480"/>
        <w:jc w:val="left"/>
      </w:pPr>
      <w:r>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b/>
          <w:sz w:val="24"/>
        </w:rPr>
        <w:t>5.4.2.评标细则及标准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详细评审80.00分</w:t>
            </w:r>
          </w:p>
          <w:p>
            <w:pPr>
              <w:pStyle w:val="null3"/>
              <w:jc w:val="left"/>
            </w:pPr>
            <w:r>
              <w:rPr/>
              <w:t>报价得分20.00分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技术指标和配置</w:t>
            </w:r>
          </w:p>
        </w:tc>
        <w:tc>
          <w:tcPr>
            <w:tcW w:type="dxa" w:w="2575"/>
          </w:tcPr>
          <w:p>
            <w:pPr>
              <w:pStyle w:val="null3"/>
              <w:jc w:val="left"/>
            </w:pPr>
            <w:r>
              <w:rPr/>
              <w:t>供应商完全满足招标文件技术参数要求的得31.5分,带“▲”的重要参数(共14项)每负偏离一项扣1.5分，带“◎”的一般参数(共40项)每负偏离项扣0.2625分。本项最多扣31.5分。 注：1.带“▲”的参数如果重要参数条款▲中对技术支撑材料有要求的则按要求提供，否则对应条款将视为不满足。并加盖供应商电子章，不提供不得分。 2.项目技术指标及要求以序号技术参数条款数以序号“1、2、3……”为计数范围，如序号下有更低层级的则以最低层级计算，较高层级不计入计数范围。</w:t>
            </w:r>
          </w:p>
        </w:tc>
        <w:tc>
          <w:tcPr>
            <w:tcW w:type="dxa" w:w="831"/>
          </w:tcPr>
          <w:p>
            <w:pPr>
              <w:pStyle w:val="null3"/>
              <w:jc w:val="center"/>
            </w:pPr>
            <w:r>
              <w:rPr/>
              <w:t>31.50</w:t>
            </w:r>
          </w:p>
        </w:tc>
        <w:tc>
          <w:tcPr>
            <w:tcW w:type="dxa" w:w="748"/>
          </w:tcPr>
          <w:p>
            <w:pPr>
              <w:pStyle w:val="null3"/>
              <w:jc w:val="center"/>
            </w:pPr>
            <w:r>
              <w:rPr/>
              <w:t>客观</w:t>
            </w:r>
          </w:p>
        </w:tc>
        <w:tc>
          <w:tcPr>
            <w:tcW w:type="dxa" w:w="1661"/>
          </w:tcPr>
          <w:p>
            <w:pPr>
              <w:pStyle w:val="null3"/>
              <w:jc w:val="left"/>
            </w:pPr>
            <w:r>
              <w:rPr/>
              <w:t>技术、服务及其他要求应答表</w:t>
            </w:r>
          </w:p>
          <w:p>
            <w:pPr>
              <w:pStyle w:val="null3"/>
              <w:jc w:val="left"/>
            </w:pPr>
            <w:r>
              <w:rPr/>
              <w:t>其他投标人认为需要提供的文件和资料</w:t>
            </w:r>
          </w:p>
        </w:tc>
      </w:tr>
      <w:tr>
        <w:tc>
          <w:tcPr>
            <w:tcW w:type="dxa" w:w="831"/>
            <w:vMerge/>
          </w:tcPr>
          <w:p/>
        </w:tc>
        <w:tc>
          <w:tcPr>
            <w:tcW w:type="dxa" w:w="1661"/>
          </w:tcPr>
          <w:p>
            <w:pPr>
              <w:pStyle w:val="null3"/>
              <w:jc w:val="left"/>
            </w:pPr>
            <w:r>
              <w:rPr/>
              <w:t>项目实施方案</w:t>
            </w:r>
          </w:p>
        </w:tc>
        <w:tc>
          <w:tcPr>
            <w:tcW w:type="dxa" w:w="2575"/>
          </w:tcPr>
          <w:p>
            <w:pPr>
              <w:pStyle w:val="null3"/>
              <w:jc w:val="left"/>
            </w:pPr>
            <w:r>
              <w:rPr/>
              <w:t>1.根据投标人或供应商供应商针对本项目提出的项目实施方案进行评审，内容包含但不限于：①系统的主要流程②人员配置③建设需求分析及项目总体框架设计方案④系统性能设计方案⑤项目重难点分析及合理化建议⑥工期管控及进度安排⑦质量保证措施等，该方案完全符合本项目采购需求得17.5分，每缺少一项内容扣2.5分，每有一处存在内容缺陷的扣1.25分，最多扣17.5分，不提供不得分。 2.根据投标人或供应商针对本项目提出的售后服务方案进行评审，内容包括但不限于：①售后服务计划②应急响应措施③服务承诺④培训计划等，该方案完全符合本项目采购需求得6分，每缺少一项内容扣1.5分，每有一处存在内容缺陷的扣0.75分，最多扣6分，不提供不得分。 注：内容缺陷是指非专门针对本项目或不适用项目特性的情形、内容不完整或缺少关键节点、套用其他项目方案、内容前后矛盾、涉及的规范及标准错误、不利于项目实施、不可能实现的情形等任意一种情形。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center"/>
            </w:pPr>
            <w:r>
              <w:rPr/>
              <w:t>23.50</w:t>
            </w:r>
          </w:p>
        </w:tc>
        <w:tc>
          <w:tcPr>
            <w:tcW w:type="dxa" w:w="748"/>
          </w:tcPr>
          <w:p>
            <w:pPr>
              <w:pStyle w:val="null3"/>
              <w:jc w:val="center"/>
            </w:pPr>
            <w:r>
              <w:rPr/>
              <w:t>主观</w:t>
            </w:r>
          </w:p>
        </w:tc>
        <w:tc>
          <w:tcPr>
            <w:tcW w:type="dxa" w:w="1661"/>
          </w:tcPr>
          <w:p>
            <w:pPr>
              <w:pStyle w:val="null3"/>
              <w:jc w:val="left"/>
            </w:pPr>
            <w:r>
              <w:rPr/>
              <w:t>项目实施方案</w:t>
            </w:r>
          </w:p>
          <w:p>
            <w:pPr>
              <w:pStyle w:val="null3"/>
              <w:jc w:val="left"/>
            </w:pPr>
            <w:r>
              <w:rPr/>
              <w:t>其他投标人认为需要提供的文件和资料</w:t>
            </w:r>
          </w:p>
        </w:tc>
      </w:tr>
      <w:tr>
        <w:tc>
          <w:tcPr>
            <w:tcW w:type="dxa" w:w="831"/>
            <w:vMerge/>
          </w:tcPr>
          <w:p/>
        </w:tc>
        <w:tc>
          <w:tcPr>
            <w:tcW w:type="dxa" w:w="1661"/>
          </w:tcPr>
          <w:p>
            <w:pPr>
              <w:pStyle w:val="null3"/>
              <w:jc w:val="left"/>
            </w:pPr>
            <w:r>
              <w:rPr/>
              <w:t>人员配置</w:t>
            </w:r>
          </w:p>
        </w:tc>
        <w:tc>
          <w:tcPr>
            <w:tcW w:type="dxa" w:w="2575"/>
          </w:tcPr>
          <w:p>
            <w:pPr>
              <w:pStyle w:val="null3"/>
              <w:jc w:val="left"/>
            </w:pPr>
            <w:r>
              <w:rPr/>
              <w:t>1.供应商针对本项目拟派的项目负责人具有计算机技术与软件专业技术资格(水平)考试证书(高级)得2.2分。 2.供应商针对本项目拟派的其它工作人员应具有计算机技术与软件专业技术资格(水平)考试证书。每提供中级证书1个得0.75分，最多得3分； 3.供应商针对本项目拟派的其它工作人员应具有计算机技术与软件专业技术资格(水平)考试证书。每提供高级证书1个得1.9分，最多得3.8分 注:1.提供证书复印件并加盖供应商电子章，否则不予认可。 2.人员不重复计分。</w:t>
            </w:r>
          </w:p>
        </w:tc>
        <w:tc>
          <w:tcPr>
            <w:tcW w:type="dxa" w:w="831"/>
          </w:tcPr>
          <w:p>
            <w:pPr>
              <w:pStyle w:val="null3"/>
              <w:jc w:val="center"/>
            </w:pPr>
            <w:r>
              <w:rPr/>
              <w:t>9.00</w:t>
            </w:r>
          </w:p>
        </w:tc>
        <w:tc>
          <w:tcPr>
            <w:tcW w:type="dxa" w:w="748"/>
          </w:tcPr>
          <w:p>
            <w:pPr>
              <w:pStyle w:val="null3"/>
              <w:jc w:val="center"/>
            </w:pPr>
            <w:r>
              <w:rPr/>
              <w:t>客观</w:t>
            </w:r>
          </w:p>
        </w:tc>
        <w:tc>
          <w:tcPr>
            <w:tcW w:type="dxa" w:w="1661"/>
          </w:tcPr>
          <w:p>
            <w:pPr>
              <w:pStyle w:val="null3"/>
              <w:jc w:val="left"/>
            </w:pPr>
            <w:r>
              <w:rPr/>
              <w:t>投标人为本项目拟配人员情况表</w:t>
            </w:r>
          </w:p>
          <w:p>
            <w:pPr>
              <w:pStyle w:val="null3"/>
              <w:jc w:val="left"/>
            </w:pPr>
            <w:r>
              <w:rPr/>
              <w:t>其他投标人认为需要提供的文件和资料</w:t>
            </w:r>
          </w:p>
        </w:tc>
      </w:tr>
      <w:tr>
        <w:tc>
          <w:tcPr>
            <w:tcW w:type="dxa" w:w="831"/>
            <w:vMerge/>
          </w:tcPr>
          <w:p/>
        </w:tc>
        <w:tc>
          <w:tcPr>
            <w:tcW w:type="dxa" w:w="1661"/>
          </w:tcPr>
          <w:p>
            <w:pPr>
              <w:pStyle w:val="null3"/>
              <w:jc w:val="left"/>
            </w:pPr>
            <w:r>
              <w:rPr/>
              <w:t>业绩</w:t>
            </w:r>
          </w:p>
        </w:tc>
        <w:tc>
          <w:tcPr>
            <w:tcW w:type="dxa" w:w="2575"/>
          </w:tcPr>
          <w:p>
            <w:pPr>
              <w:pStyle w:val="null3"/>
              <w:jc w:val="left"/>
            </w:pPr>
            <w:r>
              <w:rPr/>
              <w:t>供应商2021年1月1日（含）至投标文件递交截止之日止，具有类似业绩，每提供一个得2分，最多得6分。不提供不得分。 注：提供合同复印件并加盖供应商电子章。</w:t>
            </w:r>
          </w:p>
        </w:tc>
        <w:tc>
          <w:tcPr>
            <w:tcW w:type="dxa" w:w="831"/>
          </w:tcPr>
          <w:p>
            <w:pPr>
              <w:pStyle w:val="null3"/>
              <w:jc w:val="center"/>
            </w:pPr>
            <w:r>
              <w:rPr/>
              <w:t>6.00</w:t>
            </w:r>
          </w:p>
        </w:tc>
        <w:tc>
          <w:tcPr>
            <w:tcW w:type="dxa" w:w="748"/>
          </w:tcPr>
          <w:p>
            <w:pPr>
              <w:pStyle w:val="null3"/>
              <w:jc w:val="center"/>
            </w:pPr>
            <w:r>
              <w:rPr/>
              <w:t>客观</w:t>
            </w:r>
          </w:p>
        </w:tc>
        <w:tc>
          <w:tcPr>
            <w:tcW w:type="dxa" w:w="1661"/>
          </w:tcPr>
          <w:p>
            <w:pPr>
              <w:pStyle w:val="null3"/>
              <w:jc w:val="left"/>
            </w:pPr>
            <w:r>
              <w:rPr/>
              <w:t>投标人类似项目业绩一览表</w:t>
            </w:r>
          </w:p>
          <w:p>
            <w:pPr>
              <w:pStyle w:val="null3"/>
              <w:jc w:val="left"/>
            </w:pPr>
            <w:r>
              <w:rPr/>
              <w:t>其他投标人认为需要提供的文件和资料</w:t>
            </w:r>
          </w:p>
        </w:tc>
      </w:tr>
      <w:tr>
        <w:tc>
          <w:tcPr>
            <w:tcW w:type="dxa" w:w="831"/>
            <w:vMerge/>
          </w:tcPr>
          <w:p/>
        </w:tc>
        <w:tc>
          <w:tcPr>
            <w:tcW w:type="dxa" w:w="1661"/>
          </w:tcPr>
          <w:p>
            <w:pPr>
              <w:pStyle w:val="null3"/>
              <w:jc w:val="left"/>
            </w:pPr>
            <w:r>
              <w:rPr/>
              <w:t>演示项目</w:t>
            </w:r>
          </w:p>
        </w:tc>
        <w:tc>
          <w:tcPr>
            <w:tcW w:type="dxa" w:w="2575"/>
          </w:tcPr>
          <w:p>
            <w:pPr>
              <w:pStyle w:val="null3"/>
              <w:jc w:val="left"/>
            </w:pPr>
            <w:r>
              <w:rPr/>
              <w:t>系统参数要求中，对演示参数（带“●”的条款）进行演示： 演示时间不超过15分钟。 通过使用软件演示技术参数，真实环境（展示形式除图片、PPT以外）下演示，设备和网络自带。每有一条成功演示的得2分，未演示成功或未演示不得分。 现场演示地址：成都市高新区吉泰五路香年广场T3写字楼44楼开标中心 演示到达时间：开标时间</w:t>
            </w:r>
          </w:p>
        </w:tc>
        <w:tc>
          <w:tcPr>
            <w:tcW w:type="dxa" w:w="831"/>
          </w:tcPr>
          <w:p>
            <w:pPr>
              <w:pStyle w:val="null3"/>
              <w:jc w:val="center"/>
            </w:pPr>
            <w:r>
              <w:rPr/>
              <w:t>10.00</w:t>
            </w:r>
          </w:p>
        </w:tc>
        <w:tc>
          <w:tcPr>
            <w:tcW w:type="dxa" w:w="748"/>
          </w:tcPr>
          <w:p>
            <w:pPr>
              <w:pStyle w:val="null3"/>
              <w:jc w:val="center"/>
            </w:pPr>
            <w:r>
              <w:rPr/>
              <w:t>客观</w:t>
            </w:r>
          </w:p>
        </w:tc>
        <w:tc>
          <w:tcPr>
            <w:tcW w:type="dxa" w:w="1661"/>
          </w:tcPr>
          <w:p>
            <w:pPr>
              <w:pStyle w:val="null3"/>
              <w:jc w:val="left"/>
            </w:pPr>
            <w:r>
              <w:rPr/>
              <w:t>演示项目</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1、评审价格=投标报价。2、经价格调整后的评审价格=投标报价×（1-价格调整比例）3、基准价=经价格调整后评审价格的最低值。1. 经评标委员会评审，通过资格和符合性审查，且投标报价最低的投标人的投标报价作为评标基准价。2.投标报价得分=(评标基准价／投标报价)×分值。</w:t>
            </w:r>
          </w:p>
        </w:tc>
        <w:tc>
          <w:tcPr>
            <w:tcW w:type="dxa" w:w="831"/>
          </w:tcPr>
          <w:p>
            <w:pPr>
              <w:pStyle w:val="null3"/>
              <w:jc w:val="center"/>
            </w:pPr>
            <w:r>
              <w:rPr/>
              <w:t>20.00</w:t>
            </w:r>
          </w:p>
        </w:tc>
        <w:tc>
          <w:tcPr>
            <w:tcW w:type="dxa" w:w="748"/>
          </w:tcPr>
          <w:p>
            <w:pPr>
              <w:pStyle w:val="null3"/>
              <w:jc w:val="center"/>
            </w:pPr>
            <w:r>
              <w:rPr/>
              <w:t>客观</w:t>
            </w:r>
          </w:p>
        </w:tc>
        <w:tc>
          <w:tcPr>
            <w:tcW w:type="dxa" w:w="1661"/>
          </w:tcPr>
          <w:p>
            <w:pPr>
              <w:pStyle w:val="null3"/>
              <w:jc w:val="left"/>
            </w:pPr>
            <w:r>
              <w:rPr/>
              <w:t>报价一览表</w:t>
            </w:r>
          </w:p>
          <w:p>
            <w:pPr>
              <w:pStyle w:val="null3"/>
              <w:jc w:val="left"/>
            </w:pPr>
            <w:r>
              <w:rPr/>
              <w:t>报价明细表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10.00%</w:t>
            </w:r>
          </w:p>
        </w:tc>
        <w:tc>
          <w:tcPr>
            <w:tcW w:type="dxa" w:w="1661"/>
          </w:tcPr>
          <w:p>
            <w:pPr>
              <w:pStyle w:val="null3"/>
              <w:jc w:val="left"/>
            </w:pPr>
            <w:r>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报价一览表 报价明细表 中小企业声明函 残疾人福利性单位声明函 监狱企业的证明文件</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559"/>
          </w:tcPr>
          <w:p>
            <w:pPr>
              <w:pStyle w:val="null3"/>
              <w:jc w:val="left"/>
            </w:pPr>
            <w:r>
              <w:rPr/>
              <w:t>1</w:t>
            </w:r>
          </w:p>
        </w:tc>
        <w:tc>
          <w:tcPr>
            <w:tcW w:type="dxa" w:w="2396"/>
          </w:tcPr>
          <w:p>
            <w:pPr>
              <w:pStyle w:val="null3"/>
              <w:jc w:val="left"/>
            </w:pPr>
            <w:r>
              <w:rPr/>
              <w:t>优先采购环境标志产品</w:t>
            </w:r>
          </w:p>
        </w:tc>
        <w:tc>
          <w:tcPr>
            <w:tcW w:type="dxa" w:w="2396"/>
          </w:tcPr>
          <w:p>
            <w:pPr>
              <w:pStyle w:val="null3"/>
              <w:jc w:val="left"/>
            </w:pPr>
            <w:r>
              <w:rPr/>
              <w:t>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tc>
        <w:tc>
          <w:tcPr>
            <w:tcW w:type="dxa" w:w="2955"/>
          </w:tcPr>
          <w:p>
            <w:pPr>
              <w:pStyle w:val="null3"/>
              <w:jc w:val="left"/>
            </w:pPr>
            <w:r>
              <w:rPr/>
              <w:t>其他投标人认为需要提供的文件和资料</w:t>
            </w:r>
          </w:p>
        </w:tc>
      </w:tr>
    </w:tbl>
    <w:p>
      <w:pPr>
        <w:pStyle w:val="null3"/>
        <w:jc w:val="left"/>
        <w:outlineLvl w:val="2"/>
      </w:pPr>
      <w:r>
        <w:rPr>
          <w:b/>
          <w:sz w:val="28"/>
        </w:rPr>
        <w:t>5.5.废标</w:t>
      </w:r>
    </w:p>
    <w:p>
      <w:pPr>
        <w:pStyle w:val="null3"/>
        <w:ind w:firstLine="480"/>
        <w:jc w:val="left"/>
      </w:pPr>
      <w:r>
        <w:rPr/>
        <w:t>本次政府采购活动中，出现下列情形之一的，予以废标：</w:t>
      </w:r>
    </w:p>
    <w:p>
      <w:pPr>
        <w:pStyle w:val="null3"/>
        <w:ind w:firstLine="480"/>
        <w:jc w:val="left"/>
      </w:pPr>
      <w:r>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t>二、出现影响采购公正的违法、违规行为的；</w:t>
      </w:r>
    </w:p>
    <w:p>
      <w:pPr>
        <w:pStyle w:val="null3"/>
        <w:ind w:firstLine="480"/>
        <w:jc w:val="left"/>
      </w:pPr>
      <w:r>
        <w:rPr/>
        <w:t>三、投标人的报价均超过了采购预算，采购人不能支付的；</w:t>
      </w:r>
    </w:p>
    <w:p>
      <w:pPr>
        <w:pStyle w:val="null3"/>
        <w:ind w:firstLine="480"/>
        <w:jc w:val="left"/>
      </w:pPr>
      <w:r>
        <w:rPr/>
        <w:t>四、因重大变故，采购任务取消的；</w:t>
      </w:r>
    </w:p>
    <w:p>
      <w:pPr>
        <w:pStyle w:val="null3"/>
        <w:ind w:firstLine="480"/>
        <w:jc w:val="left"/>
      </w:pPr>
      <w:r>
        <w:rPr/>
        <w:t>废标后，代理机构将在四川政府采购网上公告。</w:t>
      </w:r>
    </w:p>
    <w:p>
      <w:pPr>
        <w:pStyle w:val="null3"/>
        <w:jc w:val="left"/>
        <w:outlineLvl w:val="2"/>
      </w:pPr>
      <w:r>
        <w:rPr>
          <w:b/>
          <w:sz w:val="28"/>
        </w:rPr>
        <w:t>5.6.定标</w:t>
      </w:r>
    </w:p>
    <w:p>
      <w:pPr>
        <w:pStyle w:val="null3"/>
        <w:jc w:val="left"/>
      </w:pPr>
      <w:r>
        <w:rPr/>
        <w:t>采购人在评标报告确定的中标候选人名单中按顺序确定中标人。</w:t>
      </w:r>
    </w:p>
    <w:p>
      <w:pPr>
        <w:pStyle w:val="null3"/>
        <w:jc w:val="left"/>
      </w:pPr>
      <w:r>
        <w:rPr/>
        <w:t>一、代理机构应当在评标结束后2个工作日内将评标报告送采购人。</w:t>
      </w:r>
    </w:p>
    <w:p>
      <w:pPr>
        <w:pStyle w:val="null3"/>
        <w:jc w:val="left"/>
      </w:pPr>
      <w:r>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t>三、采购人或者代理机构应当自中标人确定之日起 2 个工作日内，在四川政府采购网公告中标结果，招标文件应当随中标结果同时公告。</w:t>
      </w:r>
    </w:p>
    <w:p>
      <w:pPr>
        <w:pStyle w:val="null3"/>
        <w:jc w:val="left"/>
        <w:outlineLvl w:val="2"/>
      </w:pPr>
      <w:r>
        <w:rPr>
          <w:b/>
          <w:sz w:val="28"/>
        </w:rPr>
        <w:t>5.7.评标委员会义务</w:t>
      </w:r>
    </w:p>
    <w:p>
      <w:pPr>
        <w:pStyle w:val="null3"/>
        <w:ind w:firstLine="480"/>
        <w:jc w:val="left"/>
      </w:pPr>
      <w:r>
        <w:rPr/>
        <w:t>评标委员会在政府采购活动中应当履行下列义务：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二、按照客观、公正、审慎的原则，根据招标文件规定的评审程序、评审方法和评审标准进行独立评审；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5.8.评标委员会成员工作纪律</w:t>
      </w:r>
    </w:p>
    <w:p>
      <w:pPr>
        <w:pStyle w:val="null3"/>
        <w:ind w:firstLine="480"/>
        <w:jc w:val="left"/>
      </w:pPr>
      <w:r>
        <w:rPr/>
        <w:t>评标委员会成员在政府采购活动中应当遵守以下工作纪律：</w:t>
      </w:r>
    </w:p>
    <w:p>
      <w:pPr>
        <w:pStyle w:val="null3"/>
        <w:ind w:firstLine="480"/>
        <w:jc w:val="left"/>
      </w:pPr>
      <w:r>
        <w:rPr/>
        <w:t>一、严格遵守政府采购法律制度关于评标委员会成员回避的规定。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七、遵守有关廉洁自律规定，不得私下接触投标人，不得收受投标人及有关业务单位和个人的财物或好处，不得接受采购人、代理机构的请托。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第六章投标文件格式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详见附件：投标人应提交的相关资格证明材料</w:t>
      </w:r>
    </w:p>
    <w:p>
      <w:pPr>
        <w:pStyle w:val="null3"/>
        <w:ind w:firstLine="960"/>
        <w:jc w:val="left"/>
      </w:pPr>
      <w:r>
        <w:rPr/>
        <w:t>详见附件：报价一览表</w:t>
      </w:r>
    </w:p>
    <w:p>
      <w:pPr>
        <w:pStyle w:val="null3"/>
        <w:ind w:firstLine="960"/>
        <w:jc w:val="left"/>
      </w:pPr>
      <w:r>
        <w:rPr/>
        <w:t>详见附件：报价明细表</w:t>
      </w:r>
    </w:p>
    <w:p>
      <w:pPr>
        <w:pStyle w:val="null3"/>
        <w:ind w:firstLine="960"/>
        <w:jc w:val="left"/>
      </w:pPr>
      <w:r>
        <w:rPr/>
        <w:t>详见附件：技术、服务及其他要求应答表</w:t>
      </w:r>
    </w:p>
    <w:p>
      <w:pPr>
        <w:pStyle w:val="null3"/>
        <w:ind w:firstLine="960"/>
        <w:jc w:val="left"/>
      </w:pPr>
      <w:r>
        <w:rPr/>
        <w:t>详见附件：具有独立承担民事责任能力的证明材料</w:t>
      </w:r>
    </w:p>
    <w:p>
      <w:pPr>
        <w:pStyle w:val="null3"/>
        <w:ind w:firstLine="960"/>
        <w:jc w:val="left"/>
      </w:pPr>
      <w:r>
        <w:rPr/>
        <w:t>详见附件：其他投标人认为需要提供的文件和资料</w:t>
      </w:r>
    </w:p>
    <w:p>
      <w:pPr>
        <w:pStyle w:val="null3"/>
        <w:ind w:firstLine="960"/>
        <w:jc w:val="left"/>
      </w:pPr>
      <w:r>
        <w:rPr/>
        <w:t>详见附件：投标人类似项目业绩一览表</w:t>
      </w:r>
    </w:p>
    <w:p>
      <w:pPr>
        <w:pStyle w:val="null3"/>
        <w:ind w:firstLine="960"/>
        <w:jc w:val="left"/>
      </w:pPr>
      <w:r>
        <w:rPr/>
        <w:t>详见附件：知识产权声明函</w:t>
      </w:r>
    </w:p>
    <w:p>
      <w:pPr>
        <w:pStyle w:val="null3"/>
        <w:ind w:firstLine="960"/>
        <w:jc w:val="left"/>
      </w:pPr>
      <w:r>
        <w:rPr/>
        <w:t>详见附件：项目实施方案</w:t>
      </w:r>
    </w:p>
    <w:p>
      <w:pPr>
        <w:pStyle w:val="null3"/>
        <w:ind w:firstLine="960"/>
        <w:jc w:val="left"/>
      </w:pPr>
      <w:r>
        <w:rPr/>
        <w:t>详见附件：投标人为本项目拟配人员情况表</w:t>
      </w:r>
    </w:p>
    <w:p>
      <w:pPr>
        <w:pStyle w:val="null3"/>
        <w:ind w:firstLine="960"/>
        <w:jc w:val="left"/>
      </w:pPr>
      <w:r>
        <w:rPr/>
        <w:t>详见附件：演示项目</w:t>
      </w:r>
    </w:p>
    <w:p>
      <w:pPr>
        <w:pStyle w:val="null3"/>
      </w:pPr>
      <w:r>
        <w:rPr/>
        <w:t xml:space="preserve"> </w:t>
        <w:br/>
        <w:br w:type="page"/>
      </w:r>
    </w:p>
    <w:p>
      <w:pPr>
        <w:pStyle w:val="null3"/>
        <w:jc w:val="center"/>
        <w:outlineLvl w:val="1"/>
      </w:pPr>
      <w:r>
        <w:rPr>
          <w:b/>
          <w:sz w:val="36"/>
        </w:rPr>
        <w:t>第七章 拟签订采购合同文本</w:t>
      </w:r>
    </w:p>
    <w:p>
      <w:pPr>
        <w:pStyle w:val="null3"/>
        <w:jc w:val="left"/>
      </w:pPr>
      <w:r>
        <w:rPr/>
        <w:t>详见附件：心理援助热线合同模板.docx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jpeg" Type="http://schemas.openxmlformats.org/officeDocument/2006/relationships/image"/><Relationship Id="rId7" Target="media/image2.jpe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