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2"/>
        <w:tblW w:w="9781"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3"/>
        <w:gridCol w:w="1517"/>
        <w:gridCol w:w="75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53" w:type="dxa"/>
            <w:vAlign w:val="center"/>
          </w:tcPr>
          <w:p>
            <w:pPr>
              <w:jc w:val="center"/>
              <w:rPr>
                <w:b/>
                <w:bCs/>
                <w:sz w:val="21"/>
                <w:szCs w:val="21"/>
              </w:rPr>
            </w:pPr>
            <w:r>
              <w:rPr>
                <w:rFonts w:hint="eastAsia"/>
                <w:b/>
                <w:bCs/>
                <w:sz w:val="21"/>
                <w:szCs w:val="21"/>
              </w:rPr>
              <w:t>序号</w:t>
            </w:r>
          </w:p>
        </w:tc>
        <w:tc>
          <w:tcPr>
            <w:tcW w:w="1517" w:type="dxa"/>
            <w:vAlign w:val="center"/>
          </w:tcPr>
          <w:p>
            <w:pPr>
              <w:jc w:val="center"/>
              <w:rPr>
                <w:b/>
                <w:bCs/>
                <w:sz w:val="21"/>
                <w:szCs w:val="21"/>
              </w:rPr>
            </w:pPr>
            <w:r>
              <w:rPr>
                <w:rFonts w:hint="eastAsia"/>
                <w:b/>
                <w:bCs/>
                <w:sz w:val="21"/>
                <w:szCs w:val="21"/>
              </w:rPr>
              <w:t>功能模块</w:t>
            </w:r>
          </w:p>
        </w:tc>
        <w:tc>
          <w:tcPr>
            <w:tcW w:w="7511" w:type="dxa"/>
            <w:vAlign w:val="center"/>
          </w:tcPr>
          <w:p>
            <w:pPr>
              <w:jc w:val="center"/>
              <w:rPr>
                <w:b/>
                <w:bCs/>
                <w:sz w:val="21"/>
                <w:szCs w:val="21"/>
              </w:rPr>
            </w:pPr>
            <w:r>
              <w:rPr>
                <w:rFonts w:hint="eastAsia"/>
                <w:b/>
                <w:bCs/>
                <w:sz w:val="21"/>
                <w:szCs w:val="21"/>
              </w:rPr>
              <w:t>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pPr>
              <w:ind w:firstLine="105" w:firstLineChars="50"/>
              <w:jc w:val="center"/>
              <w:rPr>
                <w:sz w:val="21"/>
                <w:szCs w:val="21"/>
              </w:rPr>
            </w:pPr>
            <w:r>
              <w:rPr>
                <w:rFonts w:hint="eastAsia"/>
                <w:sz w:val="21"/>
                <w:szCs w:val="21"/>
              </w:rPr>
              <w:t>1</w:t>
            </w:r>
          </w:p>
        </w:tc>
        <w:tc>
          <w:tcPr>
            <w:tcW w:w="1517" w:type="dxa"/>
            <w:vAlign w:val="center"/>
          </w:tcPr>
          <w:p>
            <w:pPr>
              <w:jc w:val="center"/>
              <w:rPr>
                <w:sz w:val="21"/>
                <w:szCs w:val="21"/>
              </w:rPr>
            </w:pPr>
            <w:r>
              <w:rPr>
                <w:rFonts w:hint="eastAsia" w:ascii="宋体" w:hAnsi="宋体" w:eastAsia="宋体" w:cs="宋体"/>
                <w:sz w:val="21"/>
                <w:szCs w:val="21"/>
              </w:rPr>
              <w:t>财务平台升级</w:t>
            </w:r>
          </w:p>
        </w:tc>
        <w:tc>
          <w:tcPr>
            <w:tcW w:w="7511" w:type="dxa"/>
          </w:tcPr>
          <w:p>
            <w:pPr>
              <w:spacing w:line="300" w:lineRule="exact"/>
              <w:jc w:val="left"/>
              <w:rPr>
                <w:rFonts w:hint="eastAsia" w:cs="宋体"/>
                <w:sz w:val="21"/>
                <w:szCs w:val="21"/>
              </w:rPr>
            </w:pPr>
            <w:r>
              <w:rPr>
                <w:rFonts w:hint="eastAsia" w:ascii="宋体" w:hAnsi="宋体" w:cs="宋体"/>
                <w:sz w:val="21"/>
                <w:szCs w:val="21"/>
              </w:rPr>
              <w:t>应实现的主要功能：</w:t>
            </w:r>
          </w:p>
          <w:p>
            <w:pPr>
              <w:spacing w:line="300" w:lineRule="exact"/>
              <w:jc w:val="left"/>
              <w:rPr>
                <w:rFonts w:ascii="宋体" w:hAnsi="宋体" w:cs="宋体"/>
                <w:sz w:val="21"/>
                <w:szCs w:val="21"/>
              </w:rPr>
            </w:pPr>
            <w:r>
              <w:rPr>
                <w:rFonts w:hint="eastAsia" w:cs="宋体"/>
                <w:sz w:val="21"/>
                <w:szCs w:val="21"/>
              </w:rPr>
              <w:t>一</w:t>
            </w:r>
            <w:r>
              <w:rPr>
                <w:rFonts w:cs="宋体"/>
                <w:sz w:val="21"/>
                <w:szCs w:val="21"/>
              </w:rPr>
              <w:t>、</w:t>
            </w:r>
            <w:r>
              <w:rPr>
                <w:rFonts w:hint="eastAsia" w:cs="宋体"/>
                <w:sz w:val="21"/>
                <w:szCs w:val="21"/>
              </w:rPr>
              <w:t>财务网上办事大厅升级</w:t>
            </w:r>
            <w:r>
              <w:rPr>
                <w:rFonts w:hint="eastAsia" w:ascii="宋体" w:hAnsi="宋体" w:cs="宋体"/>
                <w:sz w:val="21"/>
                <w:szCs w:val="21"/>
              </w:rPr>
              <w:t>系统</w:t>
            </w:r>
          </w:p>
          <w:p>
            <w:pPr>
              <w:spacing w:line="300" w:lineRule="exact"/>
              <w:jc w:val="left"/>
              <w:rPr>
                <w:rFonts w:hint="eastAsia" w:ascii="宋体" w:hAnsi="宋体" w:cs="宋体"/>
                <w:sz w:val="21"/>
                <w:szCs w:val="21"/>
              </w:rPr>
            </w:pPr>
            <w:r>
              <w:rPr>
                <w:rFonts w:hint="eastAsia" w:ascii="宋体" w:hAnsi="宋体" w:cs="宋体"/>
                <w:sz w:val="21"/>
                <w:szCs w:val="21"/>
              </w:rPr>
              <w:t>1.1身份认证：具有独立的身份认证功能，也可集成学校统一身份认证平台提供的用户验证接口实现单点登录。</w:t>
            </w:r>
          </w:p>
          <w:p>
            <w:pPr>
              <w:spacing w:line="300" w:lineRule="exact"/>
              <w:jc w:val="left"/>
              <w:rPr>
                <w:rFonts w:hint="eastAsia" w:ascii="宋体" w:hAnsi="宋体" w:cs="宋体"/>
                <w:sz w:val="21"/>
                <w:szCs w:val="21"/>
              </w:rPr>
            </w:pPr>
            <w:r>
              <w:rPr>
                <w:rFonts w:hint="eastAsia" w:ascii="宋体" w:hAnsi="宋体" w:cs="宋体"/>
                <w:sz w:val="21"/>
                <w:szCs w:val="21"/>
              </w:rPr>
              <w:t>1.2页面美观：全新的页面设计与布局，使页面更加整洁美观，为用户提供更加便捷友好的操作体验。</w:t>
            </w:r>
          </w:p>
          <w:p>
            <w:pPr>
              <w:spacing w:line="300" w:lineRule="exact"/>
              <w:jc w:val="left"/>
              <w:rPr>
                <w:rFonts w:hint="eastAsia" w:ascii="宋体" w:hAnsi="宋体" w:cs="宋体"/>
                <w:sz w:val="21"/>
                <w:szCs w:val="21"/>
                <w:lang w:val="en-US" w:eastAsia="zh-CN"/>
              </w:rPr>
            </w:pPr>
            <w:r>
              <w:rPr>
                <w:rFonts w:hint="eastAsia" w:ascii="宋体" w:hAnsi="宋体" w:cs="宋体"/>
                <w:sz w:val="21"/>
                <w:szCs w:val="21"/>
                <w:lang w:val="en-US" w:eastAsia="zh-CN"/>
              </w:rPr>
              <w:t>1.3系统集成：集成多个业务系统，用户一次登录即可访问权限范围内的所有应用，不必反复登录, 内嵌业务风格统一。</w:t>
            </w:r>
          </w:p>
          <w:p>
            <w:pPr>
              <w:spacing w:line="300" w:lineRule="exact"/>
              <w:jc w:val="left"/>
              <w:rPr>
                <w:rFonts w:hint="eastAsia" w:ascii="宋体" w:hAnsi="宋体" w:cs="宋体"/>
                <w:sz w:val="21"/>
                <w:szCs w:val="21"/>
                <w:lang w:val="en-US" w:eastAsia="zh-CN"/>
              </w:rPr>
            </w:pPr>
            <w:r>
              <w:rPr>
                <w:rFonts w:hint="eastAsia" w:ascii="宋体" w:hAnsi="宋体" w:cs="宋体"/>
                <w:sz w:val="21"/>
                <w:szCs w:val="21"/>
                <w:lang w:val="en-US" w:eastAsia="zh-CN"/>
              </w:rPr>
              <w:t>1.4定制化：系统部分功能页面可根据客户习惯和实际需求进行设置，以满足多样化的使用习惯。</w:t>
            </w:r>
          </w:p>
          <w:p>
            <w:pPr>
              <w:spacing w:line="300" w:lineRule="exact"/>
              <w:jc w:val="left"/>
              <w:rPr>
                <w:rFonts w:hint="eastAsia" w:ascii="宋体" w:hAnsi="宋体" w:cs="宋体"/>
                <w:sz w:val="21"/>
                <w:szCs w:val="21"/>
                <w:lang w:val="en-US" w:eastAsia="zh-CN"/>
              </w:rPr>
            </w:pPr>
            <w:r>
              <w:rPr>
                <w:rFonts w:hint="eastAsia" w:ascii="宋体" w:hAnsi="宋体" w:cs="宋体"/>
                <w:sz w:val="21"/>
                <w:szCs w:val="21"/>
                <w:lang w:val="en-US" w:eastAsia="zh-CN"/>
              </w:rPr>
              <w:t>1.5新增审批人授权：支持审批人审批权力转移，需要通过用户提交审批，审批通过后才能生效，代替原审批人行使新的审批权力，打印时审批单据提示审批转移过程。</w:t>
            </w:r>
          </w:p>
          <w:p>
            <w:pPr>
              <w:spacing w:line="300" w:lineRule="exact"/>
              <w:jc w:val="left"/>
              <w:rPr>
                <w:rFonts w:hint="eastAsia" w:ascii="宋体" w:hAnsi="宋体" w:cs="宋体"/>
                <w:sz w:val="21"/>
                <w:szCs w:val="21"/>
                <w:lang w:val="en-US" w:eastAsia="zh-CN"/>
              </w:rPr>
            </w:pPr>
            <w:r>
              <w:rPr>
                <w:rFonts w:hint="eastAsia" w:ascii="宋体" w:hAnsi="宋体" w:cs="宋体"/>
                <w:sz w:val="21"/>
                <w:szCs w:val="21"/>
                <w:lang w:val="en-US" w:eastAsia="zh-CN"/>
              </w:rPr>
              <w:t>1.6新增日常事务：先创建一个服务，服务类型包括申请单、文件下载等等，填写服务的基本信息和自定义表单，发布后在服务总览页面展示，供所有用户查阅。挂上后在总览里就能下载了，如在线用印或证件申请。</w:t>
            </w:r>
          </w:p>
          <w:p>
            <w:pPr>
              <w:spacing w:line="300" w:lineRule="exact"/>
              <w:jc w:val="left"/>
              <w:rPr>
                <w:rFonts w:hint="eastAsia" w:ascii="宋体" w:hAnsi="宋体" w:cs="宋体"/>
                <w:sz w:val="21"/>
                <w:szCs w:val="21"/>
                <w:lang w:val="en-US" w:eastAsia="zh-CN"/>
              </w:rPr>
            </w:pPr>
            <w:r>
              <w:rPr>
                <w:rFonts w:hint="eastAsia" w:ascii="宋体" w:hAnsi="宋体" w:cs="宋体"/>
                <w:sz w:val="21"/>
                <w:szCs w:val="21"/>
                <w:lang w:val="en-US" w:eastAsia="zh-CN"/>
              </w:rPr>
              <w:t>1.7工作台与通知：用户登录即可查看在业务系统中的待办事项，以及重要通知信息，点击链接即可跳转办理，提高工作效率。</w:t>
            </w:r>
          </w:p>
          <w:p>
            <w:pPr>
              <w:spacing w:line="300" w:lineRule="exact"/>
              <w:jc w:val="left"/>
              <w:rPr>
                <w:rFonts w:hint="eastAsia" w:ascii="宋体" w:hAnsi="宋体" w:cs="宋体"/>
                <w:sz w:val="21"/>
                <w:szCs w:val="21"/>
                <w:lang w:val="en-US" w:eastAsia="zh-CN"/>
              </w:rPr>
            </w:pPr>
            <w:r>
              <w:rPr>
                <w:rFonts w:hint="eastAsia" w:ascii="宋体" w:hAnsi="宋体" w:cs="宋体"/>
                <w:sz w:val="21"/>
                <w:szCs w:val="21"/>
                <w:lang w:val="en-US" w:eastAsia="zh-CN"/>
              </w:rPr>
              <w:t>1.8日志完备：运行日志以及用户操作，可以有效的解决发生错误后因无法复现而难以解决的问题和发生人为操作导致的问题无法找到原因等。</w:t>
            </w:r>
          </w:p>
          <w:p>
            <w:pPr>
              <w:spacing w:line="300" w:lineRule="exact"/>
              <w:jc w:val="left"/>
              <w:rPr>
                <w:rFonts w:hint="default" w:ascii="宋体" w:hAnsi="宋体" w:cs="宋体"/>
                <w:sz w:val="21"/>
                <w:szCs w:val="21"/>
                <w:lang w:val="en-US" w:eastAsia="zh-CN"/>
              </w:rPr>
            </w:pPr>
            <w:r>
              <w:rPr>
                <w:rFonts w:hint="eastAsia" w:ascii="宋体" w:hAnsi="宋体" w:cs="宋体"/>
                <w:sz w:val="21"/>
                <w:szCs w:val="21"/>
                <w:lang w:val="en-US" w:eastAsia="zh-CN"/>
              </w:rPr>
              <w:t>1.9新增建立风控中心，自定义设置传输方式，可按时间间隔，定时，支持(网报/查询/审批/薪酬/单点/微信/数据交换平台等)数据交互任务处理。</w:t>
            </w:r>
          </w:p>
          <w:p>
            <w:pPr>
              <w:spacing w:line="300" w:lineRule="exact"/>
              <w:jc w:val="left"/>
              <w:rPr>
                <w:rFonts w:hint="default" w:ascii="宋体" w:hAnsi="宋体" w:cs="宋体"/>
                <w:sz w:val="21"/>
                <w:szCs w:val="21"/>
                <w:lang w:val="en-US" w:eastAsia="zh-CN"/>
              </w:rPr>
            </w:pPr>
            <w:r>
              <w:rPr>
                <w:rFonts w:hint="eastAsia" w:ascii="宋体" w:hAnsi="宋体" w:cs="宋体"/>
                <w:sz w:val="21"/>
                <w:szCs w:val="21"/>
                <w:lang w:val="en-US" w:eastAsia="zh-CN"/>
              </w:rPr>
              <w:t>1.10系统查询界面应支持提醒借款责任人名下未核销借款，临近还款日期，弹窗提醒责任人办理延迟还款申请或者及时报销冲账。</w:t>
            </w:r>
          </w:p>
          <w:p>
            <w:pPr>
              <w:spacing w:line="300" w:lineRule="exact"/>
              <w:jc w:val="left"/>
              <w:rPr>
                <w:rFonts w:hint="eastAsia" w:ascii="宋体" w:hAnsi="宋体" w:cs="宋体"/>
                <w:sz w:val="21"/>
                <w:szCs w:val="21"/>
                <w:lang w:val="en-US" w:eastAsia="zh-CN"/>
              </w:rPr>
            </w:pPr>
            <w:r>
              <w:rPr>
                <w:rFonts w:hint="eastAsia" w:ascii="宋体" w:hAnsi="宋体" w:cs="宋体"/>
                <w:sz w:val="21"/>
                <w:szCs w:val="21"/>
                <w:lang w:val="en-US" w:eastAsia="zh-CN"/>
              </w:rPr>
              <w:t>二、查询系统升级：</w:t>
            </w:r>
          </w:p>
          <w:p>
            <w:pPr>
              <w:spacing w:line="300" w:lineRule="exact"/>
              <w:jc w:val="left"/>
              <w:rPr>
                <w:rFonts w:hint="eastAsia" w:ascii="宋体" w:hAnsi="宋体" w:cs="宋体"/>
                <w:sz w:val="21"/>
                <w:szCs w:val="21"/>
                <w:lang w:val="en-US" w:eastAsia="zh-CN"/>
              </w:rPr>
            </w:pPr>
            <w:r>
              <w:rPr>
                <w:rFonts w:hint="eastAsia" w:ascii="宋体" w:hAnsi="宋体" w:cs="宋体"/>
                <w:sz w:val="21"/>
                <w:szCs w:val="21"/>
                <w:lang w:val="en-US" w:eastAsia="zh-CN"/>
              </w:rPr>
              <w:t>2.1增加项目实时余额、预算执行、费用支出、冻结、转账等查询功能，功能更全面，满足不同的查询需求。</w:t>
            </w:r>
          </w:p>
          <w:p>
            <w:pPr>
              <w:spacing w:line="300" w:lineRule="exact"/>
              <w:jc w:val="left"/>
              <w:rPr>
                <w:rFonts w:hint="default" w:ascii="宋体" w:hAnsi="宋体" w:cs="宋体"/>
                <w:sz w:val="21"/>
                <w:szCs w:val="21"/>
                <w:lang w:val="en-US" w:eastAsia="zh-CN"/>
              </w:rPr>
            </w:pPr>
            <w:r>
              <w:rPr>
                <w:rFonts w:hint="eastAsia" w:ascii="宋体" w:hAnsi="宋体" w:cs="宋体"/>
                <w:sz w:val="21"/>
                <w:szCs w:val="21"/>
                <w:lang w:val="en-US" w:eastAsia="zh-CN"/>
              </w:rPr>
              <w:t>2.2新增决算报表打印带水印功能，还可以增加财务章，支持表格数据以透视表图的形式导出。</w:t>
            </w:r>
          </w:p>
          <w:p>
            <w:pPr>
              <w:spacing w:line="300" w:lineRule="exact"/>
              <w:jc w:val="left"/>
              <w:rPr>
                <w:rFonts w:hint="default" w:ascii="宋体" w:hAnsi="宋体" w:cs="宋体"/>
                <w:sz w:val="21"/>
                <w:szCs w:val="21"/>
                <w:lang w:val="en-US" w:eastAsia="zh-CN"/>
              </w:rPr>
            </w:pPr>
            <w:r>
              <w:rPr>
                <w:rFonts w:hint="eastAsia" w:ascii="宋体" w:hAnsi="宋体" w:cs="宋体"/>
                <w:sz w:val="21"/>
                <w:szCs w:val="21"/>
                <w:lang w:val="en-US" w:eastAsia="zh-CN"/>
              </w:rPr>
              <w:t>2.3系统界面支持中英文切换，方便外籍人员使用。</w:t>
            </w:r>
          </w:p>
          <w:p>
            <w:pPr>
              <w:spacing w:line="300" w:lineRule="exact"/>
              <w:jc w:val="left"/>
              <w:rPr>
                <w:rFonts w:hint="default" w:ascii="宋体" w:hAnsi="宋体" w:cs="宋体"/>
                <w:sz w:val="21"/>
                <w:szCs w:val="21"/>
                <w:lang w:val="en-US" w:eastAsia="zh-CN"/>
              </w:rPr>
            </w:pPr>
            <w:r>
              <w:rPr>
                <w:rFonts w:hint="eastAsia" w:ascii="宋体" w:hAnsi="宋体" w:cs="宋体"/>
                <w:sz w:val="21"/>
                <w:szCs w:val="21"/>
                <w:lang w:val="en-US" w:eastAsia="zh-CN"/>
              </w:rPr>
              <w:t>2.4支持首页项目信息智能排序。开启智能排序后，首页的项目信息显示顺序，可按照每条项目的项目明细联查频次，依次从高到低智能排序。</w:t>
            </w:r>
          </w:p>
          <w:p>
            <w:pPr>
              <w:spacing w:line="300" w:lineRule="exact"/>
              <w:jc w:val="left"/>
              <w:rPr>
                <w:rFonts w:hint="default" w:ascii="宋体" w:hAnsi="宋体" w:cs="宋体"/>
                <w:sz w:val="21"/>
                <w:szCs w:val="21"/>
                <w:lang w:val="en-US" w:eastAsia="zh-CN"/>
              </w:rPr>
            </w:pPr>
            <w:r>
              <w:rPr>
                <w:rFonts w:hint="eastAsia" w:ascii="宋体" w:hAnsi="宋体" w:cs="宋体"/>
                <w:sz w:val="21"/>
                <w:szCs w:val="21"/>
                <w:lang w:val="en-US" w:eastAsia="zh-CN"/>
              </w:rPr>
              <w:t>2.5支持多级联查明细时，回退至上级时可直接定位到上级数据，避免层层回退时无法确认刚刚查看的是哪条数据。</w:t>
            </w:r>
          </w:p>
          <w:p>
            <w:pPr>
              <w:spacing w:line="300" w:lineRule="exact"/>
              <w:jc w:val="left"/>
              <w:rPr>
                <w:rFonts w:hint="eastAsia" w:ascii="宋体" w:hAnsi="宋体" w:cs="宋体"/>
                <w:sz w:val="21"/>
                <w:szCs w:val="21"/>
                <w:lang w:val="en-US" w:eastAsia="zh-CN"/>
              </w:rPr>
            </w:pPr>
            <w:r>
              <w:rPr>
                <w:rFonts w:hint="eastAsia" w:ascii="宋体" w:hAnsi="宋体" w:cs="宋体"/>
                <w:sz w:val="21"/>
                <w:szCs w:val="21"/>
                <w:lang w:val="en-US" w:eastAsia="zh-CN"/>
              </w:rPr>
              <w:t>2.6工资信息查询模块增加身份验证开关，启用身份验证后，查询工资信息时需要输入系统登录密码或短信验证码来验证用户身份，核验通过后即可查看，保证用户信息的私密性、安全性。</w:t>
            </w:r>
          </w:p>
          <w:p>
            <w:pPr>
              <w:spacing w:line="300" w:lineRule="exact"/>
              <w:jc w:val="left"/>
              <w:rPr>
                <w:rFonts w:hint="default" w:ascii="宋体" w:hAnsi="宋体" w:cs="宋体"/>
                <w:sz w:val="21"/>
                <w:szCs w:val="21"/>
                <w:lang w:val="en-US" w:eastAsia="zh-CN"/>
              </w:rPr>
            </w:pPr>
            <w:r>
              <w:rPr>
                <w:rFonts w:hint="eastAsia" w:ascii="宋体" w:hAnsi="宋体" w:cs="宋体"/>
                <w:sz w:val="21"/>
                <w:szCs w:val="21"/>
                <w:lang w:val="en-US" w:eastAsia="zh-CN"/>
              </w:rPr>
              <w:t>2.7支持项目负责人查看报销信息功能，该功能根据项目查询对公、对私报销回单，并且对私报销回单含多人报销信息。</w:t>
            </w:r>
          </w:p>
          <w:p>
            <w:pPr>
              <w:spacing w:line="300" w:lineRule="exact"/>
              <w:jc w:val="left"/>
              <w:rPr>
                <w:rFonts w:hint="default" w:ascii="宋体" w:hAnsi="宋体" w:cs="宋体"/>
                <w:sz w:val="21"/>
                <w:szCs w:val="21"/>
                <w:lang w:val="en-US" w:eastAsia="zh-CN"/>
              </w:rPr>
            </w:pPr>
            <w:r>
              <w:rPr>
                <w:rFonts w:hint="eastAsia" w:ascii="宋体" w:hAnsi="宋体" w:cs="宋体"/>
                <w:sz w:val="21"/>
                <w:szCs w:val="21"/>
                <w:lang w:val="en-US" w:eastAsia="zh-CN"/>
              </w:rPr>
              <w:t>2.8各个页面加载速度更快，项目余额、项目明细账、影像化调阅/下载等功能查询的加载速度尤为明显，响应速度平均1~2秒。</w:t>
            </w:r>
          </w:p>
          <w:p>
            <w:pPr>
              <w:spacing w:line="300" w:lineRule="exact"/>
              <w:jc w:val="left"/>
              <w:rPr>
                <w:rFonts w:hint="default" w:ascii="宋体" w:hAnsi="宋体" w:cs="宋体"/>
                <w:sz w:val="21"/>
                <w:szCs w:val="21"/>
                <w:lang w:val="en-US" w:eastAsia="zh-CN"/>
              </w:rPr>
            </w:pPr>
            <w:r>
              <w:rPr>
                <w:rFonts w:hint="eastAsia" w:ascii="宋体" w:hAnsi="宋体" w:cs="宋体"/>
                <w:sz w:val="21"/>
                <w:szCs w:val="21"/>
                <w:lang w:val="en-US" w:eastAsia="zh-CN"/>
              </w:rPr>
              <w:t>2.9追加凭证例外功能，根据学校需求设置凭证黑名单，进入黑名单的凭证将不具备查看/下载影像化的功能。</w:t>
            </w:r>
          </w:p>
          <w:p>
            <w:pPr>
              <w:spacing w:line="300" w:lineRule="exact"/>
              <w:jc w:val="left"/>
              <w:rPr>
                <w:rFonts w:hint="default" w:ascii="宋体" w:hAnsi="宋体" w:cs="宋体"/>
                <w:sz w:val="21"/>
                <w:szCs w:val="21"/>
                <w:lang w:val="en-US" w:eastAsia="zh-CN"/>
              </w:rPr>
            </w:pPr>
            <w:r>
              <w:rPr>
                <w:rFonts w:hint="eastAsia" w:ascii="宋体" w:hAnsi="宋体" w:cs="宋体"/>
                <w:sz w:val="21"/>
                <w:szCs w:val="21"/>
                <w:lang w:val="en-US" w:eastAsia="zh-CN"/>
              </w:rPr>
              <w:t>2.10支持对银行来款进行管理，来款登记，来款发布，来款认领，以及银行来款电子回单下载。</w:t>
            </w:r>
          </w:p>
          <w:p>
            <w:pPr>
              <w:spacing w:line="300" w:lineRule="exact"/>
              <w:jc w:val="left"/>
              <w:rPr>
                <w:rFonts w:hint="eastAsia" w:ascii="宋体" w:hAnsi="宋体" w:cs="宋体"/>
                <w:sz w:val="21"/>
                <w:szCs w:val="21"/>
                <w:lang w:val="en-US" w:eastAsia="zh-CN"/>
              </w:rPr>
            </w:pPr>
            <w:r>
              <w:rPr>
                <w:rFonts w:hint="eastAsia" w:ascii="宋体" w:hAnsi="宋体" w:cs="宋体"/>
                <w:sz w:val="21"/>
                <w:szCs w:val="21"/>
                <w:lang w:val="en-US" w:eastAsia="zh-CN"/>
              </w:rPr>
              <w:t>三、网报模块升级:</w:t>
            </w:r>
          </w:p>
          <w:p>
            <w:pPr>
              <w:spacing w:line="300" w:lineRule="exact"/>
              <w:jc w:val="left"/>
              <w:rPr>
                <w:rFonts w:ascii="宋体" w:hAnsi="宋体" w:cs="宋体"/>
                <w:sz w:val="21"/>
                <w:szCs w:val="21"/>
              </w:rPr>
            </w:pPr>
            <w:r>
              <w:rPr>
                <w:rFonts w:ascii="宋体" w:hAnsi="宋体" w:cs="宋体"/>
                <w:sz w:val="21"/>
                <w:szCs w:val="21"/>
              </w:rPr>
              <w:t>3</w:t>
            </w:r>
            <w:r>
              <w:rPr>
                <w:rFonts w:hint="eastAsia" w:ascii="宋体" w:hAnsi="宋体" w:cs="宋体"/>
                <w:sz w:val="21"/>
                <w:szCs w:val="21"/>
              </w:rPr>
              <w:t>.</w:t>
            </w:r>
            <w:r>
              <w:rPr>
                <w:rFonts w:ascii="宋体" w:hAnsi="宋体" w:cs="宋体"/>
                <w:sz w:val="21"/>
                <w:szCs w:val="21"/>
              </w:rPr>
              <w:t>1</w:t>
            </w:r>
            <w:r>
              <w:rPr>
                <w:rFonts w:hint="eastAsia" w:ascii="宋体" w:hAnsi="宋体" w:cs="宋体"/>
                <w:sz w:val="21"/>
                <w:szCs w:val="21"/>
              </w:rPr>
              <w:t>审批中和已审批的业务报销单经办人可以随时撤单，并给已审批人发送撤单信息通知。</w:t>
            </w:r>
          </w:p>
          <w:p>
            <w:pPr>
              <w:spacing w:line="300" w:lineRule="exact"/>
              <w:jc w:val="left"/>
              <w:rPr>
                <w:rFonts w:ascii="宋体" w:hAnsi="宋体" w:cs="宋体"/>
                <w:sz w:val="21"/>
                <w:szCs w:val="21"/>
              </w:rPr>
            </w:pPr>
            <w:r>
              <w:rPr>
                <w:rFonts w:ascii="宋体" w:hAnsi="宋体" w:cs="宋体"/>
                <w:sz w:val="21"/>
                <w:szCs w:val="21"/>
              </w:rPr>
              <w:t>3</w:t>
            </w:r>
            <w:r>
              <w:rPr>
                <w:rFonts w:hint="eastAsia" w:ascii="宋体" w:hAnsi="宋体" w:cs="宋体"/>
                <w:sz w:val="21"/>
                <w:szCs w:val="21"/>
              </w:rPr>
              <w:t>.</w:t>
            </w:r>
            <w:r>
              <w:rPr>
                <w:rFonts w:ascii="宋体" w:hAnsi="宋体" w:cs="宋体"/>
                <w:sz w:val="21"/>
                <w:szCs w:val="21"/>
              </w:rPr>
              <w:t>2</w:t>
            </w:r>
            <w:r>
              <w:rPr>
                <w:rFonts w:hint="eastAsia" w:ascii="宋体" w:hAnsi="宋体" w:cs="宋体"/>
                <w:sz w:val="21"/>
                <w:szCs w:val="21"/>
              </w:rPr>
              <w:t>网报“提交审批”界面根据业务内容及金额罗列相关附件信息，无需担心缺少报销附件。</w:t>
            </w:r>
          </w:p>
          <w:p>
            <w:pPr>
              <w:spacing w:line="300" w:lineRule="exact"/>
              <w:jc w:val="left"/>
              <w:rPr>
                <w:rFonts w:ascii="宋体" w:hAnsi="宋体" w:cs="宋体"/>
                <w:sz w:val="21"/>
                <w:szCs w:val="21"/>
              </w:rPr>
            </w:pPr>
            <w:r>
              <w:rPr>
                <w:rFonts w:ascii="宋体" w:hAnsi="宋体" w:cs="宋体"/>
                <w:sz w:val="21"/>
                <w:szCs w:val="21"/>
              </w:rPr>
              <w:t>3</w:t>
            </w:r>
            <w:r>
              <w:rPr>
                <w:rFonts w:hint="eastAsia" w:ascii="宋体" w:hAnsi="宋体" w:cs="宋体"/>
                <w:sz w:val="21"/>
                <w:szCs w:val="21"/>
              </w:rPr>
              <w:t>.</w:t>
            </w:r>
            <w:r>
              <w:rPr>
                <w:rFonts w:hint="eastAsia" w:ascii="宋体" w:hAnsi="宋体" w:cs="宋体"/>
                <w:sz w:val="21"/>
                <w:szCs w:val="21"/>
                <w:lang w:val="en-US" w:eastAsia="zh-CN"/>
              </w:rPr>
              <w:t>3</w:t>
            </w:r>
            <w:r>
              <w:rPr>
                <w:rFonts w:hint="eastAsia" w:ascii="宋体" w:hAnsi="宋体" w:cs="宋体"/>
                <w:sz w:val="21"/>
                <w:szCs w:val="21"/>
              </w:rPr>
              <w:t>支持差旅事前申请单或会议申请单，可以对接事前申请。</w:t>
            </w:r>
          </w:p>
          <w:p>
            <w:pPr>
              <w:spacing w:line="300" w:lineRule="exact"/>
              <w:jc w:val="left"/>
              <w:rPr>
                <w:rFonts w:hint="eastAsia" w:ascii="宋体" w:hAnsi="宋体" w:cs="宋体"/>
                <w:sz w:val="21"/>
                <w:szCs w:val="21"/>
              </w:rPr>
            </w:pPr>
            <w:r>
              <w:rPr>
                <w:rFonts w:ascii="宋体" w:hAnsi="宋体" w:cs="宋体"/>
                <w:sz w:val="21"/>
                <w:szCs w:val="21"/>
              </w:rPr>
              <w:t>3</w:t>
            </w:r>
            <w:r>
              <w:rPr>
                <w:rFonts w:hint="eastAsia" w:ascii="宋体" w:hAnsi="宋体" w:cs="宋体"/>
                <w:sz w:val="21"/>
                <w:szCs w:val="21"/>
              </w:rPr>
              <w:t>.</w:t>
            </w:r>
            <w:r>
              <w:rPr>
                <w:rFonts w:hint="eastAsia" w:ascii="宋体" w:hAnsi="宋体" w:cs="宋体"/>
                <w:sz w:val="21"/>
                <w:szCs w:val="21"/>
                <w:lang w:val="en-US" w:eastAsia="zh-CN"/>
              </w:rPr>
              <w:t>4</w:t>
            </w:r>
            <w:r>
              <w:rPr>
                <w:rFonts w:hint="eastAsia" w:ascii="宋体" w:hAnsi="宋体" w:cs="宋体"/>
                <w:sz w:val="21"/>
                <w:szCs w:val="21"/>
              </w:rPr>
              <w:t>支持进行对象化存储系统外部接口对接，支持mogo数据库模式。</w:t>
            </w:r>
          </w:p>
          <w:p>
            <w:pPr>
              <w:spacing w:line="300" w:lineRule="exact"/>
              <w:jc w:val="left"/>
              <w:rPr>
                <w:rFonts w:hint="eastAsia" w:ascii="宋体" w:hAnsi="宋体" w:cs="宋体"/>
                <w:sz w:val="21"/>
                <w:szCs w:val="21"/>
              </w:rPr>
            </w:pPr>
            <w:r>
              <w:rPr>
                <w:rFonts w:hint="eastAsia" w:ascii="宋体" w:hAnsi="宋体" w:cs="宋体"/>
                <w:sz w:val="21"/>
                <w:szCs w:val="21"/>
              </w:rPr>
              <w:t>3.</w:t>
            </w:r>
            <w:r>
              <w:rPr>
                <w:rFonts w:hint="eastAsia" w:ascii="宋体" w:hAnsi="宋体" w:cs="宋体"/>
                <w:sz w:val="21"/>
                <w:szCs w:val="21"/>
                <w:lang w:val="en-US" w:eastAsia="zh-CN"/>
              </w:rPr>
              <w:t>5</w:t>
            </w:r>
            <w:r>
              <w:rPr>
                <w:rFonts w:hint="eastAsia" w:ascii="宋体" w:hAnsi="宋体" w:cs="宋体"/>
                <w:sz w:val="21"/>
                <w:szCs w:val="21"/>
              </w:rPr>
              <w:t>支持与银行对接，银行开通公务卡查询接口后，在报销公务卡时，在系统里填公务卡报销单，支持与消费记录的核验。</w:t>
            </w:r>
          </w:p>
          <w:p>
            <w:pPr>
              <w:spacing w:line="300" w:lineRule="exact"/>
              <w:jc w:val="left"/>
              <w:rPr>
                <w:rFonts w:hint="eastAsia" w:ascii="宋体" w:hAnsi="宋体" w:cs="宋体"/>
                <w:sz w:val="21"/>
                <w:szCs w:val="21"/>
              </w:rPr>
            </w:pPr>
            <w:r>
              <w:rPr>
                <w:rFonts w:hint="eastAsia" w:ascii="宋体" w:hAnsi="宋体" w:cs="宋体"/>
                <w:sz w:val="21"/>
                <w:szCs w:val="21"/>
              </w:rPr>
              <w:t>3.</w:t>
            </w:r>
            <w:r>
              <w:rPr>
                <w:rFonts w:hint="eastAsia" w:ascii="宋体" w:hAnsi="宋体" w:cs="宋体"/>
                <w:sz w:val="21"/>
                <w:szCs w:val="21"/>
                <w:lang w:val="en-US" w:eastAsia="zh-CN"/>
              </w:rPr>
              <w:t>6</w:t>
            </w:r>
            <w:r>
              <w:rPr>
                <w:rFonts w:hint="eastAsia" w:ascii="宋体" w:hAnsi="宋体" w:cs="宋体"/>
                <w:sz w:val="21"/>
                <w:szCs w:val="21"/>
              </w:rPr>
              <w:t>系统支持线上提交延迟还款申请，并按照往来款管理办法设置审批流程。</w:t>
            </w:r>
          </w:p>
          <w:p>
            <w:pPr>
              <w:spacing w:line="300" w:lineRule="exact"/>
              <w:jc w:val="left"/>
              <w:rPr>
                <w:rFonts w:hint="eastAsia" w:ascii="宋体" w:hAnsi="宋体" w:cs="宋体"/>
                <w:sz w:val="21"/>
                <w:szCs w:val="21"/>
              </w:rPr>
            </w:pPr>
            <w:r>
              <w:rPr>
                <w:rFonts w:hint="eastAsia" w:ascii="宋体" w:hAnsi="宋体" w:cs="宋体"/>
                <w:sz w:val="21"/>
                <w:szCs w:val="21"/>
              </w:rPr>
              <w:t>四、薪酬模块升级:</w:t>
            </w:r>
          </w:p>
          <w:p>
            <w:pPr>
              <w:spacing w:line="300" w:lineRule="exact"/>
              <w:jc w:val="left"/>
              <w:rPr>
                <w:rFonts w:hint="eastAsia" w:ascii="宋体" w:hAnsi="宋体" w:cs="宋体"/>
                <w:sz w:val="21"/>
                <w:szCs w:val="21"/>
              </w:rPr>
            </w:pPr>
            <w:r>
              <w:rPr>
                <w:rFonts w:hint="eastAsia" w:ascii="宋体" w:hAnsi="宋体" w:cs="宋体"/>
                <w:sz w:val="21"/>
                <w:szCs w:val="21"/>
              </w:rPr>
              <w:t>4.1职工个</w:t>
            </w:r>
            <w:bookmarkStart w:id="0" w:name="_GoBack"/>
            <w:bookmarkEnd w:id="0"/>
            <w:r>
              <w:rPr>
                <w:rFonts w:hint="eastAsia" w:ascii="宋体" w:hAnsi="宋体" w:cs="宋体"/>
                <w:sz w:val="21"/>
                <w:szCs w:val="21"/>
              </w:rPr>
              <w:t>人工薪其他收入网上申报，支持多项目经费拆分，支持附件上传。</w:t>
            </w:r>
          </w:p>
          <w:p>
            <w:pPr>
              <w:spacing w:line="300" w:lineRule="exact"/>
              <w:jc w:val="left"/>
              <w:rPr>
                <w:rFonts w:hint="eastAsia" w:ascii="宋体" w:hAnsi="宋体" w:cs="宋体"/>
                <w:sz w:val="21"/>
                <w:szCs w:val="21"/>
                <w:lang w:val="en-US" w:eastAsia="zh-CN"/>
              </w:rPr>
            </w:pPr>
            <w:r>
              <w:rPr>
                <w:rFonts w:hint="eastAsia" w:ascii="宋体" w:hAnsi="宋体" w:cs="宋体"/>
                <w:sz w:val="21"/>
                <w:szCs w:val="21"/>
                <w:lang w:val="en-US" w:eastAsia="zh-CN"/>
              </w:rPr>
              <w:t>4.2校外人员劳务网上申报，支持多项目经费拆分，支持附件上传。</w:t>
            </w:r>
          </w:p>
          <w:p>
            <w:pPr>
              <w:spacing w:line="300" w:lineRule="exact"/>
              <w:jc w:val="left"/>
              <w:rPr>
                <w:rFonts w:hint="eastAsia" w:ascii="宋体" w:hAnsi="宋体" w:cs="宋体"/>
                <w:sz w:val="21"/>
                <w:szCs w:val="21"/>
                <w:lang w:val="en-US" w:eastAsia="zh-CN"/>
              </w:rPr>
            </w:pPr>
            <w:r>
              <w:rPr>
                <w:rFonts w:hint="eastAsia" w:ascii="宋体" w:hAnsi="宋体" w:cs="宋体"/>
                <w:sz w:val="21"/>
                <w:szCs w:val="21"/>
                <w:lang w:val="en-US" w:eastAsia="zh-CN"/>
              </w:rPr>
              <w:t>4.3学生酬金发放申报，支持多项目经费拆分，支持附件上传。</w:t>
            </w:r>
          </w:p>
          <w:p>
            <w:pPr>
              <w:spacing w:line="300" w:lineRule="exact"/>
              <w:jc w:val="left"/>
              <w:rPr>
                <w:rFonts w:hint="eastAsia" w:ascii="宋体" w:hAnsi="宋体" w:cs="宋体"/>
                <w:sz w:val="21"/>
                <w:szCs w:val="21"/>
                <w:lang w:val="en-US" w:eastAsia="zh-CN"/>
              </w:rPr>
            </w:pPr>
            <w:r>
              <w:rPr>
                <w:rFonts w:hint="eastAsia" w:ascii="宋体" w:hAnsi="宋体" w:cs="宋体"/>
                <w:sz w:val="21"/>
                <w:szCs w:val="21"/>
                <w:lang w:val="en-US" w:eastAsia="zh-CN"/>
              </w:rPr>
              <w:t>4.4校外人员薪酬申报，增加手机号强制录入，增加采集字段自定义。</w:t>
            </w:r>
          </w:p>
          <w:p>
            <w:pPr>
              <w:spacing w:line="300" w:lineRule="exact"/>
              <w:jc w:val="left"/>
              <w:rPr>
                <w:rFonts w:hint="default" w:ascii="宋体" w:hAnsi="宋体" w:cs="宋体"/>
                <w:sz w:val="21"/>
                <w:szCs w:val="21"/>
                <w:lang w:val="en-US" w:eastAsia="zh-CN"/>
              </w:rPr>
            </w:pPr>
            <w:r>
              <w:rPr>
                <w:rFonts w:hint="eastAsia" w:ascii="宋体" w:hAnsi="宋体" w:cs="宋体"/>
                <w:sz w:val="21"/>
                <w:szCs w:val="21"/>
                <w:lang w:val="en-US" w:eastAsia="zh-CN"/>
              </w:rPr>
              <w:t>4.5支持与审批系统对接，支持信息对接，增加自定义审批流程提交，支持挂起和搁置模式。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pPr>
              <w:jc w:val="center"/>
              <w:rPr>
                <w:sz w:val="21"/>
                <w:szCs w:val="21"/>
              </w:rPr>
            </w:pPr>
            <w:r>
              <w:rPr>
                <w:rFonts w:hint="eastAsia"/>
                <w:sz w:val="21"/>
                <w:szCs w:val="21"/>
              </w:rPr>
              <w:t>2</w:t>
            </w:r>
          </w:p>
        </w:tc>
        <w:tc>
          <w:tcPr>
            <w:tcW w:w="1517" w:type="dxa"/>
            <w:vAlign w:val="center"/>
          </w:tcPr>
          <w:p>
            <w:pPr>
              <w:jc w:val="center"/>
              <w:rPr>
                <w:sz w:val="21"/>
                <w:szCs w:val="21"/>
              </w:rPr>
            </w:pPr>
            <w:r>
              <w:rPr>
                <w:rFonts w:hint="eastAsia" w:ascii="宋体" w:hAnsi="宋体" w:eastAsia="宋体" w:cs="宋体"/>
                <w:sz w:val="21"/>
                <w:szCs w:val="21"/>
              </w:rPr>
              <w:t>RPA财务机器人系统</w:t>
            </w:r>
          </w:p>
        </w:tc>
        <w:tc>
          <w:tcPr>
            <w:tcW w:w="7511" w:type="dxa"/>
          </w:tcPr>
          <w:p>
            <w:pPr>
              <w:rPr>
                <w:sz w:val="21"/>
                <w:szCs w:val="21"/>
              </w:rPr>
            </w:pPr>
            <w:r>
              <w:rPr>
                <w:rFonts w:hint="eastAsia"/>
                <w:sz w:val="21"/>
                <w:szCs w:val="21"/>
              </w:rPr>
              <w:t>1</w:t>
            </w:r>
            <w:r>
              <w:rPr>
                <w:rFonts w:hint="eastAsia"/>
                <w:sz w:val="21"/>
                <w:szCs w:val="21"/>
                <w:lang w:eastAsia="zh-CN"/>
              </w:rPr>
              <w:t>、</w:t>
            </w:r>
            <w:r>
              <w:rPr>
                <w:rFonts w:hint="eastAsia"/>
                <w:sz w:val="21"/>
                <w:szCs w:val="21"/>
              </w:rPr>
              <w:t>基础设置：设置业务系统操作流程，设置智能处理业务规则，设置自定义字段。</w:t>
            </w:r>
          </w:p>
          <w:p>
            <w:pPr>
              <w:rPr>
                <w:sz w:val="21"/>
                <w:szCs w:val="21"/>
              </w:rPr>
            </w:pPr>
            <w:r>
              <w:rPr>
                <w:rFonts w:hint="eastAsia"/>
                <w:sz w:val="21"/>
                <w:szCs w:val="21"/>
              </w:rPr>
              <w:t>2、自动处理：设置业务自动启动时间，绘制业务处理流程，RPA自动填充对应栏目，查询录入结果，查询失败原因。</w:t>
            </w:r>
          </w:p>
          <w:p>
            <w:pPr>
              <w:rPr>
                <w:sz w:val="21"/>
                <w:szCs w:val="21"/>
              </w:rPr>
            </w:pPr>
            <w:r>
              <w:rPr>
                <w:rFonts w:hint="eastAsia"/>
                <w:sz w:val="21"/>
                <w:szCs w:val="21"/>
              </w:rPr>
              <w:t>3</w:t>
            </w:r>
            <w:r>
              <w:rPr>
                <w:rFonts w:hint="eastAsia"/>
                <w:sz w:val="21"/>
                <w:szCs w:val="21"/>
                <w:lang w:eastAsia="zh-CN"/>
              </w:rPr>
              <w:t>、</w:t>
            </w:r>
            <w:r>
              <w:rPr>
                <w:rFonts w:hint="eastAsia"/>
                <w:sz w:val="21"/>
                <w:szCs w:val="21"/>
              </w:rPr>
              <w:t>数据调整：因业务调整，及时更新业务规则，录入完成状态保存返回，对账字段自定义，用途字段自定义。</w:t>
            </w:r>
          </w:p>
          <w:p>
            <w:pPr>
              <w:rPr>
                <w:sz w:val="21"/>
                <w:szCs w:val="21"/>
              </w:rPr>
            </w:pPr>
            <w:r>
              <w:rPr>
                <w:rFonts w:hint="eastAsia"/>
                <w:sz w:val="21"/>
                <w:szCs w:val="21"/>
              </w:rPr>
              <w:t>4</w:t>
            </w:r>
            <w:r>
              <w:rPr>
                <w:rFonts w:hint="eastAsia"/>
                <w:sz w:val="21"/>
                <w:szCs w:val="21"/>
                <w:lang w:eastAsia="zh-CN"/>
              </w:rPr>
              <w:t>、</w:t>
            </w:r>
            <w:r>
              <w:rPr>
                <w:rFonts w:hint="eastAsia"/>
                <w:sz w:val="21"/>
                <w:szCs w:val="21"/>
              </w:rPr>
              <w:t>统计查询：查询RPA智能财务机器人处理数据情况，主要按时间，动作，状态，用户名和密码等。</w:t>
            </w:r>
          </w:p>
          <w:p>
            <w:pPr>
              <w:rPr>
                <w:sz w:val="21"/>
                <w:szCs w:val="21"/>
              </w:rPr>
            </w:pPr>
            <w:r>
              <w:rPr>
                <w:rFonts w:hint="eastAsia"/>
                <w:sz w:val="21"/>
                <w:szCs w:val="21"/>
              </w:rPr>
              <w:t>5</w:t>
            </w:r>
            <w:r>
              <w:rPr>
                <w:rFonts w:hint="eastAsia"/>
                <w:sz w:val="21"/>
                <w:szCs w:val="21"/>
                <w:lang w:eastAsia="zh-CN"/>
              </w:rPr>
              <w:t>、</w:t>
            </w:r>
            <w:r>
              <w:rPr>
                <w:rFonts w:hint="eastAsia"/>
                <w:sz w:val="21"/>
                <w:szCs w:val="21"/>
              </w:rPr>
              <w:t>系统参数：设置录入信息（字段录入、拼接录入、自定义录入），对账字段验证设置，数据校对时间，退出响应时间，是否自动复核。</w:t>
            </w:r>
          </w:p>
          <w:p>
            <w:pPr>
              <w:rPr>
                <w:rFonts w:hint="default" w:eastAsiaTheme="minorEastAsia"/>
                <w:sz w:val="21"/>
                <w:szCs w:val="21"/>
                <w:lang w:val="en-US" w:eastAsia="zh-CN"/>
              </w:rPr>
            </w:pPr>
            <w:r>
              <w:rPr>
                <w:rFonts w:hint="eastAsia"/>
                <w:sz w:val="21"/>
                <w:szCs w:val="21"/>
                <w:lang w:val="en-US" w:eastAsia="zh-CN"/>
              </w:rPr>
              <w:t>6、应支持</w:t>
            </w:r>
            <w:r>
              <w:rPr>
                <w:rFonts w:hint="eastAsia" w:ascii="宋体" w:cs="宋体" w:hAnsiTheme="minorHAnsi" w:eastAsiaTheme="minorEastAsia"/>
                <w:color w:val="000000"/>
                <w:kern w:val="2"/>
                <w:sz w:val="21"/>
                <w:szCs w:val="21"/>
                <w:lang w:val="en-US" w:eastAsia="zh-CN" w:bidi="ar-SA"/>
              </w:rPr>
              <w:t>与</w:t>
            </w:r>
            <w:r>
              <w:rPr>
                <w:rFonts w:hint="eastAsia" w:ascii="宋体" w:cs="宋体"/>
                <w:color w:val="000000"/>
                <w:kern w:val="2"/>
                <w:sz w:val="21"/>
                <w:szCs w:val="21"/>
                <w:lang w:val="en-US" w:eastAsia="zh-CN" w:bidi="ar-SA"/>
              </w:rPr>
              <w:t>现有</w:t>
            </w:r>
            <w:r>
              <w:rPr>
                <w:rFonts w:hint="eastAsia" w:ascii="宋体" w:cs="宋体" w:hAnsiTheme="minorHAnsi" w:eastAsiaTheme="minorEastAsia"/>
                <w:color w:val="000000"/>
                <w:kern w:val="2"/>
                <w:sz w:val="21"/>
                <w:szCs w:val="21"/>
                <w:lang w:val="en-US" w:eastAsia="zh-CN" w:bidi="ar-SA"/>
              </w:rPr>
              <w:t>财务系统无缝对接。</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Q2YmUwYjgyOTM1MzNmOTAwMTY2ZmNmMWRkNTliOGMifQ=="/>
  </w:docVars>
  <w:rsids>
    <w:rsidRoot w:val="00267D80"/>
    <w:rsid w:val="00107DF5"/>
    <w:rsid w:val="00267D80"/>
    <w:rsid w:val="004555CD"/>
    <w:rsid w:val="004711FE"/>
    <w:rsid w:val="00582117"/>
    <w:rsid w:val="00635BEF"/>
    <w:rsid w:val="006F3259"/>
    <w:rsid w:val="00AD0EC2"/>
    <w:rsid w:val="00BD5DB6"/>
    <w:rsid w:val="00C2066F"/>
    <w:rsid w:val="00CA2793"/>
    <w:rsid w:val="00D3183F"/>
    <w:rsid w:val="00F0334B"/>
    <w:rsid w:val="00F5174E"/>
    <w:rsid w:val="00F824B5"/>
    <w:rsid w:val="096B2561"/>
    <w:rsid w:val="0AF721A2"/>
    <w:rsid w:val="10A5627E"/>
    <w:rsid w:val="228A3554"/>
    <w:rsid w:val="28DD621D"/>
    <w:rsid w:val="33030EB6"/>
    <w:rsid w:val="3A217E73"/>
    <w:rsid w:val="4356219C"/>
    <w:rsid w:val="45692B8A"/>
    <w:rsid w:val="5AE16C70"/>
    <w:rsid w:val="5EE27BB4"/>
    <w:rsid w:val="621041A6"/>
    <w:rsid w:val="64883786"/>
    <w:rsid w:val="675126BB"/>
    <w:rsid w:val="7FAE38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4"/>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13">
    <w:name w:val="Default Paragraph Font"/>
    <w:semiHidden/>
    <w:unhideWhenUsed/>
    <w:uiPriority w:val="1"/>
  </w:style>
  <w:style w:type="table" w:default="1" w:styleId="11">
    <w:name w:val="Normal Table"/>
    <w:autoRedefine/>
    <w:semiHidden/>
    <w:unhideWhenUsed/>
    <w:qFormat/>
    <w:uiPriority w:val="99"/>
    <w:tblPr>
      <w:tblCellMar>
        <w:top w:w="0" w:type="dxa"/>
        <w:left w:w="108" w:type="dxa"/>
        <w:bottom w:w="0" w:type="dxa"/>
        <w:right w:w="108" w:type="dxa"/>
      </w:tblCellMar>
    </w:tblPr>
  </w:style>
  <w:style w:type="paragraph" w:styleId="2">
    <w:name w:val="Message Header"/>
    <w:basedOn w:val="1"/>
    <w:autoRedefine/>
    <w:unhideWhenUsed/>
    <w:qFormat/>
    <w:uiPriority w:val="99"/>
    <w:pPr>
      <w:pBdr>
        <w:top w:val="single" w:color="auto" w:sz="6" w:space="1"/>
        <w:left w:val="single" w:color="auto" w:sz="6" w:space="1"/>
        <w:bottom w:val="single" w:color="auto" w:sz="6" w:space="1"/>
        <w:right w:val="single" w:color="auto" w:sz="6" w:space="1"/>
      </w:pBdr>
      <w:shd w:val="clear" w:color="auto" w:fill="7F7F7F"/>
      <w:spacing w:before="100" w:beforeAutospacing="1" w:after="100" w:afterAutospacing="1"/>
      <w:ind w:left="500" w:leftChars="500" w:hanging="1080" w:hangingChars="500"/>
    </w:pPr>
    <w:rPr>
      <w:rFonts w:ascii="Arial" w:hAnsi="Arial"/>
      <w:sz w:val="24"/>
    </w:rPr>
  </w:style>
  <w:style w:type="paragraph" w:styleId="4">
    <w:name w:val="Normal Indent"/>
    <w:basedOn w:val="1"/>
    <w:autoRedefine/>
    <w:qFormat/>
    <w:uiPriority w:val="0"/>
    <w:pPr>
      <w:ind w:firstLine="420" w:firstLineChars="200"/>
    </w:pPr>
  </w:style>
  <w:style w:type="paragraph" w:styleId="5">
    <w:name w:val="annotation text"/>
    <w:basedOn w:val="1"/>
    <w:link w:val="20"/>
    <w:autoRedefine/>
    <w:qFormat/>
    <w:uiPriority w:val="0"/>
    <w:pPr>
      <w:jc w:val="left"/>
    </w:pPr>
  </w:style>
  <w:style w:type="paragraph" w:styleId="6">
    <w:name w:val="Balloon Text"/>
    <w:basedOn w:val="1"/>
    <w:link w:val="22"/>
    <w:autoRedefine/>
    <w:qFormat/>
    <w:uiPriority w:val="0"/>
    <w:rPr>
      <w:sz w:val="18"/>
      <w:szCs w:val="18"/>
    </w:rPr>
  </w:style>
  <w:style w:type="paragraph" w:styleId="7">
    <w:name w:val="footer"/>
    <w:basedOn w:val="1"/>
    <w:link w:val="19"/>
    <w:autoRedefine/>
    <w:qFormat/>
    <w:uiPriority w:val="0"/>
    <w:pPr>
      <w:tabs>
        <w:tab w:val="center" w:pos="4153"/>
        <w:tab w:val="right" w:pos="8306"/>
      </w:tabs>
      <w:snapToGrid w:val="0"/>
      <w:jc w:val="left"/>
    </w:pPr>
    <w:rPr>
      <w:sz w:val="18"/>
      <w:szCs w:val="18"/>
    </w:rPr>
  </w:style>
  <w:style w:type="paragraph" w:styleId="8">
    <w:name w:val="header"/>
    <w:basedOn w:val="1"/>
    <w:link w:val="18"/>
    <w:autoRedefine/>
    <w:qFormat/>
    <w:uiPriority w:val="0"/>
    <w:pPr>
      <w:pBdr>
        <w:bottom w:val="single" w:color="auto" w:sz="6" w:space="1"/>
      </w:pBdr>
      <w:tabs>
        <w:tab w:val="center" w:pos="4153"/>
        <w:tab w:val="right" w:pos="8306"/>
      </w:tabs>
      <w:snapToGrid w:val="0"/>
      <w:jc w:val="center"/>
    </w:pPr>
    <w:rPr>
      <w:sz w:val="18"/>
      <w:szCs w:val="18"/>
    </w:rPr>
  </w:style>
  <w:style w:type="paragraph" w:styleId="9">
    <w:name w:val="table of figures"/>
    <w:basedOn w:val="1"/>
    <w:next w:val="1"/>
    <w:autoRedefine/>
    <w:qFormat/>
    <w:uiPriority w:val="0"/>
    <w:pPr>
      <w:ind w:left="200" w:leftChars="200" w:hanging="200" w:hangingChars="200"/>
    </w:pPr>
  </w:style>
  <w:style w:type="paragraph" w:styleId="10">
    <w:name w:val="annotation subject"/>
    <w:basedOn w:val="5"/>
    <w:next w:val="5"/>
    <w:link w:val="21"/>
    <w:autoRedefine/>
    <w:qFormat/>
    <w:uiPriority w:val="0"/>
    <w:rPr>
      <w:b/>
      <w:bCs/>
    </w:rPr>
  </w:style>
  <w:style w:type="table" w:styleId="12">
    <w:name w:val="Table Grid"/>
    <w:basedOn w:val="11"/>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annotation reference"/>
    <w:basedOn w:val="13"/>
    <w:autoRedefine/>
    <w:qFormat/>
    <w:uiPriority w:val="0"/>
    <w:rPr>
      <w:sz w:val="21"/>
      <w:szCs w:val="21"/>
    </w:rPr>
  </w:style>
  <w:style w:type="paragraph" w:customStyle="1" w:styleId="15">
    <w:name w:val="Default"/>
    <w:basedOn w:val="1"/>
    <w:next w:val="9"/>
    <w:autoRedefine/>
    <w:qFormat/>
    <w:uiPriority w:val="0"/>
    <w:pPr>
      <w:autoSpaceDE w:val="0"/>
      <w:autoSpaceDN w:val="0"/>
      <w:adjustRightInd w:val="0"/>
    </w:pPr>
    <w:rPr>
      <w:rFonts w:ascii="宋体" w:cs="宋体"/>
      <w:color w:val="000000"/>
      <w:sz w:val="24"/>
    </w:rPr>
  </w:style>
  <w:style w:type="paragraph" w:customStyle="1" w:styleId="16">
    <w:name w:val="BodyText1I2"/>
    <w:basedOn w:val="17"/>
    <w:next w:val="1"/>
    <w:autoRedefine/>
    <w:qFormat/>
    <w:uiPriority w:val="0"/>
    <w:pPr>
      <w:spacing w:after="120" w:line="240" w:lineRule="auto"/>
      <w:ind w:left="420" w:leftChars="200" w:firstLine="420" w:firstLineChars="200"/>
    </w:pPr>
    <w:rPr>
      <w:sz w:val="28"/>
    </w:rPr>
  </w:style>
  <w:style w:type="paragraph" w:customStyle="1" w:styleId="17">
    <w:name w:val="BodyTextIndent"/>
    <w:autoRedefine/>
    <w:qFormat/>
    <w:uiPriority w:val="0"/>
    <w:pPr>
      <w:widowControl w:val="0"/>
      <w:spacing w:line="700" w:lineRule="exact"/>
      <w:ind w:left="960"/>
      <w:jc w:val="both"/>
    </w:pPr>
    <w:rPr>
      <w:rFonts w:ascii="Calibri" w:hAnsi="Calibri" w:eastAsia="宋体" w:cs="Times New Roman"/>
      <w:kern w:val="2"/>
      <w:sz w:val="44"/>
      <w:szCs w:val="24"/>
      <w:lang w:val="en-US" w:eastAsia="zh-CN" w:bidi="ar-SA"/>
    </w:rPr>
  </w:style>
  <w:style w:type="character" w:customStyle="1" w:styleId="18">
    <w:name w:val="页眉 字符"/>
    <w:basedOn w:val="13"/>
    <w:link w:val="8"/>
    <w:autoRedefine/>
    <w:qFormat/>
    <w:uiPriority w:val="0"/>
    <w:rPr>
      <w:kern w:val="2"/>
      <w:sz w:val="18"/>
      <w:szCs w:val="18"/>
    </w:rPr>
  </w:style>
  <w:style w:type="character" w:customStyle="1" w:styleId="19">
    <w:name w:val="页脚 字符"/>
    <w:basedOn w:val="13"/>
    <w:link w:val="7"/>
    <w:autoRedefine/>
    <w:qFormat/>
    <w:uiPriority w:val="0"/>
    <w:rPr>
      <w:kern w:val="2"/>
      <w:sz w:val="18"/>
      <w:szCs w:val="18"/>
    </w:rPr>
  </w:style>
  <w:style w:type="character" w:customStyle="1" w:styleId="20">
    <w:name w:val="批注文字 字符"/>
    <w:basedOn w:val="13"/>
    <w:link w:val="5"/>
    <w:autoRedefine/>
    <w:qFormat/>
    <w:uiPriority w:val="0"/>
    <w:rPr>
      <w:kern w:val="2"/>
      <w:sz w:val="21"/>
      <w:szCs w:val="24"/>
    </w:rPr>
  </w:style>
  <w:style w:type="character" w:customStyle="1" w:styleId="21">
    <w:name w:val="批注主题 字符"/>
    <w:basedOn w:val="20"/>
    <w:link w:val="10"/>
    <w:autoRedefine/>
    <w:qFormat/>
    <w:uiPriority w:val="0"/>
    <w:rPr>
      <w:b/>
      <w:bCs/>
      <w:kern w:val="2"/>
      <w:sz w:val="21"/>
      <w:szCs w:val="24"/>
    </w:rPr>
  </w:style>
  <w:style w:type="character" w:customStyle="1" w:styleId="22">
    <w:name w:val="批注框文本 字符"/>
    <w:basedOn w:val="13"/>
    <w:link w:val="6"/>
    <w:autoRedefine/>
    <w:qFormat/>
    <w:uiPriority w:val="0"/>
    <w:rPr>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china</Company>
  <Pages>2</Pages>
  <Words>719</Words>
  <Characters>4100</Characters>
  <Lines>34</Lines>
  <Paragraphs>9</Paragraphs>
  <TotalTime>3</TotalTime>
  <ScaleCrop>false</ScaleCrop>
  <LinksUpToDate>false</LinksUpToDate>
  <CharactersWithSpaces>4810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2024-04-25T21:54:00Z</dcterms:created>
  <dc:creator>Administrator</dc:creator>
  <cp:lastModifiedBy>天财商务</cp:lastModifiedBy>
  <dcterms:modified xsi:type="dcterms:W3CDTF">2024-05-23T07:45:33Z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8B3A4780695B4111B2B56699EA6B434C_12</vt:lpwstr>
  </property>
</Properties>
</file>