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298782">
      <w:pPr>
        <w:spacing w:line="248" w:lineRule="auto"/>
        <w:ind w:left="0" w:leftChars="0" w:firstLine="0" w:firstLineChars="0"/>
        <w:jc w:val="center"/>
        <w:rPr>
          <w:rFonts w:hint="eastAsia" w:ascii="宋体" w:hAnsi="宋体" w:eastAsia="宋体" w:cs="宋体"/>
          <w:b/>
          <w:bCs/>
          <w:color w:val="auto"/>
          <w:sz w:val="56"/>
          <w:szCs w:val="72"/>
          <w:highlight w:val="none"/>
        </w:rPr>
      </w:pPr>
      <w:r>
        <w:rPr>
          <w:rFonts w:hint="eastAsia" w:ascii="宋体" w:hAnsi="宋体" w:eastAsia="宋体" w:cs="宋体"/>
          <w:b/>
          <w:bCs/>
          <w:color w:val="auto"/>
          <w:sz w:val="56"/>
          <w:szCs w:val="72"/>
          <w:highlight w:val="none"/>
          <w:lang w:eastAsia="zh-CN"/>
        </w:rPr>
        <w:t>富民县202</w:t>
      </w:r>
      <w:r>
        <w:rPr>
          <w:rFonts w:hint="eastAsia" w:ascii="宋体" w:hAnsi="宋体" w:eastAsia="宋体" w:cs="宋体"/>
          <w:b/>
          <w:bCs/>
          <w:color w:val="auto"/>
          <w:sz w:val="56"/>
          <w:szCs w:val="72"/>
          <w:highlight w:val="none"/>
          <w:lang w:val="en-US" w:eastAsia="zh-CN"/>
        </w:rPr>
        <w:t>6</w:t>
      </w:r>
      <w:r>
        <w:rPr>
          <w:rFonts w:hint="eastAsia" w:ascii="宋体" w:hAnsi="宋体" w:eastAsia="宋体" w:cs="宋体"/>
          <w:b/>
          <w:bCs/>
          <w:color w:val="auto"/>
          <w:sz w:val="56"/>
          <w:szCs w:val="72"/>
          <w:highlight w:val="none"/>
          <w:lang w:eastAsia="zh-CN"/>
        </w:rPr>
        <w:t>年职业技能</w:t>
      </w:r>
      <w:r>
        <w:rPr>
          <w:rFonts w:hint="eastAsia" w:ascii="宋体" w:hAnsi="宋体" w:eastAsia="宋体" w:cs="宋体"/>
          <w:b/>
          <w:bCs/>
          <w:color w:val="auto"/>
          <w:sz w:val="56"/>
          <w:szCs w:val="72"/>
          <w:highlight w:val="none"/>
          <w:lang w:val="en-US" w:eastAsia="zh-CN"/>
        </w:rPr>
        <w:t>提升</w:t>
      </w:r>
      <w:r>
        <w:rPr>
          <w:rFonts w:hint="eastAsia" w:ascii="宋体" w:hAnsi="宋体" w:eastAsia="宋体" w:cs="宋体"/>
          <w:b/>
          <w:bCs/>
          <w:color w:val="auto"/>
          <w:sz w:val="56"/>
          <w:szCs w:val="72"/>
          <w:highlight w:val="none"/>
          <w:lang w:eastAsia="zh-CN"/>
        </w:rPr>
        <w:t>培训项目</w:t>
      </w:r>
    </w:p>
    <w:p w14:paraId="10C3F137">
      <w:pPr>
        <w:spacing w:line="248" w:lineRule="auto"/>
        <w:rPr>
          <w:rFonts w:hint="eastAsia" w:ascii="宋体" w:hAnsi="宋体" w:eastAsia="宋体" w:cs="宋体"/>
          <w:color w:val="auto"/>
          <w:sz w:val="21"/>
          <w:highlight w:val="none"/>
        </w:rPr>
      </w:pPr>
    </w:p>
    <w:p w14:paraId="75115456">
      <w:pPr>
        <w:spacing w:line="248" w:lineRule="auto"/>
        <w:rPr>
          <w:rFonts w:hint="eastAsia" w:ascii="宋体" w:hAnsi="宋体" w:eastAsia="宋体" w:cs="宋体"/>
          <w:color w:val="auto"/>
          <w:sz w:val="21"/>
          <w:highlight w:val="none"/>
        </w:rPr>
      </w:pPr>
    </w:p>
    <w:p w14:paraId="67C78EA5">
      <w:pPr>
        <w:spacing w:line="248" w:lineRule="auto"/>
        <w:rPr>
          <w:rFonts w:hint="eastAsia" w:ascii="宋体" w:hAnsi="宋体" w:eastAsia="宋体" w:cs="宋体"/>
          <w:color w:val="auto"/>
          <w:sz w:val="21"/>
          <w:highlight w:val="none"/>
        </w:rPr>
      </w:pPr>
    </w:p>
    <w:p w14:paraId="2EC2C255">
      <w:pPr>
        <w:spacing w:line="248" w:lineRule="auto"/>
        <w:rPr>
          <w:rFonts w:hint="eastAsia" w:ascii="宋体" w:hAnsi="宋体" w:eastAsia="宋体" w:cs="宋体"/>
          <w:color w:val="auto"/>
          <w:sz w:val="21"/>
          <w:highlight w:val="none"/>
        </w:rPr>
      </w:pPr>
    </w:p>
    <w:p w14:paraId="5F9461A6">
      <w:pPr>
        <w:spacing w:line="248" w:lineRule="auto"/>
        <w:rPr>
          <w:rFonts w:hint="eastAsia" w:ascii="宋体" w:hAnsi="宋体" w:eastAsia="宋体" w:cs="宋体"/>
          <w:color w:val="auto"/>
          <w:sz w:val="21"/>
          <w:highlight w:val="none"/>
        </w:rPr>
      </w:pPr>
    </w:p>
    <w:p w14:paraId="3772170C">
      <w:pPr>
        <w:spacing w:line="248" w:lineRule="auto"/>
        <w:rPr>
          <w:rFonts w:hint="eastAsia" w:ascii="宋体" w:hAnsi="宋体" w:eastAsia="宋体" w:cs="宋体"/>
          <w:color w:val="auto"/>
          <w:sz w:val="21"/>
          <w:highlight w:val="none"/>
        </w:rPr>
      </w:pPr>
    </w:p>
    <w:p w14:paraId="23DBF832">
      <w:pPr>
        <w:keepNext w:val="0"/>
        <w:keepLines w:val="0"/>
        <w:pageBreakBefore w:val="0"/>
        <w:widowControl/>
        <w:kinsoku w:val="0"/>
        <w:wordWrap/>
        <w:overflowPunct/>
        <w:topLinePunct w:val="0"/>
        <w:autoSpaceDE w:val="0"/>
        <w:autoSpaceDN w:val="0"/>
        <w:bidi w:val="0"/>
        <w:adjustRightInd w:val="0"/>
        <w:snapToGrid w:val="0"/>
        <w:spacing w:before="0" w:beforeLines="400" w:line="224" w:lineRule="auto"/>
        <w:ind w:left="0" w:firstLine="0" w:firstLineChars="0"/>
        <w:jc w:val="center"/>
        <w:textAlignment w:val="baseline"/>
        <w:rPr>
          <w:rFonts w:hint="eastAsia" w:ascii="宋体" w:hAnsi="宋体" w:eastAsia="宋体" w:cs="宋体"/>
          <w:color w:val="auto"/>
          <w:spacing w:val="10"/>
          <w:sz w:val="96"/>
          <w:szCs w:val="96"/>
          <w:highlight w:val="none"/>
          <w14:textOutline w14:w="15255" w14:cap="sq" w14:cmpd="sng">
            <w14:solidFill>
              <w14:srgbClr w14:val="000000"/>
            </w14:solidFill>
            <w14:prstDash w14:val="solid"/>
            <w14:bevel/>
          </w14:textOutline>
        </w:rPr>
      </w:pPr>
    </w:p>
    <w:p w14:paraId="29B0B0BF">
      <w:pPr>
        <w:keepNext w:val="0"/>
        <w:keepLines w:val="0"/>
        <w:pageBreakBefore w:val="0"/>
        <w:widowControl/>
        <w:kinsoku w:val="0"/>
        <w:wordWrap/>
        <w:overflowPunct/>
        <w:topLinePunct w:val="0"/>
        <w:autoSpaceDE w:val="0"/>
        <w:autoSpaceDN w:val="0"/>
        <w:bidi w:val="0"/>
        <w:adjustRightInd w:val="0"/>
        <w:snapToGrid w:val="0"/>
        <w:spacing w:before="0" w:beforeLines="400" w:line="224" w:lineRule="auto"/>
        <w:ind w:left="0" w:firstLine="0" w:firstLineChars="0"/>
        <w:jc w:val="center"/>
        <w:textAlignment w:val="baseline"/>
        <w:rPr>
          <w:rFonts w:hint="eastAsia" w:ascii="宋体" w:hAnsi="宋体" w:eastAsia="宋体" w:cs="宋体"/>
          <w:color w:val="auto"/>
          <w:sz w:val="96"/>
          <w:szCs w:val="96"/>
          <w:highlight w:val="none"/>
        </w:rPr>
      </w:pPr>
      <w:r>
        <w:rPr>
          <w:rFonts w:hint="eastAsia" w:ascii="宋体" w:hAnsi="宋体" w:eastAsia="宋体" w:cs="宋体"/>
          <w:color w:val="auto"/>
          <w:spacing w:val="10"/>
          <w:sz w:val="96"/>
          <w:szCs w:val="96"/>
          <w:highlight w:val="none"/>
          <w14:textOutline w14:w="15255" w14:cap="sq" w14:cmpd="sng">
            <w14:solidFill>
              <w14:srgbClr w14:val="000000"/>
            </w14:solidFill>
            <w14:prstDash w14:val="solid"/>
            <w14:bevel/>
          </w14:textOutline>
        </w:rPr>
        <w:t>招</w:t>
      </w:r>
      <w:r>
        <w:rPr>
          <w:rFonts w:hint="eastAsia" w:ascii="宋体" w:hAnsi="宋体" w:eastAsia="宋体" w:cs="宋体"/>
          <w:color w:val="auto"/>
          <w:spacing w:val="7"/>
          <w:sz w:val="96"/>
          <w:szCs w:val="96"/>
          <w:highlight w:val="none"/>
          <w14:textOutline w14:w="15255" w14:cap="sq" w14:cmpd="sng">
            <w14:solidFill>
              <w14:srgbClr w14:val="000000"/>
            </w14:solidFill>
            <w14:prstDash w14:val="solid"/>
            <w14:bevel/>
          </w14:textOutline>
        </w:rPr>
        <w:t>标文件</w:t>
      </w:r>
    </w:p>
    <w:p w14:paraId="7460DFE3">
      <w:pPr>
        <w:rPr>
          <w:rFonts w:hint="eastAsia" w:ascii="宋体" w:hAnsi="宋体" w:eastAsia="宋体" w:cs="宋体"/>
          <w:color w:val="auto"/>
          <w:sz w:val="22"/>
          <w:szCs w:val="22"/>
          <w:highlight w:val="none"/>
        </w:rPr>
      </w:pPr>
    </w:p>
    <w:p w14:paraId="75F2E615">
      <w:pPr>
        <w:keepNext w:val="0"/>
        <w:keepLines w:val="0"/>
        <w:pageBreakBefore w:val="0"/>
        <w:widowControl/>
        <w:kinsoku w:val="0"/>
        <w:wordWrap/>
        <w:overflowPunct/>
        <w:topLinePunct w:val="0"/>
        <w:autoSpaceDE w:val="0"/>
        <w:autoSpaceDN w:val="0"/>
        <w:bidi w:val="0"/>
        <w:adjustRightInd w:val="0"/>
        <w:snapToGrid w:val="0"/>
        <w:spacing w:before="88" w:line="372" w:lineRule="auto"/>
        <w:ind w:left="0" w:firstLine="0" w:firstLineChars="0"/>
        <w:jc w:val="center"/>
        <w:textAlignment w:val="baseline"/>
        <w:rPr>
          <w:rFonts w:hint="eastAsia" w:ascii="宋体" w:hAnsi="宋体" w:eastAsia="宋体" w:cs="宋体"/>
          <w:color w:val="auto"/>
          <w:sz w:val="32"/>
          <w:szCs w:val="32"/>
          <w:highlight w:val="none"/>
          <w:lang w:val="en-US" w:eastAsia="zh-CN"/>
        </w:rPr>
      </w:pPr>
      <w:r>
        <w:rPr>
          <w:rFonts w:hint="eastAsia" w:ascii="宋体" w:hAnsi="宋体" w:eastAsia="宋体" w:cs="宋体"/>
          <w:color w:val="auto"/>
          <w:spacing w:val="11"/>
          <w:sz w:val="32"/>
          <w:szCs w:val="32"/>
          <w:highlight w:val="none"/>
          <w:lang w:eastAsia="zh-CN"/>
          <w14:textOutline w14:w="5793" w14:cap="sq" w14:cmpd="sng">
            <w14:solidFill>
              <w14:srgbClr w14:val="000000"/>
            </w14:solidFill>
            <w14:prstDash w14:val="solid"/>
            <w14:bevel/>
          </w14:textOutline>
        </w:rPr>
        <w:t>项目编号</w:t>
      </w:r>
      <w:r>
        <w:rPr>
          <w:rFonts w:hint="eastAsia" w:ascii="宋体" w:hAnsi="宋体" w:eastAsia="宋体" w:cs="宋体"/>
          <w:color w:val="auto"/>
          <w:spacing w:val="8"/>
          <w:sz w:val="32"/>
          <w:szCs w:val="32"/>
          <w:highlight w:val="none"/>
          <w14:textOutline w14:w="5793" w14:cap="sq" w14:cmpd="sng">
            <w14:solidFill>
              <w14:srgbClr w14:val="000000"/>
            </w14:solidFill>
            <w14:prstDash w14:val="solid"/>
            <w14:bevel/>
          </w14:textOutline>
        </w:rPr>
        <w:t>：</w:t>
      </w:r>
      <w:r>
        <w:rPr>
          <w:rFonts w:hint="eastAsia" w:ascii="宋体" w:hAnsi="宋体" w:cs="宋体"/>
          <w:color w:val="auto"/>
          <w:spacing w:val="8"/>
          <w:sz w:val="32"/>
          <w:szCs w:val="32"/>
          <w:highlight w:val="none"/>
          <w:lang w:eastAsia="zh-CN"/>
          <w14:textOutline w14:w="5793" w14:cap="sq" w14:cmpd="sng">
            <w14:solidFill>
              <w14:srgbClr w14:val="000000"/>
            </w14:solidFill>
            <w14:prstDash w14:val="solid"/>
            <w14:bevel/>
          </w14:textOutline>
        </w:rPr>
        <w:t>KMZC2026-G3-01154-LDHY-0006</w:t>
      </w:r>
    </w:p>
    <w:p w14:paraId="4D009FC0">
      <w:pPr>
        <w:rPr>
          <w:rFonts w:hint="eastAsia" w:ascii="宋体" w:hAnsi="宋体" w:eastAsia="宋体" w:cs="宋体"/>
          <w:color w:val="auto"/>
          <w:sz w:val="21"/>
          <w:highlight w:val="none"/>
        </w:rPr>
      </w:pPr>
    </w:p>
    <w:p w14:paraId="4F719776">
      <w:pPr>
        <w:rPr>
          <w:rFonts w:hint="eastAsia" w:ascii="宋体" w:hAnsi="宋体" w:eastAsia="宋体" w:cs="宋体"/>
          <w:color w:val="auto"/>
          <w:sz w:val="21"/>
          <w:highlight w:val="none"/>
        </w:rPr>
      </w:pPr>
    </w:p>
    <w:p w14:paraId="44B7D80F">
      <w:pPr>
        <w:rPr>
          <w:rFonts w:hint="eastAsia" w:ascii="宋体" w:hAnsi="宋体" w:eastAsia="宋体" w:cs="宋体"/>
          <w:color w:val="auto"/>
          <w:sz w:val="21"/>
          <w:highlight w:val="none"/>
        </w:rPr>
      </w:pPr>
    </w:p>
    <w:p w14:paraId="095D11D4">
      <w:pPr>
        <w:rPr>
          <w:rFonts w:hint="eastAsia" w:ascii="宋体" w:hAnsi="宋体" w:eastAsia="宋体" w:cs="宋体"/>
          <w:color w:val="auto"/>
          <w:sz w:val="21"/>
          <w:highlight w:val="none"/>
        </w:rPr>
      </w:pPr>
    </w:p>
    <w:p w14:paraId="036E1022">
      <w:pPr>
        <w:spacing w:line="241" w:lineRule="auto"/>
        <w:rPr>
          <w:rFonts w:hint="eastAsia" w:ascii="宋体" w:hAnsi="宋体" w:eastAsia="宋体" w:cs="宋体"/>
          <w:color w:val="auto"/>
          <w:sz w:val="21"/>
          <w:highlight w:val="none"/>
        </w:rPr>
      </w:pPr>
    </w:p>
    <w:p w14:paraId="3AD12C59">
      <w:pPr>
        <w:pStyle w:val="31"/>
        <w:rPr>
          <w:rFonts w:hint="eastAsia" w:ascii="宋体" w:hAnsi="宋体" w:eastAsia="宋体" w:cs="宋体"/>
          <w:color w:val="auto"/>
          <w:sz w:val="21"/>
          <w:highlight w:val="none"/>
        </w:rPr>
      </w:pPr>
    </w:p>
    <w:p w14:paraId="67B20F75">
      <w:pPr>
        <w:pStyle w:val="31"/>
        <w:ind w:left="0" w:leftChars="0" w:firstLine="0" w:firstLineChars="0"/>
        <w:rPr>
          <w:rFonts w:hint="eastAsia" w:ascii="宋体" w:hAnsi="宋体" w:eastAsia="宋体" w:cs="宋体"/>
          <w:color w:val="auto"/>
          <w:highlight w:val="none"/>
        </w:rPr>
      </w:pPr>
    </w:p>
    <w:p w14:paraId="6B2786AB">
      <w:pPr>
        <w:spacing w:line="241" w:lineRule="auto"/>
        <w:rPr>
          <w:rFonts w:hint="eastAsia" w:ascii="宋体" w:hAnsi="宋体" w:eastAsia="宋体" w:cs="宋体"/>
          <w:color w:val="auto"/>
          <w:sz w:val="21"/>
          <w:highlight w:val="none"/>
        </w:rPr>
      </w:pPr>
    </w:p>
    <w:p w14:paraId="7467F308">
      <w:pPr>
        <w:spacing w:line="241" w:lineRule="auto"/>
        <w:rPr>
          <w:rFonts w:hint="eastAsia" w:ascii="宋体" w:hAnsi="宋体" w:eastAsia="宋体" w:cs="宋体"/>
          <w:color w:val="auto"/>
          <w:sz w:val="21"/>
          <w:highlight w:val="none"/>
        </w:rPr>
      </w:pPr>
    </w:p>
    <w:p w14:paraId="1B5EA6D6">
      <w:pPr>
        <w:keepNext w:val="0"/>
        <w:keepLines w:val="0"/>
        <w:pageBreakBefore w:val="0"/>
        <w:widowControl/>
        <w:kinsoku w:val="0"/>
        <w:wordWrap/>
        <w:overflowPunct/>
        <w:topLinePunct w:val="0"/>
        <w:autoSpaceDE w:val="0"/>
        <w:autoSpaceDN w:val="0"/>
        <w:bidi w:val="0"/>
        <w:adjustRightInd w:val="0"/>
        <w:snapToGrid w:val="0"/>
        <w:spacing w:before="0" w:line="600" w:lineRule="auto"/>
        <w:ind w:firstLine="0" w:firstLineChars="0"/>
        <w:jc w:val="center"/>
        <w:textAlignment w:val="baseline"/>
        <w:rPr>
          <w:rFonts w:hint="eastAsia" w:ascii="宋体" w:hAnsi="宋体" w:eastAsia="宋体" w:cs="宋体"/>
          <w:color w:val="auto"/>
          <w:sz w:val="32"/>
          <w:szCs w:val="32"/>
          <w:highlight w:val="none"/>
          <w:lang w:val="en-US" w:eastAsia="zh-CN"/>
        </w:rPr>
      </w:pPr>
      <w:r>
        <w:rPr>
          <w:rFonts w:hint="eastAsia" w:ascii="宋体" w:hAnsi="宋体" w:eastAsia="宋体" w:cs="宋体"/>
          <w:color w:val="auto"/>
          <w:spacing w:val="16"/>
          <w:sz w:val="32"/>
          <w:szCs w:val="32"/>
          <w:highlight w:val="none"/>
          <w:lang w:val="en-US" w:eastAsia="zh-CN"/>
          <w14:textOutline w14:w="5448" w14:cap="sq" w14:cmpd="sng">
            <w14:solidFill>
              <w14:srgbClr w14:val="000000"/>
            </w14:solidFill>
            <w14:prstDash w14:val="solid"/>
            <w14:bevel/>
          </w14:textOutline>
        </w:rPr>
        <w:t>采 购 人</w:t>
      </w:r>
      <w:r>
        <w:rPr>
          <w:rFonts w:hint="eastAsia" w:ascii="宋体" w:hAnsi="宋体" w:eastAsia="宋体" w:cs="宋体"/>
          <w:color w:val="auto"/>
          <w:spacing w:val="8"/>
          <w:sz w:val="32"/>
          <w:szCs w:val="32"/>
          <w:highlight w:val="none"/>
          <w14:textOutline w14:w="5448" w14:cap="sq" w14:cmpd="sng">
            <w14:solidFill>
              <w14:srgbClr w14:val="000000"/>
            </w14:solidFill>
            <w14:prstDash w14:val="solid"/>
            <w14:bevel/>
          </w14:textOutline>
        </w:rPr>
        <w:t>：</w:t>
      </w:r>
      <w:r>
        <w:rPr>
          <w:rFonts w:hint="eastAsia" w:ascii="宋体" w:hAnsi="宋体" w:eastAsia="宋体" w:cs="宋体"/>
          <w:color w:val="auto"/>
          <w:spacing w:val="8"/>
          <w:sz w:val="32"/>
          <w:szCs w:val="32"/>
          <w:highlight w:val="none"/>
          <w:lang w:val="en-US" w:eastAsia="zh-CN"/>
          <w14:textOutline w14:w="5448" w14:cap="sq" w14:cmpd="sng">
            <w14:solidFill>
              <w14:srgbClr w14:val="000000"/>
            </w14:solidFill>
            <w14:prstDash w14:val="solid"/>
            <w14:bevel/>
          </w14:textOutline>
        </w:rPr>
        <w:t>富民县公共就业和人才服务中心</w:t>
      </w:r>
    </w:p>
    <w:p w14:paraId="7B2C9E5F">
      <w:pPr>
        <w:keepNext w:val="0"/>
        <w:keepLines w:val="0"/>
        <w:pageBreakBefore w:val="0"/>
        <w:widowControl/>
        <w:kinsoku w:val="0"/>
        <w:wordWrap/>
        <w:overflowPunct/>
        <w:topLinePunct w:val="0"/>
        <w:autoSpaceDE w:val="0"/>
        <w:autoSpaceDN w:val="0"/>
        <w:bidi w:val="0"/>
        <w:adjustRightInd w:val="0"/>
        <w:snapToGrid w:val="0"/>
        <w:spacing w:before="0" w:line="600" w:lineRule="auto"/>
        <w:ind w:firstLine="0" w:firstLineChars="0"/>
        <w:jc w:val="center"/>
        <w:textAlignment w:val="baseline"/>
        <w:rPr>
          <w:rFonts w:hint="eastAsia" w:ascii="宋体" w:hAnsi="宋体" w:eastAsia="宋体" w:cs="宋体"/>
          <w:color w:val="auto"/>
          <w:spacing w:val="10"/>
          <w:sz w:val="32"/>
          <w:szCs w:val="32"/>
          <w:highlight w:val="none"/>
          <w:lang w:eastAsia="zh-CN"/>
          <w14:textOutline w14:w="5448" w14:cap="sq" w14:cmpd="sng">
            <w14:solidFill>
              <w14:srgbClr w14:val="000000"/>
            </w14:solidFill>
            <w14:prstDash w14:val="solid"/>
            <w14:bevel/>
          </w14:textOutline>
        </w:rPr>
      </w:pPr>
      <w:r>
        <w:rPr>
          <w:rFonts w:hint="eastAsia" w:ascii="宋体" w:hAnsi="宋体" w:eastAsia="宋体" w:cs="宋体"/>
          <w:color w:val="auto"/>
          <w:spacing w:val="20"/>
          <w:sz w:val="32"/>
          <w:szCs w:val="32"/>
          <w:highlight w:val="none"/>
          <w:lang w:val="en-US" w:eastAsia="zh-CN"/>
          <w14:textOutline w14:w="5448" w14:cap="sq" w14:cmpd="sng">
            <w14:solidFill>
              <w14:srgbClr w14:val="000000"/>
            </w14:solidFill>
            <w14:prstDash w14:val="solid"/>
            <w14:bevel/>
          </w14:textOutline>
        </w:rPr>
        <w:t>采购</w:t>
      </w:r>
      <w:r>
        <w:rPr>
          <w:rFonts w:hint="eastAsia" w:ascii="宋体" w:hAnsi="宋体" w:eastAsia="宋体" w:cs="宋体"/>
          <w:color w:val="auto"/>
          <w:spacing w:val="20"/>
          <w:sz w:val="32"/>
          <w:szCs w:val="32"/>
          <w:highlight w:val="none"/>
          <w:lang w:eastAsia="zh-CN"/>
          <w14:textOutline w14:w="5448" w14:cap="sq" w14:cmpd="sng">
            <w14:solidFill>
              <w14:srgbClr w14:val="000000"/>
            </w14:solidFill>
            <w14:prstDash w14:val="solid"/>
            <w14:bevel/>
          </w14:textOutline>
        </w:rPr>
        <w:t>代理机构</w:t>
      </w:r>
      <w:r>
        <w:rPr>
          <w:rFonts w:hint="eastAsia" w:ascii="宋体" w:hAnsi="宋体" w:eastAsia="宋体" w:cs="宋体"/>
          <w:color w:val="auto"/>
          <w:spacing w:val="10"/>
          <w:sz w:val="32"/>
          <w:szCs w:val="32"/>
          <w:highlight w:val="none"/>
          <w14:textOutline w14:w="5448" w14:cap="sq" w14:cmpd="sng">
            <w14:solidFill>
              <w14:srgbClr w14:val="000000"/>
            </w14:solidFill>
            <w14:prstDash w14:val="solid"/>
            <w14:bevel/>
          </w14:textOutline>
        </w:rPr>
        <w:t>：律道合一(云南)项目管理咨询有限公司</w:t>
      </w:r>
    </w:p>
    <w:p w14:paraId="5A4E1ABF">
      <w:pPr>
        <w:pStyle w:val="41"/>
        <w:spacing w:line="600" w:lineRule="auto"/>
        <w:jc w:val="center"/>
        <w:rPr>
          <w:rFonts w:hint="eastAsia" w:ascii="宋体" w:hAnsi="宋体" w:eastAsia="宋体" w:cs="宋体"/>
          <w:b/>
          <w:color w:val="auto"/>
          <w:sz w:val="44"/>
          <w:szCs w:val="44"/>
          <w:highlight w:val="none"/>
        </w:rPr>
      </w:pPr>
      <w:r>
        <w:rPr>
          <w:rFonts w:hint="eastAsia" w:ascii="宋体" w:hAnsi="宋体" w:eastAsia="宋体" w:cs="宋体"/>
          <w:color w:val="auto"/>
          <w:spacing w:val="10"/>
          <w:sz w:val="32"/>
          <w:szCs w:val="32"/>
          <w:highlight w:val="none"/>
          <w:lang w:val="en-US" w:eastAsia="zh-CN"/>
          <w14:textOutline w14:w="5448" w14:cap="sq" w14:cmpd="sng">
            <w14:solidFill>
              <w14:srgbClr w14:val="000000"/>
            </w14:solidFill>
            <w14:prstDash w14:val="solid"/>
            <w14:bevel/>
          </w14:textOutline>
        </w:rPr>
        <w:t>2026年06月</w:t>
      </w:r>
    </w:p>
    <w:p w14:paraId="11472318">
      <w:pPr>
        <w:spacing w:line="360" w:lineRule="auto"/>
        <w:ind w:firstLine="7228" w:firstLineChars="1000"/>
        <w:rPr>
          <w:rFonts w:hint="eastAsia" w:ascii="宋体" w:hAnsi="宋体" w:eastAsia="宋体" w:cs="宋体"/>
          <w:b/>
          <w:color w:val="auto"/>
          <w:sz w:val="72"/>
          <w:highlight w:val="none"/>
        </w:rPr>
        <w:sectPr>
          <w:headerReference r:id="rId6" w:type="first"/>
          <w:footerReference r:id="rId9" w:type="first"/>
          <w:headerReference r:id="rId5" w:type="default"/>
          <w:footerReference r:id="rId7" w:type="default"/>
          <w:footerReference r:id="rId8" w:type="even"/>
          <w:pgSz w:w="11907" w:h="16840"/>
          <w:pgMar w:top="1440" w:right="1080" w:bottom="1440" w:left="1080" w:header="851" w:footer="851" w:gutter="0"/>
          <w:pgNumType w:start="1"/>
          <w:cols w:space="720" w:num="1"/>
          <w:titlePg/>
          <w:docGrid w:linePitch="462" w:charSpace="0"/>
        </w:sectPr>
      </w:pPr>
    </w:p>
    <w:p w14:paraId="77B70AE7">
      <w:pPr>
        <w:spacing w:line="360" w:lineRule="auto"/>
        <w:jc w:val="center"/>
        <w:outlineLvl w:val="0"/>
        <w:rPr>
          <w:rFonts w:hint="eastAsia" w:ascii="宋体" w:hAnsi="宋体" w:eastAsia="宋体" w:cs="宋体"/>
          <w:b/>
          <w:color w:val="auto"/>
          <w:sz w:val="36"/>
          <w:szCs w:val="36"/>
          <w:highlight w:val="none"/>
        </w:rPr>
      </w:pPr>
      <w:bookmarkStart w:id="0" w:name="_Toc6715"/>
      <w:bookmarkStart w:id="1" w:name="_Toc8814"/>
      <w:bookmarkStart w:id="2" w:name="_Toc99301418"/>
      <w:bookmarkStart w:id="3" w:name="_Toc18696"/>
      <w:r>
        <w:rPr>
          <w:rFonts w:hint="eastAsia" w:ascii="宋体" w:hAnsi="宋体" w:eastAsia="宋体" w:cs="宋体"/>
          <w:b/>
          <w:color w:val="auto"/>
          <w:sz w:val="36"/>
          <w:szCs w:val="36"/>
          <w:highlight w:val="none"/>
        </w:rPr>
        <w:t>目      录</w:t>
      </w:r>
      <w:bookmarkEnd w:id="0"/>
      <w:bookmarkEnd w:id="1"/>
      <w:bookmarkEnd w:id="2"/>
      <w:bookmarkEnd w:id="3"/>
    </w:p>
    <w:p w14:paraId="0B6080BD">
      <w:pPr>
        <w:rPr>
          <w:rFonts w:hint="eastAsia" w:ascii="宋体" w:hAnsi="宋体" w:eastAsia="宋体" w:cs="宋体"/>
          <w:color w:val="auto"/>
          <w:highlight w:val="none"/>
        </w:rPr>
      </w:pPr>
    </w:p>
    <w:p w14:paraId="24C531D6">
      <w:pPr>
        <w:rPr>
          <w:rFonts w:hint="eastAsia" w:ascii="宋体" w:hAnsi="宋体" w:eastAsia="宋体" w:cs="宋体"/>
          <w:color w:val="auto"/>
          <w:highlight w:val="none"/>
        </w:rPr>
      </w:pPr>
    </w:p>
    <w:p w14:paraId="5ADBBC78">
      <w:pPr>
        <w:pStyle w:val="19"/>
        <w:tabs>
          <w:tab w:val="right" w:leader="dot" w:pos="9072"/>
        </w:tabs>
        <w:rPr>
          <w:rFonts w:hint="eastAsia" w:ascii="宋体" w:hAnsi="宋体" w:eastAsia="宋体" w:cs="宋体"/>
          <w:color w:val="auto"/>
          <w:highlight w:val="none"/>
        </w:rPr>
      </w:pPr>
      <w:r>
        <w:rPr>
          <w:rFonts w:hint="eastAsia" w:ascii="宋体" w:hAnsi="宋体" w:eastAsia="宋体" w:cs="宋体"/>
          <w:b w:val="0"/>
          <w:color w:val="auto"/>
          <w:highlight w:val="none"/>
        </w:rPr>
        <w:fldChar w:fldCharType="begin"/>
      </w:r>
      <w:r>
        <w:rPr>
          <w:rFonts w:hint="eastAsia" w:ascii="宋体" w:hAnsi="宋体" w:eastAsia="宋体" w:cs="宋体"/>
          <w:b w:val="0"/>
          <w:color w:val="auto"/>
          <w:highlight w:val="none"/>
        </w:rPr>
        <w:instrText xml:space="preserve"> TOC \o "1-1" \h \z \u </w:instrText>
      </w:r>
      <w:r>
        <w:rPr>
          <w:rFonts w:hint="eastAsia" w:ascii="宋体" w:hAnsi="宋体" w:eastAsia="宋体" w:cs="宋体"/>
          <w:b w:val="0"/>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_Toc11311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6"/>
          <w:highlight w:val="none"/>
        </w:rPr>
        <w:t xml:space="preserve">第一章   </w:t>
      </w:r>
      <w:r>
        <w:rPr>
          <w:rFonts w:hint="eastAsia" w:ascii="宋体" w:hAnsi="宋体" w:eastAsia="宋体" w:cs="宋体"/>
          <w:color w:val="auto"/>
          <w:szCs w:val="36"/>
          <w:highlight w:val="none"/>
          <w:lang w:eastAsia="zh-CN"/>
        </w:rPr>
        <w:t>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_Toc11311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4BCBAF26">
      <w:pPr>
        <w:pStyle w:val="19"/>
        <w:tabs>
          <w:tab w:val="right" w:leader="dot" w:pos="9072"/>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_Toc5910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6"/>
          <w:highlight w:val="none"/>
        </w:rPr>
        <w:t>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_Toc5910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7963A4AE">
      <w:pPr>
        <w:pStyle w:val="19"/>
        <w:tabs>
          <w:tab w:val="right" w:leader="dot" w:pos="9072"/>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_Toc31161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6"/>
          <w:highlight w:val="none"/>
        </w:rPr>
        <w:t>第三章   资格审查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_Toc31161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22</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1EDCA40F">
      <w:pPr>
        <w:pStyle w:val="19"/>
        <w:tabs>
          <w:tab w:val="right" w:leader="dot" w:pos="9072"/>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_Toc1658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6"/>
          <w:highlight w:val="none"/>
        </w:rPr>
        <w:t>第四章   评标方法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_Toc1658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0F356808">
      <w:pPr>
        <w:pStyle w:val="19"/>
        <w:tabs>
          <w:tab w:val="right" w:leader="dot" w:pos="9072"/>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_Toc9773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6"/>
          <w:highlight w:val="none"/>
        </w:rPr>
        <w:t>第五章   采购需求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_Toc9773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35</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43EF54A1">
      <w:pPr>
        <w:pStyle w:val="19"/>
        <w:tabs>
          <w:tab w:val="right" w:leader="dot" w:pos="9072"/>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_Toc2399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6"/>
          <w:highlight w:val="none"/>
        </w:rPr>
        <w:t>第六章   拟签订的合同文本</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_Toc2399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38</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269231DC">
      <w:pPr>
        <w:pStyle w:val="19"/>
        <w:tabs>
          <w:tab w:val="right" w:leader="dot" w:pos="9072"/>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_Toc7257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6"/>
          <w:highlight w:val="none"/>
        </w:rPr>
        <w:t>第七章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_Toc7257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7D9FEC3E">
      <w:pPr>
        <w:pStyle w:val="19"/>
        <w:tabs>
          <w:tab w:val="left" w:pos="1050"/>
          <w:tab w:val="right" w:leader="dot" w:pos="8937"/>
        </w:tabs>
        <w:spacing w:line="360" w:lineRule="auto"/>
        <w:rPr>
          <w:rFonts w:hint="eastAsia" w:ascii="宋体" w:hAnsi="宋体" w:eastAsia="宋体" w:cs="宋体"/>
          <w:b w:val="0"/>
          <w:color w:val="auto"/>
          <w:highlight w:val="none"/>
        </w:rPr>
      </w:pPr>
      <w:r>
        <w:rPr>
          <w:rFonts w:hint="eastAsia" w:ascii="宋体" w:hAnsi="宋体" w:eastAsia="宋体" w:cs="宋体"/>
          <w:color w:val="auto"/>
          <w:highlight w:val="none"/>
        </w:rPr>
        <w:fldChar w:fldCharType="end"/>
      </w:r>
    </w:p>
    <w:p w14:paraId="68637718">
      <w:pPr>
        <w:spacing w:line="360" w:lineRule="auto"/>
        <w:jc w:val="center"/>
        <w:outlineLvl w:val="0"/>
        <w:rPr>
          <w:rFonts w:hint="eastAsia" w:ascii="宋体" w:hAnsi="宋体" w:eastAsia="宋体" w:cs="宋体"/>
          <w:b/>
          <w:color w:val="auto"/>
          <w:sz w:val="36"/>
          <w:szCs w:val="36"/>
          <w:highlight w:val="none"/>
        </w:rPr>
      </w:pPr>
    </w:p>
    <w:p w14:paraId="024D46BC">
      <w:pPr>
        <w:bidi w:val="0"/>
        <w:rPr>
          <w:rFonts w:hint="eastAsia" w:ascii="宋体" w:hAnsi="宋体" w:eastAsia="宋体" w:cs="宋体"/>
          <w:snapToGrid w:val="0"/>
          <w:color w:val="auto"/>
          <w:kern w:val="0"/>
          <w:sz w:val="24"/>
          <w:szCs w:val="24"/>
          <w:highlight w:val="none"/>
        </w:rPr>
      </w:pPr>
    </w:p>
    <w:p w14:paraId="556C7185">
      <w:pPr>
        <w:bidi w:val="0"/>
        <w:rPr>
          <w:rFonts w:hint="eastAsia" w:ascii="宋体" w:hAnsi="宋体" w:eastAsia="宋体" w:cs="宋体"/>
          <w:color w:val="auto"/>
          <w:highlight w:val="none"/>
        </w:rPr>
      </w:pPr>
    </w:p>
    <w:p w14:paraId="24AA6D95">
      <w:pPr>
        <w:bidi w:val="0"/>
        <w:rPr>
          <w:rFonts w:hint="eastAsia" w:ascii="宋体" w:hAnsi="宋体" w:eastAsia="宋体" w:cs="宋体"/>
          <w:color w:val="auto"/>
          <w:highlight w:val="none"/>
        </w:rPr>
      </w:pPr>
    </w:p>
    <w:p w14:paraId="0F1460D0">
      <w:pPr>
        <w:bidi w:val="0"/>
        <w:rPr>
          <w:rFonts w:hint="eastAsia" w:ascii="宋体" w:hAnsi="宋体" w:eastAsia="宋体" w:cs="宋体"/>
          <w:color w:val="auto"/>
          <w:highlight w:val="none"/>
        </w:rPr>
      </w:pPr>
    </w:p>
    <w:p w14:paraId="64E6B8FE">
      <w:pPr>
        <w:bidi w:val="0"/>
        <w:rPr>
          <w:rFonts w:hint="eastAsia" w:ascii="宋体" w:hAnsi="宋体" w:eastAsia="宋体" w:cs="宋体"/>
          <w:color w:val="auto"/>
          <w:highlight w:val="none"/>
        </w:rPr>
      </w:pPr>
    </w:p>
    <w:p w14:paraId="310A9183">
      <w:pPr>
        <w:bidi w:val="0"/>
        <w:rPr>
          <w:rFonts w:hint="eastAsia" w:ascii="宋体" w:hAnsi="宋体" w:eastAsia="宋体" w:cs="宋体"/>
          <w:color w:val="auto"/>
          <w:highlight w:val="none"/>
        </w:rPr>
      </w:pPr>
    </w:p>
    <w:p w14:paraId="4A2CF9F0">
      <w:pPr>
        <w:bidi w:val="0"/>
        <w:rPr>
          <w:rFonts w:hint="eastAsia" w:ascii="宋体" w:hAnsi="宋体" w:eastAsia="宋体" w:cs="宋体"/>
          <w:color w:val="auto"/>
          <w:highlight w:val="none"/>
        </w:rPr>
      </w:pPr>
    </w:p>
    <w:p w14:paraId="581B526C">
      <w:pPr>
        <w:tabs>
          <w:tab w:val="center" w:pos="4873"/>
        </w:tabs>
        <w:bidi w:val="0"/>
        <w:jc w:val="left"/>
        <w:rPr>
          <w:rFonts w:hint="eastAsia" w:ascii="宋体" w:hAnsi="宋体" w:eastAsia="宋体" w:cs="宋体"/>
          <w:color w:val="auto"/>
          <w:highlight w:val="none"/>
          <w:lang w:eastAsia="zh-CN"/>
        </w:rPr>
        <w:sectPr>
          <w:headerReference r:id="rId11" w:type="first"/>
          <w:footerReference r:id="rId14" w:type="first"/>
          <w:footerReference r:id="rId12" w:type="default"/>
          <w:headerReference r:id="rId10" w:type="even"/>
          <w:footerReference r:id="rId13" w:type="even"/>
          <w:pgSz w:w="11907" w:h="16840"/>
          <w:pgMar w:top="1440" w:right="1080" w:bottom="1440" w:left="1080" w:header="851" w:footer="851" w:gutter="0"/>
          <w:pgNumType w:fmt="decimal" w:start="1"/>
          <w:cols w:space="720" w:num="1"/>
          <w:docGrid w:linePitch="462" w:charSpace="0"/>
        </w:sectPr>
      </w:pPr>
      <w:r>
        <w:rPr>
          <w:rFonts w:hint="eastAsia" w:ascii="宋体" w:hAnsi="宋体" w:eastAsia="宋体" w:cs="宋体"/>
          <w:color w:val="auto"/>
          <w:highlight w:val="none"/>
          <w:lang w:eastAsia="zh-CN"/>
        </w:rPr>
        <w:tab/>
      </w:r>
    </w:p>
    <w:p w14:paraId="0C97B614">
      <w:pPr>
        <w:spacing w:line="360" w:lineRule="auto"/>
        <w:jc w:val="center"/>
        <w:outlineLvl w:val="0"/>
        <w:rPr>
          <w:rFonts w:hint="eastAsia" w:ascii="宋体" w:hAnsi="宋体" w:eastAsia="宋体" w:cs="宋体"/>
          <w:b/>
          <w:color w:val="auto"/>
          <w:sz w:val="36"/>
          <w:szCs w:val="36"/>
          <w:highlight w:val="none"/>
          <w:lang w:eastAsia="zh-CN"/>
        </w:rPr>
      </w:pPr>
      <w:bookmarkStart w:id="4" w:name="_Toc11311"/>
      <w:r>
        <w:rPr>
          <w:rFonts w:hint="eastAsia" w:ascii="宋体" w:hAnsi="宋体" w:eastAsia="宋体" w:cs="宋体"/>
          <w:b/>
          <w:color w:val="auto"/>
          <w:sz w:val="36"/>
          <w:szCs w:val="36"/>
          <w:highlight w:val="none"/>
        </w:rPr>
        <w:t xml:space="preserve">第一章   </w:t>
      </w:r>
      <w:r>
        <w:rPr>
          <w:rFonts w:hint="eastAsia" w:ascii="宋体" w:hAnsi="宋体" w:eastAsia="宋体" w:cs="宋体"/>
          <w:b/>
          <w:color w:val="auto"/>
          <w:sz w:val="36"/>
          <w:szCs w:val="36"/>
          <w:highlight w:val="none"/>
          <w:lang w:eastAsia="zh-CN"/>
        </w:rPr>
        <w:t>招标公告</w:t>
      </w:r>
      <w:bookmarkEnd w:id="4"/>
    </w:p>
    <w:p w14:paraId="12C958D1">
      <w:pPr>
        <w:pStyle w:val="31"/>
        <w:ind w:left="0" w:leftChars="0" w:firstLine="0" w:firstLineChars="0"/>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rPr>
        <w:t>富民县2026年职业技能提升培训项目招标公告</w:t>
      </w:r>
    </w:p>
    <w:p w14:paraId="5B327111">
      <w:pPr>
        <w:keepNext w:val="0"/>
        <w:keepLines w:val="0"/>
        <w:pageBreakBefore w:val="0"/>
        <w:widowControl w:val="0"/>
        <w:suppressLineNumbers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olor w:val="auto"/>
          <w:sz w:val="24"/>
          <w:szCs w:val="24"/>
          <w:highlight w:val="none"/>
          <w:lang w:val="en-US"/>
        </w:rPr>
      </w:pPr>
      <w:r>
        <w:rPr>
          <w:rFonts w:hint="eastAsia" w:ascii="宋体" w:hAnsi="宋体" w:eastAsia="宋体" w:cs="宋体"/>
          <w:i w:val="0"/>
          <w:iCs w:val="0"/>
          <w:color w:val="auto"/>
          <w:kern w:val="2"/>
          <w:sz w:val="24"/>
          <w:szCs w:val="24"/>
          <w:highlight w:val="none"/>
          <w:lang w:val="en-US" w:eastAsia="zh-CN" w:bidi="ar"/>
        </w:rPr>
        <w:t>项目概况</w:t>
      </w:r>
    </w:p>
    <w:p w14:paraId="1FBB3968">
      <w:pPr>
        <w:keepNext w:val="0"/>
        <w:keepLines w:val="0"/>
        <w:pageBreakBefore w:val="0"/>
        <w:widowControl w:val="0"/>
        <w:suppressLineNumbers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olor w:val="auto"/>
          <w:sz w:val="24"/>
          <w:szCs w:val="24"/>
          <w:highlight w:val="none"/>
          <w:lang w:val="en-US"/>
        </w:rPr>
      </w:pPr>
      <w:r>
        <w:rPr>
          <w:rFonts w:hint="eastAsia" w:ascii="宋体" w:hAnsi="宋体" w:eastAsia="宋体" w:cs="宋体"/>
          <w:i w:val="0"/>
          <w:iCs w:val="0"/>
          <w:color w:val="auto"/>
          <w:kern w:val="2"/>
          <w:sz w:val="24"/>
          <w:szCs w:val="24"/>
          <w:highlight w:val="none"/>
          <w:u w:val="single"/>
          <w:lang w:val="en-US" w:eastAsia="zh-CN" w:bidi="ar"/>
        </w:rPr>
        <w:t xml:space="preserve"> 富民县2026年职业技能提升培训项目</w:t>
      </w:r>
      <w:r>
        <w:rPr>
          <w:rFonts w:hint="eastAsia" w:ascii="宋体" w:hAnsi="宋体" w:eastAsia="宋体" w:cs="宋体"/>
          <w:i w:val="0"/>
          <w:iCs w:val="0"/>
          <w:color w:val="auto"/>
          <w:kern w:val="2"/>
          <w:sz w:val="24"/>
          <w:szCs w:val="24"/>
          <w:highlight w:val="none"/>
          <w:lang w:val="en-US" w:eastAsia="zh-CN" w:bidi="ar"/>
        </w:rPr>
        <w:t xml:space="preserve"> 招标项目的潜在投标人应在</w:t>
      </w:r>
      <w:r>
        <w:rPr>
          <w:rFonts w:hint="eastAsia" w:ascii="宋体" w:hAnsi="宋体" w:eastAsia="宋体" w:cs="宋体"/>
          <w:i w:val="0"/>
          <w:iCs w:val="0"/>
          <w:color w:val="auto"/>
          <w:kern w:val="2"/>
          <w:sz w:val="24"/>
          <w:szCs w:val="24"/>
          <w:highlight w:val="none"/>
          <w:u w:val="single"/>
          <w:lang w:val="en-US" w:eastAsia="zh-CN" w:bidi="ar"/>
        </w:rPr>
        <w:t>政采云平台（网址：</w:t>
      </w:r>
      <w:r>
        <w:rPr>
          <w:rFonts w:hint="eastAsia" w:ascii="宋体" w:hAnsi="宋体" w:eastAsia="宋体" w:cs="宋体"/>
          <w:i w:val="0"/>
          <w:iCs w:val="0"/>
          <w:color w:val="auto"/>
          <w:kern w:val="2"/>
          <w:sz w:val="24"/>
          <w:szCs w:val="24"/>
          <w:highlight w:val="none"/>
          <w:u w:val="single"/>
          <w:lang w:val="en-US" w:eastAsia="zh-CN" w:bidi="ar"/>
        </w:rPr>
        <w:fldChar w:fldCharType="begin"/>
      </w:r>
      <w:r>
        <w:rPr>
          <w:rFonts w:hint="eastAsia" w:ascii="宋体" w:hAnsi="宋体" w:eastAsia="宋体" w:cs="宋体"/>
          <w:i w:val="0"/>
          <w:iCs w:val="0"/>
          <w:color w:val="auto"/>
          <w:kern w:val="2"/>
          <w:sz w:val="24"/>
          <w:szCs w:val="24"/>
          <w:highlight w:val="none"/>
          <w:u w:val="single"/>
          <w:lang w:val="en-US" w:eastAsia="zh-CN" w:bidi="ar"/>
        </w:rPr>
        <w:instrText xml:space="preserve"> HYPERLINK "https://ggzy.yn.gov.cn/ynggfwpt-home-web/" \l "/homePage）获取招标文件，并于2022年" </w:instrText>
      </w:r>
      <w:r>
        <w:rPr>
          <w:rFonts w:hint="eastAsia" w:ascii="宋体" w:hAnsi="宋体" w:eastAsia="宋体" w:cs="宋体"/>
          <w:i w:val="0"/>
          <w:iCs w:val="0"/>
          <w:color w:val="auto"/>
          <w:kern w:val="2"/>
          <w:sz w:val="24"/>
          <w:szCs w:val="24"/>
          <w:highlight w:val="none"/>
          <w:u w:val="single"/>
          <w:lang w:val="en-US" w:eastAsia="zh-CN" w:bidi="ar"/>
        </w:rPr>
        <w:fldChar w:fldCharType="separate"/>
      </w:r>
      <w:r>
        <w:rPr>
          <w:rFonts w:hint="eastAsia" w:ascii="宋体" w:hAnsi="宋体" w:eastAsia="宋体" w:cs="宋体"/>
          <w:i w:val="0"/>
          <w:iCs w:val="0"/>
          <w:color w:val="auto"/>
          <w:kern w:val="2"/>
          <w:sz w:val="24"/>
          <w:szCs w:val="24"/>
          <w:highlight w:val="none"/>
          <w:u w:val="single"/>
          <w:lang w:val="en-US" w:eastAsia="zh-CN" w:bidi="ar"/>
        </w:rPr>
        <w:t>https://www.zcygov.cn/）</w:t>
      </w:r>
      <w:r>
        <w:rPr>
          <w:rFonts w:hint="eastAsia" w:ascii="宋体" w:hAnsi="宋体" w:eastAsia="宋体" w:cs="宋体"/>
          <w:i w:val="0"/>
          <w:iCs w:val="0"/>
          <w:color w:val="auto"/>
          <w:kern w:val="2"/>
          <w:sz w:val="24"/>
          <w:szCs w:val="24"/>
          <w:highlight w:val="none"/>
          <w:u w:val="single"/>
          <w:lang w:val="en-US" w:eastAsia="zh-CN" w:bidi="ar"/>
        </w:rPr>
        <w:fldChar w:fldCharType="end"/>
      </w:r>
      <w:r>
        <w:rPr>
          <w:rFonts w:hint="eastAsia" w:ascii="宋体" w:hAnsi="宋体" w:eastAsia="宋体" w:cs="宋体"/>
          <w:i w:val="0"/>
          <w:iCs w:val="0"/>
          <w:color w:val="auto"/>
          <w:kern w:val="2"/>
          <w:sz w:val="24"/>
          <w:szCs w:val="24"/>
          <w:highlight w:val="none"/>
          <w:lang w:val="en-US" w:eastAsia="zh-CN" w:bidi="ar"/>
        </w:rPr>
        <w:t>获取招标文件，并于</w:t>
      </w:r>
      <w:r>
        <w:rPr>
          <w:rFonts w:hint="eastAsia" w:ascii="宋体" w:hAnsi="宋体" w:eastAsia="宋体" w:cs="宋体"/>
          <w:i w:val="0"/>
          <w:iCs w:val="0"/>
          <w:color w:val="auto"/>
          <w:kern w:val="2"/>
          <w:sz w:val="24"/>
          <w:szCs w:val="24"/>
          <w:highlight w:val="none"/>
          <w:u w:val="single"/>
          <w:lang w:val="en-US" w:eastAsia="zh-CN" w:bidi="ar"/>
        </w:rPr>
        <w:t xml:space="preserve">2026 </w:t>
      </w:r>
      <w:r>
        <w:rPr>
          <w:rFonts w:hint="eastAsia" w:ascii="宋体" w:hAnsi="宋体" w:eastAsia="宋体" w:cs="宋体"/>
          <w:bCs/>
          <w:i w:val="0"/>
          <w:iCs w:val="0"/>
          <w:color w:val="auto"/>
          <w:kern w:val="2"/>
          <w:sz w:val="24"/>
          <w:szCs w:val="24"/>
          <w:highlight w:val="none"/>
          <w:u w:val="single"/>
          <w:lang w:val="en-US" w:eastAsia="zh-CN" w:bidi="ar"/>
        </w:rPr>
        <w:t>年06月26日09 点 30分（</w:t>
      </w:r>
      <w:r>
        <w:rPr>
          <w:rFonts w:hint="eastAsia" w:ascii="宋体" w:hAnsi="宋体" w:eastAsia="宋体" w:cs="宋体"/>
          <w:bCs/>
          <w:i w:val="0"/>
          <w:iCs w:val="0"/>
          <w:color w:val="auto"/>
          <w:kern w:val="2"/>
          <w:sz w:val="24"/>
          <w:szCs w:val="24"/>
          <w:highlight w:val="none"/>
          <w:lang w:val="en-US" w:eastAsia="zh-CN" w:bidi="ar"/>
        </w:rPr>
        <w:t>北京时间）前递交投标文件</w:t>
      </w:r>
      <w:r>
        <w:rPr>
          <w:rFonts w:hint="eastAsia" w:ascii="宋体" w:hAnsi="宋体" w:eastAsia="宋体" w:cs="宋体"/>
          <w:i w:val="0"/>
          <w:iCs w:val="0"/>
          <w:color w:val="auto"/>
          <w:kern w:val="2"/>
          <w:sz w:val="24"/>
          <w:szCs w:val="24"/>
          <w:highlight w:val="none"/>
          <w:lang w:val="en-US" w:eastAsia="zh-CN" w:bidi="ar"/>
        </w:rPr>
        <w:t>。</w:t>
      </w:r>
    </w:p>
    <w:p w14:paraId="388AD800">
      <w:pPr>
        <w:pStyle w:val="4"/>
        <w:pageBreakBefore w:val="0"/>
        <w:widowControl/>
        <w:kinsoku w:val="0"/>
        <w:wordWrap/>
        <w:overflowPunct/>
        <w:topLinePunct w:val="0"/>
        <w:autoSpaceDE/>
        <w:autoSpaceDN/>
        <w:bidi w:val="0"/>
        <w:adjustRightInd w:val="0"/>
        <w:snapToGrid w:val="0"/>
        <w:spacing w:before="0" w:beforeLines="0" w:after="0" w:afterLines="0" w:line="360" w:lineRule="auto"/>
        <w:jc w:val="left"/>
        <w:textAlignment w:val="baseline"/>
        <w:rPr>
          <w:rFonts w:hint="eastAsia" w:ascii="宋体" w:hAnsi="宋体" w:eastAsia="宋体" w:cs="宋体"/>
          <w:color w:val="auto"/>
          <w:sz w:val="24"/>
          <w:szCs w:val="24"/>
          <w:highlight w:val="none"/>
        </w:rPr>
      </w:pPr>
      <w:bookmarkStart w:id="5" w:name="_Toc28359079"/>
      <w:bookmarkStart w:id="6" w:name="_Toc35393790"/>
      <w:bookmarkStart w:id="7" w:name="_Toc35393621"/>
      <w:bookmarkStart w:id="8" w:name="_Toc28359002"/>
      <w:bookmarkStart w:id="9" w:name="_Hlk24379207"/>
      <w:r>
        <w:rPr>
          <w:rFonts w:hint="eastAsia" w:ascii="宋体" w:hAnsi="宋体" w:eastAsia="宋体" w:cs="宋体"/>
          <w:color w:val="auto"/>
          <w:sz w:val="24"/>
          <w:szCs w:val="24"/>
          <w:highlight w:val="none"/>
        </w:rPr>
        <w:t>一、项目基本情况</w:t>
      </w:r>
      <w:bookmarkEnd w:id="5"/>
      <w:bookmarkEnd w:id="6"/>
      <w:bookmarkEnd w:id="7"/>
      <w:bookmarkEnd w:id="8"/>
    </w:p>
    <w:p w14:paraId="5011CF80">
      <w:pPr>
        <w:pageBreakBefore w:val="0"/>
        <w:widowControl/>
        <w:kinsoku w:val="0"/>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highlight w:val="none"/>
          <w:u w:val="none"/>
          <w:lang w:val="en-US"/>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u w:val="none"/>
        </w:rPr>
        <w:t>.项目编号：</w:t>
      </w:r>
      <w:r>
        <w:rPr>
          <w:rFonts w:hint="eastAsia" w:ascii="宋体" w:hAnsi="宋体" w:cs="宋体"/>
          <w:color w:val="auto"/>
          <w:sz w:val="24"/>
          <w:highlight w:val="none"/>
          <w:u w:val="none"/>
          <w:lang w:eastAsia="zh-CN"/>
        </w:rPr>
        <w:t>KMZC2026-G3-01154-LDHY-0006</w:t>
      </w:r>
      <w:r>
        <w:rPr>
          <w:rFonts w:hint="eastAsia" w:ascii="宋体" w:hAnsi="宋体" w:eastAsia="宋体" w:cs="宋体"/>
          <w:color w:val="auto"/>
          <w:sz w:val="24"/>
          <w:highlight w:val="none"/>
          <w:u w:val="none"/>
          <w:lang w:val="en-US" w:eastAsia="zh-CN"/>
        </w:rPr>
        <w:t xml:space="preserve">                                                    </w:t>
      </w:r>
    </w:p>
    <w:p w14:paraId="12F05B12">
      <w:pPr>
        <w:spacing w:line="360" w:lineRule="auto"/>
        <w:ind w:firstLine="480" w:firstLineChars="20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2.项目名称：</w:t>
      </w:r>
      <w:r>
        <w:rPr>
          <w:rFonts w:hint="eastAsia" w:ascii="宋体" w:hAnsi="宋体" w:eastAsia="宋体" w:cs="宋体"/>
          <w:color w:val="auto"/>
          <w:sz w:val="24"/>
          <w:highlight w:val="none"/>
          <w:u w:val="none"/>
          <w:lang w:val="en-US" w:eastAsia="zh-CN"/>
        </w:rPr>
        <w:t>富民县2026年职业技能提升培训项目</w:t>
      </w:r>
    </w:p>
    <w:bookmarkEnd w:id="9"/>
    <w:p w14:paraId="029D6F95">
      <w:pPr>
        <w:spacing w:line="360" w:lineRule="auto"/>
        <w:ind w:firstLine="480" w:firstLineChars="20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3.项目预算金额：</w:t>
      </w:r>
      <w:r>
        <w:rPr>
          <w:rFonts w:hint="eastAsia" w:ascii="宋体" w:hAnsi="宋体" w:eastAsia="宋体" w:cs="宋体"/>
          <w:color w:val="auto"/>
          <w:sz w:val="24"/>
          <w:highlight w:val="none"/>
          <w:u w:val="none"/>
          <w:lang w:val="en-US" w:eastAsia="zh-CN"/>
        </w:rPr>
        <w:t xml:space="preserve"> 180.00万元。</w:t>
      </w:r>
    </w:p>
    <w:p w14:paraId="681B5E4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4.采购需求：</w:t>
      </w:r>
    </w:p>
    <w:tbl>
      <w:tblPr>
        <w:tblStyle w:val="25"/>
        <w:tblW w:w="51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2"/>
        <w:gridCol w:w="2276"/>
        <w:gridCol w:w="1458"/>
        <w:gridCol w:w="1069"/>
        <w:gridCol w:w="4593"/>
      </w:tblGrid>
      <w:tr w14:paraId="3D5DC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9" w:type="pct"/>
            <w:noWrap w:val="0"/>
            <w:vAlign w:val="center"/>
          </w:tcPr>
          <w:p w14:paraId="654B8059">
            <w:pPr>
              <w:spacing w:line="240" w:lineRule="auto"/>
              <w:ind w:left="0" w:leftChars="0" w:firstLine="0" w:firstLineChars="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包号</w:t>
            </w:r>
          </w:p>
        </w:tc>
        <w:tc>
          <w:tcPr>
            <w:tcW w:w="1107" w:type="pct"/>
            <w:noWrap w:val="0"/>
            <w:vAlign w:val="center"/>
          </w:tcPr>
          <w:p w14:paraId="22824852">
            <w:pPr>
              <w:spacing w:line="240" w:lineRule="auto"/>
              <w:ind w:left="0" w:leftChars="0" w:firstLine="0" w:firstLineChars="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标的名称</w:t>
            </w:r>
          </w:p>
        </w:tc>
        <w:tc>
          <w:tcPr>
            <w:tcW w:w="709" w:type="pct"/>
            <w:noWrap w:val="0"/>
            <w:vAlign w:val="center"/>
          </w:tcPr>
          <w:p w14:paraId="0628F949">
            <w:pPr>
              <w:spacing w:line="240" w:lineRule="auto"/>
              <w:ind w:left="0" w:leftChars="0" w:firstLine="0" w:firstLineChars="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采购包预算金额</w:t>
            </w:r>
          </w:p>
          <w:p w14:paraId="7BC24978">
            <w:pPr>
              <w:spacing w:line="240" w:lineRule="auto"/>
              <w:ind w:left="0" w:leftChars="0" w:firstLine="0" w:firstLineChars="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（万元）</w:t>
            </w:r>
          </w:p>
        </w:tc>
        <w:tc>
          <w:tcPr>
            <w:tcW w:w="520" w:type="pct"/>
            <w:noWrap w:val="0"/>
            <w:vAlign w:val="center"/>
          </w:tcPr>
          <w:p w14:paraId="7849AFFC">
            <w:pPr>
              <w:spacing w:line="240" w:lineRule="auto"/>
              <w:ind w:left="0" w:leftChars="0" w:firstLine="0" w:firstLineChars="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数量</w:t>
            </w:r>
          </w:p>
        </w:tc>
        <w:tc>
          <w:tcPr>
            <w:tcW w:w="2234" w:type="pct"/>
            <w:noWrap w:val="0"/>
            <w:vAlign w:val="center"/>
          </w:tcPr>
          <w:p w14:paraId="6109A91F">
            <w:pPr>
              <w:spacing w:line="240" w:lineRule="auto"/>
              <w:ind w:left="0" w:leftChars="0"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简要技术需求或服务要求</w:t>
            </w:r>
          </w:p>
        </w:tc>
      </w:tr>
      <w:tr w14:paraId="54EF0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9" w:type="pct"/>
            <w:noWrap w:val="0"/>
            <w:vAlign w:val="center"/>
          </w:tcPr>
          <w:p w14:paraId="2AF34423">
            <w:pPr>
              <w:spacing w:line="240" w:lineRule="auto"/>
              <w:ind w:left="0" w:leftChars="0" w:firstLine="0" w:firstLineChars="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A包</w:t>
            </w:r>
          </w:p>
        </w:tc>
        <w:tc>
          <w:tcPr>
            <w:tcW w:w="1107" w:type="pct"/>
            <w:noWrap w:val="0"/>
            <w:vAlign w:val="center"/>
          </w:tcPr>
          <w:p w14:paraId="3FE28771">
            <w:pPr>
              <w:spacing w:line="240" w:lineRule="auto"/>
              <w:ind w:left="0" w:leftChars="0" w:firstLine="0" w:firstLineChars="0"/>
              <w:jc w:val="center"/>
              <w:rPr>
                <w:rFonts w:hint="eastAsia" w:ascii="宋体" w:hAnsi="宋体" w:eastAsia="宋体" w:cs="宋体"/>
                <w:bCs/>
                <w:color w:val="auto"/>
                <w:szCs w:val="21"/>
                <w:highlight w:val="none"/>
                <w:lang w:val="en-US"/>
              </w:rPr>
            </w:pPr>
            <w:r>
              <w:rPr>
                <w:rFonts w:hint="eastAsia" w:ascii="宋体" w:hAnsi="宋体" w:eastAsia="宋体" w:cs="宋体"/>
                <w:bCs/>
                <w:color w:val="auto"/>
                <w:szCs w:val="21"/>
                <w:highlight w:val="none"/>
                <w:lang w:val="en-US" w:eastAsia="zh-CN"/>
              </w:rPr>
              <w:t>富民县2026年职业技能提升培训项目A包</w:t>
            </w:r>
          </w:p>
        </w:tc>
        <w:tc>
          <w:tcPr>
            <w:tcW w:w="709" w:type="pct"/>
            <w:noWrap w:val="0"/>
            <w:vAlign w:val="center"/>
          </w:tcPr>
          <w:p w14:paraId="24611027">
            <w:pPr>
              <w:spacing w:line="240" w:lineRule="auto"/>
              <w:ind w:left="0" w:leftChars="0" w:firstLine="0" w:firstLineChars="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60.00</w:t>
            </w:r>
          </w:p>
        </w:tc>
        <w:tc>
          <w:tcPr>
            <w:tcW w:w="520" w:type="pct"/>
            <w:noWrap w:val="0"/>
            <w:vAlign w:val="center"/>
          </w:tcPr>
          <w:p w14:paraId="77E272F4">
            <w:pPr>
              <w:spacing w:line="240" w:lineRule="auto"/>
              <w:ind w:left="0" w:leftChars="0" w:firstLine="0" w:firstLineChars="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2234" w:type="pct"/>
            <w:vMerge w:val="restart"/>
            <w:noWrap w:val="0"/>
            <w:vAlign w:val="center"/>
          </w:tcPr>
          <w:p w14:paraId="68E574D8">
            <w:pPr>
              <w:widowControl/>
              <w:spacing w:after="0" w:line="240" w:lineRule="auto"/>
              <w:jc w:val="center"/>
              <w:rPr>
                <w:rFonts w:hint="eastAsia" w:ascii="宋体" w:hAnsi="宋体" w:eastAsia="宋体" w:cs="宋体"/>
                <w:color w:val="auto"/>
                <w:kern w:val="0"/>
                <w:szCs w:val="21"/>
                <w:highlight w:val="none"/>
                <w:lang w:val="en-US"/>
              </w:rPr>
            </w:pPr>
            <w:r>
              <w:rPr>
                <w:rFonts w:hint="eastAsia" w:ascii="宋体" w:hAnsi="宋体" w:eastAsia="宋体" w:cs="宋体"/>
                <w:color w:val="auto"/>
                <w:kern w:val="0"/>
                <w:szCs w:val="21"/>
                <w:highlight w:val="none"/>
                <w:lang w:val="en-US" w:eastAsia="zh-CN"/>
              </w:rPr>
              <w:t>由3家符合2026年政府补贴性职业技能提升培训条件的机构，以服务产业发展为引领，以促进就业为目标，聚焦“10+N”产业链，面向农村转移就业劳动者、高校毕业生、城镇登记失业人员、就业困难人员等重点群体和企业职工，推行“岗位需求+技能培训+技能评价+就业服务”项目化培训模式。巩固拓展全省 6个特色优势产业技能提升专项培训成果，实施 5项职业技能提升培训专项行动，力争实现2026年职业技能培训3000人次。分为A、B、C三个包，各负责组织完成1000人的培训任务，预算资金180万元（每个包60万元）。为确保工作的顺利推进，如承担培训任务的职业技能培训机构，因自身工种、培训资金、组织能力等情况不能满足所需培训需求的，县就业中心可调节其他培训机构承担培训任务。</w:t>
            </w:r>
            <w:r>
              <w:rPr>
                <w:rFonts w:hint="eastAsia" w:ascii="宋体" w:hAnsi="宋体" w:eastAsia="宋体" w:cs="宋体"/>
                <w:bCs/>
                <w:color w:val="auto"/>
                <w:szCs w:val="21"/>
                <w:highlight w:val="none"/>
              </w:rPr>
              <w:t>（具体要求及内容详</w:t>
            </w:r>
            <w:r>
              <w:rPr>
                <w:rFonts w:hint="eastAsia" w:ascii="宋体" w:hAnsi="宋体" w:eastAsia="宋体" w:cs="宋体"/>
                <w:bCs/>
                <w:color w:val="auto"/>
                <w:szCs w:val="21"/>
                <w:highlight w:val="none"/>
                <w:lang w:val="en-US" w:eastAsia="zh-CN"/>
              </w:rPr>
              <w:t>见</w:t>
            </w:r>
            <w:r>
              <w:rPr>
                <w:rFonts w:hint="eastAsia" w:ascii="宋体" w:hAnsi="宋体" w:eastAsia="宋体" w:cs="宋体"/>
                <w:bCs/>
                <w:color w:val="auto"/>
                <w:szCs w:val="21"/>
                <w:highlight w:val="none"/>
              </w:rPr>
              <w:t>招标文件第</w:t>
            </w:r>
            <w:r>
              <w:rPr>
                <w:rFonts w:hint="eastAsia" w:ascii="宋体" w:hAnsi="宋体" w:eastAsia="宋体" w:cs="宋体"/>
                <w:bCs/>
                <w:color w:val="auto"/>
                <w:szCs w:val="21"/>
                <w:highlight w:val="none"/>
                <w:lang w:val="en-US" w:eastAsia="zh-CN"/>
              </w:rPr>
              <w:t>五</w:t>
            </w:r>
            <w:r>
              <w:rPr>
                <w:rFonts w:hint="eastAsia" w:ascii="宋体" w:hAnsi="宋体" w:eastAsia="宋体" w:cs="宋体"/>
                <w:bCs/>
                <w:color w:val="auto"/>
                <w:szCs w:val="21"/>
                <w:highlight w:val="none"/>
              </w:rPr>
              <w:t>章采购需求）</w:t>
            </w:r>
          </w:p>
        </w:tc>
      </w:tr>
      <w:tr w14:paraId="68060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429" w:type="pct"/>
            <w:noWrap w:val="0"/>
            <w:vAlign w:val="center"/>
          </w:tcPr>
          <w:p w14:paraId="13F9B602">
            <w:pPr>
              <w:spacing w:line="240" w:lineRule="auto"/>
              <w:ind w:left="0" w:leftChars="0" w:firstLine="0" w:firstLineChars="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B包</w:t>
            </w:r>
          </w:p>
        </w:tc>
        <w:tc>
          <w:tcPr>
            <w:tcW w:w="1107" w:type="pct"/>
            <w:noWrap w:val="0"/>
            <w:vAlign w:val="center"/>
          </w:tcPr>
          <w:p w14:paraId="4773A0BC">
            <w:pPr>
              <w:spacing w:line="240" w:lineRule="auto"/>
              <w:ind w:left="0" w:leftChars="0" w:firstLine="0" w:firstLineChars="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富民县2026年职业技能提升培训项目B包</w:t>
            </w:r>
          </w:p>
        </w:tc>
        <w:tc>
          <w:tcPr>
            <w:tcW w:w="709" w:type="pct"/>
            <w:noWrap w:val="0"/>
            <w:vAlign w:val="center"/>
          </w:tcPr>
          <w:p w14:paraId="6F0CF7DB">
            <w:pPr>
              <w:spacing w:line="240" w:lineRule="auto"/>
              <w:ind w:left="0" w:leftChars="0" w:firstLine="0" w:firstLineChars="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60.00</w:t>
            </w:r>
          </w:p>
        </w:tc>
        <w:tc>
          <w:tcPr>
            <w:tcW w:w="520" w:type="pct"/>
            <w:noWrap w:val="0"/>
            <w:vAlign w:val="center"/>
          </w:tcPr>
          <w:p w14:paraId="07167F44">
            <w:pPr>
              <w:spacing w:line="240" w:lineRule="auto"/>
              <w:ind w:left="0" w:leftChars="0" w:firstLine="0" w:firstLineChars="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2234" w:type="pct"/>
            <w:vMerge w:val="continue"/>
            <w:noWrap w:val="0"/>
            <w:vAlign w:val="center"/>
          </w:tcPr>
          <w:p w14:paraId="1559862C">
            <w:pPr>
              <w:widowControl/>
              <w:spacing w:after="0" w:line="240" w:lineRule="auto"/>
              <w:jc w:val="center"/>
              <w:rPr>
                <w:rFonts w:hint="eastAsia" w:ascii="宋体" w:hAnsi="宋体" w:eastAsia="宋体" w:cs="宋体"/>
                <w:color w:val="auto"/>
                <w:kern w:val="0"/>
                <w:szCs w:val="21"/>
                <w:highlight w:val="none"/>
                <w:lang w:val="en-US" w:eastAsia="zh-CN"/>
              </w:rPr>
            </w:pPr>
          </w:p>
        </w:tc>
      </w:tr>
      <w:tr w14:paraId="55127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9" w:type="pct"/>
            <w:noWrap w:val="0"/>
            <w:vAlign w:val="center"/>
          </w:tcPr>
          <w:p w14:paraId="1387A431">
            <w:pPr>
              <w:spacing w:line="240" w:lineRule="auto"/>
              <w:ind w:left="0" w:leftChars="0" w:firstLine="0" w:firstLineChars="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C包</w:t>
            </w:r>
          </w:p>
        </w:tc>
        <w:tc>
          <w:tcPr>
            <w:tcW w:w="1107" w:type="pct"/>
            <w:noWrap w:val="0"/>
            <w:vAlign w:val="center"/>
          </w:tcPr>
          <w:p w14:paraId="539FC531">
            <w:pPr>
              <w:spacing w:line="240" w:lineRule="auto"/>
              <w:ind w:left="0" w:leftChars="0" w:firstLine="0" w:firstLineChars="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富民县2026年职业技能提升培训项目C包</w:t>
            </w:r>
          </w:p>
        </w:tc>
        <w:tc>
          <w:tcPr>
            <w:tcW w:w="709" w:type="pct"/>
            <w:noWrap w:val="0"/>
            <w:vAlign w:val="center"/>
          </w:tcPr>
          <w:p w14:paraId="44B81D4A">
            <w:pPr>
              <w:spacing w:line="240" w:lineRule="auto"/>
              <w:ind w:left="0" w:leftChars="0" w:firstLine="0" w:firstLineChars="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60.00</w:t>
            </w:r>
          </w:p>
        </w:tc>
        <w:tc>
          <w:tcPr>
            <w:tcW w:w="520" w:type="pct"/>
            <w:noWrap w:val="0"/>
            <w:vAlign w:val="center"/>
          </w:tcPr>
          <w:p w14:paraId="55107556">
            <w:pPr>
              <w:spacing w:line="240" w:lineRule="auto"/>
              <w:ind w:left="0" w:leftChars="0" w:firstLine="0" w:firstLineChars="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2234" w:type="pct"/>
            <w:vMerge w:val="continue"/>
            <w:noWrap w:val="0"/>
            <w:vAlign w:val="center"/>
          </w:tcPr>
          <w:p w14:paraId="2695762F">
            <w:pPr>
              <w:widowControl/>
              <w:spacing w:after="0" w:line="240" w:lineRule="auto"/>
              <w:jc w:val="center"/>
              <w:rPr>
                <w:rFonts w:hint="eastAsia" w:ascii="宋体" w:hAnsi="宋体" w:eastAsia="宋体" w:cs="宋体"/>
                <w:color w:val="auto"/>
                <w:kern w:val="0"/>
                <w:szCs w:val="21"/>
                <w:highlight w:val="none"/>
                <w:lang w:val="en-US" w:eastAsia="zh-CN"/>
              </w:rPr>
            </w:pPr>
          </w:p>
        </w:tc>
      </w:tr>
    </w:tbl>
    <w:p w14:paraId="25E7529A">
      <w:pPr>
        <w:numPr>
          <w:ilvl w:val="0"/>
          <w:numId w:val="0"/>
        </w:numPr>
        <w:spacing w:line="360" w:lineRule="auto"/>
        <w:ind w:firstLine="482"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注：</w:t>
      </w:r>
      <w:r>
        <w:rPr>
          <w:rFonts w:hint="eastAsia" w:ascii="宋体" w:hAnsi="宋体" w:eastAsia="宋体" w:cs="宋体"/>
          <w:b w:val="0"/>
          <w:bCs w:val="0"/>
          <w:color w:val="auto"/>
          <w:kern w:val="2"/>
          <w:sz w:val="24"/>
          <w:szCs w:val="24"/>
          <w:highlight w:val="none"/>
          <w:lang w:val="en-US" w:eastAsia="zh-CN" w:bidi="ar-SA"/>
        </w:rPr>
        <w:t>为确保项目进度与服务质量，维护充分的市场竞争，1家投标单位可以参与多个标包投标，但最多只能中1个标包，本项目可兼投不可兼中，即1标包评审被推荐为第一中标候选人的，在第2标包评审中将不再作为第一中标候选供应商推荐。</w:t>
      </w:r>
    </w:p>
    <w:p w14:paraId="3C21A6B9">
      <w:pPr>
        <w:numPr>
          <w:ilvl w:val="0"/>
          <w:numId w:val="0"/>
        </w:numPr>
        <w:spacing w:line="360" w:lineRule="auto"/>
        <w:ind w:firstLine="480" w:firstLineChars="200"/>
        <w:rPr>
          <w:rFonts w:hint="eastAsia" w:ascii="宋体" w:hAnsi="宋体" w:eastAsia="宋体" w:cs="宋体"/>
          <w:color w:val="auto"/>
          <w:sz w:val="24"/>
          <w:highlight w:val="none"/>
          <w:u w:val="single"/>
          <w:lang w:eastAsia="zh-CN"/>
        </w:rPr>
      </w:pPr>
      <w:r>
        <w:rPr>
          <w:rFonts w:hint="eastAsia" w:ascii="宋体" w:hAnsi="宋体" w:eastAsia="宋体" w:cs="宋体"/>
          <w:color w:val="auto"/>
          <w:kern w:val="2"/>
          <w:sz w:val="24"/>
          <w:szCs w:val="24"/>
          <w:highlight w:val="none"/>
          <w:lang w:val="en-US" w:eastAsia="zh-CN" w:bidi="ar-SA"/>
        </w:rPr>
        <w:t>5.</w:t>
      </w:r>
      <w:r>
        <w:rPr>
          <w:rFonts w:hint="eastAsia" w:ascii="宋体" w:hAnsi="宋体" w:eastAsia="宋体" w:cs="宋体"/>
          <w:color w:val="auto"/>
          <w:sz w:val="24"/>
          <w:highlight w:val="none"/>
          <w:lang w:val="en-US" w:eastAsia="zh-CN"/>
        </w:rPr>
        <w:t>服务时间</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自签订协议之日起至2026年12月20日。如遇政策有变化，依据新的政策文件作相应调整。</w:t>
      </w:r>
    </w:p>
    <w:p w14:paraId="5882AEDA">
      <w:pPr>
        <w:numPr>
          <w:ilvl w:val="0"/>
          <w:numId w:val="0"/>
        </w:num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6.供货（服务）地点：采购人指定地点。</w:t>
      </w:r>
    </w:p>
    <w:p w14:paraId="1EBCD418">
      <w:pPr>
        <w:numPr>
          <w:ilvl w:val="0"/>
          <w:numId w:val="0"/>
        </w:num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7.服务质量要求：符合现行的法律法规，相关技术标准、规范的要求。如遇国家、省、市、区相关规划编制、管理规范、法律法规等相关规定和目录标准出台，按照最新标准和要求来执行。</w:t>
      </w:r>
    </w:p>
    <w:p w14:paraId="21235C14">
      <w:pPr>
        <w:numPr>
          <w:ilvl w:val="0"/>
          <w:numId w:val="0"/>
        </w:num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8.本项目是否接受联合体投标：□是  ☑否。</w:t>
      </w:r>
    </w:p>
    <w:p w14:paraId="7A84A9A5">
      <w:pPr>
        <w:pStyle w:val="4"/>
        <w:pageBreakBefore w:val="0"/>
        <w:widowControl/>
        <w:kinsoku w:val="0"/>
        <w:wordWrap/>
        <w:overflowPunct/>
        <w:topLinePunct w:val="0"/>
        <w:autoSpaceDE/>
        <w:autoSpaceDN/>
        <w:bidi w:val="0"/>
        <w:adjustRightInd w:val="0"/>
        <w:snapToGrid w:val="0"/>
        <w:spacing w:before="0" w:beforeLines="0" w:after="0" w:afterLines="0" w:line="360" w:lineRule="auto"/>
        <w:jc w:val="left"/>
        <w:textAlignment w:val="baseline"/>
        <w:rPr>
          <w:rFonts w:hint="eastAsia" w:ascii="宋体" w:hAnsi="宋体" w:eastAsia="宋体" w:cs="宋体"/>
          <w:b/>
          <w:bCs/>
          <w:color w:val="auto"/>
          <w:sz w:val="24"/>
          <w:szCs w:val="24"/>
          <w:highlight w:val="none"/>
        </w:rPr>
      </w:pPr>
      <w:bookmarkStart w:id="10" w:name="_Toc35393622"/>
      <w:bookmarkStart w:id="11" w:name="_Toc35393791"/>
      <w:bookmarkStart w:id="12" w:name="_Toc28359003"/>
      <w:bookmarkStart w:id="13" w:name="_Toc28359080"/>
      <w:r>
        <w:rPr>
          <w:rFonts w:hint="eastAsia" w:ascii="宋体" w:hAnsi="宋体" w:eastAsia="宋体" w:cs="宋体"/>
          <w:b/>
          <w:bCs/>
          <w:color w:val="auto"/>
          <w:sz w:val="24"/>
          <w:szCs w:val="24"/>
          <w:highlight w:val="none"/>
        </w:rPr>
        <w:t>二、申请人的资格要求（须同时满足）</w:t>
      </w:r>
      <w:bookmarkEnd w:id="10"/>
      <w:bookmarkEnd w:id="11"/>
      <w:bookmarkEnd w:id="12"/>
      <w:bookmarkEnd w:id="13"/>
    </w:p>
    <w:p w14:paraId="7CC9184B">
      <w:pPr>
        <w:pageBreakBefore w:val="0"/>
        <w:widowControl/>
        <w:kinsoku w:val="0"/>
        <w:wordWrap/>
        <w:overflowPunct/>
        <w:topLinePunct w:val="0"/>
        <w:autoSpaceDE/>
        <w:autoSpaceDN/>
        <w:bidi w:val="0"/>
        <w:adjustRightInd w:val="0"/>
        <w:snapToGrid w:val="0"/>
        <w:spacing w:line="360" w:lineRule="auto"/>
        <w:ind w:firstLine="482" w:firstLineChars="200"/>
        <w:textAlignment w:val="baseline"/>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1.满足《中华人民共和国政府采购法》第二十二条规定</w:t>
      </w:r>
      <w:bookmarkStart w:id="14" w:name="_Toc28359081"/>
      <w:bookmarkStart w:id="15" w:name="_Toc28359004"/>
      <w:r>
        <w:rPr>
          <w:rFonts w:hint="eastAsia" w:ascii="宋体" w:hAnsi="宋体" w:eastAsia="宋体" w:cs="宋体"/>
          <w:b/>
          <w:bCs/>
          <w:color w:val="auto"/>
          <w:sz w:val="24"/>
          <w:highlight w:val="none"/>
          <w:lang w:eastAsia="zh-CN"/>
        </w:rPr>
        <w:t>：</w:t>
      </w:r>
    </w:p>
    <w:p w14:paraId="0BE000FF">
      <w:pPr>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1.1</w:t>
      </w:r>
      <w:r>
        <w:rPr>
          <w:rFonts w:hint="eastAsia" w:ascii="宋体" w:hAnsi="宋体" w:eastAsia="宋体" w:cs="宋体"/>
          <w:b/>
          <w:bCs/>
          <w:color w:val="auto"/>
          <w:sz w:val="24"/>
          <w:highlight w:val="none"/>
          <w:lang w:eastAsia="zh-CN"/>
        </w:rPr>
        <w:t>投标人</w:t>
      </w:r>
      <w:r>
        <w:rPr>
          <w:rFonts w:hint="eastAsia" w:ascii="宋体" w:hAnsi="宋体" w:eastAsia="宋体" w:cs="宋体"/>
          <w:b/>
          <w:bCs/>
          <w:color w:val="auto"/>
          <w:sz w:val="24"/>
          <w:highlight w:val="none"/>
        </w:rPr>
        <w:t>须具有独立承担民事责任的能力</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持有工商行政管理部门核发的有效的营业执照或事业单位法人证书或其他类似的法定证明文件；</w:t>
      </w:r>
    </w:p>
    <w:p w14:paraId="715A0A38">
      <w:pPr>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1.2投标人须具有良好的商业信誉和健全的财务会计制度</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提供承诺书</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3184255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1.2.1投标人在国家企业信用信息公示系统（www.gsxt.gov.cn）</w:t>
      </w:r>
      <w:r>
        <w:rPr>
          <w:rFonts w:hint="eastAsia" w:ascii="宋体" w:hAnsi="宋体" w:eastAsia="宋体" w:cs="宋体"/>
          <w:color w:val="auto"/>
          <w:sz w:val="24"/>
          <w:highlight w:val="none"/>
          <w:lang w:val="en-US" w:eastAsia="zh-CN"/>
        </w:rPr>
        <w:t>未在“国家企业信用信息公示系统（http://www.gsxt.gov.cn/）”网站上，被列入严重违法失信企业名单</w:t>
      </w:r>
      <w:r>
        <w:rPr>
          <w:rFonts w:hint="eastAsia" w:ascii="宋体" w:hAnsi="宋体" w:eastAsia="宋体" w:cs="宋体"/>
          <w:color w:val="auto"/>
          <w:sz w:val="24"/>
          <w:highlight w:val="none"/>
        </w:rPr>
        <w:t>（查询结果以采购人、采购代理机构查询结果为准）；</w:t>
      </w:r>
    </w:p>
    <w:p w14:paraId="03CC63C9">
      <w:pPr>
        <w:spacing w:line="360" w:lineRule="auto"/>
        <w:ind w:firstLine="480" w:firstLineChars="200"/>
        <w:rPr>
          <w:rFonts w:hint="eastAsia" w:ascii="宋体" w:hAnsi="宋体" w:eastAsia="宋体" w:cs="宋体"/>
          <w:color w:val="auto"/>
          <w:sz w:val="24"/>
          <w:highlight w:val="none"/>
          <w:lang w:val="zh-TW" w:eastAsia="zh-CN"/>
        </w:rPr>
      </w:pPr>
      <w:r>
        <w:rPr>
          <w:rFonts w:hint="eastAsia" w:ascii="宋体" w:hAnsi="宋体" w:eastAsia="宋体" w:cs="宋体"/>
          <w:color w:val="auto"/>
          <w:sz w:val="24"/>
          <w:highlight w:val="none"/>
        </w:rPr>
        <w:t>1.2.2</w:t>
      </w:r>
      <w:r>
        <w:rPr>
          <w:rFonts w:hint="eastAsia" w:ascii="宋体" w:hAnsi="宋体" w:eastAsia="宋体" w:cs="宋体"/>
          <w:bCs/>
          <w:color w:val="auto"/>
          <w:sz w:val="24"/>
          <w:szCs w:val="24"/>
          <w:highlight w:val="none"/>
          <w:lang w:val="en-US" w:eastAsia="zh-CN"/>
        </w:rPr>
        <w:t>具有健全的财务会计制度，提供2023年至2025年任意一年经第三方审计机构审计的审计报告（至少包含资产负债表、现金流量表、利润表（或损益表）），未经审计的公司可提供公司内部自行编制的财务报表；投标人成立时间未满三年的，提供成立至今任意一年经第三方审计机构审计的审计报告（至少包含资产负债表、现金流量表、利润表（或损益表）），未经审计的公司可提供公司内部自行编制的财务报表；投标人成立时间未满一年的可不提供经第三方审计机构审计的审计报告，但需提供银行资信证明和情况说明；</w:t>
      </w:r>
    </w:p>
    <w:p w14:paraId="52C1FF0A">
      <w:pPr>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1.3投标人须具有履行合同所必需的设备和专业技术能力证明材料</w:t>
      </w:r>
      <w:r>
        <w:rPr>
          <w:rFonts w:hint="eastAsia" w:ascii="宋体" w:hAnsi="宋体" w:eastAsia="宋体" w:cs="宋体"/>
          <w:color w:val="auto"/>
          <w:sz w:val="24"/>
          <w:highlight w:val="none"/>
        </w:rPr>
        <w:t>（提供书面声明，加盖公章）；</w:t>
      </w:r>
    </w:p>
    <w:p w14:paraId="01214C1A">
      <w:pPr>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1.4投标人须具有依法缴纳税收和社会保障资金的良好记录</w:t>
      </w:r>
      <w:r>
        <w:rPr>
          <w:rFonts w:hint="eastAsia" w:ascii="宋体" w:hAnsi="宋体" w:eastAsia="宋体" w:cs="宋体"/>
          <w:color w:val="auto"/>
          <w:sz w:val="24"/>
          <w:highlight w:val="none"/>
        </w:rPr>
        <w:t>（提供缴纳凭证或承诺书）；</w:t>
      </w:r>
    </w:p>
    <w:p w14:paraId="61E7093C">
      <w:pPr>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1.5投标人参加政府采购活动前三年内，在经营活动中没有重大违法记录</w:t>
      </w:r>
      <w:r>
        <w:rPr>
          <w:rFonts w:hint="eastAsia" w:ascii="宋体" w:hAnsi="宋体" w:eastAsia="宋体" w:cs="宋体"/>
          <w:color w:val="auto"/>
          <w:sz w:val="24"/>
          <w:highlight w:val="none"/>
        </w:rPr>
        <w:t>（重大违法记录，是指投标人因违法经营受到刑事处罚或者责令停产停业、吊销许可证或者执照、较大数额罚款等行政处罚）</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提供</w:t>
      </w:r>
      <w:r>
        <w:rPr>
          <w:rFonts w:hint="eastAsia" w:ascii="宋体" w:hAnsi="宋体" w:eastAsia="宋体" w:cs="宋体"/>
          <w:color w:val="auto"/>
          <w:sz w:val="24"/>
          <w:highlight w:val="none"/>
        </w:rPr>
        <w:t>书面声明；</w:t>
      </w:r>
    </w:p>
    <w:p w14:paraId="2602D9C6">
      <w:pPr>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1.6法律、行政法规规定的其他条件</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在信用中国网站（www.creditchina.gov.cn）“信用信息”下载的信用信息或“信用信息”查询栏中查询的信用信息（包括失信被执行人查询、</w:t>
      </w:r>
      <w:r>
        <w:rPr>
          <w:rFonts w:hint="eastAsia" w:ascii="宋体" w:hAnsi="宋体" w:eastAsia="宋体" w:cs="宋体"/>
          <w:color w:val="auto"/>
          <w:sz w:val="24"/>
          <w:highlight w:val="none"/>
          <w:lang w:val="en-US" w:eastAsia="zh-CN"/>
        </w:rPr>
        <w:t>重大</w:t>
      </w:r>
      <w:r>
        <w:rPr>
          <w:rFonts w:hint="eastAsia" w:ascii="宋体" w:hAnsi="宋体" w:eastAsia="宋体" w:cs="宋体"/>
          <w:color w:val="auto"/>
          <w:sz w:val="24"/>
          <w:highlight w:val="none"/>
        </w:rPr>
        <w:t>税收违法</w:t>
      </w:r>
      <w:r>
        <w:rPr>
          <w:rFonts w:hint="eastAsia" w:ascii="宋体" w:hAnsi="宋体" w:eastAsia="宋体" w:cs="宋体"/>
          <w:color w:val="auto"/>
          <w:sz w:val="24"/>
          <w:highlight w:val="none"/>
          <w:lang w:val="en-US" w:eastAsia="zh-CN"/>
        </w:rPr>
        <w:t>失信主体查询</w:t>
      </w:r>
      <w:r>
        <w:rPr>
          <w:rFonts w:hint="eastAsia" w:ascii="宋体" w:hAnsi="宋体" w:eastAsia="宋体" w:cs="宋体"/>
          <w:color w:val="auto"/>
          <w:sz w:val="24"/>
          <w:highlight w:val="none"/>
        </w:rPr>
        <w:t>）未出现不良信用信息查询记录；</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在中国政府采购网（www.ccgp.gov.cn）政府采购严重违法失信行为记录名单内无不良信息记录</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（查询结果以采购人、采购代理机构查询结果为准）</w:t>
      </w:r>
    </w:p>
    <w:p w14:paraId="1ED5D179">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2.落实政府采购政策需满足的资格要求：</w:t>
      </w:r>
    </w:p>
    <w:p w14:paraId="2BF5E979">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2.1</w:t>
      </w:r>
      <w:r>
        <w:rPr>
          <w:rFonts w:hint="eastAsia" w:ascii="宋体" w:hAnsi="宋体" w:eastAsia="宋体" w:cs="宋体"/>
          <w:b/>
          <w:bCs/>
          <w:color w:val="auto"/>
          <w:sz w:val="24"/>
          <w:highlight w:val="none"/>
        </w:rPr>
        <w:t>本项目</w:t>
      </w:r>
      <w:r>
        <w:rPr>
          <w:rFonts w:hint="eastAsia" w:ascii="宋体" w:hAnsi="宋体" w:eastAsia="宋体" w:cs="宋体"/>
          <w:b/>
          <w:bCs/>
          <w:color w:val="auto"/>
          <w:sz w:val="24"/>
          <w:highlight w:val="none"/>
          <w:lang w:val="en-US" w:eastAsia="zh-CN"/>
        </w:rPr>
        <w:t>不</w:t>
      </w:r>
      <w:r>
        <w:rPr>
          <w:rFonts w:hint="eastAsia" w:ascii="宋体" w:hAnsi="宋体" w:eastAsia="宋体" w:cs="宋体"/>
          <w:b/>
          <w:bCs/>
          <w:color w:val="auto"/>
          <w:sz w:val="24"/>
          <w:highlight w:val="none"/>
        </w:rPr>
        <w:t>属于专门面向中小企业采购的项目。</w:t>
      </w:r>
    </w:p>
    <w:p w14:paraId="5C979C0F">
      <w:pPr>
        <w:spacing w:line="360" w:lineRule="auto"/>
        <w:ind w:firstLine="482" w:firstLineChars="200"/>
        <w:rPr>
          <w:rFonts w:hint="eastAsia" w:ascii="宋体" w:hAnsi="宋体" w:eastAsia="宋体" w:cs="宋体"/>
          <w:b/>
          <w:bCs/>
          <w:i/>
          <w:iCs/>
          <w:color w:val="auto"/>
          <w:sz w:val="24"/>
          <w:highlight w:val="none"/>
          <w:u w:val="single"/>
        </w:rPr>
      </w:pPr>
      <w:r>
        <w:rPr>
          <w:rFonts w:hint="eastAsia" w:ascii="宋体" w:hAnsi="宋体" w:eastAsia="宋体" w:cs="宋体"/>
          <w:b/>
          <w:bCs/>
          <w:color w:val="auto"/>
          <w:sz w:val="24"/>
          <w:highlight w:val="none"/>
        </w:rPr>
        <w:t>3.本项目的特定资格要求：</w:t>
      </w:r>
    </w:p>
    <w:p w14:paraId="730EC1C9">
      <w:pPr>
        <w:tabs>
          <w:tab w:val="left" w:pos="900"/>
          <w:tab w:val="left" w:pos="1134"/>
          <w:tab w:val="left" w:pos="1589"/>
          <w:tab w:val="left" w:pos="5521"/>
        </w:tabs>
        <w:snapToGrid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3.1 其他特定资格要求：投标人需为职业院校、技工院校、职业培训机构，且具有相匹配的资质和能力；提供职业院校、技工院校证明文件或《中华人民共和国民办学校办学许可证》或经人力资源和社会保障行政部门认可的其他证书。</w:t>
      </w:r>
    </w:p>
    <w:p w14:paraId="7B8B6B0A">
      <w:pPr>
        <w:ind w:firstLine="480"/>
        <w:rPr>
          <w:rFonts w:hint="eastAsia" w:ascii="宋体" w:hAnsi="宋体" w:eastAsia="宋体" w:cs="宋体"/>
          <w:i/>
          <w:iCs/>
          <w:color w:val="auto"/>
          <w:sz w:val="24"/>
          <w:highlight w:val="none"/>
          <w:u w:val="single"/>
        </w:rPr>
      </w:pPr>
      <w:r>
        <w:rPr>
          <w:rFonts w:hint="eastAsia" w:ascii="宋体" w:hAnsi="宋体" w:eastAsia="宋体" w:cs="宋体"/>
          <w:color w:val="auto"/>
          <w:sz w:val="24"/>
          <w:highlight w:val="none"/>
          <w:lang w:val="en-US" w:eastAsia="zh-CN"/>
        </w:rPr>
        <w:t xml:space="preserve">3.2 </w:t>
      </w:r>
      <w:r>
        <w:rPr>
          <w:rFonts w:hint="eastAsia" w:ascii="宋体" w:hAnsi="宋体" w:eastAsia="宋体" w:cs="宋体"/>
          <w:color w:val="auto"/>
          <w:highlight w:val="none"/>
        </w:rPr>
        <w:t>投标人不得存在以下情形：单位负责人为同一人或者存在直接控股、管理关系的不同投标人，不得参加同一合同项下的政府采购活动（提供声明函）。</w:t>
      </w:r>
    </w:p>
    <w:bookmarkEnd w:id="14"/>
    <w:bookmarkEnd w:id="15"/>
    <w:p w14:paraId="37EE9898">
      <w:pPr>
        <w:pStyle w:val="4"/>
        <w:pageBreakBefore w:val="0"/>
        <w:widowControl/>
        <w:kinsoku w:val="0"/>
        <w:wordWrap/>
        <w:overflowPunct/>
        <w:topLinePunct w:val="0"/>
        <w:autoSpaceDE/>
        <w:autoSpaceDN/>
        <w:bidi w:val="0"/>
        <w:adjustRightInd w:val="0"/>
        <w:snapToGrid w:val="0"/>
        <w:spacing w:before="0" w:beforeLines="0" w:after="0" w:afterLines="0" w:line="360" w:lineRule="auto"/>
        <w:jc w:val="left"/>
        <w:textAlignment w:val="baseline"/>
        <w:rPr>
          <w:rFonts w:hint="eastAsia" w:ascii="宋体" w:hAnsi="宋体" w:eastAsia="宋体" w:cs="宋体"/>
          <w:b/>
          <w:bCs/>
          <w:color w:val="auto"/>
          <w:sz w:val="24"/>
          <w:szCs w:val="24"/>
          <w:highlight w:val="none"/>
        </w:rPr>
      </w:pPr>
      <w:bookmarkStart w:id="16" w:name="_Toc35393623"/>
      <w:bookmarkStart w:id="17" w:name="_Toc35393792"/>
      <w:r>
        <w:rPr>
          <w:rFonts w:hint="eastAsia" w:ascii="宋体" w:hAnsi="宋体" w:eastAsia="宋体" w:cs="宋体"/>
          <w:b/>
          <w:bCs/>
          <w:color w:val="auto"/>
          <w:sz w:val="24"/>
          <w:szCs w:val="24"/>
          <w:highlight w:val="none"/>
        </w:rPr>
        <w:t>三、获取招标文件</w:t>
      </w:r>
      <w:bookmarkEnd w:id="16"/>
      <w:bookmarkEnd w:id="17"/>
    </w:p>
    <w:p w14:paraId="7D1A732E">
      <w:pPr>
        <w:pageBreakBefore w:val="0"/>
        <w:widowControl/>
        <w:kinsoku w:val="0"/>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bidi="ar"/>
        </w:rPr>
        <w:t>时间：</w:t>
      </w:r>
      <w:r>
        <w:rPr>
          <w:rFonts w:hint="eastAsia" w:ascii="宋体" w:hAnsi="宋体" w:eastAsia="宋体" w:cs="宋体"/>
          <w:color w:val="auto"/>
          <w:sz w:val="24"/>
          <w:highlight w:val="none"/>
          <w:u w:val="single"/>
          <w:lang w:val="en-US" w:eastAsia="zh-CN" w:bidi="ar"/>
        </w:rPr>
        <w:t>2026</w:t>
      </w:r>
      <w:r>
        <w:rPr>
          <w:rFonts w:hint="eastAsia" w:ascii="宋体" w:hAnsi="宋体" w:eastAsia="宋体" w:cs="宋体"/>
          <w:color w:val="auto"/>
          <w:sz w:val="24"/>
          <w:highlight w:val="none"/>
          <w:u w:val="single"/>
          <w:lang w:bidi="ar"/>
        </w:rPr>
        <w:t>年</w:t>
      </w:r>
      <w:r>
        <w:rPr>
          <w:rFonts w:hint="eastAsia" w:ascii="宋体" w:hAnsi="宋体" w:eastAsia="宋体" w:cs="宋体"/>
          <w:color w:val="auto"/>
          <w:sz w:val="24"/>
          <w:highlight w:val="none"/>
          <w:u w:val="single"/>
          <w:lang w:val="en-US" w:eastAsia="zh-CN" w:bidi="ar"/>
        </w:rPr>
        <w:t>06</w:t>
      </w:r>
      <w:r>
        <w:rPr>
          <w:rFonts w:hint="eastAsia" w:ascii="宋体" w:hAnsi="宋体" w:eastAsia="宋体" w:cs="宋体"/>
          <w:color w:val="auto"/>
          <w:sz w:val="24"/>
          <w:highlight w:val="none"/>
          <w:u w:val="single"/>
          <w:lang w:bidi="ar"/>
        </w:rPr>
        <w:t>月</w:t>
      </w:r>
      <w:r>
        <w:rPr>
          <w:rFonts w:hint="eastAsia" w:ascii="宋体" w:hAnsi="宋体" w:eastAsia="宋体" w:cs="宋体"/>
          <w:color w:val="auto"/>
          <w:sz w:val="24"/>
          <w:highlight w:val="none"/>
          <w:u w:val="single"/>
          <w:lang w:val="en-US" w:eastAsia="zh-CN" w:bidi="ar"/>
        </w:rPr>
        <w:t>05</w:t>
      </w:r>
      <w:r>
        <w:rPr>
          <w:rFonts w:hint="eastAsia" w:ascii="宋体" w:hAnsi="宋体" w:eastAsia="宋体" w:cs="宋体"/>
          <w:color w:val="auto"/>
          <w:sz w:val="24"/>
          <w:highlight w:val="none"/>
          <w:u w:val="single"/>
          <w:lang w:bidi="ar"/>
        </w:rPr>
        <w:t>日至</w:t>
      </w:r>
      <w:r>
        <w:rPr>
          <w:rFonts w:hint="eastAsia" w:ascii="宋体" w:hAnsi="宋体" w:eastAsia="宋体" w:cs="宋体"/>
          <w:color w:val="auto"/>
          <w:sz w:val="24"/>
          <w:highlight w:val="none"/>
          <w:u w:val="single"/>
          <w:lang w:val="en-US" w:eastAsia="zh-CN" w:bidi="ar"/>
        </w:rPr>
        <w:t>2026</w:t>
      </w:r>
      <w:r>
        <w:rPr>
          <w:rFonts w:hint="eastAsia" w:ascii="宋体" w:hAnsi="宋体" w:eastAsia="宋体" w:cs="宋体"/>
          <w:color w:val="auto"/>
          <w:sz w:val="24"/>
          <w:highlight w:val="none"/>
          <w:u w:val="single"/>
          <w:lang w:bidi="ar"/>
        </w:rPr>
        <w:t>年</w:t>
      </w:r>
      <w:r>
        <w:rPr>
          <w:rFonts w:hint="eastAsia" w:ascii="宋体" w:hAnsi="宋体" w:eastAsia="宋体" w:cs="宋体"/>
          <w:color w:val="auto"/>
          <w:sz w:val="24"/>
          <w:highlight w:val="none"/>
          <w:u w:val="single"/>
          <w:lang w:val="en-US" w:eastAsia="zh-CN" w:bidi="ar"/>
        </w:rPr>
        <w:t>06</w:t>
      </w:r>
      <w:r>
        <w:rPr>
          <w:rFonts w:hint="eastAsia" w:ascii="宋体" w:hAnsi="宋体" w:eastAsia="宋体" w:cs="宋体"/>
          <w:color w:val="auto"/>
          <w:sz w:val="24"/>
          <w:highlight w:val="none"/>
          <w:u w:val="single"/>
          <w:lang w:bidi="ar"/>
        </w:rPr>
        <w:t>月</w:t>
      </w:r>
      <w:r>
        <w:rPr>
          <w:rFonts w:hint="eastAsia" w:ascii="宋体" w:hAnsi="宋体" w:eastAsia="宋体" w:cs="宋体"/>
          <w:color w:val="auto"/>
          <w:sz w:val="24"/>
          <w:highlight w:val="none"/>
          <w:u w:val="single"/>
          <w:lang w:val="en-US" w:eastAsia="zh-CN" w:bidi="ar"/>
        </w:rPr>
        <w:t>12</w:t>
      </w:r>
      <w:r>
        <w:rPr>
          <w:rFonts w:hint="eastAsia" w:ascii="宋体" w:hAnsi="宋体" w:eastAsia="宋体" w:cs="宋体"/>
          <w:color w:val="auto"/>
          <w:sz w:val="24"/>
          <w:highlight w:val="none"/>
          <w:u w:val="single"/>
          <w:lang w:bidi="ar"/>
        </w:rPr>
        <w:t>日</w:t>
      </w:r>
      <w:r>
        <w:rPr>
          <w:rFonts w:hint="eastAsia" w:ascii="宋体" w:hAnsi="宋体" w:eastAsia="宋体" w:cs="宋体"/>
          <w:color w:val="auto"/>
          <w:sz w:val="24"/>
          <w:highlight w:val="none"/>
          <w:u w:val="single"/>
          <w:lang w:eastAsia="zh-CN" w:bidi="ar"/>
        </w:rPr>
        <w:t>，每天上午</w:t>
      </w:r>
      <w:r>
        <w:rPr>
          <w:rFonts w:hint="eastAsia" w:ascii="宋体" w:hAnsi="宋体" w:eastAsia="宋体" w:cs="宋体"/>
          <w:color w:val="auto"/>
          <w:sz w:val="24"/>
          <w:highlight w:val="none"/>
          <w:u w:val="single"/>
          <w:lang w:val="en-US" w:eastAsia="zh-CN" w:bidi="ar"/>
        </w:rPr>
        <w:t>06</w:t>
      </w:r>
      <w:r>
        <w:rPr>
          <w:rFonts w:hint="eastAsia" w:ascii="宋体" w:hAnsi="宋体" w:eastAsia="宋体" w:cs="宋体"/>
          <w:color w:val="auto"/>
          <w:sz w:val="24"/>
          <w:highlight w:val="none"/>
          <w:u w:val="single"/>
          <w:lang w:eastAsia="zh-CN" w:bidi="ar"/>
        </w:rPr>
        <w:t>:00至12:00，下午12:00至2</w:t>
      </w:r>
      <w:r>
        <w:rPr>
          <w:rFonts w:hint="eastAsia" w:ascii="宋体" w:hAnsi="宋体" w:eastAsia="宋体" w:cs="宋体"/>
          <w:color w:val="auto"/>
          <w:sz w:val="24"/>
          <w:highlight w:val="none"/>
          <w:u w:val="single"/>
          <w:lang w:val="en-US" w:eastAsia="zh-CN" w:bidi="ar"/>
        </w:rPr>
        <w:t>3</w:t>
      </w:r>
      <w:r>
        <w:rPr>
          <w:rFonts w:hint="eastAsia" w:ascii="宋体" w:hAnsi="宋体" w:eastAsia="宋体" w:cs="宋体"/>
          <w:color w:val="auto"/>
          <w:sz w:val="24"/>
          <w:highlight w:val="none"/>
          <w:u w:val="single"/>
          <w:lang w:eastAsia="zh-CN" w:bidi="ar"/>
        </w:rPr>
        <w:t>:</w:t>
      </w:r>
      <w:r>
        <w:rPr>
          <w:rFonts w:hint="eastAsia" w:ascii="宋体" w:hAnsi="宋体" w:eastAsia="宋体" w:cs="宋体"/>
          <w:color w:val="auto"/>
          <w:sz w:val="24"/>
          <w:highlight w:val="none"/>
          <w:u w:val="single"/>
          <w:lang w:val="en-US" w:eastAsia="zh-CN" w:bidi="ar"/>
        </w:rPr>
        <w:t>59</w:t>
      </w:r>
      <w:r>
        <w:rPr>
          <w:rFonts w:hint="eastAsia" w:ascii="宋体" w:hAnsi="宋体" w:eastAsia="宋体" w:cs="宋体"/>
          <w:color w:val="auto"/>
          <w:sz w:val="24"/>
          <w:highlight w:val="none"/>
          <w:u w:val="single"/>
          <w:lang w:eastAsia="zh-CN" w:bidi="ar"/>
        </w:rPr>
        <w:t>（北京时间，法定节假日除外）</w:t>
      </w:r>
      <w:r>
        <w:rPr>
          <w:rFonts w:hint="eastAsia" w:ascii="宋体" w:hAnsi="宋体" w:eastAsia="宋体" w:cs="宋体"/>
          <w:color w:val="auto"/>
          <w:sz w:val="24"/>
          <w:highlight w:val="none"/>
          <w:lang w:bidi="ar"/>
        </w:rPr>
        <w:t xml:space="preserve">。 </w:t>
      </w:r>
    </w:p>
    <w:p w14:paraId="18CCA3C1">
      <w:pPr>
        <w:adjustRightInd w:val="0"/>
        <w:snapToGrid w:val="0"/>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2.地点：云南省政府采购电子交易平台（政采云https://www.zcygov.cn/）线上获取 </w:t>
      </w:r>
    </w:p>
    <w:p w14:paraId="3594DC7A">
      <w:pPr>
        <w:pageBreakBefore w:val="0"/>
        <w:shd w:val="clear" w:color="auto" w:fill="auto"/>
        <w:kinsoku/>
        <w:wordWrap/>
        <w:overflowPunct/>
        <w:topLinePunct w:val="0"/>
        <w:autoSpaceDE/>
        <w:autoSpaceDN/>
        <w:bidi w:val="0"/>
        <w:snapToGrid/>
        <w:spacing w:line="360" w:lineRule="auto"/>
        <w:ind w:firstLine="480" w:firstLineChars="200"/>
        <w:jc w:val="left"/>
        <w:textAlignment w:val="auto"/>
        <w:outlineLvl w:val="9"/>
        <w:rPr>
          <w:rFonts w:hint="eastAsia" w:ascii="宋体" w:hAnsi="宋体" w:eastAsia="宋体" w:cs="宋体"/>
          <w:bCs w:val="0"/>
          <w:color w:val="auto"/>
          <w:spacing w:val="0"/>
          <w:sz w:val="24"/>
          <w:szCs w:val="24"/>
          <w:highlight w:val="none"/>
        </w:rPr>
      </w:pPr>
      <w:r>
        <w:rPr>
          <w:rFonts w:hint="eastAsia" w:ascii="宋体" w:hAnsi="宋体" w:eastAsia="宋体" w:cs="宋体"/>
          <w:color w:val="auto"/>
          <w:sz w:val="24"/>
          <w:highlight w:val="none"/>
          <w:lang w:bidi="ar"/>
        </w:rPr>
        <w:t>3.方式：</w:t>
      </w:r>
      <w:r>
        <w:rPr>
          <w:rFonts w:hint="eastAsia" w:ascii="宋体" w:hAnsi="宋体" w:eastAsia="宋体" w:cs="宋体"/>
          <w:bCs w:val="0"/>
          <w:color w:val="auto"/>
          <w:spacing w:val="0"/>
          <w:sz w:val="24"/>
          <w:szCs w:val="24"/>
          <w:highlight w:val="none"/>
        </w:rPr>
        <w:t>（一）凡有意参加投标（磋商或谈判）者，须注册政采云平台账号并登录办理数字证书（CA），若</w:t>
      </w:r>
      <w:r>
        <w:rPr>
          <w:rFonts w:hint="eastAsia" w:ascii="宋体" w:hAnsi="宋体" w:eastAsia="宋体" w:cs="宋体"/>
          <w:bCs w:val="0"/>
          <w:color w:val="auto"/>
          <w:spacing w:val="0"/>
          <w:sz w:val="24"/>
          <w:szCs w:val="24"/>
          <w:highlight w:val="none"/>
          <w:lang w:eastAsia="zh-CN"/>
        </w:rPr>
        <w:t>投标人</w:t>
      </w:r>
      <w:r>
        <w:rPr>
          <w:rFonts w:hint="eastAsia" w:ascii="宋体" w:hAnsi="宋体" w:eastAsia="宋体" w:cs="宋体"/>
          <w:bCs w:val="0"/>
          <w:color w:val="auto"/>
          <w:spacing w:val="0"/>
          <w:sz w:val="24"/>
          <w:szCs w:val="24"/>
          <w:highlight w:val="none"/>
        </w:rPr>
        <w:t>未办理数字证书（CA）的，可选择办理云南壹证通CA。CA申领链接：http://yzt.ynsmartcert.cn/cms/ca0069.html云南壹证通CA 可支持线上、线下两种办理方式，并提供7*24小时全天候客户服务支持，客服热线</w:t>
      </w:r>
      <w:r>
        <w:rPr>
          <w:rFonts w:hint="eastAsia" w:ascii="宋体" w:hAnsi="宋体" w:eastAsia="宋体" w:cs="宋体"/>
          <w:bCs w:val="0"/>
          <w:color w:val="auto"/>
          <w:spacing w:val="0"/>
          <w:sz w:val="24"/>
          <w:szCs w:val="24"/>
          <w:highlight w:val="none"/>
          <w:lang w:eastAsia="zh-CN"/>
        </w:rPr>
        <w:t>95763</w:t>
      </w:r>
      <w:r>
        <w:rPr>
          <w:rFonts w:hint="eastAsia" w:ascii="宋体" w:hAnsi="宋体" w:eastAsia="宋体" w:cs="宋体"/>
          <w:bCs w:val="0"/>
          <w:color w:val="auto"/>
          <w:spacing w:val="0"/>
          <w:sz w:val="24"/>
          <w:szCs w:val="24"/>
          <w:highlight w:val="none"/>
        </w:rPr>
        <w:t>。（紧急CA办理电话：19988166369）政府采购云平台支持多家CA服务商，</w:t>
      </w:r>
      <w:r>
        <w:rPr>
          <w:rFonts w:hint="eastAsia" w:ascii="宋体" w:hAnsi="宋体" w:eastAsia="宋体" w:cs="宋体"/>
          <w:bCs w:val="0"/>
          <w:color w:val="auto"/>
          <w:spacing w:val="0"/>
          <w:sz w:val="24"/>
          <w:szCs w:val="24"/>
          <w:highlight w:val="none"/>
          <w:lang w:eastAsia="zh-CN"/>
        </w:rPr>
        <w:t>投标人</w:t>
      </w:r>
      <w:r>
        <w:rPr>
          <w:rFonts w:hint="eastAsia" w:ascii="宋体" w:hAnsi="宋体" w:eastAsia="宋体" w:cs="宋体"/>
          <w:bCs w:val="0"/>
          <w:color w:val="auto"/>
          <w:spacing w:val="0"/>
          <w:sz w:val="24"/>
          <w:szCs w:val="24"/>
          <w:highlight w:val="none"/>
        </w:rPr>
        <w:t>可自行选择办理。</w:t>
      </w:r>
    </w:p>
    <w:p w14:paraId="75D3164D">
      <w:pPr>
        <w:pageBreakBefore w:val="0"/>
        <w:shd w:val="clear" w:color="auto" w:fill="auto"/>
        <w:kinsoku/>
        <w:wordWrap/>
        <w:overflowPunct/>
        <w:topLinePunct w:val="0"/>
        <w:autoSpaceDE/>
        <w:autoSpaceDN/>
        <w:bidi w:val="0"/>
        <w:snapToGrid/>
        <w:spacing w:line="360" w:lineRule="auto"/>
        <w:ind w:firstLine="480" w:firstLineChars="200"/>
        <w:jc w:val="left"/>
        <w:textAlignment w:val="auto"/>
        <w:outlineLvl w:val="9"/>
        <w:rPr>
          <w:rFonts w:hint="eastAsia" w:ascii="宋体" w:hAnsi="宋体" w:eastAsia="宋体" w:cs="宋体"/>
          <w:bCs w:val="0"/>
          <w:color w:val="auto"/>
          <w:spacing w:val="0"/>
          <w:sz w:val="24"/>
          <w:szCs w:val="24"/>
          <w:highlight w:val="none"/>
        </w:rPr>
      </w:pPr>
      <w:r>
        <w:rPr>
          <w:rFonts w:hint="eastAsia" w:ascii="宋体" w:hAnsi="宋体" w:eastAsia="宋体" w:cs="宋体"/>
          <w:bCs w:val="0"/>
          <w:color w:val="auto"/>
          <w:spacing w:val="0"/>
          <w:sz w:val="24"/>
          <w:szCs w:val="24"/>
          <w:highlight w:val="none"/>
        </w:rPr>
        <w:t>（二）数字证书（CA）申领完成之后进入政府采购云平台，企业账号与数字证书（CA）进行绑定，凭企业数字证书（CA）进行项目报名及免费下载招标文件。</w:t>
      </w:r>
    </w:p>
    <w:p w14:paraId="393421FC">
      <w:pPr>
        <w:pageBreakBefore w:val="0"/>
        <w:shd w:val="clear" w:color="auto" w:fill="auto"/>
        <w:kinsoku/>
        <w:wordWrap/>
        <w:overflowPunct/>
        <w:topLinePunct w:val="0"/>
        <w:autoSpaceDE/>
        <w:autoSpaceDN/>
        <w:bidi w:val="0"/>
        <w:snapToGrid/>
        <w:spacing w:line="360" w:lineRule="auto"/>
        <w:ind w:firstLine="480" w:firstLineChars="200"/>
        <w:jc w:val="left"/>
        <w:textAlignment w:val="auto"/>
        <w:outlineLvl w:val="9"/>
        <w:rPr>
          <w:rFonts w:hint="eastAsia" w:ascii="宋体" w:hAnsi="宋体" w:eastAsia="宋体" w:cs="宋体"/>
          <w:bCs w:val="0"/>
          <w:color w:val="auto"/>
          <w:spacing w:val="0"/>
          <w:sz w:val="24"/>
          <w:szCs w:val="24"/>
          <w:highlight w:val="none"/>
        </w:rPr>
      </w:pPr>
      <w:r>
        <w:rPr>
          <w:rFonts w:hint="eastAsia" w:ascii="宋体" w:hAnsi="宋体" w:eastAsia="宋体" w:cs="宋体"/>
          <w:bCs w:val="0"/>
          <w:color w:val="auto"/>
          <w:spacing w:val="0"/>
          <w:sz w:val="24"/>
          <w:szCs w:val="24"/>
          <w:highlight w:val="none"/>
        </w:rPr>
        <w:t>（三）按上述要求获取文件的</w:t>
      </w:r>
      <w:r>
        <w:rPr>
          <w:rFonts w:hint="eastAsia" w:ascii="宋体" w:hAnsi="宋体" w:eastAsia="宋体" w:cs="宋体"/>
          <w:bCs w:val="0"/>
          <w:color w:val="auto"/>
          <w:spacing w:val="0"/>
          <w:sz w:val="24"/>
          <w:szCs w:val="24"/>
          <w:highlight w:val="none"/>
          <w:lang w:eastAsia="zh-CN"/>
        </w:rPr>
        <w:t>投标人</w:t>
      </w:r>
      <w:r>
        <w:rPr>
          <w:rFonts w:hint="eastAsia" w:ascii="宋体" w:hAnsi="宋体" w:eastAsia="宋体" w:cs="宋体"/>
          <w:bCs w:val="0"/>
          <w:color w:val="auto"/>
          <w:spacing w:val="0"/>
          <w:sz w:val="24"/>
          <w:szCs w:val="24"/>
          <w:highlight w:val="none"/>
        </w:rPr>
        <w:t>视为已合法获取本项目采购文件，具备本项目的投标资格。</w:t>
      </w:r>
    </w:p>
    <w:p w14:paraId="54E7DE73">
      <w:pPr>
        <w:pageBreakBefore w:val="0"/>
        <w:shd w:val="clear" w:color="auto" w:fill="auto"/>
        <w:kinsoku/>
        <w:wordWrap/>
        <w:overflowPunct/>
        <w:topLinePunct w:val="0"/>
        <w:autoSpaceDE/>
        <w:autoSpaceDN/>
        <w:bidi w:val="0"/>
        <w:snapToGrid/>
        <w:spacing w:line="360" w:lineRule="auto"/>
        <w:ind w:firstLine="480" w:firstLineChars="200"/>
        <w:jc w:val="left"/>
        <w:textAlignment w:val="auto"/>
        <w:outlineLvl w:val="9"/>
        <w:rPr>
          <w:rFonts w:hint="eastAsia" w:ascii="宋体" w:hAnsi="宋体" w:eastAsia="宋体" w:cs="宋体"/>
          <w:bCs w:val="0"/>
          <w:color w:val="auto"/>
          <w:spacing w:val="0"/>
          <w:sz w:val="24"/>
          <w:szCs w:val="24"/>
          <w:highlight w:val="none"/>
        </w:rPr>
      </w:pPr>
      <w:r>
        <w:rPr>
          <w:rFonts w:hint="eastAsia" w:ascii="宋体" w:hAnsi="宋体" w:eastAsia="宋体" w:cs="宋体"/>
          <w:bCs w:val="0"/>
          <w:color w:val="auto"/>
          <w:spacing w:val="0"/>
          <w:sz w:val="24"/>
          <w:szCs w:val="24"/>
          <w:highlight w:val="none"/>
        </w:rPr>
        <w:t>（四）如有问题可拨打政采云客户服务热线95763进行咨询，数字证书（CA）问题可咨询24小时技术支持热线</w:t>
      </w:r>
      <w:r>
        <w:rPr>
          <w:rFonts w:hint="eastAsia" w:ascii="宋体" w:hAnsi="宋体" w:eastAsia="宋体" w:cs="宋体"/>
          <w:bCs w:val="0"/>
          <w:color w:val="auto"/>
          <w:spacing w:val="0"/>
          <w:sz w:val="24"/>
          <w:szCs w:val="24"/>
          <w:highlight w:val="none"/>
          <w:lang w:eastAsia="zh-CN"/>
        </w:rPr>
        <w:t>95763</w:t>
      </w:r>
      <w:r>
        <w:rPr>
          <w:rFonts w:hint="eastAsia" w:ascii="宋体" w:hAnsi="宋体" w:eastAsia="宋体" w:cs="宋体"/>
          <w:bCs w:val="0"/>
          <w:color w:val="auto"/>
          <w:spacing w:val="0"/>
          <w:sz w:val="24"/>
          <w:szCs w:val="24"/>
          <w:highlight w:val="none"/>
        </w:rPr>
        <w:t>（紧急办理可拨：19988166369）</w:t>
      </w:r>
    </w:p>
    <w:p w14:paraId="33CF2CF8">
      <w:pPr>
        <w:pageBreakBefore w:val="0"/>
        <w:shd w:val="clear" w:color="auto" w:fill="auto"/>
        <w:kinsoku/>
        <w:wordWrap/>
        <w:overflowPunct/>
        <w:topLinePunct w:val="0"/>
        <w:autoSpaceDE/>
        <w:autoSpaceDN/>
        <w:bidi w:val="0"/>
        <w:snapToGrid/>
        <w:spacing w:line="360" w:lineRule="auto"/>
        <w:ind w:firstLine="480" w:firstLineChars="200"/>
        <w:jc w:val="left"/>
        <w:textAlignment w:val="auto"/>
        <w:outlineLvl w:val="9"/>
        <w:rPr>
          <w:rFonts w:hint="eastAsia" w:ascii="宋体" w:hAnsi="宋体" w:eastAsia="宋体" w:cs="宋体"/>
          <w:color w:val="auto"/>
          <w:sz w:val="24"/>
          <w:highlight w:val="none"/>
          <w:lang w:bidi="ar"/>
        </w:rPr>
      </w:pPr>
      <w:r>
        <w:rPr>
          <w:rFonts w:hint="eastAsia" w:ascii="宋体" w:hAnsi="宋体" w:eastAsia="宋体" w:cs="宋体"/>
          <w:bCs w:val="0"/>
          <w:color w:val="auto"/>
          <w:spacing w:val="0"/>
          <w:sz w:val="24"/>
          <w:szCs w:val="24"/>
          <w:highlight w:val="none"/>
        </w:rPr>
        <w:t>注：云南省外</w:t>
      </w:r>
      <w:r>
        <w:rPr>
          <w:rFonts w:hint="eastAsia" w:ascii="宋体" w:hAnsi="宋体" w:eastAsia="宋体" w:cs="宋体"/>
          <w:bCs w:val="0"/>
          <w:color w:val="auto"/>
          <w:spacing w:val="0"/>
          <w:sz w:val="24"/>
          <w:szCs w:val="24"/>
          <w:highlight w:val="none"/>
          <w:lang w:eastAsia="zh-CN"/>
        </w:rPr>
        <w:t>投标人</w:t>
      </w:r>
      <w:r>
        <w:rPr>
          <w:rFonts w:hint="eastAsia" w:ascii="宋体" w:hAnsi="宋体" w:eastAsia="宋体" w:cs="宋体"/>
          <w:bCs w:val="0"/>
          <w:color w:val="auto"/>
          <w:spacing w:val="0"/>
          <w:sz w:val="24"/>
          <w:szCs w:val="24"/>
          <w:highlight w:val="none"/>
        </w:rPr>
        <w:t>在政采云平台办理的其他CA可直接使用，无需重复办理。</w:t>
      </w:r>
    </w:p>
    <w:p w14:paraId="338D43EB">
      <w:pPr>
        <w:widowControl/>
        <w:adjustRightInd w:val="0"/>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4.售价：0元。</w:t>
      </w:r>
    </w:p>
    <w:p w14:paraId="0B7AC6D1">
      <w:pPr>
        <w:pStyle w:val="4"/>
        <w:pageBreakBefore w:val="0"/>
        <w:widowControl/>
        <w:kinsoku w:val="0"/>
        <w:wordWrap/>
        <w:overflowPunct/>
        <w:topLinePunct w:val="0"/>
        <w:autoSpaceDE/>
        <w:autoSpaceDN/>
        <w:bidi w:val="0"/>
        <w:adjustRightInd w:val="0"/>
        <w:snapToGrid w:val="0"/>
        <w:spacing w:before="0" w:beforeLines="0" w:after="0" w:afterLines="0" w:line="360" w:lineRule="auto"/>
        <w:jc w:val="left"/>
        <w:textAlignment w:val="baseline"/>
        <w:rPr>
          <w:rFonts w:hint="eastAsia" w:ascii="宋体" w:hAnsi="宋体" w:eastAsia="宋体" w:cs="宋体"/>
          <w:b/>
          <w:bCs/>
          <w:color w:val="auto"/>
          <w:sz w:val="24"/>
          <w:szCs w:val="24"/>
          <w:highlight w:val="none"/>
        </w:rPr>
      </w:pPr>
      <w:bookmarkStart w:id="18" w:name="_Toc28359005"/>
      <w:bookmarkStart w:id="19" w:name="_Toc28359082"/>
      <w:bookmarkStart w:id="20" w:name="_Toc35393793"/>
      <w:bookmarkStart w:id="21" w:name="_Toc35393624"/>
      <w:r>
        <w:rPr>
          <w:rFonts w:hint="eastAsia" w:ascii="宋体" w:hAnsi="宋体" w:eastAsia="宋体" w:cs="宋体"/>
          <w:b/>
          <w:bCs/>
          <w:color w:val="auto"/>
          <w:sz w:val="24"/>
          <w:szCs w:val="24"/>
          <w:highlight w:val="none"/>
        </w:rPr>
        <w:t>四、提交投标文件</w:t>
      </w:r>
      <w:bookmarkEnd w:id="18"/>
      <w:bookmarkEnd w:id="19"/>
      <w:r>
        <w:rPr>
          <w:rFonts w:hint="eastAsia" w:ascii="宋体" w:hAnsi="宋体" w:eastAsia="宋体" w:cs="宋体"/>
          <w:b/>
          <w:bCs/>
          <w:color w:val="auto"/>
          <w:sz w:val="24"/>
          <w:szCs w:val="24"/>
          <w:highlight w:val="none"/>
        </w:rPr>
        <w:t>截止时间、开标时间和地点</w:t>
      </w:r>
      <w:bookmarkEnd w:id="20"/>
      <w:bookmarkEnd w:id="21"/>
    </w:p>
    <w:p w14:paraId="51B1C726">
      <w:pPr>
        <w:pageBreakBefore w:val="0"/>
        <w:widowControl/>
        <w:kinsoku w:val="0"/>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iCs/>
          <w:color w:val="auto"/>
          <w:sz w:val="24"/>
          <w:szCs w:val="24"/>
          <w:highlight w:val="none"/>
          <w:lang w:bidi="ar"/>
        </w:rPr>
      </w:pPr>
      <w:r>
        <w:rPr>
          <w:rFonts w:hint="eastAsia" w:ascii="宋体" w:hAnsi="宋体" w:eastAsia="宋体" w:cs="宋体"/>
          <w:bCs/>
          <w:i w:val="0"/>
          <w:iCs w:val="0"/>
          <w:color w:val="auto"/>
          <w:sz w:val="24"/>
          <w:szCs w:val="24"/>
          <w:highlight w:val="none"/>
          <w:u w:val="none"/>
          <w:lang w:val="en-US" w:eastAsia="zh-CN"/>
        </w:rPr>
        <w:t>投标截止时间、开标时间：</w:t>
      </w:r>
      <w:r>
        <w:rPr>
          <w:rFonts w:hint="eastAsia" w:ascii="宋体" w:hAnsi="宋体" w:eastAsia="宋体" w:cs="宋体"/>
          <w:i w:val="0"/>
          <w:iCs w:val="0"/>
          <w:color w:val="auto"/>
          <w:kern w:val="2"/>
          <w:sz w:val="24"/>
          <w:szCs w:val="24"/>
          <w:highlight w:val="none"/>
          <w:u w:val="single"/>
          <w:lang w:val="en-US" w:eastAsia="zh-CN" w:bidi="ar"/>
        </w:rPr>
        <w:t>2026</w:t>
      </w:r>
      <w:r>
        <w:rPr>
          <w:rFonts w:hint="eastAsia" w:ascii="宋体" w:hAnsi="宋体" w:eastAsia="宋体" w:cs="宋体"/>
          <w:bCs/>
          <w:i w:val="0"/>
          <w:iCs w:val="0"/>
          <w:color w:val="auto"/>
          <w:kern w:val="2"/>
          <w:sz w:val="24"/>
          <w:szCs w:val="24"/>
          <w:highlight w:val="none"/>
          <w:u w:val="single"/>
          <w:lang w:val="en-US" w:eastAsia="zh-CN" w:bidi="ar"/>
        </w:rPr>
        <w:t>年06月26日09点30分</w:t>
      </w:r>
      <w:r>
        <w:rPr>
          <w:rFonts w:hint="eastAsia" w:ascii="宋体" w:hAnsi="宋体" w:eastAsia="宋体" w:cs="宋体"/>
          <w:bCs/>
          <w:i w:val="0"/>
          <w:iCs w:val="0"/>
          <w:color w:val="auto"/>
          <w:sz w:val="24"/>
          <w:szCs w:val="24"/>
          <w:highlight w:val="none"/>
        </w:rPr>
        <w:t>（北京时间）</w:t>
      </w:r>
      <w:r>
        <w:rPr>
          <w:rFonts w:hint="eastAsia" w:ascii="宋体" w:hAnsi="宋体" w:eastAsia="宋体" w:cs="宋体"/>
          <w:iCs/>
          <w:color w:val="auto"/>
          <w:sz w:val="24"/>
          <w:szCs w:val="24"/>
          <w:highlight w:val="none"/>
          <w:lang w:bidi="ar"/>
        </w:rPr>
        <w:t>。</w:t>
      </w:r>
    </w:p>
    <w:p w14:paraId="28402840">
      <w:pPr>
        <w:pageBreakBefore w:val="0"/>
        <w:widowControl/>
        <w:kinsoku w:val="0"/>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iCs/>
          <w:color w:val="auto"/>
          <w:sz w:val="24"/>
          <w:szCs w:val="24"/>
          <w:highlight w:val="none"/>
          <w:lang w:val="en-US" w:eastAsia="zh-CN" w:bidi="ar"/>
        </w:rPr>
        <w:t>开标地点：云南省昆明市五华区云南省昆明市五华区德润·朗悦湾德润中心A座30层3003室</w:t>
      </w:r>
    </w:p>
    <w:p w14:paraId="1080589F">
      <w:pPr>
        <w:pageBreakBefore w:val="0"/>
        <w:widowControl/>
        <w:kinsoku w:val="0"/>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bidi="ar"/>
        </w:rPr>
        <w:t>地点：投标人应按照本项目采购文件和"政采云"平台的要求编制、加密后在投标文件提交截止时间前上传至"政采云"平台，投标文件提交截止时间前未完成投标文件上传的，视为撤回投标文件。</w:t>
      </w:r>
      <w:r>
        <w:rPr>
          <w:rFonts w:hint="eastAsia" w:ascii="宋体" w:hAnsi="宋体" w:eastAsia="宋体" w:cs="宋体"/>
          <w:color w:val="auto"/>
          <w:sz w:val="24"/>
          <w:highlight w:val="none"/>
          <w:lang w:eastAsia="zh-CN" w:bidi="ar"/>
        </w:rPr>
        <w:t>投标人</w:t>
      </w:r>
      <w:r>
        <w:rPr>
          <w:rFonts w:hint="eastAsia" w:ascii="宋体" w:hAnsi="宋体" w:eastAsia="宋体" w:cs="宋体"/>
          <w:color w:val="auto"/>
          <w:sz w:val="24"/>
          <w:highlight w:val="none"/>
          <w:lang w:bidi="ar"/>
        </w:rPr>
        <w:t>在"政采云"平台提交电子版投标文件时，请填写参加远程采购活动经办人联系方式</w:t>
      </w:r>
      <w:r>
        <w:rPr>
          <w:rFonts w:hint="eastAsia" w:ascii="宋体" w:hAnsi="宋体" w:eastAsia="宋体" w:cs="宋体"/>
          <w:color w:val="auto"/>
          <w:sz w:val="24"/>
          <w:highlight w:val="none"/>
          <w:lang w:val="zh-TW" w:bidi="ar"/>
        </w:rPr>
        <w:t>。</w:t>
      </w:r>
    </w:p>
    <w:p w14:paraId="5DFB779C">
      <w:pPr>
        <w:pStyle w:val="4"/>
        <w:pageBreakBefore w:val="0"/>
        <w:widowControl/>
        <w:kinsoku w:val="0"/>
        <w:wordWrap/>
        <w:overflowPunct/>
        <w:topLinePunct w:val="0"/>
        <w:autoSpaceDE/>
        <w:autoSpaceDN/>
        <w:bidi w:val="0"/>
        <w:adjustRightInd w:val="0"/>
        <w:snapToGrid w:val="0"/>
        <w:spacing w:before="0" w:beforeLines="0" w:after="0" w:afterLines="0" w:line="360" w:lineRule="auto"/>
        <w:jc w:val="left"/>
        <w:textAlignment w:val="baseline"/>
        <w:rPr>
          <w:rFonts w:hint="eastAsia" w:ascii="宋体" w:hAnsi="宋体" w:eastAsia="宋体" w:cs="宋体"/>
          <w:color w:val="auto"/>
          <w:sz w:val="24"/>
          <w:szCs w:val="24"/>
          <w:highlight w:val="none"/>
        </w:rPr>
      </w:pPr>
      <w:bookmarkStart w:id="22" w:name="_Toc28359084"/>
      <w:bookmarkStart w:id="23" w:name="_Toc28359007"/>
      <w:bookmarkStart w:id="24" w:name="_Toc35393794"/>
      <w:bookmarkStart w:id="25" w:name="_Toc35393625"/>
      <w:r>
        <w:rPr>
          <w:rFonts w:hint="eastAsia" w:ascii="宋体" w:hAnsi="宋体" w:eastAsia="宋体" w:cs="宋体"/>
          <w:b/>
          <w:bCs/>
          <w:color w:val="auto"/>
          <w:sz w:val="24"/>
          <w:szCs w:val="24"/>
          <w:highlight w:val="none"/>
        </w:rPr>
        <w:t>五、公告期限</w:t>
      </w:r>
      <w:bookmarkEnd w:id="22"/>
      <w:bookmarkEnd w:id="23"/>
      <w:bookmarkEnd w:id="24"/>
      <w:bookmarkEnd w:id="25"/>
    </w:p>
    <w:p w14:paraId="3180DE75">
      <w:pPr>
        <w:pageBreakBefore w:val="0"/>
        <w:widowControl/>
        <w:kinsoku w:val="0"/>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自本公告发布之日起</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rPr>
        <w:t>个工作日。</w:t>
      </w:r>
    </w:p>
    <w:p w14:paraId="2EECE351">
      <w:pPr>
        <w:pStyle w:val="4"/>
        <w:pageBreakBefore w:val="0"/>
        <w:widowControl/>
        <w:kinsoku w:val="0"/>
        <w:wordWrap/>
        <w:overflowPunct/>
        <w:topLinePunct w:val="0"/>
        <w:autoSpaceDE/>
        <w:autoSpaceDN/>
        <w:bidi w:val="0"/>
        <w:adjustRightInd w:val="0"/>
        <w:snapToGrid w:val="0"/>
        <w:spacing w:before="0" w:beforeLines="0" w:after="0" w:afterLines="0" w:line="360" w:lineRule="auto"/>
        <w:jc w:val="left"/>
        <w:textAlignment w:val="baseline"/>
        <w:rPr>
          <w:rFonts w:hint="eastAsia" w:ascii="宋体" w:hAnsi="宋体" w:eastAsia="宋体" w:cs="宋体"/>
          <w:b/>
          <w:bCs/>
          <w:color w:val="auto"/>
          <w:sz w:val="24"/>
          <w:szCs w:val="24"/>
          <w:highlight w:val="none"/>
        </w:rPr>
      </w:pPr>
      <w:bookmarkStart w:id="26" w:name="_Toc35393626"/>
      <w:bookmarkStart w:id="27" w:name="_Toc35393795"/>
      <w:r>
        <w:rPr>
          <w:rFonts w:hint="eastAsia" w:ascii="宋体" w:hAnsi="宋体" w:eastAsia="宋体" w:cs="宋体"/>
          <w:b/>
          <w:bCs/>
          <w:color w:val="auto"/>
          <w:sz w:val="24"/>
          <w:szCs w:val="24"/>
          <w:highlight w:val="none"/>
        </w:rPr>
        <w:t>六、其他补充事宜</w:t>
      </w:r>
      <w:bookmarkEnd w:id="26"/>
      <w:bookmarkEnd w:id="27"/>
    </w:p>
    <w:p w14:paraId="5D336FD2">
      <w:pPr>
        <w:pageBreakBefore w:val="0"/>
        <w:widowControl/>
        <w:kinsoku w:val="0"/>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val="en-US" w:eastAsia="zh-CN"/>
        </w:rPr>
        <w:t>1.开标方式：</w:t>
      </w:r>
      <w:r>
        <w:rPr>
          <w:rFonts w:hint="eastAsia" w:ascii="宋体" w:hAnsi="宋体" w:eastAsia="宋体" w:cs="宋体"/>
          <w:color w:val="auto"/>
          <w:sz w:val="24"/>
          <w:highlight w:val="none"/>
          <w:u w:val="single"/>
          <w:lang w:val="en-US" w:eastAsia="zh-CN"/>
        </w:rPr>
        <w:t>网上不见面开标。</w:t>
      </w:r>
    </w:p>
    <w:p w14:paraId="6EA7E917">
      <w:pPr>
        <w:spacing w:line="360" w:lineRule="auto"/>
        <w:ind w:firstLine="480" w:firstLineChars="200"/>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val="en-US" w:eastAsia="zh-CN"/>
        </w:rPr>
        <w:t>2.是否需要缴纳投标保证金：</w:t>
      </w:r>
      <w:r>
        <w:rPr>
          <w:rFonts w:hint="eastAsia" w:ascii="宋体" w:hAnsi="宋体" w:eastAsia="宋体" w:cs="宋体"/>
          <w:color w:val="auto"/>
          <w:sz w:val="24"/>
          <w:highlight w:val="none"/>
          <w:u w:val="single"/>
          <w:lang w:val="en-US" w:eastAsia="zh-CN"/>
        </w:rPr>
        <w:t>/</w:t>
      </w:r>
    </w:p>
    <w:p w14:paraId="1E9CE87D">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.本项目竞争性磋商公告发布媒介为“云南省政府采购网”（http://www.yngp.com/），我公司对其他网站转载的公告信息不承担任何责任请各位投标人在递交投标（响应）文件前随时查看，以获取最新的消息。</w:t>
      </w:r>
    </w:p>
    <w:p w14:paraId="33339AE9">
      <w:pPr>
        <w:spacing w:line="360" w:lineRule="auto"/>
        <w:ind w:firstLine="480" w:firstLineChars="200"/>
        <w:rPr>
          <w:rFonts w:hint="eastAsia" w:ascii="宋体" w:hAnsi="宋体" w:eastAsia="宋体" w:cs="宋体"/>
          <w:bCs w:val="0"/>
          <w:snapToGrid w:val="0"/>
          <w:color w:val="auto"/>
          <w:spacing w:val="0"/>
          <w:kern w:val="0"/>
          <w:sz w:val="24"/>
          <w:szCs w:val="24"/>
          <w:highlight w:val="none"/>
          <w:lang w:val="en-US" w:eastAsia="zh-CN" w:bidi="ar-SA"/>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w:t>
      </w:r>
      <w:r>
        <w:rPr>
          <w:rFonts w:hint="eastAsia" w:ascii="宋体" w:hAnsi="宋体" w:eastAsia="宋体" w:cs="宋体"/>
          <w:bCs w:val="0"/>
          <w:snapToGrid w:val="0"/>
          <w:color w:val="auto"/>
          <w:spacing w:val="0"/>
          <w:kern w:val="0"/>
          <w:sz w:val="24"/>
          <w:szCs w:val="24"/>
          <w:highlight w:val="none"/>
          <w:lang w:val="en-US" w:eastAsia="zh-CN" w:bidi="ar-SA"/>
        </w:rPr>
        <w:t>本次项目采用全流程电子化采购方式，各投标人认真学习云南省政府采购电子交易平台（政采云）发布的相关操作手册。操作手册查询链接：</w:t>
      </w:r>
      <w:r>
        <w:rPr>
          <w:rFonts w:hint="eastAsia" w:ascii="宋体" w:hAnsi="宋体" w:eastAsia="宋体" w:cs="宋体"/>
          <w:bCs w:val="0"/>
          <w:snapToGrid w:val="0"/>
          <w:color w:val="auto"/>
          <w:spacing w:val="0"/>
          <w:kern w:val="0"/>
          <w:sz w:val="24"/>
          <w:szCs w:val="24"/>
          <w:highlight w:val="none"/>
          <w:u w:val="single"/>
          <w:lang w:val="en-US" w:eastAsia="zh-CN" w:bidi="ar-SA"/>
        </w:rPr>
        <w:t>https://helpcenter.zcygov.cn/document/#/document/dashboard?siteCode=yunnan</w:t>
      </w:r>
      <w:r>
        <w:rPr>
          <w:rFonts w:hint="eastAsia" w:ascii="宋体" w:hAnsi="宋体" w:eastAsia="宋体" w:cs="宋体"/>
          <w:bCs w:val="0"/>
          <w:snapToGrid w:val="0"/>
          <w:color w:val="auto"/>
          <w:spacing w:val="0"/>
          <w:kern w:val="0"/>
          <w:sz w:val="24"/>
          <w:szCs w:val="24"/>
          <w:highlight w:val="none"/>
          <w:lang w:val="en-US" w:eastAsia="zh-CN" w:bidi="ar-SA"/>
        </w:rPr>
        <w:t>。如有疑问联系95763。</w:t>
      </w:r>
    </w:p>
    <w:p w14:paraId="2EDCEEBF">
      <w:pPr>
        <w:spacing w:line="360" w:lineRule="auto"/>
        <w:ind w:firstLine="480" w:firstLineChars="200"/>
        <w:rPr>
          <w:rFonts w:hint="eastAsia" w:ascii="宋体" w:hAnsi="宋体" w:eastAsia="宋体" w:cs="宋体"/>
          <w:bCs w:val="0"/>
          <w:snapToGrid w:val="0"/>
          <w:color w:val="auto"/>
          <w:spacing w:val="0"/>
          <w:kern w:val="0"/>
          <w:sz w:val="24"/>
          <w:szCs w:val="24"/>
          <w:highlight w:val="none"/>
          <w:lang w:val="en-US" w:eastAsia="zh-CN" w:bidi="ar-SA"/>
        </w:rPr>
      </w:pPr>
      <w:r>
        <w:rPr>
          <w:rFonts w:hint="eastAsia" w:ascii="宋体" w:hAnsi="宋体" w:eastAsia="宋体" w:cs="宋体"/>
          <w:bCs w:val="0"/>
          <w:snapToGrid w:val="0"/>
          <w:color w:val="auto"/>
          <w:spacing w:val="0"/>
          <w:kern w:val="0"/>
          <w:sz w:val="24"/>
          <w:szCs w:val="24"/>
          <w:highlight w:val="none"/>
          <w:lang w:val="en-US" w:eastAsia="zh-CN" w:bidi="ar-SA"/>
        </w:rPr>
        <w:t>（1）投标人注册。投标人须在云南省政府采购电子交易平台注册后，方可参与项目。操作路径：云南省政府采购电子交易平台-业务支持-用户注册-投标人模块。</w:t>
      </w:r>
    </w:p>
    <w:p w14:paraId="2C9750B0">
      <w:pPr>
        <w:spacing w:line="360" w:lineRule="auto"/>
        <w:ind w:firstLine="480" w:firstLineChars="200"/>
        <w:rPr>
          <w:rFonts w:hint="eastAsia" w:ascii="宋体" w:hAnsi="宋体" w:eastAsia="宋体" w:cs="宋体"/>
          <w:bCs w:val="0"/>
          <w:snapToGrid w:val="0"/>
          <w:color w:val="auto"/>
          <w:spacing w:val="0"/>
          <w:kern w:val="0"/>
          <w:sz w:val="24"/>
          <w:szCs w:val="24"/>
          <w:highlight w:val="none"/>
          <w:lang w:val="en-US" w:eastAsia="zh-CN" w:bidi="ar-SA"/>
        </w:rPr>
      </w:pPr>
      <w:r>
        <w:rPr>
          <w:rFonts w:hint="eastAsia" w:ascii="宋体" w:hAnsi="宋体" w:eastAsia="宋体" w:cs="宋体"/>
          <w:bCs w:val="0"/>
          <w:snapToGrid w:val="0"/>
          <w:color w:val="auto"/>
          <w:spacing w:val="0"/>
          <w:kern w:val="0"/>
          <w:sz w:val="24"/>
          <w:szCs w:val="24"/>
          <w:highlight w:val="none"/>
          <w:lang w:val="en-US" w:eastAsia="zh-CN" w:bidi="ar-SA"/>
        </w:rPr>
        <w:t>（2）CA数字证书办理。投标人须办理有效CA数字证书。申领链接：</w:t>
      </w:r>
      <w:r>
        <w:rPr>
          <w:rFonts w:hint="eastAsia" w:ascii="宋体" w:hAnsi="宋体" w:eastAsia="宋体" w:cs="宋体"/>
          <w:bCs w:val="0"/>
          <w:snapToGrid w:val="0"/>
          <w:color w:val="auto"/>
          <w:spacing w:val="0"/>
          <w:kern w:val="0"/>
          <w:sz w:val="24"/>
          <w:szCs w:val="24"/>
          <w:highlight w:val="none"/>
          <w:lang w:val="en-US" w:eastAsia="zh-CN" w:bidi="ar-SA"/>
        </w:rPr>
        <w:fldChar w:fldCharType="begin"/>
      </w:r>
      <w:r>
        <w:rPr>
          <w:rFonts w:hint="eastAsia" w:ascii="宋体" w:hAnsi="宋体" w:eastAsia="宋体" w:cs="宋体"/>
          <w:bCs w:val="0"/>
          <w:snapToGrid w:val="0"/>
          <w:color w:val="auto"/>
          <w:spacing w:val="0"/>
          <w:kern w:val="0"/>
          <w:sz w:val="24"/>
          <w:szCs w:val="24"/>
          <w:highlight w:val="none"/>
          <w:lang w:val="en-US" w:eastAsia="zh-CN" w:bidi="ar-SA"/>
        </w:rPr>
        <w:instrText xml:space="preserve"> HYPERLINK "https://middle.zcygov.cn/ca/apply/choose。" </w:instrText>
      </w:r>
      <w:r>
        <w:rPr>
          <w:rFonts w:hint="eastAsia" w:ascii="宋体" w:hAnsi="宋体" w:eastAsia="宋体" w:cs="宋体"/>
          <w:bCs w:val="0"/>
          <w:snapToGrid w:val="0"/>
          <w:color w:val="auto"/>
          <w:spacing w:val="0"/>
          <w:kern w:val="0"/>
          <w:sz w:val="24"/>
          <w:szCs w:val="24"/>
          <w:highlight w:val="none"/>
          <w:lang w:val="en-US" w:eastAsia="zh-CN" w:bidi="ar-SA"/>
        </w:rPr>
        <w:fldChar w:fldCharType="separate"/>
      </w:r>
      <w:r>
        <w:rPr>
          <w:rFonts w:hint="eastAsia" w:ascii="宋体" w:hAnsi="宋体" w:eastAsia="宋体" w:cs="宋体"/>
          <w:bCs w:val="0"/>
          <w:snapToGrid w:val="0"/>
          <w:color w:val="auto"/>
          <w:spacing w:val="0"/>
          <w:kern w:val="0"/>
          <w:sz w:val="24"/>
          <w:szCs w:val="24"/>
          <w:highlight w:val="none"/>
          <w:u w:val="single"/>
          <w:lang w:val="en-US" w:eastAsia="zh-CN" w:bidi="ar-SA"/>
        </w:rPr>
        <w:t>https://middle.zcygov.cn/ca/apply/choose</w:t>
      </w:r>
      <w:r>
        <w:rPr>
          <w:rFonts w:hint="eastAsia" w:ascii="宋体" w:hAnsi="宋体" w:eastAsia="宋体" w:cs="宋体"/>
          <w:bCs w:val="0"/>
          <w:snapToGrid w:val="0"/>
          <w:color w:val="auto"/>
          <w:spacing w:val="0"/>
          <w:kern w:val="0"/>
          <w:sz w:val="24"/>
          <w:szCs w:val="24"/>
          <w:highlight w:val="none"/>
          <w:lang w:val="en-US" w:eastAsia="zh-CN" w:bidi="ar-SA"/>
        </w:rPr>
        <w:t>。</w:t>
      </w:r>
      <w:r>
        <w:rPr>
          <w:rFonts w:hint="eastAsia" w:ascii="宋体" w:hAnsi="宋体" w:eastAsia="宋体" w:cs="宋体"/>
          <w:bCs w:val="0"/>
          <w:snapToGrid w:val="0"/>
          <w:color w:val="auto"/>
          <w:spacing w:val="0"/>
          <w:kern w:val="0"/>
          <w:sz w:val="24"/>
          <w:szCs w:val="24"/>
          <w:highlight w:val="none"/>
          <w:lang w:val="en-US" w:eastAsia="zh-CN" w:bidi="ar-SA"/>
        </w:rPr>
        <w:fldChar w:fldCharType="end"/>
      </w:r>
    </w:p>
    <w:p w14:paraId="55CA1669">
      <w:pPr>
        <w:spacing w:line="360" w:lineRule="auto"/>
        <w:ind w:firstLine="480" w:firstLineChars="200"/>
        <w:rPr>
          <w:rFonts w:hint="eastAsia" w:ascii="宋体" w:hAnsi="宋体" w:eastAsia="宋体" w:cs="宋体"/>
          <w:bCs w:val="0"/>
          <w:snapToGrid w:val="0"/>
          <w:color w:val="auto"/>
          <w:spacing w:val="0"/>
          <w:kern w:val="0"/>
          <w:sz w:val="24"/>
          <w:szCs w:val="24"/>
          <w:highlight w:val="none"/>
          <w:lang w:val="en-US" w:eastAsia="zh-CN" w:bidi="ar-SA"/>
        </w:rPr>
      </w:pPr>
      <w:r>
        <w:rPr>
          <w:rFonts w:hint="eastAsia" w:ascii="宋体" w:hAnsi="宋体" w:eastAsia="宋体" w:cs="宋体"/>
          <w:bCs w:val="0"/>
          <w:snapToGrid w:val="0"/>
          <w:color w:val="auto"/>
          <w:spacing w:val="0"/>
          <w:kern w:val="0"/>
          <w:sz w:val="24"/>
          <w:szCs w:val="24"/>
          <w:highlight w:val="none"/>
          <w:lang w:val="en-US" w:eastAsia="zh-CN" w:bidi="ar-SA"/>
        </w:rPr>
        <w:t>（3）CA数字证书绑定。投标人进行CA绑定。操作路径：云南省政府采购电子交易平台-我的工作台-系统管理-ca管理-ca绑定。</w:t>
      </w:r>
    </w:p>
    <w:p w14:paraId="263B1E30">
      <w:pPr>
        <w:spacing w:line="360" w:lineRule="auto"/>
        <w:ind w:firstLine="480" w:firstLineChars="200"/>
        <w:rPr>
          <w:rFonts w:hint="eastAsia" w:ascii="宋体" w:hAnsi="宋体" w:eastAsia="宋体" w:cs="宋体"/>
          <w:bCs w:val="0"/>
          <w:snapToGrid w:val="0"/>
          <w:color w:val="auto"/>
          <w:spacing w:val="0"/>
          <w:kern w:val="0"/>
          <w:sz w:val="24"/>
          <w:szCs w:val="24"/>
          <w:highlight w:val="none"/>
          <w:lang w:val="en-US" w:eastAsia="zh-CN" w:bidi="ar-SA"/>
        </w:rPr>
      </w:pPr>
      <w:r>
        <w:rPr>
          <w:rFonts w:hint="eastAsia" w:ascii="宋体" w:hAnsi="宋体" w:eastAsia="宋体" w:cs="宋体"/>
          <w:bCs w:val="0"/>
          <w:snapToGrid w:val="0"/>
          <w:color w:val="auto"/>
          <w:spacing w:val="0"/>
          <w:kern w:val="0"/>
          <w:sz w:val="24"/>
          <w:szCs w:val="24"/>
          <w:highlight w:val="none"/>
          <w:lang w:val="en-US" w:eastAsia="zh-CN" w:bidi="ar-SA"/>
        </w:rPr>
        <w:t xml:space="preserve">（4）招标文件获取。投标人须在采购公告规定的文件获取期限内，使用账号密码或ca数字证书登录平台，获取采购文件。操作路径：云南省政府采购电子交易平台-我的工作台-项目采购--获取采购文件。请务必在规定期限内获取采购文件，逾期将无法获取。      </w:t>
      </w:r>
    </w:p>
    <w:p w14:paraId="3DBCB1CE">
      <w:pPr>
        <w:spacing w:line="360" w:lineRule="auto"/>
        <w:ind w:firstLine="480" w:firstLineChars="200"/>
        <w:rPr>
          <w:rFonts w:hint="eastAsia" w:ascii="宋体" w:hAnsi="宋体" w:eastAsia="宋体" w:cs="宋体"/>
          <w:bCs w:val="0"/>
          <w:snapToGrid w:val="0"/>
          <w:color w:val="auto"/>
          <w:spacing w:val="0"/>
          <w:kern w:val="0"/>
          <w:sz w:val="24"/>
          <w:szCs w:val="24"/>
          <w:highlight w:val="none"/>
          <w:lang w:val="en-US" w:eastAsia="zh-CN" w:bidi="ar-SA"/>
        </w:rPr>
      </w:pPr>
      <w:r>
        <w:rPr>
          <w:rFonts w:hint="eastAsia" w:ascii="宋体" w:hAnsi="宋体" w:eastAsia="宋体" w:cs="宋体"/>
          <w:bCs w:val="0"/>
          <w:snapToGrid w:val="0"/>
          <w:color w:val="auto"/>
          <w:spacing w:val="0"/>
          <w:kern w:val="0"/>
          <w:sz w:val="24"/>
          <w:szCs w:val="24"/>
          <w:highlight w:val="none"/>
          <w:lang w:val="en-US" w:eastAsia="zh-CN" w:bidi="ar-SA"/>
        </w:rPr>
        <w:t>（5）投标（响应）文件编制与递交。投标人须下载投标（响应）客户端，通过客户端编制投标（响应）文件，并线上递交。投标客户端下载路径：</w:t>
      </w:r>
      <w:r>
        <w:rPr>
          <w:rFonts w:hint="eastAsia" w:ascii="宋体" w:hAnsi="宋体" w:eastAsia="宋体" w:cs="宋体"/>
          <w:bCs w:val="0"/>
          <w:snapToGrid w:val="0"/>
          <w:color w:val="auto"/>
          <w:spacing w:val="0"/>
          <w:kern w:val="0"/>
          <w:sz w:val="24"/>
          <w:szCs w:val="24"/>
          <w:highlight w:val="none"/>
          <w:u w:val="single"/>
          <w:lang w:val="en-US" w:eastAsia="zh-CN" w:bidi="ar-SA"/>
        </w:rPr>
        <w:fldChar w:fldCharType="begin"/>
      </w:r>
      <w:r>
        <w:rPr>
          <w:rFonts w:hint="eastAsia" w:ascii="宋体" w:hAnsi="宋体" w:eastAsia="宋体" w:cs="宋体"/>
          <w:bCs w:val="0"/>
          <w:snapToGrid w:val="0"/>
          <w:color w:val="auto"/>
          <w:spacing w:val="0"/>
          <w:kern w:val="0"/>
          <w:sz w:val="24"/>
          <w:szCs w:val="24"/>
          <w:highlight w:val="none"/>
          <w:u w:val="single"/>
          <w:lang w:val="en-US" w:eastAsia="zh-CN" w:bidi="ar-SA"/>
        </w:rPr>
        <w:instrText xml:space="preserve"> HYPERLINK "https://market.zcygov.cn/application-market/#/download/list" </w:instrText>
      </w:r>
      <w:r>
        <w:rPr>
          <w:rFonts w:hint="eastAsia" w:ascii="宋体" w:hAnsi="宋体" w:eastAsia="宋体" w:cs="宋体"/>
          <w:bCs w:val="0"/>
          <w:snapToGrid w:val="0"/>
          <w:color w:val="auto"/>
          <w:spacing w:val="0"/>
          <w:kern w:val="0"/>
          <w:sz w:val="24"/>
          <w:szCs w:val="24"/>
          <w:highlight w:val="none"/>
          <w:u w:val="single"/>
          <w:lang w:val="en-US" w:eastAsia="zh-CN" w:bidi="ar-SA"/>
        </w:rPr>
        <w:fldChar w:fldCharType="separate"/>
      </w:r>
      <w:r>
        <w:rPr>
          <w:rFonts w:hint="eastAsia" w:ascii="宋体" w:hAnsi="宋体" w:eastAsia="宋体" w:cs="宋体"/>
          <w:bCs w:val="0"/>
          <w:snapToGrid w:val="0"/>
          <w:color w:val="auto"/>
          <w:spacing w:val="0"/>
          <w:kern w:val="0"/>
          <w:sz w:val="24"/>
          <w:szCs w:val="24"/>
          <w:highlight w:val="none"/>
          <w:u w:val="single"/>
          <w:lang w:val="en-US" w:eastAsia="zh-CN" w:bidi="ar-SA"/>
        </w:rPr>
        <w:t>https://market.zcygov.cn/application-market/#/download/list</w:t>
      </w:r>
      <w:r>
        <w:rPr>
          <w:rFonts w:hint="eastAsia" w:ascii="宋体" w:hAnsi="宋体" w:eastAsia="宋体" w:cs="宋体"/>
          <w:bCs w:val="0"/>
          <w:snapToGrid w:val="0"/>
          <w:color w:val="auto"/>
          <w:spacing w:val="0"/>
          <w:kern w:val="0"/>
          <w:sz w:val="24"/>
          <w:szCs w:val="24"/>
          <w:highlight w:val="none"/>
          <w:u w:val="single"/>
          <w:lang w:val="en-US" w:eastAsia="zh-CN" w:bidi="ar-SA"/>
        </w:rPr>
        <w:fldChar w:fldCharType="end"/>
      </w:r>
    </w:p>
    <w:p w14:paraId="63A26AC5">
      <w:pPr>
        <w:pStyle w:val="4"/>
        <w:pageBreakBefore w:val="0"/>
        <w:widowControl/>
        <w:shd w:val="clear" w:color="auto" w:fill="auto"/>
        <w:kinsoku/>
        <w:wordWrap/>
        <w:overflowPunct/>
        <w:topLinePunct w:val="0"/>
        <w:autoSpaceDE/>
        <w:autoSpaceDN/>
        <w:bidi w:val="0"/>
        <w:adjustRightInd w:val="0"/>
        <w:snapToGrid/>
        <w:spacing w:before="0" w:after="0" w:line="360" w:lineRule="auto"/>
        <w:ind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bCs w:val="0"/>
          <w:snapToGrid w:val="0"/>
          <w:color w:val="auto"/>
          <w:spacing w:val="0"/>
          <w:kern w:val="0"/>
          <w:sz w:val="24"/>
          <w:szCs w:val="24"/>
          <w:highlight w:val="none"/>
          <w:lang w:val="en-US" w:eastAsia="zh-CN" w:bidi="ar-SA"/>
        </w:rPr>
        <w:t>（6）开评标。投标人须在项目指定的开标时间前，提前登录政府采购电子交易平台，并在规定时间内完成解密，如投标人因自身原因，无法在规定时间内解密的，自行承担后果（如：设备故障、浏览器故障、未安装相关驱动、网络故障、加密CA与解密CA不一致等）。操作路径：云南省政府采购电子交易平台-我的工作台-项目采购-开标评标-进入开标大厅。</w:t>
      </w:r>
    </w:p>
    <w:p w14:paraId="2D2FA6EC">
      <w:pPr>
        <w:pStyle w:val="4"/>
        <w:pageBreakBefore w:val="0"/>
        <w:widowControl/>
        <w:kinsoku w:val="0"/>
        <w:wordWrap/>
        <w:overflowPunct/>
        <w:topLinePunct w:val="0"/>
        <w:autoSpaceDE/>
        <w:autoSpaceDN/>
        <w:bidi w:val="0"/>
        <w:adjustRightInd w:val="0"/>
        <w:snapToGrid w:val="0"/>
        <w:spacing w:before="0" w:beforeLines="0" w:after="0" w:afterLines="0" w:line="360" w:lineRule="auto"/>
        <w:jc w:val="left"/>
        <w:textAlignment w:val="baseline"/>
        <w:rPr>
          <w:rFonts w:hint="eastAsia" w:ascii="宋体" w:hAnsi="宋体" w:eastAsia="宋体" w:cs="宋体"/>
          <w:b/>
          <w:bCs/>
          <w:color w:val="auto"/>
          <w:sz w:val="24"/>
          <w:szCs w:val="24"/>
          <w:highlight w:val="none"/>
        </w:rPr>
      </w:pPr>
      <w:bookmarkStart w:id="28" w:name="_Toc28359008"/>
      <w:bookmarkStart w:id="29" w:name="_Toc35393627"/>
      <w:bookmarkStart w:id="30" w:name="_Toc35393796"/>
      <w:bookmarkStart w:id="31" w:name="_Toc28359085"/>
      <w:r>
        <w:rPr>
          <w:rFonts w:hint="eastAsia" w:ascii="宋体" w:hAnsi="宋体" w:eastAsia="宋体" w:cs="宋体"/>
          <w:b/>
          <w:bCs/>
          <w:color w:val="auto"/>
          <w:sz w:val="24"/>
          <w:szCs w:val="24"/>
          <w:highlight w:val="none"/>
        </w:rPr>
        <w:t>七、对本次招标提出询问，请按以下方式联系。</w:t>
      </w:r>
      <w:bookmarkEnd w:id="28"/>
      <w:bookmarkEnd w:id="29"/>
      <w:bookmarkEnd w:id="30"/>
      <w:bookmarkEnd w:id="31"/>
    </w:p>
    <w:p w14:paraId="1469BDB5">
      <w:pPr>
        <w:pageBreakBefore w:val="0"/>
        <w:widowControl/>
        <w:kinsoku w:val="0"/>
        <w:wordWrap/>
        <w:overflowPunct/>
        <w:topLinePunct w:val="0"/>
        <w:autoSpaceDE/>
        <w:autoSpaceDN/>
        <w:bidi w:val="0"/>
        <w:adjustRightInd w:val="0"/>
        <w:snapToGrid w:val="0"/>
        <w:spacing w:line="360" w:lineRule="auto"/>
        <w:ind w:left="0" w:leftChars="0" w:firstLine="480" w:firstLineChars="200"/>
        <w:jc w:val="left"/>
        <w:textAlignment w:val="baseline"/>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1.采购人信息</w:t>
      </w:r>
    </w:p>
    <w:p w14:paraId="1B8CA9C5">
      <w:pPr>
        <w:spacing w:line="360" w:lineRule="auto"/>
        <w:ind w:left="0" w:leftChars="0" w:firstLine="480" w:firstLineChars="200"/>
        <w:jc w:val="left"/>
        <w:rPr>
          <w:rFonts w:hint="eastAsia" w:ascii="宋体" w:hAnsi="宋体" w:eastAsia="宋体" w:cs="宋体"/>
          <w:color w:val="auto"/>
          <w:sz w:val="24"/>
          <w:highlight w:val="none"/>
          <w:u w:val="none"/>
        </w:rPr>
      </w:pPr>
      <w:bookmarkStart w:id="32" w:name="_Toc28359009"/>
      <w:bookmarkStart w:id="33" w:name="_Toc28359086"/>
      <w:r>
        <w:rPr>
          <w:rFonts w:hint="eastAsia" w:ascii="宋体" w:hAnsi="宋体" w:eastAsia="宋体" w:cs="宋体"/>
          <w:color w:val="auto"/>
          <w:sz w:val="24"/>
          <w:highlight w:val="none"/>
          <w:u w:val="none"/>
        </w:rPr>
        <w:t>名    称：</w:t>
      </w:r>
      <w:r>
        <w:rPr>
          <w:rFonts w:hint="eastAsia" w:ascii="宋体" w:hAnsi="宋体" w:eastAsia="宋体" w:cs="宋体"/>
          <w:color w:val="auto"/>
          <w:sz w:val="24"/>
          <w:highlight w:val="none"/>
          <w:u w:val="none"/>
          <w:lang w:val="en-US" w:eastAsia="zh-CN"/>
        </w:rPr>
        <w:t>富民县公共就业和人才服务中心</w:t>
      </w:r>
    </w:p>
    <w:p w14:paraId="4096761A">
      <w:pPr>
        <w:spacing w:line="360" w:lineRule="auto"/>
        <w:ind w:left="0" w:leftChars="0" w:firstLine="480" w:firstLineChars="200"/>
        <w:jc w:val="left"/>
        <w:rPr>
          <w:rFonts w:hint="eastAsia" w:ascii="宋体" w:hAnsi="宋体" w:eastAsia="宋体" w:cs="宋体"/>
          <w:color w:val="auto"/>
          <w:sz w:val="24"/>
          <w:highlight w:val="none"/>
          <w:u w:val="none"/>
          <w:lang w:val="en-US" w:eastAsia="zh-CN"/>
        </w:rPr>
      </w:pPr>
      <w:r>
        <w:rPr>
          <w:rFonts w:hint="eastAsia" w:ascii="宋体" w:hAnsi="宋体" w:eastAsia="宋体" w:cs="宋体"/>
          <w:color w:val="auto"/>
          <w:sz w:val="24"/>
          <w:highlight w:val="none"/>
          <w:u w:val="none"/>
        </w:rPr>
        <w:t>地    址：</w:t>
      </w:r>
      <w:r>
        <w:rPr>
          <w:rFonts w:hint="eastAsia" w:ascii="宋体" w:hAnsi="宋体" w:eastAsia="宋体" w:cs="宋体"/>
          <w:color w:val="auto"/>
          <w:sz w:val="24"/>
          <w:highlight w:val="none"/>
          <w:u w:val="none"/>
          <w:lang w:val="en-US" w:eastAsia="zh-CN"/>
        </w:rPr>
        <w:t xml:space="preserve">昆明市富民县黎阳路140号综合楼4楼 </w:t>
      </w:r>
    </w:p>
    <w:p w14:paraId="752DCF17">
      <w:pPr>
        <w:spacing w:line="360" w:lineRule="auto"/>
        <w:ind w:left="0" w:leftChars="0" w:firstLine="480" w:firstLineChars="200"/>
        <w:jc w:val="left"/>
        <w:rPr>
          <w:rFonts w:hint="eastAsia" w:ascii="宋体" w:hAnsi="宋体" w:eastAsia="宋体" w:cs="宋体"/>
          <w:color w:val="auto"/>
          <w:sz w:val="24"/>
          <w:highlight w:val="none"/>
          <w:u w:val="none"/>
          <w:lang w:val="en-US" w:eastAsia="zh-CN"/>
        </w:rPr>
      </w:pPr>
      <w:r>
        <w:rPr>
          <w:rFonts w:hint="eastAsia" w:ascii="宋体" w:hAnsi="宋体" w:eastAsia="宋体" w:cs="宋体"/>
          <w:color w:val="auto"/>
          <w:sz w:val="24"/>
          <w:highlight w:val="none"/>
          <w:u w:val="none"/>
        </w:rPr>
        <w:t>联系方式：</w:t>
      </w:r>
      <w:r>
        <w:rPr>
          <w:rFonts w:hint="eastAsia" w:ascii="宋体" w:hAnsi="宋体" w:eastAsia="宋体" w:cs="宋体"/>
          <w:color w:val="auto"/>
          <w:sz w:val="24"/>
          <w:highlight w:val="none"/>
          <w:u w:val="none"/>
          <w:lang w:val="en-US" w:eastAsia="zh-CN"/>
        </w:rPr>
        <w:t xml:space="preserve">0871-68813761 </w:t>
      </w:r>
    </w:p>
    <w:p w14:paraId="3267D4B3">
      <w:pPr>
        <w:spacing w:line="360" w:lineRule="auto"/>
        <w:ind w:left="0" w:leftChars="0" w:firstLine="482" w:firstLineChars="200"/>
        <w:jc w:val="left"/>
        <w:rPr>
          <w:rFonts w:hint="eastAsia" w:ascii="宋体" w:hAnsi="宋体" w:eastAsia="宋体" w:cs="宋体"/>
          <w:b/>
          <w:color w:val="auto"/>
          <w:sz w:val="24"/>
          <w:highlight w:val="none"/>
        </w:rPr>
      </w:pPr>
    </w:p>
    <w:p w14:paraId="71CFD542">
      <w:pPr>
        <w:spacing w:line="360" w:lineRule="auto"/>
        <w:ind w:left="0" w:leftChars="0" w:firstLine="482" w:firstLineChars="20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2.采购代理机构信息</w:t>
      </w:r>
      <w:bookmarkEnd w:id="32"/>
      <w:bookmarkEnd w:id="33"/>
    </w:p>
    <w:p w14:paraId="4200F207">
      <w:pPr>
        <w:spacing w:line="360" w:lineRule="auto"/>
        <w:ind w:left="0" w:leftChars="0" w:firstLine="480" w:firstLineChars="200"/>
        <w:jc w:val="left"/>
        <w:rPr>
          <w:rFonts w:hint="eastAsia" w:ascii="宋体" w:hAnsi="宋体" w:eastAsia="宋体" w:cs="宋体"/>
          <w:color w:val="auto"/>
          <w:sz w:val="24"/>
          <w:highlight w:val="none"/>
          <w:u w:val="none"/>
          <w:lang w:eastAsia="zh-CN"/>
        </w:rPr>
      </w:pPr>
      <w:bookmarkStart w:id="34" w:name="_Toc28359010"/>
      <w:bookmarkStart w:id="35" w:name="_Toc28359087"/>
      <w:r>
        <w:rPr>
          <w:rFonts w:hint="eastAsia" w:ascii="宋体" w:hAnsi="宋体" w:eastAsia="宋体" w:cs="宋体"/>
          <w:color w:val="auto"/>
          <w:sz w:val="24"/>
          <w:highlight w:val="none"/>
          <w:u w:val="none"/>
        </w:rPr>
        <w:t>名    称：</w:t>
      </w:r>
      <w:r>
        <w:rPr>
          <w:rFonts w:hint="eastAsia" w:ascii="宋体" w:hAnsi="宋体" w:eastAsia="宋体" w:cs="宋体"/>
          <w:color w:val="auto"/>
          <w:sz w:val="24"/>
          <w:highlight w:val="none"/>
          <w:u w:val="none"/>
          <w:lang w:eastAsia="zh-CN"/>
        </w:rPr>
        <w:t>律道合一(云南)项目管理咨询有限公司</w:t>
      </w:r>
    </w:p>
    <w:p w14:paraId="2B3CF89F">
      <w:pPr>
        <w:spacing w:line="360" w:lineRule="auto"/>
        <w:ind w:left="0" w:leftChars="0" w:firstLine="480" w:firstLineChars="200"/>
        <w:jc w:val="left"/>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地    址：云南省昆明市五华区红云街道办事处小康大道德润春城花园德润</w:t>
      </w:r>
    </w:p>
    <w:p w14:paraId="7BF350EF">
      <w:pPr>
        <w:spacing w:line="360" w:lineRule="auto"/>
        <w:ind w:firstLine="1680" w:firstLineChars="700"/>
        <w:jc w:val="left"/>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商务中心18幢3012号</w:t>
      </w:r>
    </w:p>
    <w:p w14:paraId="77609F0B">
      <w:pPr>
        <w:spacing w:line="360" w:lineRule="auto"/>
        <w:ind w:left="0" w:leftChars="0"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联系方式：</w:t>
      </w:r>
      <w:r>
        <w:rPr>
          <w:rFonts w:hint="eastAsia" w:ascii="宋体" w:hAnsi="宋体" w:eastAsia="宋体" w:cs="宋体"/>
          <w:color w:val="auto"/>
          <w:sz w:val="24"/>
          <w:highlight w:val="none"/>
          <w:lang w:val="en-US" w:eastAsia="zh-CN"/>
        </w:rPr>
        <w:t>15911649062</w:t>
      </w:r>
    </w:p>
    <w:p w14:paraId="24139776">
      <w:pPr>
        <w:spacing w:line="360" w:lineRule="auto"/>
        <w:ind w:left="0" w:leftChars="0" w:firstLine="482" w:firstLineChars="200"/>
        <w:rPr>
          <w:rFonts w:hint="eastAsia" w:ascii="宋体" w:hAnsi="宋体" w:eastAsia="宋体" w:cs="宋体"/>
          <w:b/>
          <w:color w:val="auto"/>
          <w:sz w:val="24"/>
          <w:highlight w:val="none"/>
        </w:rPr>
      </w:pPr>
    </w:p>
    <w:p w14:paraId="40B2EE7D">
      <w:pPr>
        <w:spacing w:line="360" w:lineRule="auto"/>
        <w:ind w:left="0" w:leftChars="0" w:firstLine="482" w:firstLineChars="200"/>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3.项目联系方式</w:t>
      </w:r>
      <w:bookmarkEnd w:id="34"/>
      <w:bookmarkEnd w:id="35"/>
    </w:p>
    <w:p w14:paraId="5242D7BE">
      <w:pPr>
        <w:pStyle w:val="14"/>
        <w:spacing w:line="360" w:lineRule="auto"/>
        <w:ind w:left="0" w:leftChars="0" w:firstLine="480" w:firstLineChars="200"/>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val="en-US" w:eastAsia="zh-CN"/>
        </w:rPr>
        <w:t>张工</w:t>
      </w:r>
    </w:p>
    <w:p w14:paraId="08FB8108">
      <w:pPr>
        <w:pStyle w:val="14"/>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电      话：</w:t>
      </w:r>
      <w:r>
        <w:rPr>
          <w:rFonts w:hint="eastAsia" w:ascii="宋体" w:hAnsi="宋体" w:eastAsia="宋体" w:cs="宋体"/>
          <w:color w:val="auto"/>
          <w:sz w:val="24"/>
          <w:highlight w:val="none"/>
          <w:lang w:val="en-US" w:eastAsia="zh-CN"/>
        </w:rPr>
        <w:t>15911649062</w:t>
      </w:r>
    </w:p>
    <w:p w14:paraId="3D837AED">
      <w:pPr>
        <w:spacing w:line="360" w:lineRule="auto"/>
        <w:ind w:firstLine="5880" w:firstLineChars="2450"/>
        <w:jc w:val="right"/>
        <w:rPr>
          <w:rFonts w:hint="eastAsia" w:ascii="宋体" w:hAnsi="宋体" w:eastAsia="宋体" w:cs="宋体"/>
          <w:color w:val="auto"/>
          <w:sz w:val="24"/>
          <w:highlight w:val="none"/>
        </w:rPr>
      </w:pPr>
    </w:p>
    <w:p w14:paraId="33326B49">
      <w:pPr>
        <w:spacing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br w:type="page"/>
      </w:r>
      <w:bookmarkStart w:id="36" w:name="_Toc512937850"/>
      <w:bookmarkStart w:id="37" w:name="_Toc195842950"/>
      <w:bookmarkStart w:id="38" w:name="_Toc226965856"/>
      <w:bookmarkStart w:id="39" w:name="_Toc150774783"/>
      <w:bookmarkStart w:id="40" w:name="_Toc305158928"/>
      <w:bookmarkStart w:id="41" w:name="_Toc127161488"/>
      <w:bookmarkStart w:id="42" w:name="_Toc305158854"/>
      <w:bookmarkStart w:id="43" w:name="_Toc127151777"/>
      <w:bookmarkStart w:id="44" w:name="_Toc5910"/>
      <w:bookmarkStart w:id="45" w:name="_Toc265228423"/>
      <w:bookmarkStart w:id="46" w:name="_Toc264969275"/>
      <w:bookmarkStart w:id="47" w:name="_Toc353873938"/>
      <w:bookmarkStart w:id="48" w:name="_Toc353825548"/>
      <w:r>
        <w:rPr>
          <w:rFonts w:hint="eastAsia" w:ascii="宋体" w:hAnsi="宋体" w:eastAsia="宋体" w:cs="宋体"/>
          <w:b/>
          <w:color w:val="auto"/>
          <w:sz w:val="36"/>
          <w:szCs w:val="36"/>
          <w:highlight w:val="none"/>
        </w:rPr>
        <w:t>第二章   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2EF7E2CE">
      <w:pPr>
        <w:pStyle w:val="4"/>
        <w:tabs>
          <w:tab w:val="center" w:pos="4592"/>
          <w:tab w:val="left" w:pos="7860"/>
        </w:tabs>
        <w:spacing w:before="0" w:line="360" w:lineRule="auto"/>
        <w:rPr>
          <w:rFonts w:hint="eastAsia" w:ascii="宋体" w:hAnsi="宋体" w:eastAsia="宋体" w:cs="宋体"/>
          <w:b/>
          <w:color w:val="auto"/>
          <w:sz w:val="28"/>
          <w:szCs w:val="28"/>
          <w:highlight w:val="none"/>
        </w:rPr>
      </w:pPr>
      <w:bookmarkStart w:id="49" w:name="_Toc151193907"/>
      <w:bookmarkStart w:id="50" w:name="_Toc195842884"/>
      <w:bookmarkStart w:id="51" w:name="_Toc151193689"/>
      <w:bookmarkStart w:id="52" w:name="_Toc150774619"/>
      <w:bookmarkStart w:id="53" w:name="_Toc520356144"/>
      <w:bookmarkStart w:id="54" w:name="_Toc164229360"/>
      <w:bookmarkStart w:id="55" w:name="_Toc127151519"/>
      <w:bookmarkStart w:id="56" w:name="_Toc151193761"/>
      <w:bookmarkStart w:id="57" w:name="_Toc150509270"/>
      <w:bookmarkStart w:id="58" w:name="_Toc164608633"/>
      <w:bookmarkStart w:id="59" w:name="_Toc127161433"/>
      <w:bookmarkStart w:id="60" w:name="_Toc127151720"/>
      <w:bookmarkStart w:id="61" w:name="_Toc226965709"/>
      <w:bookmarkStart w:id="62" w:name="_Toc226965792"/>
      <w:bookmarkStart w:id="63" w:name="_Toc150774724"/>
      <w:bookmarkStart w:id="64" w:name="_Toc226337215"/>
      <w:bookmarkStart w:id="65" w:name="_Toc142311021"/>
      <w:bookmarkStart w:id="66" w:name="_Toc226309763"/>
      <w:bookmarkStart w:id="67" w:name="_Toc150480757"/>
      <w:bookmarkStart w:id="68" w:name="_Toc164229214"/>
      <w:bookmarkStart w:id="69" w:name="_Toc164608788"/>
      <w:bookmarkStart w:id="70" w:name="_Toc149720812"/>
      <w:bookmarkStart w:id="71" w:name="_Toc164351613"/>
      <w:bookmarkStart w:id="72" w:name="_Toc151190146"/>
      <w:bookmarkStart w:id="73" w:name="_Toc151193617"/>
      <w:bookmarkStart w:id="74" w:name="_Toc151193833"/>
      <w:r>
        <w:rPr>
          <w:rFonts w:hint="eastAsia" w:ascii="宋体" w:hAnsi="宋体" w:eastAsia="宋体" w:cs="宋体"/>
          <w:color w:val="auto"/>
          <w:sz w:val="28"/>
          <w:highlight w:val="none"/>
        </w:rPr>
        <w:t>投标人须知资料表</w:t>
      </w:r>
    </w:p>
    <w:tbl>
      <w:tblPr>
        <w:tblStyle w:val="25"/>
        <w:tblW w:w="101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4"/>
        <w:gridCol w:w="1698"/>
        <w:gridCol w:w="7085"/>
      </w:tblGrid>
      <w:tr w14:paraId="0E745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338A2E8">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条款号</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ECE7A37">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条款名称</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2338B51">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编 列 内 容</w:t>
            </w:r>
          </w:p>
        </w:tc>
      </w:tr>
      <w:tr w14:paraId="5CA25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FF951A1">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ABD5220">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C0457CA">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 购 人：</w:t>
            </w:r>
            <w:r>
              <w:rPr>
                <w:rFonts w:hint="eastAsia" w:ascii="宋体" w:hAnsi="宋体" w:eastAsia="宋体" w:cs="宋体"/>
                <w:color w:val="auto"/>
                <w:sz w:val="24"/>
                <w:szCs w:val="24"/>
                <w:highlight w:val="none"/>
                <w:lang w:val="en-US" w:eastAsia="zh-CN"/>
              </w:rPr>
              <w:t>富民县公共就业和人才服务中心</w:t>
            </w:r>
          </w:p>
          <w:p w14:paraId="7C1B4F22">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val="en-US" w:eastAsia="zh-CN"/>
              </w:rPr>
              <w:t>昆明市富民县黎阳路140号综合楼4楼</w:t>
            </w:r>
          </w:p>
          <w:p w14:paraId="6A3A60D9">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联系方式</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0871-68813761</w:t>
            </w:r>
          </w:p>
        </w:tc>
      </w:tr>
      <w:tr w14:paraId="5C891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AF9F3BC">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2086A0F">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7D99777">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律道合一(云南)项目管理咨询有限公司</w:t>
            </w:r>
          </w:p>
          <w:p w14:paraId="4C93B52A">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地址：云南省昆明市五华区红云街道办事处小康大道德润春城花园德润商务中心18幢3012号</w:t>
            </w:r>
          </w:p>
          <w:p w14:paraId="4D84038D">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15911649062</w:t>
            </w:r>
          </w:p>
        </w:tc>
      </w:tr>
      <w:tr w14:paraId="40964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2ABF44C">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9C7BC48">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E8F0A99">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富民县2026年职业技能提升培训项目</w:t>
            </w:r>
          </w:p>
        </w:tc>
      </w:tr>
      <w:tr w14:paraId="34102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1241646">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0775B90">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资金来源</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E007EE0">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财政资金</w:t>
            </w:r>
          </w:p>
        </w:tc>
      </w:tr>
      <w:tr w14:paraId="186D5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C091EFA">
            <w:pPr>
              <w:keepNext w:val="0"/>
              <w:keepLines w:val="0"/>
              <w:pageBreakBefore w:val="0"/>
              <w:kinsoku w:val="0"/>
              <w:wordWrap/>
              <w:overflowPunct/>
              <w:topLinePunct w:val="0"/>
              <w:autoSpaceDE/>
              <w:autoSpaceDN/>
              <w:bidi w:val="0"/>
              <w:adjustRightInd/>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4F65A07">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最高限价</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9E88619">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 第一章 招标公告</w:t>
            </w:r>
          </w:p>
        </w:tc>
      </w:tr>
      <w:tr w14:paraId="2CBD3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5F59E80">
            <w:pPr>
              <w:keepNext w:val="0"/>
              <w:keepLines w:val="0"/>
              <w:pageBreakBefore w:val="0"/>
              <w:kinsoku w:val="0"/>
              <w:wordWrap/>
              <w:overflowPunct/>
              <w:topLinePunct w:val="0"/>
              <w:autoSpaceDE/>
              <w:autoSpaceDN/>
              <w:bidi w:val="0"/>
              <w:adjustRightInd/>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ACE540A">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资金落实情况</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87ADEAC">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已落实</w:t>
            </w:r>
          </w:p>
        </w:tc>
      </w:tr>
      <w:tr w14:paraId="79620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27C6420">
            <w:pPr>
              <w:keepNext w:val="0"/>
              <w:keepLines w:val="0"/>
              <w:pageBreakBefore w:val="0"/>
              <w:kinsoku w:val="0"/>
              <w:wordWrap/>
              <w:overflowPunct/>
              <w:topLinePunct w:val="0"/>
              <w:autoSpaceDE/>
              <w:autoSpaceDN/>
              <w:bidi w:val="0"/>
              <w:adjustRightInd/>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1D8EEAF">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p>
          <w:p w14:paraId="291A1A36">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（采购范围）</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96C4362">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 第一章 招标公告</w:t>
            </w:r>
          </w:p>
        </w:tc>
      </w:tr>
      <w:tr w14:paraId="41928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0EDFB89">
            <w:pPr>
              <w:keepNext w:val="0"/>
              <w:keepLines w:val="0"/>
              <w:pageBreakBefore w:val="0"/>
              <w:kinsoku w:val="0"/>
              <w:wordWrap/>
              <w:overflowPunct/>
              <w:topLinePunct w:val="0"/>
              <w:autoSpaceDE/>
              <w:autoSpaceDN/>
              <w:bidi w:val="0"/>
              <w:adjustRightInd/>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4D77E2E">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服务时间</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A106228">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 第一章 招标公告</w:t>
            </w:r>
          </w:p>
        </w:tc>
      </w:tr>
      <w:tr w14:paraId="757A4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C9BDCC5">
            <w:pPr>
              <w:keepNext w:val="0"/>
              <w:keepLines w:val="0"/>
              <w:pageBreakBefore w:val="0"/>
              <w:kinsoku w:val="0"/>
              <w:wordWrap/>
              <w:overflowPunct/>
              <w:topLinePunct w:val="0"/>
              <w:autoSpaceDE/>
              <w:autoSpaceDN/>
              <w:bidi w:val="0"/>
              <w:adjustRightInd/>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2712D48">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供货（服务）地点</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AE31A70">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 第一章 招标公告</w:t>
            </w:r>
          </w:p>
        </w:tc>
      </w:tr>
      <w:tr w14:paraId="1E2FC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E2F0331">
            <w:pPr>
              <w:keepNext w:val="0"/>
              <w:keepLines w:val="0"/>
              <w:pageBreakBefore w:val="0"/>
              <w:kinsoku w:val="0"/>
              <w:wordWrap/>
              <w:overflowPunct/>
              <w:topLinePunct w:val="0"/>
              <w:autoSpaceDE/>
              <w:autoSpaceDN/>
              <w:bidi w:val="0"/>
              <w:adjustRightInd/>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1.3.4</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C9A6437">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服务质量要求</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A035DBB">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 第一章 招标公告</w:t>
            </w:r>
          </w:p>
        </w:tc>
      </w:tr>
      <w:tr w14:paraId="7557D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9167B50">
            <w:pPr>
              <w:keepNext w:val="0"/>
              <w:keepLines w:val="0"/>
              <w:pageBreakBefore w:val="0"/>
              <w:kinsoku w:val="0"/>
              <w:wordWrap/>
              <w:overflowPunct/>
              <w:topLinePunct w:val="0"/>
              <w:autoSpaceDE/>
              <w:autoSpaceDN/>
              <w:bidi w:val="0"/>
              <w:adjustRightInd/>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1.3.5</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E858094">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标包划分</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2A2A9C6">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 第一章 招标公告</w:t>
            </w:r>
          </w:p>
        </w:tc>
      </w:tr>
      <w:tr w14:paraId="5430E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6A012B7">
            <w:pPr>
              <w:keepNext w:val="0"/>
              <w:keepLines w:val="0"/>
              <w:pageBreakBefore w:val="0"/>
              <w:kinsoku w:val="0"/>
              <w:wordWrap/>
              <w:overflowPunct/>
              <w:topLinePunct w:val="0"/>
              <w:autoSpaceDE/>
              <w:autoSpaceDN/>
              <w:bidi w:val="0"/>
              <w:adjustRightInd/>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5FAD62B">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投标人资格要求</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2F6E161">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 第一章 招标公告</w:t>
            </w:r>
          </w:p>
        </w:tc>
      </w:tr>
      <w:tr w14:paraId="5BF18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3A9CD04">
            <w:pPr>
              <w:keepNext w:val="0"/>
              <w:keepLines w:val="0"/>
              <w:pageBreakBefore w:val="0"/>
              <w:kinsoku w:val="0"/>
              <w:wordWrap/>
              <w:overflowPunct/>
              <w:topLinePunct w:val="0"/>
              <w:autoSpaceDE/>
              <w:autoSpaceDN/>
              <w:bidi w:val="0"/>
              <w:adjustRightInd/>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42B156D">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是否接受联合体投标</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3E1E3EC">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 第一章 招标公告</w:t>
            </w:r>
          </w:p>
        </w:tc>
      </w:tr>
      <w:tr w14:paraId="3E782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C177062">
            <w:pPr>
              <w:keepNext w:val="0"/>
              <w:keepLines w:val="0"/>
              <w:pageBreakBefore w:val="0"/>
              <w:kinsoku w:val="0"/>
              <w:wordWrap/>
              <w:overflowPunct/>
              <w:topLinePunct w:val="0"/>
              <w:autoSpaceDE/>
              <w:autoSpaceDN/>
              <w:bidi w:val="0"/>
              <w:adjustRightInd/>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A3F4283">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踏勘现场</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7E74613">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不组织。</w:t>
            </w:r>
          </w:p>
        </w:tc>
      </w:tr>
      <w:tr w14:paraId="1B2F4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17E8B58">
            <w:pPr>
              <w:keepNext w:val="0"/>
              <w:keepLines w:val="0"/>
              <w:pageBreakBefore w:val="0"/>
              <w:kinsoku w:val="0"/>
              <w:wordWrap/>
              <w:overflowPunct/>
              <w:topLinePunct w:val="0"/>
              <w:autoSpaceDE/>
              <w:autoSpaceDN/>
              <w:bidi w:val="0"/>
              <w:adjustRightInd/>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EB4769B">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开标前答疑会</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C36BE4C">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不召开。</w:t>
            </w:r>
          </w:p>
        </w:tc>
      </w:tr>
      <w:tr w14:paraId="7D752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FC27E5E">
            <w:pPr>
              <w:keepNext w:val="0"/>
              <w:keepLines w:val="0"/>
              <w:pageBreakBefore w:val="0"/>
              <w:kinsoku w:val="0"/>
              <w:wordWrap/>
              <w:overflowPunct/>
              <w:topLinePunct w:val="0"/>
              <w:autoSpaceDE/>
              <w:autoSpaceDN/>
              <w:bidi w:val="0"/>
              <w:adjustRightInd/>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376DA07">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分包</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1971E60">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不允许。</w:t>
            </w:r>
          </w:p>
        </w:tc>
      </w:tr>
      <w:tr w14:paraId="2EFCD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3962313">
            <w:pPr>
              <w:keepNext w:val="0"/>
              <w:keepLines w:val="0"/>
              <w:pageBreakBefore w:val="0"/>
              <w:kinsoku w:val="0"/>
              <w:wordWrap/>
              <w:overflowPunct/>
              <w:topLinePunct w:val="0"/>
              <w:autoSpaceDE/>
              <w:autoSpaceDN/>
              <w:bidi w:val="0"/>
              <w:adjustRightInd/>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1CC55D1">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704D219">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不允许。</w:t>
            </w:r>
          </w:p>
        </w:tc>
      </w:tr>
      <w:tr w14:paraId="575E4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4167D61">
            <w:pPr>
              <w:keepNext w:val="0"/>
              <w:keepLines w:val="0"/>
              <w:pageBreakBefore w:val="0"/>
              <w:kinsoku w:val="0"/>
              <w:wordWrap/>
              <w:overflowPunct/>
              <w:topLinePunct w:val="0"/>
              <w:autoSpaceDE/>
              <w:autoSpaceDN/>
              <w:bidi w:val="0"/>
              <w:adjustRightInd/>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DD4C4F5">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构成招标文件的其他材料</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694D939">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澄清、修改、补充通知等。</w:t>
            </w:r>
          </w:p>
        </w:tc>
      </w:tr>
      <w:tr w14:paraId="1A8DE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5EF14BA">
            <w:pPr>
              <w:keepNext w:val="0"/>
              <w:keepLines w:val="0"/>
              <w:pageBreakBefore w:val="0"/>
              <w:kinsoku w:val="0"/>
              <w:wordWrap/>
              <w:overflowPunct/>
              <w:topLinePunct w:val="0"/>
              <w:autoSpaceDE/>
              <w:autoSpaceDN/>
              <w:bidi w:val="0"/>
              <w:adjustRightInd/>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FFB0AF9">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招标文件的询问联系方式</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9562479">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接收</w:t>
            </w:r>
            <w:r>
              <w:rPr>
                <w:rFonts w:hint="eastAsia" w:ascii="宋体" w:hAnsi="宋体" w:eastAsia="宋体" w:cs="宋体"/>
                <w:color w:val="auto"/>
                <w:sz w:val="24"/>
                <w:szCs w:val="24"/>
                <w:highlight w:val="none"/>
                <w:lang w:val="en-US" w:eastAsia="zh-CN"/>
              </w:rPr>
              <w:t>询问和</w:t>
            </w:r>
            <w:r>
              <w:rPr>
                <w:rFonts w:hint="eastAsia" w:ascii="宋体" w:hAnsi="宋体" w:eastAsia="宋体" w:cs="宋体"/>
                <w:color w:val="auto"/>
                <w:sz w:val="24"/>
                <w:szCs w:val="24"/>
                <w:highlight w:val="none"/>
              </w:rPr>
              <w:t>质疑的联系方式</w:t>
            </w:r>
          </w:p>
          <w:p w14:paraId="3C317981">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联系部门：</w:t>
            </w:r>
            <w:r>
              <w:rPr>
                <w:rFonts w:hint="eastAsia" w:ascii="宋体" w:hAnsi="宋体" w:eastAsia="宋体" w:cs="宋体"/>
                <w:color w:val="auto"/>
                <w:sz w:val="24"/>
                <w:szCs w:val="24"/>
                <w:highlight w:val="none"/>
                <w:lang w:eastAsia="zh-CN"/>
              </w:rPr>
              <w:t>律道合一(云南)项目管理咨询有限公司</w:t>
            </w:r>
          </w:p>
          <w:p w14:paraId="5CDA5A6A">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val="en-US" w:eastAsia="zh-CN"/>
              </w:rPr>
              <w:t>15911649062</w:t>
            </w:r>
          </w:p>
          <w:p w14:paraId="6A45B435">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通讯地址：云南省昆明市五华区红云街道办事处小康大道德润春城花园德润商务中心18幢3012号</w:t>
            </w:r>
          </w:p>
        </w:tc>
      </w:tr>
      <w:tr w14:paraId="02914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19075F3">
            <w:pPr>
              <w:keepNext w:val="0"/>
              <w:keepLines w:val="0"/>
              <w:pageBreakBefore w:val="0"/>
              <w:kinsoku w:val="0"/>
              <w:wordWrap/>
              <w:overflowPunct/>
              <w:topLinePunct w:val="0"/>
              <w:autoSpaceDE/>
              <w:autoSpaceDN/>
              <w:bidi w:val="0"/>
              <w:adjustRightInd/>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E09CD0F">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招标文件的澄清或修改</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90C93DD">
            <w:pPr>
              <w:keepNext w:val="0"/>
              <w:keepLines w:val="0"/>
              <w:pageBreakBefore w:val="0"/>
              <w:widowControl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澄清或者修改的内容可能影响投标文件编制的，采购人或者采购代理机构在投标截止时间至少15日前，以书面形式通知所有获取招标文件的潜在投标人；不足15日的，采购人或者采购代理机构将顺延提交投标文件的截止时间。</w:t>
            </w:r>
          </w:p>
        </w:tc>
      </w:tr>
      <w:tr w14:paraId="658FB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BB0BAAF">
            <w:pPr>
              <w:keepNext w:val="0"/>
              <w:keepLines w:val="0"/>
              <w:pageBreakBefore w:val="0"/>
              <w:kinsoku w:val="0"/>
              <w:wordWrap/>
              <w:overflowPunct/>
              <w:topLinePunct w:val="0"/>
              <w:autoSpaceDE/>
              <w:autoSpaceDN/>
              <w:bidi w:val="0"/>
              <w:adjustRightInd/>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5F67B4E">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投标人确认收到招标文件澄清、修改时间</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BE544DD">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投标人确认收到招标文件澄清、修改后,应在收到澄清、修改后24小时内以书面形式通知采购人或采购代理机构,确认已收到该澄清、修改。</w:t>
            </w:r>
          </w:p>
        </w:tc>
      </w:tr>
      <w:tr w14:paraId="1D962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4803126">
            <w:pPr>
              <w:keepNext w:val="0"/>
              <w:keepLines w:val="0"/>
              <w:pageBreakBefore w:val="0"/>
              <w:kinsoku w:val="0"/>
              <w:wordWrap/>
              <w:overflowPunct/>
              <w:topLinePunct w:val="0"/>
              <w:autoSpaceDE/>
              <w:autoSpaceDN/>
              <w:bidi w:val="0"/>
              <w:adjustRightInd/>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4EA611C">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9F2A377">
            <w:pPr>
              <w:pStyle w:val="31"/>
              <w:keepNext w:val="0"/>
              <w:keepLines w:val="0"/>
              <w:pageBreakBefore w:val="0"/>
              <w:kinsoku w:val="0"/>
              <w:wordWrap/>
              <w:overflowPunct/>
              <w:topLinePunct w:val="0"/>
              <w:autoSpaceDE/>
              <w:autoSpaceDN/>
              <w:bidi w:val="0"/>
              <w:adjustRightInd/>
              <w:snapToGrid/>
              <w:spacing w:line="360" w:lineRule="auto"/>
              <w:ind w:left="0" w:leftChars="0" w:firstLine="0" w:firstLineChars="0"/>
              <w:textAlignment w:val="baseline"/>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b/>
                <w:bCs/>
                <w:snapToGrid w:val="0"/>
                <w:color w:val="auto"/>
                <w:kern w:val="0"/>
                <w:sz w:val="24"/>
                <w:szCs w:val="24"/>
                <w:highlight w:val="none"/>
                <w:lang w:val="en-US" w:eastAsia="zh-CN"/>
              </w:rPr>
              <w:t>本项目包号1、包号2、包号3最高限价均为：陆拾万元整（¥600000.00元），投标人的报价不得超出此最高限价，否则按不响应招标文件处理。</w:t>
            </w:r>
          </w:p>
          <w:p w14:paraId="03EFB241">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最终结算</w:t>
            </w:r>
            <w:r>
              <w:rPr>
                <w:rFonts w:hint="eastAsia" w:ascii="宋体" w:hAnsi="宋体" w:eastAsia="宋体" w:cs="宋体"/>
                <w:color w:val="auto"/>
                <w:sz w:val="24"/>
                <w:szCs w:val="24"/>
                <w:highlight w:val="none"/>
                <w:lang w:val="en-US" w:eastAsia="zh-CN"/>
              </w:rPr>
              <w:t>按照《云南省人力资源和社会保障厅云南省财政厅关于发布&lt;云南省2026年职业培训补贴标准目录&gt;的通知》（云人社通〔2026〕17号）《云南省人力资源和社会保障厅 云南省财政厅印发&lt;云南省关于实施大规模职业技能提升行动的十五条措施&gt;的通知》（云人社函〔2025〕33 号）执行，以实际培训工种、培训补贴标及合格人数进行结算｡（若服务期间发布新的文件，按新文件执行）。</w:t>
            </w:r>
          </w:p>
        </w:tc>
      </w:tr>
      <w:tr w14:paraId="617D3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509D6F7">
            <w:pPr>
              <w:keepNext w:val="0"/>
              <w:keepLines w:val="0"/>
              <w:pageBreakBefore w:val="0"/>
              <w:kinsoku w:val="0"/>
              <w:wordWrap/>
              <w:overflowPunct/>
              <w:topLinePunct w:val="0"/>
              <w:autoSpaceDE/>
              <w:autoSpaceDN/>
              <w:bidi w:val="0"/>
              <w:adjustRightInd/>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5888F36">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2EAB70C">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自提交投标文件的截止之日起90日历天。</w:t>
            </w:r>
          </w:p>
        </w:tc>
      </w:tr>
      <w:tr w14:paraId="0B0B0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C88A3FF">
            <w:pPr>
              <w:keepNext w:val="0"/>
              <w:keepLines w:val="0"/>
              <w:pageBreakBefore w:val="0"/>
              <w:kinsoku w:val="0"/>
              <w:wordWrap/>
              <w:overflowPunct/>
              <w:topLinePunct w:val="0"/>
              <w:autoSpaceDE/>
              <w:autoSpaceDN/>
              <w:bidi w:val="0"/>
              <w:adjustRightInd/>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1083F02">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466139A">
            <w:pPr>
              <w:keepNext w:val="0"/>
              <w:keepLines w:val="0"/>
              <w:pageBreakBefore w:val="0"/>
              <w:widowControl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按照《云南省发展和改革委员会等部门关于鼓励减免政府投资项目投标保证金的通知》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云发改交易管理〔2023〕397号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云南省财政厅关于促进政府采购公平竞争优化营商环境的实施意见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云财规〔2019〕5号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本项目不收取</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保证金。</w:t>
            </w:r>
          </w:p>
        </w:tc>
      </w:tr>
      <w:tr w14:paraId="62C15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0"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00C8A12">
            <w:pPr>
              <w:keepNext w:val="0"/>
              <w:keepLines w:val="0"/>
              <w:pageBreakBefore w:val="0"/>
              <w:kinsoku w:val="0"/>
              <w:wordWrap/>
              <w:overflowPunct/>
              <w:topLinePunct w:val="0"/>
              <w:autoSpaceDE/>
              <w:autoSpaceDN/>
              <w:bidi w:val="0"/>
              <w:adjustRightInd/>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C19AE9A">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投标文件编制及格式</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04C3086">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（1）电子投标（响应）文件应使用“政采云”平台（ https://www.zcygov.cn/）中下载的政采云电子投标客户端制作，并进行电子签章及加密后上传至政采云平台。</w:t>
            </w:r>
          </w:p>
          <w:p w14:paraId="45EE51B5">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（2）如投标人提交的电子标书不符合（1）要求或开标时无法读取导入或解密，其投标（响应）文件将不予受理。</w:t>
            </w:r>
          </w:p>
        </w:tc>
      </w:tr>
      <w:tr w14:paraId="4F8A7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EF738FF">
            <w:pPr>
              <w:keepNext w:val="0"/>
              <w:keepLines w:val="0"/>
              <w:pageBreakBefore w:val="0"/>
              <w:kinsoku w:val="0"/>
              <w:wordWrap/>
              <w:overflowPunct/>
              <w:topLinePunct w:val="0"/>
              <w:autoSpaceDE/>
              <w:autoSpaceDN/>
              <w:bidi w:val="0"/>
              <w:adjustRightInd/>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3.5.3</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D526986">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投标文件的签署</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DA7202F">
            <w:pPr>
              <w:keepNext w:val="0"/>
              <w:keepLines w:val="0"/>
              <w:pageBreakBefore w:val="0"/>
              <w:tabs>
                <w:tab w:val="left" w:pos="6200"/>
              </w:tabs>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投标文件应以招标文件格式部分要求为准，投标文件应由法定代表人或委托代理人在招标文件规定电子签章处逐一电子签章，要求盖章处应盖单位公章。没有按招标文件要求电子签章的投标文件按无效响应处理。</w:t>
            </w:r>
          </w:p>
        </w:tc>
      </w:tr>
      <w:tr w14:paraId="51CBD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D22F8D3">
            <w:pPr>
              <w:keepNext w:val="0"/>
              <w:keepLines w:val="0"/>
              <w:pageBreakBefore w:val="0"/>
              <w:kinsoku w:val="0"/>
              <w:wordWrap/>
              <w:overflowPunct/>
              <w:topLinePunct w:val="0"/>
              <w:autoSpaceDE/>
              <w:autoSpaceDN/>
              <w:bidi w:val="0"/>
              <w:adjustRightInd/>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3.5.4</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1B07778">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投标文件递交</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9E3EEA4">
            <w:pPr>
              <w:pStyle w:val="8"/>
              <w:keepNext w:val="0"/>
              <w:keepLines w:val="0"/>
              <w:pageBreakBefore w:val="0"/>
              <w:widowControl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截止时间：同投标文件递交截止时间</w:t>
            </w:r>
          </w:p>
          <w:p w14:paraId="7846DE52">
            <w:pPr>
              <w:pStyle w:val="8"/>
              <w:keepNext w:val="0"/>
              <w:keepLines w:val="0"/>
              <w:pageBreakBefore w:val="0"/>
              <w:widowControl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rPr>
              <w:t>地点：供应商应按照本项目采购文件和"政采云"平台的要求编制、加密后在响应文件提交截止时 间前上传至"政采云"平台，响应文件提交截止时间前未完成响应文件上传的，视为撤回响应文件。供应商在"政采云"平台提交电子版响应文件时，请填写参加远程采购活动经办人联系方式。</w:t>
            </w:r>
          </w:p>
        </w:tc>
      </w:tr>
      <w:tr w14:paraId="4F27E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483FA79">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62CB6A5">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提交投标文件的截止时间及地点</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C67A4BF">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 第一章 招标公告 “四、提交投标文件截止时间、开标时间和地点”。</w:t>
            </w:r>
          </w:p>
        </w:tc>
      </w:tr>
      <w:tr w14:paraId="00041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9DBD1EE">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6.1.2</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111713A">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评标委员会的组建</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53188C6">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评标委员会构成：评标委员会由采购人代表和评审专家组成，成员人数应当为5人以上单数，其中评审专家不得少于成员总数的三分之二。</w:t>
            </w:r>
          </w:p>
          <w:p w14:paraId="4081E89C">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评标专家确定方式：由采购人代表和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云南省政府采购云平台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中随机抽取的专家组成。</w:t>
            </w:r>
          </w:p>
          <w:p w14:paraId="52C58ECC">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注：特殊情况专家名单经审批后确定。</w:t>
            </w:r>
          </w:p>
        </w:tc>
      </w:tr>
      <w:tr w14:paraId="65AEA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81B92CD">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4DB816B">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评标办法</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4009706">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综合评分法。</w:t>
            </w:r>
          </w:p>
        </w:tc>
      </w:tr>
      <w:tr w14:paraId="51A60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763D624">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C1B0C0D">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中标人的确定</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4AA3AFE">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采购人自收到评标报告之日起５个工作日内，在评标报告确定的中标候选人名单中按顺序确定中标人。</w:t>
            </w:r>
          </w:p>
        </w:tc>
      </w:tr>
      <w:tr w14:paraId="3A298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A7A770A">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735984A">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中标公告媒介及期限</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E205108">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公告媒介：云南省政府采购网（http://www.yngp.com）。</w:t>
            </w:r>
          </w:p>
          <w:p w14:paraId="18D18D61">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公告期限：1工作日。</w:t>
            </w:r>
          </w:p>
        </w:tc>
      </w:tr>
      <w:tr w14:paraId="042C6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5C08631">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7.4.1</w:t>
            </w:r>
          </w:p>
        </w:tc>
        <w:tc>
          <w:tcPr>
            <w:tcW w:w="169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5E8E975">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w:t>
            </w:r>
          </w:p>
        </w:tc>
        <w:tc>
          <w:tcPr>
            <w:tcW w:w="7085"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350F74E">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tc>
      </w:tr>
      <w:tr w14:paraId="2BFBA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404" w:type="dxa"/>
            <w:tcMar>
              <w:top w:w="0" w:type="dxa"/>
              <w:left w:w="0" w:type="dxa"/>
              <w:bottom w:w="0" w:type="dxa"/>
              <w:right w:w="0" w:type="dxa"/>
            </w:tcMar>
            <w:vAlign w:val="center"/>
          </w:tcPr>
          <w:p w14:paraId="36AAC45E">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8783" w:type="dxa"/>
            <w:gridSpan w:val="2"/>
            <w:tcMar>
              <w:top w:w="0" w:type="dxa"/>
              <w:left w:w="0" w:type="dxa"/>
              <w:bottom w:w="0" w:type="dxa"/>
              <w:right w:w="0" w:type="dxa"/>
            </w:tcMar>
            <w:vAlign w:val="center"/>
          </w:tcPr>
          <w:p w14:paraId="503C14ED">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需要补充的其他内容</w:t>
            </w:r>
          </w:p>
        </w:tc>
      </w:tr>
      <w:tr w14:paraId="0F21A9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404" w:type="dxa"/>
            <w:tcMar>
              <w:top w:w="0" w:type="dxa"/>
              <w:left w:w="0" w:type="dxa"/>
              <w:bottom w:w="0" w:type="dxa"/>
              <w:right w:w="0" w:type="dxa"/>
            </w:tcMar>
            <w:vAlign w:val="center"/>
          </w:tcPr>
          <w:p w14:paraId="1F6464F2">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1</w:t>
            </w:r>
          </w:p>
        </w:tc>
        <w:tc>
          <w:tcPr>
            <w:tcW w:w="1698" w:type="dxa"/>
            <w:tcMar>
              <w:top w:w="0" w:type="dxa"/>
              <w:left w:w="0" w:type="dxa"/>
              <w:bottom w:w="0" w:type="dxa"/>
              <w:right w:w="0" w:type="dxa"/>
            </w:tcMar>
            <w:vAlign w:val="center"/>
          </w:tcPr>
          <w:p w14:paraId="698161DE">
            <w:pPr>
              <w:keepNext w:val="0"/>
              <w:keepLines w:val="0"/>
              <w:pageBreakBefore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采购人补充的其他内容</w:t>
            </w:r>
          </w:p>
        </w:tc>
        <w:tc>
          <w:tcPr>
            <w:tcW w:w="7085" w:type="dxa"/>
            <w:tcMar>
              <w:top w:w="0" w:type="dxa"/>
              <w:left w:w="0" w:type="dxa"/>
              <w:bottom w:w="0" w:type="dxa"/>
              <w:right w:w="0" w:type="dxa"/>
            </w:tcMar>
            <w:vAlign w:val="center"/>
          </w:tcPr>
          <w:p w14:paraId="54F351CA">
            <w:pPr>
              <w:keepNext w:val="0"/>
              <w:keepLines w:val="0"/>
              <w:pageBreakBefore w:val="0"/>
              <w:widowControl w:val="0"/>
              <w:numPr>
                <w:ilvl w:val="0"/>
                <w:numId w:val="2"/>
              </w:numPr>
              <w:kinsoku w:val="0"/>
              <w:wordWrap/>
              <w:overflowPunct/>
              <w:topLinePunct w:val="0"/>
              <w:autoSpaceDE/>
              <w:autoSpaceDN/>
              <w:bidi w:val="0"/>
              <w:adjustRightInd/>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w:t>
            </w:r>
            <w:r>
              <w:rPr>
                <w:rFonts w:hint="eastAsia" w:ascii="宋体" w:hAnsi="宋体" w:eastAsia="宋体" w:cs="宋体"/>
                <w:color w:val="auto"/>
                <w:sz w:val="24"/>
                <w:szCs w:val="24"/>
                <w:highlight w:val="none"/>
                <w:lang w:val="en-US" w:eastAsia="zh-CN"/>
              </w:rPr>
              <w:t>获取</w:t>
            </w:r>
            <w:r>
              <w:rPr>
                <w:rFonts w:hint="eastAsia" w:ascii="宋体" w:hAnsi="宋体" w:eastAsia="宋体" w:cs="宋体"/>
                <w:color w:val="auto"/>
                <w:sz w:val="24"/>
                <w:szCs w:val="24"/>
                <w:highlight w:val="none"/>
              </w:rPr>
              <w:t>招标文件之日起，投标人应保证其提供的联系方式（电话、传真、电子邮件）一直有效，以保证往来函件（投标文件的澄清、修改等）能及时通知投标人，并能及时反馈信息，否则采购人或采购代理机构不承担由此引起的一切后果。</w:t>
            </w:r>
          </w:p>
          <w:p w14:paraId="2EEF67E5">
            <w:pPr>
              <w:keepNext w:val="0"/>
              <w:keepLines w:val="0"/>
              <w:pageBreakBefore w:val="0"/>
              <w:widowControl w:val="0"/>
              <w:numPr>
                <w:ilvl w:val="0"/>
                <w:numId w:val="2"/>
              </w:numPr>
              <w:kinsoku w:val="0"/>
              <w:wordWrap/>
              <w:overflowPunct/>
              <w:topLinePunct w:val="0"/>
              <w:autoSpaceDE/>
              <w:autoSpaceDN/>
              <w:bidi w:val="0"/>
              <w:adjustRightInd/>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有下列情形之一的，取消其培训资格，解除已签订的培训协议，追回已拨付的补贴资金，自取消之日起五年内到我县开展培训机构投标资格；涉及违法犯罪的，移交司法机关依法追究相关责任人的刑事责任：</w:t>
            </w:r>
          </w:p>
          <w:p w14:paraId="317197D4">
            <w:pPr>
              <w:keepNext w:val="0"/>
              <w:keepLines w:val="0"/>
              <w:pageBreakBefore w:val="0"/>
              <w:widowControl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（1）将培训任务委托、转包给其他单位或个人的；</w:t>
            </w:r>
          </w:p>
          <w:p w14:paraId="6DDA7F79">
            <w:pPr>
              <w:keepNext w:val="0"/>
              <w:keepLines w:val="0"/>
              <w:pageBreakBefore w:val="0"/>
              <w:widowControl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（2）弄虚作假（包括但不限于提供虚假培训资料、虚报培训人数、伪造考核记录等），骗取、套取培训补贴资金的；</w:t>
            </w:r>
          </w:p>
          <w:p w14:paraId="72592E87">
            <w:pPr>
              <w:keepNext w:val="0"/>
              <w:keepLines w:val="0"/>
              <w:pageBreakBefore w:val="0"/>
              <w:widowControl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（3）2026年全年培训班级审核均不合格的；</w:t>
            </w:r>
          </w:p>
          <w:p w14:paraId="625AEEB2">
            <w:pPr>
              <w:keepNext w:val="0"/>
              <w:keepLines w:val="0"/>
              <w:pageBreakBefore w:val="0"/>
              <w:widowControl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（4）培训机构被取消培训资质或年度审验不合格的；</w:t>
            </w:r>
          </w:p>
          <w:p w14:paraId="55841408">
            <w:pPr>
              <w:keepNext w:val="0"/>
              <w:keepLines w:val="0"/>
              <w:pageBreakBefore w:val="0"/>
              <w:widowControl w:val="0"/>
              <w:kinsoku w:val="0"/>
              <w:wordWrap/>
              <w:overflowPunct/>
              <w:topLinePunct w:val="0"/>
              <w:autoSpaceDE/>
              <w:autoSpaceDN/>
              <w:bidi w:val="0"/>
              <w:adjustRightInd/>
              <w:snapToGrid/>
              <w:spacing w:line="360" w:lineRule="auto"/>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（5）有其他严重违法违规行为的。</w:t>
            </w:r>
          </w:p>
          <w:p w14:paraId="23946634">
            <w:pPr>
              <w:keepNext w:val="0"/>
              <w:keepLines w:val="0"/>
              <w:pageBreakBefore w:val="0"/>
              <w:widowControl w:val="0"/>
              <w:kinsoku w:val="0"/>
              <w:wordWrap/>
              <w:overflowPunct/>
              <w:topLinePunct w:val="0"/>
              <w:autoSpaceDE/>
              <w:autoSpaceDN/>
              <w:bidi w:val="0"/>
              <w:adjustRightInd/>
              <w:snapToGrid/>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中标机构的退出机制。因以上原因中标机构退出后，按排序依次替补承接剩余任务，不再重新招标；若在投标有效期内不得无故拒绝；剩余的合格供应商少于3家或无合格承接方时重新招标。</w:t>
            </w:r>
          </w:p>
          <w:p w14:paraId="260C2556">
            <w:pPr>
              <w:keepNext w:val="0"/>
              <w:keepLines w:val="0"/>
              <w:pageBreakBefore w:val="0"/>
              <w:widowControl w:val="0"/>
              <w:kinsoku w:val="0"/>
              <w:wordWrap/>
              <w:overflowPunct/>
              <w:topLinePunct w:val="0"/>
              <w:autoSpaceDE/>
              <w:autoSpaceDN/>
              <w:bidi w:val="0"/>
              <w:adjustRightInd/>
              <w:snapToGrid/>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四、招标代理费</w:t>
            </w:r>
            <w:r>
              <w:rPr>
                <w:rFonts w:hint="eastAsia" w:ascii="宋体" w:hAnsi="宋体" w:eastAsia="宋体" w:cs="宋体"/>
                <w:color w:val="auto"/>
                <w:sz w:val="24"/>
                <w:szCs w:val="24"/>
                <w:highlight w:val="none"/>
              </w:rPr>
              <w:t>收费标准：参照云建招协[2026]11号规定的《云南省建设工程及政府采购代理服务收费参考意见》下浮25%向中标人收取；</w:t>
            </w:r>
          </w:p>
          <w:p w14:paraId="44F2BFA5">
            <w:pPr>
              <w:keepNext w:val="0"/>
              <w:keepLines w:val="0"/>
              <w:pageBreakBefore w:val="0"/>
              <w:widowControl w:val="0"/>
              <w:kinsoku w:val="0"/>
              <w:wordWrap/>
              <w:overflowPunct/>
              <w:topLinePunct w:val="0"/>
              <w:autoSpaceDE/>
              <w:autoSpaceDN/>
              <w:bidi w:val="0"/>
              <w:adjustRightInd/>
              <w:snapToGrid/>
              <w:spacing w:line="360" w:lineRule="auto"/>
              <w:ind w:left="0" w:leftChars="0" w:firstLine="480" w:firstLineChars="20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缴纳时间：</w:t>
            </w:r>
            <w:r>
              <w:rPr>
                <w:rFonts w:hint="eastAsia" w:ascii="宋体" w:hAnsi="宋体" w:eastAsia="宋体" w:cs="宋体"/>
                <w:color w:val="auto"/>
                <w:sz w:val="24"/>
                <w:szCs w:val="24"/>
                <w:highlight w:val="none"/>
                <w:lang w:val="en-US" w:eastAsia="zh-CN"/>
              </w:rPr>
              <w:t>由中标人领取中标通知书时一次性支付</w:t>
            </w:r>
            <w:r>
              <w:rPr>
                <w:rFonts w:hint="eastAsia" w:ascii="宋体" w:hAnsi="宋体" w:eastAsia="宋体" w:cs="宋体"/>
                <w:color w:val="auto"/>
                <w:sz w:val="24"/>
                <w:szCs w:val="24"/>
                <w:highlight w:val="none"/>
              </w:rPr>
              <w:t>。</w:t>
            </w:r>
          </w:p>
        </w:tc>
      </w:tr>
    </w:tbl>
    <w:p w14:paraId="0EC7979E">
      <w:pPr>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73A9883">
      <w:pPr>
        <w:pStyle w:val="4"/>
        <w:keepLines w:val="0"/>
        <w:pageBreakBefore w:val="0"/>
        <w:widowControl w:val="0"/>
        <w:kinsoku w:val="0"/>
        <w:overflowPunct/>
        <w:topLinePunct w:val="0"/>
        <w:autoSpaceDE/>
        <w:autoSpaceDN/>
        <w:bidi w:val="0"/>
        <w:adjustRightInd w:val="0"/>
        <w:snapToGrid w:val="0"/>
        <w:spacing w:before="0" w:beforeLines="0" w:after="0" w:afterLines="0" w:line="360" w:lineRule="auto"/>
        <w:ind w:left="0" w:leftChars="0"/>
        <w:jc w:val="center"/>
        <w:textAlignment w:val="baseline"/>
        <w:rPr>
          <w:rFonts w:hint="eastAsia" w:ascii="宋体" w:hAnsi="宋体" w:eastAsia="宋体" w:cs="宋体"/>
          <w:b/>
          <w:bCs/>
          <w:color w:val="auto"/>
          <w:highlight w:val="none"/>
          <w:lang w:val="zh-CN"/>
        </w:rPr>
      </w:pPr>
      <w:bookmarkStart w:id="75" w:name="_Toc260908187"/>
      <w:bookmarkStart w:id="76" w:name="_Toc260907971"/>
      <w:bookmarkStart w:id="77" w:name="_Toc224870948"/>
      <w:r>
        <w:rPr>
          <w:rFonts w:hint="eastAsia" w:ascii="宋体" w:hAnsi="宋体" w:eastAsia="宋体" w:cs="宋体"/>
          <w:b/>
          <w:bCs/>
          <w:color w:val="auto"/>
          <w:highlight w:val="none"/>
          <w:lang w:val="zh-CN"/>
        </w:rPr>
        <w:t>（一）总则</w:t>
      </w:r>
      <w:bookmarkEnd w:id="75"/>
      <w:bookmarkEnd w:id="76"/>
      <w:bookmarkEnd w:id="77"/>
    </w:p>
    <w:p w14:paraId="1DF9D35A">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1.1 项目概况</w:t>
      </w:r>
    </w:p>
    <w:p w14:paraId="142DDD9E">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根据《中华人民共和国政府采购法》、《中华人民共和国政府采购法实施条例》、《政府采购货物和服务招标投标管理办法》（财政部令87号）等有关法律法规的规定，本招标项目已具备采购条件，现对本项目进行公开招标。</w:t>
      </w:r>
    </w:p>
    <w:p w14:paraId="3E9BB989">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1.1.2本项目采购人：见投标人须知前附表。</w:t>
      </w:r>
    </w:p>
    <w:p w14:paraId="77298D04">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1.1.3本项目采购代理机构：见投标人须知前附表。</w:t>
      </w:r>
    </w:p>
    <w:p w14:paraId="1013C0E7">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1.1.4本项目项目名称及项目编号：见投标人须知前附表。</w:t>
      </w:r>
    </w:p>
    <w:p w14:paraId="60DC0780">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1.2 资金来源、最高限价和资金落实情况</w:t>
      </w:r>
    </w:p>
    <w:p w14:paraId="7418B26E">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1.2.1本项目的资金来源：见投标人须知前附表。</w:t>
      </w:r>
    </w:p>
    <w:p w14:paraId="72822C9B">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1.2.2本项目的最高限价：见投标人须知前附表。</w:t>
      </w:r>
    </w:p>
    <w:p w14:paraId="06F61FE3">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1.2.3本项目的资金落实情况：见投标人须知前附表。</w:t>
      </w:r>
    </w:p>
    <w:p w14:paraId="2B31F865">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1.3 采购需求、服务</w:t>
      </w:r>
      <w:r>
        <w:rPr>
          <w:rFonts w:hint="eastAsia" w:ascii="宋体" w:hAnsi="宋体" w:eastAsia="宋体" w:cs="宋体"/>
          <w:b/>
          <w:bCs/>
          <w:color w:val="auto"/>
          <w:sz w:val="24"/>
          <w:szCs w:val="24"/>
          <w:highlight w:val="none"/>
          <w:lang w:val="en-US" w:eastAsia="zh-CN"/>
        </w:rPr>
        <w:t>时间</w:t>
      </w:r>
      <w:r>
        <w:rPr>
          <w:rFonts w:hint="eastAsia" w:ascii="宋体" w:hAnsi="宋体" w:eastAsia="宋体" w:cs="宋体"/>
          <w:b/>
          <w:bCs/>
          <w:color w:val="auto"/>
          <w:sz w:val="24"/>
          <w:szCs w:val="24"/>
          <w:highlight w:val="none"/>
          <w:lang w:val="zh-CN"/>
        </w:rPr>
        <w:t>、</w:t>
      </w:r>
      <w:r>
        <w:rPr>
          <w:rFonts w:hint="eastAsia" w:ascii="宋体" w:hAnsi="宋体" w:eastAsia="宋体" w:cs="宋体"/>
          <w:b/>
          <w:bCs/>
          <w:color w:val="auto"/>
          <w:sz w:val="24"/>
          <w:szCs w:val="24"/>
          <w:highlight w:val="none"/>
          <w:lang w:val="zh-CN" w:eastAsia="zh-CN"/>
        </w:rPr>
        <w:t>供货（服务）地点</w:t>
      </w:r>
      <w:r>
        <w:rPr>
          <w:rFonts w:hint="eastAsia" w:ascii="宋体" w:hAnsi="宋体" w:eastAsia="宋体" w:cs="宋体"/>
          <w:b/>
          <w:bCs/>
          <w:color w:val="auto"/>
          <w:sz w:val="24"/>
          <w:szCs w:val="24"/>
          <w:highlight w:val="none"/>
          <w:lang w:val="zh-CN"/>
        </w:rPr>
        <w:t>、</w:t>
      </w:r>
      <w:r>
        <w:rPr>
          <w:rFonts w:hint="eastAsia" w:ascii="宋体" w:hAnsi="宋体" w:eastAsia="宋体" w:cs="宋体"/>
          <w:b/>
          <w:bCs/>
          <w:color w:val="auto"/>
          <w:sz w:val="24"/>
          <w:szCs w:val="24"/>
          <w:highlight w:val="none"/>
          <w:lang w:val="en-US" w:eastAsia="zh-CN"/>
        </w:rPr>
        <w:t>服务</w:t>
      </w:r>
      <w:r>
        <w:rPr>
          <w:rFonts w:hint="eastAsia" w:ascii="宋体" w:hAnsi="宋体" w:eastAsia="宋体" w:cs="宋体"/>
          <w:b/>
          <w:bCs/>
          <w:color w:val="auto"/>
          <w:sz w:val="24"/>
          <w:szCs w:val="24"/>
          <w:highlight w:val="none"/>
          <w:lang w:val="zh-CN"/>
        </w:rPr>
        <w:t>质量标准及标包划分</w:t>
      </w:r>
    </w:p>
    <w:p w14:paraId="3713059F">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1.3.1本项目的采购需求：见投标人须知前附表。</w:t>
      </w:r>
    </w:p>
    <w:p w14:paraId="6FCB70D0">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1.3.2本项目的服务</w:t>
      </w:r>
      <w:r>
        <w:rPr>
          <w:rFonts w:hint="eastAsia" w:ascii="宋体" w:hAnsi="宋体" w:eastAsia="宋体" w:cs="宋体"/>
          <w:color w:val="auto"/>
          <w:sz w:val="24"/>
          <w:szCs w:val="24"/>
          <w:highlight w:val="none"/>
          <w:lang w:val="en-US" w:eastAsia="zh-CN"/>
        </w:rPr>
        <w:t>时间</w:t>
      </w:r>
      <w:r>
        <w:rPr>
          <w:rFonts w:hint="eastAsia" w:ascii="宋体" w:hAnsi="宋体" w:eastAsia="宋体" w:cs="宋体"/>
          <w:color w:val="auto"/>
          <w:sz w:val="24"/>
          <w:szCs w:val="24"/>
          <w:highlight w:val="none"/>
        </w:rPr>
        <w:t>：见投标人须知前附表。</w:t>
      </w:r>
    </w:p>
    <w:p w14:paraId="6AB3C369">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1.3.3本项目的</w:t>
      </w:r>
      <w:r>
        <w:rPr>
          <w:rFonts w:hint="eastAsia" w:ascii="宋体" w:hAnsi="宋体" w:eastAsia="宋体" w:cs="宋体"/>
          <w:color w:val="auto"/>
          <w:sz w:val="24"/>
          <w:szCs w:val="24"/>
          <w:highlight w:val="none"/>
          <w:lang w:val="en-US" w:eastAsia="zh-CN"/>
        </w:rPr>
        <w:t>供货（服务）地点</w:t>
      </w:r>
      <w:r>
        <w:rPr>
          <w:rFonts w:hint="eastAsia" w:ascii="宋体" w:hAnsi="宋体" w:eastAsia="宋体" w:cs="宋体"/>
          <w:color w:val="auto"/>
          <w:sz w:val="24"/>
          <w:szCs w:val="24"/>
          <w:highlight w:val="none"/>
        </w:rPr>
        <w:t>：见投标人须知前附表。</w:t>
      </w:r>
    </w:p>
    <w:p w14:paraId="0D5C8A0F">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1.3.4本项目的</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质量标准：见投标人须知前附表。</w:t>
      </w:r>
    </w:p>
    <w:p w14:paraId="32291F0B">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1.3.5本项目的标包划分：见投标人须知前附表。</w:t>
      </w:r>
    </w:p>
    <w:p w14:paraId="6E98A84F">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1.4 投标人资格要求</w:t>
      </w:r>
    </w:p>
    <w:p w14:paraId="717DCB31">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1.4.1投标人资格要求：见投标人须知前附表。</w:t>
      </w:r>
    </w:p>
    <w:p w14:paraId="01E9179B">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1.4.2本项目是否接受联合体投标：见投标人须知前附表。</w:t>
      </w:r>
    </w:p>
    <w:p w14:paraId="663B5213">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1.4.3投标人存在下列情况之一的，投标无效：</w:t>
      </w:r>
    </w:p>
    <w:p w14:paraId="0CC888A9">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（1）投标文件未按招标文件要求签署、盖章的；</w:t>
      </w:r>
    </w:p>
    <w:p w14:paraId="042F7924">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（2）不具备招标文件中规定的资格要求的；</w:t>
      </w:r>
    </w:p>
    <w:p w14:paraId="2C4700F8">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（3）报价超过招标文件中规定的最高限价的；</w:t>
      </w:r>
    </w:p>
    <w:p w14:paraId="3AFCE7FC">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（4）投标文件含有采购人不能接受的附加条件的；</w:t>
      </w:r>
    </w:p>
    <w:p w14:paraId="135C89BD">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（5）法律、法规和招标文件规定的其他无效情形。</w:t>
      </w:r>
    </w:p>
    <w:p w14:paraId="601CCD4F">
      <w:pPr>
        <w:keepNext/>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1.4.4有下列情形之一的，视为投标人串通投标，其投标无效：</w:t>
      </w:r>
    </w:p>
    <w:p w14:paraId="4BFD2BA3">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（1）不同投标人的投标文件由同一单位或者个人编制；</w:t>
      </w:r>
    </w:p>
    <w:p w14:paraId="4A7FE12F">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（2）不同投标人委托同一单位或者个人办理投标事宜；</w:t>
      </w:r>
    </w:p>
    <w:p w14:paraId="26EEA12A">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（3）不同投标人的投标文件载明的项目管理成员或者联系人员为同一人；</w:t>
      </w:r>
    </w:p>
    <w:p w14:paraId="2BA9A0F9">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（4）不同投标人的投标文件异常一致或者投标报价呈规律性差异；</w:t>
      </w:r>
    </w:p>
    <w:p w14:paraId="25914CB2">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（5）不同投标人的投标文件相互混装；</w:t>
      </w:r>
    </w:p>
    <w:p w14:paraId="52381324">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bookmarkStart w:id="78" w:name="_Hlk14882148"/>
      <w:r>
        <w:rPr>
          <w:rFonts w:hint="eastAsia" w:ascii="宋体" w:hAnsi="宋体" w:eastAsia="宋体" w:cs="宋体"/>
          <w:b/>
          <w:bCs/>
          <w:color w:val="auto"/>
          <w:sz w:val="24"/>
          <w:szCs w:val="24"/>
          <w:highlight w:val="none"/>
          <w:lang w:val="zh-CN"/>
        </w:rPr>
        <w:t>1.5 费用承担</w:t>
      </w:r>
    </w:p>
    <w:p w14:paraId="4C433B0C">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bookmarkStart w:id="79" w:name="_Hlk14887853"/>
      <w:bookmarkStart w:id="80" w:name="_Hlk14881168"/>
      <w:r>
        <w:rPr>
          <w:rFonts w:hint="eastAsia" w:ascii="宋体" w:hAnsi="宋体" w:eastAsia="宋体" w:cs="宋体"/>
          <w:color w:val="auto"/>
          <w:sz w:val="24"/>
          <w:szCs w:val="24"/>
          <w:highlight w:val="none"/>
        </w:rPr>
        <w:t>1.5.1投标人准备和参加投标活动发生的费用自理。</w:t>
      </w:r>
    </w:p>
    <w:p w14:paraId="4A3D1593">
      <w:pPr>
        <w:pageBreakBefore w:val="0"/>
        <w:kinsoku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1.5.2每包件参照云建招协[2026]11号规定的《云南省建设工程及政府采购代理服务收费参考意见》</w:t>
      </w:r>
      <w:r>
        <w:rPr>
          <w:rFonts w:hint="eastAsia" w:ascii="宋体" w:hAnsi="宋体" w:eastAsia="宋体" w:cs="宋体"/>
          <w:b/>
          <w:bCs/>
          <w:color w:val="auto"/>
          <w:sz w:val="24"/>
          <w:szCs w:val="24"/>
          <w:highlight w:val="none"/>
        </w:rPr>
        <w:t>下浮25%</w:t>
      </w:r>
      <w:r>
        <w:rPr>
          <w:rFonts w:hint="eastAsia" w:ascii="宋体" w:hAnsi="宋体" w:eastAsia="宋体" w:cs="宋体"/>
          <w:b/>
          <w:bCs/>
          <w:color w:val="auto"/>
          <w:sz w:val="24"/>
          <w:szCs w:val="24"/>
          <w:highlight w:val="none"/>
          <w:lang w:val="en-US" w:eastAsia="zh-CN"/>
        </w:rPr>
        <w:t>收取</w:t>
      </w:r>
      <w:r>
        <w:rPr>
          <w:rFonts w:hint="eastAsia" w:ascii="宋体" w:hAnsi="宋体" w:eastAsia="宋体" w:cs="宋体"/>
          <w:color w:val="auto"/>
          <w:sz w:val="24"/>
          <w:szCs w:val="24"/>
          <w:highlight w:val="none"/>
        </w:rPr>
        <w:t>。</w:t>
      </w:r>
    </w:p>
    <w:p w14:paraId="2471768E">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1.5.3中标人应支付本项目招标过程中的其他相关费用。</w:t>
      </w:r>
    </w:p>
    <w:bookmarkEnd w:id="78"/>
    <w:bookmarkEnd w:id="79"/>
    <w:bookmarkEnd w:id="80"/>
    <w:p w14:paraId="2FDDEA5F">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1.6 保密</w:t>
      </w:r>
    </w:p>
    <w:p w14:paraId="6F750E9C">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参与招标投标活动的各方应对招标文件和投标文件中的商业和技术等秘密保密，违者应对由此造成的后果承担法律责任。</w:t>
      </w:r>
    </w:p>
    <w:p w14:paraId="78BE572D">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1.7 语言文字</w:t>
      </w:r>
    </w:p>
    <w:p w14:paraId="392357C1">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除专用术语外，与招标投标有关的语言均使用中文。必要时专用术语应附中文注释。</w:t>
      </w:r>
    </w:p>
    <w:p w14:paraId="1BEA4B13">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1.8 计量单位</w:t>
      </w:r>
    </w:p>
    <w:p w14:paraId="064EE814">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所有计量均采用中华人民共和国法定计量单位。</w:t>
      </w:r>
    </w:p>
    <w:p w14:paraId="1C2A0861">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1.9 踏勘现场</w:t>
      </w:r>
    </w:p>
    <w:p w14:paraId="13904529">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1.9.1采购人不组织踏勘现场，投标人需要了解现场情况的，由投标人根据自身情况自行踏勘项目现场。自行组织对项目现场及周围环境进行踏勘，以便投标人获取有关编制投标文件和签署合同所涉及现场的资料。</w:t>
      </w:r>
    </w:p>
    <w:p w14:paraId="20B9FA28">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1.9.2投标人踏勘现场发生的费用自理。</w:t>
      </w:r>
    </w:p>
    <w:p w14:paraId="19BE9638">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1.9.3投标人自行负责在踏勘现场中所发生的人员伤亡和财产损失。</w:t>
      </w:r>
    </w:p>
    <w:p w14:paraId="3F9592F9">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1.10 开标前答疑会</w:t>
      </w:r>
    </w:p>
    <w:p w14:paraId="47E750FF">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见投标人须知前附表。</w:t>
      </w:r>
    </w:p>
    <w:p w14:paraId="101B2520">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bookmarkStart w:id="81" w:name="_Toc260908188"/>
      <w:bookmarkStart w:id="82" w:name="_Toc260907972"/>
      <w:r>
        <w:rPr>
          <w:rFonts w:hint="eastAsia" w:ascii="宋体" w:hAnsi="宋体" w:eastAsia="宋体" w:cs="宋体"/>
          <w:b/>
          <w:bCs/>
          <w:color w:val="auto"/>
          <w:sz w:val="24"/>
          <w:szCs w:val="24"/>
          <w:highlight w:val="none"/>
          <w:lang w:val="zh-CN"/>
        </w:rPr>
        <w:t>1.11 分包</w:t>
      </w:r>
    </w:p>
    <w:p w14:paraId="7C6BF1F8">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见投标人须知前附表。</w:t>
      </w:r>
    </w:p>
    <w:p w14:paraId="47AF1CF9">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1.12 偏离</w:t>
      </w:r>
    </w:p>
    <w:p w14:paraId="1E5443CB">
      <w:pPr>
        <w:pStyle w:val="31"/>
        <w:rPr>
          <w:rFonts w:hint="eastAsia" w:ascii="宋体" w:hAnsi="宋体" w:eastAsia="宋体" w:cs="宋体"/>
          <w:color w:val="auto"/>
          <w:highlight w:val="none"/>
        </w:rPr>
      </w:pPr>
      <w:r>
        <w:rPr>
          <w:rFonts w:hint="eastAsia" w:ascii="宋体" w:hAnsi="宋体" w:eastAsia="宋体" w:cs="宋体"/>
          <w:color w:val="auto"/>
          <w:sz w:val="24"/>
          <w:szCs w:val="24"/>
          <w:highlight w:val="none"/>
        </w:rPr>
        <w:t>见投标人须知前附表。</w:t>
      </w:r>
    </w:p>
    <w:p w14:paraId="542EC3E2">
      <w:pPr>
        <w:pStyle w:val="4"/>
        <w:keepLines w:val="0"/>
        <w:pageBreakBefore w:val="0"/>
        <w:widowControl w:val="0"/>
        <w:kinsoku w:val="0"/>
        <w:overflowPunct/>
        <w:topLinePunct w:val="0"/>
        <w:autoSpaceDE/>
        <w:autoSpaceDN/>
        <w:bidi w:val="0"/>
        <w:adjustRightInd w:val="0"/>
        <w:snapToGrid w:val="0"/>
        <w:spacing w:before="0" w:beforeLines="0" w:after="0" w:afterLines="0" w:line="360" w:lineRule="auto"/>
        <w:ind w:left="0" w:leftChars="0"/>
        <w:jc w:val="center"/>
        <w:textAlignment w:val="baseline"/>
        <w:rPr>
          <w:rFonts w:hint="eastAsia" w:ascii="宋体" w:hAnsi="宋体" w:eastAsia="宋体" w:cs="宋体"/>
          <w:b/>
          <w:bCs/>
          <w:color w:val="auto"/>
          <w:sz w:val="28"/>
          <w:szCs w:val="28"/>
          <w:highlight w:val="none"/>
          <w:lang w:val="zh-CN"/>
        </w:rPr>
      </w:pPr>
      <w:bookmarkStart w:id="83" w:name="_Toc224870949"/>
      <w:r>
        <w:rPr>
          <w:rFonts w:hint="eastAsia" w:ascii="宋体" w:hAnsi="宋体" w:eastAsia="宋体" w:cs="宋体"/>
          <w:b/>
          <w:bCs/>
          <w:color w:val="auto"/>
          <w:sz w:val="28"/>
          <w:szCs w:val="28"/>
          <w:highlight w:val="none"/>
          <w:lang w:val="zh-CN"/>
        </w:rPr>
        <w:t>（二）招标文件</w:t>
      </w:r>
      <w:bookmarkEnd w:id="81"/>
      <w:bookmarkEnd w:id="82"/>
      <w:bookmarkEnd w:id="83"/>
    </w:p>
    <w:p w14:paraId="211D9AA2">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2.1 招标文件的组成</w:t>
      </w:r>
    </w:p>
    <w:p w14:paraId="203AE18A">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2.1.1本招标文件包括：</w:t>
      </w:r>
    </w:p>
    <w:p w14:paraId="60195E7F">
      <w:pPr>
        <w:pageBreakBefore w:val="0"/>
        <w:numPr>
          <w:ilvl w:val="0"/>
          <w:numId w:val="3"/>
        </w:numPr>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招标公告</w:t>
      </w:r>
    </w:p>
    <w:p w14:paraId="3D3CA1C1">
      <w:pPr>
        <w:pageBreakBefore w:val="0"/>
        <w:numPr>
          <w:ilvl w:val="0"/>
          <w:numId w:val="3"/>
        </w:numPr>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投标人须知</w:t>
      </w:r>
    </w:p>
    <w:p w14:paraId="0EBDA973">
      <w:pPr>
        <w:pageBreakBefore w:val="0"/>
        <w:numPr>
          <w:ilvl w:val="0"/>
          <w:numId w:val="3"/>
        </w:numPr>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资格审查</w:t>
      </w:r>
    </w:p>
    <w:p w14:paraId="4ECC8EC2">
      <w:pPr>
        <w:pageBreakBefore w:val="0"/>
        <w:numPr>
          <w:ilvl w:val="0"/>
          <w:numId w:val="3"/>
        </w:numPr>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评标方法</w:t>
      </w:r>
    </w:p>
    <w:p w14:paraId="54D5839E">
      <w:pPr>
        <w:pageBreakBefore w:val="0"/>
        <w:numPr>
          <w:ilvl w:val="0"/>
          <w:numId w:val="3"/>
        </w:numPr>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p>
    <w:p w14:paraId="1D39AE04">
      <w:pPr>
        <w:pageBreakBefore w:val="0"/>
        <w:numPr>
          <w:ilvl w:val="0"/>
          <w:numId w:val="3"/>
        </w:numPr>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拟签订的</w:t>
      </w:r>
      <w:r>
        <w:rPr>
          <w:rFonts w:hint="eastAsia" w:ascii="宋体" w:hAnsi="宋体" w:eastAsia="宋体" w:cs="宋体"/>
          <w:color w:val="auto"/>
          <w:sz w:val="24"/>
          <w:szCs w:val="24"/>
          <w:highlight w:val="none"/>
        </w:rPr>
        <w:t>合同</w:t>
      </w:r>
      <w:r>
        <w:rPr>
          <w:rFonts w:hint="eastAsia" w:ascii="宋体" w:hAnsi="宋体" w:eastAsia="宋体" w:cs="宋体"/>
          <w:color w:val="auto"/>
          <w:sz w:val="24"/>
          <w:szCs w:val="24"/>
          <w:highlight w:val="none"/>
          <w:lang w:val="en-US" w:eastAsia="zh-CN"/>
        </w:rPr>
        <w:t>文本</w:t>
      </w:r>
    </w:p>
    <w:p w14:paraId="6630D326">
      <w:pPr>
        <w:pageBreakBefore w:val="0"/>
        <w:numPr>
          <w:ilvl w:val="0"/>
          <w:numId w:val="3"/>
        </w:numPr>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投标文件格式</w:t>
      </w:r>
    </w:p>
    <w:p w14:paraId="07C1F10D">
      <w:pPr>
        <w:pageBreakBefore w:val="0"/>
        <w:numPr>
          <w:ilvl w:val="0"/>
          <w:numId w:val="3"/>
        </w:numPr>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投标人须知前附表规定的其他材料；</w:t>
      </w:r>
    </w:p>
    <w:p w14:paraId="36493C0A">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2.1.2对招标文件所作的澄清、修改、补充通知等是构成招标文件的组成部分。</w:t>
      </w:r>
    </w:p>
    <w:p w14:paraId="32912DF1">
      <w:pPr>
        <w:pageBreakBefore w:val="0"/>
        <w:widowControl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投标人同时应认真审阅招标文件中所有的事项、格式、条款和规范要求等，如果投标人的投标文件没有按照招标文件要求递交全部资料或者投标文件没有对招标文件做出实质性响应，其风险由投标人自行承担。实质上不响应招标文件要求的投标文件视为无效标被拒绝。</w:t>
      </w:r>
    </w:p>
    <w:p w14:paraId="069C3605">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2.2 招标文件的询问</w:t>
      </w:r>
    </w:p>
    <w:p w14:paraId="31D10B86">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投标人应认真阅读招标文件，如有疑问的，投标人可以向采购人或采购代理机构提出询问，采购人或者采购代理机构在接到询问后的3个工作日内对投标人依法提出的询问作出答复，但答复的内容不涉及商业秘密。</w:t>
      </w:r>
    </w:p>
    <w:p w14:paraId="3BB3E5E0">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2.2.2招标文件的询问联系方式：见投标人须知前附表。</w:t>
      </w:r>
    </w:p>
    <w:p w14:paraId="7F86A62D">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2.3 招标文件的澄清、修改</w:t>
      </w:r>
    </w:p>
    <w:p w14:paraId="6BA20A73">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bookmarkStart w:id="84" w:name="_Toc229583203"/>
      <w:bookmarkStart w:id="85" w:name="_Toc260907973"/>
      <w:bookmarkStart w:id="86" w:name="_Toc260908189"/>
      <w:r>
        <w:rPr>
          <w:rFonts w:hint="eastAsia" w:ascii="宋体" w:hAnsi="宋体" w:eastAsia="宋体" w:cs="宋体"/>
          <w:color w:val="auto"/>
          <w:sz w:val="24"/>
          <w:szCs w:val="24"/>
          <w:highlight w:val="none"/>
        </w:rPr>
        <w:t>2.3.1采购人、采购代理机构可以对已发出的招标文件进行必要的澄清或者修改，并在原公告发布媒体上发布澄清公告，澄清或者修改的内容作为招标文件的组成部分。</w:t>
      </w:r>
    </w:p>
    <w:p w14:paraId="4277D297">
      <w:pPr>
        <w:pageBreakBefore w:val="0"/>
        <w:widowControl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澄清或者修改的内容可能影响投标文件编制的，采购人或者采购代理机构将当在投标截止时间至少15日前，以书面形式通知所有获取招标文件的潜在投标人；不足15日的，采购人或者采购代理机构将顺延提交投标文件的截止时间。</w:t>
      </w:r>
    </w:p>
    <w:p w14:paraId="09D6CB97">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2.3.3潜在投标人确认收到招标文件澄清、修改后，应在收到澄清、修改后24小时内以书面形式通知采购人或采购代理机构，确认已收到该澄清、修改。</w:t>
      </w:r>
    </w:p>
    <w:p w14:paraId="104D2671">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2.3.4招标文件、招标文件澄清、招标文件修改文件内容均以书面发出的资料为准，当招标文件、招标文件澄清、招标文件修改文件内容相互矛盾时，以最后发出的为准。</w:t>
      </w:r>
    </w:p>
    <w:p w14:paraId="7AC87492">
      <w:pPr>
        <w:pStyle w:val="4"/>
        <w:keepNext w:val="0"/>
        <w:keepLines w:val="0"/>
        <w:pageBreakBefore w:val="0"/>
        <w:widowControl w:val="0"/>
        <w:kinsoku w:val="0"/>
        <w:overflowPunct/>
        <w:topLinePunct w:val="0"/>
        <w:autoSpaceDE/>
        <w:autoSpaceDN/>
        <w:bidi w:val="0"/>
        <w:adjustRightInd w:val="0"/>
        <w:snapToGrid w:val="0"/>
        <w:spacing w:before="0" w:beforeLines="0" w:after="0" w:afterLines="0" w:line="360" w:lineRule="auto"/>
        <w:ind w:left="0" w:leftChars="0"/>
        <w:jc w:val="center"/>
        <w:textAlignment w:val="baseline"/>
        <w:rPr>
          <w:rFonts w:hint="eastAsia" w:ascii="宋体" w:hAnsi="宋体" w:eastAsia="宋体" w:cs="宋体"/>
          <w:b/>
          <w:bCs/>
          <w:color w:val="auto"/>
          <w:sz w:val="28"/>
          <w:szCs w:val="28"/>
          <w:highlight w:val="none"/>
          <w:lang w:val="zh-CN"/>
        </w:rPr>
      </w:pPr>
      <w:bookmarkStart w:id="87" w:name="_Toc224870950"/>
      <w:r>
        <w:rPr>
          <w:rFonts w:hint="eastAsia" w:ascii="宋体" w:hAnsi="宋体" w:eastAsia="宋体" w:cs="宋体"/>
          <w:b/>
          <w:bCs/>
          <w:color w:val="auto"/>
          <w:sz w:val="28"/>
          <w:szCs w:val="28"/>
          <w:highlight w:val="none"/>
          <w:lang w:val="zh-CN"/>
        </w:rPr>
        <w:t>（三）投标文件</w:t>
      </w:r>
      <w:bookmarkEnd w:id="84"/>
      <w:bookmarkEnd w:id="85"/>
      <w:bookmarkEnd w:id="86"/>
      <w:bookmarkEnd w:id="87"/>
    </w:p>
    <w:p w14:paraId="772CF5BA">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3.1 投标文件的组成</w:t>
      </w:r>
    </w:p>
    <w:p w14:paraId="12DBE7F8">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投标文件由</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一、资格证明文件格式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和“二、商务技术文件格式”</w:t>
      </w:r>
      <w:r>
        <w:rPr>
          <w:rFonts w:hint="eastAsia" w:ascii="宋体" w:hAnsi="宋体" w:eastAsia="宋体" w:cs="宋体"/>
          <w:color w:val="auto"/>
          <w:sz w:val="24"/>
          <w:szCs w:val="24"/>
          <w:highlight w:val="none"/>
        </w:rPr>
        <w:t>组成。具体内容及格式详见招标文件第七章“投标文件格式”。</w:t>
      </w:r>
    </w:p>
    <w:p w14:paraId="195ED144">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3.2 投标报价</w:t>
      </w:r>
    </w:p>
    <w:p w14:paraId="658ECBB5">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3.2.1投标报价方式：详见“投标人须知前附表”。</w:t>
      </w:r>
    </w:p>
    <w:p w14:paraId="3229CCD3">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投标人应依据招标文件的要求及有关资料，按国家或行业现行技术经济标准、定额及规范，自行测算出满足招标服务要求的投标报价。投标报价应包括完成本项目招标文件及合同协议书中约定的所有工作内容可能发生的全部费用。投标人需充分考虑各种不确定因素进行报价，包括物价水平、人员工资调整、市场风险、政策性风险等因素。</w:t>
      </w:r>
    </w:p>
    <w:p w14:paraId="08A38DFA">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3.3 投标有效期</w:t>
      </w:r>
    </w:p>
    <w:p w14:paraId="058A62B3">
      <w:pPr>
        <w:pageBreakBefore w:val="0"/>
        <w:kinsoku w:val="0"/>
        <w:wordWrap w:val="0"/>
        <w:overflowPunct/>
        <w:topLinePunct w:val="0"/>
        <w:autoSpaceDE/>
        <w:autoSpaceDN/>
        <w:bidi w:val="0"/>
        <w:adjustRightInd w:val="0"/>
        <w:snapToGrid w:val="0"/>
        <w:spacing w:line="360" w:lineRule="auto"/>
        <w:ind w:left="0" w:leftChars="0" w:firstLine="460" w:firstLineChars="192"/>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3.3.1在投标人须知前附表规定的投标有效期内，投标人不得要求撤销或修改其投标文件。投标文件中承诺的投标有效期应当不少于招标文件载明的投标有效期。</w:t>
      </w:r>
    </w:p>
    <w:p w14:paraId="28F92D51">
      <w:pPr>
        <w:pageBreakBefore w:val="0"/>
        <w:kinsoku w:val="0"/>
        <w:wordWrap w:val="0"/>
        <w:overflowPunct/>
        <w:topLinePunct w:val="0"/>
        <w:autoSpaceDE/>
        <w:autoSpaceDN/>
        <w:bidi w:val="0"/>
        <w:adjustRightInd w:val="0"/>
        <w:snapToGrid w:val="0"/>
        <w:spacing w:line="360" w:lineRule="auto"/>
        <w:ind w:left="0" w:leftChars="0" w:firstLine="460" w:firstLineChars="192"/>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3.3.2在投标有效期内,投标人撤销或修改其投标文件的,应承担招标文件和法律规定的责任.</w:t>
      </w:r>
    </w:p>
    <w:p w14:paraId="7A4C506B">
      <w:pPr>
        <w:pageBreakBefore w:val="0"/>
        <w:kinsoku w:val="0"/>
        <w:wordWrap w:val="0"/>
        <w:overflowPunct/>
        <w:topLinePunct w:val="0"/>
        <w:autoSpaceDE/>
        <w:autoSpaceDN/>
        <w:bidi w:val="0"/>
        <w:adjustRightInd w:val="0"/>
        <w:snapToGrid w:val="0"/>
        <w:spacing w:line="360" w:lineRule="auto"/>
        <w:ind w:left="0" w:leftChars="0" w:firstLine="460" w:firstLineChars="192"/>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3.3.3出现特殊情况需要延长投标有效期的，采购人以书面形式通知所有投标人延长投标有效期。投标人应予以书面答复，但不得要求或被允许修改其投标文件；投标人拒绝延长的，其投标失效。</w:t>
      </w:r>
    </w:p>
    <w:p w14:paraId="5CB60A76">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3.4 投标保证金</w:t>
      </w:r>
    </w:p>
    <w:p w14:paraId="4EBC38CB">
      <w:pPr>
        <w:pageBreakBefore w:val="0"/>
        <w:kinsoku w:val="0"/>
        <w:wordWrap w:val="0"/>
        <w:overflowPunct/>
        <w:topLinePunct w:val="0"/>
        <w:autoSpaceDE/>
        <w:autoSpaceDN/>
        <w:bidi w:val="0"/>
        <w:adjustRightInd w:val="0"/>
        <w:snapToGrid w:val="0"/>
        <w:spacing w:line="360" w:lineRule="auto"/>
        <w:ind w:left="0" w:leftChars="0" w:firstLine="460" w:firstLineChars="192"/>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3.4.1本项目不要求递交投标保证金。</w:t>
      </w:r>
    </w:p>
    <w:p w14:paraId="25DB9B1D">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3.5 投标文件的编制</w:t>
      </w:r>
    </w:p>
    <w:p w14:paraId="74DA796E">
      <w:pPr>
        <w:pageBreakBefore w:val="0"/>
        <w:widowControl w:val="0"/>
        <w:kinsoku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bookmarkStart w:id="88" w:name="_Toc229583204"/>
      <w:bookmarkStart w:id="89" w:name="_Toc260908190"/>
      <w:bookmarkStart w:id="90" w:name="_Toc260907974"/>
      <w:r>
        <w:rPr>
          <w:rFonts w:hint="eastAsia" w:ascii="宋体" w:hAnsi="宋体" w:eastAsia="宋体" w:cs="宋体"/>
          <w:color w:val="auto"/>
          <w:sz w:val="24"/>
          <w:szCs w:val="24"/>
          <w:highlight w:val="none"/>
        </w:rPr>
        <w:t>3.5.1投标文件应按第七章“投标文件格式”进行编写，如有必要，可以增加附页，作为投标文件的组成部分。其中，投标函附录在满足招标文件实质性要求的基础上，可以提出比招标文件要求更有利于采购人的承诺。</w:t>
      </w:r>
    </w:p>
    <w:p w14:paraId="7C715F41">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3.5.2投标文件应当对招标文件有关服务期限、投标有效期、服务地点、采购范围等实质性内容作出响应。</w:t>
      </w:r>
    </w:p>
    <w:p w14:paraId="246028D7">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p>
    <w:p w14:paraId="180B8D0F">
      <w:pPr>
        <w:pStyle w:val="4"/>
        <w:keepLines w:val="0"/>
        <w:pageBreakBefore w:val="0"/>
        <w:widowControl w:val="0"/>
        <w:kinsoku w:val="0"/>
        <w:overflowPunct/>
        <w:topLinePunct w:val="0"/>
        <w:autoSpaceDE/>
        <w:autoSpaceDN/>
        <w:bidi w:val="0"/>
        <w:adjustRightInd w:val="0"/>
        <w:snapToGrid w:val="0"/>
        <w:spacing w:before="0" w:beforeLines="0" w:after="0" w:afterLines="0" w:line="360" w:lineRule="auto"/>
        <w:ind w:left="0" w:leftChars="0"/>
        <w:jc w:val="center"/>
        <w:textAlignment w:val="baseline"/>
        <w:rPr>
          <w:rFonts w:hint="eastAsia" w:ascii="宋体" w:hAnsi="宋体" w:eastAsia="宋体" w:cs="宋体"/>
          <w:b/>
          <w:bCs/>
          <w:color w:val="auto"/>
          <w:sz w:val="28"/>
          <w:szCs w:val="28"/>
          <w:highlight w:val="none"/>
          <w:lang w:val="zh-CN"/>
        </w:rPr>
      </w:pPr>
      <w:bookmarkStart w:id="91" w:name="_Toc224870951"/>
      <w:r>
        <w:rPr>
          <w:rFonts w:hint="eastAsia" w:ascii="宋体" w:hAnsi="宋体" w:eastAsia="宋体" w:cs="宋体"/>
          <w:b/>
          <w:bCs/>
          <w:color w:val="auto"/>
          <w:sz w:val="28"/>
          <w:szCs w:val="28"/>
          <w:highlight w:val="none"/>
          <w:lang w:val="zh-CN"/>
        </w:rPr>
        <w:t>（四）投标</w:t>
      </w:r>
      <w:bookmarkEnd w:id="88"/>
      <w:bookmarkEnd w:id="89"/>
      <w:bookmarkEnd w:id="90"/>
      <w:bookmarkEnd w:id="91"/>
    </w:p>
    <w:p w14:paraId="0E2F40D5">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4.1 投标文件的密封和标识</w:t>
      </w:r>
    </w:p>
    <w:p w14:paraId="45D6F0B0">
      <w:pPr>
        <w:pageBreakBefore w:val="0"/>
        <w:widowControl w:val="0"/>
        <w:kinsoku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1供应商进行电子交易应安装客户端软件—“政采云电子交易客户端”，并按照</w:t>
      </w:r>
      <w:r>
        <w:rPr>
          <w:rFonts w:hint="eastAsia" w:ascii="宋体" w:hAnsi="宋体" w:eastAsia="宋体" w:cs="宋体"/>
          <w:color w:val="auto"/>
          <w:sz w:val="24"/>
          <w:szCs w:val="24"/>
          <w:highlight w:val="none"/>
        </w:rPr>
        <w:t>招标文件</w:t>
      </w:r>
      <w:r>
        <w:rPr>
          <w:rFonts w:hint="eastAsia" w:ascii="宋体" w:hAnsi="宋体" w:eastAsia="宋体" w:cs="宋体"/>
          <w:color w:val="auto"/>
          <w:sz w:val="24"/>
          <w:szCs w:val="24"/>
          <w:highlight w:val="none"/>
          <w:lang w:val="zh-CN"/>
        </w:rPr>
        <w:t>和电子交易平台的要求编制并加密</w:t>
      </w: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zh-CN"/>
        </w:rPr>
        <w:t>文件。供应商未按规定加密的</w:t>
      </w: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zh-CN"/>
        </w:rPr>
        <w:t>文件，电子交易平台将拒收并提示。</w:t>
      </w:r>
    </w:p>
    <w:p w14:paraId="61DC6A73">
      <w:pPr>
        <w:pageBreakBefore w:val="0"/>
        <w:widowControl w:val="0"/>
        <w:kinsoku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2使用“政采云电子交易客户端”需要提前申领CA数字证书，申领流程见该项目采购公告附件。</w:t>
      </w:r>
    </w:p>
    <w:p w14:paraId="5FECA7CD">
      <w:pPr>
        <w:pageBreakBefore w:val="0"/>
        <w:widowControl w:val="0"/>
        <w:kinsoku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3为确保网上操作合法、有效和安全，供应商应当在响应文件提交截止时间前完成在“政府采购云平台”的身份认证，确保在电子交易过程中能够对相关数据电文进行加密和使用电子签名。</w:t>
      </w:r>
    </w:p>
    <w:p w14:paraId="14EE3E24">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4.2 投标文件的递交</w:t>
      </w:r>
    </w:p>
    <w:p w14:paraId="12D29651">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供应商应在投标人须知前附表第4.2.2项“投标文件递交截止时间及地址” 的规定前递交投标文件。</w:t>
      </w:r>
    </w:p>
    <w:p w14:paraId="33DD4D7C">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2.2逾期上传投标文件，采购人不予受理。</w:t>
      </w:r>
    </w:p>
    <w:p w14:paraId="4BF26065">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4.3 投标文件的修改与撤回</w:t>
      </w:r>
    </w:p>
    <w:p w14:paraId="2C68CE12">
      <w:pPr>
        <w:pageBreakBefore w:val="0"/>
        <w:kinsoku w:val="0"/>
        <w:wordWrap w:val="0"/>
        <w:overflowPunct/>
        <w:topLinePunct w:val="0"/>
        <w:autoSpaceDE/>
        <w:autoSpaceDN/>
        <w:bidi w:val="0"/>
        <w:adjustRightInd w:val="0"/>
        <w:snapToGrid w:val="0"/>
        <w:spacing w:line="360" w:lineRule="auto"/>
        <w:ind w:left="0" w:leftChars="0" w:firstLine="540" w:firstLineChars="225"/>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4.3.1在招标文件规定的提交投标文件截止时间（投标截止时间）前，投标人可以补充、修改或撤回已上传的投标文件，但应以书面形式通知采购人。</w:t>
      </w:r>
    </w:p>
    <w:p w14:paraId="4BB6580A">
      <w:pPr>
        <w:pageBreakBefore w:val="0"/>
        <w:kinsoku w:val="0"/>
        <w:wordWrap w:val="0"/>
        <w:overflowPunct/>
        <w:topLinePunct w:val="0"/>
        <w:autoSpaceDE/>
        <w:autoSpaceDN/>
        <w:bidi w:val="0"/>
        <w:adjustRightInd w:val="0"/>
        <w:snapToGrid w:val="0"/>
        <w:spacing w:line="360" w:lineRule="auto"/>
        <w:ind w:left="0" w:leftChars="0" w:firstLine="540" w:firstLineChars="225"/>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4.3.2投标人补充、修改或撤回已递交投标文件的书面通知应按照本章第3.5.3项的要求电子签章。采购人收到书面通知后，向投标人出具签收凭证。</w:t>
      </w:r>
    </w:p>
    <w:p w14:paraId="2D5C46C2">
      <w:pPr>
        <w:pStyle w:val="4"/>
        <w:keepLines w:val="0"/>
        <w:pageBreakBefore w:val="0"/>
        <w:widowControl w:val="0"/>
        <w:kinsoku w:val="0"/>
        <w:overflowPunct/>
        <w:topLinePunct w:val="0"/>
        <w:autoSpaceDE/>
        <w:autoSpaceDN/>
        <w:bidi w:val="0"/>
        <w:adjustRightInd w:val="0"/>
        <w:snapToGrid w:val="0"/>
        <w:spacing w:before="0" w:beforeLines="0" w:after="0" w:afterLines="0" w:line="360" w:lineRule="auto"/>
        <w:ind w:left="0" w:leftChars="0"/>
        <w:jc w:val="center"/>
        <w:textAlignment w:val="baseline"/>
        <w:rPr>
          <w:rFonts w:hint="eastAsia" w:ascii="宋体" w:hAnsi="宋体" w:eastAsia="宋体" w:cs="宋体"/>
          <w:b/>
          <w:bCs/>
          <w:color w:val="auto"/>
          <w:sz w:val="28"/>
          <w:szCs w:val="28"/>
          <w:highlight w:val="none"/>
          <w:lang w:val="zh-CN"/>
        </w:rPr>
      </w:pPr>
      <w:bookmarkStart w:id="92" w:name="_Toc260908191"/>
      <w:bookmarkStart w:id="93" w:name="_Toc260907975"/>
      <w:bookmarkStart w:id="94" w:name="_Toc224870952"/>
      <w:bookmarkStart w:id="95" w:name="_Toc229583205"/>
      <w:r>
        <w:rPr>
          <w:rFonts w:hint="eastAsia" w:ascii="宋体" w:hAnsi="宋体" w:eastAsia="宋体" w:cs="宋体"/>
          <w:b/>
          <w:bCs/>
          <w:color w:val="auto"/>
          <w:sz w:val="28"/>
          <w:szCs w:val="28"/>
          <w:highlight w:val="none"/>
          <w:lang w:val="zh-CN"/>
        </w:rPr>
        <w:t>（五）开标</w:t>
      </w:r>
      <w:bookmarkEnd w:id="92"/>
      <w:bookmarkEnd w:id="93"/>
      <w:bookmarkEnd w:id="94"/>
      <w:bookmarkEnd w:id="95"/>
    </w:p>
    <w:p w14:paraId="4813531F">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bookmarkStart w:id="96" w:name="_Toc144974527"/>
      <w:bookmarkStart w:id="97" w:name="_Toc378239082"/>
      <w:bookmarkStart w:id="98" w:name="_Toc152042335"/>
      <w:bookmarkStart w:id="99" w:name="_Toc480817647"/>
      <w:bookmarkStart w:id="100" w:name="_Toc401342138"/>
      <w:bookmarkStart w:id="101" w:name="_Toc296602447"/>
      <w:bookmarkStart w:id="102" w:name="_Toc29395"/>
      <w:bookmarkStart w:id="103" w:name="_Toc152045559"/>
      <w:bookmarkStart w:id="104" w:name="_Toc247085717"/>
      <w:bookmarkStart w:id="105" w:name="_Toc179632577"/>
      <w:bookmarkStart w:id="106" w:name="_Toc378239355"/>
      <w:bookmarkStart w:id="107" w:name="_Toc378239174"/>
      <w:bookmarkStart w:id="108" w:name="_Toc246996946"/>
      <w:bookmarkStart w:id="109" w:name="_Toc246996203"/>
      <w:r>
        <w:rPr>
          <w:rFonts w:hint="eastAsia" w:ascii="宋体" w:hAnsi="宋体" w:eastAsia="宋体" w:cs="宋体"/>
          <w:b/>
          <w:bCs/>
          <w:color w:val="auto"/>
          <w:sz w:val="24"/>
          <w:szCs w:val="24"/>
          <w:highlight w:val="none"/>
          <w:lang w:val="zh-CN"/>
        </w:rPr>
        <w:t>5.1 开标时间和地点</w:t>
      </w:r>
    </w:p>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14:paraId="2868B384">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5.1.1采购代理机构将在“投标人须知前附表”规定的时间和地点进行开标。</w:t>
      </w:r>
    </w:p>
    <w:p w14:paraId="53BB8DF8">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5.1.2投标截止时间结束后参加投标的投标人不足三家的，不予开标。</w:t>
      </w:r>
    </w:p>
    <w:p w14:paraId="5D4233B7">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5.1.3网上开标（1）投标人登录政采云（网址：https://www.zcygov.cn/），按照投标人操作流程进行电子开标。</w:t>
      </w:r>
    </w:p>
    <w:p w14:paraId="4FC6DE67">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bookmarkStart w:id="110" w:name="_Hlk47173580"/>
      <w:r>
        <w:rPr>
          <w:rFonts w:hint="eastAsia" w:ascii="宋体" w:hAnsi="宋体" w:eastAsia="宋体" w:cs="宋体"/>
          <w:b/>
          <w:bCs/>
          <w:color w:val="auto"/>
          <w:sz w:val="24"/>
          <w:szCs w:val="24"/>
          <w:highlight w:val="none"/>
          <w:lang w:val="zh-CN"/>
        </w:rPr>
        <w:t>5.2 开标程序</w:t>
      </w:r>
    </w:p>
    <w:bookmarkEnd w:id="110"/>
    <w:p w14:paraId="30AF018E">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5.2.1代理公司</w:t>
      </w:r>
      <w:r>
        <w:rPr>
          <w:rFonts w:hint="eastAsia" w:ascii="宋体" w:hAnsi="宋体" w:eastAsia="宋体" w:cs="宋体"/>
          <w:color w:val="auto"/>
          <w:sz w:val="24"/>
          <w:szCs w:val="24"/>
          <w:highlight w:val="none"/>
        </w:rPr>
        <w:t>将按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“投标人须知前附表” 中规定的时间和地点组织公开开标。</w:t>
      </w:r>
    </w:p>
    <w:p w14:paraId="6F81B102">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5.2.2</w:t>
      </w:r>
      <w:r>
        <w:rPr>
          <w:rFonts w:hint="eastAsia" w:ascii="宋体" w:hAnsi="宋体" w:eastAsia="宋体" w:cs="宋体"/>
          <w:color w:val="auto"/>
          <w:sz w:val="24"/>
          <w:szCs w:val="24"/>
          <w:highlight w:val="none"/>
        </w:rPr>
        <w:t xml:space="preserve"> 按照</w:t>
      </w:r>
      <w:r>
        <w:rPr>
          <w:rFonts w:hint="eastAsia" w:ascii="宋体" w:hAnsi="宋体" w:eastAsia="宋体" w:cs="宋体"/>
          <w:color w:val="auto"/>
          <w:sz w:val="24"/>
          <w:szCs w:val="24"/>
          <w:highlight w:val="none"/>
          <w:lang w:val="en-US" w:eastAsia="zh-CN"/>
        </w:rPr>
        <w:t>前文</w:t>
      </w:r>
      <w:r>
        <w:rPr>
          <w:rFonts w:hint="eastAsia" w:ascii="宋体" w:hAnsi="宋体" w:eastAsia="宋体" w:cs="宋体"/>
          <w:color w:val="auto"/>
          <w:sz w:val="24"/>
          <w:szCs w:val="24"/>
          <w:highlight w:val="none"/>
        </w:rPr>
        <w:t>规定，提交了可接受的“撤回”通知的投标将不予解密。</w:t>
      </w:r>
    </w:p>
    <w:p w14:paraId="1F24D879">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5.2.3</w:t>
      </w:r>
      <w:r>
        <w:rPr>
          <w:rFonts w:hint="eastAsia" w:ascii="宋体" w:hAnsi="宋体" w:eastAsia="宋体" w:cs="宋体"/>
          <w:color w:val="auto"/>
          <w:sz w:val="24"/>
          <w:szCs w:val="24"/>
          <w:highlight w:val="none"/>
        </w:rPr>
        <w:t>开标时，监督人员应现场监督，确认无误并符合招标文件规定的作为有效投标人当众解密随后进行唱标和记录，将当众宣读投标人名称、投标总价、交货期、提交的投标保证金形式金额，以及其他合适的内容。</w:t>
      </w:r>
    </w:p>
    <w:p w14:paraId="63915599">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5.2 投标报价修正</w:t>
      </w:r>
    </w:p>
    <w:p w14:paraId="598DBEE6">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投标文件报价出现前后不一致的，按照下列规定修正：</w:t>
      </w:r>
    </w:p>
    <w:p w14:paraId="2DE1621C">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（一）投标文件中开标一览表（报价表）内容与投标文件中相应内容不一致的，以开标一览表（报价表）为准；</w:t>
      </w:r>
    </w:p>
    <w:p w14:paraId="3A7D9CDF">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（二）大写金额和小写金额不一致的，以大写金额为准；</w:t>
      </w:r>
    </w:p>
    <w:p w14:paraId="7FF7E289">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（三）单价金额小数点或者百分比有明显错位的，以开标一览表的总价为准，并修改单价；</w:t>
      </w:r>
    </w:p>
    <w:p w14:paraId="63BAA591">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（四）总价金额与按单价汇总金额不一致的，以单价金额计算结果为准。</w:t>
      </w:r>
    </w:p>
    <w:p w14:paraId="0A6E9900">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同时出现两种以上不一致的，按照前款规定的顺序修正。修正后的报价按照招标文件规定并经投标人确认后产生约束力，投标人不确认的，其投标无效。</w:t>
      </w:r>
    </w:p>
    <w:p w14:paraId="4FF04900">
      <w:pPr>
        <w:pStyle w:val="4"/>
        <w:keepNext w:val="0"/>
        <w:keepLines w:val="0"/>
        <w:pageBreakBefore w:val="0"/>
        <w:widowControl w:val="0"/>
        <w:kinsoku w:val="0"/>
        <w:overflowPunct/>
        <w:topLinePunct w:val="0"/>
        <w:autoSpaceDE/>
        <w:autoSpaceDN/>
        <w:bidi w:val="0"/>
        <w:adjustRightInd w:val="0"/>
        <w:snapToGrid w:val="0"/>
        <w:spacing w:before="0" w:beforeLines="0" w:after="0" w:afterLines="0" w:line="360" w:lineRule="auto"/>
        <w:ind w:left="0" w:leftChars="0"/>
        <w:jc w:val="center"/>
        <w:textAlignment w:val="baseline"/>
        <w:rPr>
          <w:rFonts w:hint="eastAsia" w:ascii="宋体" w:hAnsi="宋体" w:eastAsia="宋体" w:cs="宋体"/>
          <w:b/>
          <w:bCs/>
          <w:color w:val="auto"/>
          <w:sz w:val="28"/>
          <w:szCs w:val="28"/>
          <w:highlight w:val="none"/>
          <w:lang w:val="zh-CN"/>
        </w:rPr>
      </w:pPr>
      <w:bookmarkStart w:id="111" w:name="_Toc260907976"/>
      <w:bookmarkStart w:id="112" w:name="_Toc260908192"/>
      <w:bookmarkStart w:id="113" w:name="_Toc224870953"/>
      <w:bookmarkStart w:id="114" w:name="_Toc229583206"/>
      <w:r>
        <w:rPr>
          <w:rFonts w:hint="eastAsia" w:ascii="宋体" w:hAnsi="宋体" w:eastAsia="宋体" w:cs="宋体"/>
          <w:b/>
          <w:bCs/>
          <w:color w:val="auto"/>
          <w:sz w:val="28"/>
          <w:szCs w:val="28"/>
          <w:highlight w:val="none"/>
          <w:lang w:val="zh-CN"/>
        </w:rPr>
        <w:t>（六）评标</w:t>
      </w:r>
      <w:bookmarkEnd w:id="111"/>
      <w:bookmarkEnd w:id="112"/>
      <w:bookmarkEnd w:id="113"/>
      <w:bookmarkEnd w:id="114"/>
    </w:p>
    <w:p w14:paraId="502D6116">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bookmarkStart w:id="115" w:name="_Toc375869236"/>
      <w:r>
        <w:rPr>
          <w:rFonts w:hint="eastAsia" w:ascii="宋体" w:hAnsi="宋体" w:eastAsia="宋体" w:cs="宋体"/>
          <w:b/>
          <w:bCs/>
          <w:color w:val="auto"/>
          <w:sz w:val="24"/>
          <w:szCs w:val="24"/>
          <w:highlight w:val="none"/>
          <w:lang w:val="zh-CN"/>
        </w:rPr>
        <w:t>6.1 评标及评标委员会</w:t>
      </w:r>
      <w:bookmarkEnd w:id="115"/>
    </w:p>
    <w:p w14:paraId="77F26BE5">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bookmarkStart w:id="116" w:name="_Toc247085720"/>
      <w:bookmarkStart w:id="117" w:name="_Toc1045"/>
      <w:bookmarkStart w:id="118" w:name="_Toc152042338"/>
      <w:bookmarkStart w:id="119" w:name="_Toc296602451"/>
      <w:bookmarkStart w:id="120" w:name="_Toc144974530"/>
      <w:bookmarkStart w:id="121" w:name="_Toc246996206"/>
      <w:bookmarkStart w:id="122" w:name="_Toc378239356"/>
      <w:bookmarkStart w:id="123" w:name="_Toc246996949"/>
      <w:bookmarkStart w:id="124" w:name="_Toc179632580"/>
      <w:bookmarkStart w:id="125" w:name="_Toc401342139"/>
      <w:bookmarkStart w:id="126" w:name="_Toc152045562"/>
      <w:bookmarkStart w:id="127" w:name="_Toc378239175"/>
      <w:bookmarkStart w:id="128" w:name="_Toc378239083"/>
      <w:bookmarkStart w:id="129" w:name="_Toc480817648"/>
      <w:bookmarkStart w:id="130" w:name="_Toc260907977"/>
      <w:bookmarkStart w:id="131" w:name="_Toc260908193"/>
      <w:bookmarkStart w:id="132" w:name="_Toc229583207"/>
      <w:r>
        <w:rPr>
          <w:rFonts w:hint="eastAsia" w:ascii="宋体" w:hAnsi="宋体" w:eastAsia="宋体" w:cs="宋体"/>
          <w:color w:val="auto"/>
          <w:sz w:val="24"/>
          <w:szCs w:val="24"/>
          <w:highlight w:val="none"/>
        </w:rPr>
        <w:t>6.1</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Pr>
          <w:rFonts w:hint="eastAsia" w:ascii="宋体" w:hAnsi="宋体" w:eastAsia="宋体" w:cs="宋体"/>
          <w:color w:val="auto"/>
          <w:sz w:val="24"/>
          <w:szCs w:val="24"/>
          <w:highlight w:val="none"/>
        </w:rPr>
        <w:t>.1开</w:t>
      </w:r>
      <w:bookmarkStart w:id="133" w:name="_Toc152045563"/>
      <w:bookmarkStart w:id="134" w:name="_Toc144974531"/>
      <w:bookmarkStart w:id="135" w:name="_Toc247085721"/>
      <w:bookmarkStart w:id="136" w:name="_Toc246996950"/>
      <w:bookmarkStart w:id="137" w:name="_Toc246996207"/>
      <w:bookmarkStart w:id="138" w:name="_Toc296602452"/>
      <w:bookmarkStart w:id="139" w:name="_Toc179632581"/>
      <w:bookmarkStart w:id="140" w:name="_Toc152042339"/>
      <w:r>
        <w:rPr>
          <w:rFonts w:hint="eastAsia" w:ascii="宋体" w:hAnsi="宋体" w:eastAsia="宋体" w:cs="宋体"/>
          <w:color w:val="auto"/>
          <w:sz w:val="24"/>
          <w:szCs w:val="24"/>
          <w:highlight w:val="none"/>
        </w:rPr>
        <w:t>标结束后，采</w:t>
      </w:r>
      <w:bookmarkEnd w:id="133"/>
      <w:bookmarkEnd w:id="134"/>
      <w:bookmarkEnd w:id="135"/>
      <w:bookmarkEnd w:id="136"/>
      <w:bookmarkEnd w:id="137"/>
      <w:bookmarkEnd w:id="138"/>
      <w:bookmarkEnd w:id="139"/>
      <w:bookmarkEnd w:id="140"/>
      <w:r>
        <w:rPr>
          <w:rFonts w:hint="eastAsia" w:ascii="宋体" w:hAnsi="宋体" w:eastAsia="宋体" w:cs="宋体"/>
          <w:color w:val="auto"/>
          <w:sz w:val="24"/>
          <w:szCs w:val="24"/>
          <w:highlight w:val="none"/>
        </w:rPr>
        <w:t>购人或者采购代理机构将根据招标文件规定，依法对投标人的资格进行审查。合格投标人不足3家的，不得评标。</w:t>
      </w:r>
    </w:p>
    <w:p w14:paraId="2A222767">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6.1.2评标委员会由采购人代表和评审专家组成，成员人数为5人以上单数，其中评审专家不得少于成员总数的三分之二。评标委员会应当推选组长，但采购人代表不得担任组长。</w:t>
      </w:r>
    </w:p>
    <w:p w14:paraId="7B4E73F4">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6.1.3采购人委派代表参加评标委员会的，要向采购代理机构出具授权函。除授权代表外，采购人可以委派纪检监察等相关人员进入评审现场，对评审工作实施监督，但不得超过2人。</w:t>
      </w:r>
    </w:p>
    <w:p w14:paraId="0BC35A2B">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6.1.4评标活动遵循公平</w:t>
      </w:r>
      <w:bookmarkStart w:id="141" w:name="_Toc246996952"/>
      <w:bookmarkStart w:id="142" w:name="_Toc179632583"/>
      <w:bookmarkStart w:id="143" w:name="_Toc296602454"/>
      <w:bookmarkStart w:id="144" w:name="_Toc247085723"/>
      <w:bookmarkStart w:id="145" w:name="_Toc246996209"/>
      <w:bookmarkStart w:id="146" w:name="_Toc152042341"/>
      <w:bookmarkStart w:id="147" w:name="_Toc144974533"/>
      <w:bookmarkStart w:id="148" w:name="_Toc152045565"/>
      <w:r>
        <w:rPr>
          <w:rFonts w:hint="eastAsia" w:ascii="宋体" w:hAnsi="宋体" w:eastAsia="宋体" w:cs="宋体"/>
          <w:color w:val="auto"/>
          <w:sz w:val="24"/>
          <w:szCs w:val="24"/>
          <w:highlight w:val="none"/>
        </w:rPr>
        <w:t>、公正、科学和择优的原则。</w:t>
      </w:r>
    </w:p>
    <w:p w14:paraId="6066E748">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6.1.5评标委员会各成员</w:t>
      </w:r>
      <w:bookmarkEnd w:id="141"/>
      <w:bookmarkEnd w:id="142"/>
      <w:bookmarkEnd w:id="143"/>
      <w:bookmarkEnd w:id="144"/>
      <w:bookmarkEnd w:id="145"/>
      <w:bookmarkEnd w:id="146"/>
      <w:bookmarkEnd w:id="147"/>
      <w:bookmarkEnd w:id="148"/>
      <w:r>
        <w:rPr>
          <w:rFonts w:hint="eastAsia" w:ascii="宋体" w:hAnsi="宋体" w:eastAsia="宋体" w:cs="宋体"/>
          <w:color w:val="auto"/>
          <w:sz w:val="24"/>
          <w:szCs w:val="24"/>
          <w:highlight w:val="none"/>
        </w:rPr>
        <w:t>根据政府采购法律法规按照招标文件规定的评标方法和标准，独立对符合性审查合格的投标文件进行商务和技术评估，综合比较与评价，并汇总每个投标人的得分。招标文件中没有规定的方法、评审因素和标准，不作为评标依据。</w:t>
      </w:r>
    </w:p>
    <w:p w14:paraId="66C38FD1">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6.1.6评标过程的保密：</w:t>
      </w:r>
    </w:p>
    <w:p w14:paraId="77713CE2">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bookmarkStart w:id="149" w:name="_Toc417913976"/>
      <w:r>
        <w:rPr>
          <w:rFonts w:hint="eastAsia" w:ascii="宋体" w:hAnsi="宋体" w:eastAsia="宋体" w:cs="宋体"/>
          <w:color w:val="auto"/>
          <w:sz w:val="24"/>
          <w:szCs w:val="24"/>
          <w:highlight w:val="none"/>
        </w:rPr>
        <w:t>（1）评标在严格</w:t>
      </w:r>
      <w:bookmarkEnd w:id="149"/>
      <w:r>
        <w:rPr>
          <w:rFonts w:hint="eastAsia" w:ascii="宋体" w:hAnsi="宋体" w:eastAsia="宋体" w:cs="宋体"/>
          <w:color w:val="auto"/>
          <w:sz w:val="24"/>
          <w:szCs w:val="24"/>
          <w:highlight w:val="none"/>
        </w:rPr>
        <w:t>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4E39A2E3">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任何单位和个人不得非法干预、影响评审工作。采购人、采购代理机构和评标委员会在评审工作中，依法相互监督和制约，并自觉接受财政部门的监督。对非法干预评审工作等违法违规行为，将及时向财政部门报告。</w:t>
      </w:r>
    </w:p>
    <w:p w14:paraId="142AB0D0">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6.1.7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或其授权的代表电子签章。投标人的澄清、说明或者补正不得超出投标文件的范围或者改变投标文件的实质性内容。</w:t>
      </w:r>
    </w:p>
    <w:p w14:paraId="44CDE6F1">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6.2 评标办法</w:t>
      </w:r>
    </w:p>
    <w:p w14:paraId="2A217B0D">
      <w:pPr>
        <w:pStyle w:val="8"/>
        <w:pageBreakBefore w:val="0"/>
        <w:kinsoku w:val="0"/>
        <w:overflowPunct/>
        <w:topLinePunct w:val="0"/>
        <w:autoSpaceDE/>
        <w:autoSpaceDN/>
        <w:bidi w:val="0"/>
        <w:adjustRightInd w:val="0"/>
        <w:snapToGrid w:val="0"/>
        <w:spacing w:line="360" w:lineRule="auto"/>
        <w:ind w:left="0" w:leftChars="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本项目按“投标人须知前附表”规定的评标办法评标。在评标中，不得改变招标文件中规定的评标标准、方法和中标条件。</w:t>
      </w:r>
    </w:p>
    <w:p w14:paraId="617A70D8">
      <w:pPr>
        <w:pStyle w:val="4"/>
        <w:keepNext w:val="0"/>
        <w:keepLines w:val="0"/>
        <w:pageBreakBefore w:val="0"/>
        <w:widowControl w:val="0"/>
        <w:kinsoku w:val="0"/>
        <w:overflowPunct/>
        <w:topLinePunct w:val="0"/>
        <w:autoSpaceDE/>
        <w:autoSpaceDN/>
        <w:bidi w:val="0"/>
        <w:adjustRightInd w:val="0"/>
        <w:snapToGrid w:val="0"/>
        <w:spacing w:before="0" w:beforeLines="0" w:after="0" w:afterLines="0" w:line="360" w:lineRule="auto"/>
        <w:ind w:left="0" w:leftChars="0"/>
        <w:jc w:val="center"/>
        <w:textAlignment w:val="baseline"/>
        <w:rPr>
          <w:rFonts w:hint="eastAsia" w:ascii="宋体" w:hAnsi="宋体" w:eastAsia="宋体" w:cs="宋体"/>
          <w:b/>
          <w:bCs/>
          <w:color w:val="auto"/>
          <w:sz w:val="28"/>
          <w:szCs w:val="28"/>
          <w:highlight w:val="none"/>
          <w:lang w:val="zh-CN"/>
        </w:rPr>
      </w:pPr>
      <w:bookmarkStart w:id="150" w:name="_Toc224870954"/>
      <w:r>
        <w:rPr>
          <w:rFonts w:hint="eastAsia" w:ascii="宋体" w:hAnsi="宋体" w:eastAsia="宋体" w:cs="宋体"/>
          <w:b/>
          <w:bCs/>
          <w:color w:val="auto"/>
          <w:sz w:val="28"/>
          <w:szCs w:val="28"/>
          <w:highlight w:val="none"/>
          <w:lang w:val="zh-CN"/>
        </w:rPr>
        <w:t>（七）</w:t>
      </w:r>
      <w:bookmarkEnd w:id="130"/>
      <w:bookmarkEnd w:id="131"/>
      <w:bookmarkEnd w:id="132"/>
      <w:r>
        <w:rPr>
          <w:rFonts w:hint="eastAsia" w:ascii="宋体" w:hAnsi="宋体" w:eastAsia="宋体" w:cs="宋体"/>
          <w:b/>
          <w:bCs/>
          <w:color w:val="auto"/>
          <w:sz w:val="28"/>
          <w:szCs w:val="28"/>
          <w:highlight w:val="none"/>
          <w:lang w:val="zh-CN"/>
        </w:rPr>
        <w:t>中标及合同</w:t>
      </w:r>
      <w:bookmarkEnd w:id="150"/>
    </w:p>
    <w:p w14:paraId="3148077B">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7.1 定标方式</w:t>
      </w:r>
    </w:p>
    <w:p w14:paraId="3353BA93">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按照投标人须知前附表的规定，采购人或采购人授权的评标委员会依法确定中标人。</w:t>
      </w:r>
    </w:p>
    <w:p w14:paraId="2E29586B">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7.2 中标公告</w:t>
      </w:r>
    </w:p>
    <w:p w14:paraId="0331D17F">
      <w:pPr>
        <w:pageBreakBefore w:val="0"/>
        <w:kinsoku w:val="0"/>
        <w:wordWrap w:val="0"/>
        <w:overflowPunct/>
        <w:topLinePunct w:val="0"/>
        <w:autoSpaceDE/>
        <w:autoSpaceDN/>
        <w:bidi w:val="0"/>
        <w:adjustRightInd w:val="0"/>
        <w:snapToGrid w:val="0"/>
        <w:spacing w:line="360" w:lineRule="auto"/>
        <w:ind w:left="0" w:leftChars="0" w:firstLine="540" w:firstLineChars="225"/>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采购人或者采购代理机构应当自中标人确定之日起2个工作日内，按照投标人须知前附表规定的省级以上财政部门指定的媒介和期限公告中标结果，招标文件应当随中标结果同时公告。</w:t>
      </w:r>
    </w:p>
    <w:p w14:paraId="293EB9B3">
      <w:pPr>
        <w:pageBreakBefore w:val="0"/>
        <w:kinsoku w:val="0"/>
        <w:wordWrap w:val="0"/>
        <w:overflowPunct/>
        <w:topLinePunct w:val="0"/>
        <w:autoSpaceDE/>
        <w:autoSpaceDN/>
        <w:bidi w:val="0"/>
        <w:adjustRightInd w:val="0"/>
        <w:snapToGrid w:val="0"/>
        <w:spacing w:line="360" w:lineRule="auto"/>
        <w:ind w:left="0" w:leftChars="0" w:firstLine="540" w:firstLineChars="225"/>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中标公告媒介及期限：详见投标人须知前附表。</w:t>
      </w:r>
    </w:p>
    <w:p w14:paraId="6666C339">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7.3 中标通知</w:t>
      </w:r>
    </w:p>
    <w:p w14:paraId="0F5C3F39">
      <w:pPr>
        <w:pageBreakBefore w:val="0"/>
        <w:kinsoku w:val="0"/>
        <w:wordWrap w:val="0"/>
        <w:overflowPunct/>
        <w:topLinePunct w:val="0"/>
        <w:autoSpaceDE/>
        <w:autoSpaceDN/>
        <w:bidi w:val="0"/>
        <w:adjustRightInd w:val="0"/>
        <w:snapToGrid w:val="0"/>
        <w:spacing w:line="360" w:lineRule="auto"/>
        <w:ind w:left="0" w:leftChars="0" w:firstLine="540" w:firstLineChars="225"/>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本章第3.3款规定的投标有效期内，在公告中标结果的同时，采购人或者采购代理机构应当向中标人发出中标通知书；对未通过资格审查的投标人，应当告知其未通过的原因。采用综合评分法评审的，应当告知未中标人本人的评审得分与排序。</w:t>
      </w:r>
    </w:p>
    <w:p w14:paraId="60F21531">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7.4 履约保证金</w:t>
      </w:r>
    </w:p>
    <w:p w14:paraId="4223EE70">
      <w:pPr>
        <w:pageBreakBefore w:val="0"/>
        <w:widowControl w:val="0"/>
        <w:kinsoku w:val="0"/>
        <w:overflowPunct/>
        <w:topLinePunct w:val="0"/>
        <w:autoSpaceDE/>
        <w:autoSpaceDN/>
        <w:bidi w:val="0"/>
        <w:adjustRightInd w:val="0"/>
        <w:snapToGrid w:val="0"/>
        <w:spacing w:line="360" w:lineRule="auto"/>
        <w:ind w:left="0" w:leftChars="0" w:firstLine="540" w:firstLineChars="225"/>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7.4.1中标人应按投标人须知前附表规定的形式、金额向采购人提交履约保证金。</w:t>
      </w:r>
    </w:p>
    <w:p w14:paraId="777F1F44">
      <w:pPr>
        <w:pageBreakBefore w:val="0"/>
        <w:kinsoku w:val="0"/>
        <w:wordWrap w:val="0"/>
        <w:overflowPunct/>
        <w:topLinePunct w:val="0"/>
        <w:autoSpaceDE/>
        <w:autoSpaceDN/>
        <w:bidi w:val="0"/>
        <w:adjustRightInd w:val="0"/>
        <w:snapToGrid w:val="0"/>
        <w:spacing w:line="360" w:lineRule="auto"/>
        <w:ind w:left="0" w:leftChars="0" w:firstLine="540" w:firstLineChars="225"/>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7.4.2中标人不能按本章第7.4.1项要求提交履约保证金的，视为放弃中标，给采购人造成的损失的，中标人应当予以赔偿。</w:t>
      </w:r>
    </w:p>
    <w:p w14:paraId="62DF7913">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7.5 签订合同</w:t>
      </w:r>
    </w:p>
    <w:p w14:paraId="3234B408">
      <w:pPr>
        <w:pageBreakBefore w:val="0"/>
        <w:kinsoku w:val="0"/>
        <w:wordWrap w:val="0"/>
        <w:overflowPunct/>
        <w:topLinePunct w:val="0"/>
        <w:autoSpaceDE/>
        <w:autoSpaceDN/>
        <w:bidi w:val="0"/>
        <w:adjustRightInd w:val="0"/>
        <w:snapToGrid w:val="0"/>
        <w:spacing w:line="360" w:lineRule="auto"/>
        <w:ind w:left="0" w:leftChars="0" w:firstLine="540" w:firstLineChars="225"/>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2AEB607D">
      <w:pPr>
        <w:pageBreakBefore w:val="0"/>
        <w:kinsoku w:val="0"/>
        <w:wordWrap w:val="0"/>
        <w:overflowPunct/>
        <w:topLinePunct w:val="0"/>
        <w:autoSpaceDE/>
        <w:autoSpaceDN/>
        <w:bidi w:val="0"/>
        <w:adjustRightInd w:val="0"/>
        <w:snapToGrid w:val="0"/>
        <w:spacing w:line="360" w:lineRule="auto"/>
        <w:ind w:left="0" w:leftChars="0" w:firstLine="540" w:firstLineChars="225"/>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7.5.2中标通知书发出后，采购人不得违法改变中标结果，中标人无正当理由不得放弃中标。</w:t>
      </w:r>
    </w:p>
    <w:p w14:paraId="22E15D20">
      <w:pPr>
        <w:pageBreakBefore w:val="0"/>
        <w:kinsoku w:val="0"/>
        <w:wordWrap w:val="0"/>
        <w:overflowPunct/>
        <w:topLinePunct w:val="0"/>
        <w:autoSpaceDE/>
        <w:autoSpaceDN/>
        <w:bidi w:val="0"/>
        <w:adjustRightInd w:val="0"/>
        <w:snapToGrid w:val="0"/>
        <w:spacing w:line="360" w:lineRule="auto"/>
        <w:ind w:left="0" w:leftChars="0" w:firstLine="540" w:firstLineChars="225"/>
        <w:textAlignment w:val="baseline"/>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7.5.3中标或者成交供应商拒绝与采购人签订合同的，采购人可以按照评审报告推荐的中标或者成交候选人名单排序，确定下一候选人为中标或者成交供应商，也可以重新开展政府采购活动。</w:t>
      </w:r>
    </w:p>
    <w:p w14:paraId="3ABE5391">
      <w:pPr>
        <w:pStyle w:val="4"/>
        <w:keepLines w:val="0"/>
        <w:pageBreakBefore w:val="0"/>
        <w:widowControl w:val="0"/>
        <w:kinsoku w:val="0"/>
        <w:overflowPunct/>
        <w:topLinePunct w:val="0"/>
        <w:autoSpaceDE/>
        <w:autoSpaceDN/>
        <w:bidi w:val="0"/>
        <w:adjustRightInd w:val="0"/>
        <w:snapToGrid w:val="0"/>
        <w:spacing w:before="0" w:beforeLines="0" w:after="0" w:afterLines="0" w:line="360" w:lineRule="auto"/>
        <w:ind w:left="0" w:leftChars="0"/>
        <w:jc w:val="center"/>
        <w:textAlignment w:val="baseline"/>
        <w:rPr>
          <w:rFonts w:hint="eastAsia" w:ascii="宋体" w:hAnsi="宋体" w:eastAsia="宋体" w:cs="宋体"/>
          <w:b/>
          <w:bCs/>
          <w:color w:val="auto"/>
          <w:sz w:val="28"/>
          <w:szCs w:val="28"/>
          <w:highlight w:val="none"/>
          <w:lang w:val="zh-CN"/>
        </w:rPr>
      </w:pPr>
      <w:bookmarkStart w:id="151" w:name="_Toc260908194"/>
      <w:bookmarkStart w:id="152" w:name="_Toc260907978"/>
      <w:bookmarkStart w:id="153" w:name="_Toc224870955"/>
      <w:r>
        <w:rPr>
          <w:rFonts w:hint="eastAsia" w:ascii="宋体" w:hAnsi="宋体" w:eastAsia="宋体" w:cs="宋体"/>
          <w:b/>
          <w:bCs/>
          <w:color w:val="auto"/>
          <w:sz w:val="28"/>
          <w:szCs w:val="28"/>
          <w:highlight w:val="none"/>
          <w:lang w:val="zh-CN"/>
        </w:rPr>
        <w:t>（八）重新</w:t>
      </w:r>
      <w:bookmarkEnd w:id="151"/>
      <w:bookmarkEnd w:id="152"/>
      <w:r>
        <w:rPr>
          <w:rFonts w:hint="eastAsia" w:ascii="宋体" w:hAnsi="宋体" w:eastAsia="宋体" w:cs="宋体"/>
          <w:b/>
          <w:bCs/>
          <w:color w:val="auto"/>
          <w:sz w:val="28"/>
          <w:szCs w:val="28"/>
          <w:highlight w:val="none"/>
          <w:lang w:val="zh-CN"/>
        </w:rPr>
        <w:t>采购</w:t>
      </w:r>
      <w:bookmarkEnd w:id="153"/>
    </w:p>
    <w:p w14:paraId="3298AB55">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8.1 重新采购</w:t>
      </w:r>
    </w:p>
    <w:p w14:paraId="25F1A490">
      <w:pPr>
        <w:pageBreakBefore w:val="0"/>
        <w:kinsoku w:val="0"/>
        <w:wordWrap w:val="0"/>
        <w:overflowPunct/>
        <w:topLinePunct w:val="0"/>
        <w:autoSpaceDE/>
        <w:autoSpaceDN/>
        <w:bidi w:val="0"/>
        <w:adjustRightInd w:val="0"/>
        <w:snapToGrid w:val="0"/>
        <w:spacing w:line="360" w:lineRule="auto"/>
        <w:ind w:left="0" w:leftChars="0" w:firstLine="540" w:firstLineChars="225"/>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有下列情形之一的，采购人将重新采购：</w:t>
      </w:r>
    </w:p>
    <w:p w14:paraId="4242E322">
      <w:pPr>
        <w:pageBreakBefore w:val="0"/>
        <w:kinsoku w:val="0"/>
        <w:wordWrap w:val="0"/>
        <w:overflowPunct/>
        <w:topLinePunct w:val="0"/>
        <w:autoSpaceDE/>
        <w:autoSpaceDN/>
        <w:bidi w:val="0"/>
        <w:adjustRightInd w:val="0"/>
        <w:snapToGrid w:val="0"/>
        <w:spacing w:line="360" w:lineRule="auto"/>
        <w:ind w:left="0" w:leftChars="0" w:firstLine="473"/>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（1）投标截止后投标人不足3家或者通过资格审查或符合性审查的投标人不足3的；</w:t>
      </w:r>
    </w:p>
    <w:p w14:paraId="1B105962">
      <w:pPr>
        <w:pageBreakBefore w:val="0"/>
        <w:kinsoku w:val="0"/>
        <w:wordWrap w:val="0"/>
        <w:overflowPunct/>
        <w:topLinePunct w:val="0"/>
        <w:autoSpaceDE/>
        <w:autoSpaceDN/>
        <w:bidi w:val="0"/>
        <w:adjustRightInd w:val="0"/>
        <w:snapToGrid w:val="0"/>
        <w:spacing w:line="360" w:lineRule="auto"/>
        <w:ind w:left="0" w:leftChars="0" w:firstLine="540" w:firstLineChars="225"/>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（2）出现影响采购公正的违法、违规行为的；</w:t>
      </w:r>
    </w:p>
    <w:p w14:paraId="5D41C9C2">
      <w:pPr>
        <w:pageBreakBefore w:val="0"/>
        <w:kinsoku w:val="0"/>
        <w:wordWrap w:val="0"/>
        <w:overflowPunct/>
        <w:topLinePunct w:val="0"/>
        <w:autoSpaceDE/>
        <w:autoSpaceDN/>
        <w:bidi w:val="0"/>
        <w:adjustRightInd w:val="0"/>
        <w:snapToGrid w:val="0"/>
        <w:spacing w:line="360" w:lineRule="auto"/>
        <w:ind w:left="0" w:leftChars="0" w:firstLine="540" w:firstLineChars="225"/>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（3）投标人的报价均超过了采购预算（上限价），采购人不能支付的。</w:t>
      </w:r>
    </w:p>
    <w:p w14:paraId="3FE60A6B">
      <w:pPr>
        <w:pStyle w:val="4"/>
        <w:keepNext w:val="0"/>
        <w:keepLines w:val="0"/>
        <w:pageBreakBefore w:val="0"/>
        <w:widowControl w:val="0"/>
        <w:kinsoku w:val="0"/>
        <w:overflowPunct/>
        <w:topLinePunct w:val="0"/>
        <w:autoSpaceDE/>
        <w:autoSpaceDN/>
        <w:bidi w:val="0"/>
        <w:adjustRightInd w:val="0"/>
        <w:snapToGrid w:val="0"/>
        <w:spacing w:before="0" w:beforeLines="0" w:after="0" w:afterLines="0" w:line="360" w:lineRule="auto"/>
        <w:ind w:left="0" w:leftChars="0"/>
        <w:jc w:val="center"/>
        <w:textAlignment w:val="baseline"/>
        <w:rPr>
          <w:rFonts w:hint="eastAsia" w:ascii="宋体" w:hAnsi="宋体" w:eastAsia="宋体" w:cs="宋体"/>
          <w:b/>
          <w:bCs/>
          <w:color w:val="auto"/>
          <w:sz w:val="28"/>
          <w:szCs w:val="28"/>
          <w:highlight w:val="none"/>
          <w:lang w:val="zh-CN"/>
        </w:rPr>
      </w:pPr>
      <w:bookmarkStart w:id="154" w:name="_Toc260908195"/>
      <w:bookmarkStart w:id="155" w:name="_Toc224870956"/>
      <w:bookmarkStart w:id="156" w:name="_Toc260907979"/>
      <w:bookmarkStart w:id="157" w:name="_Toc184635079"/>
      <w:r>
        <w:rPr>
          <w:rFonts w:hint="eastAsia" w:ascii="宋体" w:hAnsi="宋体" w:eastAsia="宋体" w:cs="宋体"/>
          <w:b/>
          <w:bCs/>
          <w:color w:val="auto"/>
          <w:sz w:val="28"/>
          <w:szCs w:val="28"/>
          <w:highlight w:val="none"/>
          <w:lang w:val="zh-CN"/>
        </w:rPr>
        <w:t>（九）纪律和监督</w:t>
      </w:r>
      <w:bookmarkEnd w:id="154"/>
      <w:bookmarkEnd w:id="155"/>
      <w:bookmarkEnd w:id="156"/>
      <w:bookmarkEnd w:id="157"/>
    </w:p>
    <w:p w14:paraId="772A76C5">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bookmarkStart w:id="158" w:name="_Toc260908197"/>
      <w:bookmarkStart w:id="159" w:name="_Toc260907981"/>
      <w:bookmarkStart w:id="160" w:name="_Toc184635080"/>
      <w:r>
        <w:rPr>
          <w:rFonts w:hint="eastAsia" w:ascii="宋体" w:hAnsi="宋体" w:eastAsia="宋体" w:cs="宋体"/>
          <w:b/>
          <w:bCs/>
          <w:color w:val="auto"/>
          <w:sz w:val="24"/>
          <w:szCs w:val="24"/>
          <w:highlight w:val="none"/>
          <w:lang w:val="zh-CN"/>
        </w:rPr>
        <w:t>9.1 对采购人的纪律要求</w:t>
      </w:r>
    </w:p>
    <w:p w14:paraId="331B63D8">
      <w:pPr>
        <w:pageBreakBefore w:val="0"/>
        <w:widowControl w:val="0"/>
        <w:kinsoku w:val="0"/>
        <w:overflowPunct/>
        <w:topLinePunct w:val="0"/>
        <w:autoSpaceDE/>
        <w:autoSpaceDN/>
        <w:bidi w:val="0"/>
        <w:adjustRightInd w:val="0"/>
        <w:snapToGrid w:val="0"/>
        <w:spacing w:line="360" w:lineRule="auto"/>
        <w:ind w:left="0" w:leftChars="0" w:firstLine="540" w:firstLineChars="225"/>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采购人不得泄漏招标投标活动中应当保密的情况和资料，不得与投标人串通损害国有利益、社会公共利益或者他人合法权益。</w:t>
      </w:r>
    </w:p>
    <w:p w14:paraId="3CD22E1C">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9.2 对投标人的纪律要求</w:t>
      </w:r>
    </w:p>
    <w:p w14:paraId="663FBD70">
      <w:pPr>
        <w:pageBreakBefore w:val="0"/>
        <w:kinsoku w:val="0"/>
        <w:wordWrap w:val="0"/>
        <w:overflowPunct/>
        <w:topLinePunct w:val="0"/>
        <w:autoSpaceDE/>
        <w:autoSpaceDN/>
        <w:bidi w:val="0"/>
        <w:adjustRightInd w:val="0"/>
        <w:snapToGrid w:val="0"/>
        <w:spacing w:line="360" w:lineRule="auto"/>
        <w:ind w:left="0" w:leftChars="0" w:firstLine="540" w:firstLineChars="225"/>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365366A7">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9.3 对评标委员会成员的纪律要求</w:t>
      </w:r>
    </w:p>
    <w:p w14:paraId="3895DCE6">
      <w:pPr>
        <w:pageBreakBefore w:val="0"/>
        <w:widowControl w:val="0"/>
        <w:kinsoku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成员不得收受他人的财物或者其他好处，不得向他人透漏对投标文件的评审和比较、入围候选人的推荐情况以及评标有关的其他情况。在评标活动中，评标委员会成员不得擅离职守，影响评标程序正常进行，不得使用第三章“评标办法”没有规定的评审因素和标准进行评标。</w:t>
      </w:r>
    </w:p>
    <w:p w14:paraId="6848414A">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9.4 对与评标活动有关的工作人员的纪律要求</w:t>
      </w:r>
    </w:p>
    <w:p w14:paraId="36FD96A4">
      <w:pPr>
        <w:pageBreakBefore w:val="0"/>
        <w:kinsoku w:val="0"/>
        <w:wordWrap w:val="0"/>
        <w:overflowPunct/>
        <w:topLinePunct w:val="0"/>
        <w:autoSpaceDE/>
        <w:autoSpaceDN/>
        <w:bidi w:val="0"/>
        <w:adjustRightInd w:val="0"/>
        <w:snapToGrid w:val="0"/>
        <w:spacing w:line="360" w:lineRule="auto"/>
        <w:ind w:left="0" w:leftChars="0" w:firstLine="540" w:firstLineChars="225"/>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评标活动有关的工作人员不得收受他人的财物或者其他好处，不得向他人透漏对投标文件的评审和比较、入围候选人的推荐情况以及评标有关的其他情况。在评标活动中，与评标活动有关的工作人员不得擅离职守，影响评标程序正常进行。</w:t>
      </w:r>
    </w:p>
    <w:p w14:paraId="3988D47D">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9.5 质疑和投诉</w:t>
      </w:r>
    </w:p>
    <w:p w14:paraId="514CA11E">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9.5.1质疑期限</w:t>
      </w:r>
    </w:p>
    <w:p w14:paraId="03CDD059">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投标人认为招标文件、招标过程、中标结果使自己的权益受到损害的，可以在知道或者应知其权益受到损害之日起7个工作日内，以书面形式向采购人、采购代理机构提出质疑。</w:t>
      </w:r>
    </w:p>
    <w:p w14:paraId="09BE8EA6">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投标人应在法定质疑期内一次性提出针对同一采购程序环节的质疑。</w:t>
      </w:r>
    </w:p>
    <w:p w14:paraId="6E731F23">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潜在投标人已依法获取其可质疑的招标文件的，可以对该文件提出质疑。对招标文件提出质疑的，应当在获取招标文件或者招标文件公告期限届满之日起7个工作日内提出。</w:t>
      </w:r>
    </w:p>
    <w:p w14:paraId="517E81B1">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9.5.2质疑主体</w:t>
      </w:r>
    </w:p>
    <w:p w14:paraId="7D42466D">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提出质疑的投标人应当是参与所质疑项目采购活动的投标人。</w:t>
      </w:r>
    </w:p>
    <w:p w14:paraId="7294CFB6">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9.5.3质疑函</w:t>
      </w:r>
    </w:p>
    <w:p w14:paraId="51F16CBB">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投标人应在法定质疑期内一次性提出针对同一采购程序环节的质疑。投标人提出质疑应当提交质疑函和必要的证明材料。质疑函应当包括下列内容：</w:t>
      </w:r>
    </w:p>
    <w:p w14:paraId="35E52643">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（一）投标人的姓名或者名称、地址、邮编、联系人及联系电话；</w:t>
      </w:r>
    </w:p>
    <w:p w14:paraId="32F9BA7F">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（二）质疑项目的名称、编号；</w:t>
      </w:r>
    </w:p>
    <w:p w14:paraId="31747207">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（三）具体、明确的质疑事项和与质疑事项相关的请求；</w:t>
      </w:r>
    </w:p>
    <w:p w14:paraId="5B4752DA">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（四）事实依据；</w:t>
      </w:r>
    </w:p>
    <w:p w14:paraId="5A426D01">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（五）必要的法律依据；</w:t>
      </w:r>
    </w:p>
    <w:p w14:paraId="415CAA36">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（六）提出质疑的日期。</w:t>
      </w:r>
    </w:p>
    <w:p w14:paraId="1AFAB435">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投标人为自然人的，应当由本人电子签章；投标人为法人或者其他组织的，应当由法定代表人、主要负责人，或者其授权代表电子签章或者盖章，并加盖公章。</w:t>
      </w:r>
    </w:p>
    <w:p w14:paraId="1EE01FE3">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本招标文件中的公章是指经工商部门和公安部门登记备案的具有法律效力的行政法人公章。不包括“合同专用章”或“投标专用章”等投标人内部使用的业务章，下同。</w:t>
      </w:r>
    </w:p>
    <w:p w14:paraId="1733F7A6">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以委托代理人进行质疑和投诉。其授权委托书应当载明代理人的姓名或者名称、代理事项、具体权限、期限和相关事项。投标人为自然人的，应当由本人电子签章；投标人为法人或者其他组织的，应当由法定代表人、主要负责人电子签章或者盖章，并加盖公章。</w:t>
      </w:r>
    </w:p>
    <w:p w14:paraId="3FB046EA">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代理人提出质疑和投诉，应当提交供应商签署的授权委托书。</w:t>
      </w:r>
    </w:p>
    <w:p w14:paraId="689D4DE8">
      <w:pPr>
        <w:keepNext/>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9.5.4质疑函的递交</w:t>
      </w:r>
    </w:p>
    <w:p w14:paraId="75C2A162">
      <w:pPr>
        <w:pageBreakBefore w:val="0"/>
        <w:widowControl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质疑函采取现场书面递交形式。由法定代表人持本人身份证原件或授权委托代理人持本人身份证原件及授权委托书原件，同时携带质疑函(原件)和加盖单位公章的相关依据和证明材料，送至采购代理机构。</w:t>
      </w:r>
    </w:p>
    <w:p w14:paraId="46B62037">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9.5.5质疑回复</w:t>
      </w:r>
    </w:p>
    <w:p w14:paraId="53FEC24F">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采购人或者采购代理机构应在收到质疑函后7个工作日内作出答复，并以书面形式通知质疑的投标人和其他有关投标人，质疑答复的内容不得涉及商业秘密。</w:t>
      </w:r>
    </w:p>
    <w:p w14:paraId="6F7132DA">
      <w:pPr>
        <w:pageBreakBefore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9.5.6投诉</w:t>
      </w:r>
    </w:p>
    <w:p w14:paraId="64B8D373">
      <w:pPr>
        <w:pageBreakBefore w:val="0"/>
        <w:widowControl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投标人对采购人、采购代理机构的答复不满意，或者采购人、采购代理机构未在规定时间内作出答复的，可以在答复期满后15个工作日内向同级政府采购监督管理部门投诉。投标人提供的投诉书和必要的证明材料应符合中华人民共和国财政部令第94号《政府采购质疑和投诉办法》的规定。</w:t>
      </w:r>
    </w:p>
    <w:p w14:paraId="2194BF2B">
      <w:pPr>
        <w:pStyle w:val="4"/>
        <w:keepLines w:val="0"/>
        <w:pageBreakBefore w:val="0"/>
        <w:widowControl w:val="0"/>
        <w:kinsoku w:val="0"/>
        <w:overflowPunct/>
        <w:topLinePunct w:val="0"/>
        <w:autoSpaceDE/>
        <w:autoSpaceDN/>
        <w:bidi w:val="0"/>
        <w:adjustRightInd w:val="0"/>
        <w:snapToGrid w:val="0"/>
        <w:spacing w:before="0" w:beforeLines="0" w:after="0" w:afterLines="0" w:line="360" w:lineRule="auto"/>
        <w:ind w:left="0" w:leftChars="0"/>
        <w:jc w:val="center"/>
        <w:textAlignment w:val="baseline"/>
        <w:rPr>
          <w:rFonts w:hint="eastAsia" w:ascii="宋体" w:hAnsi="宋体" w:eastAsia="宋体" w:cs="宋体"/>
          <w:b/>
          <w:bCs/>
          <w:color w:val="auto"/>
          <w:sz w:val="28"/>
          <w:szCs w:val="28"/>
          <w:highlight w:val="none"/>
          <w:lang w:val="zh-CN"/>
        </w:rPr>
      </w:pPr>
      <w:bookmarkStart w:id="161" w:name="_Toc224870957"/>
      <w:r>
        <w:rPr>
          <w:rFonts w:hint="eastAsia" w:ascii="宋体" w:hAnsi="宋体" w:eastAsia="宋体" w:cs="宋体"/>
          <w:b/>
          <w:bCs/>
          <w:color w:val="auto"/>
          <w:sz w:val="28"/>
          <w:szCs w:val="28"/>
          <w:highlight w:val="none"/>
          <w:lang w:val="zh-CN"/>
        </w:rPr>
        <w:t>（十）需要补充的其他内容</w:t>
      </w:r>
      <w:bookmarkEnd w:id="158"/>
      <w:bookmarkEnd w:id="159"/>
      <w:bookmarkEnd w:id="160"/>
      <w:bookmarkEnd w:id="161"/>
    </w:p>
    <w:p w14:paraId="627686AC">
      <w:pPr>
        <w:pStyle w:val="51"/>
        <w:pageBreakBefore w:val="0"/>
        <w:kinsoku w:val="0"/>
        <w:overflowPunct/>
        <w:topLinePunct w:val="0"/>
        <w:autoSpaceDE/>
        <w:autoSpaceDN/>
        <w:bidi w:val="0"/>
        <w:adjustRightInd w:val="0"/>
        <w:snapToGrid w:val="0"/>
        <w:spacing w:before="0" w:after="0" w:line="360" w:lineRule="auto"/>
        <w:ind w:left="0" w:leftChars="0"/>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10.</w:t>
      </w: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zh-CN"/>
        </w:rPr>
        <w:t xml:space="preserve"> 采购人补充的其他内容</w:t>
      </w:r>
    </w:p>
    <w:p w14:paraId="7FCD0194">
      <w:pPr>
        <w:pStyle w:val="8"/>
        <w:pageBreakBefore w:val="0"/>
        <w:kinsoku w:val="0"/>
        <w:overflowPunct/>
        <w:topLinePunct w:val="0"/>
        <w:autoSpaceDE/>
        <w:autoSpaceDN/>
        <w:bidi w:val="0"/>
        <w:adjustRightInd w:val="0"/>
        <w:snapToGrid w:val="0"/>
        <w:spacing w:line="360" w:lineRule="auto"/>
        <w:ind w:left="0" w:leftChars="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见投标人须知前附表</w:t>
      </w:r>
      <w:r>
        <w:rPr>
          <w:rFonts w:hint="eastAsia" w:ascii="宋体" w:hAnsi="宋体" w:eastAsia="宋体" w:cs="宋体"/>
          <w:color w:val="auto"/>
          <w:sz w:val="24"/>
          <w:szCs w:val="24"/>
          <w:highlight w:val="none"/>
          <w:lang w:eastAsia="zh-CN"/>
        </w:rPr>
        <w:t>。</w:t>
      </w:r>
    </w:p>
    <w:p w14:paraId="33D2DE3B">
      <w:pPr>
        <w:rPr>
          <w:rFonts w:hint="eastAsia" w:ascii="宋体" w:hAnsi="宋体" w:eastAsia="宋体" w:cs="宋体"/>
          <w:color w:val="auto"/>
          <w:highlight w:val="none"/>
          <w:lang w:eastAsia="zh-CN"/>
        </w:rPr>
        <w:sectPr>
          <w:pgSz w:w="11907" w:h="16840"/>
          <w:pgMar w:top="1440" w:right="1080" w:bottom="1440" w:left="1080" w:header="850" w:footer="992" w:gutter="0"/>
          <w:pgNumType w:fmt="decimal"/>
          <w:cols w:space="720" w:num="1"/>
          <w:docGrid w:linePitch="286" w:charSpace="0"/>
        </w:sectPr>
      </w:pPr>
    </w:p>
    <w:p w14:paraId="3BE475C2">
      <w:pPr>
        <w:spacing w:line="360" w:lineRule="auto"/>
        <w:ind w:left="0" w:leftChars="0" w:firstLine="0" w:firstLineChars="0"/>
        <w:jc w:val="center"/>
        <w:outlineLvl w:val="0"/>
        <w:rPr>
          <w:rFonts w:hint="eastAsia" w:ascii="宋体" w:hAnsi="宋体" w:eastAsia="宋体" w:cs="宋体"/>
          <w:b/>
          <w:color w:val="auto"/>
          <w:sz w:val="36"/>
          <w:szCs w:val="36"/>
          <w:highlight w:val="none"/>
        </w:rPr>
      </w:pPr>
      <w:bookmarkStart w:id="162" w:name="_Toc353825544"/>
      <w:bookmarkStart w:id="163" w:name="_Toc226337250"/>
      <w:bookmarkStart w:id="164" w:name="_Toc150774759"/>
      <w:bookmarkStart w:id="165" w:name="_Toc305158896"/>
      <w:bookmarkStart w:id="166" w:name="_Toc127151554"/>
      <w:bookmarkStart w:id="167" w:name="_Toc305158822"/>
      <w:bookmarkStart w:id="168" w:name="_Toc264969244"/>
      <w:bookmarkStart w:id="169" w:name="_Toc353873664"/>
      <w:bookmarkStart w:id="170" w:name="_Toc142311056"/>
      <w:bookmarkStart w:id="171" w:name="_Toc353873934"/>
      <w:bookmarkStart w:id="172" w:name="_Toc150480792"/>
      <w:bookmarkStart w:id="173" w:name="_Toc226965827"/>
      <w:bookmarkStart w:id="174" w:name="_Toc265228392"/>
      <w:bookmarkStart w:id="175" w:name="_Toc31161"/>
      <w:r>
        <w:rPr>
          <w:rFonts w:hint="eastAsia" w:ascii="宋体" w:hAnsi="宋体" w:eastAsia="宋体" w:cs="宋体"/>
          <w:b/>
          <w:color w:val="auto"/>
          <w:sz w:val="36"/>
          <w:szCs w:val="36"/>
          <w:highlight w:val="none"/>
        </w:rPr>
        <w:t xml:space="preserve">第三章   </w:t>
      </w:r>
      <w:bookmarkEnd w:id="162"/>
      <w:bookmarkEnd w:id="163"/>
      <w:bookmarkEnd w:id="164"/>
      <w:bookmarkEnd w:id="165"/>
      <w:bookmarkEnd w:id="166"/>
      <w:bookmarkEnd w:id="167"/>
      <w:bookmarkEnd w:id="168"/>
      <w:bookmarkEnd w:id="169"/>
      <w:bookmarkEnd w:id="170"/>
      <w:bookmarkEnd w:id="171"/>
      <w:bookmarkEnd w:id="172"/>
      <w:bookmarkEnd w:id="173"/>
      <w:bookmarkEnd w:id="174"/>
      <w:r>
        <w:rPr>
          <w:rFonts w:hint="eastAsia" w:ascii="宋体" w:hAnsi="宋体" w:eastAsia="宋体" w:cs="宋体"/>
          <w:b/>
          <w:color w:val="auto"/>
          <w:sz w:val="36"/>
          <w:szCs w:val="36"/>
          <w:highlight w:val="none"/>
        </w:rPr>
        <w:t>资格审查</w:t>
      </w:r>
      <w:bookmarkEnd w:id="175"/>
      <w:bookmarkStart w:id="176" w:name="_Toc487900382"/>
    </w:p>
    <w:p w14:paraId="4A70705A">
      <w:pPr>
        <w:tabs>
          <w:tab w:val="left" w:pos="360"/>
          <w:tab w:val="left" w:pos="900"/>
        </w:tabs>
        <w:snapToGrid w:val="0"/>
        <w:spacing w:line="360" w:lineRule="auto"/>
        <w:jc w:val="center"/>
        <w:outlineLvl w:val="1"/>
        <w:rPr>
          <w:rFonts w:hint="eastAsia" w:ascii="宋体" w:hAnsi="宋体" w:eastAsia="宋体" w:cs="宋体"/>
          <w:b/>
          <w:color w:val="auto"/>
          <w:sz w:val="24"/>
          <w:highlight w:val="none"/>
        </w:rPr>
      </w:pPr>
      <w:bookmarkStart w:id="177" w:name="_Toc99301422"/>
      <w:r>
        <w:rPr>
          <w:rFonts w:hint="eastAsia" w:ascii="宋体" w:hAnsi="宋体" w:eastAsia="宋体" w:cs="宋体"/>
          <w:b/>
          <w:color w:val="auto"/>
          <w:sz w:val="24"/>
          <w:highlight w:val="none"/>
        </w:rPr>
        <w:t>一、资格审查程序</w:t>
      </w:r>
      <w:bookmarkEnd w:id="177"/>
    </w:p>
    <w:p w14:paraId="34BC645A">
      <w:pPr>
        <w:numPr>
          <w:ilvl w:val="0"/>
          <w:numId w:val="0"/>
        </w:numPr>
        <w:tabs>
          <w:tab w:val="left" w:pos="426"/>
          <w:tab w:val="left" w:pos="851"/>
        </w:tabs>
        <w:snapToGrid w:val="0"/>
        <w:spacing w:line="360" w:lineRule="auto"/>
        <w:ind w:leftChars="200" w:firstLine="480" w:firstLineChars="200"/>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开标结束后，采购人或采购代理机构将根据《资格审查要求》中的规定，对投标人进行资格审查，并形成资格审查结果。</w:t>
      </w:r>
    </w:p>
    <w:p w14:paraId="4C607531">
      <w:pPr>
        <w:numPr>
          <w:ilvl w:val="0"/>
          <w:numId w:val="0"/>
        </w:numPr>
        <w:tabs>
          <w:tab w:val="left" w:pos="426"/>
          <w:tab w:val="left" w:pos="851"/>
        </w:tabs>
        <w:snapToGrid w:val="0"/>
        <w:spacing w:line="360" w:lineRule="auto"/>
        <w:ind w:leftChars="200" w:firstLine="480" w:firstLineChars="200"/>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《资格审查要求》中对格式有要求的，除招标文件另有规定外，均为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实质性格式</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文件。</w:t>
      </w:r>
    </w:p>
    <w:p w14:paraId="1356C24B">
      <w:pPr>
        <w:numPr>
          <w:ilvl w:val="0"/>
          <w:numId w:val="0"/>
        </w:numPr>
        <w:tabs>
          <w:tab w:val="left" w:pos="426"/>
          <w:tab w:val="left" w:pos="851"/>
        </w:tabs>
        <w:snapToGrid w:val="0"/>
        <w:spacing w:line="360" w:lineRule="auto"/>
        <w:ind w:leftChars="200" w:firstLine="480" w:firstLineChars="200"/>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投标人《资格证明文件》有任何一项不符合《资格审查要求》的，资格审查不合格，其</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14:paraId="6574C0AA">
      <w:pPr>
        <w:numPr>
          <w:ilvl w:val="0"/>
          <w:numId w:val="0"/>
        </w:numPr>
        <w:tabs>
          <w:tab w:val="left" w:pos="426"/>
          <w:tab w:val="left" w:pos="851"/>
        </w:tabs>
        <w:snapToGrid w:val="0"/>
        <w:spacing w:line="360" w:lineRule="auto"/>
        <w:ind w:leftChars="200" w:firstLine="480" w:firstLineChars="200"/>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资格审查合格的投标人不足3家的，不进行评标。</w:t>
      </w:r>
    </w:p>
    <w:p w14:paraId="0A7764A6">
      <w:pPr>
        <w:widowControl/>
        <w:jc w:val="left"/>
        <w:rPr>
          <w:rFonts w:hint="eastAsia" w:ascii="宋体" w:hAnsi="宋体" w:eastAsia="宋体" w:cs="宋体"/>
          <w:color w:val="auto"/>
          <w:sz w:val="24"/>
          <w:highlight w:val="none"/>
        </w:rPr>
      </w:pPr>
    </w:p>
    <w:p w14:paraId="4F5C1921">
      <w:pPr>
        <w:tabs>
          <w:tab w:val="left" w:pos="360"/>
          <w:tab w:val="left" w:pos="900"/>
        </w:tabs>
        <w:snapToGrid w:val="0"/>
        <w:spacing w:line="360" w:lineRule="auto"/>
        <w:jc w:val="center"/>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二、资格审查要求</w:t>
      </w:r>
    </w:p>
    <w:tbl>
      <w:tblPr>
        <w:tblStyle w:val="2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6"/>
        <w:gridCol w:w="2801"/>
        <w:gridCol w:w="4498"/>
        <w:gridCol w:w="1758"/>
      </w:tblGrid>
      <w:tr w14:paraId="4B758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noWrap w:val="0"/>
            <w:vAlign w:val="center"/>
          </w:tcPr>
          <w:p w14:paraId="03527059">
            <w:pPr>
              <w:tabs>
                <w:tab w:val="left" w:pos="1080"/>
              </w:tabs>
              <w:snapToGrid w:val="0"/>
              <w:ind w:left="0" w:leftChars="0" w:firstLine="0" w:firstLineChars="0"/>
              <w:jc w:val="center"/>
              <w:rPr>
                <w:rFonts w:hint="eastAsia" w:ascii="宋体" w:hAnsi="宋体" w:eastAsia="宋体" w:cs="宋体"/>
                <w:b/>
                <w:color w:val="auto"/>
                <w:sz w:val="24"/>
                <w:highlight w:val="none"/>
              </w:rPr>
            </w:pPr>
            <w:bookmarkStart w:id="178" w:name="_Hlt487972895"/>
            <w:bookmarkEnd w:id="178"/>
            <w:r>
              <w:rPr>
                <w:rFonts w:hint="eastAsia" w:ascii="宋体" w:hAnsi="宋体" w:eastAsia="宋体" w:cs="宋体"/>
                <w:b/>
                <w:color w:val="auto"/>
                <w:sz w:val="24"/>
                <w:highlight w:val="none"/>
              </w:rPr>
              <w:t>序号</w:t>
            </w:r>
          </w:p>
        </w:tc>
        <w:tc>
          <w:tcPr>
            <w:tcW w:w="1405" w:type="pct"/>
            <w:noWrap w:val="0"/>
            <w:vAlign w:val="center"/>
          </w:tcPr>
          <w:p w14:paraId="3EC62AC1">
            <w:pPr>
              <w:tabs>
                <w:tab w:val="left" w:pos="1080"/>
              </w:tabs>
              <w:snapToGrid w:val="0"/>
              <w:ind w:left="0" w:leftChars="0" w:firstLine="0" w:firstLineChars="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审查因素</w:t>
            </w:r>
          </w:p>
        </w:tc>
        <w:tc>
          <w:tcPr>
            <w:tcW w:w="2257" w:type="pct"/>
            <w:noWrap w:val="0"/>
            <w:vAlign w:val="center"/>
          </w:tcPr>
          <w:p w14:paraId="4D81806D">
            <w:pPr>
              <w:tabs>
                <w:tab w:val="left" w:pos="1080"/>
              </w:tabs>
              <w:snapToGrid w:val="0"/>
              <w:ind w:left="0" w:leftChars="0" w:firstLine="0" w:firstLineChars="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审查内容</w:t>
            </w:r>
          </w:p>
        </w:tc>
        <w:tc>
          <w:tcPr>
            <w:tcW w:w="882" w:type="pct"/>
            <w:noWrap w:val="0"/>
            <w:vAlign w:val="center"/>
          </w:tcPr>
          <w:p w14:paraId="3588F194">
            <w:pPr>
              <w:tabs>
                <w:tab w:val="left" w:pos="1080"/>
              </w:tabs>
              <w:snapToGrid w:val="0"/>
              <w:ind w:left="0" w:leftChars="0" w:firstLine="0" w:firstLineChars="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格式要求</w:t>
            </w:r>
          </w:p>
        </w:tc>
      </w:tr>
      <w:tr w14:paraId="1F21B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2436B4FC">
            <w:pPr>
              <w:tabs>
                <w:tab w:val="left" w:pos="1080"/>
              </w:tabs>
              <w:snapToGrid w:val="0"/>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405" w:type="pct"/>
            <w:noWrap w:val="0"/>
            <w:vAlign w:val="center"/>
          </w:tcPr>
          <w:p w14:paraId="77682A82">
            <w:pPr>
              <w:tabs>
                <w:tab w:val="left" w:pos="1080"/>
              </w:tabs>
              <w:snapToGrid w:val="0"/>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满足《中华人民共和国政府采购法》第二十二条规定</w:t>
            </w:r>
          </w:p>
        </w:tc>
        <w:tc>
          <w:tcPr>
            <w:tcW w:w="2257" w:type="pct"/>
            <w:noWrap w:val="0"/>
            <w:vAlign w:val="center"/>
          </w:tcPr>
          <w:p w14:paraId="5AE912D8">
            <w:pPr>
              <w:tabs>
                <w:tab w:val="left" w:pos="1080"/>
              </w:tabs>
              <w:snapToGrid w:val="0"/>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具体规定见第一章《</w:t>
            </w:r>
            <w:r>
              <w:rPr>
                <w:rFonts w:hint="eastAsia" w:ascii="宋体" w:hAnsi="宋体" w:eastAsia="宋体" w:cs="宋体"/>
                <w:color w:val="auto"/>
                <w:sz w:val="24"/>
                <w:highlight w:val="none"/>
                <w:lang w:eastAsia="zh-CN"/>
              </w:rPr>
              <w:t>招标公告</w:t>
            </w:r>
            <w:r>
              <w:rPr>
                <w:rFonts w:hint="eastAsia" w:ascii="宋体" w:hAnsi="宋体" w:eastAsia="宋体" w:cs="宋体"/>
                <w:color w:val="auto"/>
                <w:sz w:val="24"/>
                <w:highlight w:val="none"/>
              </w:rPr>
              <w:t>》</w:t>
            </w:r>
          </w:p>
        </w:tc>
        <w:tc>
          <w:tcPr>
            <w:tcW w:w="882" w:type="pct"/>
            <w:noWrap w:val="0"/>
            <w:vAlign w:val="center"/>
          </w:tcPr>
          <w:p w14:paraId="45C2EBA7">
            <w:pPr>
              <w:tabs>
                <w:tab w:val="left" w:pos="1080"/>
              </w:tabs>
              <w:snapToGrid w:val="0"/>
              <w:ind w:left="0" w:leftChars="0" w:firstLine="0" w:firstLineChars="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格式见《投标文件格式》</w:t>
            </w:r>
          </w:p>
        </w:tc>
      </w:tr>
      <w:tr w14:paraId="42DFE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13FBE410">
            <w:pPr>
              <w:tabs>
                <w:tab w:val="left" w:pos="1080"/>
              </w:tabs>
              <w:snapToGrid w:val="0"/>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405" w:type="pct"/>
            <w:noWrap w:val="0"/>
            <w:vAlign w:val="center"/>
          </w:tcPr>
          <w:p w14:paraId="5ED32EC9">
            <w:pPr>
              <w:tabs>
                <w:tab w:val="left" w:pos="1080"/>
              </w:tabs>
              <w:snapToGrid w:val="0"/>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落实政府采购政策需满足的资格要求</w:t>
            </w:r>
          </w:p>
        </w:tc>
        <w:tc>
          <w:tcPr>
            <w:tcW w:w="2257" w:type="pct"/>
            <w:noWrap w:val="0"/>
            <w:vAlign w:val="center"/>
          </w:tcPr>
          <w:p w14:paraId="0CC575A8">
            <w:pPr>
              <w:tabs>
                <w:tab w:val="left" w:pos="1080"/>
              </w:tabs>
              <w:snapToGrid w:val="0"/>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具体要求见第一章《</w:t>
            </w:r>
            <w:r>
              <w:rPr>
                <w:rFonts w:hint="eastAsia" w:ascii="宋体" w:hAnsi="宋体" w:eastAsia="宋体" w:cs="宋体"/>
                <w:color w:val="auto"/>
                <w:sz w:val="24"/>
                <w:highlight w:val="none"/>
                <w:lang w:eastAsia="zh-CN"/>
              </w:rPr>
              <w:t>招标公告</w:t>
            </w:r>
            <w:r>
              <w:rPr>
                <w:rFonts w:hint="eastAsia" w:ascii="宋体" w:hAnsi="宋体" w:eastAsia="宋体" w:cs="宋体"/>
                <w:color w:val="auto"/>
                <w:sz w:val="24"/>
                <w:highlight w:val="none"/>
              </w:rPr>
              <w:t>》</w:t>
            </w:r>
          </w:p>
        </w:tc>
        <w:tc>
          <w:tcPr>
            <w:tcW w:w="882" w:type="pct"/>
            <w:noWrap w:val="0"/>
            <w:vAlign w:val="center"/>
          </w:tcPr>
          <w:p w14:paraId="6592AA20">
            <w:pPr>
              <w:tabs>
                <w:tab w:val="left" w:pos="1080"/>
              </w:tabs>
              <w:snapToGrid w:val="0"/>
              <w:jc w:val="center"/>
              <w:rPr>
                <w:rFonts w:hint="eastAsia" w:ascii="宋体" w:hAnsi="宋体" w:eastAsia="宋体" w:cs="宋体"/>
                <w:color w:val="auto"/>
                <w:sz w:val="24"/>
                <w:highlight w:val="none"/>
              </w:rPr>
            </w:pPr>
          </w:p>
        </w:tc>
      </w:tr>
      <w:tr w14:paraId="5AE78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27E3B028">
            <w:pPr>
              <w:tabs>
                <w:tab w:val="left" w:pos="1080"/>
              </w:tabs>
              <w:snapToGrid w:val="0"/>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405" w:type="pct"/>
            <w:noWrap w:val="0"/>
            <w:vAlign w:val="center"/>
          </w:tcPr>
          <w:p w14:paraId="08D61451">
            <w:pPr>
              <w:tabs>
                <w:tab w:val="left" w:pos="1080"/>
              </w:tabs>
              <w:snapToGrid w:val="0"/>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本项目的特定资格要求</w:t>
            </w:r>
          </w:p>
        </w:tc>
        <w:tc>
          <w:tcPr>
            <w:tcW w:w="2257" w:type="pct"/>
            <w:noWrap w:val="0"/>
            <w:vAlign w:val="center"/>
          </w:tcPr>
          <w:p w14:paraId="7E722ED4">
            <w:pPr>
              <w:tabs>
                <w:tab w:val="left" w:pos="1080"/>
              </w:tabs>
              <w:snapToGrid w:val="0"/>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如有，见第一章《</w:t>
            </w:r>
            <w:r>
              <w:rPr>
                <w:rFonts w:hint="eastAsia" w:ascii="宋体" w:hAnsi="宋体" w:eastAsia="宋体" w:cs="宋体"/>
                <w:color w:val="auto"/>
                <w:sz w:val="24"/>
                <w:highlight w:val="none"/>
                <w:lang w:eastAsia="zh-CN"/>
              </w:rPr>
              <w:t>招标公告</w:t>
            </w:r>
            <w:r>
              <w:rPr>
                <w:rFonts w:hint="eastAsia" w:ascii="宋体" w:hAnsi="宋体" w:eastAsia="宋体" w:cs="宋体"/>
                <w:color w:val="auto"/>
                <w:sz w:val="24"/>
                <w:highlight w:val="none"/>
              </w:rPr>
              <w:t>》</w:t>
            </w:r>
          </w:p>
        </w:tc>
        <w:tc>
          <w:tcPr>
            <w:tcW w:w="882" w:type="pct"/>
            <w:noWrap w:val="0"/>
            <w:vAlign w:val="center"/>
          </w:tcPr>
          <w:p w14:paraId="669F1609">
            <w:pPr>
              <w:tabs>
                <w:tab w:val="left" w:pos="1080"/>
              </w:tabs>
              <w:snapToGrid w:val="0"/>
              <w:jc w:val="center"/>
              <w:rPr>
                <w:rFonts w:hint="eastAsia" w:ascii="宋体" w:hAnsi="宋体" w:eastAsia="宋体" w:cs="宋体"/>
                <w:color w:val="auto"/>
                <w:sz w:val="24"/>
                <w:highlight w:val="none"/>
              </w:rPr>
            </w:pPr>
          </w:p>
        </w:tc>
      </w:t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176"/>
    </w:tbl>
    <w:p w14:paraId="4DD5D563">
      <w:pPr>
        <w:widowControl/>
        <w:jc w:val="left"/>
        <w:rPr>
          <w:rFonts w:hint="eastAsia" w:ascii="宋体" w:hAnsi="宋体" w:eastAsia="宋体" w:cs="宋体"/>
          <w:color w:val="auto"/>
          <w:sz w:val="24"/>
          <w:highlight w:val="none"/>
        </w:rPr>
      </w:pPr>
      <w:bookmarkStart w:id="179" w:name="_Toc353825550"/>
      <w:bookmarkStart w:id="180" w:name="_Toc226965858"/>
      <w:bookmarkStart w:id="181" w:name="_Toc127161490"/>
      <w:bookmarkStart w:id="182" w:name="_Toc353873940"/>
      <w:bookmarkStart w:id="183" w:name="_Toc127151779"/>
      <w:r>
        <w:rPr>
          <w:rFonts w:hint="eastAsia" w:ascii="宋体" w:hAnsi="宋体" w:eastAsia="宋体" w:cs="宋体"/>
          <w:color w:val="auto"/>
          <w:sz w:val="24"/>
          <w:highlight w:val="none"/>
        </w:rPr>
        <w:br w:type="page"/>
      </w:r>
    </w:p>
    <w:p w14:paraId="2CF920B9">
      <w:pPr>
        <w:spacing w:line="360" w:lineRule="auto"/>
        <w:jc w:val="center"/>
        <w:outlineLvl w:val="0"/>
        <w:rPr>
          <w:rFonts w:hint="eastAsia" w:ascii="宋体" w:hAnsi="宋体" w:eastAsia="宋体" w:cs="宋体"/>
          <w:b/>
          <w:color w:val="auto"/>
          <w:sz w:val="36"/>
          <w:szCs w:val="36"/>
          <w:highlight w:val="none"/>
        </w:rPr>
      </w:pPr>
      <w:bookmarkStart w:id="184" w:name="_Toc1658"/>
      <w:r>
        <w:rPr>
          <w:rFonts w:hint="eastAsia" w:ascii="宋体" w:hAnsi="宋体" w:eastAsia="宋体" w:cs="宋体"/>
          <w:b/>
          <w:color w:val="auto"/>
          <w:sz w:val="36"/>
          <w:szCs w:val="36"/>
          <w:highlight w:val="none"/>
        </w:rPr>
        <w:t xml:space="preserve">第四章   </w:t>
      </w:r>
      <w:bookmarkEnd w:id="179"/>
      <w:bookmarkEnd w:id="180"/>
      <w:bookmarkEnd w:id="181"/>
      <w:bookmarkEnd w:id="182"/>
      <w:bookmarkEnd w:id="183"/>
      <w:bookmarkStart w:id="185" w:name="_Hlt164229061"/>
      <w:bookmarkEnd w:id="185"/>
      <w:r>
        <w:rPr>
          <w:rFonts w:hint="eastAsia" w:ascii="宋体" w:hAnsi="宋体" w:eastAsia="宋体" w:cs="宋体"/>
          <w:b/>
          <w:color w:val="auto"/>
          <w:sz w:val="36"/>
          <w:szCs w:val="36"/>
          <w:highlight w:val="none"/>
        </w:rPr>
        <w:t>评标方法</w:t>
      </w:r>
      <w:bookmarkEnd w:id="184"/>
    </w:p>
    <w:p w14:paraId="054423D7">
      <w:pPr>
        <w:keepNext w:val="0"/>
        <w:keepLines w:val="0"/>
        <w:pageBreakBefore w:val="0"/>
        <w:widowControl w:val="0"/>
        <w:numPr>
          <w:ilvl w:val="0"/>
          <w:numId w:val="0"/>
        </w:numPr>
        <w:tabs>
          <w:tab w:val="left" w:pos="360"/>
        </w:tabs>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color w:val="auto"/>
          <w:sz w:val="24"/>
          <w:highlight w:val="none"/>
        </w:rPr>
      </w:pPr>
      <w:bookmarkStart w:id="186" w:name="_Toc150774641"/>
      <w:bookmarkStart w:id="187" w:name="_Toc149720834"/>
      <w:bookmarkStart w:id="188" w:name="_Toc264969231"/>
      <w:bookmarkStart w:id="189" w:name="_Toc151193929"/>
      <w:bookmarkStart w:id="190" w:name="_Toc127151742"/>
      <w:bookmarkStart w:id="191" w:name="_Toc150509292"/>
      <w:bookmarkStart w:id="192" w:name="_Toc151190168"/>
      <w:bookmarkStart w:id="193" w:name="_Toc142311043"/>
      <w:bookmarkStart w:id="194" w:name="_Toc226309785"/>
      <w:bookmarkStart w:id="195" w:name="_Toc265228379"/>
      <w:bookmarkStart w:id="196" w:name="_Toc226337237"/>
      <w:bookmarkStart w:id="197" w:name="_Toc151193783"/>
      <w:bookmarkStart w:id="198" w:name="_Toc151193711"/>
      <w:bookmarkStart w:id="199" w:name="_Toc305158809"/>
      <w:bookmarkStart w:id="200" w:name="_Toc195842906"/>
      <w:bookmarkStart w:id="201" w:name="_Toc127161455"/>
      <w:bookmarkStart w:id="202" w:name="_Toc151193855"/>
      <w:bookmarkStart w:id="203" w:name="_Toc127151541"/>
      <w:bookmarkStart w:id="204" w:name="_Toc164608810"/>
      <w:bookmarkStart w:id="205" w:name="_Toc150480779"/>
      <w:bookmarkStart w:id="206" w:name="_Toc164351635"/>
      <w:bookmarkStart w:id="207" w:name="_Toc164229382"/>
      <w:bookmarkStart w:id="208" w:name="_Toc226965731"/>
      <w:bookmarkStart w:id="209" w:name="_Toc226965814"/>
      <w:bookmarkStart w:id="210" w:name="_Toc305158883"/>
      <w:bookmarkStart w:id="211" w:name="_Toc151193639"/>
      <w:bookmarkStart w:id="212" w:name="_Toc150774746"/>
      <w:bookmarkStart w:id="213" w:name="_Toc164608655"/>
      <w:bookmarkStart w:id="214" w:name="_Toc164229236"/>
      <w:bookmarkStart w:id="215" w:name="_Toc353873941"/>
      <w:bookmarkStart w:id="216" w:name="_Toc353825551"/>
      <w:bookmarkStart w:id="217" w:name="_Toc305158897"/>
      <w:bookmarkStart w:id="218" w:name="_Toc226965828"/>
      <w:bookmarkStart w:id="219" w:name="_Toc195842920"/>
      <w:bookmarkStart w:id="220" w:name="_Toc142311057"/>
      <w:bookmarkStart w:id="221" w:name="_Toc353825545"/>
      <w:bookmarkStart w:id="222" w:name="_Toc226337251"/>
      <w:bookmarkStart w:id="223" w:name="_Toc353873935"/>
      <w:bookmarkStart w:id="224" w:name="_Toc150774760"/>
      <w:bookmarkStart w:id="225" w:name="_Toc264969245"/>
      <w:bookmarkStart w:id="226" w:name="_Toc353873665"/>
      <w:bookmarkStart w:id="227" w:name="_Toc127151555"/>
      <w:bookmarkStart w:id="228" w:name="_Toc305158823"/>
      <w:bookmarkStart w:id="229" w:name="_Toc150480793"/>
      <w:bookmarkStart w:id="230" w:name="_Toc265228393"/>
      <w:r>
        <w:rPr>
          <w:rFonts w:hint="eastAsia" w:ascii="宋体" w:hAnsi="宋体" w:eastAsia="宋体" w:cs="宋体"/>
          <w:color w:val="auto"/>
          <w:sz w:val="24"/>
          <w:highlight w:val="none"/>
        </w:rPr>
        <w:t>投标文件的符合性审查</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3783DD4A">
      <w:pPr>
        <w:keepNext w:val="0"/>
        <w:keepLines w:val="0"/>
        <w:pageBreakBefore w:val="0"/>
        <w:widowControl w:val="0"/>
        <w:numPr>
          <w:ilvl w:val="1"/>
          <w:numId w:val="0"/>
        </w:numP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kern w:val="2"/>
          <w:sz w:val="24"/>
          <w:szCs w:val="24"/>
          <w:highlight w:val="none"/>
          <w:lang w:val="en-US" w:eastAsia="zh-CN" w:bidi="ar-SA"/>
        </w:rPr>
        <w:t>1.1</w:t>
      </w:r>
      <w:r>
        <w:rPr>
          <w:rFonts w:hint="eastAsia" w:ascii="宋体" w:hAnsi="宋体" w:eastAsia="宋体" w:cs="宋体"/>
          <w:color w:val="auto"/>
          <w:sz w:val="24"/>
          <w:highlight w:val="none"/>
        </w:rPr>
        <w:t>评标委员会对资格审查合格的投标人的投标文件进行符合性审查，以确定其是否满足招标文件的实质性要求。</w:t>
      </w:r>
      <w:bookmarkStart w:id="231" w:name="_Toc520356167"/>
    </w:p>
    <w:p w14:paraId="0EB035E1">
      <w:pPr>
        <w:keepNext w:val="0"/>
        <w:keepLines w:val="0"/>
        <w:pageBreakBefore w:val="0"/>
        <w:widowControl w:val="0"/>
        <w:numPr>
          <w:ilvl w:val="1"/>
          <w:numId w:val="0"/>
        </w:numPr>
        <w:tabs>
          <w:tab w:val="left" w:pos="108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kern w:val="2"/>
          <w:sz w:val="24"/>
          <w:szCs w:val="24"/>
          <w:highlight w:val="none"/>
          <w:lang w:val="en-US" w:eastAsia="zh-CN" w:bidi="ar-SA"/>
        </w:rPr>
        <w:t>1.2</w:t>
      </w:r>
      <w:r>
        <w:rPr>
          <w:rFonts w:hint="eastAsia" w:ascii="宋体" w:hAnsi="宋体" w:eastAsia="宋体" w:cs="宋体"/>
          <w:color w:val="auto"/>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231"/>
      <w:r>
        <w:rPr>
          <w:rFonts w:hint="eastAsia" w:ascii="宋体" w:hAnsi="宋体" w:eastAsia="宋体" w:cs="宋体"/>
          <w:color w:val="auto"/>
          <w:sz w:val="24"/>
          <w:highlight w:val="none"/>
        </w:rPr>
        <w:t>要求的，</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14:paraId="0BBB8CA9">
      <w:pPr>
        <w:keepNext w:val="0"/>
        <w:keepLines w:val="0"/>
        <w:pageBreakBefore w:val="0"/>
        <w:widowControl w:val="0"/>
        <w:numPr>
          <w:ilvl w:val="1"/>
          <w:numId w:val="0"/>
        </w:numPr>
        <w:tabs>
          <w:tab w:val="left" w:pos="1080"/>
        </w:tabs>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一、</w:t>
      </w:r>
      <w:r>
        <w:rPr>
          <w:rFonts w:hint="eastAsia" w:ascii="宋体" w:hAnsi="宋体" w:eastAsia="宋体" w:cs="宋体"/>
          <w:b/>
          <w:color w:val="auto"/>
          <w:sz w:val="24"/>
          <w:highlight w:val="none"/>
        </w:rPr>
        <w:t>评标标准</w:t>
      </w:r>
    </w:p>
    <w:tbl>
      <w:tblPr>
        <w:tblStyle w:val="25"/>
        <w:tblW w:w="50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0"/>
        <w:gridCol w:w="2434"/>
        <w:gridCol w:w="6753"/>
      </w:tblGrid>
      <w:tr w14:paraId="2AFDB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8" w:type="pct"/>
            <w:noWrap w:val="0"/>
            <w:vAlign w:val="center"/>
          </w:tcPr>
          <w:p w14:paraId="678CFBB5">
            <w:pPr>
              <w:widowControl/>
              <w:ind w:left="0" w:leftChars="0" w:firstLine="0" w:firstLineChars="0"/>
              <w:jc w:val="both"/>
              <w:rPr>
                <w:rFonts w:hint="eastAsia"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val="en-US" w:eastAsia="zh-CN"/>
              </w:rPr>
              <w:t>条款</w:t>
            </w:r>
          </w:p>
        </w:tc>
        <w:tc>
          <w:tcPr>
            <w:tcW w:w="1211" w:type="pct"/>
            <w:noWrap w:val="0"/>
            <w:vAlign w:val="center"/>
          </w:tcPr>
          <w:p w14:paraId="6D3E677D">
            <w:pPr>
              <w:widowControl/>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审查因素</w:t>
            </w:r>
          </w:p>
        </w:tc>
        <w:tc>
          <w:tcPr>
            <w:tcW w:w="3359" w:type="pct"/>
            <w:noWrap w:val="0"/>
            <w:vAlign w:val="center"/>
          </w:tcPr>
          <w:p w14:paraId="547E390C">
            <w:pPr>
              <w:widowControl/>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审查内容</w:t>
            </w:r>
          </w:p>
        </w:tc>
      </w:tr>
      <w:tr w14:paraId="5E655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8" w:type="pct"/>
            <w:vMerge w:val="restart"/>
            <w:noWrap w:val="0"/>
            <w:vAlign w:val="center"/>
          </w:tcPr>
          <w:p w14:paraId="69E77EF2">
            <w:pPr>
              <w:widowControl/>
              <w:ind w:left="0" w:leftChars="0" w:firstLine="0" w:firstLineChars="0"/>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sz w:val="24"/>
                <w:szCs w:val="24"/>
                <w:highlight w:val="none"/>
              </w:rPr>
              <w:t>符合性评审</w:t>
            </w:r>
          </w:p>
        </w:tc>
        <w:tc>
          <w:tcPr>
            <w:tcW w:w="1211" w:type="pct"/>
            <w:noWrap w:val="0"/>
            <w:vAlign w:val="center"/>
          </w:tcPr>
          <w:p w14:paraId="34498C89">
            <w:pPr>
              <w:keepNext w:val="0"/>
              <w:keepLines w:val="0"/>
              <w:pageBreakBefore w:val="0"/>
              <w:widowControl/>
              <w:kinsoku w:val="0"/>
              <w:wordWrap/>
              <w:overflowPunct/>
              <w:topLinePunct w:val="0"/>
              <w:autoSpaceDE/>
              <w:autoSpaceDN/>
              <w:bidi w:val="0"/>
              <w:adjustRightInd/>
              <w:snapToGrid/>
              <w:spacing w:line="400" w:lineRule="exact"/>
              <w:ind w:left="0" w:leftChars="0" w:firstLine="0" w:firstLineChars="0"/>
              <w:jc w:val="center"/>
              <w:textAlignment w:val="baseline"/>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授权委托书</w:t>
            </w:r>
            <w:r>
              <w:rPr>
                <w:rFonts w:hint="eastAsia" w:ascii="宋体" w:hAnsi="宋体" w:eastAsia="宋体" w:cs="宋体"/>
                <w:color w:val="auto"/>
                <w:kern w:val="0"/>
                <w:sz w:val="24"/>
                <w:szCs w:val="24"/>
                <w:highlight w:val="none"/>
                <w:lang w:val="en-US" w:eastAsia="zh-CN"/>
              </w:rPr>
              <w:t>及法定代表人（单位负责人）身份证明</w:t>
            </w:r>
          </w:p>
        </w:tc>
        <w:tc>
          <w:tcPr>
            <w:tcW w:w="3359" w:type="pct"/>
            <w:noWrap w:val="0"/>
            <w:vAlign w:val="center"/>
          </w:tcPr>
          <w:p w14:paraId="79A5AA59">
            <w:pPr>
              <w:keepNext w:val="0"/>
              <w:keepLines w:val="0"/>
              <w:pageBreakBefore w:val="0"/>
              <w:widowControl/>
              <w:kinsoku w:val="0"/>
              <w:wordWrap/>
              <w:overflowPunct/>
              <w:topLinePunct w:val="0"/>
              <w:autoSpaceDE/>
              <w:autoSpaceDN/>
              <w:bidi w:val="0"/>
              <w:adjustRightInd/>
              <w:snapToGrid/>
              <w:spacing w:line="400" w:lineRule="exact"/>
              <w:ind w:left="0" w:leftChars="0" w:firstLine="0" w:firstLineChars="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按招标文件要求提供授权委托书</w:t>
            </w:r>
            <w:r>
              <w:rPr>
                <w:rFonts w:hint="eastAsia" w:ascii="宋体" w:hAnsi="宋体" w:eastAsia="宋体" w:cs="宋体"/>
                <w:color w:val="auto"/>
                <w:kern w:val="0"/>
                <w:sz w:val="24"/>
                <w:szCs w:val="24"/>
                <w:highlight w:val="none"/>
                <w:lang w:val="en-US" w:eastAsia="zh-CN"/>
              </w:rPr>
              <w:t>及法定代表人（单位负责人）身份证明</w:t>
            </w:r>
            <w:r>
              <w:rPr>
                <w:rFonts w:hint="eastAsia" w:ascii="宋体" w:hAnsi="宋体" w:eastAsia="宋体" w:cs="宋体"/>
                <w:color w:val="auto"/>
                <w:kern w:val="0"/>
                <w:sz w:val="24"/>
                <w:szCs w:val="24"/>
                <w:highlight w:val="none"/>
              </w:rPr>
              <w:t>；</w:t>
            </w:r>
          </w:p>
        </w:tc>
      </w:tr>
      <w:tr w14:paraId="015A6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8" w:type="pct"/>
            <w:vMerge w:val="continue"/>
            <w:noWrap w:val="0"/>
            <w:vAlign w:val="center"/>
          </w:tcPr>
          <w:p w14:paraId="0087DE34">
            <w:pPr>
              <w:widowControl/>
              <w:ind w:left="0" w:leftChars="0" w:firstLine="0" w:firstLineChars="0"/>
              <w:jc w:val="center"/>
              <w:rPr>
                <w:rFonts w:hint="eastAsia" w:ascii="宋体" w:hAnsi="宋体" w:eastAsia="宋体" w:cs="宋体"/>
                <w:color w:val="auto"/>
                <w:kern w:val="0"/>
                <w:sz w:val="24"/>
                <w:szCs w:val="24"/>
                <w:highlight w:val="none"/>
              </w:rPr>
            </w:pPr>
          </w:p>
        </w:tc>
        <w:tc>
          <w:tcPr>
            <w:tcW w:w="1211" w:type="pct"/>
            <w:noWrap w:val="0"/>
            <w:vAlign w:val="center"/>
          </w:tcPr>
          <w:p w14:paraId="7112314D">
            <w:pPr>
              <w:keepNext w:val="0"/>
              <w:keepLines w:val="0"/>
              <w:pageBreakBefore w:val="0"/>
              <w:widowControl/>
              <w:kinsoku w:val="0"/>
              <w:wordWrap/>
              <w:overflowPunct/>
              <w:topLinePunct w:val="0"/>
              <w:autoSpaceDE/>
              <w:autoSpaceDN/>
              <w:bidi w:val="0"/>
              <w:adjustRightInd/>
              <w:snapToGrid/>
              <w:spacing w:line="400" w:lineRule="exact"/>
              <w:ind w:left="0" w:leftChars="0" w:firstLine="0" w:firstLineChars="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投标完整性</w:t>
            </w:r>
          </w:p>
        </w:tc>
        <w:tc>
          <w:tcPr>
            <w:tcW w:w="3359" w:type="pct"/>
            <w:noWrap w:val="0"/>
            <w:vAlign w:val="center"/>
          </w:tcPr>
          <w:p w14:paraId="24902F6C">
            <w:pPr>
              <w:keepNext w:val="0"/>
              <w:keepLines w:val="0"/>
              <w:pageBreakBefore w:val="0"/>
              <w:widowControl/>
              <w:kinsoku w:val="0"/>
              <w:wordWrap/>
              <w:overflowPunct/>
              <w:topLinePunct w:val="0"/>
              <w:autoSpaceDE/>
              <w:autoSpaceDN/>
              <w:bidi w:val="0"/>
              <w:adjustRightInd/>
              <w:snapToGrid/>
              <w:spacing w:line="400" w:lineRule="exact"/>
              <w:ind w:left="0" w:leftChars="0" w:firstLine="0" w:firstLineChars="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未将一个采购包中的内容拆</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rPr>
              <w:t>投标；</w:t>
            </w:r>
          </w:p>
        </w:tc>
      </w:tr>
      <w:tr w14:paraId="638CC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8" w:type="pct"/>
            <w:vMerge w:val="continue"/>
            <w:noWrap w:val="0"/>
            <w:vAlign w:val="center"/>
          </w:tcPr>
          <w:p w14:paraId="700B4E56">
            <w:pPr>
              <w:widowControl/>
              <w:ind w:left="0" w:leftChars="0" w:firstLine="0" w:firstLineChars="0"/>
              <w:jc w:val="center"/>
              <w:rPr>
                <w:rFonts w:hint="eastAsia" w:ascii="宋体" w:hAnsi="宋体" w:eastAsia="宋体" w:cs="宋体"/>
                <w:color w:val="auto"/>
                <w:kern w:val="0"/>
                <w:sz w:val="24"/>
                <w:szCs w:val="24"/>
                <w:highlight w:val="none"/>
              </w:rPr>
            </w:pPr>
          </w:p>
        </w:tc>
        <w:tc>
          <w:tcPr>
            <w:tcW w:w="1211" w:type="pct"/>
            <w:noWrap w:val="0"/>
            <w:vAlign w:val="center"/>
          </w:tcPr>
          <w:p w14:paraId="71ED6347">
            <w:pPr>
              <w:keepNext w:val="0"/>
              <w:keepLines w:val="0"/>
              <w:pageBreakBefore w:val="0"/>
              <w:widowControl/>
              <w:kinsoku w:val="0"/>
              <w:wordWrap/>
              <w:overflowPunct/>
              <w:topLinePunct w:val="0"/>
              <w:autoSpaceDE/>
              <w:autoSpaceDN/>
              <w:bidi w:val="0"/>
              <w:adjustRightInd/>
              <w:snapToGrid/>
              <w:spacing w:line="400" w:lineRule="exact"/>
              <w:ind w:left="0" w:leftChars="0" w:firstLine="0" w:firstLineChars="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投标报价</w:t>
            </w:r>
          </w:p>
        </w:tc>
        <w:tc>
          <w:tcPr>
            <w:tcW w:w="3359" w:type="pct"/>
            <w:noWrap w:val="0"/>
            <w:vAlign w:val="center"/>
          </w:tcPr>
          <w:p w14:paraId="58981619">
            <w:pPr>
              <w:keepNext w:val="0"/>
              <w:keepLines w:val="0"/>
              <w:pageBreakBefore w:val="0"/>
              <w:widowControl/>
              <w:kinsoku w:val="0"/>
              <w:wordWrap/>
              <w:overflowPunct/>
              <w:topLinePunct w:val="0"/>
              <w:autoSpaceDE/>
              <w:autoSpaceDN/>
              <w:bidi w:val="0"/>
              <w:adjustRightInd/>
              <w:snapToGrid/>
              <w:spacing w:line="400" w:lineRule="exact"/>
              <w:ind w:left="0" w:leftChars="0" w:firstLine="0" w:firstLineChars="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投标报价未</w:t>
            </w:r>
            <w:r>
              <w:rPr>
                <w:rFonts w:hint="eastAsia" w:ascii="宋体" w:hAnsi="宋体" w:eastAsia="宋体" w:cs="宋体"/>
                <w:color w:val="auto"/>
                <w:sz w:val="24"/>
                <w:szCs w:val="24"/>
                <w:highlight w:val="none"/>
              </w:rPr>
              <w:t>超过招标文件中规定的项目/采购包预算金额或者项目/采购包最高限价</w:t>
            </w:r>
            <w:r>
              <w:rPr>
                <w:rFonts w:hint="eastAsia" w:ascii="宋体" w:hAnsi="宋体" w:eastAsia="宋体" w:cs="宋体"/>
                <w:color w:val="auto"/>
                <w:kern w:val="0"/>
                <w:sz w:val="24"/>
                <w:szCs w:val="24"/>
                <w:highlight w:val="none"/>
              </w:rPr>
              <w:t>；</w:t>
            </w:r>
          </w:p>
        </w:tc>
      </w:tr>
      <w:tr w14:paraId="03D02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8" w:type="pct"/>
            <w:vMerge w:val="continue"/>
            <w:noWrap w:val="0"/>
            <w:vAlign w:val="center"/>
          </w:tcPr>
          <w:p w14:paraId="772D2A8E">
            <w:pPr>
              <w:widowControl/>
              <w:ind w:left="0" w:leftChars="0" w:firstLine="0" w:firstLineChars="0"/>
              <w:jc w:val="center"/>
              <w:rPr>
                <w:rFonts w:hint="eastAsia" w:ascii="宋体" w:hAnsi="宋体" w:eastAsia="宋体" w:cs="宋体"/>
                <w:color w:val="auto"/>
                <w:kern w:val="0"/>
                <w:sz w:val="24"/>
                <w:szCs w:val="24"/>
                <w:highlight w:val="none"/>
              </w:rPr>
            </w:pPr>
          </w:p>
        </w:tc>
        <w:tc>
          <w:tcPr>
            <w:tcW w:w="1211" w:type="pct"/>
            <w:noWrap w:val="0"/>
            <w:vAlign w:val="center"/>
          </w:tcPr>
          <w:p w14:paraId="53E7251D">
            <w:pPr>
              <w:keepNext w:val="0"/>
              <w:keepLines w:val="0"/>
              <w:pageBreakBefore w:val="0"/>
              <w:widowControl/>
              <w:kinsoku w:val="0"/>
              <w:wordWrap/>
              <w:overflowPunct/>
              <w:topLinePunct w:val="0"/>
              <w:autoSpaceDE/>
              <w:autoSpaceDN/>
              <w:bidi w:val="0"/>
              <w:adjustRightInd/>
              <w:snapToGrid/>
              <w:spacing w:line="400" w:lineRule="exact"/>
              <w:ind w:left="0" w:leftChars="0" w:firstLine="0" w:firstLineChars="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报价唯一性</w:t>
            </w:r>
          </w:p>
        </w:tc>
        <w:tc>
          <w:tcPr>
            <w:tcW w:w="3359" w:type="pct"/>
            <w:noWrap w:val="0"/>
            <w:vAlign w:val="center"/>
          </w:tcPr>
          <w:p w14:paraId="23774FBA">
            <w:pPr>
              <w:keepNext w:val="0"/>
              <w:keepLines w:val="0"/>
              <w:pageBreakBefore w:val="0"/>
              <w:widowControl/>
              <w:kinsoku w:val="0"/>
              <w:wordWrap/>
              <w:overflowPunct/>
              <w:topLinePunct w:val="0"/>
              <w:autoSpaceDE/>
              <w:autoSpaceDN/>
              <w:bidi w:val="0"/>
              <w:adjustRightInd/>
              <w:snapToGrid/>
              <w:spacing w:line="400" w:lineRule="exact"/>
              <w:ind w:left="0" w:leftChars="0"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投标文件未出现可选择性或可调整的报价（招标文件另有规定的除外）；</w:t>
            </w:r>
          </w:p>
        </w:tc>
      </w:tr>
      <w:tr w14:paraId="01AFE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8" w:type="pct"/>
            <w:vMerge w:val="continue"/>
            <w:noWrap w:val="0"/>
            <w:vAlign w:val="center"/>
          </w:tcPr>
          <w:p w14:paraId="343FC72E">
            <w:pPr>
              <w:widowControl/>
              <w:ind w:left="0" w:leftChars="0" w:firstLine="0" w:firstLineChars="0"/>
              <w:jc w:val="center"/>
              <w:rPr>
                <w:rFonts w:hint="eastAsia" w:ascii="宋体" w:hAnsi="宋体" w:eastAsia="宋体" w:cs="宋体"/>
                <w:color w:val="auto"/>
                <w:kern w:val="0"/>
                <w:sz w:val="24"/>
                <w:szCs w:val="24"/>
                <w:highlight w:val="none"/>
                <w:lang w:val="en-US" w:eastAsia="zh-CN"/>
              </w:rPr>
            </w:pPr>
          </w:p>
        </w:tc>
        <w:tc>
          <w:tcPr>
            <w:tcW w:w="1211" w:type="pct"/>
            <w:noWrap w:val="0"/>
            <w:vAlign w:val="center"/>
          </w:tcPr>
          <w:p w14:paraId="45B897AD">
            <w:pPr>
              <w:keepNext w:val="0"/>
              <w:keepLines w:val="0"/>
              <w:pageBreakBefore w:val="0"/>
              <w:widowControl/>
              <w:kinsoku w:val="0"/>
              <w:wordWrap/>
              <w:overflowPunct/>
              <w:topLinePunct w:val="0"/>
              <w:autoSpaceDE/>
              <w:autoSpaceDN/>
              <w:bidi w:val="0"/>
              <w:adjustRightInd/>
              <w:snapToGrid/>
              <w:spacing w:line="400" w:lineRule="exact"/>
              <w:ind w:left="0" w:leftChars="0" w:firstLine="0" w:firstLineChars="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zh-CN"/>
              </w:rPr>
              <w:t>服务时间</w:t>
            </w:r>
          </w:p>
        </w:tc>
        <w:tc>
          <w:tcPr>
            <w:tcW w:w="3359" w:type="pct"/>
            <w:noWrap w:val="0"/>
            <w:vAlign w:val="center"/>
          </w:tcPr>
          <w:p w14:paraId="08010AFD">
            <w:pPr>
              <w:keepNext w:val="0"/>
              <w:keepLines w:val="0"/>
              <w:pageBreakBefore w:val="0"/>
              <w:widowControl/>
              <w:kinsoku w:val="0"/>
              <w:wordWrap/>
              <w:overflowPunct/>
              <w:topLinePunct w:val="0"/>
              <w:autoSpaceDE/>
              <w:autoSpaceDN/>
              <w:bidi w:val="0"/>
              <w:adjustRightInd/>
              <w:snapToGrid/>
              <w:spacing w:line="400" w:lineRule="exact"/>
              <w:ind w:left="0" w:leftChars="0" w:firstLine="0" w:firstLineChars="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 第二章 投标人须知前附表 “第1.3.2项”规定；</w:t>
            </w:r>
          </w:p>
        </w:tc>
      </w:tr>
      <w:tr w14:paraId="5C485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8" w:type="pct"/>
            <w:vMerge w:val="continue"/>
            <w:noWrap w:val="0"/>
            <w:vAlign w:val="center"/>
          </w:tcPr>
          <w:p w14:paraId="671CEC4F">
            <w:pPr>
              <w:widowControl/>
              <w:ind w:left="0" w:leftChars="0" w:firstLine="0" w:firstLineChars="0"/>
              <w:jc w:val="center"/>
              <w:rPr>
                <w:rFonts w:hint="eastAsia" w:ascii="宋体" w:hAnsi="宋体" w:eastAsia="宋体" w:cs="宋体"/>
                <w:color w:val="auto"/>
                <w:kern w:val="0"/>
                <w:sz w:val="24"/>
                <w:szCs w:val="24"/>
                <w:highlight w:val="none"/>
                <w:lang w:val="en-US" w:eastAsia="zh-CN"/>
              </w:rPr>
            </w:pPr>
          </w:p>
        </w:tc>
        <w:tc>
          <w:tcPr>
            <w:tcW w:w="1211" w:type="pct"/>
            <w:noWrap w:val="0"/>
            <w:vAlign w:val="center"/>
          </w:tcPr>
          <w:p w14:paraId="48068B3F">
            <w:pPr>
              <w:keepNext w:val="0"/>
              <w:keepLines w:val="0"/>
              <w:pageBreakBefore w:val="0"/>
              <w:widowControl/>
              <w:kinsoku w:val="0"/>
              <w:wordWrap/>
              <w:overflowPunct/>
              <w:topLinePunct w:val="0"/>
              <w:autoSpaceDE/>
              <w:autoSpaceDN/>
              <w:bidi w:val="0"/>
              <w:adjustRightInd/>
              <w:snapToGrid/>
              <w:spacing w:line="400" w:lineRule="exact"/>
              <w:ind w:left="0" w:leftChars="0" w:firstLine="0" w:firstLineChars="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供货（服务）地点</w:t>
            </w:r>
          </w:p>
        </w:tc>
        <w:tc>
          <w:tcPr>
            <w:tcW w:w="3359" w:type="pct"/>
            <w:noWrap w:val="0"/>
            <w:vAlign w:val="center"/>
          </w:tcPr>
          <w:p w14:paraId="08287608">
            <w:pPr>
              <w:keepNext w:val="0"/>
              <w:keepLines w:val="0"/>
              <w:pageBreakBefore w:val="0"/>
              <w:widowControl/>
              <w:kinsoku w:val="0"/>
              <w:wordWrap/>
              <w:overflowPunct/>
              <w:topLinePunct w:val="0"/>
              <w:autoSpaceDE/>
              <w:autoSpaceDN/>
              <w:bidi w:val="0"/>
              <w:adjustRightInd/>
              <w:snapToGrid/>
              <w:spacing w:line="400" w:lineRule="exact"/>
              <w:ind w:left="0" w:leftChars="0" w:firstLine="0" w:firstLineChars="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 第二章 投标人须知前附表 “第1.3.3项”规定；</w:t>
            </w:r>
          </w:p>
        </w:tc>
      </w:tr>
      <w:tr w14:paraId="29432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8" w:type="pct"/>
            <w:vMerge w:val="continue"/>
            <w:noWrap w:val="0"/>
            <w:vAlign w:val="center"/>
          </w:tcPr>
          <w:p w14:paraId="09738F75">
            <w:pPr>
              <w:widowControl/>
              <w:ind w:left="0" w:leftChars="0" w:firstLine="0" w:firstLineChars="0"/>
              <w:jc w:val="center"/>
              <w:rPr>
                <w:rFonts w:hint="eastAsia" w:ascii="宋体" w:hAnsi="宋体" w:eastAsia="宋体" w:cs="宋体"/>
                <w:color w:val="auto"/>
                <w:kern w:val="0"/>
                <w:sz w:val="24"/>
                <w:szCs w:val="24"/>
                <w:highlight w:val="none"/>
                <w:lang w:val="en-US" w:eastAsia="zh-CN"/>
              </w:rPr>
            </w:pPr>
          </w:p>
        </w:tc>
        <w:tc>
          <w:tcPr>
            <w:tcW w:w="1211" w:type="pct"/>
            <w:noWrap w:val="0"/>
            <w:vAlign w:val="center"/>
          </w:tcPr>
          <w:p w14:paraId="517B4802">
            <w:pPr>
              <w:keepNext w:val="0"/>
              <w:keepLines w:val="0"/>
              <w:pageBreakBefore w:val="0"/>
              <w:widowControl/>
              <w:kinsoku w:val="0"/>
              <w:wordWrap/>
              <w:overflowPunct/>
              <w:topLinePunct w:val="0"/>
              <w:autoSpaceDE/>
              <w:autoSpaceDN/>
              <w:bidi w:val="0"/>
              <w:adjustRightInd/>
              <w:snapToGrid/>
              <w:spacing w:line="400" w:lineRule="exact"/>
              <w:ind w:left="0" w:leftChars="0" w:firstLine="0" w:firstLineChars="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服务质量要求</w:t>
            </w:r>
          </w:p>
        </w:tc>
        <w:tc>
          <w:tcPr>
            <w:tcW w:w="3359" w:type="pct"/>
            <w:noWrap w:val="0"/>
            <w:vAlign w:val="center"/>
          </w:tcPr>
          <w:p w14:paraId="4CB0AF91">
            <w:pPr>
              <w:keepNext w:val="0"/>
              <w:keepLines w:val="0"/>
              <w:pageBreakBefore w:val="0"/>
              <w:widowControl/>
              <w:kinsoku w:val="0"/>
              <w:wordWrap/>
              <w:overflowPunct/>
              <w:topLinePunct w:val="0"/>
              <w:autoSpaceDE/>
              <w:autoSpaceDN/>
              <w:bidi w:val="0"/>
              <w:adjustRightInd/>
              <w:snapToGrid/>
              <w:spacing w:line="400" w:lineRule="exact"/>
              <w:ind w:left="0" w:leftChars="0" w:firstLine="0" w:firstLineChars="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 第二章 投标人须知前附表 “第1.3.4项”规定；</w:t>
            </w:r>
          </w:p>
        </w:tc>
      </w:tr>
      <w:tr w14:paraId="1CEC6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8" w:type="pct"/>
            <w:vMerge w:val="continue"/>
            <w:noWrap w:val="0"/>
            <w:vAlign w:val="center"/>
          </w:tcPr>
          <w:p w14:paraId="0C6351AF">
            <w:pPr>
              <w:widowControl/>
              <w:ind w:left="0" w:leftChars="0" w:firstLine="0" w:firstLineChars="0"/>
              <w:jc w:val="center"/>
              <w:rPr>
                <w:rFonts w:hint="eastAsia" w:ascii="宋体" w:hAnsi="宋体" w:eastAsia="宋体" w:cs="宋体"/>
                <w:color w:val="auto"/>
                <w:kern w:val="0"/>
                <w:sz w:val="24"/>
                <w:szCs w:val="24"/>
                <w:highlight w:val="none"/>
                <w:lang w:val="en-US" w:eastAsia="zh-CN"/>
              </w:rPr>
            </w:pPr>
          </w:p>
        </w:tc>
        <w:tc>
          <w:tcPr>
            <w:tcW w:w="1211" w:type="pct"/>
            <w:noWrap w:val="0"/>
            <w:vAlign w:val="center"/>
          </w:tcPr>
          <w:p w14:paraId="240BAB06">
            <w:pPr>
              <w:keepNext w:val="0"/>
              <w:keepLines w:val="0"/>
              <w:pageBreakBefore w:val="0"/>
              <w:widowControl/>
              <w:kinsoku w:val="0"/>
              <w:wordWrap/>
              <w:overflowPunct/>
              <w:topLinePunct w:val="0"/>
              <w:autoSpaceDE/>
              <w:autoSpaceDN/>
              <w:bidi w:val="0"/>
              <w:adjustRightInd/>
              <w:snapToGrid/>
              <w:spacing w:line="400" w:lineRule="exact"/>
              <w:ind w:left="0" w:leftChars="0" w:firstLine="0" w:firstLineChars="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投标有效期</w:t>
            </w:r>
          </w:p>
        </w:tc>
        <w:tc>
          <w:tcPr>
            <w:tcW w:w="3359" w:type="pct"/>
            <w:noWrap w:val="0"/>
            <w:vAlign w:val="center"/>
          </w:tcPr>
          <w:p w14:paraId="7F084CC0">
            <w:pPr>
              <w:keepNext w:val="0"/>
              <w:keepLines w:val="0"/>
              <w:pageBreakBefore w:val="0"/>
              <w:widowControl/>
              <w:kinsoku w:val="0"/>
              <w:wordWrap/>
              <w:overflowPunct/>
              <w:topLinePunct w:val="0"/>
              <w:autoSpaceDE/>
              <w:autoSpaceDN/>
              <w:bidi w:val="0"/>
              <w:adjustRightInd/>
              <w:snapToGrid/>
              <w:spacing w:line="400" w:lineRule="exact"/>
              <w:ind w:left="0" w:leftChars="0" w:firstLine="0" w:firstLineChars="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投标文件中承诺的投标有效期满足招标文件中载明的投标有效期的；</w:t>
            </w:r>
          </w:p>
        </w:tc>
      </w:tr>
      <w:tr w14:paraId="52C97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8" w:type="pct"/>
            <w:vMerge w:val="continue"/>
            <w:noWrap w:val="0"/>
            <w:vAlign w:val="center"/>
          </w:tcPr>
          <w:p w14:paraId="4C433FEA">
            <w:pPr>
              <w:widowControl/>
              <w:ind w:left="0" w:leftChars="0" w:firstLine="0" w:firstLineChars="0"/>
              <w:jc w:val="center"/>
              <w:rPr>
                <w:rFonts w:hint="eastAsia" w:ascii="宋体" w:hAnsi="宋体" w:eastAsia="宋体" w:cs="宋体"/>
                <w:color w:val="auto"/>
                <w:kern w:val="0"/>
                <w:sz w:val="24"/>
                <w:szCs w:val="24"/>
                <w:highlight w:val="none"/>
                <w:lang w:val="en-US" w:eastAsia="zh-CN"/>
              </w:rPr>
            </w:pPr>
          </w:p>
        </w:tc>
        <w:tc>
          <w:tcPr>
            <w:tcW w:w="1211" w:type="pct"/>
            <w:noWrap w:val="0"/>
            <w:vAlign w:val="center"/>
          </w:tcPr>
          <w:p w14:paraId="00861A9E">
            <w:pPr>
              <w:keepNext w:val="0"/>
              <w:keepLines w:val="0"/>
              <w:pageBreakBefore w:val="0"/>
              <w:widowControl/>
              <w:kinsoku w:val="0"/>
              <w:wordWrap/>
              <w:overflowPunct/>
              <w:topLinePunct w:val="0"/>
              <w:autoSpaceDE/>
              <w:autoSpaceDN/>
              <w:bidi w:val="0"/>
              <w:adjustRightInd/>
              <w:snapToGrid/>
              <w:spacing w:line="400" w:lineRule="exact"/>
              <w:ind w:left="0" w:leftChars="0" w:firstLine="0" w:firstLineChars="0"/>
              <w:jc w:val="center"/>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投标文件</w:t>
            </w:r>
            <w:r>
              <w:rPr>
                <w:rFonts w:hint="eastAsia" w:ascii="宋体" w:hAnsi="宋体" w:eastAsia="宋体" w:cs="宋体"/>
                <w:color w:val="auto"/>
                <w:kern w:val="0"/>
                <w:sz w:val="24"/>
                <w:szCs w:val="24"/>
                <w:highlight w:val="none"/>
              </w:rPr>
              <w:t>格式</w:t>
            </w:r>
          </w:p>
        </w:tc>
        <w:tc>
          <w:tcPr>
            <w:tcW w:w="3359" w:type="pct"/>
            <w:noWrap w:val="0"/>
            <w:vAlign w:val="center"/>
          </w:tcPr>
          <w:p w14:paraId="454EEB21">
            <w:pPr>
              <w:keepNext w:val="0"/>
              <w:keepLines w:val="0"/>
              <w:pageBreakBefore w:val="0"/>
              <w:widowControl/>
              <w:kinsoku w:val="0"/>
              <w:wordWrap/>
              <w:overflowPunct/>
              <w:topLinePunct w:val="0"/>
              <w:autoSpaceDE/>
              <w:autoSpaceDN/>
              <w:bidi w:val="0"/>
              <w:adjustRightInd/>
              <w:snapToGrid/>
              <w:spacing w:line="400" w:lineRule="exact"/>
              <w:ind w:left="0" w:leftChars="0" w:firstLine="0" w:firstLineChars="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标记为“实质性格式”的文件均按招标文件要求提供且签署、盖章的</w:t>
            </w:r>
            <w:r>
              <w:rPr>
                <w:rFonts w:hint="eastAsia" w:ascii="宋体" w:hAnsi="宋体" w:eastAsia="宋体" w:cs="宋体"/>
                <w:color w:val="auto"/>
                <w:kern w:val="0"/>
                <w:sz w:val="24"/>
                <w:szCs w:val="24"/>
                <w:highlight w:val="none"/>
              </w:rPr>
              <w:t>；</w:t>
            </w:r>
          </w:p>
        </w:tc>
      </w:tr>
      <w:tr w14:paraId="65157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8" w:type="pct"/>
            <w:vMerge w:val="continue"/>
            <w:noWrap w:val="0"/>
            <w:vAlign w:val="center"/>
          </w:tcPr>
          <w:p w14:paraId="37808796">
            <w:pPr>
              <w:widowControl/>
              <w:ind w:left="0" w:leftChars="0" w:firstLine="0" w:firstLineChars="0"/>
              <w:jc w:val="center"/>
              <w:rPr>
                <w:rFonts w:hint="eastAsia" w:ascii="宋体" w:hAnsi="宋体" w:eastAsia="宋体" w:cs="宋体"/>
                <w:color w:val="auto"/>
                <w:kern w:val="0"/>
                <w:sz w:val="24"/>
                <w:szCs w:val="24"/>
                <w:highlight w:val="none"/>
                <w:lang w:val="en-US" w:eastAsia="zh-CN"/>
              </w:rPr>
            </w:pPr>
          </w:p>
        </w:tc>
        <w:tc>
          <w:tcPr>
            <w:tcW w:w="1211" w:type="pct"/>
            <w:noWrap w:val="0"/>
            <w:vAlign w:val="center"/>
          </w:tcPr>
          <w:p w14:paraId="6A00B1F5">
            <w:pPr>
              <w:keepNext w:val="0"/>
              <w:keepLines w:val="0"/>
              <w:pageBreakBefore w:val="0"/>
              <w:widowControl/>
              <w:kinsoku w:val="0"/>
              <w:wordWrap/>
              <w:overflowPunct/>
              <w:topLinePunct w:val="0"/>
              <w:autoSpaceDE/>
              <w:autoSpaceDN/>
              <w:bidi w:val="0"/>
              <w:adjustRightInd/>
              <w:snapToGrid/>
              <w:spacing w:line="400" w:lineRule="exact"/>
              <w:ind w:left="0" w:leftChars="0" w:firstLine="0" w:firstLineChars="0"/>
              <w:jc w:val="center"/>
              <w:textAlignment w:val="baseline"/>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附加条件</w:t>
            </w:r>
          </w:p>
        </w:tc>
        <w:tc>
          <w:tcPr>
            <w:tcW w:w="3359" w:type="pct"/>
            <w:noWrap w:val="0"/>
            <w:vAlign w:val="center"/>
          </w:tcPr>
          <w:p w14:paraId="737037DF">
            <w:pPr>
              <w:keepNext w:val="0"/>
              <w:keepLines w:val="0"/>
              <w:pageBreakBefore w:val="0"/>
              <w:widowControl/>
              <w:kinsoku w:val="0"/>
              <w:wordWrap/>
              <w:overflowPunct/>
              <w:topLinePunct w:val="0"/>
              <w:autoSpaceDE/>
              <w:autoSpaceDN/>
              <w:bidi w:val="0"/>
              <w:adjustRightInd/>
              <w:snapToGrid/>
              <w:spacing w:line="400" w:lineRule="exact"/>
              <w:ind w:left="0" w:leftChars="0" w:firstLine="0" w:firstLineChars="0"/>
              <w:jc w:val="left"/>
              <w:textAlignment w:val="baseline"/>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投标文件未含有采购人不能接受的附加条件的；</w:t>
            </w:r>
          </w:p>
        </w:tc>
      </w:tr>
      <w:tr w14:paraId="2DAA0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8" w:type="pct"/>
            <w:vMerge w:val="continue"/>
            <w:noWrap w:val="0"/>
            <w:vAlign w:val="center"/>
          </w:tcPr>
          <w:p w14:paraId="000B3EC7">
            <w:pPr>
              <w:widowControl/>
              <w:ind w:left="0" w:leftChars="0" w:firstLine="0" w:firstLineChars="0"/>
              <w:jc w:val="center"/>
              <w:rPr>
                <w:rFonts w:hint="eastAsia" w:ascii="宋体" w:hAnsi="宋体" w:eastAsia="宋体" w:cs="宋体"/>
                <w:color w:val="auto"/>
                <w:kern w:val="0"/>
                <w:sz w:val="24"/>
                <w:szCs w:val="24"/>
                <w:highlight w:val="none"/>
                <w:lang w:val="en-US" w:eastAsia="zh-CN"/>
              </w:rPr>
            </w:pPr>
          </w:p>
        </w:tc>
        <w:tc>
          <w:tcPr>
            <w:tcW w:w="1211" w:type="pct"/>
            <w:noWrap w:val="0"/>
            <w:vAlign w:val="center"/>
          </w:tcPr>
          <w:p w14:paraId="388ECAEC">
            <w:pPr>
              <w:keepNext w:val="0"/>
              <w:keepLines w:val="0"/>
              <w:pageBreakBefore w:val="0"/>
              <w:widowControl/>
              <w:kinsoku w:val="0"/>
              <w:wordWrap/>
              <w:overflowPunct/>
              <w:topLinePunct w:val="0"/>
              <w:autoSpaceDE/>
              <w:autoSpaceDN/>
              <w:bidi w:val="0"/>
              <w:adjustRightInd/>
              <w:snapToGrid/>
              <w:spacing w:line="400" w:lineRule="exact"/>
              <w:ind w:left="0" w:leftChars="0" w:firstLine="0" w:firstLineChars="0"/>
              <w:jc w:val="center"/>
              <w:textAlignment w:val="baseline"/>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其他无效情形</w:t>
            </w:r>
          </w:p>
        </w:tc>
        <w:tc>
          <w:tcPr>
            <w:tcW w:w="3359" w:type="pct"/>
            <w:noWrap w:val="0"/>
            <w:vAlign w:val="center"/>
          </w:tcPr>
          <w:p w14:paraId="0C91021D">
            <w:pPr>
              <w:keepNext w:val="0"/>
              <w:keepLines w:val="0"/>
              <w:pageBreakBefore w:val="0"/>
              <w:widowControl/>
              <w:kinsoku w:val="0"/>
              <w:wordWrap/>
              <w:overflowPunct/>
              <w:topLinePunct w:val="0"/>
              <w:autoSpaceDE/>
              <w:autoSpaceDN/>
              <w:bidi w:val="0"/>
              <w:adjustRightInd/>
              <w:snapToGrid/>
              <w:spacing w:line="400" w:lineRule="exact"/>
              <w:ind w:left="0" w:leftChars="0" w:firstLine="0" w:firstLineChars="0"/>
              <w:jc w:val="left"/>
              <w:textAlignment w:val="baseline"/>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rPr>
              <w:t>投标人、投标文件不存在不符合法律、法规和招标文件规定的其他无效情形</w:t>
            </w:r>
            <w:r>
              <w:rPr>
                <w:rFonts w:hint="eastAsia" w:ascii="宋体" w:hAnsi="宋体" w:eastAsia="宋体" w:cs="宋体"/>
                <w:color w:val="auto"/>
                <w:sz w:val="24"/>
                <w:szCs w:val="24"/>
                <w:highlight w:val="none"/>
                <w:lang w:eastAsia="zh-CN"/>
              </w:rPr>
              <w:t>；</w:t>
            </w:r>
          </w:p>
        </w:tc>
      </w:tr>
      <w:tr w14:paraId="61007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8" w:type="pct"/>
            <w:vMerge w:val="continue"/>
            <w:noWrap w:val="0"/>
            <w:vAlign w:val="center"/>
          </w:tcPr>
          <w:p w14:paraId="326DAE63">
            <w:pPr>
              <w:widowControl/>
              <w:ind w:left="0" w:leftChars="0" w:firstLine="0" w:firstLineChars="0"/>
              <w:jc w:val="center"/>
              <w:rPr>
                <w:rFonts w:hint="eastAsia" w:ascii="宋体" w:hAnsi="宋体" w:eastAsia="宋体" w:cs="宋体"/>
                <w:color w:val="auto"/>
                <w:kern w:val="0"/>
                <w:sz w:val="24"/>
                <w:szCs w:val="24"/>
                <w:highlight w:val="none"/>
                <w:lang w:val="en-US" w:eastAsia="zh-CN"/>
              </w:rPr>
            </w:pPr>
          </w:p>
        </w:tc>
        <w:tc>
          <w:tcPr>
            <w:tcW w:w="1211" w:type="pct"/>
            <w:noWrap w:val="0"/>
            <w:vAlign w:val="center"/>
          </w:tcPr>
          <w:p w14:paraId="46F38D7A">
            <w:pPr>
              <w:keepNext w:val="0"/>
              <w:keepLines w:val="0"/>
              <w:pageBreakBefore w:val="0"/>
              <w:widowControl/>
              <w:kinsoku w:val="0"/>
              <w:wordWrap/>
              <w:overflowPunct/>
              <w:topLinePunct w:val="0"/>
              <w:autoSpaceDE/>
              <w:autoSpaceDN/>
              <w:bidi w:val="0"/>
              <w:adjustRightInd/>
              <w:snapToGrid/>
              <w:spacing w:line="400" w:lineRule="exact"/>
              <w:ind w:left="0" w:leftChars="0" w:firstLine="0" w:firstLineChars="0"/>
              <w:jc w:val="center"/>
              <w:textAlignment w:val="baseline"/>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其他内容</w:t>
            </w:r>
          </w:p>
        </w:tc>
        <w:tc>
          <w:tcPr>
            <w:tcW w:w="3359" w:type="pct"/>
            <w:noWrap w:val="0"/>
            <w:vAlign w:val="center"/>
          </w:tcPr>
          <w:p w14:paraId="6F32E70E">
            <w:pPr>
              <w:keepNext w:val="0"/>
              <w:keepLines w:val="0"/>
              <w:pageBreakBefore w:val="0"/>
              <w:widowControl/>
              <w:kinsoku w:val="0"/>
              <w:wordWrap/>
              <w:overflowPunct/>
              <w:topLinePunct w:val="0"/>
              <w:autoSpaceDE/>
              <w:autoSpaceDN/>
              <w:bidi w:val="0"/>
              <w:adjustRightInd/>
              <w:snapToGrid/>
              <w:spacing w:line="400" w:lineRule="exact"/>
              <w:ind w:left="0" w:leftChars="0" w:firstLine="0" w:firstLineChars="0"/>
              <w:jc w:val="left"/>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其他招标文件及采购人要求的相关内容。</w:t>
            </w:r>
          </w:p>
        </w:tc>
      </w:tr>
    </w:tbl>
    <w:p w14:paraId="69B5648D">
      <w:pPr>
        <w:numPr>
          <w:ilvl w:val="0"/>
          <w:numId w:val="0"/>
        </w:numPr>
        <w:tabs>
          <w:tab w:val="left" w:pos="1080"/>
          <w:tab w:val="left" w:pos="1589"/>
        </w:tabs>
        <w:snapToGrid w:val="0"/>
        <w:spacing w:line="360" w:lineRule="auto"/>
        <w:rPr>
          <w:rFonts w:hint="eastAsia" w:ascii="宋体" w:hAnsi="宋体" w:eastAsia="宋体" w:cs="宋体"/>
          <w:color w:val="auto"/>
          <w:sz w:val="24"/>
          <w:highlight w:val="none"/>
        </w:rPr>
        <w:sectPr>
          <w:footerReference r:id="rId15" w:type="default"/>
          <w:pgSz w:w="11907" w:h="16840"/>
          <w:pgMar w:top="1440" w:right="1080" w:bottom="1440" w:left="1080" w:header="851" w:footer="851" w:gutter="0"/>
          <w:pgNumType w:fmt="decimal"/>
          <w:cols w:space="720" w:num="1"/>
          <w:docGrid w:linePitch="462" w:charSpace="0"/>
        </w:sectPr>
      </w:pPr>
    </w:p>
    <w:bookmarkEnd w:id="215"/>
    <w:bookmarkEnd w:id="216"/>
    <w:tbl>
      <w:tblPr>
        <w:tblStyle w:val="25"/>
        <w:tblW w:w="9734" w:type="dxa"/>
        <w:tblInd w:w="-8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19"/>
        <w:gridCol w:w="1141"/>
        <w:gridCol w:w="2346"/>
        <w:gridCol w:w="5228"/>
      </w:tblGrid>
      <w:tr w14:paraId="26C59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1019" w:type="dxa"/>
            <w:vMerge w:val="restart"/>
            <w:tcBorders>
              <w:top w:val="single" w:color="000000" w:sz="4" w:space="0"/>
              <w:left w:val="single" w:color="000000" w:sz="4" w:space="0"/>
              <w:right w:val="single" w:color="000000" w:sz="4" w:space="0"/>
            </w:tcBorders>
            <w:noWrap w:val="0"/>
            <w:vAlign w:val="center"/>
          </w:tcPr>
          <w:p w14:paraId="3DECE85B">
            <w:pPr>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详细</w:t>
            </w:r>
          </w:p>
          <w:p w14:paraId="20DF57E7">
            <w:pPr>
              <w:spacing w:line="36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w:t>
            </w:r>
          </w:p>
          <w:p w14:paraId="7BEB7A5E">
            <w:pPr>
              <w:spacing w:line="360" w:lineRule="auto"/>
              <w:ind w:left="0" w:leftChars="0" w:firstLine="0" w:firstLineChars="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1"/>
                <w:szCs w:val="21"/>
                <w:highlight w:val="none"/>
              </w:rPr>
              <w:t>（综合评分法）</w:t>
            </w:r>
          </w:p>
        </w:tc>
        <w:tc>
          <w:tcPr>
            <w:tcW w:w="1141" w:type="dxa"/>
            <w:vMerge w:val="restart"/>
            <w:tcBorders>
              <w:top w:val="single" w:color="000000" w:sz="4" w:space="0"/>
              <w:left w:val="single" w:color="000000" w:sz="4" w:space="0"/>
              <w:right w:val="single" w:color="000000" w:sz="4" w:space="0"/>
            </w:tcBorders>
            <w:noWrap w:val="0"/>
            <w:vAlign w:val="center"/>
          </w:tcPr>
          <w:p w14:paraId="0A072EA6">
            <w:pPr>
              <w:keepNext w:val="0"/>
              <w:keepLines w:val="0"/>
              <w:widowControl/>
              <w:suppressLineNumbers w:val="0"/>
              <w:spacing w:line="360" w:lineRule="auto"/>
              <w:ind w:left="0" w:leftChars="0" w:firstLine="0" w:firstLineChars="0"/>
              <w:jc w:val="both"/>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评标得分分值构成</w:t>
            </w:r>
          </w:p>
        </w:tc>
        <w:tc>
          <w:tcPr>
            <w:tcW w:w="7574" w:type="dxa"/>
            <w:gridSpan w:val="2"/>
            <w:tcBorders>
              <w:top w:val="single" w:color="000000" w:sz="4" w:space="0"/>
              <w:left w:val="single" w:color="000000" w:sz="4" w:space="0"/>
              <w:bottom w:val="single" w:color="000000" w:sz="4" w:space="0"/>
              <w:right w:val="single" w:color="000000" w:sz="4" w:space="0"/>
            </w:tcBorders>
            <w:noWrap w:val="0"/>
            <w:vAlign w:val="center"/>
          </w:tcPr>
          <w:p w14:paraId="76D9D973">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投标人的评标总得分＝技术部分＋商务部分</w:t>
            </w:r>
          </w:p>
          <w:p w14:paraId="560C17DC">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其中：</w:t>
            </w:r>
          </w:p>
          <w:p w14:paraId="5E9C98BC">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技术部分:满分65分；</w:t>
            </w:r>
          </w:p>
          <w:p w14:paraId="754891E9">
            <w:pPr>
              <w:keepNext w:val="0"/>
              <w:keepLines w:val="0"/>
              <w:widowControl/>
              <w:suppressLineNumbers w:val="0"/>
              <w:spacing w:line="360" w:lineRule="auto"/>
              <w:ind w:left="0" w:lef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商务部分:满分35分。</w:t>
            </w:r>
          </w:p>
        </w:tc>
      </w:tr>
      <w:tr w14:paraId="7F0B7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1019" w:type="dxa"/>
            <w:vMerge w:val="continue"/>
            <w:tcBorders>
              <w:left w:val="single" w:color="000000" w:sz="4" w:space="0"/>
              <w:right w:val="single" w:color="000000" w:sz="4" w:space="0"/>
            </w:tcBorders>
            <w:noWrap w:val="0"/>
            <w:vAlign w:val="center"/>
          </w:tcPr>
          <w:p w14:paraId="17710336">
            <w:pPr>
              <w:keepNext w:val="0"/>
              <w:keepLines w:val="0"/>
              <w:widowControl/>
              <w:suppressLineNumbers w:val="0"/>
              <w:spacing w:line="360" w:lineRule="auto"/>
              <w:ind w:left="0" w:leftChars="0" w:firstLine="0" w:firstLineChars="0"/>
              <w:jc w:val="both"/>
              <w:textAlignment w:val="center"/>
              <w:rPr>
                <w:rFonts w:hint="eastAsia" w:ascii="宋体" w:hAnsi="宋体" w:eastAsia="宋体" w:cs="宋体"/>
                <w:i w:val="0"/>
                <w:iCs w:val="0"/>
                <w:color w:val="auto"/>
                <w:sz w:val="24"/>
                <w:szCs w:val="24"/>
                <w:highlight w:val="none"/>
                <w:u w:val="none"/>
              </w:rPr>
            </w:pPr>
          </w:p>
        </w:tc>
        <w:tc>
          <w:tcPr>
            <w:tcW w:w="1141" w:type="dxa"/>
            <w:vMerge w:val="restart"/>
            <w:tcBorders>
              <w:top w:val="single" w:color="000000" w:sz="4" w:space="0"/>
              <w:left w:val="single" w:color="000000" w:sz="4" w:space="0"/>
              <w:bottom w:val="single" w:color="000000" w:sz="4" w:space="0"/>
              <w:right w:val="single" w:color="000000" w:sz="4" w:space="0"/>
            </w:tcBorders>
            <w:noWrap w:val="0"/>
            <w:vAlign w:val="center"/>
          </w:tcPr>
          <w:p w14:paraId="54EEC5B5">
            <w:pPr>
              <w:keepNext w:val="0"/>
              <w:keepLines w:val="0"/>
              <w:widowControl/>
              <w:suppressLineNumbers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技术</w:t>
            </w:r>
          </w:p>
          <w:p w14:paraId="08A88F8A">
            <w:pPr>
              <w:keepNext w:val="0"/>
              <w:keepLines w:val="0"/>
              <w:widowControl/>
              <w:suppressLineNumbers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部分</w:t>
            </w:r>
          </w:p>
          <w:p w14:paraId="4185417B">
            <w:pPr>
              <w:keepNext w:val="0"/>
              <w:keepLines w:val="0"/>
              <w:widowControl/>
              <w:suppressLineNumbers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（65分）</w:t>
            </w:r>
          </w:p>
        </w:tc>
        <w:tc>
          <w:tcPr>
            <w:tcW w:w="2346" w:type="dxa"/>
            <w:tcBorders>
              <w:top w:val="single" w:color="000000" w:sz="4" w:space="0"/>
              <w:left w:val="single" w:color="000000" w:sz="4" w:space="0"/>
              <w:bottom w:val="single" w:color="000000" w:sz="4" w:space="0"/>
              <w:right w:val="single" w:color="000000" w:sz="4" w:space="0"/>
            </w:tcBorders>
            <w:noWrap w:val="0"/>
            <w:vAlign w:val="center"/>
          </w:tcPr>
          <w:p w14:paraId="1B496A81">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教学实施方案</w:t>
            </w:r>
          </w:p>
          <w:p w14:paraId="2108D0AC">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（20分）</w:t>
            </w:r>
          </w:p>
        </w:tc>
        <w:tc>
          <w:tcPr>
            <w:tcW w:w="5228" w:type="dxa"/>
            <w:tcBorders>
              <w:top w:val="single" w:color="000000" w:sz="4" w:space="0"/>
              <w:left w:val="single" w:color="000000" w:sz="4" w:space="0"/>
              <w:bottom w:val="single" w:color="000000" w:sz="4" w:space="0"/>
              <w:right w:val="single" w:color="000000" w:sz="4" w:space="0"/>
            </w:tcBorders>
            <w:noWrap w:val="0"/>
            <w:vAlign w:val="top"/>
          </w:tcPr>
          <w:p w14:paraId="1148E476">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left"/>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第一个档次（20分）：</w:t>
            </w:r>
            <w:r>
              <w:rPr>
                <w:rFonts w:hint="eastAsia" w:ascii="宋体" w:hAnsi="宋体" w:eastAsia="宋体" w:cs="宋体"/>
                <w:i w:val="0"/>
                <w:iCs w:val="0"/>
                <w:color w:val="auto"/>
                <w:sz w:val="24"/>
                <w:szCs w:val="24"/>
                <w:highlight w:val="none"/>
                <w:u w:val="none"/>
                <w:lang w:val="en-US" w:eastAsia="zh-CN"/>
              </w:rPr>
              <w:t>培训教学实施内容详细、完整，针对本招标项目内容要求进行细化制定，且具有创新性或特色亮点；</w:t>
            </w:r>
          </w:p>
          <w:p w14:paraId="58A04ABF">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left"/>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第二个档次（16分）：</w:t>
            </w:r>
            <w:r>
              <w:rPr>
                <w:rFonts w:hint="eastAsia" w:ascii="宋体" w:hAnsi="宋体" w:eastAsia="宋体" w:cs="宋体"/>
                <w:i w:val="0"/>
                <w:iCs w:val="0"/>
                <w:color w:val="auto"/>
                <w:sz w:val="24"/>
                <w:szCs w:val="24"/>
                <w:highlight w:val="none"/>
                <w:u w:val="none"/>
                <w:lang w:val="en-US" w:eastAsia="zh-CN"/>
              </w:rPr>
              <w:t>培训教学实施内容详细、完整，针对本招标项目内容要求进行细化制定，但无明显创新或特色亮点；</w:t>
            </w:r>
          </w:p>
          <w:p w14:paraId="3100AC4D">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left"/>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第三个档次（12分）：</w:t>
            </w:r>
            <w:r>
              <w:rPr>
                <w:rFonts w:hint="eastAsia" w:ascii="宋体" w:hAnsi="宋体" w:eastAsia="宋体" w:cs="宋体"/>
                <w:i w:val="0"/>
                <w:iCs w:val="0"/>
                <w:color w:val="auto"/>
                <w:sz w:val="24"/>
                <w:szCs w:val="24"/>
                <w:highlight w:val="none"/>
                <w:u w:val="none"/>
                <w:lang w:val="en-US" w:eastAsia="zh-CN"/>
              </w:rPr>
              <w:t>培训教学实施内容基本完整，基本对本招标项目内容要求进行细化制定，但部分细节不够具体或略显笼统。</w:t>
            </w:r>
          </w:p>
          <w:p w14:paraId="388289F0">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left"/>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第四个档次（8分）：</w:t>
            </w:r>
            <w:r>
              <w:rPr>
                <w:rFonts w:hint="eastAsia" w:ascii="宋体" w:hAnsi="宋体" w:eastAsia="宋体" w:cs="宋体"/>
                <w:i w:val="0"/>
                <w:iCs w:val="0"/>
                <w:color w:val="auto"/>
                <w:sz w:val="24"/>
                <w:szCs w:val="24"/>
                <w:highlight w:val="none"/>
                <w:u w:val="none"/>
                <w:lang w:val="en-US" w:eastAsia="zh-CN"/>
              </w:rPr>
              <w:t>培训教学实施内容基本完整，基本对本招标项目内容要求进行细化制定，但内容较为模板化，缺乏针对性。</w:t>
            </w:r>
          </w:p>
          <w:p w14:paraId="52E752EF">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left"/>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第五个档次（4分）：</w:t>
            </w:r>
            <w:r>
              <w:rPr>
                <w:rFonts w:hint="eastAsia" w:ascii="宋体" w:hAnsi="宋体" w:eastAsia="宋体" w:cs="宋体"/>
                <w:i w:val="0"/>
                <w:iCs w:val="0"/>
                <w:color w:val="auto"/>
                <w:sz w:val="24"/>
                <w:szCs w:val="24"/>
                <w:highlight w:val="none"/>
                <w:u w:val="none"/>
                <w:lang w:val="en-US" w:eastAsia="zh-CN"/>
              </w:rPr>
              <w:t>培训教学实施内容不完整，没有针对本招标项目内容要求细化制定，或存在明显缺失。</w:t>
            </w:r>
          </w:p>
          <w:p w14:paraId="17DC7C92">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left"/>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第六档次（0分）：</w:t>
            </w:r>
            <w:r>
              <w:rPr>
                <w:rFonts w:hint="eastAsia" w:ascii="宋体" w:hAnsi="宋体" w:eastAsia="宋体" w:cs="宋体"/>
                <w:i w:val="0"/>
                <w:iCs w:val="0"/>
                <w:color w:val="auto"/>
                <w:sz w:val="24"/>
                <w:szCs w:val="24"/>
                <w:highlight w:val="none"/>
                <w:u w:val="none"/>
                <w:lang w:val="en-US" w:eastAsia="zh-CN"/>
              </w:rPr>
              <w:t>未提供教学实施方案。</w:t>
            </w:r>
          </w:p>
        </w:tc>
      </w:tr>
      <w:tr w14:paraId="1671B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1019" w:type="dxa"/>
            <w:vMerge w:val="continue"/>
            <w:tcBorders>
              <w:left w:val="single" w:color="000000" w:sz="4" w:space="0"/>
              <w:right w:val="single" w:color="000000" w:sz="4" w:space="0"/>
            </w:tcBorders>
            <w:noWrap w:val="0"/>
            <w:vAlign w:val="center"/>
          </w:tcPr>
          <w:p w14:paraId="3CE33045">
            <w:pPr>
              <w:spacing w:line="360" w:lineRule="auto"/>
              <w:jc w:val="center"/>
              <w:rPr>
                <w:rFonts w:hint="eastAsia" w:ascii="宋体" w:hAnsi="宋体" w:eastAsia="宋体" w:cs="宋体"/>
                <w:i w:val="0"/>
                <w:iCs w:val="0"/>
                <w:color w:val="auto"/>
                <w:sz w:val="24"/>
                <w:szCs w:val="24"/>
                <w:highlight w:val="none"/>
                <w:u w:val="none"/>
              </w:rPr>
            </w:pPr>
          </w:p>
        </w:tc>
        <w:tc>
          <w:tcPr>
            <w:tcW w:w="114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03E9C4">
            <w:pPr>
              <w:spacing w:line="360" w:lineRule="auto"/>
              <w:jc w:val="center"/>
              <w:rPr>
                <w:rFonts w:hint="eastAsia" w:ascii="宋体" w:hAnsi="宋体" w:eastAsia="宋体" w:cs="宋体"/>
                <w:i w:val="0"/>
                <w:iCs w:val="0"/>
                <w:color w:val="auto"/>
                <w:sz w:val="24"/>
                <w:szCs w:val="24"/>
                <w:highlight w:val="none"/>
                <w:u w:val="none"/>
              </w:rPr>
            </w:pPr>
          </w:p>
        </w:tc>
        <w:tc>
          <w:tcPr>
            <w:tcW w:w="2346" w:type="dxa"/>
            <w:tcBorders>
              <w:top w:val="single" w:color="000000" w:sz="4" w:space="0"/>
              <w:left w:val="single" w:color="000000" w:sz="4" w:space="0"/>
              <w:bottom w:val="single" w:color="000000" w:sz="4" w:space="0"/>
              <w:right w:val="single" w:color="000000" w:sz="4" w:space="0"/>
            </w:tcBorders>
            <w:noWrap w:val="0"/>
            <w:vAlign w:val="center"/>
          </w:tcPr>
          <w:p w14:paraId="1C35D990">
            <w:pPr>
              <w:keepNext w:val="0"/>
              <w:keepLines w:val="0"/>
              <w:widowControl/>
              <w:suppressLineNumbers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培训服务方案</w:t>
            </w:r>
          </w:p>
          <w:p w14:paraId="2F4ECD04">
            <w:pPr>
              <w:keepNext w:val="0"/>
              <w:keepLines w:val="0"/>
              <w:widowControl/>
              <w:suppressLineNumbers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（20分）</w:t>
            </w:r>
          </w:p>
        </w:tc>
        <w:tc>
          <w:tcPr>
            <w:tcW w:w="5228" w:type="dxa"/>
            <w:tcBorders>
              <w:top w:val="single" w:color="000000" w:sz="4" w:space="0"/>
              <w:left w:val="single" w:color="000000" w:sz="4" w:space="0"/>
              <w:bottom w:val="single" w:color="000000" w:sz="4" w:space="0"/>
              <w:right w:val="single" w:color="000000" w:sz="4" w:space="0"/>
            </w:tcBorders>
            <w:noWrap w:val="0"/>
            <w:vAlign w:val="top"/>
          </w:tcPr>
          <w:p w14:paraId="256B5714">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第一个档次（20分）：</w:t>
            </w:r>
            <w:r>
              <w:rPr>
                <w:rFonts w:hint="eastAsia" w:ascii="宋体" w:hAnsi="宋体" w:eastAsia="宋体" w:cs="宋体"/>
                <w:i w:val="0"/>
                <w:iCs w:val="0"/>
                <w:color w:val="auto"/>
                <w:kern w:val="0"/>
                <w:sz w:val="24"/>
                <w:szCs w:val="24"/>
                <w:highlight w:val="none"/>
                <w:u w:val="none"/>
                <w:lang w:val="en-US" w:eastAsia="zh-CN" w:bidi="ar"/>
              </w:rPr>
              <w:t>培训服务方案清晰、架构完整详细，对采购人需求分析透彻，对服务内容、培训方法和形式、教学计划、范围、任务目标、完成保障措施等表述全面、详尽；</w:t>
            </w:r>
          </w:p>
          <w:p w14:paraId="57F81610">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第二个档次（16分）：</w:t>
            </w:r>
            <w:r>
              <w:rPr>
                <w:rFonts w:hint="eastAsia" w:ascii="宋体" w:hAnsi="宋体" w:eastAsia="宋体" w:cs="宋体"/>
                <w:i w:val="0"/>
                <w:iCs w:val="0"/>
                <w:color w:val="auto"/>
                <w:kern w:val="0"/>
                <w:sz w:val="24"/>
                <w:szCs w:val="24"/>
                <w:highlight w:val="none"/>
                <w:u w:val="none"/>
                <w:lang w:val="en-US" w:eastAsia="zh-CN" w:bidi="ar"/>
              </w:rPr>
              <w:t>培训服务方案清晰、架构较为完整，对采购人需求分析比较透彻，对服务内容、培训方法和形式、教学计划、范围、任务目标、完成保障措施等表述比较全面、有一定细节，但较第一档略有欠缺；</w:t>
            </w:r>
          </w:p>
          <w:p w14:paraId="7A36C23E">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第三个档次（12分）：</w:t>
            </w:r>
            <w:r>
              <w:rPr>
                <w:rFonts w:hint="eastAsia" w:ascii="宋体" w:hAnsi="宋体" w:eastAsia="宋体" w:cs="宋体"/>
                <w:i w:val="0"/>
                <w:iCs w:val="0"/>
                <w:color w:val="auto"/>
                <w:kern w:val="0"/>
                <w:sz w:val="24"/>
                <w:szCs w:val="24"/>
                <w:highlight w:val="none"/>
                <w:u w:val="none"/>
                <w:lang w:val="en-US" w:eastAsia="zh-CN" w:bidi="ar"/>
              </w:rPr>
              <w:t>培训服务方案、架构相对完整，对采购人需求分析清楚，对服务内容、培训方法和形式、教学计划、范围、任务目标、完成保障措施等表述相对全面；</w:t>
            </w:r>
          </w:p>
          <w:p w14:paraId="665C393D">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第四个档次（8分）：</w:t>
            </w:r>
            <w:r>
              <w:rPr>
                <w:rFonts w:hint="eastAsia" w:ascii="宋体" w:hAnsi="宋体" w:eastAsia="宋体" w:cs="宋体"/>
                <w:i w:val="0"/>
                <w:iCs w:val="0"/>
                <w:color w:val="auto"/>
                <w:kern w:val="0"/>
                <w:sz w:val="24"/>
                <w:szCs w:val="24"/>
                <w:highlight w:val="none"/>
                <w:u w:val="none"/>
                <w:lang w:val="en-US" w:eastAsia="zh-CN" w:bidi="ar"/>
              </w:rPr>
              <w:t>培训服务方案、构架简单，对采购人需求分析简要，对服务内容、培训方法和形式、教学计划、范围、任务目标、完成保障措施等表述简单笼统；</w:t>
            </w:r>
          </w:p>
          <w:p w14:paraId="2A521E51">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第五个档次（4分）：</w:t>
            </w:r>
            <w:r>
              <w:rPr>
                <w:rFonts w:hint="eastAsia" w:ascii="宋体" w:hAnsi="宋体" w:eastAsia="宋体" w:cs="宋体"/>
                <w:i w:val="0"/>
                <w:iCs w:val="0"/>
                <w:color w:val="auto"/>
                <w:kern w:val="0"/>
                <w:sz w:val="24"/>
                <w:szCs w:val="24"/>
                <w:highlight w:val="none"/>
                <w:u w:val="none"/>
                <w:lang w:val="en-US" w:eastAsia="zh-CN" w:bidi="ar"/>
              </w:rPr>
              <w:t>培训服务方案、构架简单，对采购人需求分析有偏离，对服务内容、培训方法和形式、教学计划、范围、任务目标、完成保障措施等表述有偏差；</w:t>
            </w:r>
          </w:p>
          <w:p w14:paraId="78F34276">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第六档次（0分）：</w:t>
            </w:r>
            <w:r>
              <w:rPr>
                <w:rFonts w:hint="eastAsia" w:ascii="宋体" w:hAnsi="宋体" w:eastAsia="宋体" w:cs="宋体"/>
                <w:i w:val="0"/>
                <w:iCs w:val="0"/>
                <w:color w:val="auto"/>
                <w:kern w:val="0"/>
                <w:sz w:val="24"/>
                <w:szCs w:val="24"/>
                <w:highlight w:val="none"/>
                <w:u w:val="none"/>
                <w:lang w:val="en-US" w:eastAsia="zh-CN" w:bidi="ar"/>
              </w:rPr>
              <w:t>未提供培训服务方案。</w:t>
            </w:r>
          </w:p>
        </w:tc>
      </w:tr>
      <w:tr w14:paraId="148EE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1019" w:type="dxa"/>
            <w:vMerge w:val="continue"/>
            <w:tcBorders>
              <w:left w:val="single" w:color="000000" w:sz="4" w:space="0"/>
              <w:right w:val="single" w:color="000000" w:sz="4" w:space="0"/>
            </w:tcBorders>
            <w:noWrap w:val="0"/>
            <w:vAlign w:val="center"/>
          </w:tcPr>
          <w:p w14:paraId="65F4A5C1">
            <w:pPr>
              <w:spacing w:line="360" w:lineRule="auto"/>
              <w:jc w:val="center"/>
              <w:rPr>
                <w:rFonts w:hint="eastAsia" w:ascii="宋体" w:hAnsi="宋体" w:eastAsia="宋体" w:cs="宋体"/>
                <w:i w:val="0"/>
                <w:iCs w:val="0"/>
                <w:color w:val="auto"/>
                <w:sz w:val="24"/>
                <w:szCs w:val="24"/>
                <w:highlight w:val="none"/>
                <w:u w:val="none"/>
              </w:rPr>
            </w:pPr>
          </w:p>
        </w:tc>
        <w:tc>
          <w:tcPr>
            <w:tcW w:w="114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235071">
            <w:pPr>
              <w:spacing w:line="360" w:lineRule="auto"/>
              <w:jc w:val="center"/>
              <w:rPr>
                <w:rFonts w:hint="eastAsia" w:ascii="宋体" w:hAnsi="宋体" w:eastAsia="宋体" w:cs="宋体"/>
                <w:i w:val="0"/>
                <w:iCs w:val="0"/>
                <w:color w:val="auto"/>
                <w:sz w:val="24"/>
                <w:szCs w:val="24"/>
                <w:highlight w:val="none"/>
                <w:u w:val="none"/>
              </w:rPr>
            </w:pPr>
          </w:p>
        </w:tc>
        <w:tc>
          <w:tcPr>
            <w:tcW w:w="23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CE6F09">
            <w:pPr>
              <w:keepNext w:val="0"/>
              <w:keepLines w:val="0"/>
              <w:widowControl/>
              <w:suppressLineNumbers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培训服务能力</w:t>
            </w:r>
          </w:p>
          <w:p w14:paraId="2E7161C1">
            <w:pPr>
              <w:keepNext w:val="0"/>
              <w:keepLines w:val="0"/>
              <w:widowControl/>
              <w:suppressLineNumbers w:val="0"/>
              <w:spacing w:line="360" w:lineRule="auto"/>
              <w:ind w:left="0" w:leftChars="0" w:firstLine="0" w:firstLineChars="0"/>
              <w:jc w:val="center"/>
              <w:textAlignment w:val="center"/>
              <w:rPr>
                <w:rFonts w:hint="eastAsia" w:ascii="宋体" w:hAnsi="宋体" w:eastAsia="宋体" w:cs="宋体"/>
                <w:i w:val="0"/>
                <w:iCs w:val="0"/>
                <w:snapToGrid w:val="0"/>
                <w:color w:val="auto"/>
                <w:kern w:val="0"/>
                <w:sz w:val="24"/>
                <w:szCs w:val="24"/>
                <w:highlight w:val="none"/>
                <w:u w:val="none"/>
                <w:lang w:val="en-US" w:eastAsia="zh-CN"/>
              </w:rPr>
            </w:pPr>
            <w:r>
              <w:rPr>
                <w:rFonts w:hint="eastAsia" w:ascii="宋体" w:hAnsi="宋体" w:eastAsia="宋体" w:cs="宋体"/>
                <w:i w:val="0"/>
                <w:iCs w:val="0"/>
                <w:color w:val="auto"/>
                <w:kern w:val="0"/>
                <w:sz w:val="24"/>
                <w:szCs w:val="24"/>
                <w:highlight w:val="none"/>
                <w:u w:val="none"/>
                <w:lang w:val="en-US" w:eastAsia="zh-CN" w:bidi="ar"/>
              </w:rPr>
              <w:t>（20分）</w:t>
            </w:r>
          </w:p>
        </w:tc>
        <w:tc>
          <w:tcPr>
            <w:tcW w:w="5228"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D2407AA">
            <w:pPr>
              <w:keepNext w:val="0"/>
              <w:keepLines w:val="0"/>
              <w:pageBreakBefore w:val="0"/>
              <w:widowControl w:val="0"/>
              <w:kinsoku/>
              <w:wordWrap/>
              <w:overflowPunct/>
              <w:topLinePunct w:val="0"/>
              <w:bidi w:val="0"/>
              <w:snapToGrid/>
              <w:spacing w:line="400" w:lineRule="exact"/>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b/>
                <w:bCs/>
                <w:i w:val="0"/>
                <w:iCs w:val="0"/>
                <w:color w:val="auto"/>
                <w:kern w:val="0"/>
                <w:sz w:val="24"/>
                <w:szCs w:val="24"/>
                <w:highlight w:val="none"/>
                <w:u w:val="none"/>
                <w:lang w:val="en-US" w:eastAsia="zh-CN" w:bidi="ar"/>
              </w:rPr>
              <w:t>第一个档次（20分）：</w:t>
            </w: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年1月1日至今开展职业技能培训，鉴定（考评）合格率在9</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%以上，累计培训总人数在3000人（含）以上，其中</w:t>
            </w:r>
            <w:r>
              <w:rPr>
                <w:rFonts w:hint="eastAsia" w:ascii="宋体" w:hAnsi="宋体" w:eastAsia="宋体" w:cs="宋体"/>
                <w:color w:val="auto"/>
                <w:sz w:val="24"/>
                <w:szCs w:val="24"/>
                <w:highlight w:val="none"/>
                <w:lang w:val="en-US" w:eastAsia="zh-CN"/>
              </w:rPr>
              <w:t>政府补贴性</w:t>
            </w:r>
            <w:r>
              <w:rPr>
                <w:rFonts w:hint="eastAsia" w:ascii="宋体" w:hAnsi="宋体" w:eastAsia="宋体" w:cs="宋体"/>
                <w:color w:val="auto"/>
                <w:sz w:val="24"/>
                <w:szCs w:val="24"/>
                <w:highlight w:val="none"/>
              </w:rPr>
              <w:t>培训总人数在1500人（含）以上</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w:t>
            </w:r>
          </w:p>
          <w:p w14:paraId="7EB266D4">
            <w:pPr>
              <w:pStyle w:val="24"/>
              <w:keepNext w:val="0"/>
              <w:keepLines w:val="0"/>
              <w:pageBreakBefore w:val="0"/>
              <w:widowControl w:val="0"/>
              <w:kinsoku/>
              <w:wordWrap/>
              <w:overflowPunct/>
              <w:topLinePunct w:val="0"/>
              <w:bidi w:val="0"/>
              <w:snapToGrid/>
              <w:spacing w:after="0" w:line="400" w:lineRule="exact"/>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b/>
                <w:bCs/>
                <w:i w:val="0"/>
                <w:iCs w:val="0"/>
                <w:color w:val="auto"/>
                <w:kern w:val="0"/>
                <w:sz w:val="24"/>
                <w:szCs w:val="24"/>
                <w:highlight w:val="none"/>
                <w:u w:val="none"/>
                <w:lang w:val="en-US" w:eastAsia="zh-CN" w:bidi="ar"/>
              </w:rPr>
              <w:t>第二个档次（16分）：</w:t>
            </w: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年1月1日至今开展职业技能培训，鉴定（考评）合格率在9</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%以上，累计培训总人数在2000-3000人（不含），其中</w:t>
            </w:r>
            <w:r>
              <w:rPr>
                <w:rFonts w:hint="eastAsia" w:ascii="宋体" w:hAnsi="宋体" w:eastAsia="宋体" w:cs="宋体"/>
                <w:color w:val="auto"/>
                <w:sz w:val="24"/>
                <w:szCs w:val="24"/>
                <w:highlight w:val="none"/>
                <w:lang w:val="en-US" w:eastAsia="zh-CN"/>
              </w:rPr>
              <w:t>政府补贴性</w:t>
            </w:r>
            <w:r>
              <w:rPr>
                <w:rFonts w:hint="eastAsia" w:ascii="宋体" w:hAnsi="宋体" w:eastAsia="宋体" w:cs="宋体"/>
                <w:color w:val="auto"/>
                <w:sz w:val="24"/>
                <w:szCs w:val="24"/>
                <w:highlight w:val="none"/>
              </w:rPr>
              <w:t>培训总人数在1200人（含）以上的。</w:t>
            </w:r>
          </w:p>
          <w:p w14:paraId="029A7BD3">
            <w:pPr>
              <w:pStyle w:val="24"/>
              <w:keepNext w:val="0"/>
              <w:keepLines w:val="0"/>
              <w:pageBreakBefore w:val="0"/>
              <w:widowControl w:val="0"/>
              <w:kinsoku/>
              <w:wordWrap/>
              <w:overflowPunct/>
              <w:topLinePunct w:val="0"/>
              <w:bidi w:val="0"/>
              <w:snapToGrid/>
              <w:spacing w:after="0" w:line="400" w:lineRule="exact"/>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b/>
                <w:bCs/>
                <w:i w:val="0"/>
                <w:iCs w:val="0"/>
                <w:color w:val="auto"/>
                <w:kern w:val="0"/>
                <w:sz w:val="24"/>
                <w:szCs w:val="24"/>
                <w:highlight w:val="none"/>
                <w:u w:val="none"/>
                <w:lang w:val="en-US" w:eastAsia="zh-CN" w:bidi="ar"/>
              </w:rPr>
              <w:t>第三个档次（12分）</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年1月1日至今开展职业技能培训，鉴定（考评）合格率在9</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%以上，累计培训总人数在1000-2000人（含），其中</w:t>
            </w:r>
            <w:r>
              <w:rPr>
                <w:rFonts w:hint="eastAsia" w:ascii="宋体" w:hAnsi="宋体" w:eastAsia="宋体" w:cs="宋体"/>
                <w:color w:val="auto"/>
                <w:sz w:val="24"/>
                <w:szCs w:val="24"/>
                <w:highlight w:val="none"/>
                <w:lang w:val="en-US" w:eastAsia="zh-CN"/>
              </w:rPr>
              <w:t>政府补贴性</w:t>
            </w:r>
            <w:r>
              <w:rPr>
                <w:rFonts w:hint="eastAsia" w:ascii="宋体" w:hAnsi="宋体" w:eastAsia="宋体" w:cs="宋体"/>
                <w:color w:val="auto"/>
                <w:sz w:val="24"/>
                <w:szCs w:val="24"/>
                <w:highlight w:val="none"/>
              </w:rPr>
              <w:t>培训总人数在900人（含）以上的；</w:t>
            </w:r>
          </w:p>
          <w:p w14:paraId="631A995F">
            <w:pPr>
              <w:pStyle w:val="24"/>
              <w:keepNext w:val="0"/>
              <w:keepLines w:val="0"/>
              <w:pageBreakBefore w:val="0"/>
              <w:widowControl w:val="0"/>
              <w:kinsoku/>
              <w:wordWrap/>
              <w:overflowPunct/>
              <w:topLinePunct w:val="0"/>
              <w:bidi w:val="0"/>
              <w:snapToGrid/>
              <w:spacing w:after="0" w:line="400" w:lineRule="exact"/>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第四个档次（8分）：</w:t>
            </w: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年1月1日至今开展职业技能培训，鉴定（考评）合格率在9</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%以上，累计培训总人数在800-1000人（不含），其中</w:t>
            </w:r>
            <w:r>
              <w:rPr>
                <w:rFonts w:hint="eastAsia" w:ascii="宋体" w:hAnsi="宋体" w:eastAsia="宋体" w:cs="宋体"/>
                <w:color w:val="auto"/>
                <w:sz w:val="24"/>
                <w:szCs w:val="24"/>
                <w:highlight w:val="none"/>
                <w:lang w:val="en-US" w:eastAsia="zh-CN"/>
              </w:rPr>
              <w:t>政府补贴性</w:t>
            </w:r>
            <w:r>
              <w:rPr>
                <w:rFonts w:hint="eastAsia" w:ascii="宋体" w:hAnsi="宋体" w:eastAsia="宋体" w:cs="宋体"/>
                <w:color w:val="auto"/>
                <w:sz w:val="24"/>
                <w:szCs w:val="24"/>
                <w:highlight w:val="none"/>
              </w:rPr>
              <w:t>培训总人数在600人（含）以上的。</w:t>
            </w:r>
          </w:p>
          <w:p w14:paraId="63EE9AF4">
            <w:pPr>
              <w:pStyle w:val="24"/>
              <w:keepNext w:val="0"/>
              <w:keepLines w:val="0"/>
              <w:pageBreakBefore w:val="0"/>
              <w:widowControl w:val="0"/>
              <w:kinsoku/>
              <w:wordWrap/>
              <w:overflowPunct/>
              <w:topLinePunct w:val="0"/>
              <w:bidi w:val="0"/>
              <w:snapToGrid/>
              <w:spacing w:after="0" w:line="400" w:lineRule="exact"/>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第五个档次（4分）：</w:t>
            </w:r>
            <w:r>
              <w:rPr>
                <w:rFonts w:hint="eastAsia" w:ascii="宋体" w:hAnsi="宋体" w:eastAsia="宋体" w:cs="宋体"/>
                <w:color w:val="auto"/>
                <w:sz w:val="24"/>
                <w:szCs w:val="24"/>
                <w:highlight w:val="none"/>
                <w:lang w:val="en-US" w:eastAsia="zh-CN"/>
              </w:rPr>
              <w:t>2023年1月1日至今开展职业技能培训，鉴定（考评）合格率在90%以上，累计培训总人数在800人（含）以下，其中政府补贴性培训总人数在600人（不含）以下的。</w:t>
            </w:r>
          </w:p>
          <w:p w14:paraId="22701FF0">
            <w:pPr>
              <w:pStyle w:val="24"/>
              <w:keepNext w:val="0"/>
              <w:keepLines w:val="0"/>
              <w:pageBreakBefore w:val="0"/>
              <w:widowControl w:val="0"/>
              <w:kinsoku/>
              <w:wordWrap/>
              <w:overflowPunct/>
              <w:topLinePunct w:val="0"/>
              <w:bidi w:val="0"/>
              <w:snapToGrid/>
              <w:spacing w:after="0" w:line="400" w:lineRule="exact"/>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第六个档次（0分）：</w:t>
            </w:r>
            <w:r>
              <w:rPr>
                <w:rFonts w:hint="eastAsia" w:ascii="宋体" w:hAnsi="宋体" w:eastAsia="宋体" w:cs="宋体"/>
                <w:color w:val="auto"/>
                <w:sz w:val="24"/>
                <w:szCs w:val="24"/>
                <w:highlight w:val="none"/>
              </w:rPr>
              <w:t>没有提供培训</w:t>
            </w:r>
            <w:r>
              <w:rPr>
                <w:rFonts w:hint="eastAsia" w:ascii="宋体" w:hAnsi="宋体" w:eastAsia="宋体" w:cs="宋体"/>
                <w:color w:val="auto"/>
                <w:sz w:val="24"/>
                <w:szCs w:val="24"/>
                <w:highlight w:val="none"/>
                <w:lang w:val="en-US" w:eastAsia="zh-CN"/>
              </w:rPr>
              <w:t>服务能力</w:t>
            </w:r>
            <w:r>
              <w:rPr>
                <w:rFonts w:hint="eastAsia" w:ascii="宋体" w:hAnsi="宋体" w:eastAsia="宋体" w:cs="宋体"/>
                <w:color w:val="auto"/>
                <w:sz w:val="24"/>
                <w:szCs w:val="24"/>
                <w:highlight w:val="none"/>
              </w:rPr>
              <w:t>相关证明材料的。</w:t>
            </w:r>
          </w:p>
          <w:p w14:paraId="4667ACA1">
            <w:pPr>
              <w:pStyle w:val="24"/>
              <w:keepNext w:val="0"/>
              <w:keepLines w:val="0"/>
              <w:pageBreakBefore w:val="0"/>
              <w:widowControl w:val="0"/>
              <w:kinsoku/>
              <w:wordWrap/>
              <w:overflowPunct/>
              <w:topLinePunct w:val="0"/>
              <w:bidi w:val="0"/>
              <w:snapToGrid/>
              <w:spacing w:after="0" w:line="400" w:lineRule="exact"/>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注：1.</w:t>
            </w:r>
            <w:r>
              <w:rPr>
                <w:rFonts w:hint="eastAsia" w:ascii="宋体" w:hAnsi="宋体" w:eastAsia="宋体" w:cs="宋体"/>
                <w:b/>
                <w:bCs/>
                <w:color w:val="auto"/>
                <w:sz w:val="24"/>
                <w:szCs w:val="24"/>
                <w:highlight w:val="none"/>
              </w:rPr>
              <w:t>投标人提供相关证明材料（内容含培训时间、地点、工种、人数、人员类别、技能鉴定或考评合格人数等）。</w:t>
            </w:r>
          </w:p>
          <w:p w14:paraId="2674D5EB">
            <w:pPr>
              <w:pStyle w:val="24"/>
              <w:keepNext w:val="0"/>
              <w:keepLines w:val="0"/>
              <w:pageBreakBefore w:val="0"/>
              <w:widowControl w:val="0"/>
              <w:kinsoku/>
              <w:wordWrap/>
              <w:overflowPunct/>
              <w:topLinePunct w:val="0"/>
              <w:bidi w:val="0"/>
              <w:snapToGrid/>
              <w:spacing w:after="0" w:line="400" w:lineRule="exact"/>
              <w:ind w:left="0" w:leftChars="0" w:firstLine="482" w:firstLineChars="200"/>
              <w:textAlignment w:val="auto"/>
              <w:rPr>
                <w:rFonts w:hint="eastAsia" w:ascii="宋体" w:hAnsi="宋体" w:eastAsia="宋体" w:cs="宋体"/>
                <w:i w:val="0"/>
                <w:iCs w:val="0"/>
                <w:snapToGrid w:val="0"/>
                <w:color w:val="auto"/>
                <w:kern w:val="0"/>
                <w:sz w:val="24"/>
                <w:szCs w:val="24"/>
                <w:highlight w:val="none"/>
                <w:u w:val="none"/>
                <w:lang w:val="en-US" w:eastAsia="zh-CN"/>
              </w:rPr>
            </w:pPr>
            <w:r>
              <w:rPr>
                <w:rFonts w:hint="eastAsia" w:ascii="宋体" w:hAnsi="宋体" w:eastAsia="宋体" w:cs="宋体"/>
                <w:b/>
                <w:bCs/>
                <w:color w:val="auto"/>
                <w:sz w:val="24"/>
                <w:szCs w:val="24"/>
                <w:highlight w:val="none"/>
                <w:lang w:val="en-US" w:eastAsia="zh-CN"/>
              </w:rPr>
              <w:t>2.政府补贴性</w:t>
            </w:r>
            <w:r>
              <w:rPr>
                <w:rFonts w:hint="eastAsia" w:ascii="宋体" w:hAnsi="宋体" w:eastAsia="宋体" w:cs="宋体"/>
                <w:b/>
                <w:bCs/>
                <w:color w:val="auto"/>
                <w:sz w:val="24"/>
                <w:szCs w:val="24"/>
                <w:highlight w:val="none"/>
              </w:rPr>
              <w:t>培训人数</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合格率需由培训所在地区人社部门或公共就业和人才服务中心确认并加盖公章。</w:t>
            </w:r>
          </w:p>
        </w:tc>
      </w:tr>
      <w:tr w14:paraId="72471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1019" w:type="dxa"/>
            <w:vMerge w:val="continue"/>
            <w:tcBorders>
              <w:left w:val="single" w:color="000000" w:sz="4" w:space="0"/>
              <w:right w:val="single" w:color="000000" w:sz="4" w:space="0"/>
            </w:tcBorders>
            <w:noWrap w:val="0"/>
            <w:vAlign w:val="center"/>
          </w:tcPr>
          <w:p w14:paraId="121025B7">
            <w:pPr>
              <w:spacing w:line="360" w:lineRule="auto"/>
              <w:jc w:val="center"/>
              <w:rPr>
                <w:rFonts w:hint="eastAsia" w:ascii="宋体" w:hAnsi="宋体" w:eastAsia="宋体" w:cs="宋体"/>
                <w:i w:val="0"/>
                <w:iCs w:val="0"/>
                <w:color w:val="auto"/>
                <w:sz w:val="24"/>
                <w:szCs w:val="24"/>
                <w:highlight w:val="none"/>
                <w:u w:val="none"/>
              </w:rPr>
            </w:pPr>
          </w:p>
        </w:tc>
        <w:tc>
          <w:tcPr>
            <w:tcW w:w="114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49BD3F">
            <w:pPr>
              <w:spacing w:line="360" w:lineRule="auto"/>
              <w:jc w:val="center"/>
              <w:rPr>
                <w:rFonts w:hint="eastAsia" w:ascii="宋体" w:hAnsi="宋体" w:eastAsia="宋体" w:cs="宋体"/>
                <w:i w:val="0"/>
                <w:iCs w:val="0"/>
                <w:color w:val="auto"/>
                <w:sz w:val="24"/>
                <w:szCs w:val="24"/>
                <w:highlight w:val="none"/>
                <w:u w:val="none"/>
              </w:rPr>
            </w:pPr>
          </w:p>
        </w:tc>
        <w:tc>
          <w:tcPr>
            <w:tcW w:w="2346" w:type="dxa"/>
            <w:tcBorders>
              <w:top w:val="single" w:color="000000" w:sz="4" w:space="0"/>
              <w:left w:val="single" w:color="000000" w:sz="4" w:space="0"/>
              <w:bottom w:val="single" w:color="000000" w:sz="4" w:space="0"/>
              <w:right w:val="single" w:color="000000" w:sz="4" w:space="0"/>
            </w:tcBorders>
            <w:noWrap w:val="0"/>
            <w:vAlign w:val="center"/>
          </w:tcPr>
          <w:p w14:paraId="519E3643">
            <w:pPr>
              <w:keepNext w:val="0"/>
              <w:keepLines w:val="0"/>
              <w:widowControl/>
              <w:suppressLineNumbers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管理制度</w:t>
            </w:r>
          </w:p>
          <w:p w14:paraId="43B8F648">
            <w:pPr>
              <w:keepNext w:val="0"/>
              <w:keepLines w:val="0"/>
              <w:widowControl/>
              <w:suppressLineNumbers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（5分）</w:t>
            </w:r>
          </w:p>
        </w:tc>
        <w:tc>
          <w:tcPr>
            <w:tcW w:w="5228" w:type="dxa"/>
            <w:tcBorders>
              <w:top w:val="single" w:color="000000" w:sz="4" w:space="0"/>
              <w:left w:val="single" w:color="000000" w:sz="4" w:space="0"/>
              <w:bottom w:val="single" w:color="000000" w:sz="4" w:space="0"/>
              <w:right w:val="single" w:color="000000" w:sz="4" w:space="0"/>
            </w:tcBorders>
            <w:noWrap w:val="0"/>
            <w:vAlign w:val="top"/>
          </w:tcPr>
          <w:p w14:paraId="686D1D3E">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培训机构内部管理制度健全完善，建立规范的教师管理及聘任制度、学员管理制度、学员考试（鉴定）制度、安全管理制度、档案管理制度、岗位责任制度、学员考勤管理制度等，酌情赋分。</w:t>
            </w:r>
          </w:p>
          <w:p w14:paraId="4ACB6607">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第一档次（5分）：</w:t>
            </w:r>
            <w:r>
              <w:rPr>
                <w:rFonts w:hint="eastAsia" w:ascii="宋体" w:hAnsi="宋体" w:eastAsia="宋体" w:cs="宋体"/>
                <w:i w:val="0"/>
                <w:iCs w:val="0"/>
                <w:color w:val="auto"/>
                <w:kern w:val="0"/>
                <w:sz w:val="24"/>
                <w:szCs w:val="24"/>
                <w:highlight w:val="none"/>
                <w:u w:val="none"/>
                <w:lang w:val="en-US" w:eastAsia="zh-CN" w:bidi="ar"/>
              </w:rPr>
              <w:t>投标人有完善、详尽的企业内部管理制度，人员管理科学、合理、规范、专业性强，能很好的满足项目服务需求的。</w:t>
            </w:r>
          </w:p>
          <w:p w14:paraId="2C4DF32C">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第二档次（3分）：</w:t>
            </w:r>
            <w:r>
              <w:rPr>
                <w:rFonts w:hint="eastAsia" w:ascii="宋体" w:hAnsi="宋体" w:eastAsia="宋体" w:cs="宋体"/>
                <w:i w:val="0"/>
                <w:iCs w:val="0"/>
                <w:color w:val="auto"/>
                <w:kern w:val="0"/>
                <w:sz w:val="24"/>
                <w:szCs w:val="24"/>
                <w:highlight w:val="none"/>
                <w:u w:val="none"/>
                <w:lang w:val="en-US" w:eastAsia="zh-CN" w:bidi="ar"/>
              </w:rPr>
              <w:t>投标人有健全的企业内部管理制度，人员管理较科学、合理、规范、专业性较强，基本满足项目服务需求的。</w:t>
            </w:r>
          </w:p>
          <w:p w14:paraId="17E422C1">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第三档次（1分）：</w:t>
            </w:r>
            <w:r>
              <w:rPr>
                <w:rFonts w:hint="eastAsia" w:ascii="宋体" w:hAnsi="宋体" w:eastAsia="宋体" w:cs="宋体"/>
                <w:i w:val="0"/>
                <w:iCs w:val="0"/>
                <w:color w:val="auto"/>
                <w:kern w:val="0"/>
                <w:sz w:val="24"/>
                <w:szCs w:val="24"/>
                <w:highlight w:val="none"/>
                <w:u w:val="none"/>
                <w:lang w:val="en-US" w:eastAsia="zh-CN" w:bidi="ar"/>
              </w:rPr>
              <w:t>投标人企业内部管理制度一般，内容基本详细、较为合理、较为规范、专业性一般，基本满足项目服务需求的。</w:t>
            </w:r>
          </w:p>
          <w:p w14:paraId="5AC09F27">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第四档次（0分）：</w:t>
            </w:r>
            <w:r>
              <w:rPr>
                <w:rFonts w:hint="eastAsia" w:ascii="宋体" w:hAnsi="宋体" w:eastAsia="宋体" w:cs="宋体"/>
                <w:i w:val="0"/>
                <w:iCs w:val="0"/>
                <w:color w:val="auto"/>
                <w:kern w:val="0"/>
                <w:sz w:val="24"/>
                <w:szCs w:val="24"/>
                <w:highlight w:val="none"/>
                <w:u w:val="none"/>
                <w:lang w:val="en-US" w:eastAsia="zh-CN" w:bidi="ar"/>
              </w:rPr>
              <w:t>未提供内部管理制度。</w:t>
            </w:r>
          </w:p>
        </w:tc>
      </w:tr>
      <w:tr w14:paraId="6CC6D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1019" w:type="dxa"/>
            <w:vMerge w:val="continue"/>
            <w:tcBorders>
              <w:left w:val="single" w:color="000000" w:sz="4" w:space="0"/>
              <w:right w:val="single" w:color="000000" w:sz="4" w:space="0"/>
            </w:tcBorders>
            <w:noWrap w:val="0"/>
            <w:vAlign w:val="center"/>
          </w:tcPr>
          <w:p w14:paraId="3D6678EE">
            <w:pPr>
              <w:spacing w:line="360" w:lineRule="auto"/>
              <w:jc w:val="center"/>
              <w:rPr>
                <w:rFonts w:hint="eastAsia" w:ascii="宋体" w:hAnsi="宋体" w:eastAsia="宋体" w:cs="宋体"/>
                <w:i w:val="0"/>
                <w:iCs w:val="0"/>
                <w:color w:val="auto"/>
                <w:sz w:val="24"/>
                <w:szCs w:val="24"/>
                <w:highlight w:val="none"/>
                <w:u w:val="none"/>
              </w:rPr>
            </w:pPr>
          </w:p>
        </w:tc>
        <w:tc>
          <w:tcPr>
            <w:tcW w:w="1141" w:type="dxa"/>
            <w:vMerge w:val="restart"/>
            <w:tcBorders>
              <w:top w:val="single" w:color="000000" w:sz="4" w:space="0"/>
              <w:left w:val="single" w:color="000000" w:sz="4" w:space="0"/>
              <w:bottom w:val="single" w:color="000000" w:sz="4" w:space="0"/>
              <w:right w:val="single" w:color="000000" w:sz="4" w:space="0"/>
            </w:tcBorders>
            <w:noWrap w:val="0"/>
            <w:vAlign w:val="center"/>
          </w:tcPr>
          <w:p w14:paraId="72AA604E">
            <w:pPr>
              <w:keepNext w:val="0"/>
              <w:keepLines w:val="0"/>
              <w:widowControl/>
              <w:suppressLineNumbers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商务部分</w:t>
            </w:r>
          </w:p>
          <w:p w14:paraId="37CB1E9F">
            <w:pPr>
              <w:keepNext w:val="0"/>
              <w:keepLines w:val="0"/>
              <w:widowControl/>
              <w:suppressLineNumbers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（35分)</w:t>
            </w:r>
          </w:p>
        </w:tc>
        <w:tc>
          <w:tcPr>
            <w:tcW w:w="23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54DB2C">
            <w:pPr>
              <w:keepNext w:val="0"/>
              <w:keepLines w:val="0"/>
              <w:widowControl/>
              <w:suppressLineNumbers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师资力量</w:t>
            </w:r>
          </w:p>
          <w:p w14:paraId="3D7D45D8">
            <w:pPr>
              <w:keepNext w:val="0"/>
              <w:keepLines w:val="0"/>
              <w:widowControl/>
              <w:suppressLineNumbers w:val="0"/>
              <w:spacing w:line="360" w:lineRule="auto"/>
              <w:ind w:left="0" w:leftChars="0" w:firstLine="0" w:firstLineChars="0"/>
              <w:jc w:val="center"/>
              <w:textAlignment w:val="center"/>
              <w:rPr>
                <w:rFonts w:hint="eastAsia" w:ascii="宋体" w:hAnsi="宋体" w:eastAsia="宋体" w:cs="宋体"/>
                <w:i w:val="0"/>
                <w:iCs w:val="0"/>
                <w:snapToGrid w:val="0"/>
                <w:color w:val="auto"/>
                <w:kern w:val="0"/>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（20分）</w:t>
            </w:r>
          </w:p>
        </w:tc>
        <w:tc>
          <w:tcPr>
            <w:tcW w:w="5228"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B08EFE2">
            <w:pPr>
              <w:keepNext w:val="0"/>
              <w:keepLines w:val="0"/>
              <w:pageBreakBefore w:val="0"/>
              <w:widowControl/>
              <w:numPr>
                <w:ilvl w:val="0"/>
                <w:numId w:val="0"/>
              </w:numPr>
              <w:suppressLineNumbers w:val="0"/>
              <w:kinsoku/>
              <w:wordWrap/>
              <w:overflowPunct/>
              <w:topLinePunct w:val="0"/>
              <w:autoSpaceDE/>
              <w:autoSpaceDN/>
              <w:bidi w:val="0"/>
              <w:adjustRightInd/>
              <w:snapToGrid/>
              <w:spacing w:line="440" w:lineRule="exact"/>
              <w:jc w:val="left"/>
              <w:textAlignment w:val="top"/>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lang w:val="en-US" w:eastAsia="zh-CN" w:bidi="ar"/>
              </w:rPr>
              <w:t>1、</w:t>
            </w:r>
            <w:r>
              <w:rPr>
                <w:rFonts w:hint="eastAsia" w:ascii="宋体" w:hAnsi="宋体" w:eastAsia="宋体" w:cs="宋体"/>
                <w:b/>
                <w:bCs/>
                <w:i w:val="0"/>
                <w:iCs w:val="0"/>
                <w:color w:val="auto"/>
                <w:kern w:val="0"/>
                <w:sz w:val="24"/>
                <w:szCs w:val="24"/>
                <w:highlight w:val="none"/>
                <w:u w:val="none"/>
                <w:lang w:val="en-US" w:eastAsia="zh-CN" w:bidi="ar"/>
              </w:rPr>
              <w:t>职教学管理人员（满分5分）</w:t>
            </w:r>
          </w:p>
          <w:p w14:paraId="1FACB62B">
            <w:pPr>
              <w:keepNext w:val="0"/>
              <w:keepLines w:val="0"/>
              <w:pageBreakBefore w:val="0"/>
              <w:widowControl/>
              <w:numPr>
                <w:ilvl w:val="0"/>
                <w:numId w:val="0"/>
              </w:numPr>
              <w:suppressLineNumbers w:val="0"/>
              <w:kinsoku/>
              <w:wordWrap/>
              <w:overflowPunct/>
              <w:topLinePunct w:val="0"/>
              <w:autoSpaceDE/>
              <w:autoSpaceDN/>
              <w:bidi w:val="0"/>
              <w:adjustRightInd/>
              <w:snapToGrid/>
              <w:spacing w:line="440" w:lineRule="exact"/>
              <w:ind w:firstLine="480" w:firstLineChars="20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配备专职教学管理人员2名得基本分3分，每增加1名专职教学管理人员得1分，最高加至2分，满分5分；无专职教学管理人员的不得分。</w:t>
            </w:r>
          </w:p>
          <w:p w14:paraId="4C55F4F4">
            <w:pPr>
              <w:keepNext w:val="0"/>
              <w:keepLines w:val="0"/>
              <w:pageBreakBefore w:val="0"/>
              <w:widowControl/>
              <w:numPr>
                <w:ilvl w:val="0"/>
                <w:numId w:val="0"/>
              </w:numPr>
              <w:suppressLineNumbers w:val="0"/>
              <w:kinsoku/>
              <w:wordWrap/>
              <w:overflowPunct/>
              <w:topLinePunct w:val="0"/>
              <w:autoSpaceDE/>
              <w:autoSpaceDN/>
              <w:bidi w:val="0"/>
              <w:adjustRightInd/>
              <w:snapToGrid/>
              <w:spacing w:line="440" w:lineRule="exact"/>
              <w:ind w:firstLine="480" w:firstLineChars="200"/>
              <w:jc w:val="left"/>
              <w:textAlignment w:val="top"/>
              <w:rPr>
                <w:rFonts w:hint="eastAsia" w:ascii="宋体" w:hAnsi="宋体" w:eastAsia="宋体" w:cs="宋体"/>
                <w:b/>
                <w:bCs/>
                <w:color w:val="auto"/>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注：专职教学管理人员查看社保参保证明（提供2026年2月-5月连续两个月的社保缴纳证明）、劳动合同、身份证复印件；</w:t>
            </w:r>
            <w:r>
              <w:rPr>
                <w:rFonts w:hint="eastAsia" w:ascii="宋体" w:hAnsi="宋体" w:eastAsia="宋体" w:cs="宋体"/>
                <w:b/>
                <w:bCs/>
                <w:i w:val="0"/>
                <w:iCs w:val="0"/>
                <w:color w:val="auto"/>
                <w:kern w:val="0"/>
                <w:sz w:val="24"/>
                <w:szCs w:val="24"/>
                <w:highlight w:val="none"/>
                <w:u w:val="none"/>
                <w:lang w:val="en-US" w:eastAsia="zh-CN" w:bidi="ar"/>
              </w:rPr>
              <w:t>（不可以与专职师资重复）。</w:t>
            </w:r>
          </w:p>
          <w:p w14:paraId="3727B872">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left"/>
              <w:textAlignment w:val="top"/>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2、师资配备（满分15分）</w:t>
            </w:r>
          </w:p>
          <w:p w14:paraId="3B2E0F70">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配备至少2名专职教师得基本分5分，2名以外的每个工种专职教师加1分，最高加到10分，满分15分。</w:t>
            </w:r>
          </w:p>
          <w:p w14:paraId="1999ED5C">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0" w:firstLineChars="200"/>
              <w:jc w:val="left"/>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注：专职教师查看社保参保证明（</w:t>
            </w:r>
            <w:r>
              <w:rPr>
                <w:rFonts w:hint="eastAsia" w:ascii="宋体" w:hAnsi="宋体" w:eastAsia="宋体" w:cs="宋体"/>
                <w:i w:val="0"/>
                <w:iCs w:val="0"/>
                <w:color w:val="auto"/>
                <w:kern w:val="0"/>
                <w:sz w:val="24"/>
                <w:szCs w:val="24"/>
                <w:highlight w:val="none"/>
                <w:u w:val="none"/>
                <w:lang w:val="en-US" w:eastAsia="zh-CN" w:bidi="ar"/>
              </w:rPr>
              <w:t>提供2026年2月-5月连续两个月的社保缴纳证明</w:t>
            </w:r>
            <w:r>
              <w:rPr>
                <w:rFonts w:hint="eastAsia" w:ascii="宋体" w:hAnsi="宋体" w:eastAsia="宋体" w:cs="宋体"/>
                <w:color w:val="auto"/>
                <w:sz w:val="24"/>
                <w:szCs w:val="24"/>
                <w:highlight w:val="none"/>
                <w:lang w:val="en-US" w:eastAsia="zh-CN"/>
              </w:rPr>
              <w:t>）、劳动合同、身份证复印件，以及符合相应工种的职业资格、技能等级等证书。每个工种配备的兼职教师和拟派授课教师提供身份证、毕业证、聘用协议或劳务协议、与教学岗位相应的专业技术证书。</w:t>
            </w:r>
          </w:p>
          <w:p w14:paraId="525EFAF9">
            <w:pPr>
              <w:keepNext w:val="0"/>
              <w:keepLines w:val="0"/>
              <w:pageBreakBefore w:val="0"/>
              <w:widowControl w:val="0"/>
              <w:kinsoku/>
              <w:wordWrap/>
              <w:overflowPunct/>
              <w:topLinePunct w:val="0"/>
              <w:autoSpaceDE/>
              <w:autoSpaceDN/>
              <w:bidi w:val="0"/>
              <w:adjustRightInd/>
              <w:snapToGrid/>
              <w:spacing w:line="440" w:lineRule="exact"/>
              <w:ind w:left="0" w:leftChars="0" w:firstLine="482" w:firstLineChars="200"/>
              <w:textAlignment w:val="auto"/>
              <w:rPr>
                <w:rFonts w:hint="eastAsia" w:ascii="宋体" w:hAnsi="宋体" w:eastAsia="宋体" w:cs="宋体"/>
                <w:snapToGrid w:val="0"/>
                <w:color w:val="auto"/>
                <w:kern w:val="0"/>
                <w:sz w:val="24"/>
                <w:szCs w:val="24"/>
                <w:highlight w:val="none"/>
              </w:rPr>
            </w:pPr>
            <w:r>
              <w:rPr>
                <w:rFonts w:hint="eastAsia" w:ascii="宋体" w:hAnsi="宋体" w:eastAsia="宋体" w:cs="宋体"/>
                <w:b/>
                <w:bCs/>
                <w:color w:val="auto"/>
                <w:sz w:val="24"/>
                <w:szCs w:val="24"/>
                <w:highlight w:val="none"/>
                <w:lang w:val="en-US" w:eastAsia="zh-CN"/>
              </w:rPr>
              <w:t>评审时查阅主管部门审批的办学资质及相关证明文件。</w:t>
            </w:r>
          </w:p>
        </w:tc>
      </w:tr>
      <w:tr w14:paraId="30AC2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1019" w:type="dxa"/>
            <w:vMerge w:val="continue"/>
            <w:tcBorders>
              <w:left w:val="single" w:color="000000" w:sz="4" w:space="0"/>
              <w:right w:val="single" w:color="000000" w:sz="4" w:space="0"/>
            </w:tcBorders>
            <w:noWrap w:val="0"/>
            <w:vAlign w:val="center"/>
          </w:tcPr>
          <w:p w14:paraId="0651F927">
            <w:pPr>
              <w:spacing w:line="360" w:lineRule="auto"/>
              <w:jc w:val="center"/>
              <w:rPr>
                <w:rFonts w:hint="eastAsia" w:ascii="宋体" w:hAnsi="宋体" w:eastAsia="宋体" w:cs="宋体"/>
                <w:i w:val="0"/>
                <w:iCs w:val="0"/>
                <w:color w:val="auto"/>
                <w:sz w:val="24"/>
                <w:szCs w:val="24"/>
                <w:highlight w:val="none"/>
                <w:u w:val="none"/>
              </w:rPr>
            </w:pPr>
          </w:p>
        </w:tc>
        <w:tc>
          <w:tcPr>
            <w:tcW w:w="1141" w:type="dxa"/>
            <w:vMerge w:val="continue"/>
            <w:tcBorders>
              <w:left w:val="single" w:color="000000" w:sz="4" w:space="0"/>
              <w:right w:val="single" w:color="000000" w:sz="4" w:space="0"/>
            </w:tcBorders>
            <w:noWrap w:val="0"/>
            <w:vAlign w:val="center"/>
          </w:tcPr>
          <w:p w14:paraId="76DD62EB">
            <w:pPr>
              <w:keepNext w:val="0"/>
              <w:keepLines w:val="0"/>
              <w:widowControl/>
              <w:suppressLineNumbers w:val="0"/>
              <w:spacing w:line="360" w:lineRule="auto"/>
              <w:ind w:left="0" w:leftChars="0" w:firstLine="0" w:firstLineChars="0"/>
              <w:jc w:val="both"/>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3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9CC050">
            <w:pPr>
              <w:keepNext w:val="0"/>
              <w:keepLines w:val="0"/>
              <w:widowControl/>
              <w:suppressLineNumbers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设施设备</w:t>
            </w:r>
          </w:p>
          <w:p w14:paraId="4388CF4A">
            <w:pPr>
              <w:keepNext w:val="0"/>
              <w:keepLines w:val="0"/>
              <w:widowControl/>
              <w:suppressLineNumbers w:val="0"/>
              <w:spacing w:line="360" w:lineRule="auto"/>
              <w:ind w:left="0" w:leftChars="0" w:firstLine="0" w:firstLineChars="0"/>
              <w:jc w:val="center"/>
              <w:textAlignment w:val="center"/>
              <w:rPr>
                <w:rFonts w:hint="eastAsia" w:ascii="宋体" w:hAnsi="宋体" w:eastAsia="宋体" w:cs="宋体"/>
                <w:i w:val="0"/>
                <w:iCs w:val="0"/>
                <w:snapToGrid w:val="0"/>
                <w:color w:val="auto"/>
                <w:kern w:val="0"/>
                <w:sz w:val="24"/>
                <w:szCs w:val="24"/>
                <w:highlight w:val="none"/>
                <w:u w:val="none"/>
                <w:lang w:val="en-US" w:eastAsia="zh-CN"/>
              </w:rPr>
            </w:pPr>
            <w:r>
              <w:rPr>
                <w:rFonts w:hint="eastAsia" w:ascii="宋体" w:hAnsi="宋体" w:eastAsia="宋体" w:cs="宋体"/>
                <w:i w:val="0"/>
                <w:iCs w:val="0"/>
                <w:color w:val="auto"/>
                <w:kern w:val="0"/>
                <w:sz w:val="24"/>
                <w:szCs w:val="24"/>
                <w:highlight w:val="none"/>
                <w:u w:val="none"/>
                <w:lang w:val="en-US" w:eastAsia="zh-CN" w:bidi="ar"/>
              </w:rPr>
              <w:t>（5分）</w:t>
            </w:r>
          </w:p>
        </w:tc>
        <w:tc>
          <w:tcPr>
            <w:tcW w:w="5228"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0C23675">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第一档次（5分）：</w:t>
            </w:r>
            <w:r>
              <w:rPr>
                <w:rFonts w:hint="eastAsia" w:ascii="宋体" w:hAnsi="宋体" w:eastAsia="宋体" w:cs="宋体"/>
                <w:i w:val="0"/>
                <w:iCs w:val="0"/>
                <w:color w:val="auto"/>
                <w:kern w:val="0"/>
                <w:sz w:val="24"/>
                <w:szCs w:val="24"/>
                <w:highlight w:val="none"/>
                <w:u w:val="none"/>
                <w:lang w:val="en-US" w:eastAsia="zh-CN" w:bidi="ar"/>
              </w:rPr>
              <w:t>拟投入本项目教学设施设备齐全、丰富，能完全满足本项目培训要求；</w:t>
            </w:r>
          </w:p>
          <w:p w14:paraId="314E6682">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第二档次（3分）：</w:t>
            </w:r>
            <w:r>
              <w:rPr>
                <w:rFonts w:hint="eastAsia" w:ascii="宋体" w:hAnsi="宋体" w:eastAsia="宋体" w:cs="宋体"/>
                <w:i w:val="0"/>
                <w:iCs w:val="0"/>
                <w:color w:val="auto"/>
                <w:kern w:val="0"/>
                <w:sz w:val="24"/>
                <w:szCs w:val="24"/>
                <w:highlight w:val="none"/>
                <w:u w:val="none"/>
                <w:lang w:val="en-US" w:eastAsia="zh-CN" w:bidi="ar"/>
              </w:rPr>
              <w:t>拟投入本项目教学设施设备基本齐全、基本满足本项目培训要求。</w:t>
            </w:r>
          </w:p>
          <w:p w14:paraId="7A3A6419">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left"/>
              <w:textAlignment w:val="top"/>
              <w:rPr>
                <w:rFonts w:hint="eastAsia" w:ascii="宋体" w:hAnsi="宋体" w:eastAsia="宋体" w:cs="宋体"/>
                <w:color w:val="auto"/>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第三档次（0分）：</w:t>
            </w:r>
            <w:r>
              <w:rPr>
                <w:rFonts w:hint="eastAsia" w:ascii="宋体" w:hAnsi="宋体" w:eastAsia="宋体" w:cs="宋体"/>
                <w:i w:val="0"/>
                <w:iCs w:val="0"/>
                <w:color w:val="auto"/>
                <w:kern w:val="0"/>
                <w:sz w:val="24"/>
                <w:szCs w:val="24"/>
                <w:highlight w:val="none"/>
                <w:u w:val="none"/>
                <w:lang w:val="en-US" w:eastAsia="zh-CN" w:bidi="ar"/>
              </w:rPr>
              <w:t>不能满足本项目培训要求。</w:t>
            </w:r>
          </w:p>
          <w:p w14:paraId="24965F96">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2" w:firstLineChars="200"/>
              <w:jc w:val="left"/>
              <w:textAlignment w:val="top"/>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注：</w:t>
            </w:r>
          </w:p>
          <w:p w14:paraId="34439F43">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2" w:firstLineChars="200"/>
              <w:jc w:val="left"/>
              <w:textAlignment w:val="top"/>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（1）自有教学设施、设备需提供购买发票或收据扫描件；</w:t>
            </w:r>
          </w:p>
          <w:p w14:paraId="381FA52B">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2" w:firstLineChars="200"/>
              <w:jc w:val="left"/>
              <w:textAlignment w:val="top"/>
              <w:rPr>
                <w:rFonts w:hint="eastAsia" w:ascii="宋体" w:hAnsi="宋体" w:eastAsia="宋体" w:cs="宋体"/>
                <w:i w:val="0"/>
                <w:iCs w:val="0"/>
                <w:snapToGrid w:val="0"/>
                <w:color w:val="auto"/>
                <w:kern w:val="0"/>
                <w:sz w:val="24"/>
                <w:szCs w:val="24"/>
                <w:highlight w:val="none"/>
                <w:u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（2）租赁教学设施、设备需提供租赁合同，未提供证明材料的不得分。</w:t>
            </w:r>
          </w:p>
        </w:tc>
      </w:tr>
      <w:tr w14:paraId="53387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1019" w:type="dxa"/>
            <w:vMerge w:val="continue"/>
            <w:tcBorders>
              <w:left w:val="single" w:color="000000" w:sz="4" w:space="0"/>
              <w:right w:val="single" w:color="000000" w:sz="4" w:space="0"/>
            </w:tcBorders>
            <w:noWrap w:val="0"/>
            <w:vAlign w:val="center"/>
          </w:tcPr>
          <w:p w14:paraId="54D603BE">
            <w:pPr>
              <w:spacing w:line="360" w:lineRule="auto"/>
              <w:jc w:val="center"/>
              <w:rPr>
                <w:rFonts w:hint="eastAsia" w:ascii="宋体" w:hAnsi="宋体" w:eastAsia="宋体" w:cs="宋体"/>
                <w:i w:val="0"/>
                <w:iCs w:val="0"/>
                <w:color w:val="auto"/>
                <w:sz w:val="24"/>
                <w:szCs w:val="24"/>
                <w:highlight w:val="none"/>
                <w:u w:val="none"/>
              </w:rPr>
            </w:pPr>
          </w:p>
        </w:tc>
        <w:tc>
          <w:tcPr>
            <w:tcW w:w="114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BA8FD5">
            <w:pPr>
              <w:spacing w:line="360" w:lineRule="auto"/>
              <w:jc w:val="center"/>
              <w:rPr>
                <w:rFonts w:hint="eastAsia" w:ascii="宋体" w:hAnsi="宋体" w:eastAsia="宋体" w:cs="宋体"/>
                <w:i w:val="0"/>
                <w:iCs w:val="0"/>
                <w:color w:val="auto"/>
                <w:sz w:val="24"/>
                <w:szCs w:val="24"/>
                <w:highlight w:val="none"/>
                <w:u w:val="none"/>
              </w:rPr>
            </w:pPr>
          </w:p>
        </w:tc>
        <w:tc>
          <w:tcPr>
            <w:tcW w:w="2346" w:type="dxa"/>
            <w:tcBorders>
              <w:top w:val="single" w:color="000000" w:sz="4" w:space="0"/>
              <w:left w:val="single" w:color="000000" w:sz="4" w:space="0"/>
              <w:bottom w:val="single" w:color="000000" w:sz="4" w:space="0"/>
              <w:right w:val="single" w:color="000000" w:sz="4" w:space="0"/>
            </w:tcBorders>
            <w:noWrap w:val="0"/>
            <w:vAlign w:val="center"/>
          </w:tcPr>
          <w:p w14:paraId="2A1755B0">
            <w:pPr>
              <w:keepNext w:val="0"/>
              <w:keepLines w:val="0"/>
              <w:widowControl/>
              <w:suppressLineNumbers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招生方案及保障措施 </w:t>
            </w:r>
          </w:p>
          <w:p w14:paraId="53B84A2B">
            <w:pPr>
              <w:keepNext w:val="0"/>
              <w:keepLines w:val="0"/>
              <w:widowControl/>
              <w:suppressLineNumbers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（5分）</w:t>
            </w:r>
          </w:p>
        </w:tc>
        <w:tc>
          <w:tcPr>
            <w:tcW w:w="5228" w:type="dxa"/>
            <w:tcBorders>
              <w:top w:val="single" w:color="000000" w:sz="4" w:space="0"/>
              <w:left w:val="single" w:color="000000" w:sz="4" w:space="0"/>
              <w:bottom w:val="single" w:color="000000" w:sz="4" w:space="0"/>
              <w:right w:val="single" w:color="000000" w:sz="4" w:space="0"/>
            </w:tcBorders>
            <w:noWrap w:val="0"/>
            <w:vAlign w:val="top"/>
          </w:tcPr>
          <w:p w14:paraId="3FC72AC4">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第一档次（5分）：</w:t>
            </w:r>
            <w:r>
              <w:rPr>
                <w:rFonts w:hint="eastAsia" w:ascii="宋体" w:hAnsi="宋体" w:eastAsia="宋体" w:cs="宋体"/>
                <w:i w:val="0"/>
                <w:iCs w:val="0"/>
                <w:color w:val="auto"/>
                <w:kern w:val="0"/>
                <w:sz w:val="24"/>
                <w:szCs w:val="24"/>
                <w:highlight w:val="none"/>
                <w:u w:val="none"/>
                <w:lang w:val="en-US" w:eastAsia="zh-CN" w:bidi="ar"/>
              </w:rPr>
              <w:t>投标人针对本项目提供的招生方案全面及保障措施合理、科学、切实可行。</w:t>
            </w:r>
          </w:p>
          <w:p w14:paraId="0FA5F464">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第二档次（3分）：</w:t>
            </w:r>
            <w:r>
              <w:rPr>
                <w:rFonts w:hint="eastAsia" w:ascii="宋体" w:hAnsi="宋体" w:eastAsia="宋体" w:cs="宋体"/>
                <w:i w:val="0"/>
                <w:iCs w:val="0"/>
                <w:color w:val="auto"/>
                <w:kern w:val="0"/>
                <w:sz w:val="24"/>
                <w:szCs w:val="24"/>
                <w:highlight w:val="none"/>
                <w:u w:val="none"/>
                <w:lang w:val="en-US" w:eastAsia="zh-CN" w:bidi="ar"/>
              </w:rPr>
              <w:t>投标人针对本项目的招生方案全面，保障措施合理、科学、基本可行。</w:t>
            </w:r>
          </w:p>
          <w:p w14:paraId="549F3998">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第三档次（1分）：</w:t>
            </w:r>
            <w:r>
              <w:rPr>
                <w:rFonts w:hint="eastAsia" w:ascii="宋体" w:hAnsi="宋体" w:eastAsia="宋体" w:cs="宋体"/>
                <w:i w:val="0"/>
                <w:iCs w:val="0"/>
                <w:color w:val="auto"/>
                <w:kern w:val="0"/>
                <w:sz w:val="24"/>
                <w:szCs w:val="24"/>
                <w:highlight w:val="none"/>
                <w:u w:val="none"/>
                <w:lang w:val="en-US" w:eastAsia="zh-CN" w:bidi="ar"/>
              </w:rPr>
              <w:t>投标人针对本项目的招生方案基本合理，保障措施可行性差。</w:t>
            </w:r>
          </w:p>
          <w:p w14:paraId="2EB4C282">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第四档次（0分）：</w:t>
            </w:r>
            <w:r>
              <w:rPr>
                <w:rFonts w:hint="eastAsia" w:ascii="宋体" w:hAnsi="宋体" w:eastAsia="宋体" w:cs="宋体"/>
                <w:i w:val="0"/>
                <w:iCs w:val="0"/>
                <w:color w:val="auto"/>
                <w:kern w:val="0"/>
                <w:sz w:val="24"/>
                <w:szCs w:val="24"/>
                <w:highlight w:val="none"/>
                <w:u w:val="none"/>
                <w:lang w:val="en-US" w:eastAsia="zh-CN" w:bidi="ar"/>
              </w:rPr>
              <w:t>投标人针对本项目的招生方案不合理，保障措施不可行。</w:t>
            </w:r>
          </w:p>
        </w:tc>
      </w:tr>
      <w:tr w14:paraId="7A544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1019" w:type="dxa"/>
            <w:vMerge w:val="continue"/>
            <w:tcBorders>
              <w:left w:val="single" w:color="000000" w:sz="4" w:space="0"/>
              <w:right w:val="single" w:color="000000" w:sz="4" w:space="0"/>
            </w:tcBorders>
            <w:noWrap w:val="0"/>
            <w:vAlign w:val="center"/>
          </w:tcPr>
          <w:p w14:paraId="3D38D36E">
            <w:pPr>
              <w:spacing w:line="360" w:lineRule="auto"/>
              <w:jc w:val="center"/>
              <w:rPr>
                <w:rFonts w:hint="eastAsia" w:ascii="宋体" w:hAnsi="宋体" w:eastAsia="宋体" w:cs="宋体"/>
                <w:i w:val="0"/>
                <w:iCs w:val="0"/>
                <w:color w:val="auto"/>
                <w:sz w:val="24"/>
                <w:szCs w:val="24"/>
                <w:highlight w:val="none"/>
                <w:u w:val="none"/>
              </w:rPr>
            </w:pPr>
          </w:p>
        </w:tc>
        <w:tc>
          <w:tcPr>
            <w:tcW w:w="114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8FF605">
            <w:pPr>
              <w:spacing w:line="360" w:lineRule="auto"/>
              <w:jc w:val="center"/>
              <w:rPr>
                <w:rFonts w:hint="eastAsia" w:ascii="宋体" w:hAnsi="宋体" w:eastAsia="宋体" w:cs="宋体"/>
                <w:i w:val="0"/>
                <w:iCs w:val="0"/>
                <w:color w:val="auto"/>
                <w:sz w:val="24"/>
                <w:szCs w:val="24"/>
                <w:highlight w:val="none"/>
                <w:u w:val="none"/>
              </w:rPr>
            </w:pPr>
          </w:p>
        </w:tc>
        <w:tc>
          <w:tcPr>
            <w:tcW w:w="2346" w:type="dxa"/>
            <w:tcBorders>
              <w:top w:val="single" w:color="000000" w:sz="4" w:space="0"/>
              <w:left w:val="single" w:color="000000" w:sz="4" w:space="0"/>
              <w:bottom w:val="single" w:color="000000" w:sz="4" w:space="0"/>
              <w:right w:val="single" w:color="000000" w:sz="4" w:space="0"/>
            </w:tcBorders>
            <w:noWrap w:val="0"/>
            <w:vAlign w:val="center"/>
          </w:tcPr>
          <w:p w14:paraId="54BD2482">
            <w:pPr>
              <w:keepNext w:val="0"/>
              <w:keepLines w:val="0"/>
              <w:widowControl/>
              <w:suppressLineNumbers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促进就业措施</w:t>
            </w:r>
          </w:p>
          <w:p w14:paraId="792D9744">
            <w:pPr>
              <w:keepNext w:val="0"/>
              <w:keepLines w:val="0"/>
              <w:widowControl/>
              <w:suppressLineNumbers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（5分）</w:t>
            </w:r>
          </w:p>
        </w:tc>
        <w:tc>
          <w:tcPr>
            <w:tcW w:w="5228" w:type="dxa"/>
            <w:tcBorders>
              <w:top w:val="single" w:color="000000" w:sz="4" w:space="0"/>
              <w:left w:val="single" w:color="000000" w:sz="4" w:space="0"/>
              <w:bottom w:val="single" w:color="000000" w:sz="4" w:space="0"/>
              <w:right w:val="single" w:color="000000" w:sz="4" w:space="0"/>
            </w:tcBorders>
            <w:noWrap w:val="0"/>
            <w:vAlign w:val="top"/>
          </w:tcPr>
          <w:p w14:paraId="31A1D124">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1、培训机构与5家以上人力资源类单位（指包括但不限于人力资源公司、用工企业、职业介绍机构等类别的单位）开展劳务合作的，计3分；3-5家的计2分；低于3家单位的不得分；</w:t>
            </w:r>
          </w:p>
          <w:p w14:paraId="6E9E84AA">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0" w:firstLineChars="0"/>
              <w:jc w:val="left"/>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2、培训过程中，培训机构通过招聘会、发布岗位信息、邀请用人单位现场招聘等方式主动为培训学员推荐就业岗位，促进培训学员及时就业的，计2分，无培训学员推荐就业岗位工作措施的不得分。</w:t>
            </w:r>
          </w:p>
          <w:p w14:paraId="2E221421">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82" w:firstLineChars="20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评审方式：查阅培训机构与人力资源公司、用工企业、职业介绍机构等单位的劳务合作协议。</w:t>
            </w:r>
          </w:p>
        </w:tc>
      </w:tr>
      <w:tr w14:paraId="05947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1019" w:type="dxa"/>
            <w:vMerge w:val="continue"/>
            <w:tcBorders>
              <w:left w:val="single" w:color="000000" w:sz="4" w:space="0"/>
              <w:bottom w:val="single" w:color="000000" w:sz="4" w:space="0"/>
              <w:right w:val="single" w:color="000000" w:sz="4" w:space="0"/>
            </w:tcBorders>
            <w:noWrap w:val="0"/>
            <w:vAlign w:val="center"/>
          </w:tcPr>
          <w:p w14:paraId="059520CF">
            <w:pPr>
              <w:spacing w:line="360" w:lineRule="auto"/>
              <w:jc w:val="center"/>
              <w:rPr>
                <w:rFonts w:hint="eastAsia" w:ascii="宋体" w:hAnsi="宋体" w:eastAsia="宋体" w:cs="宋体"/>
                <w:i w:val="0"/>
                <w:iCs w:val="0"/>
                <w:color w:val="auto"/>
                <w:sz w:val="24"/>
                <w:szCs w:val="24"/>
                <w:highlight w:val="none"/>
                <w:u w:val="none"/>
              </w:rPr>
            </w:pPr>
          </w:p>
        </w:tc>
        <w:tc>
          <w:tcPr>
            <w:tcW w:w="114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D8C71C">
            <w:pPr>
              <w:spacing w:line="360" w:lineRule="auto"/>
              <w:jc w:val="center"/>
              <w:rPr>
                <w:rFonts w:hint="eastAsia" w:ascii="宋体" w:hAnsi="宋体" w:eastAsia="宋体" w:cs="宋体"/>
                <w:i w:val="0"/>
                <w:iCs w:val="0"/>
                <w:color w:val="auto"/>
                <w:sz w:val="24"/>
                <w:szCs w:val="24"/>
                <w:highlight w:val="none"/>
                <w:u w:val="none"/>
              </w:rPr>
            </w:pPr>
          </w:p>
        </w:tc>
        <w:tc>
          <w:tcPr>
            <w:tcW w:w="2346" w:type="dxa"/>
            <w:tcBorders>
              <w:top w:val="single" w:color="000000" w:sz="4" w:space="0"/>
              <w:left w:val="single" w:color="000000" w:sz="4" w:space="0"/>
              <w:bottom w:val="single" w:color="000000" w:sz="4" w:space="0"/>
              <w:right w:val="single" w:color="000000" w:sz="4" w:space="0"/>
            </w:tcBorders>
            <w:noWrap w:val="0"/>
            <w:vAlign w:val="center"/>
          </w:tcPr>
          <w:p w14:paraId="0617FE4D">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b/>
                <w:i w:val="0"/>
                <w:iCs w:val="0"/>
                <w:color w:val="auto"/>
                <w:sz w:val="24"/>
                <w:szCs w:val="24"/>
                <w:highlight w:val="none"/>
                <w:lang w:eastAsia="zh-CN"/>
              </w:rPr>
              <w:t>合计</w:t>
            </w:r>
          </w:p>
        </w:tc>
        <w:tc>
          <w:tcPr>
            <w:tcW w:w="5228" w:type="dxa"/>
            <w:tcBorders>
              <w:top w:val="single" w:color="000000" w:sz="4" w:space="0"/>
              <w:left w:val="single" w:color="000000" w:sz="4" w:space="0"/>
              <w:bottom w:val="single" w:color="000000" w:sz="4" w:space="0"/>
              <w:right w:val="single" w:color="000000" w:sz="4" w:space="0"/>
            </w:tcBorders>
            <w:noWrap w:val="0"/>
            <w:vAlign w:val="center"/>
          </w:tcPr>
          <w:p w14:paraId="543AFA94">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b/>
                <w:i w:val="0"/>
                <w:iCs w:val="0"/>
                <w:color w:val="auto"/>
                <w:sz w:val="24"/>
                <w:szCs w:val="24"/>
                <w:highlight w:val="none"/>
                <w:lang w:eastAsia="zh-CN"/>
              </w:rPr>
              <w:t>100分</w:t>
            </w:r>
          </w:p>
        </w:tc>
      </w:tr>
    </w:tbl>
    <w:p w14:paraId="11100D43">
      <w:pPr>
        <w:ind w:left="0" w:leftChars="0" w:firstLine="0" w:firstLineChars="0"/>
        <w:jc w:val="center"/>
        <w:rPr>
          <w:rFonts w:hint="eastAsia" w:ascii="宋体" w:hAnsi="宋体" w:eastAsia="宋体" w:cs="宋体"/>
          <w:b/>
          <w:bCs/>
          <w:color w:val="auto"/>
          <w:sz w:val="28"/>
          <w:szCs w:val="28"/>
          <w:highlight w:val="none"/>
        </w:rPr>
      </w:pPr>
      <w:bookmarkStart w:id="232" w:name="_Toc260907984"/>
      <w:bookmarkStart w:id="233" w:name="_Toc481712046"/>
      <w:bookmarkStart w:id="234" w:name="_Toc19310"/>
      <w:bookmarkStart w:id="235" w:name="_Toc260908200"/>
      <w:bookmarkStart w:id="236" w:name="_Toc270090085"/>
      <w:bookmarkStart w:id="237" w:name="_Toc259188728"/>
      <w:bookmarkStart w:id="238" w:name="_Toc224870961"/>
      <w:bookmarkStart w:id="239" w:name="_Toc19820087"/>
      <w:r>
        <w:rPr>
          <w:rFonts w:hint="eastAsia" w:ascii="宋体" w:hAnsi="宋体" w:eastAsia="宋体" w:cs="宋体"/>
          <w:color w:val="auto"/>
          <w:sz w:val="24"/>
          <w:szCs w:val="24"/>
          <w:highlight w:val="none"/>
        </w:rPr>
        <w:br w:type="page"/>
      </w:r>
      <w:r>
        <w:rPr>
          <w:rFonts w:hint="eastAsia" w:ascii="宋体" w:hAnsi="宋体" w:eastAsia="宋体" w:cs="宋体"/>
          <w:b/>
          <w:bCs/>
          <w:color w:val="auto"/>
          <w:sz w:val="28"/>
          <w:szCs w:val="28"/>
          <w:highlight w:val="none"/>
          <w:lang w:val="en-US" w:eastAsia="zh-CN"/>
        </w:rPr>
        <w:t>二</w:t>
      </w:r>
      <w:r>
        <w:rPr>
          <w:rFonts w:hint="eastAsia" w:ascii="宋体" w:hAnsi="宋体" w:eastAsia="宋体" w:cs="宋体"/>
          <w:b/>
          <w:bCs/>
          <w:color w:val="auto"/>
          <w:sz w:val="28"/>
          <w:szCs w:val="28"/>
          <w:highlight w:val="none"/>
        </w:rPr>
        <w:t>、评标方法</w:t>
      </w:r>
      <w:bookmarkEnd w:id="232"/>
      <w:bookmarkEnd w:id="233"/>
      <w:bookmarkEnd w:id="234"/>
      <w:bookmarkEnd w:id="235"/>
      <w:bookmarkEnd w:id="236"/>
      <w:bookmarkEnd w:id="237"/>
      <w:bookmarkEnd w:id="238"/>
      <w:bookmarkEnd w:id="239"/>
    </w:p>
    <w:p w14:paraId="2FD96DD3">
      <w:pPr>
        <w:pStyle w:val="51"/>
        <w:pageBreakBefore w:val="0"/>
        <w:kinsoku w:val="0"/>
        <w:overflowPunct/>
        <w:topLinePunct w:val="0"/>
        <w:autoSpaceDE/>
        <w:autoSpaceDN/>
        <w:bidi w:val="0"/>
        <w:adjustRightInd w:val="0"/>
        <w:snapToGrid w:val="0"/>
        <w:spacing w:before="0" w:after="0" w:line="360" w:lineRule="auto"/>
        <w:textAlignment w:val="baseline"/>
        <w:rPr>
          <w:rFonts w:hint="eastAsia" w:ascii="宋体" w:hAnsi="宋体" w:eastAsia="宋体" w:cs="宋体"/>
          <w:b/>
          <w:bCs/>
          <w:color w:val="auto"/>
          <w:sz w:val="24"/>
          <w:szCs w:val="24"/>
          <w:highlight w:val="none"/>
          <w:lang w:val="zh-CN"/>
        </w:rPr>
      </w:pPr>
      <w:bookmarkStart w:id="240" w:name="_Toc248767825"/>
      <w:r>
        <w:rPr>
          <w:rFonts w:hint="eastAsia" w:ascii="宋体" w:hAnsi="宋体" w:eastAsia="宋体" w:cs="宋体"/>
          <w:b/>
          <w:bCs/>
          <w:color w:val="auto"/>
          <w:sz w:val="24"/>
          <w:szCs w:val="24"/>
          <w:highlight w:val="none"/>
          <w:lang w:val="zh-CN"/>
        </w:rPr>
        <w:t>2.1评标依据</w:t>
      </w:r>
    </w:p>
    <w:p w14:paraId="4357111E">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根据《中华人民共和国政府采购法》、《中华人民共和国政府采购法实施条例》、《政府采购货物和服务招标投标管理办法》（财政部令87号）等法律、法规。</w:t>
      </w:r>
    </w:p>
    <w:p w14:paraId="7E388117">
      <w:pPr>
        <w:pStyle w:val="51"/>
        <w:pageBreakBefore w:val="0"/>
        <w:kinsoku w:val="0"/>
        <w:overflowPunct/>
        <w:topLinePunct w:val="0"/>
        <w:autoSpaceDE/>
        <w:autoSpaceDN/>
        <w:bidi w:val="0"/>
        <w:adjustRightInd w:val="0"/>
        <w:snapToGrid w:val="0"/>
        <w:spacing w:before="0" w:after="0" w:line="360" w:lineRule="auto"/>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2.2采购人或者采购代理机构职责 </w:t>
      </w:r>
    </w:p>
    <w:p w14:paraId="58BD3D59">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采购人或者采购代理机构负责组织评标工作，并履行下列职责：</w:t>
      </w:r>
    </w:p>
    <w:p w14:paraId="6EE7720B">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（一）核对评审专家身份和采购人代表授权函，对评审专家在政府采购活动中的职责履行情况予以记录，并及时将有关违法违规行为向财政部门报告；</w:t>
      </w:r>
    </w:p>
    <w:p w14:paraId="400F13B8">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（二）宣布评标纪律；</w:t>
      </w:r>
    </w:p>
    <w:p w14:paraId="1D746046">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（三）公布投标人名单，告知评审专家应当回避的情形；</w:t>
      </w:r>
    </w:p>
    <w:p w14:paraId="149E1C86">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（四）组织评标委员会推选评标组长，采购人代表不得担任组长；</w:t>
      </w:r>
    </w:p>
    <w:p w14:paraId="10B8F1E9">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（五）在评标期间采取必要的通讯管理措施，保证评标活动不受外界干扰；</w:t>
      </w:r>
    </w:p>
    <w:p w14:paraId="22253816">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（六）根据评标委员会的要求介绍政府采购相关政策法规、招标文件；</w:t>
      </w:r>
    </w:p>
    <w:p w14:paraId="08E55F90">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（七）维护评标秩序，监督评标委员会依照招标文件规定的评标程序、方法和标准进行独立评审，及时制止和纠正采购人代表、评审专家的倾向性言论或者违法违规行为；</w:t>
      </w:r>
    </w:p>
    <w:p w14:paraId="628FDA4C">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（八）核对评标结果，有《政府采购货物和服务招标投标管理办法》（财政部令87号）第六十四条规定情形的，要求评标委员会复核或者书面说明理由，评标委员会拒绝的，应予记录并向本级财政部门报告；</w:t>
      </w:r>
    </w:p>
    <w:p w14:paraId="43B67E49">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（九）评审工作完成后，按照规定向评审专家支付劳务报酬和异地评审差旅费，不得向评审专家以外的其他人员支付评审劳务报酬；</w:t>
      </w:r>
    </w:p>
    <w:p w14:paraId="4B1786D8">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（十）处理与评标有关的其他事项。</w:t>
      </w:r>
    </w:p>
    <w:p w14:paraId="609CDB84">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采购人可以在评标前说明项目背景和采购需求，说明内容不得含有歧视性、倾向性意见，不得超出招标文件所述范围。说明应当提交书面材料，并随采购文件一并存档。</w:t>
      </w:r>
    </w:p>
    <w:p w14:paraId="7C9E48FE">
      <w:pPr>
        <w:pStyle w:val="51"/>
        <w:pageBreakBefore w:val="0"/>
        <w:kinsoku w:val="0"/>
        <w:overflowPunct/>
        <w:topLinePunct w:val="0"/>
        <w:autoSpaceDE/>
        <w:autoSpaceDN/>
        <w:bidi w:val="0"/>
        <w:adjustRightInd w:val="0"/>
        <w:snapToGrid w:val="0"/>
        <w:spacing w:before="0" w:after="0" w:line="360" w:lineRule="auto"/>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2.3评标委员会职责 </w:t>
      </w:r>
    </w:p>
    <w:p w14:paraId="5F6323A5">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评标委员会负责具体评标事务，并独立履行下列职责：</w:t>
      </w:r>
    </w:p>
    <w:p w14:paraId="795B5604">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（一）审查、评价投标文件是否符合招标文件的商务、技术等实质性要求；</w:t>
      </w:r>
    </w:p>
    <w:p w14:paraId="3FFFD8EE">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（二）要求投标人对投标文件有关事项作出澄清或者说明；</w:t>
      </w:r>
    </w:p>
    <w:p w14:paraId="5531F781">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（三）对投标文件进行比较和评价；</w:t>
      </w:r>
    </w:p>
    <w:p w14:paraId="78F0EFEB">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（四）确定中标候选人名单，以及根据采购人委托直接确定中标人；</w:t>
      </w:r>
    </w:p>
    <w:p w14:paraId="4E310554">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（五）向采购人、采购代理机构或者有关部门报告评标中发现的违法行为。</w:t>
      </w:r>
    </w:p>
    <w:p w14:paraId="49A64434">
      <w:pPr>
        <w:pStyle w:val="51"/>
        <w:pageBreakBefore w:val="0"/>
        <w:kinsoku w:val="0"/>
        <w:overflowPunct/>
        <w:topLinePunct w:val="0"/>
        <w:autoSpaceDE/>
        <w:autoSpaceDN/>
        <w:bidi w:val="0"/>
        <w:adjustRightInd w:val="0"/>
        <w:snapToGrid w:val="0"/>
        <w:spacing w:before="0" w:after="0" w:line="360" w:lineRule="auto"/>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2.4评标纪律</w:t>
      </w:r>
    </w:p>
    <w:p w14:paraId="0A934CD2">
      <w:pPr>
        <w:pageBreakBefore w:val="0"/>
        <w:widowControl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（1）对评标内容和评标过程要严格保密，不得向投标人或与该过程无关的其它人员泄露。</w:t>
      </w:r>
    </w:p>
    <w:p w14:paraId="4FF6C42B">
      <w:pPr>
        <w:pageBreakBefore w:val="0"/>
        <w:widowControl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（2）评标期间的一切资料，包括评标意见、评标记录和评标结论，一律不得外传和泄露。</w:t>
      </w:r>
    </w:p>
    <w:p w14:paraId="48D08215">
      <w:pPr>
        <w:pageBreakBefore w:val="0"/>
        <w:widowControl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（3）任何属于投标文件审查、澄清、评价和比较的资料，不得向投标人或与该过程无关的其它人员泄露。</w:t>
      </w:r>
    </w:p>
    <w:p w14:paraId="021B3F04">
      <w:pPr>
        <w:pageBreakBefore w:val="0"/>
        <w:widowControl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（4）所有资料（包括招标文件、投标文件、评标表格及各种文字记录）在评标结束后均应分别整理、存档备查，任何人不得复制和保留。</w:t>
      </w:r>
    </w:p>
    <w:p w14:paraId="6A4D38B1">
      <w:pPr>
        <w:pageBreakBefore w:val="0"/>
        <w:widowControl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（5）评标期间，未经允许评标委员会以外的任何单位或部门不得参加评标和采访评标工作。</w:t>
      </w:r>
    </w:p>
    <w:p w14:paraId="2F84E001">
      <w:pPr>
        <w:pageBreakBefore w:val="0"/>
        <w:widowControl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（6）评标期间，评标人员不得外出，确需外出时应事先请假。</w:t>
      </w:r>
    </w:p>
    <w:p w14:paraId="179260F4">
      <w:pPr>
        <w:pageBreakBefore w:val="0"/>
        <w:widowControl w:val="0"/>
        <w:kinsoku w:val="0"/>
        <w:wordWrap w:val="0"/>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（7）评标期间，所有与会人员均不得私自以任何方式和投标人进行联系，需询问、澄清的问题由评委会统一组织办理。</w:t>
      </w:r>
    </w:p>
    <w:p w14:paraId="659E3B44">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（8）评标结束后，与会人员不得向外界透露评标人员的评标意见，如因此造成的后果由责任者承担。</w:t>
      </w:r>
    </w:p>
    <w:p w14:paraId="02549C9D">
      <w:pPr>
        <w:pStyle w:val="51"/>
        <w:pageBreakBefore w:val="0"/>
        <w:kinsoku w:val="0"/>
        <w:overflowPunct/>
        <w:topLinePunct w:val="0"/>
        <w:autoSpaceDE/>
        <w:autoSpaceDN/>
        <w:bidi w:val="0"/>
        <w:adjustRightInd w:val="0"/>
        <w:snapToGrid w:val="0"/>
        <w:spacing w:before="0" w:after="0" w:line="360" w:lineRule="auto"/>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2.5评标原则</w:t>
      </w:r>
    </w:p>
    <w:p w14:paraId="0308DEA6">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评标将遵循下列原则：</w:t>
      </w:r>
    </w:p>
    <w:p w14:paraId="06522ED9">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（1）坚持公平、公正、科学、择优的原则，本着实事求是的精神，不带有任何主观意愿和偏见，认真负责地做好评标工作，公平、公正地对待每一个投标人。</w:t>
      </w:r>
    </w:p>
    <w:p w14:paraId="19DBE936">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（2）全面分析，综合评审。</w:t>
      </w:r>
    </w:p>
    <w:p w14:paraId="248E792D">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（3）评标只对投标人的投标文件进行评审,投标文件以外的资料、信息不应作为评标的依据。</w:t>
      </w:r>
    </w:p>
    <w:p w14:paraId="08CB74BA">
      <w:pPr>
        <w:ind w:left="0" w:leftChars="0" w:firstLine="0" w:firstLineChars="0"/>
        <w:jc w:val="center"/>
        <w:rPr>
          <w:rFonts w:hint="eastAsia" w:ascii="宋体" w:hAnsi="宋体" w:eastAsia="宋体" w:cs="宋体"/>
          <w:b/>
          <w:bCs/>
          <w:color w:val="auto"/>
          <w:sz w:val="28"/>
          <w:szCs w:val="28"/>
          <w:highlight w:val="none"/>
        </w:rPr>
      </w:pPr>
      <w:bookmarkStart w:id="241" w:name="_Toc259188729"/>
      <w:bookmarkStart w:id="242" w:name="_Toc270090086"/>
      <w:bookmarkStart w:id="243" w:name="_Toc260908201"/>
      <w:bookmarkStart w:id="244" w:name="_Toc224870962"/>
      <w:bookmarkStart w:id="245" w:name="_Toc260907985"/>
      <w:bookmarkStart w:id="246" w:name="_Toc481712047"/>
      <w:bookmarkStart w:id="247" w:name="_Toc21067"/>
      <w:bookmarkStart w:id="248" w:name="_Toc19820088"/>
      <w:bookmarkStart w:id="249" w:name="_Toc503259470"/>
      <w:r>
        <w:rPr>
          <w:rFonts w:hint="eastAsia" w:ascii="宋体" w:hAnsi="宋体" w:eastAsia="宋体" w:cs="宋体"/>
          <w:b/>
          <w:bCs/>
          <w:color w:val="auto"/>
          <w:sz w:val="28"/>
          <w:szCs w:val="28"/>
          <w:highlight w:val="none"/>
          <w:lang w:val="en-US" w:eastAsia="zh-CN"/>
        </w:rPr>
        <w:t>三</w:t>
      </w:r>
      <w:r>
        <w:rPr>
          <w:rFonts w:hint="eastAsia" w:ascii="宋体" w:hAnsi="宋体" w:eastAsia="宋体" w:cs="宋体"/>
          <w:b/>
          <w:bCs/>
          <w:color w:val="auto"/>
          <w:sz w:val="28"/>
          <w:szCs w:val="28"/>
          <w:highlight w:val="none"/>
        </w:rPr>
        <w:t>、评标程序</w:t>
      </w:r>
      <w:bookmarkEnd w:id="240"/>
      <w:bookmarkEnd w:id="241"/>
      <w:bookmarkEnd w:id="242"/>
      <w:bookmarkEnd w:id="243"/>
      <w:bookmarkEnd w:id="244"/>
      <w:bookmarkEnd w:id="245"/>
      <w:bookmarkEnd w:id="246"/>
      <w:bookmarkEnd w:id="247"/>
      <w:bookmarkEnd w:id="248"/>
      <w:bookmarkEnd w:id="249"/>
    </w:p>
    <w:p w14:paraId="0049B657">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招标所采用的评标方法根据《政府采购货物和服务招标投标管理办法》（财政部令87号）第五十五条规定的“综合评分法”，即：投标文件满足招标文件全部实质性要求，且按照评审因素的量化指标评审得分最高的投标人为中标候选人的评标方法。评标只对通过资格审查的投标文件进行评审。评标按：符合性审查→投标报价部分评审→技术部分评审→商务部分评审→得分汇总→评标报告编写的程序进行。</w:t>
      </w:r>
    </w:p>
    <w:p w14:paraId="26E4CA43">
      <w:pPr>
        <w:pStyle w:val="51"/>
        <w:pageBreakBefore w:val="0"/>
        <w:kinsoku w:val="0"/>
        <w:overflowPunct/>
        <w:topLinePunct w:val="0"/>
        <w:autoSpaceDE/>
        <w:autoSpaceDN/>
        <w:bidi w:val="0"/>
        <w:adjustRightInd w:val="0"/>
        <w:snapToGrid w:val="0"/>
        <w:spacing w:before="0" w:after="0" w:line="360" w:lineRule="auto"/>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3.1符合性审查</w:t>
      </w:r>
    </w:p>
    <w:p w14:paraId="32303356">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依据招标文件规定，评标委员会对符合资格审查的投标人的投标文件从有效性、完整性及对招标文件实质性响应等方面进行审查，详见“评标办法前附表”。</w:t>
      </w:r>
    </w:p>
    <w:p w14:paraId="7E2E434A">
      <w:pPr>
        <w:pageBreakBefore w:val="0"/>
        <w:widowControl w:val="0"/>
        <w:kinsoku w:val="0"/>
        <w:wordWrap w:val="0"/>
        <w:overflowPunct/>
        <w:topLinePunct w:val="0"/>
        <w:autoSpaceDE/>
        <w:autoSpaceDN/>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符合性评审中“其他投标无效情形”如下：</w:t>
      </w:r>
    </w:p>
    <w:p w14:paraId="4FD87CA8">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1、若需要缴纳保证金，但未按照招标文件的规定提交投标保证金的。</w:t>
      </w:r>
    </w:p>
    <w:p w14:paraId="3F332A8C">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2、投标文件未按招标文件要求签署、盖章的。</w:t>
      </w:r>
    </w:p>
    <w:p w14:paraId="28F41DD1">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3、不具备招标文件中规定的资格要求的。</w:t>
      </w:r>
    </w:p>
    <w:p w14:paraId="3828B66A">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4、报价超过招标文件中规定的预算金额或者最高限价的。</w:t>
      </w:r>
    </w:p>
    <w:p w14:paraId="0CEAD209">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5、投标文件含有采购人不能接受的附加条件的。</w:t>
      </w:r>
    </w:p>
    <w:p w14:paraId="2788485C">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6、法律、法规和招标文件规定的其他无效情形。</w:t>
      </w:r>
    </w:p>
    <w:p w14:paraId="324CC7E4">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7、有弄虚作假或有其他违法行为的。</w:t>
      </w:r>
    </w:p>
    <w:p w14:paraId="469D40D5">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8、不按评标委员会要求澄清、说明或补正的。</w:t>
      </w:r>
    </w:p>
    <w:p w14:paraId="19CCFE67">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9、未按招标文件规定格式填写，内容不全或者关键内容字迹模糊，无法辨认的。</w:t>
      </w:r>
    </w:p>
    <w:p w14:paraId="684872C8">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10、投标人名称或组织结构与资格审查不一致的。</w:t>
      </w:r>
    </w:p>
    <w:p w14:paraId="3E6859CB">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11、投标人在投标文件上签名的人员与其他投标人在投标文件上的签名人员为同一人的。</w:t>
      </w:r>
    </w:p>
    <w:p w14:paraId="4449933E">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12、联合体各方再以自己名义单独或参加其他联合体在同一标包中投标的。</w:t>
      </w:r>
    </w:p>
    <w:p w14:paraId="55A28AD6">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13、投标人存在第二章投标人须知前附表1.4.3“投标人不得存在的其他情形”中所述情况的。</w:t>
      </w:r>
    </w:p>
    <w:p w14:paraId="57B5215C">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14、有下列情形之一的，经评标委员会集体表决后认定，视为投标人串通投标，其投标无效，并提请有关监管部门依法予以处罚：</w:t>
      </w:r>
    </w:p>
    <w:p w14:paraId="5ACDBCA8">
      <w:pPr>
        <w:pStyle w:val="8"/>
        <w:pageBreakBefore w:val="0"/>
        <w:kinsoku w:val="0"/>
        <w:overflowPunct/>
        <w:topLinePunct w:val="0"/>
        <w:autoSpaceDE/>
        <w:autoSpaceDN/>
        <w:bidi w:val="0"/>
        <w:adjustRightInd w:val="0"/>
        <w:snapToGri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（1）不同投标人的投标文件由同一单位或者个人编制；</w:t>
      </w:r>
    </w:p>
    <w:p w14:paraId="21CB6B00">
      <w:pPr>
        <w:pStyle w:val="8"/>
        <w:pageBreakBefore w:val="0"/>
        <w:kinsoku w:val="0"/>
        <w:overflowPunct/>
        <w:topLinePunct w:val="0"/>
        <w:autoSpaceDE/>
        <w:autoSpaceDN/>
        <w:bidi w:val="0"/>
        <w:adjustRightInd w:val="0"/>
        <w:snapToGri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（2）不同投标人委托同一单位或者个人办理投标事宜；</w:t>
      </w:r>
    </w:p>
    <w:p w14:paraId="13D49D0B">
      <w:pPr>
        <w:pStyle w:val="8"/>
        <w:pageBreakBefore w:val="0"/>
        <w:kinsoku w:val="0"/>
        <w:overflowPunct/>
        <w:topLinePunct w:val="0"/>
        <w:autoSpaceDE/>
        <w:autoSpaceDN/>
        <w:bidi w:val="0"/>
        <w:adjustRightInd w:val="0"/>
        <w:snapToGri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（3）不同投标人的投标文件载明的项目管理成员或者联系人员为同一人；</w:t>
      </w:r>
    </w:p>
    <w:p w14:paraId="5E9971C1">
      <w:pPr>
        <w:pStyle w:val="8"/>
        <w:pageBreakBefore w:val="0"/>
        <w:kinsoku w:val="0"/>
        <w:overflowPunct/>
        <w:topLinePunct w:val="0"/>
        <w:autoSpaceDE/>
        <w:autoSpaceDN/>
        <w:bidi w:val="0"/>
        <w:adjustRightInd w:val="0"/>
        <w:snapToGri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（4）不同投标人的投标文件异常一致或者投标报价呈规律性差异；</w:t>
      </w:r>
    </w:p>
    <w:p w14:paraId="3FADF33F">
      <w:pPr>
        <w:pStyle w:val="8"/>
        <w:pageBreakBefore w:val="0"/>
        <w:kinsoku w:val="0"/>
        <w:overflowPunct/>
        <w:topLinePunct w:val="0"/>
        <w:autoSpaceDE/>
        <w:autoSpaceDN/>
        <w:bidi w:val="0"/>
        <w:adjustRightInd w:val="0"/>
        <w:snapToGri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（5）不同投标人的投标文件相互混装；</w:t>
      </w:r>
    </w:p>
    <w:p w14:paraId="0F599494">
      <w:pPr>
        <w:pStyle w:val="8"/>
        <w:pageBreakBefore w:val="0"/>
        <w:kinsoku w:val="0"/>
        <w:overflowPunct/>
        <w:topLinePunct w:val="0"/>
        <w:autoSpaceDE/>
        <w:autoSpaceDN/>
        <w:bidi w:val="0"/>
        <w:adjustRightInd w:val="0"/>
        <w:snapToGri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（6）不同投标人的投标保证金从同一单位或者个人的账户转出</w:t>
      </w:r>
    </w:p>
    <w:p w14:paraId="7AA59953">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bookmarkStart w:id="250" w:name="_Hlk15230321"/>
      <w:r>
        <w:rPr>
          <w:rFonts w:hint="eastAsia" w:ascii="宋体" w:hAnsi="宋体" w:eastAsia="宋体" w:cs="宋体"/>
          <w:color w:val="auto"/>
          <w:sz w:val="24"/>
          <w:szCs w:val="24"/>
          <w:highlight w:val="none"/>
        </w:rPr>
        <w:t>（7）评标委员会认定的其他串通投标情形。</w:t>
      </w:r>
      <w:bookmarkEnd w:id="250"/>
    </w:p>
    <w:p w14:paraId="3DF801C2">
      <w:pPr>
        <w:pStyle w:val="51"/>
        <w:pageBreakBefore w:val="0"/>
        <w:kinsoku w:val="0"/>
        <w:overflowPunct/>
        <w:topLinePunct w:val="0"/>
        <w:autoSpaceDE/>
        <w:autoSpaceDN/>
        <w:bidi w:val="0"/>
        <w:adjustRightInd w:val="0"/>
        <w:snapToGrid w:val="0"/>
        <w:spacing w:before="0" w:after="0" w:line="360" w:lineRule="auto"/>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3.2投标报价部分评审</w:t>
      </w:r>
    </w:p>
    <w:p w14:paraId="6E684C03">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详见“评标办法前附表”。</w:t>
      </w:r>
    </w:p>
    <w:p w14:paraId="3238F571">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3.2.1投标文件内容澄清</w:t>
      </w:r>
    </w:p>
    <w:p w14:paraId="4E2CCEAF">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电子签章。投标人的澄清、说明或者补正不得超出投标文件的范围或者改变投标文件的实质性内容。 </w:t>
      </w:r>
    </w:p>
    <w:p w14:paraId="2801F93A">
      <w:pPr>
        <w:keepNext/>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3.2.2报价不一致情形澄清</w:t>
      </w:r>
    </w:p>
    <w:p w14:paraId="6EC2DDE4">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投标文件报价出现前后不一致的，除招标文件另有规定外，按照下列规定修正： </w:t>
      </w:r>
    </w:p>
    <w:p w14:paraId="44C75A08">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（1）投标文件中开标一览表（报价表）内容与投标文件中相应内容不一致的，以开标一览表（报价表）为准；</w:t>
      </w:r>
    </w:p>
    <w:p w14:paraId="2ED5B575">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579F0718">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0AE00966">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4FD55430">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同时出现两种以上不一致的，按照前款规定的顺序修正。修正后的报价按照招标文件规定并经投标人确认后产生约束力，投标人不确认的，其投标无效。</w:t>
      </w:r>
    </w:p>
    <w:p w14:paraId="460B8FE0">
      <w:pPr>
        <w:keepNext/>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3.2.3报价过低情形澄清</w:t>
      </w:r>
    </w:p>
    <w:p w14:paraId="449B676E">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3.2.3.1根据《关于推动解决政府采购异常低价问题的通知》（财库〔2026〕2号）要求，评审过程中出现下列情形之一的，评标委员会应当启动异常低价投标（响应）审查程序：</w:t>
      </w:r>
    </w:p>
    <w:p w14:paraId="18DBC5BF">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（1）投标（响应）报价低于全部通过符合性审查供应商投标（响应）报价平均值</w:t>
      </w: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rPr>
        <w:t>%的，即投标（响应）报价&lt;全部通过符合性审查供应商投标（响应）报价平均值×</w:t>
      </w: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rPr>
        <w:t>%；</w:t>
      </w:r>
    </w:p>
    <w:p w14:paraId="423E019C">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（2）投标（响应）报价低于通过符合性审查的次低报价供应商投标（响应）报价</w:t>
      </w: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rPr>
        <w:t>%的，即投标（响应）报价&lt;通过符合性审查的次低报价供应商投标（响应）报价×</w:t>
      </w: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rPr>
        <w:t>%；</w:t>
      </w:r>
    </w:p>
    <w:p w14:paraId="5FD0939D">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（3）投标（响应）报价低于采购项目最高限价</w:t>
      </w:r>
      <w:r>
        <w:rPr>
          <w:rFonts w:hint="eastAsia" w:ascii="宋体" w:hAnsi="宋体" w:eastAsia="宋体" w:cs="宋体"/>
          <w:color w:val="auto"/>
          <w:sz w:val="24"/>
          <w:szCs w:val="24"/>
          <w:highlight w:val="none"/>
          <w:lang w:val="en-US" w:eastAsia="zh-CN"/>
        </w:rPr>
        <w:t>45</w:t>
      </w:r>
      <w:r>
        <w:rPr>
          <w:rFonts w:hint="eastAsia" w:ascii="宋体" w:hAnsi="宋体" w:eastAsia="宋体" w:cs="宋体"/>
          <w:color w:val="auto"/>
          <w:sz w:val="24"/>
          <w:szCs w:val="24"/>
          <w:highlight w:val="none"/>
        </w:rPr>
        <w:t>%的，即投标（响应）报价&lt;采购项目最高限价×</w:t>
      </w:r>
      <w:r>
        <w:rPr>
          <w:rFonts w:hint="eastAsia" w:ascii="宋体" w:hAnsi="宋体" w:eastAsia="宋体" w:cs="宋体"/>
          <w:color w:val="auto"/>
          <w:sz w:val="24"/>
          <w:szCs w:val="24"/>
          <w:highlight w:val="none"/>
          <w:lang w:val="en-US" w:eastAsia="zh-CN"/>
        </w:rPr>
        <w:t>45</w:t>
      </w:r>
      <w:r>
        <w:rPr>
          <w:rFonts w:hint="eastAsia" w:ascii="宋体" w:hAnsi="宋体" w:eastAsia="宋体" w:cs="宋体"/>
          <w:color w:val="auto"/>
          <w:sz w:val="24"/>
          <w:szCs w:val="24"/>
          <w:highlight w:val="none"/>
        </w:rPr>
        <w:t>%；</w:t>
      </w:r>
    </w:p>
    <w:p w14:paraId="5FBBD4FC">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（4）评标委员会基于专业判断，认为供应商报价过低，有可能影响产品质量或者不能诚信履约的其他情形。</w:t>
      </w:r>
    </w:p>
    <w:p w14:paraId="43E6B76A">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3.2.3.2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5173E9E">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3.2.3.3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67C9F675">
      <w:pPr>
        <w:pStyle w:val="51"/>
        <w:pageBreakBefore w:val="0"/>
        <w:kinsoku w:val="0"/>
        <w:overflowPunct/>
        <w:topLinePunct w:val="0"/>
        <w:autoSpaceDE/>
        <w:autoSpaceDN/>
        <w:bidi w:val="0"/>
        <w:adjustRightInd w:val="0"/>
        <w:snapToGrid w:val="0"/>
        <w:spacing w:before="0" w:after="0" w:line="360" w:lineRule="auto"/>
        <w:textAlignment w:val="baseline"/>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3.3技术及商务部分评审</w:t>
      </w:r>
    </w:p>
    <w:p w14:paraId="4A00D626">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详见“评标办法前附表”。</w:t>
      </w:r>
    </w:p>
    <w:p w14:paraId="1D243C02">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（1）评标委员会按照客观、公正、审慎的原则，根据招标文件规定的评审程序、评审方法和评审标准进行独立评审；评标委员会评委应首先对各投标人投标文件进行评审，并按招标文件规定分值评分。</w:t>
      </w:r>
    </w:p>
    <w:p w14:paraId="121EE827">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（2）统计分数原则：计算算术平均分值为投标人的技术部分、商务部分得分（保留小数点后两位）。</w:t>
      </w:r>
    </w:p>
    <w:p w14:paraId="46BCE853">
      <w:pPr>
        <w:pStyle w:val="4"/>
        <w:pageBreakBefore w:val="0"/>
        <w:kinsoku w:val="0"/>
        <w:wordWrap w:val="0"/>
        <w:overflowPunct/>
        <w:topLinePunct w:val="0"/>
        <w:autoSpaceDE/>
        <w:autoSpaceDN/>
        <w:bidi w:val="0"/>
        <w:adjustRightInd w:val="0"/>
        <w:snapToGrid w:val="0"/>
        <w:spacing w:before="0" w:beforeLines="0" w:after="0" w:afterLines="0" w:line="360" w:lineRule="auto"/>
        <w:jc w:val="center"/>
        <w:textAlignment w:val="baseline"/>
        <w:rPr>
          <w:rFonts w:hint="eastAsia" w:ascii="宋体" w:hAnsi="宋体" w:eastAsia="宋体" w:cs="宋体"/>
          <w:b/>
          <w:bCs/>
          <w:color w:val="auto"/>
          <w:sz w:val="28"/>
          <w:szCs w:val="28"/>
          <w:highlight w:val="none"/>
        </w:rPr>
      </w:pPr>
      <w:bookmarkStart w:id="251" w:name="_Toc270090087"/>
      <w:bookmarkStart w:id="252" w:name="_Toc481712048"/>
      <w:bookmarkStart w:id="253" w:name="_Toc259188730"/>
      <w:bookmarkStart w:id="254" w:name="_Toc260907986"/>
      <w:bookmarkStart w:id="255" w:name="_Toc248767826"/>
      <w:bookmarkStart w:id="256" w:name="_Toc260908202"/>
      <w:bookmarkStart w:id="257" w:name="_Toc224870963"/>
      <w:bookmarkStart w:id="258" w:name="_Toc315"/>
      <w:bookmarkStart w:id="259" w:name="_Toc13407769"/>
      <w:r>
        <w:rPr>
          <w:rFonts w:hint="eastAsia" w:ascii="宋体" w:hAnsi="宋体" w:eastAsia="宋体" w:cs="宋体"/>
          <w:b/>
          <w:bCs/>
          <w:color w:val="auto"/>
          <w:sz w:val="28"/>
          <w:szCs w:val="28"/>
          <w:highlight w:val="none"/>
          <w:lang w:val="en-US" w:eastAsia="zh-CN"/>
        </w:rPr>
        <w:t>四</w:t>
      </w:r>
      <w:r>
        <w:rPr>
          <w:rFonts w:hint="eastAsia" w:ascii="宋体" w:hAnsi="宋体" w:eastAsia="宋体" w:cs="宋体"/>
          <w:b/>
          <w:bCs/>
          <w:color w:val="auto"/>
          <w:sz w:val="28"/>
          <w:szCs w:val="28"/>
          <w:highlight w:val="none"/>
        </w:rPr>
        <w:t>、</w:t>
      </w:r>
      <w:bookmarkEnd w:id="251"/>
      <w:bookmarkEnd w:id="252"/>
      <w:bookmarkEnd w:id="253"/>
      <w:bookmarkEnd w:id="254"/>
      <w:bookmarkEnd w:id="255"/>
      <w:bookmarkEnd w:id="256"/>
      <w:r>
        <w:rPr>
          <w:rFonts w:hint="eastAsia" w:ascii="宋体" w:hAnsi="宋体" w:eastAsia="宋体" w:cs="宋体"/>
          <w:b/>
          <w:bCs/>
          <w:color w:val="auto"/>
          <w:sz w:val="28"/>
          <w:szCs w:val="28"/>
          <w:highlight w:val="none"/>
        </w:rPr>
        <w:t>汇总评标结果</w:t>
      </w:r>
      <w:bookmarkEnd w:id="257"/>
      <w:bookmarkEnd w:id="258"/>
      <w:bookmarkEnd w:id="259"/>
    </w:p>
    <w:p w14:paraId="58298EEB">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1各项评分因素得分乘以相对应的权重系数后的总和即为投标人最后得分。</w:t>
      </w:r>
    </w:p>
    <w:p w14:paraId="4D5CB43F">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rPr>
        <w:t>经评标委员会认定评分畸高、畸低的，评标委员会应当当场修改评标结果，并在评标报告中记载。</w:t>
      </w:r>
    </w:p>
    <w:p w14:paraId="787BBDC9">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4.3</w:t>
      </w:r>
      <w:r>
        <w:rPr>
          <w:rFonts w:hint="eastAsia" w:ascii="宋体" w:hAnsi="宋体" w:eastAsia="宋体" w:cs="宋体"/>
          <w:color w:val="auto"/>
          <w:sz w:val="24"/>
          <w:szCs w:val="24"/>
          <w:highlight w:val="none"/>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3E2CAD40">
      <w:pPr>
        <w:pStyle w:val="4"/>
        <w:pageBreakBefore w:val="0"/>
        <w:kinsoku w:val="0"/>
        <w:wordWrap w:val="0"/>
        <w:overflowPunct/>
        <w:topLinePunct w:val="0"/>
        <w:autoSpaceDE/>
        <w:autoSpaceDN/>
        <w:bidi w:val="0"/>
        <w:adjustRightInd w:val="0"/>
        <w:snapToGrid w:val="0"/>
        <w:spacing w:before="0" w:beforeLines="0" w:after="0" w:afterLines="0" w:line="360" w:lineRule="auto"/>
        <w:jc w:val="center"/>
        <w:textAlignment w:val="baseline"/>
        <w:rPr>
          <w:rFonts w:hint="eastAsia" w:ascii="宋体" w:hAnsi="宋体" w:eastAsia="宋体" w:cs="宋体"/>
          <w:b/>
          <w:bCs/>
          <w:color w:val="auto"/>
          <w:sz w:val="28"/>
          <w:szCs w:val="28"/>
          <w:highlight w:val="none"/>
        </w:rPr>
      </w:pPr>
      <w:bookmarkStart w:id="260" w:name="_Toc224870964"/>
      <w:bookmarkStart w:id="261" w:name="_Toc30917"/>
      <w:bookmarkStart w:id="262" w:name="_Toc13407770"/>
      <w:r>
        <w:rPr>
          <w:rFonts w:hint="eastAsia" w:ascii="宋体" w:hAnsi="宋体" w:eastAsia="宋体" w:cs="宋体"/>
          <w:b/>
          <w:bCs/>
          <w:color w:val="auto"/>
          <w:sz w:val="28"/>
          <w:szCs w:val="28"/>
          <w:highlight w:val="none"/>
          <w:lang w:val="en-US" w:eastAsia="zh-CN"/>
        </w:rPr>
        <w:t>五</w:t>
      </w:r>
      <w:r>
        <w:rPr>
          <w:rFonts w:hint="eastAsia" w:ascii="宋体" w:hAnsi="宋体" w:eastAsia="宋体" w:cs="宋体"/>
          <w:b/>
          <w:bCs/>
          <w:color w:val="auto"/>
          <w:sz w:val="28"/>
          <w:szCs w:val="28"/>
          <w:highlight w:val="none"/>
        </w:rPr>
        <w:t>、推荐中标候选人</w:t>
      </w:r>
      <w:bookmarkEnd w:id="260"/>
      <w:bookmarkEnd w:id="261"/>
      <w:bookmarkEnd w:id="262"/>
    </w:p>
    <w:p w14:paraId="52FF3303">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按评标办法的公式计算出各投标人的总得分，评标结果按评审后总得分由高到低顺序排列。得分相同的，按投标报价由低到高顺序排列。投标文件满足招标文件全部实质性要求，且按照评审因素的量化指标评审得分最高的投标人为排名第一的中标候选人。</w:t>
      </w:r>
    </w:p>
    <w:p w14:paraId="2354CDDD">
      <w:pPr>
        <w:pageBreakBefore w:val="0"/>
        <w:widowControl w:val="0"/>
        <w:kinsoku w:val="0"/>
        <w:wordWrap w:val="0"/>
        <w:overflowPunct/>
        <w:topLinePunct w:val="0"/>
        <w:autoSpaceDE/>
        <w:autoSpaceDN/>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评标时按标包序号顺序进行评审，已成为一个标包第一中标候选人的，不再推荐为后续标包的中标候选人，由排名在其后的投标人递补，以此类推。</w:t>
      </w:r>
    </w:p>
    <w:p w14:paraId="076A4D9D">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在得分和报价均相同时，按下列顺序进行推荐：</w:t>
      </w:r>
    </w:p>
    <w:p w14:paraId="1430279A">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若存在节能环保产品参与投标，根据《中华人民共和国政府采购法》、《中华人民共和国政府采购法实施条例》、《政府采购货物和服务招标投标管理办法》（财政部令87号）的规定，优先采购节能环保产品。否则由评标委员成员记名投标推荐排序在前的投标单位。</w:t>
      </w:r>
    </w:p>
    <w:p w14:paraId="166BEED4">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2.评标委员会根据全体评标成员电子签章的原始评标记录和评标结果编写评标报告。</w:t>
      </w:r>
    </w:p>
    <w:p w14:paraId="45B5F11D">
      <w:pPr>
        <w:pStyle w:val="4"/>
        <w:pageBreakBefore w:val="0"/>
        <w:kinsoku w:val="0"/>
        <w:wordWrap w:val="0"/>
        <w:overflowPunct/>
        <w:topLinePunct w:val="0"/>
        <w:autoSpaceDE/>
        <w:autoSpaceDN/>
        <w:bidi w:val="0"/>
        <w:adjustRightInd w:val="0"/>
        <w:snapToGrid w:val="0"/>
        <w:spacing w:before="0" w:beforeLines="0" w:after="0" w:afterLines="0" w:line="360" w:lineRule="auto"/>
        <w:jc w:val="center"/>
        <w:textAlignment w:val="baseline"/>
        <w:rPr>
          <w:rFonts w:hint="eastAsia" w:ascii="宋体" w:hAnsi="宋体" w:eastAsia="宋体" w:cs="宋体"/>
          <w:b/>
          <w:bCs/>
          <w:color w:val="auto"/>
          <w:sz w:val="28"/>
          <w:szCs w:val="28"/>
          <w:highlight w:val="none"/>
        </w:rPr>
      </w:pPr>
      <w:bookmarkStart w:id="263" w:name="_Toc22598"/>
      <w:bookmarkStart w:id="264" w:name="_Toc13407771"/>
      <w:bookmarkStart w:id="265" w:name="_Toc224870965"/>
      <w:r>
        <w:rPr>
          <w:rFonts w:hint="eastAsia" w:ascii="宋体" w:hAnsi="宋体" w:eastAsia="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rPr>
        <w:t>、特殊情况的处置程序</w:t>
      </w:r>
      <w:bookmarkEnd w:id="263"/>
      <w:bookmarkEnd w:id="264"/>
      <w:bookmarkEnd w:id="265"/>
    </w:p>
    <w:p w14:paraId="6FEFC4EB">
      <w:pPr>
        <w:pageBreakBefore w:val="0"/>
        <w:widowControl w:val="0"/>
        <w:kinsoku w:val="0"/>
        <w:wordWrap w:val="0"/>
        <w:overflowPunct/>
        <w:topLinePunct w:val="0"/>
        <w:autoSpaceDE/>
        <w:autoSpaceDN/>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6.1关于评标活动暂停</w:t>
      </w:r>
    </w:p>
    <w:p w14:paraId="5C624DFA">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评标委员会应当执行连续评标的原则，按评标办法中规定的程序、内容、方法、标准完成全部评标工作。只有发生不可抗力导致评标工作无法继续时，评标活动方可暂停。</w:t>
      </w:r>
    </w:p>
    <w:p w14:paraId="42564B28">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发生评标暂停情况时，评标委员会应当封存全部投标文件和评标记录，待不可抗力的影响结束且具备继续评标的条件时，由原评标委员会继续评标。</w:t>
      </w:r>
    </w:p>
    <w:p w14:paraId="038E277C">
      <w:pPr>
        <w:pageBreakBefore w:val="0"/>
        <w:widowControl w:val="0"/>
        <w:kinsoku w:val="0"/>
        <w:wordWrap w:val="0"/>
        <w:overflowPunct/>
        <w:topLinePunct w:val="0"/>
        <w:autoSpaceDE/>
        <w:autoSpaceDN/>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6.2关于评标中途更换评委</w:t>
      </w:r>
    </w:p>
    <w:p w14:paraId="7F8D6D60">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除非发生下列情况之一，评标委员会成员不得在评标中途更换：</w:t>
      </w:r>
    </w:p>
    <w:p w14:paraId="6FA9F7F4">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（1）因不可抗拒的客观原因，不能到场或需在评标中途退出评标活动。</w:t>
      </w:r>
    </w:p>
    <w:p w14:paraId="669A440C">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（2）根据法律法规规定，某个或某几个评标委员会成员需要回避。</w:t>
      </w:r>
    </w:p>
    <w:p w14:paraId="47317CAA">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退出评标的评标委员会成员，其已完成的评标行为无效。由采购人根据本招标文件规定的评标委员会成员生产方式另行确定替代者进行评标。</w:t>
      </w:r>
    </w:p>
    <w:p w14:paraId="50886CB5">
      <w:pPr>
        <w:keepNext/>
        <w:pageBreakBefore w:val="0"/>
        <w:widowControl w:val="0"/>
        <w:kinsoku w:val="0"/>
        <w:wordWrap w:val="0"/>
        <w:overflowPunct/>
        <w:topLinePunct w:val="0"/>
        <w:autoSpaceDE/>
        <w:autoSpaceDN/>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6.3记名投票</w:t>
      </w:r>
    </w:p>
    <w:p w14:paraId="1CBF4BA0">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在任何评标环节中，需评标委员会就某项定性的评审结论做出表决的，由评标委员会全体成员按照少数服从多数的原则，以记名投票方式表决。</w:t>
      </w:r>
    </w:p>
    <w:p w14:paraId="71C4F3DE">
      <w:pPr>
        <w:pageBreakBefore w:val="0"/>
        <w:widowControl w:val="0"/>
        <w:kinsoku w:val="0"/>
        <w:wordWrap w:val="0"/>
        <w:overflowPunct/>
        <w:topLinePunct w:val="0"/>
        <w:autoSpaceDE/>
        <w:autoSpaceDN/>
        <w:bidi w:val="0"/>
        <w:adjustRightInd w:val="0"/>
        <w:snapToGrid w:val="0"/>
        <w:spacing w:line="360" w:lineRule="auto"/>
        <w:ind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6.4补充条款</w:t>
      </w:r>
    </w:p>
    <w:p w14:paraId="2BCC7513">
      <w:pPr>
        <w:pageBreakBefore w:val="0"/>
        <w:widowControl w:val="0"/>
        <w:kinsoku w:val="0"/>
        <w:wordWrap w:val="0"/>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评标中若遇特殊问题，由评标委员会根据有关法律、法规、规定研究决定。</w:t>
      </w:r>
    </w:p>
    <w:p w14:paraId="62B3AFA9">
      <w:pPr>
        <w:tabs>
          <w:tab w:val="left" w:pos="360"/>
          <w:tab w:val="left" w:pos="1080"/>
        </w:tabs>
        <w:snapToGrid w:val="0"/>
        <w:spacing w:line="360" w:lineRule="auto"/>
        <w:ind w:left="0" w:leftChars="0" w:firstLine="0" w:firstLineChars="0"/>
        <w:rPr>
          <w:rFonts w:hint="eastAsia" w:ascii="宋体" w:hAnsi="宋体" w:eastAsia="宋体" w:cs="宋体"/>
          <w:color w:val="auto"/>
          <w:sz w:val="24"/>
          <w:highlight w:val="none"/>
        </w:rPr>
      </w:pPr>
    </w:p>
    <w:p w14:paraId="3B840AC7">
      <w:pPr>
        <w:widowControl/>
        <w:jc w:val="left"/>
        <w:rPr>
          <w:rFonts w:hint="eastAsia" w:ascii="宋体" w:hAnsi="宋体" w:eastAsia="宋体" w:cs="宋体"/>
          <w:b/>
          <w:color w:val="auto"/>
          <w:sz w:val="36"/>
          <w:szCs w:val="36"/>
          <w:highlight w:val="none"/>
        </w:rPr>
      </w:pPr>
    </w:p>
    <w:p w14:paraId="160961C3">
      <w:pPr>
        <w:spacing w:line="360" w:lineRule="auto"/>
        <w:jc w:val="center"/>
        <w:outlineLvl w:val="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r>
      <w:bookmarkStart w:id="266" w:name="_Toc9773"/>
      <w:r>
        <w:rPr>
          <w:rFonts w:hint="eastAsia" w:ascii="宋体" w:hAnsi="宋体" w:eastAsia="宋体" w:cs="宋体"/>
          <w:b/>
          <w:color w:val="auto"/>
          <w:sz w:val="36"/>
          <w:szCs w:val="36"/>
          <w:highlight w:val="none"/>
        </w:rPr>
        <w:t>第五章   采购需求</w:t>
      </w:r>
      <w:bookmarkEnd w:id="266"/>
    </w:p>
    <w:p w14:paraId="35546E38">
      <w:pPr>
        <w:pStyle w:val="12"/>
        <w:rPr>
          <w:rFonts w:hint="eastAsia" w:ascii="宋体" w:hAnsi="宋体" w:eastAsia="宋体" w:cs="宋体"/>
          <w:b/>
          <w:bCs/>
          <w:color w:val="auto"/>
          <w:kern w:val="0"/>
          <w:sz w:val="24"/>
          <w:highlight w:val="none"/>
          <w:lang w:val="en-US" w:eastAsia="zh-CN" w:bidi="ar"/>
        </w:rPr>
      </w:pPr>
    </w:p>
    <w:p w14:paraId="2DC2EBF3">
      <w:pPr>
        <w:pStyle w:val="8"/>
        <w:rPr>
          <w:rFonts w:hint="eastAsia" w:ascii="宋体" w:hAnsi="宋体" w:eastAsia="宋体" w:cs="宋体"/>
          <w:b/>
          <w:bCs/>
          <w:color w:val="auto"/>
          <w:kern w:val="0"/>
          <w:sz w:val="28"/>
          <w:szCs w:val="21"/>
          <w:highlight w:val="none"/>
          <w:lang w:val="en-US" w:eastAsia="zh-CN" w:bidi="ar"/>
        </w:rPr>
      </w:pPr>
      <w:r>
        <w:rPr>
          <w:rFonts w:hint="eastAsia" w:ascii="宋体" w:hAnsi="宋体" w:eastAsia="宋体" w:cs="宋体"/>
          <w:b/>
          <w:bCs/>
          <w:color w:val="auto"/>
          <w:kern w:val="0"/>
          <w:sz w:val="28"/>
          <w:szCs w:val="21"/>
          <w:highlight w:val="none"/>
          <w:lang w:val="en-US" w:eastAsia="zh-CN" w:bidi="ar"/>
        </w:rPr>
        <w:t>一、采购内容</w:t>
      </w:r>
    </w:p>
    <w:p w14:paraId="04901BF0">
      <w:pPr>
        <w:pStyle w:val="8"/>
        <w:rPr>
          <w:rFonts w:hint="eastAsia" w:ascii="宋体" w:hAnsi="宋体" w:eastAsia="宋体" w:cs="宋体"/>
          <w:b w:val="0"/>
          <w:bCs w:val="0"/>
          <w:color w:val="auto"/>
          <w:kern w:val="0"/>
          <w:sz w:val="28"/>
          <w:szCs w:val="21"/>
          <w:highlight w:val="none"/>
          <w:lang w:val="en-US" w:eastAsia="zh-CN" w:bidi="ar"/>
        </w:rPr>
      </w:pPr>
      <w:r>
        <w:rPr>
          <w:rFonts w:hint="eastAsia" w:ascii="宋体" w:hAnsi="宋体" w:eastAsia="宋体" w:cs="宋体"/>
          <w:b w:val="0"/>
          <w:bCs w:val="0"/>
          <w:color w:val="auto"/>
          <w:kern w:val="0"/>
          <w:sz w:val="28"/>
          <w:szCs w:val="21"/>
          <w:highlight w:val="none"/>
          <w:lang w:val="en-US" w:eastAsia="zh-CN" w:bidi="ar"/>
        </w:rPr>
        <w:t>由3家符合2026年政府补贴性职业技能提升培训条件的机构，以服务产业发展为引领，以促进就业为目标，聚焦“10+N”产业链，面向农村转移就业劳动者、高校毕业生、城镇登记失业人员、就业困难人员等重点群体和企业职工，推行“岗位需求+技能培训+技能评价+就业服务”项目化培训模式。巩固拓展全省 6个特色优势产业技能提升专项培训成果，实施 5项职业技能提升培训专项行动，力争实现2026年职业技能培训3000人次。分为A、B、C三个包，各负责组织完成1000人的培训任务，预算资金180万元（每个包60万元）。为确保工作的顺利推进，如承担培训任务的职业技能培训机构，因自身工种、培训资金、组织能力等情况不能满足所需培训需求的，县就业中心可调节其他培训机构承担培训任务。</w:t>
      </w:r>
    </w:p>
    <w:p w14:paraId="78D57A7B">
      <w:pPr>
        <w:pStyle w:val="8"/>
        <w:rPr>
          <w:rFonts w:hint="eastAsia" w:ascii="宋体" w:hAnsi="宋体" w:eastAsia="宋体" w:cs="宋体"/>
          <w:b/>
          <w:bCs/>
          <w:color w:val="auto"/>
          <w:kern w:val="0"/>
          <w:sz w:val="28"/>
          <w:szCs w:val="21"/>
          <w:highlight w:val="none"/>
          <w:lang w:val="en-US" w:eastAsia="zh-CN" w:bidi="ar"/>
        </w:rPr>
      </w:pPr>
      <w:r>
        <w:rPr>
          <w:rFonts w:hint="eastAsia" w:ascii="宋体" w:hAnsi="宋体" w:eastAsia="宋体" w:cs="宋体"/>
          <w:b/>
          <w:bCs/>
          <w:color w:val="auto"/>
          <w:kern w:val="0"/>
          <w:sz w:val="28"/>
          <w:szCs w:val="21"/>
          <w:highlight w:val="none"/>
          <w:lang w:val="en-US" w:eastAsia="zh-CN" w:bidi="ar"/>
        </w:rPr>
        <w:t>二、培训工种</w:t>
      </w:r>
    </w:p>
    <w:p w14:paraId="73C3BD02">
      <w:pPr>
        <w:pStyle w:val="8"/>
        <w:rPr>
          <w:rFonts w:hint="eastAsia" w:ascii="宋体" w:hAnsi="宋体" w:eastAsia="宋体" w:cs="宋体"/>
          <w:b w:val="0"/>
          <w:bCs w:val="0"/>
          <w:color w:val="auto"/>
          <w:kern w:val="0"/>
          <w:sz w:val="28"/>
          <w:szCs w:val="21"/>
          <w:highlight w:val="none"/>
          <w:lang w:val="en-US" w:eastAsia="zh-CN" w:bidi="ar"/>
        </w:rPr>
      </w:pPr>
      <w:r>
        <w:rPr>
          <w:rFonts w:hint="eastAsia" w:ascii="宋体" w:hAnsi="宋体" w:eastAsia="宋体" w:cs="宋体"/>
          <w:b w:val="0"/>
          <w:bCs w:val="0"/>
          <w:color w:val="auto"/>
          <w:kern w:val="0"/>
          <w:sz w:val="28"/>
          <w:szCs w:val="21"/>
          <w:highlight w:val="none"/>
          <w:lang w:val="en-US" w:eastAsia="zh-CN" w:bidi="ar"/>
        </w:rPr>
        <w:t>按照《云南省人力资源和社会保障厅云南省财政厅关于发布&lt;云南省2026年职业培训补贴标准目录&gt;的通知》（云人社通〔2026〕17号）文件目录所列相关工种，结合富民县产业发展、企业用工需求等合理制定培训计划，重点围绕高原特色农业、康养文旅、数字经济、低空经济、家政服务、绿色能源等产业开展6个产业技能人才培养项目实施。培训后分别取职业资格证、技能等级证、专项职业能力证书或培训合格证书等证书。</w:t>
      </w:r>
    </w:p>
    <w:p w14:paraId="595DFE6D">
      <w:pPr>
        <w:pStyle w:val="8"/>
        <w:rPr>
          <w:rFonts w:hint="eastAsia" w:ascii="宋体" w:hAnsi="宋体" w:eastAsia="宋体" w:cs="宋体"/>
          <w:b/>
          <w:bCs/>
          <w:color w:val="auto"/>
          <w:kern w:val="0"/>
          <w:sz w:val="28"/>
          <w:szCs w:val="21"/>
          <w:highlight w:val="none"/>
          <w:lang w:val="en-US" w:eastAsia="zh-CN" w:bidi="ar"/>
        </w:rPr>
      </w:pPr>
      <w:r>
        <w:rPr>
          <w:rFonts w:hint="eastAsia" w:ascii="宋体" w:hAnsi="宋体" w:eastAsia="宋体" w:cs="宋体"/>
          <w:b/>
          <w:bCs/>
          <w:color w:val="auto"/>
          <w:kern w:val="0"/>
          <w:sz w:val="28"/>
          <w:szCs w:val="21"/>
          <w:highlight w:val="none"/>
          <w:lang w:val="en-US" w:eastAsia="zh-CN" w:bidi="ar"/>
        </w:rPr>
        <w:t>三、服务期限</w:t>
      </w:r>
    </w:p>
    <w:p w14:paraId="4EA3D678">
      <w:pPr>
        <w:pStyle w:val="8"/>
        <w:rPr>
          <w:rFonts w:hint="eastAsia" w:ascii="宋体" w:hAnsi="宋体" w:eastAsia="宋体" w:cs="宋体"/>
          <w:b w:val="0"/>
          <w:bCs w:val="0"/>
          <w:color w:val="auto"/>
          <w:kern w:val="0"/>
          <w:sz w:val="28"/>
          <w:szCs w:val="21"/>
          <w:highlight w:val="none"/>
          <w:lang w:val="en-US" w:eastAsia="zh-CN" w:bidi="ar"/>
        </w:rPr>
      </w:pPr>
      <w:r>
        <w:rPr>
          <w:rFonts w:hint="eastAsia" w:ascii="宋体" w:hAnsi="宋体" w:eastAsia="宋体" w:cs="宋体"/>
          <w:b w:val="0"/>
          <w:bCs w:val="0"/>
          <w:color w:val="auto"/>
          <w:kern w:val="0"/>
          <w:sz w:val="28"/>
          <w:szCs w:val="21"/>
          <w:highlight w:val="none"/>
          <w:lang w:val="en-US" w:eastAsia="zh-CN" w:bidi="ar"/>
        </w:rPr>
        <w:t>自签订协议之日起至2026年12月20日。如遇政策有变化，依据新的政策文件作相应调整。</w:t>
      </w:r>
    </w:p>
    <w:p w14:paraId="74E417B4">
      <w:pPr>
        <w:pStyle w:val="8"/>
        <w:rPr>
          <w:rFonts w:hint="eastAsia" w:ascii="宋体" w:hAnsi="宋体" w:eastAsia="宋体" w:cs="宋体"/>
          <w:b/>
          <w:bCs/>
          <w:color w:val="auto"/>
          <w:kern w:val="0"/>
          <w:sz w:val="28"/>
          <w:szCs w:val="21"/>
          <w:highlight w:val="none"/>
          <w:lang w:val="en-US" w:eastAsia="zh-CN" w:bidi="ar"/>
        </w:rPr>
      </w:pPr>
      <w:r>
        <w:rPr>
          <w:rFonts w:hint="eastAsia" w:ascii="宋体" w:hAnsi="宋体" w:eastAsia="宋体" w:cs="宋体"/>
          <w:b/>
          <w:bCs/>
          <w:color w:val="auto"/>
          <w:kern w:val="0"/>
          <w:sz w:val="28"/>
          <w:szCs w:val="21"/>
          <w:highlight w:val="none"/>
          <w:lang w:val="en-US" w:eastAsia="zh-CN" w:bidi="ar"/>
        </w:rPr>
        <w:t>四、培训要求</w:t>
      </w:r>
    </w:p>
    <w:p w14:paraId="24E6E62B">
      <w:pPr>
        <w:pStyle w:val="8"/>
        <w:rPr>
          <w:rFonts w:hint="eastAsia" w:ascii="宋体" w:hAnsi="宋体" w:eastAsia="宋体" w:cs="宋体"/>
          <w:b w:val="0"/>
          <w:bCs w:val="0"/>
          <w:color w:val="auto"/>
          <w:kern w:val="0"/>
          <w:sz w:val="28"/>
          <w:szCs w:val="21"/>
          <w:highlight w:val="none"/>
          <w:lang w:val="en-US" w:eastAsia="zh-CN" w:bidi="ar"/>
        </w:rPr>
      </w:pPr>
      <w:r>
        <w:rPr>
          <w:rFonts w:hint="eastAsia" w:ascii="宋体" w:hAnsi="宋体" w:eastAsia="宋体" w:cs="宋体"/>
          <w:b w:val="0"/>
          <w:bCs w:val="0"/>
          <w:color w:val="auto"/>
          <w:kern w:val="0"/>
          <w:sz w:val="28"/>
          <w:szCs w:val="21"/>
          <w:highlight w:val="none"/>
          <w:lang w:val="en-US" w:eastAsia="zh-CN" w:bidi="ar"/>
        </w:rPr>
        <w:t>职业技能培训创业培训采取理论和实践相结合的教学方式，开班前3个工作日前报批开班审批手续，培训时间按照《云南省人力资源和社会保障厅云南省财政厅关于发布&lt;云南省2026年职业培训补贴标准目录&gt;的通知》（云人社通〔2026〕17号）规定的工种时间执行（若服务期间发布新的文件，按新文件执行）。</w:t>
      </w:r>
    </w:p>
    <w:p w14:paraId="0404DDCB">
      <w:pPr>
        <w:pStyle w:val="8"/>
        <w:rPr>
          <w:rFonts w:hint="eastAsia" w:ascii="宋体" w:hAnsi="宋体" w:eastAsia="宋体" w:cs="宋体"/>
          <w:b/>
          <w:bCs/>
          <w:color w:val="auto"/>
          <w:kern w:val="0"/>
          <w:sz w:val="28"/>
          <w:szCs w:val="21"/>
          <w:highlight w:val="none"/>
          <w:lang w:val="en-US" w:eastAsia="zh-CN" w:bidi="ar"/>
        </w:rPr>
      </w:pPr>
      <w:r>
        <w:rPr>
          <w:rFonts w:hint="eastAsia" w:ascii="宋体" w:hAnsi="宋体" w:eastAsia="宋体" w:cs="宋体"/>
          <w:b/>
          <w:bCs/>
          <w:color w:val="auto"/>
          <w:kern w:val="0"/>
          <w:sz w:val="28"/>
          <w:szCs w:val="21"/>
          <w:highlight w:val="none"/>
          <w:lang w:val="en-US" w:eastAsia="zh-CN" w:bidi="ar"/>
        </w:rPr>
        <w:t>五、服务标准</w:t>
      </w:r>
    </w:p>
    <w:p w14:paraId="1B560F4D">
      <w:pPr>
        <w:pStyle w:val="8"/>
        <w:rPr>
          <w:rFonts w:hint="eastAsia" w:ascii="宋体" w:hAnsi="宋体" w:eastAsia="宋体" w:cs="宋体"/>
          <w:b w:val="0"/>
          <w:bCs w:val="0"/>
          <w:color w:val="auto"/>
          <w:kern w:val="0"/>
          <w:sz w:val="28"/>
          <w:szCs w:val="21"/>
          <w:highlight w:val="none"/>
          <w:lang w:val="en-US" w:eastAsia="zh-CN" w:bidi="ar"/>
        </w:rPr>
      </w:pPr>
      <w:r>
        <w:rPr>
          <w:rFonts w:hint="eastAsia" w:ascii="宋体" w:hAnsi="宋体" w:eastAsia="宋体" w:cs="宋体"/>
          <w:b w:val="0"/>
          <w:bCs w:val="0"/>
          <w:color w:val="auto"/>
          <w:kern w:val="0"/>
          <w:sz w:val="28"/>
          <w:szCs w:val="21"/>
          <w:highlight w:val="none"/>
          <w:lang w:val="en-US" w:eastAsia="zh-CN" w:bidi="ar"/>
        </w:rPr>
        <w:t>按照《云南省人力资源和社会保障厅云南省财政厅关于加强职业技能培训管理规范化的通知》(云人社通〔2022〕50号）《云南省人力资源和社会保障厅 云南省财政厅关于发布&lt;云南省2026年职业培训补贴标准目录&gt;的通知》（云人社通〔2026〕17号），以实际培训工种、培训补贴标准及合格人数进行结算｡（若服务期间发布新的文件，按新文件执行）。培训机构使用“云南省职业技能培训系统，做到培训班的到课率不低于80%，学员的到课率不低于90%。培训结束鉴定（考核）、考试，每期参训学员培训合格率要求达到90%以上，并取得国家职业资格证书、技能等级证、专项职业能力证书或培训合格证书等证书。</w:t>
      </w:r>
    </w:p>
    <w:p w14:paraId="0C1E33B7">
      <w:pPr>
        <w:pStyle w:val="8"/>
        <w:rPr>
          <w:rFonts w:hint="eastAsia" w:ascii="宋体" w:hAnsi="宋体" w:eastAsia="宋体" w:cs="宋体"/>
          <w:b/>
          <w:bCs/>
          <w:color w:val="auto"/>
          <w:kern w:val="0"/>
          <w:sz w:val="28"/>
          <w:szCs w:val="21"/>
          <w:highlight w:val="none"/>
          <w:lang w:val="en-US" w:eastAsia="zh-CN" w:bidi="ar"/>
        </w:rPr>
      </w:pPr>
      <w:r>
        <w:rPr>
          <w:rFonts w:hint="eastAsia" w:ascii="宋体" w:hAnsi="宋体" w:eastAsia="宋体" w:cs="宋体"/>
          <w:b/>
          <w:bCs/>
          <w:color w:val="auto"/>
          <w:kern w:val="0"/>
          <w:sz w:val="28"/>
          <w:szCs w:val="21"/>
          <w:highlight w:val="none"/>
          <w:lang w:val="en-US" w:eastAsia="zh-CN" w:bidi="ar"/>
        </w:rPr>
        <w:t xml:space="preserve">六、结算方式 </w:t>
      </w:r>
    </w:p>
    <w:p w14:paraId="2A5B8F43">
      <w:pPr>
        <w:pStyle w:val="8"/>
        <w:rPr>
          <w:rFonts w:hint="eastAsia" w:ascii="宋体" w:hAnsi="宋体" w:eastAsia="宋体" w:cs="宋体"/>
          <w:b w:val="0"/>
          <w:bCs w:val="0"/>
          <w:color w:val="auto"/>
          <w:kern w:val="0"/>
          <w:sz w:val="28"/>
          <w:szCs w:val="21"/>
          <w:highlight w:val="none"/>
          <w:lang w:val="en-US" w:eastAsia="zh-CN" w:bidi="ar"/>
        </w:rPr>
      </w:pPr>
      <w:r>
        <w:rPr>
          <w:rFonts w:hint="eastAsia" w:ascii="宋体" w:hAnsi="宋体" w:eastAsia="宋体" w:cs="宋体"/>
          <w:b w:val="0"/>
          <w:bCs w:val="0"/>
          <w:color w:val="auto"/>
          <w:kern w:val="0"/>
          <w:sz w:val="28"/>
          <w:szCs w:val="21"/>
          <w:highlight w:val="none"/>
          <w:lang w:val="en-US" w:eastAsia="zh-CN" w:bidi="ar"/>
        </w:rPr>
        <w:t>按照《云南省人力资源和社会保障厅云南省财政厅关于发布&lt;云南省2026年职业培训补贴标准目录&gt;的通知》（云人社通〔2026〕17号）《云南省人力资源和社会保障厅 云南省财政厅印发&lt;云南省关于实施大规模职业技能提升行动的十五条措施&gt;的通知》（云人社函〔2025〕33 号）执行（若服务期间发布新的文件，按新文件执行），以实际培训工种、培训补贴标准及合格人数进行结算｡</w:t>
      </w:r>
    </w:p>
    <w:p w14:paraId="5803E2FC">
      <w:pPr>
        <w:pStyle w:val="8"/>
        <w:rPr>
          <w:rFonts w:hint="eastAsia" w:ascii="宋体" w:hAnsi="宋体" w:eastAsia="宋体" w:cs="宋体"/>
          <w:b/>
          <w:bCs/>
          <w:color w:val="auto"/>
          <w:kern w:val="0"/>
          <w:sz w:val="28"/>
          <w:szCs w:val="21"/>
          <w:highlight w:val="none"/>
          <w:lang w:val="en-US" w:eastAsia="zh-CN" w:bidi="ar"/>
        </w:rPr>
      </w:pPr>
      <w:r>
        <w:rPr>
          <w:rFonts w:hint="eastAsia" w:ascii="宋体" w:hAnsi="宋体" w:eastAsia="宋体" w:cs="宋体"/>
          <w:b/>
          <w:bCs/>
          <w:color w:val="auto"/>
          <w:kern w:val="0"/>
          <w:sz w:val="28"/>
          <w:szCs w:val="21"/>
          <w:highlight w:val="none"/>
          <w:lang w:val="en-US" w:eastAsia="zh-CN" w:bidi="ar"/>
        </w:rPr>
        <w:t>七、相关要求</w:t>
      </w:r>
    </w:p>
    <w:p w14:paraId="36D27444">
      <w:pPr>
        <w:pStyle w:val="8"/>
        <w:rPr>
          <w:rFonts w:hint="eastAsia" w:ascii="宋体" w:hAnsi="宋体" w:eastAsia="宋体" w:cs="宋体"/>
          <w:b w:val="0"/>
          <w:bCs w:val="0"/>
          <w:color w:val="auto"/>
          <w:kern w:val="0"/>
          <w:sz w:val="28"/>
          <w:szCs w:val="21"/>
          <w:highlight w:val="none"/>
          <w:lang w:val="en-US" w:eastAsia="zh-CN" w:bidi="ar"/>
        </w:rPr>
      </w:pPr>
      <w:r>
        <w:rPr>
          <w:rFonts w:hint="eastAsia" w:ascii="宋体" w:hAnsi="宋体" w:eastAsia="宋体" w:cs="宋体"/>
          <w:b w:val="0"/>
          <w:bCs w:val="0"/>
          <w:color w:val="auto"/>
          <w:kern w:val="0"/>
          <w:sz w:val="28"/>
          <w:szCs w:val="21"/>
          <w:highlight w:val="none"/>
          <w:lang w:val="en-US" w:eastAsia="zh-CN" w:bidi="ar"/>
        </w:rPr>
        <w:t>培训机构有下列情形之一的，将视情况责令整改,情节严重的取消本项目培训机构资格，并扣减相应的培训补贴，涉及违法犯罪的将提请司法机关依法追究相关责任人的刑事责任。</w:t>
      </w:r>
    </w:p>
    <w:p w14:paraId="722DEE65">
      <w:pPr>
        <w:pStyle w:val="8"/>
        <w:rPr>
          <w:rFonts w:hint="eastAsia" w:ascii="宋体" w:hAnsi="宋体" w:eastAsia="宋体" w:cs="宋体"/>
          <w:b w:val="0"/>
          <w:bCs w:val="0"/>
          <w:color w:val="auto"/>
          <w:kern w:val="0"/>
          <w:sz w:val="28"/>
          <w:szCs w:val="21"/>
          <w:highlight w:val="none"/>
          <w:lang w:val="en-US" w:eastAsia="zh-CN" w:bidi="ar"/>
        </w:rPr>
      </w:pPr>
      <w:r>
        <w:rPr>
          <w:rFonts w:hint="eastAsia" w:ascii="宋体" w:hAnsi="宋体" w:eastAsia="宋体" w:cs="宋体"/>
          <w:b w:val="0"/>
          <w:bCs w:val="0"/>
          <w:color w:val="auto"/>
          <w:kern w:val="0"/>
          <w:sz w:val="28"/>
          <w:szCs w:val="21"/>
          <w:highlight w:val="none"/>
          <w:lang w:val="en-US" w:eastAsia="zh-CN" w:bidi="ar"/>
        </w:rPr>
        <w:t>1.未按培训教学计划组织培训，擅自删减培训内容、缩减培训课时的；</w:t>
      </w:r>
    </w:p>
    <w:p w14:paraId="40B76537">
      <w:pPr>
        <w:pStyle w:val="8"/>
        <w:rPr>
          <w:rFonts w:hint="eastAsia" w:ascii="宋体" w:hAnsi="宋体" w:eastAsia="宋体" w:cs="宋体"/>
          <w:b w:val="0"/>
          <w:bCs w:val="0"/>
          <w:color w:val="auto"/>
          <w:kern w:val="0"/>
          <w:sz w:val="28"/>
          <w:szCs w:val="21"/>
          <w:highlight w:val="none"/>
          <w:lang w:val="en-US" w:eastAsia="zh-CN" w:bidi="ar"/>
        </w:rPr>
      </w:pPr>
      <w:r>
        <w:rPr>
          <w:rFonts w:hint="eastAsia" w:ascii="宋体" w:hAnsi="宋体" w:eastAsia="宋体" w:cs="宋体"/>
          <w:b w:val="0"/>
          <w:bCs w:val="0"/>
          <w:color w:val="auto"/>
          <w:kern w:val="0"/>
          <w:sz w:val="28"/>
          <w:szCs w:val="21"/>
          <w:highlight w:val="none"/>
          <w:lang w:val="en-US" w:eastAsia="zh-CN" w:bidi="ar"/>
        </w:rPr>
        <w:t>2.存在培训对象身份造假，将不符合条件人员列入培训对象的；</w:t>
      </w:r>
    </w:p>
    <w:p w14:paraId="02C3CDF5">
      <w:pPr>
        <w:pStyle w:val="8"/>
        <w:rPr>
          <w:rFonts w:hint="eastAsia" w:ascii="宋体" w:hAnsi="宋体" w:eastAsia="宋体" w:cs="宋体"/>
          <w:b w:val="0"/>
          <w:bCs w:val="0"/>
          <w:color w:val="auto"/>
          <w:kern w:val="0"/>
          <w:sz w:val="28"/>
          <w:szCs w:val="21"/>
          <w:highlight w:val="none"/>
          <w:lang w:val="en-US" w:eastAsia="zh-CN" w:bidi="ar"/>
        </w:rPr>
      </w:pPr>
      <w:r>
        <w:rPr>
          <w:rFonts w:hint="eastAsia" w:ascii="宋体" w:hAnsi="宋体" w:eastAsia="宋体" w:cs="宋体"/>
          <w:b w:val="0"/>
          <w:bCs w:val="0"/>
          <w:color w:val="auto"/>
          <w:kern w:val="0"/>
          <w:sz w:val="28"/>
          <w:szCs w:val="21"/>
          <w:highlight w:val="none"/>
          <w:lang w:val="en-US" w:eastAsia="zh-CN" w:bidi="ar"/>
        </w:rPr>
        <w:t>3.培训课时、培训过程弄虚作假，组织或代替培训对象刷课，签到，骗取、套取职业技能培训补贴资金的；</w:t>
      </w:r>
    </w:p>
    <w:p w14:paraId="4EBD16EB">
      <w:pPr>
        <w:pStyle w:val="8"/>
        <w:rPr>
          <w:rFonts w:hint="eastAsia" w:ascii="宋体" w:hAnsi="宋体" w:eastAsia="宋体" w:cs="宋体"/>
          <w:b w:val="0"/>
          <w:bCs w:val="0"/>
          <w:color w:val="auto"/>
          <w:kern w:val="0"/>
          <w:sz w:val="28"/>
          <w:szCs w:val="21"/>
          <w:highlight w:val="none"/>
          <w:lang w:val="en-US" w:eastAsia="zh-CN" w:bidi="ar"/>
        </w:rPr>
      </w:pPr>
      <w:r>
        <w:rPr>
          <w:rFonts w:hint="eastAsia" w:ascii="宋体" w:hAnsi="宋体" w:eastAsia="宋体" w:cs="宋体"/>
          <w:b w:val="0"/>
          <w:bCs w:val="0"/>
          <w:color w:val="auto"/>
          <w:kern w:val="0"/>
          <w:sz w:val="28"/>
          <w:szCs w:val="21"/>
          <w:highlight w:val="none"/>
          <w:lang w:val="en-US" w:eastAsia="zh-CN" w:bidi="ar"/>
        </w:rPr>
        <w:t>4.虚报培训资料（含伪造学员名册、提供虚假劳动合同关系、伪造学员签名等）涉嫌骗取、套取培训资金的；</w:t>
      </w:r>
    </w:p>
    <w:p w14:paraId="5718ACD0">
      <w:pPr>
        <w:pStyle w:val="8"/>
        <w:rPr>
          <w:rFonts w:hint="eastAsia" w:ascii="宋体" w:hAnsi="宋体" w:eastAsia="宋体" w:cs="宋体"/>
          <w:b w:val="0"/>
          <w:bCs w:val="0"/>
          <w:color w:val="auto"/>
          <w:kern w:val="0"/>
          <w:sz w:val="28"/>
          <w:szCs w:val="21"/>
          <w:highlight w:val="none"/>
          <w:lang w:val="en-US" w:eastAsia="zh-CN" w:bidi="ar"/>
        </w:rPr>
      </w:pPr>
      <w:r>
        <w:rPr>
          <w:rFonts w:hint="eastAsia" w:ascii="宋体" w:hAnsi="宋体" w:eastAsia="宋体" w:cs="宋体"/>
          <w:b w:val="0"/>
          <w:bCs w:val="0"/>
          <w:color w:val="auto"/>
          <w:kern w:val="0"/>
          <w:sz w:val="28"/>
          <w:szCs w:val="21"/>
          <w:highlight w:val="none"/>
          <w:lang w:val="en-US" w:eastAsia="zh-CN" w:bidi="ar"/>
        </w:rPr>
        <w:t>5.将培训任务分包或转包给其他组织或个人的；</w:t>
      </w:r>
    </w:p>
    <w:p w14:paraId="4E62B04D">
      <w:pPr>
        <w:pStyle w:val="8"/>
        <w:rPr>
          <w:rFonts w:hint="eastAsia" w:ascii="宋体" w:hAnsi="宋体" w:eastAsia="宋体" w:cs="宋体"/>
          <w:b w:val="0"/>
          <w:bCs w:val="0"/>
          <w:color w:val="auto"/>
          <w:kern w:val="0"/>
          <w:sz w:val="28"/>
          <w:szCs w:val="21"/>
          <w:highlight w:val="none"/>
          <w:lang w:val="en-US" w:eastAsia="zh-CN" w:bidi="ar"/>
        </w:rPr>
      </w:pPr>
      <w:r>
        <w:rPr>
          <w:rFonts w:hint="eastAsia" w:ascii="宋体" w:hAnsi="宋体" w:eastAsia="宋体" w:cs="宋体"/>
          <w:b w:val="0"/>
          <w:bCs w:val="0"/>
          <w:color w:val="auto"/>
          <w:kern w:val="0"/>
          <w:sz w:val="28"/>
          <w:szCs w:val="21"/>
          <w:highlight w:val="none"/>
          <w:lang w:val="en-US" w:eastAsia="zh-CN" w:bidi="ar"/>
        </w:rPr>
        <w:t>6.制度不全、管理不善，学员在培训间出现违法违纪行为或发生重大安全事故的。</w:t>
      </w:r>
    </w:p>
    <w:p w14:paraId="71E00B20">
      <w:pPr>
        <w:pStyle w:val="8"/>
        <w:rPr>
          <w:rFonts w:hint="eastAsia" w:ascii="宋体" w:hAnsi="宋体" w:eastAsia="宋体" w:cs="宋体"/>
          <w:b/>
          <w:bCs/>
          <w:color w:val="auto"/>
          <w:kern w:val="0"/>
          <w:sz w:val="24"/>
          <w:highlight w:val="none"/>
          <w:lang w:val="en-US" w:eastAsia="zh-CN" w:bidi="ar"/>
        </w:rPr>
      </w:pPr>
    </w:p>
    <w:p w14:paraId="1B373B7F">
      <w:pPr>
        <w:widowControl/>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r>
      <w:r>
        <w:rPr>
          <w:rFonts w:hint="eastAsia" w:ascii="宋体" w:hAnsi="宋体" w:eastAsia="宋体" w:cs="宋体"/>
          <w:b/>
          <w:color w:val="auto"/>
          <w:sz w:val="36"/>
          <w:szCs w:val="36"/>
          <w:highlight w:val="none"/>
        </w:rPr>
        <w:t xml:space="preserve"> </w:t>
      </w:r>
    </w:p>
    <w:p w14:paraId="61D83B6F">
      <w:pPr>
        <w:spacing w:line="360" w:lineRule="auto"/>
        <w:jc w:val="center"/>
        <w:outlineLvl w:val="0"/>
        <w:rPr>
          <w:rFonts w:hint="eastAsia" w:ascii="宋体" w:hAnsi="宋体" w:eastAsia="宋体" w:cs="宋体"/>
          <w:b/>
          <w:color w:val="auto"/>
          <w:sz w:val="36"/>
          <w:szCs w:val="36"/>
          <w:highlight w:val="none"/>
        </w:rPr>
      </w:pPr>
      <w:bookmarkStart w:id="267" w:name="_Toc2399"/>
      <w:r>
        <w:rPr>
          <w:rFonts w:hint="eastAsia" w:ascii="宋体" w:hAnsi="宋体" w:eastAsia="宋体" w:cs="宋体"/>
          <w:b/>
          <w:color w:val="auto"/>
          <w:sz w:val="36"/>
          <w:szCs w:val="36"/>
          <w:highlight w:val="none"/>
        </w:rPr>
        <w:t>第六章   拟签订的合同文本</w:t>
      </w:r>
      <w:bookmarkEnd w:id="267"/>
    </w:p>
    <w:p w14:paraId="6ADC297C">
      <w:pPr>
        <w:rPr>
          <w:rFonts w:hint="eastAsia" w:ascii="宋体" w:hAnsi="宋体" w:eastAsia="宋体" w:cs="宋体"/>
          <w:color w:val="auto"/>
          <w:highlight w:val="none"/>
        </w:rPr>
      </w:pPr>
    </w:p>
    <w:tbl>
      <w:tblPr>
        <w:tblStyle w:val="25"/>
        <w:tblW w:w="0" w:type="auto"/>
        <w:jc w:val="center"/>
        <w:tblLayout w:type="fixed"/>
        <w:tblCellMar>
          <w:top w:w="0" w:type="dxa"/>
          <w:left w:w="0" w:type="dxa"/>
          <w:bottom w:w="0" w:type="dxa"/>
          <w:right w:w="0" w:type="dxa"/>
        </w:tblCellMar>
      </w:tblPr>
      <w:tblGrid>
        <w:gridCol w:w="9746"/>
      </w:tblGrid>
      <w:tr w14:paraId="3E3E4397">
        <w:tblPrEx>
          <w:tblCellMar>
            <w:top w:w="0" w:type="dxa"/>
            <w:left w:w="0" w:type="dxa"/>
            <w:bottom w:w="0" w:type="dxa"/>
            <w:right w:w="0" w:type="dxa"/>
          </w:tblCellMar>
        </w:tblPrEx>
        <w:trPr>
          <w:jc w:val="center"/>
        </w:trPr>
        <w:tc>
          <w:tcPr>
            <w:tcW w:w="9746" w:type="dxa"/>
            <w:noWrap w:val="0"/>
            <w:vAlign w:val="center"/>
          </w:tcPr>
          <w:p w14:paraId="68EC726E">
            <w:pPr>
              <w:tabs>
                <w:tab w:val="left" w:pos="1590"/>
                <w:tab w:val="left" w:pos="3409"/>
                <w:tab w:val="left" w:pos="4847"/>
                <w:tab w:val="left" w:pos="5711"/>
                <w:tab w:val="left" w:pos="7020"/>
                <w:tab w:val="left" w:pos="7891"/>
              </w:tabs>
              <w:rPr>
                <w:rFonts w:hint="eastAsia" w:ascii="宋体" w:hAnsi="宋体" w:eastAsia="宋体" w:cs="宋体"/>
                <w:color w:val="auto"/>
                <w:szCs w:val="18"/>
                <w:highlight w:val="none"/>
              </w:rPr>
            </w:pPr>
            <w:r>
              <w:rPr>
                <w:rFonts w:hint="eastAsia" w:ascii="宋体" w:hAnsi="宋体" w:eastAsia="宋体" w:cs="宋体"/>
                <w:color w:val="auto"/>
                <w:highlight w:val="none"/>
              </w:rPr>
              <w:t xml:space="preserve">合同编号：                      合同自编号： </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lang w:eastAsia="zh-CN"/>
              </w:rPr>
              <w:t>项目编号</w:t>
            </w:r>
            <w:r>
              <w:rPr>
                <w:rFonts w:hint="eastAsia" w:ascii="宋体" w:hAnsi="宋体" w:eastAsia="宋体" w:cs="宋体"/>
                <w:color w:val="auto"/>
                <w:highlight w:val="none"/>
              </w:rPr>
              <w:t>：</w:t>
            </w:r>
          </w:p>
        </w:tc>
      </w:tr>
    </w:tbl>
    <w:p w14:paraId="07FE17A9">
      <w:pPr>
        <w:spacing w:after="240"/>
        <w:rPr>
          <w:rFonts w:hint="eastAsia" w:ascii="宋体" w:hAnsi="宋体" w:eastAsia="宋体" w:cs="宋体"/>
          <w:color w:val="auto"/>
          <w:sz w:val="18"/>
          <w:szCs w:val="18"/>
          <w:highlight w:val="none"/>
        </w:rPr>
      </w:pPr>
      <w:r>
        <w:rPr>
          <w:rFonts w:hint="eastAsia" w:ascii="宋体" w:hAnsi="宋体" w:eastAsia="宋体" w:cs="宋体"/>
          <w:color w:val="auto"/>
          <w:highlight w:val="none"/>
        </w:rPr>
        <w:t>●本合同须加盖甲乙双方骑缝章有效</w:t>
      </w:r>
    </w:p>
    <w:p w14:paraId="0A083844">
      <w:pPr>
        <w:spacing w:line="360" w:lineRule="auto"/>
        <w:ind w:firstLine="690" w:firstLineChars="177"/>
        <w:jc w:val="center"/>
        <w:rPr>
          <w:rFonts w:hint="eastAsia" w:ascii="宋体" w:hAnsi="宋体" w:eastAsia="宋体" w:cs="宋体"/>
          <w:color w:val="auto"/>
          <w:sz w:val="18"/>
          <w:szCs w:val="18"/>
          <w:highlight w:val="none"/>
        </w:rPr>
      </w:pPr>
      <w:r>
        <w:rPr>
          <w:rFonts w:hint="eastAsia" w:ascii="宋体" w:hAnsi="宋体" w:eastAsia="宋体" w:cs="宋体"/>
          <w:color w:val="auto"/>
          <w:sz w:val="39"/>
          <w:szCs w:val="39"/>
          <w:highlight w:val="none"/>
        </w:rPr>
        <w:t>云南省政府采购</w:t>
      </w:r>
    </w:p>
    <w:p w14:paraId="1841929B">
      <w:pPr>
        <w:spacing w:after="240"/>
        <w:jc w:val="center"/>
        <w:rPr>
          <w:rFonts w:hint="eastAsia" w:ascii="宋体" w:hAnsi="宋体" w:eastAsia="宋体" w:cs="宋体"/>
          <w:color w:val="auto"/>
          <w:sz w:val="18"/>
          <w:szCs w:val="18"/>
          <w:highlight w:val="none"/>
        </w:rPr>
      </w:pPr>
      <w:r>
        <w:rPr>
          <w:rFonts w:hint="eastAsia" w:ascii="宋体" w:hAnsi="宋体" w:eastAsia="宋体" w:cs="宋体"/>
          <w:color w:val="auto"/>
          <w:sz w:val="33"/>
          <w:szCs w:val="33"/>
          <w:highlight w:val="none"/>
        </w:rPr>
        <w:t>（委托采购）</w:t>
      </w:r>
      <w:r>
        <w:rPr>
          <w:rFonts w:hint="eastAsia" w:ascii="宋体" w:hAnsi="宋体" w:eastAsia="宋体" w:cs="宋体"/>
          <w:color w:val="auto"/>
          <w:sz w:val="18"/>
          <w:szCs w:val="18"/>
          <w:highlight w:val="none"/>
        </w:rPr>
        <w:t xml:space="preserve"> </w:t>
      </w:r>
      <w:r>
        <w:rPr>
          <w:rFonts w:hint="eastAsia" w:ascii="宋体" w:hAnsi="宋体" w:eastAsia="宋体" w:cs="宋体"/>
          <w:color w:val="auto"/>
          <w:sz w:val="33"/>
          <w:szCs w:val="33"/>
          <w:highlight w:val="none"/>
        </w:rPr>
        <w:t>（样本）</w:t>
      </w:r>
      <w:r>
        <w:rPr>
          <w:rFonts w:hint="eastAsia" w:ascii="宋体" w:hAnsi="宋体" w:eastAsia="宋体" w:cs="宋体"/>
          <w:color w:val="auto"/>
          <w:sz w:val="33"/>
          <w:szCs w:val="33"/>
          <w:highlight w:val="none"/>
        </w:rPr>
        <w:br w:type="textWrapping"/>
      </w:r>
    </w:p>
    <w:p w14:paraId="14FCCA57">
      <w:pPr>
        <w:spacing w:after="240"/>
        <w:jc w:val="center"/>
        <w:rPr>
          <w:rFonts w:hint="eastAsia" w:ascii="宋体" w:hAnsi="宋体" w:eastAsia="宋体" w:cs="宋体"/>
          <w:color w:val="auto"/>
          <w:sz w:val="18"/>
          <w:szCs w:val="18"/>
          <w:highlight w:val="none"/>
        </w:rPr>
      </w:pPr>
    </w:p>
    <w:p w14:paraId="44DB8271">
      <w:pPr>
        <w:spacing w:after="240"/>
        <w:jc w:val="center"/>
        <w:rPr>
          <w:rFonts w:hint="eastAsia" w:ascii="宋体" w:hAnsi="宋体" w:eastAsia="宋体" w:cs="宋体"/>
          <w:color w:val="auto"/>
          <w:sz w:val="18"/>
          <w:szCs w:val="18"/>
          <w:highlight w:val="none"/>
        </w:rPr>
      </w:pPr>
      <w:r>
        <w:rPr>
          <w:rFonts w:hint="eastAsia" w:ascii="宋体" w:hAnsi="宋体" w:eastAsia="宋体" w:cs="宋体"/>
          <w:color w:val="auto"/>
          <w:sz w:val="63"/>
          <w:szCs w:val="63"/>
          <w:highlight w:val="none"/>
        </w:rPr>
        <w:t>合</w:t>
      </w:r>
      <w:r>
        <w:rPr>
          <w:rFonts w:hint="eastAsia" w:ascii="宋体" w:hAnsi="宋体" w:eastAsia="宋体" w:cs="宋体"/>
          <w:color w:val="auto"/>
          <w:sz w:val="18"/>
          <w:szCs w:val="18"/>
          <w:highlight w:val="none"/>
        </w:rPr>
        <w:t xml:space="preserve"> </w:t>
      </w:r>
    </w:p>
    <w:p w14:paraId="331A0609">
      <w:pPr>
        <w:spacing w:after="240"/>
        <w:jc w:val="center"/>
        <w:rPr>
          <w:rFonts w:hint="eastAsia" w:ascii="宋体" w:hAnsi="宋体" w:eastAsia="宋体" w:cs="宋体"/>
          <w:color w:val="auto"/>
          <w:sz w:val="18"/>
          <w:szCs w:val="18"/>
          <w:highlight w:val="none"/>
        </w:rPr>
      </w:pPr>
      <w:r>
        <w:rPr>
          <w:rFonts w:hint="eastAsia" w:ascii="宋体" w:hAnsi="宋体" w:eastAsia="宋体" w:cs="宋体"/>
          <w:color w:val="auto"/>
          <w:sz w:val="63"/>
          <w:szCs w:val="63"/>
          <w:highlight w:val="none"/>
        </w:rPr>
        <w:t>同</w:t>
      </w:r>
    </w:p>
    <w:p w14:paraId="3BDC3838">
      <w:pPr>
        <w:spacing w:after="240"/>
        <w:jc w:val="center"/>
        <w:rPr>
          <w:rFonts w:hint="eastAsia" w:ascii="宋体" w:hAnsi="宋体" w:eastAsia="宋体" w:cs="宋体"/>
          <w:color w:val="auto"/>
          <w:sz w:val="18"/>
          <w:szCs w:val="18"/>
          <w:highlight w:val="none"/>
        </w:rPr>
      </w:pPr>
      <w:r>
        <w:rPr>
          <w:rFonts w:hint="eastAsia" w:ascii="宋体" w:hAnsi="宋体" w:eastAsia="宋体" w:cs="宋体"/>
          <w:color w:val="auto"/>
          <w:sz w:val="63"/>
          <w:szCs w:val="63"/>
          <w:highlight w:val="none"/>
        </w:rPr>
        <w:t>书</w:t>
      </w:r>
      <w:r>
        <w:rPr>
          <w:rFonts w:hint="eastAsia" w:ascii="宋体" w:hAnsi="宋体" w:eastAsia="宋体" w:cs="宋体"/>
          <w:color w:val="auto"/>
          <w:sz w:val="18"/>
          <w:szCs w:val="18"/>
          <w:highlight w:val="none"/>
        </w:rPr>
        <w:t xml:space="preserve"> </w:t>
      </w:r>
    </w:p>
    <w:p w14:paraId="60EA5E34">
      <w:pPr>
        <w:spacing w:after="240"/>
        <w:jc w:val="center"/>
        <w:rPr>
          <w:rFonts w:hint="eastAsia" w:ascii="宋体" w:hAnsi="宋体" w:eastAsia="宋体" w:cs="宋体"/>
          <w:color w:val="auto"/>
          <w:sz w:val="18"/>
          <w:szCs w:val="18"/>
          <w:highlight w:val="none"/>
        </w:rPr>
      </w:pPr>
    </w:p>
    <w:p w14:paraId="5314F6A9">
      <w:pPr>
        <w:spacing w:after="240"/>
        <w:rPr>
          <w:rFonts w:hint="eastAsia" w:ascii="宋体" w:hAnsi="宋体" w:eastAsia="宋体" w:cs="宋体"/>
          <w:color w:val="auto"/>
          <w:sz w:val="18"/>
          <w:szCs w:val="18"/>
          <w:highlight w:val="none"/>
        </w:rPr>
      </w:pPr>
      <w:r>
        <w:rPr>
          <w:rFonts w:hint="eastAsia" w:ascii="宋体" w:hAnsi="宋体" w:eastAsia="宋体" w:cs="宋体"/>
          <w:b/>
          <w:bCs/>
          <w:color w:val="auto"/>
          <w:sz w:val="27"/>
          <w:szCs w:val="27"/>
          <w:highlight w:val="none"/>
        </w:rPr>
        <w:t>签订地点:</w:t>
      </w:r>
      <w:r>
        <w:rPr>
          <w:rFonts w:hint="eastAsia" w:ascii="宋体" w:hAnsi="宋体" w:eastAsia="宋体" w:cs="宋体"/>
          <w:color w:val="auto"/>
          <w:sz w:val="18"/>
          <w:szCs w:val="18"/>
          <w:highlight w:val="none"/>
        </w:rPr>
        <w:t xml:space="preserve"> </w:t>
      </w:r>
      <w:r>
        <w:rPr>
          <w:rFonts w:hint="eastAsia" w:ascii="宋体" w:hAnsi="宋体" w:eastAsia="宋体" w:cs="宋体"/>
          <w:color w:val="auto"/>
          <w:sz w:val="18"/>
          <w:szCs w:val="18"/>
          <w:highlight w:val="none"/>
        </w:rPr>
        <w:br w:type="textWrapping"/>
      </w:r>
    </w:p>
    <w:p w14:paraId="346F61CB">
      <w:pPr>
        <w:spacing w:after="240"/>
        <w:jc w:val="both"/>
        <w:rPr>
          <w:rFonts w:hint="eastAsia" w:ascii="宋体" w:hAnsi="宋体" w:eastAsia="宋体" w:cs="宋体"/>
          <w:color w:val="auto"/>
          <w:sz w:val="18"/>
          <w:szCs w:val="18"/>
          <w:highlight w:val="none"/>
        </w:rPr>
      </w:pPr>
      <w:r>
        <w:rPr>
          <w:rFonts w:hint="eastAsia" w:ascii="宋体" w:hAnsi="宋体" w:eastAsia="宋体" w:cs="宋体"/>
          <w:b/>
          <w:bCs/>
          <w:color w:val="auto"/>
          <w:sz w:val="27"/>
          <w:szCs w:val="27"/>
          <w:highlight w:val="none"/>
        </w:rPr>
        <w:t xml:space="preserve">签订日期:    年　 月　日 </w:t>
      </w:r>
      <w:r>
        <w:rPr>
          <w:rFonts w:hint="eastAsia" w:ascii="宋体" w:hAnsi="宋体" w:eastAsia="宋体" w:cs="宋体"/>
          <w:color w:val="auto"/>
          <w:sz w:val="18"/>
          <w:szCs w:val="18"/>
          <w:highlight w:val="none"/>
        </w:rPr>
        <w:br w:type="textWrapping"/>
      </w:r>
    </w:p>
    <w:p w14:paraId="43E28CA4">
      <w:pPr>
        <w:widowControl/>
        <w:spacing w:before="100" w:beforeAutospacing="1" w:after="100" w:afterAutospacing="1"/>
        <w:jc w:val="both"/>
        <w:rPr>
          <w:rFonts w:hint="eastAsia" w:ascii="宋体" w:hAnsi="宋体" w:eastAsia="宋体" w:cs="宋体"/>
          <w:b/>
          <w:bCs/>
          <w:color w:val="auto"/>
          <w:kern w:val="0"/>
          <w:sz w:val="27"/>
          <w:szCs w:val="27"/>
          <w:highlight w:val="none"/>
        </w:rPr>
      </w:pPr>
      <w:r>
        <w:rPr>
          <w:rFonts w:hint="eastAsia" w:ascii="宋体" w:hAnsi="宋体" w:eastAsia="宋体" w:cs="宋体"/>
          <w:b/>
          <w:bCs/>
          <w:color w:val="auto"/>
          <w:kern w:val="0"/>
          <w:sz w:val="27"/>
          <w:szCs w:val="27"/>
          <w:highlight w:val="none"/>
        </w:rPr>
        <w:t xml:space="preserve">云南省财政厅　制 </w:t>
      </w:r>
    </w:p>
    <w:p w14:paraId="36398652">
      <w:pPr>
        <w:keepNext w:val="0"/>
        <w:keepLines w:val="0"/>
        <w:pageBreakBefore w:val="0"/>
        <w:widowControl/>
        <w:suppressLineNumbers w:val="0"/>
        <w:kinsoku/>
        <w:wordWrap/>
        <w:overflowPunct/>
        <w:topLinePunct w:val="0"/>
        <w:autoSpaceDE/>
        <w:autoSpaceDN/>
        <w:bidi w:val="0"/>
        <w:adjustRightInd/>
        <w:snapToGrid/>
        <w:spacing w:line="540" w:lineRule="exact"/>
        <w:ind w:firstLine="482" w:firstLineChars="200"/>
        <w:jc w:val="both"/>
        <w:textAlignment w:val="auto"/>
        <w:rPr>
          <w:rFonts w:hint="eastAsia" w:ascii="宋体" w:hAnsi="宋体" w:eastAsia="宋体" w:cs="宋体"/>
          <w:color w:val="auto"/>
          <w:sz w:val="32"/>
          <w:szCs w:val="32"/>
          <w:highlight w:val="none"/>
          <w:lang w:eastAsia="zh-CN"/>
        </w:rPr>
      </w:pPr>
      <w:r>
        <w:rPr>
          <w:rFonts w:hint="eastAsia" w:ascii="宋体" w:hAnsi="宋体" w:eastAsia="宋体" w:cs="宋体"/>
          <w:b/>
          <w:color w:val="auto"/>
          <w:highlight w:val="none"/>
        </w:rPr>
        <w:br w:type="page"/>
      </w:r>
      <w:r>
        <w:rPr>
          <w:rFonts w:hint="eastAsia" w:ascii="宋体" w:hAnsi="宋体" w:eastAsia="宋体" w:cs="宋体"/>
          <w:color w:val="auto"/>
          <w:sz w:val="32"/>
          <w:szCs w:val="32"/>
          <w:highlight w:val="none"/>
          <w:lang w:eastAsia="zh-CN"/>
        </w:rPr>
        <w:t xml:space="preserve">甲方（采购人单位章）名    称： </w:t>
      </w:r>
    </w:p>
    <w:p w14:paraId="3A0F2314">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地    址： </w:t>
      </w:r>
    </w:p>
    <w:p w14:paraId="07524189">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邮    编：</w:t>
      </w:r>
    </w:p>
    <w:p w14:paraId="1FEC30D9">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法定代表人或委托代理人：</w:t>
      </w:r>
    </w:p>
    <w:p w14:paraId="4B486240">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项目（技术）负责人：</w:t>
      </w:r>
    </w:p>
    <w:p w14:paraId="31871D56">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电    话：</w:t>
      </w:r>
    </w:p>
    <w:p w14:paraId="00723E09">
      <w:pPr>
        <w:keepNext w:val="0"/>
        <w:keepLines w:val="0"/>
        <w:pageBreakBefore w:val="0"/>
        <w:widowControl/>
        <w:suppressLineNumbers w:val="0"/>
        <w:kinsoku/>
        <w:wordWrap/>
        <w:overflowPunct/>
        <w:topLinePunct w:val="0"/>
        <w:autoSpaceDE/>
        <w:autoSpaceDN/>
        <w:bidi w:val="0"/>
        <w:adjustRightInd/>
        <w:snapToGrid/>
        <w:spacing w:line="540" w:lineRule="exact"/>
        <w:ind w:left="730" w:leftChars="304" w:firstLine="0" w:firstLineChars="0"/>
        <w:jc w:val="both"/>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br w:type="textWrapping"/>
      </w:r>
      <w:r>
        <w:rPr>
          <w:rFonts w:hint="eastAsia" w:ascii="宋体" w:hAnsi="宋体" w:eastAsia="宋体" w:cs="宋体"/>
          <w:color w:val="auto"/>
          <w:sz w:val="32"/>
          <w:szCs w:val="32"/>
          <w:highlight w:val="none"/>
          <w:lang w:eastAsia="zh-CN"/>
        </w:rPr>
        <w:t xml:space="preserve">乙方（投标人单位章）名    称： </w:t>
      </w:r>
    </w:p>
    <w:p w14:paraId="22ACFFDA">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地    址：</w:t>
      </w:r>
    </w:p>
    <w:p w14:paraId="0ABC2A0A">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邮    编：</w:t>
      </w:r>
    </w:p>
    <w:p w14:paraId="2B3EDFCE">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法定代表人：</w:t>
      </w:r>
    </w:p>
    <w:p w14:paraId="269DA868">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委托代理人：            </w:t>
      </w:r>
    </w:p>
    <w:p w14:paraId="1EE5F45E">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电        话：</w:t>
      </w:r>
    </w:p>
    <w:p w14:paraId="66240D33">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开 户 银行：</w:t>
      </w:r>
    </w:p>
    <w:p w14:paraId="5856C0F2">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账    号：</w:t>
      </w:r>
      <w:r>
        <w:rPr>
          <w:rFonts w:hint="eastAsia" w:ascii="宋体" w:hAnsi="宋体" w:eastAsia="宋体" w:cs="宋体"/>
          <w:color w:val="auto"/>
          <w:sz w:val="32"/>
          <w:szCs w:val="32"/>
          <w:highlight w:val="none"/>
          <w:lang w:eastAsia="zh-CN"/>
        </w:rPr>
        <w:br w:type="textWrapping"/>
      </w:r>
    </w:p>
    <w:p w14:paraId="202455BF">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丙方（鉴证方单位章）名    称： </w:t>
      </w:r>
    </w:p>
    <w:p w14:paraId="115771C8">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地    址： </w:t>
      </w:r>
    </w:p>
    <w:p w14:paraId="5529CAD8">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邮    编： </w:t>
      </w:r>
    </w:p>
    <w:p w14:paraId="377658C1">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法定代表人：</w:t>
      </w:r>
    </w:p>
    <w:p w14:paraId="511DDABD">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或委托代理人：</w:t>
      </w:r>
    </w:p>
    <w:p w14:paraId="5A3D4F27">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经　办　人： </w:t>
      </w:r>
    </w:p>
    <w:p w14:paraId="7CAE5A7E">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电    话： </w:t>
      </w:r>
    </w:p>
    <w:p w14:paraId="3555FEE4">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开户银行： </w:t>
      </w:r>
    </w:p>
    <w:p w14:paraId="08C7D48D">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both"/>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账        号：</w:t>
      </w:r>
    </w:p>
    <w:p w14:paraId="4625BA6C">
      <w:pPr>
        <w:widowControl/>
        <w:jc w:val="center"/>
        <w:rPr>
          <w:rFonts w:hint="eastAsia" w:ascii="宋体" w:hAnsi="宋体" w:eastAsia="宋体" w:cs="宋体"/>
          <w:b/>
          <w:snapToGrid w:val="0"/>
          <w:color w:val="auto"/>
          <w:kern w:val="21"/>
          <w:sz w:val="34"/>
          <w:szCs w:val="32"/>
          <w:highlight w:val="none"/>
        </w:rPr>
      </w:pPr>
      <w:r>
        <w:rPr>
          <w:rFonts w:hint="eastAsia" w:ascii="宋体" w:hAnsi="宋体" w:eastAsia="宋体" w:cs="宋体"/>
          <w:b/>
          <w:color w:val="auto"/>
          <w:sz w:val="32"/>
          <w:szCs w:val="32"/>
          <w:highlight w:val="none"/>
        </w:rPr>
        <w:br w:type="page"/>
      </w:r>
      <w:r>
        <w:rPr>
          <w:rFonts w:hint="eastAsia" w:ascii="宋体" w:hAnsi="宋体" w:eastAsia="宋体" w:cs="宋体"/>
          <w:b/>
          <w:snapToGrid w:val="0"/>
          <w:color w:val="auto"/>
          <w:kern w:val="21"/>
          <w:sz w:val="34"/>
          <w:szCs w:val="32"/>
          <w:highlight w:val="none"/>
        </w:rPr>
        <w:t>合同书样式</w:t>
      </w:r>
      <w:r>
        <w:rPr>
          <w:rFonts w:hint="eastAsia" w:ascii="宋体" w:hAnsi="宋体" w:eastAsia="宋体" w:cs="宋体"/>
          <w:b/>
          <w:snapToGrid w:val="0"/>
          <w:color w:val="auto"/>
          <w:kern w:val="21"/>
          <w:sz w:val="22"/>
          <w:szCs w:val="21"/>
          <w:highlight w:val="none"/>
        </w:rPr>
        <w:t>（此合同仅供参考）</w:t>
      </w:r>
    </w:p>
    <w:p w14:paraId="458AACC9">
      <w:pPr>
        <w:pageBreakBefore w:val="0"/>
        <w:kinsoku/>
        <w:wordWrap/>
        <w:overflowPunct/>
        <w:topLinePunct w:val="0"/>
        <w:autoSpaceDE/>
        <w:autoSpaceDN/>
        <w:bidi w:val="0"/>
        <w:spacing w:line="540" w:lineRule="exact"/>
        <w:textAlignment w:val="auto"/>
        <w:rPr>
          <w:rFonts w:hint="eastAsia" w:ascii="宋体" w:hAnsi="宋体" w:eastAsia="宋体" w:cs="宋体"/>
          <w:snapToGrid w:val="0"/>
          <w:color w:val="auto"/>
          <w:kern w:val="21"/>
          <w:szCs w:val="21"/>
          <w:highlight w:val="none"/>
        </w:rPr>
      </w:pPr>
    </w:p>
    <w:p w14:paraId="53054429">
      <w:pPr>
        <w:keepNext w:val="0"/>
        <w:keepLines w:val="0"/>
        <w:pageBreakBefore w:val="0"/>
        <w:widowControl/>
        <w:suppressLineNumbers w:val="0"/>
        <w:kinsoku/>
        <w:wordWrap/>
        <w:overflowPunct/>
        <w:topLinePunct w:val="0"/>
        <w:autoSpaceDE/>
        <w:autoSpaceDN/>
        <w:bidi w:val="0"/>
        <w:adjustRightInd/>
        <w:snapToGrid/>
        <w:spacing w:line="540" w:lineRule="exact"/>
        <w:ind w:firstLine="560" w:firstLineChars="200"/>
        <w:jc w:val="both"/>
        <w:textAlignment w:val="auto"/>
        <w:rPr>
          <w:rFonts w:hint="eastAsia" w:ascii="宋体" w:hAnsi="宋体" w:eastAsia="宋体" w:cs="宋体"/>
          <w:color w:val="auto"/>
          <w:sz w:val="28"/>
          <w:szCs w:val="28"/>
          <w:highlight w:val="none"/>
        </w:rPr>
      </w:pPr>
      <w:bookmarkStart w:id="268" w:name="_Toc140887496"/>
      <w:bookmarkStart w:id="269" w:name="_Toc141511473"/>
      <w:bookmarkStart w:id="270" w:name="_Toc140889267"/>
      <w:bookmarkStart w:id="271" w:name="_Toc141493045"/>
      <w:bookmarkStart w:id="272" w:name="_Toc141494428"/>
      <w:bookmarkStart w:id="273" w:name="_Toc140898364"/>
      <w:bookmarkStart w:id="274" w:name="_Toc141512243"/>
      <w:bookmarkStart w:id="275" w:name="_Toc2937160"/>
      <w:bookmarkStart w:id="276" w:name="_Toc141150853"/>
      <w:bookmarkStart w:id="277" w:name="_Toc141499840"/>
      <w:r>
        <w:rPr>
          <w:rFonts w:hint="eastAsia" w:ascii="宋体" w:hAnsi="宋体" w:eastAsia="宋体" w:cs="宋体"/>
          <w:color w:val="auto"/>
          <w:spacing w:val="0"/>
          <w:sz w:val="28"/>
          <w:szCs w:val="28"/>
          <w:highlight w:val="none"/>
          <w:lang w:val="en-US" w:eastAsia="zh-CN"/>
        </w:rPr>
        <w:t>为深入贯彻落实“技能照亮前程”行动和云南省实施大规模职业技能提升行动十五条措施，按照《云南省人力资源和社会保障厅关于做好2026年度职业培训工作的通知》要求，根据《昆明市人力资源和社会保障局关于落实“技能照亮前程”实施5项职业技能提升培训专项行动方案的通知》安排，</w:t>
      </w:r>
      <w:r>
        <w:rPr>
          <w:rFonts w:hint="eastAsia" w:ascii="宋体" w:hAnsi="宋体" w:eastAsia="宋体" w:cs="宋体"/>
          <w:color w:val="auto"/>
          <w:sz w:val="28"/>
          <w:szCs w:val="28"/>
          <w:highlight w:val="none"/>
          <w:lang w:val="en-US" w:eastAsia="zh-CN"/>
        </w:rPr>
        <w:t>切实</w:t>
      </w:r>
      <w:r>
        <w:rPr>
          <w:rFonts w:hint="eastAsia" w:ascii="宋体" w:hAnsi="宋体" w:eastAsia="宋体" w:cs="宋体"/>
          <w:color w:val="auto"/>
          <w:sz w:val="28"/>
          <w:szCs w:val="28"/>
          <w:highlight w:val="none"/>
        </w:rPr>
        <w:t>做好</w:t>
      </w:r>
      <w:r>
        <w:rPr>
          <w:rFonts w:hint="eastAsia" w:ascii="宋体" w:hAnsi="宋体" w:eastAsia="宋体" w:cs="宋体"/>
          <w:color w:val="auto"/>
          <w:sz w:val="28"/>
          <w:szCs w:val="28"/>
          <w:highlight w:val="none"/>
          <w:lang w:val="en-US" w:eastAsia="zh-CN"/>
        </w:rPr>
        <w:t>2026</w:t>
      </w:r>
      <w:r>
        <w:rPr>
          <w:rFonts w:hint="eastAsia" w:ascii="宋体" w:hAnsi="宋体" w:eastAsia="宋体" w:cs="宋体"/>
          <w:color w:val="auto"/>
          <w:sz w:val="28"/>
          <w:szCs w:val="28"/>
          <w:highlight w:val="none"/>
        </w:rPr>
        <w:t>年度劳动力职业技能培训工作，经甲乙双方协商一致</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就开展</w:t>
      </w:r>
      <w:r>
        <w:rPr>
          <w:rFonts w:hint="eastAsia" w:ascii="宋体" w:hAnsi="宋体" w:eastAsia="宋体" w:cs="宋体"/>
          <w:color w:val="auto"/>
          <w:sz w:val="28"/>
          <w:szCs w:val="28"/>
          <w:highlight w:val="none"/>
          <w:lang w:val="en-US" w:eastAsia="zh-CN"/>
        </w:rPr>
        <w:t>2026</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eastAsia="zh-CN"/>
        </w:rPr>
        <w:t>劳动力</w:t>
      </w:r>
      <w:r>
        <w:rPr>
          <w:rFonts w:hint="eastAsia" w:ascii="宋体" w:hAnsi="宋体" w:eastAsia="宋体" w:cs="宋体"/>
          <w:color w:val="auto"/>
          <w:sz w:val="28"/>
          <w:szCs w:val="28"/>
          <w:highlight w:val="none"/>
        </w:rPr>
        <w:t>职业技能培训签订本合同。</w:t>
      </w:r>
    </w:p>
    <w:bookmarkEnd w:id="268"/>
    <w:bookmarkEnd w:id="269"/>
    <w:bookmarkEnd w:id="270"/>
    <w:bookmarkEnd w:id="271"/>
    <w:bookmarkEnd w:id="272"/>
    <w:bookmarkEnd w:id="273"/>
    <w:bookmarkEnd w:id="274"/>
    <w:bookmarkEnd w:id="275"/>
    <w:bookmarkEnd w:id="276"/>
    <w:bookmarkEnd w:id="277"/>
    <w:p w14:paraId="2E7322A3">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一</w:t>
      </w:r>
      <w:r>
        <w:rPr>
          <w:rFonts w:hint="eastAsia" w:ascii="宋体" w:hAnsi="宋体" w:eastAsia="宋体" w:cs="宋体"/>
          <w:color w:val="auto"/>
          <w:sz w:val="32"/>
          <w:szCs w:val="32"/>
          <w:highlight w:val="none"/>
        </w:rPr>
        <w:t>、培训时</w:t>
      </w:r>
      <w:r>
        <w:rPr>
          <w:rFonts w:hint="eastAsia" w:ascii="宋体" w:hAnsi="宋体" w:eastAsia="宋体" w:cs="宋体"/>
          <w:color w:val="auto"/>
          <w:sz w:val="32"/>
          <w:szCs w:val="32"/>
          <w:highlight w:val="none"/>
          <w:lang w:eastAsia="zh-CN"/>
        </w:rPr>
        <w:t>间</w:t>
      </w:r>
    </w:p>
    <w:p w14:paraId="3B974EF0">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自本签订合同时间起，</w:t>
      </w:r>
      <w:r>
        <w:rPr>
          <w:rFonts w:hint="eastAsia" w:ascii="宋体" w:hAnsi="宋体" w:eastAsia="宋体" w:cs="宋体"/>
          <w:color w:val="auto"/>
          <w:sz w:val="28"/>
          <w:szCs w:val="28"/>
          <w:highlight w:val="none"/>
        </w:rPr>
        <w:t>由乙方与培训项目所在镇(街道)协商确定，</w:t>
      </w:r>
      <w:r>
        <w:rPr>
          <w:rFonts w:hint="eastAsia" w:ascii="宋体" w:hAnsi="宋体" w:eastAsia="宋体" w:cs="宋体"/>
          <w:color w:val="auto"/>
          <w:sz w:val="28"/>
          <w:szCs w:val="28"/>
          <w:highlight w:val="none"/>
          <w:lang w:val="en-US" w:eastAsia="zh-CN"/>
        </w:rPr>
        <w:t>原则上</w:t>
      </w:r>
      <w:r>
        <w:rPr>
          <w:rFonts w:hint="eastAsia" w:ascii="宋体" w:hAnsi="宋体" w:eastAsia="宋体" w:cs="宋体"/>
          <w:color w:val="auto"/>
          <w:sz w:val="28"/>
          <w:szCs w:val="28"/>
          <w:highlight w:val="none"/>
        </w:rPr>
        <w:t>培训</w:t>
      </w:r>
      <w:r>
        <w:rPr>
          <w:rFonts w:hint="eastAsia" w:ascii="宋体" w:hAnsi="宋体" w:eastAsia="宋体" w:cs="宋体"/>
          <w:color w:val="auto"/>
          <w:sz w:val="28"/>
          <w:szCs w:val="28"/>
          <w:highlight w:val="none"/>
          <w:lang w:eastAsia="zh-CN"/>
        </w:rPr>
        <w:t>时间截止</w:t>
      </w:r>
      <w:r>
        <w:rPr>
          <w:rFonts w:hint="eastAsia" w:ascii="宋体" w:hAnsi="宋体" w:eastAsia="宋体" w:cs="宋体"/>
          <w:color w:val="auto"/>
          <w:sz w:val="28"/>
          <w:szCs w:val="28"/>
          <w:highlight w:val="none"/>
          <w:lang w:val="en-US" w:eastAsia="zh-CN"/>
        </w:rPr>
        <w:t>2026年12月20日（截止时间以开班时间为准）</w:t>
      </w:r>
      <w:r>
        <w:rPr>
          <w:rFonts w:hint="eastAsia" w:ascii="宋体" w:hAnsi="宋体" w:eastAsia="宋体" w:cs="宋体"/>
          <w:color w:val="auto"/>
          <w:sz w:val="28"/>
          <w:szCs w:val="28"/>
          <w:highlight w:val="none"/>
        </w:rPr>
        <w:t>。</w:t>
      </w:r>
    </w:p>
    <w:p w14:paraId="731557C2">
      <w:pPr>
        <w:keepNext w:val="0"/>
        <w:keepLines w:val="0"/>
        <w:pageBreakBefore w:val="0"/>
        <w:widowControl/>
        <w:numPr>
          <w:ilvl w:val="0"/>
          <w:numId w:val="4"/>
        </w:numPr>
        <w:kinsoku/>
        <w:wordWrap/>
        <w:overflowPunct/>
        <w:topLinePunct w:val="0"/>
        <w:autoSpaceDE/>
        <w:autoSpaceDN/>
        <w:bidi w:val="0"/>
        <w:adjustRightInd/>
        <w:snapToGrid/>
        <w:spacing w:line="540" w:lineRule="exact"/>
        <w:ind w:firstLine="640" w:firstLineChars="200"/>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培训地点</w:t>
      </w:r>
      <w:r>
        <w:rPr>
          <w:rFonts w:hint="eastAsia" w:ascii="宋体" w:hAnsi="宋体" w:eastAsia="宋体" w:cs="宋体"/>
          <w:color w:val="auto"/>
          <w:sz w:val="32"/>
          <w:szCs w:val="32"/>
          <w:highlight w:val="none"/>
          <w:lang w:eastAsia="zh-CN"/>
        </w:rPr>
        <w:t>、</w:t>
      </w:r>
      <w:r>
        <w:rPr>
          <w:rFonts w:hint="eastAsia" w:ascii="宋体" w:hAnsi="宋体" w:eastAsia="宋体" w:cs="宋体"/>
          <w:color w:val="auto"/>
          <w:sz w:val="32"/>
          <w:szCs w:val="32"/>
          <w:highlight w:val="none"/>
        </w:rPr>
        <w:t>人数</w:t>
      </w:r>
      <w:r>
        <w:rPr>
          <w:rFonts w:hint="eastAsia" w:ascii="宋体" w:hAnsi="宋体" w:eastAsia="宋体" w:cs="宋体"/>
          <w:color w:val="auto"/>
          <w:sz w:val="32"/>
          <w:szCs w:val="32"/>
          <w:highlight w:val="none"/>
          <w:lang w:eastAsia="zh-CN"/>
        </w:rPr>
        <w:t>及补贴金额</w:t>
      </w:r>
    </w:p>
    <w:p w14:paraId="67B6567B">
      <w:pPr>
        <w:pStyle w:val="6"/>
        <w:pageBreakBefore w:val="0"/>
        <w:numPr>
          <w:ilvl w:val="0"/>
          <w:numId w:val="0"/>
        </w:numPr>
        <w:kinsoku/>
        <w:wordWrap/>
        <w:overflowPunct/>
        <w:topLinePunct w:val="0"/>
        <w:autoSpaceDE/>
        <w:autoSpaceDN/>
        <w:bidi w:val="0"/>
        <w:adjustRightInd/>
        <w:snapToGrid/>
        <w:spacing w:before="0" w:after="0" w:line="540" w:lineRule="exact"/>
        <w:ind w:firstLine="560" w:firstLineChars="200"/>
        <w:textAlignment w:val="auto"/>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t>在富民县辖区内组织，巩固拓展全省 6个特色优势产业技能提升专项培训成果，实施 5项职业技能提升培训专项行动，力争实现2026年职业技能培训3000人次。分为A、B、C三个包，各负责组织完成1000人的培训任务。</w:t>
      </w:r>
    </w:p>
    <w:p w14:paraId="21E62259">
      <w:pPr>
        <w:pStyle w:val="6"/>
        <w:pageBreakBefore w:val="0"/>
        <w:numPr>
          <w:ilvl w:val="0"/>
          <w:numId w:val="0"/>
        </w:numPr>
        <w:kinsoku/>
        <w:wordWrap/>
        <w:overflowPunct/>
        <w:topLinePunct w:val="0"/>
        <w:autoSpaceDE/>
        <w:autoSpaceDN/>
        <w:bidi w:val="0"/>
        <w:adjustRightInd/>
        <w:snapToGrid/>
        <w:spacing w:before="0" w:after="0" w:line="540" w:lineRule="exact"/>
        <w:ind w:firstLine="640" w:firstLineChars="200"/>
        <w:textAlignment w:val="auto"/>
        <w:rPr>
          <w:rFonts w:hint="eastAsia" w:ascii="宋体" w:hAnsi="宋体" w:eastAsia="宋体" w:cs="宋体"/>
          <w:b w:val="0"/>
          <w:bCs/>
          <w:color w:val="auto"/>
          <w:sz w:val="32"/>
          <w:szCs w:val="32"/>
          <w:highlight w:val="none"/>
          <w:lang w:eastAsia="zh-CN"/>
        </w:rPr>
      </w:pPr>
      <w:r>
        <w:rPr>
          <w:rFonts w:hint="eastAsia" w:ascii="宋体" w:hAnsi="宋体" w:eastAsia="宋体" w:cs="宋体"/>
          <w:b w:val="0"/>
          <w:bCs/>
          <w:color w:val="auto"/>
          <w:sz w:val="32"/>
          <w:szCs w:val="32"/>
          <w:highlight w:val="none"/>
          <w:lang w:eastAsia="zh-CN"/>
        </w:rPr>
        <w:t>三、培训对象范围</w:t>
      </w:r>
    </w:p>
    <w:p w14:paraId="476571FC">
      <w:pPr>
        <w:pStyle w:val="6"/>
        <w:pageBreakBefore w:val="0"/>
        <w:numPr>
          <w:ilvl w:val="0"/>
          <w:numId w:val="0"/>
        </w:numPr>
        <w:kinsoku/>
        <w:wordWrap/>
        <w:overflowPunct/>
        <w:topLinePunct w:val="0"/>
        <w:autoSpaceDE/>
        <w:autoSpaceDN/>
        <w:bidi w:val="0"/>
        <w:adjustRightInd/>
        <w:snapToGrid/>
        <w:spacing w:before="0" w:after="0" w:line="540" w:lineRule="exact"/>
        <w:ind w:firstLine="560" w:firstLineChars="20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b w:val="0"/>
          <w:bCs/>
          <w:color w:val="auto"/>
          <w:kern w:val="0"/>
          <w:sz w:val="28"/>
          <w:szCs w:val="28"/>
          <w:highlight w:val="none"/>
          <w:lang w:val="en-US" w:eastAsia="zh-CN"/>
        </w:rPr>
        <w:t>符合条件</w:t>
      </w:r>
      <w:r>
        <w:rPr>
          <w:rFonts w:hint="eastAsia" w:ascii="宋体" w:hAnsi="宋体" w:eastAsia="宋体" w:cs="宋体"/>
          <w:b w:val="0"/>
          <w:bCs/>
          <w:color w:val="auto"/>
          <w:kern w:val="0"/>
          <w:sz w:val="28"/>
          <w:szCs w:val="28"/>
          <w:highlight w:val="none"/>
        </w:rPr>
        <w:t>的农村转移就业劳动者、高校毕业生、城镇登记失业人员、就业困难人员等重点群体和企业职工</w:t>
      </w:r>
      <w:r>
        <w:rPr>
          <w:rFonts w:hint="eastAsia" w:ascii="宋体" w:hAnsi="宋体" w:eastAsia="宋体" w:cs="宋体"/>
          <w:b w:val="0"/>
          <w:bCs/>
          <w:color w:val="auto"/>
          <w:sz w:val="28"/>
          <w:szCs w:val="28"/>
          <w:highlight w:val="none"/>
          <w:lang w:val="en-US" w:eastAsia="zh-CN" w:bidi="ar-SA"/>
        </w:rPr>
        <w:t>。</w:t>
      </w:r>
    </w:p>
    <w:p w14:paraId="7C18BC41">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四</w:t>
      </w:r>
      <w:r>
        <w:rPr>
          <w:rFonts w:hint="eastAsia" w:ascii="宋体" w:hAnsi="宋体" w:eastAsia="宋体" w:cs="宋体"/>
          <w:b w:val="0"/>
          <w:bCs w:val="0"/>
          <w:color w:val="auto"/>
          <w:sz w:val="32"/>
          <w:szCs w:val="32"/>
          <w:highlight w:val="none"/>
        </w:rPr>
        <w:t>、培训工种</w:t>
      </w:r>
      <w:r>
        <w:rPr>
          <w:rFonts w:hint="eastAsia" w:ascii="宋体" w:hAnsi="宋体" w:eastAsia="宋体" w:cs="宋体"/>
          <w:b w:val="0"/>
          <w:bCs w:val="0"/>
          <w:color w:val="auto"/>
          <w:sz w:val="32"/>
          <w:szCs w:val="32"/>
          <w:highlight w:val="none"/>
          <w:lang w:eastAsia="zh-CN"/>
        </w:rPr>
        <w:t>及</w:t>
      </w:r>
      <w:r>
        <w:rPr>
          <w:rFonts w:hint="eastAsia" w:ascii="宋体" w:hAnsi="宋体" w:eastAsia="宋体" w:cs="宋体"/>
          <w:b w:val="0"/>
          <w:bCs w:val="0"/>
          <w:color w:val="auto"/>
          <w:sz w:val="32"/>
          <w:szCs w:val="32"/>
          <w:highlight w:val="none"/>
        </w:rPr>
        <w:t>补贴标准</w:t>
      </w:r>
    </w:p>
    <w:p w14:paraId="2FF78EDC">
      <w:pPr>
        <w:keepNext w:val="0"/>
        <w:keepLines w:val="0"/>
        <w:pageBreakBefore w:val="0"/>
        <w:widowControl/>
        <w:numPr>
          <w:ilvl w:val="0"/>
          <w:numId w:val="0"/>
        </w:numPr>
        <w:kinsoku/>
        <w:wordWrap/>
        <w:overflowPunct/>
        <w:topLinePunct w:val="0"/>
        <w:autoSpaceDE/>
        <w:autoSpaceDN/>
        <w:bidi w:val="0"/>
        <w:adjustRightInd w:val="0"/>
        <w:snapToGrid w:val="0"/>
        <w:spacing w:line="54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按照按照《云南省人力资源和社会保障厅云南省财政厅关于加强职业技能培训管理规范化的通知》(云人社通〔2022〕50号）、</w:t>
      </w:r>
      <w:r>
        <w:rPr>
          <w:rFonts w:hint="eastAsia" w:ascii="宋体" w:hAnsi="宋体" w:eastAsia="宋体" w:cs="宋体"/>
          <w:b w:val="0"/>
          <w:bCs w:val="0"/>
          <w:color w:val="auto"/>
          <w:kern w:val="0"/>
          <w:sz w:val="28"/>
          <w:szCs w:val="21"/>
          <w:highlight w:val="none"/>
          <w:lang w:val="en-US" w:eastAsia="zh-CN" w:bidi="ar"/>
        </w:rPr>
        <w:t>《云南省人力资源和社会保障厅 云南省财政厅关于发布&lt;云南省2026年职业培训补贴标准目录&gt;的通知》（云人社通〔2026〕17号）</w:t>
      </w:r>
      <w:r>
        <w:rPr>
          <w:rFonts w:hint="eastAsia" w:ascii="宋体" w:hAnsi="宋体" w:eastAsia="宋体" w:cs="宋体"/>
          <w:color w:val="auto"/>
          <w:sz w:val="28"/>
          <w:szCs w:val="28"/>
          <w:highlight w:val="none"/>
          <w:lang w:val="en-US" w:eastAsia="zh-CN"/>
        </w:rPr>
        <w:t>、《云南省人力资源和社会保障厅 云南省财政厅印发&lt;云南省关于实施大规模职业技能提升行动的十五条措施&gt;的通知》（云人社函〔2025〕33 号）执行，以实际培训工种、培训补贴标准及合格人数进行结算｡（若服务期间发布新的文件，按新文件执行）｡</w:t>
      </w:r>
    </w:p>
    <w:p w14:paraId="27ACAE93">
      <w:pPr>
        <w:keepNext w:val="0"/>
        <w:keepLines w:val="0"/>
        <w:pageBreakBefore w:val="0"/>
        <w:widowControl/>
        <w:suppressLineNumbers w:val="0"/>
        <w:kinsoku/>
        <w:wordWrap/>
        <w:overflowPunct/>
        <w:topLinePunct w:val="0"/>
        <w:autoSpaceDE/>
        <w:autoSpaceDN/>
        <w:bidi w:val="0"/>
        <w:adjustRightInd/>
        <w:snapToGrid/>
        <w:spacing w:line="540" w:lineRule="exact"/>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bidi="ar"/>
        </w:rPr>
        <w:t>所需培训补贴资金从职业技能提升专账结余资金、乡村振兴衔接资金中按相关资金管理规定支出。</w:t>
      </w:r>
      <w:r>
        <w:rPr>
          <w:rFonts w:hint="eastAsia" w:ascii="宋体" w:hAnsi="宋体" w:eastAsia="宋体" w:cs="宋体"/>
          <w:color w:val="auto"/>
          <w:sz w:val="28"/>
          <w:szCs w:val="28"/>
          <w:highlight w:val="none"/>
        </w:rPr>
        <w:t>培训后分别取职业资格证、技能等级证、专项职业能力证书或培训合格证书等证书。</w:t>
      </w:r>
    </w:p>
    <w:p w14:paraId="296D9734">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五、双方职责 </w:t>
      </w:r>
    </w:p>
    <w:p w14:paraId="07F9E49F">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（一）甲方职责 </w:t>
      </w:r>
    </w:p>
    <w:p w14:paraId="464F8F3F">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1.指导配合镇（街道）社保所做好职业技能培训政策宣传和组织动员工作，加强培训项目监督管理，做好相关协调服务工作。 </w:t>
      </w:r>
    </w:p>
    <w:p w14:paraId="480E568C">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2.认真审核职业技能培训教学计划，定时不定时对培训班的教学管理、教学计划(课时)执行情况、教材发放情况、教师教案完备情况、学员身份</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学员到课率、学员考勤签到等情况进行监督检查，做好检查记录档案，同时对检查工作中发现的问题下达整改通知书。</w:t>
      </w:r>
    </w:p>
    <w:p w14:paraId="305F5A49">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负责审核职业技能培训补贴资金申报材料，并根据审核情况拨付职业技能培训补贴资金。</w:t>
      </w:r>
    </w:p>
    <w:p w14:paraId="61DAADBE">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.负责</w:t>
      </w:r>
      <w:r>
        <w:rPr>
          <w:rFonts w:hint="eastAsia" w:ascii="宋体" w:hAnsi="宋体" w:eastAsia="宋体" w:cs="宋体"/>
          <w:color w:val="auto"/>
          <w:sz w:val="28"/>
          <w:szCs w:val="28"/>
          <w:highlight w:val="none"/>
          <w:lang w:eastAsia="zh-CN"/>
        </w:rPr>
        <w:t>会同各镇（街道）社保部门，</w:t>
      </w:r>
      <w:r>
        <w:rPr>
          <w:rFonts w:hint="eastAsia" w:ascii="宋体" w:hAnsi="宋体" w:eastAsia="宋体" w:cs="宋体"/>
          <w:color w:val="auto"/>
          <w:sz w:val="28"/>
          <w:szCs w:val="28"/>
          <w:highlight w:val="none"/>
        </w:rPr>
        <w:t>对培训机构开展以实际转移就业、日常教学管理、培训教学质量、学员跟踪服务及学员满意度等为内容的培训</w:t>
      </w:r>
      <w:r>
        <w:rPr>
          <w:rFonts w:hint="eastAsia" w:ascii="宋体" w:hAnsi="宋体" w:eastAsia="宋体" w:cs="宋体"/>
          <w:color w:val="auto"/>
          <w:sz w:val="28"/>
          <w:szCs w:val="28"/>
          <w:highlight w:val="none"/>
          <w:lang w:eastAsia="zh-CN"/>
        </w:rPr>
        <w:t>评价</w:t>
      </w:r>
      <w:r>
        <w:rPr>
          <w:rFonts w:hint="eastAsia" w:ascii="宋体" w:hAnsi="宋体" w:eastAsia="宋体" w:cs="宋体"/>
          <w:color w:val="auto"/>
          <w:sz w:val="28"/>
          <w:szCs w:val="28"/>
          <w:highlight w:val="none"/>
        </w:rPr>
        <w:t>。</w:t>
      </w:r>
    </w:p>
    <w:p w14:paraId="6AAF42BD">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（二）乙方职责 </w:t>
      </w:r>
    </w:p>
    <w:p w14:paraId="013FF039">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1.组建工作组联系镇(街道）开展培训前学员组织动员及报名，做好学员报名资料收集，身份信息验证，</w:t>
      </w:r>
      <w:r>
        <w:rPr>
          <w:rFonts w:hint="eastAsia" w:ascii="宋体" w:hAnsi="宋体" w:eastAsia="宋体" w:cs="宋体"/>
          <w:color w:val="auto"/>
          <w:sz w:val="28"/>
          <w:szCs w:val="28"/>
          <w:highlight w:val="none"/>
          <w:lang w:eastAsia="zh-CN"/>
        </w:rPr>
        <w:t>审核学员是否符合培训工种资格，并负责</w:t>
      </w:r>
      <w:r>
        <w:rPr>
          <w:rFonts w:hint="eastAsia" w:ascii="宋体" w:hAnsi="宋体" w:eastAsia="宋体" w:cs="宋体"/>
          <w:color w:val="auto"/>
          <w:sz w:val="28"/>
          <w:szCs w:val="28"/>
          <w:highlight w:val="none"/>
        </w:rPr>
        <w:t>系统录入等工作。</w:t>
      </w:r>
    </w:p>
    <w:p w14:paraId="28984A63">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2.负责在全面了解参训人员情况及企业用工需求的基础上，开展“订单、定向、定岗”培训，制定切实可行的培训方案（计划），经甲方同意后按培训方案（计划）组织实施培训。</w:t>
      </w:r>
    </w:p>
    <w:p w14:paraId="56573604">
      <w:pPr>
        <w:keepNext w:val="0"/>
        <w:keepLines w:val="0"/>
        <w:pageBreakBefore w:val="0"/>
        <w:widowControl/>
        <w:kinsoku/>
        <w:wordWrap/>
        <w:overflowPunct/>
        <w:topLinePunct w:val="0"/>
        <w:autoSpaceDE/>
        <w:autoSpaceDN/>
        <w:bidi w:val="0"/>
        <w:adjustRightInd/>
        <w:snapToGrid/>
        <w:spacing w:line="540" w:lineRule="exact"/>
        <w:ind w:firstLine="64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加强职业技能培训政策宣传，并将培训机构名称、培训的工种（专业）名称、培训内容、课程表、授课教师姓名、开班及结业时间、学员花名册等内容张贴在培训场所显著位置，公布县级和培训机构监督举报电话等投诉渠道。</w:t>
      </w:r>
    </w:p>
    <w:p w14:paraId="6CFE46C2">
      <w:pPr>
        <w:keepNext w:val="0"/>
        <w:keepLines w:val="0"/>
        <w:pageBreakBefore w:val="0"/>
        <w:widowControl/>
        <w:kinsoku/>
        <w:wordWrap/>
        <w:overflowPunct/>
        <w:topLinePunct w:val="0"/>
        <w:autoSpaceDE/>
        <w:autoSpaceDN/>
        <w:bidi w:val="0"/>
        <w:adjustRightInd/>
        <w:snapToGrid/>
        <w:spacing w:line="540" w:lineRule="exact"/>
        <w:ind w:firstLine="64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4.在每期培训班开班5日前将《职业技能培训教学计划申报审批表》《课程表》《培训人员花名册》及授课教师专业技术职务资格证书复印件报</w:t>
      </w:r>
      <w:r>
        <w:rPr>
          <w:rFonts w:hint="eastAsia" w:ascii="宋体" w:hAnsi="宋体" w:eastAsia="宋体" w:cs="宋体"/>
          <w:color w:val="auto"/>
          <w:sz w:val="28"/>
          <w:szCs w:val="28"/>
          <w:highlight w:val="none"/>
          <w:lang w:eastAsia="zh-CN"/>
        </w:rPr>
        <w:t>甲方</w:t>
      </w:r>
      <w:r>
        <w:rPr>
          <w:rFonts w:hint="eastAsia" w:ascii="宋体" w:hAnsi="宋体" w:eastAsia="宋体" w:cs="宋体"/>
          <w:color w:val="auto"/>
          <w:sz w:val="28"/>
          <w:szCs w:val="28"/>
          <w:highlight w:val="none"/>
        </w:rPr>
        <w:t>审核备案。在开班3个教学日后，不得再增加学员。在教学过程中，乙方不得随意增减培训学员，修改培训内容，调整培训时间，缩短培训课时，降低培训质量。如遇特殊情况应及时报告甲方并协商处理。</w:t>
      </w:r>
    </w:p>
    <w:p w14:paraId="025CF9A8">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5</w:t>
      </w:r>
      <w:r>
        <w:rPr>
          <w:rFonts w:hint="eastAsia" w:ascii="宋体" w:hAnsi="宋体" w:eastAsia="宋体" w:cs="宋体"/>
          <w:bCs/>
          <w:color w:val="auto"/>
          <w:sz w:val="28"/>
          <w:szCs w:val="28"/>
          <w:highlight w:val="none"/>
        </w:rPr>
        <w:t>.加强班务教务管理，严格按经审批的教学计划组织开展培训，每个班次须配备1名班主任，2名授课老师开展教学工作，每名授课老师每天授课不超过4个课时，全天课时安排不超过8个课时。理论和实操授课老师不可以由同一人担任。培训机构需确保教学质量效果，做到培训班的学员到课率不低于</w:t>
      </w:r>
      <w:r>
        <w:rPr>
          <w:rFonts w:hint="eastAsia" w:ascii="宋体" w:hAnsi="宋体" w:eastAsia="宋体" w:cs="宋体"/>
          <w:bCs/>
          <w:color w:val="auto"/>
          <w:sz w:val="28"/>
          <w:szCs w:val="28"/>
          <w:highlight w:val="none"/>
          <w:lang w:val="en-US" w:eastAsia="zh-CN"/>
        </w:rPr>
        <w:t>80</w:t>
      </w:r>
      <w:r>
        <w:rPr>
          <w:rFonts w:hint="eastAsia" w:ascii="宋体" w:hAnsi="宋体" w:eastAsia="宋体" w:cs="宋体"/>
          <w:bCs/>
          <w:color w:val="auto"/>
          <w:sz w:val="28"/>
          <w:szCs w:val="28"/>
          <w:highlight w:val="none"/>
        </w:rPr>
        <w:t>%，学员的参训到课率不低于</w:t>
      </w:r>
      <w:r>
        <w:rPr>
          <w:rFonts w:hint="eastAsia" w:ascii="宋体" w:hAnsi="宋体" w:eastAsia="宋体" w:cs="宋体"/>
          <w:bCs/>
          <w:color w:val="auto"/>
          <w:sz w:val="28"/>
          <w:szCs w:val="28"/>
          <w:highlight w:val="none"/>
          <w:lang w:val="en-US" w:eastAsia="zh-CN"/>
        </w:rPr>
        <w:t>90</w:t>
      </w:r>
      <w:r>
        <w:rPr>
          <w:rFonts w:hint="eastAsia" w:ascii="宋体" w:hAnsi="宋体" w:eastAsia="宋体" w:cs="宋体"/>
          <w:bCs/>
          <w:color w:val="auto"/>
          <w:sz w:val="28"/>
          <w:szCs w:val="28"/>
          <w:highlight w:val="none"/>
        </w:rPr>
        <w:t>%。每期培训考试及格率和鉴定合格率要达到</w:t>
      </w:r>
      <w:r>
        <w:rPr>
          <w:rFonts w:hint="eastAsia" w:ascii="宋体" w:hAnsi="宋体" w:eastAsia="宋体" w:cs="宋体"/>
          <w:bCs/>
          <w:color w:val="auto"/>
          <w:sz w:val="28"/>
          <w:szCs w:val="28"/>
          <w:highlight w:val="none"/>
          <w:lang w:val="en-US" w:eastAsia="zh-CN"/>
        </w:rPr>
        <w:t>90</w:t>
      </w:r>
      <w:r>
        <w:rPr>
          <w:rFonts w:hint="eastAsia" w:ascii="宋体" w:hAnsi="宋体" w:eastAsia="宋体" w:cs="宋体"/>
          <w:bCs/>
          <w:color w:val="auto"/>
          <w:sz w:val="28"/>
          <w:szCs w:val="28"/>
          <w:highlight w:val="none"/>
        </w:rPr>
        <w:t>%以上</w:t>
      </w:r>
      <w:r>
        <w:rPr>
          <w:rFonts w:hint="eastAsia" w:ascii="宋体" w:hAnsi="宋体" w:eastAsia="宋体" w:cs="宋体"/>
          <w:bCs/>
          <w:color w:val="auto"/>
          <w:sz w:val="28"/>
          <w:szCs w:val="28"/>
          <w:highlight w:val="none"/>
          <w:lang w:eastAsia="zh-CN"/>
        </w:rPr>
        <w:t>。</w:t>
      </w:r>
      <w:r>
        <w:rPr>
          <w:rFonts w:hint="eastAsia" w:ascii="宋体" w:hAnsi="宋体" w:eastAsia="宋体" w:cs="宋体"/>
          <w:bCs/>
          <w:color w:val="auto"/>
          <w:sz w:val="28"/>
          <w:szCs w:val="28"/>
          <w:highlight w:val="none"/>
        </w:rPr>
        <w:t>要加强培训资料的管理使用，做好学员信息的保密工作，不得将学员身份证号码、手机号等信息对外发布或另作他用。</w:t>
      </w:r>
    </w:p>
    <w:p w14:paraId="197F7621">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在每期培训班结束5日前要以书面形式向甲方提交鉴定（考核）方案，委托职业技能鉴定机构或考试机构为参训人员提供公平、公正、便捷的技能鉴定和考核考评服务，并严格按照国家职业资格技能鉴定要求进行鉴定考核。对考核鉴定达到国家职业标准的，由职业技能鉴定机构颁发职业资格等级证书。</w:t>
      </w:r>
    </w:p>
    <w:p w14:paraId="0D45FD7C">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7</w:t>
      </w:r>
      <w:r>
        <w:rPr>
          <w:rFonts w:hint="eastAsia" w:ascii="宋体" w:hAnsi="宋体" w:eastAsia="宋体" w:cs="宋体"/>
          <w:color w:val="auto"/>
          <w:sz w:val="28"/>
          <w:szCs w:val="28"/>
          <w:highlight w:val="none"/>
        </w:rPr>
        <w:t>.做好云南省职业技能网络培训平台、智慧就业平台的管理使用，严格执行“凡补必进、不进不补”的规定，乙方开展的职业技能提升培训必须在云南省职业技能网络培训平台上进行申报、开班、培训、监管和学员考勤打卡管理，确保整个培训工作在平台管理下运行。</w:t>
      </w:r>
    </w:p>
    <w:p w14:paraId="3152E368">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lang w:val="en-US" w:eastAsia="zh-CN"/>
        </w:rPr>
        <w:t>8</w:t>
      </w:r>
      <w:r>
        <w:rPr>
          <w:rFonts w:hint="eastAsia" w:ascii="宋体" w:hAnsi="宋体" w:eastAsia="宋体" w:cs="宋体"/>
          <w:color w:val="auto"/>
          <w:sz w:val="28"/>
          <w:szCs w:val="28"/>
          <w:highlight w:val="none"/>
        </w:rPr>
        <w:t>.做好培训台账的收集整理工作，培训结束后及时申报培训补贴。合格证培训班次在培训或考试鉴定结束后15日内须提交培训台账申报培训补贴</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职业资格证、职业技能等级证培训班次在培训或考试鉴定结束</w:t>
      </w:r>
      <w:r>
        <w:rPr>
          <w:rFonts w:hint="eastAsia" w:ascii="宋体" w:hAnsi="宋体" w:eastAsia="宋体" w:cs="宋体"/>
          <w:color w:val="auto"/>
          <w:sz w:val="28"/>
          <w:szCs w:val="28"/>
          <w:highlight w:val="none"/>
          <w:lang w:eastAsia="zh-CN"/>
        </w:rPr>
        <w:t>并取得证书</w:t>
      </w:r>
      <w:r>
        <w:rPr>
          <w:rFonts w:hint="eastAsia" w:ascii="宋体" w:hAnsi="宋体" w:eastAsia="宋体" w:cs="宋体"/>
          <w:color w:val="auto"/>
          <w:sz w:val="28"/>
          <w:szCs w:val="28"/>
          <w:highlight w:val="none"/>
        </w:rPr>
        <w:t>后30日内必须提交培训台账申报培训补贴，经甲方审核后及时将培训补贴拨付乙方。</w:t>
      </w:r>
    </w:p>
    <w:p w14:paraId="05B33BC0">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9</w:t>
      </w:r>
      <w:r>
        <w:rPr>
          <w:rFonts w:hint="eastAsia" w:ascii="宋体" w:hAnsi="宋体" w:eastAsia="宋体" w:cs="宋体"/>
          <w:bCs/>
          <w:color w:val="auto"/>
          <w:sz w:val="28"/>
          <w:szCs w:val="28"/>
          <w:highlight w:val="none"/>
        </w:rPr>
        <w:t>.做好培训后的就业服务工作，</w:t>
      </w:r>
      <w:r>
        <w:rPr>
          <w:rFonts w:hint="eastAsia" w:ascii="宋体" w:hAnsi="宋体" w:eastAsia="宋体" w:cs="宋体"/>
          <w:bCs/>
          <w:color w:val="auto"/>
          <w:sz w:val="28"/>
          <w:szCs w:val="28"/>
          <w:highlight w:val="none"/>
          <w:lang w:eastAsia="zh-CN"/>
        </w:rPr>
        <w:t>向培训对象推荐每人不少于</w:t>
      </w:r>
      <w:r>
        <w:rPr>
          <w:rFonts w:hint="eastAsia" w:ascii="宋体" w:hAnsi="宋体" w:eastAsia="宋体" w:cs="宋体"/>
          <w:bCs/>
          <w:color w:val="auto"/>
          <w:sz w:val="28"/>
          <w:szCs w:val="28"/>
          <w:highlight w:val="none"/>
          <w:lang w:val="en-US" w:eastAsia="zh-CN"/>
        </w:rPr>
        <w:t>3个有效就业</w:t>
      </w:r>
      <w:r>
        <w:rPr>
          <w:rFonts w:hint="eastAsia" w:ascii="宋体" w:hAnsi="宋体" w:eastAsia="宋体" w:cs="宋体"/>
          <w:bCs/>
          <w:color w:val="auto"/>
          <w:sz w:val="28"/>
          <w:szCs w:val="28"/>
          <w:highlight w:val="none"/>
        </w:rPr>
        <w:t>岗位、</w:t>
      </w:r>
      <w:r>
        <w:rPr>
          <w:rFonts w:hint="eastAsia" w:ascii="宋体" w:hAnsi="宋体" w:eastAsia="宋体" w:cs="宋体"/>
          <w:bCs/>
          <w:color w:val="auto"/>
          <w:sz w:val="28"/>
          <w:szCs w:val="28"/>
          <w:highlight w:val="none"/>
          <w:lang w:eastAsia="zh-CN"/>
        </w:rPr>
        <w:t>并通过</w:t>
      </w:r>
      <w:r>
        <w:rPr>
          <w:rFonts w:hint="eastAsia" w:ascii="宋体" w:hAnsi="宋体" w:eastAsia="宋体" w:cs="宋体"/>
          <w:bCs/>
          <w:color w:val="auto"/>
          <w:sz w:val="28"/>
          <w:szCs w:val="28"/>
          <w:highlight w:val="none"/>
        </w:rPr>
        <w:t xml:space="preserve">就业回访等多形式促进培训学员就业，做到岗位推荐和跟踪服务“全履盖”。 </w:t>
      </w:r>
    </w:p>
    <w:p w14:paraId="5F4A1182">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六、违约责任 </w:t>
      </w:r>
    </w:p>
    <w:p w14:paraId="17ECAEE7">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1.在对乙方进行督导检查过程中，发现有违反相关规定行为，或不能按时完成培训任务，甲方视情节轻重，给予通报批评、限期整改、取消培训资格及上报市级相关部门等处罚，并追究相关人员的责任。 </w:t>
      </w:r>
    </w:p>
    <w:p w14:paraId="0A6D31D4">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2.本合同具有法律效力，发现骗取、套取培训补贴资金的行为，依法追究相关责任人员的法律责任。</w:t>
      </w:r>
    </w:p>
    <w:p w14:paraId="55E6F926">
      <w:pPr>
        <w:keepNext w:val="0"/>
        <w:keepLines w:val="0"/>
        <w:pageBreakBefore w:val="0"/>
        <w:widowControl/>
        <w:kinsoku/>
        <w:wordWrap/>
        <w:overflowPunct/>
        <w:topLinePunct w:val="0"/>
        <w:autoSpaceDE/>
        <w:autoSpaceDN/>
        <w:bidi w:val="0"/>
        <w:adjustRightInd/>
        <w:snapToGrid/>
        <w:spacing w:line="540" w:lineRule="exact"/>
        <w:ind w:firstLine="640" w:firstLineChars="200"/>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七、其他事项</w:t>
      </w:r>
    </w:p>
    <w:p w14:paraId="685DDD8B">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 xml:space="preserve">本合同一式两份，甲乙双方各执一份。合同由甲乙双方单位盖章和代表人签字后生效。 </w:t>
      </w:r>
    </w:p>
    <w:p w14:paraId="31C88E61">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此合同</w:t>
      </w:r>
      <w:r>
        <w:rPr>
          <w:rFonts w:hint="eastAsia" w:ascii="宋体" w:hAnsi="宋体" w:eastAsia="宋体" w:cs="宋体"/>
          <w:color w:val="auto"/>
          <w:sz w:val="28"/>
          <w:szCs w:val="28"/>
          <w:highlight w:val="none"/>
          <w:lang w:eastAsia="zh-CN"/>
        </w:rPr>
        <w:t>生</w:t>
      </w:r>
      <w:r>
        <w:rPr>
          <w:rFonts w:hint="eastAsia" w:ascii="宋体" w:hAnsi="宋体" w:eastAsia="宋体" w:cs="宋体"/>
          <w:color w:val="auto"/>
          <w:sz w:val="28"/>
          <w:szCs w:val="28"/>
          <w:highlight w:val="none"/>
        </w:rPr>
        <w:t>效期自</w:t>
      </w:r>
      <w:r>
        <w:rPr>
          <w:rFonts w:hint="eastAsia" w:ascii="宋体" w:hAnsi="宋体" w:eastAsia="宋体" w:cs="宋体"/>
          <w:color w:val="auto"/>
          <w:sz w:val="28"/>
          <w:szCs w:val="28"/>
          <w:highlight w:val="none"/>
          <w:lang w:val="en-US" w:eastAsia="zh-CN"/>
        </w:rPr>
        <w:t>2026</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auto"/>
          <w:sz w:val="28"/>
          <w:szCs w:val="28"/>
          <w:highlight w:val="none"/>
          <w:lang w:eastAsia="zh-CN"/>
        </w:rPr>
        <w:t>起，有效期</w:t>
      </w:r>
      <w:r>
        <w:rPr>
          <w:rFonts w:hint="eastAsia" w:ascii="宋体" w:hAnsi="宋体" w:eastAsia="宋体" w:cs="宋体"/>
          <w:color w:val="auto"/>
          <w:sz w:val="28"/>
          <w:szCs w:val="28"/>
          <w:highlight w:val="none"/>
        </w:rPr>
        <w:t>至</w:t>
      </w:r>
      <w:r>
        <w:rPr>
          <w:rFonts w:hint="eastAsia" w:ascii="宋体" w:hAnsi="宋体" w:eastAsia="宋体" w:cs="宋体"/>
          <w:color w:val="auto"/>
          <w:sz w:val="28"/>
          <w:szCs w:val="28"/>
          <w:highlight w:val="none"/>
          <w:lang w:val="en-US" w:eastAsia="zh-CN"/>
        </w:rPr>
        <w:t>2026</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日止。未尽事宜由甲乙双方共同协商解决。 </w:t>
      </w:r>
    </w:p>
    <w:p w14:paraId="1361A838">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合同中涉及相关文件规定以上级发布最新文件为准。</w:t>
      </w:r>
    </w:p>
    <w:p w14:paraId="5F16C371">
      <w:pPr>
        <w:pStyle w:val="6"/>
        <w:pageBreakBefore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color w:val="auto"/>
          <w:sz w:val="28"/>
          <w:szCs w:val="28"/>
          <w:highlight w:val="none"/>
        </w:rPr>
      </w:pPr>
    </w:p>
    <w:p w14:paraId="0EF03060">
      <w:pPr>
        <w:keepNext w:val="0"/>
        <w:keepLines w:val="0"/>
        <w:pageBreakBefore w:val="0"/>
        <w:widowControl/>
        <w:kinsoku/>
        <w:wordWrap/>
        <w:overflowPunct/>
        <w:topLinePunct w:val="0"/>
        <w:autoSpaceDE/>
        <w:autoSpaceDN/>
        <w:bidi w:val="0"/>
        <w:adjustRightInd/>
        <w:snapToGrid/>
        <w:spacing w:line="540" w:lineRule="exact"/>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甲方：富民县</w:t>
      </w:r>
      <w:r>
        <w:rPr>
          <w:rFonts w:hint="eastAsia" w:ascii="宋体" w:hAnsi="宋体" w:eastAsia="宋体" w:cs="宋体"/>
          <w:color w:val="auto"/>
          <w:sz w:val="28"/>
          <w:szCs w:val="28"/>
          <w:highlight w:val="none"/>
          <w:lang w:eastAsia="zh-CN"/>
        </w:rPr>
        <w:t>公共就业和人才服务中心</w:t>
      </w:r>
    </w:p>
    <w:p w14:paraId="4CC465F8">
      <w:pPr>
        <w:keepNext w:val="0"/>
        <w:keepLines w:val="0"/>
        <w:pageBreakBefore w:val="0"/>
        <w:widowControl/>
        <w:kinsoku/>
        <w:wordWrap/>
        <w:overflowPunct/>
        <w:topLinePunct w:val="0"/>
        <w:autoSpaceDE/>
        <w:autoSpaceDN/>
        <w:bidi w:val="0"/>
        <w:adjustRightInd/>
        <w:snapToGrid/>
        <w:spacing w:line="54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代表人：                     </w:t>
      </w:r>
    </w:p>
    <w:p w14:paraId="2D92DE8E">
      <w:pPr>
        <w:keepNext w:val="0"/>
        <w:keepLines w:val="0"/>
        <w:pageBreakBefore w:val="0"/>
        <w:widowControl/>
        <w:kinsoku/>
        <w:wordWrap/>
        <w:overflowPunct/>
        <w:topLinePunct w:val="0"/>
        <w:autoSpaceDE/>
        <w:autoSpaceDN/>
        <w:bidi w:val="0"/>
        <w:adjustRightInd/>
        <w:snapToGrid/>
        <w:spacing w:line="54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en-US" w:eastAsia="zh-CN"/>
        </w:rPr>
        <w:t>2026</w:t>
      </w:r>
      <w:r>
        <w:rPr>
          <w:rFonts w:hint="eastAsia" w:ascii="宋体" w:hAnsi="宋体" w:eastAsia="宋体" w:cs="宋体"/>
          <w:color w:val="auto"/>
          <w:kern w:val="0"/>
          <w:sz w:val="28"/>
          <w:szCs w:val="28"/>
          <w:highlight w:val="none"/>
        </w:rPr>
        <w:t>年</w:t>
      </w:r>
      <w:r>
        <w:rPr>
          <w:rFonts w:hint="eastAsia" w:ascii="宋体" w:hAnsi="宋体" w:eastAsia="宋体" w:cs="宋体"/>
          <w:color w:val="auto"/>
          <w:kern w:val="0"/>
          <w:sz w:val="28"/>
          <w:szCs w:val="28"/>
          <w:highlight w:val="none"/>
          <w:lang w:val="en-US" w:eastAsia="zh-CN"/>
        </w:rPr>
        <w:t xml:space="preserve"> </w:t>
      </w:r>
      <w:r>
        <w:rPr>
          <w:rFonts w:hint="eastAsia" w:ascii="宋体" w:hAnsi="宋体" w:eastAsia="宋体" w:cs="宋体"/>
          <w:color w:val="auto"/>
          <w:kern w:val="0"/>
          <w:sz w:val="28"/>
          <w:szCs w:val="28"/>
          <w:highlight w:val="none"/>
        </w:rPr>
        <w:t xml:space="preserve">月 </w:t>
      </w:r>
      <w:r>
        <w:rPr>
          <w:rFonts w:hint="eastAsia" w:ascii="宋体" w:hAnsi="宋体" w:eastAsia="宋体" w:cs="宋体"/>
          <w:color w:val="auto"/>
          <w:kern w:val="0"/>
          <w:sz w:val="28"/>
          <w:szCs w:val="28"/>
          <w:highlight w:val="none"/>
          <w:lang w:val="en-US" w:eastAsia="zh-CN"/>
        </w:rPr>
        <w:t xml:space="preserve"> </w:t>
      </w:r>
      <w:r>
        <w:rPr>
          <w:rFonts w:hint="eastAsia" w:ascii="宋体" w:hAnsi="宋体" w:eastAsia="宋体" w:cs="宋体"/>
          <w:color w:val="auto"/>
          <w:kern w:val="0"/>
          <w:sz w:val="28"/>
          <w:szCs w:val="28"/>
          <w:highlight w:val="none"/>
        </w:rPr>
        <w:t xml:space="preserve"> 日</w:t>
      </w:r>
      <w:r>
        <w:rPr>
          <w:rFonts w:hint="eastAsia" w:ascii="宋体" w:hAnsi="宋体" w:eastAsia="宋体" w:cs="宋体"/>
          <w:color w:val="auto"/>
          <w:kern w:val="0"/>
          <w:sz w:val="28"/>
          <w:szCs w:val="28"/>
          <w:highlight w:val="none"/>
          <w:lang w:val="en-US" w:eastAsia="zh-CN"/>
        </w:rPr>
        <w:t xml:space="preserve"> </w:t>
      </w:r>
    </w:p>
    <w:p w14:paraId="053E7515">
      <w:pPr>
        <w:pStyle w:val="6"/>
        <w:pageBreakBefore w:val="0"/>
        <w:kinsoku/>
        <w:wordWrap/>
        <w:overflowPunct/>
        <w:topLinePunct w:val="0"/>
        <w:autoSpaceDE/>
        <w:autoSpaceDN/>
        <w:bidi w:val="0"/>
        <w:adjustRightInd/>
        <w:snapToGrid/>
        <w:spacing w:before="0" w:after="0" w:line="540" w:lineRule="exact"/>
        <w:ind w:left="0" w:leftChars="0" w:firstLine="0" w:firstLineChars="0"/>
        <w:textAlignment w:val="auto"/>
        <w:rPr>
          <w:rFonts w:hint="eastAsia" w:ascii="宋体" w:hAnsi="宋体" w:eastAsia="宋体" w:cs="宋体"/>
          <w:color w:val="auto"/>
          <w:sz w:val="28"/>
          <w:szCs w:val="28"/>
          <w:highlight w:val="none"/>
        </w:rPr>
      </w:pPr>
    </w:p>
    <w:p w14:paraId="3555B37A">
      <w:pPr>
        <w:keepNext w:val="0"/>
        <w:keepLines w:val="0"/>
        <w:pageBreakBefore w:val="0"/>
        <w:widowControl/>
        <w:kinsoku/>
        <w:wordWrap/>
        <w:overflowPunct/>
        <w:topLinePunct w:val="0"/>
        <w:autoSpaceDE/>
        <w:autoSpaceDN/>
        <w:bidi w:val="0"/>
        <w:adjustRightInd/>
        <w:snapToGrid/>
        <w:spacing w:line="54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w:t>
      </w:r>
    </w:p>
    <w:p w14:paraId="27FA7B59">
      <w:pPr>
        <w:keepNext w:val="0"/>
        <w:keepLines w:val="0"/>
        <w:pageBreakBefore w:val="0"/>
        <w:widowControl/>
        <w:kinsoku/>
        <w:wordWrap/>
        <w:overflowPunct/>
        <w:topLinePunct w:val="0"/>
        <w:autoSpaceDE/>
        <w:autoSpaceDN/>
        <w:bidi w:val="0"/>
        <w:adjustRightInd/>
        <w:snapToGrid/>
        <w:spacing w:line="54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代表人：</w:t>
      </w:r>
    </w:p>
    <w:p w14:paraId="2F56AEEA">
      <w:pPr>
        <w:pStyle w:val="14"/>
        <w:keepNext w:val="0"/>
        <w:keepLines w:val="0"/>
        <w:pageBreakBefore w:val="0"/>
        <w:kinsoku/>
        <w:wordWrap/>
        <w:overflowPunct/>
        <w:topLinePunct w:val="0"/>
        <w:autoSpaceDE/>
        <w:autoSpaceDN/>
        <w:bidi w:val="0"/>
        <w:adjustRightInd/>
        <w:snapToGrid/>
        <w:spacing w:line="540" w:lineRule="exact"/>
        <w:textAlignment w:val="auto"/>
        <w:rPr>
          <w:rFonts w:hint="eastAsia" w:ascii="宋体" w:hAnsi="宋体" w:eastAsia="宋体" w:cs="宋体"/>
          <w:color w:val="auto"/>
          <w:kern w:val="0"/>
          <w:sz w:val="32"/>
          <w:szCs w:val="32"/>
          <w:highlight w:val="none"/>
        </w:rPr>
      </w:pPr>
      <w:r>
        <w:rPr>
          <w:rFonts w:hint="eastAsia" w:ascii="宋体" w:hAnsi="宋体" w:eastAsia="宋体" w:cs="宋体"/>
          <w:color w:val="auto"/>
          <w:kern w:val="0"/>
          <w:sz w:val="28"/>
          <w:szCs w:val="28"/>
          <w:highlight w:val="none"/>
          <w:lang w:val="en-US" w:eastAsia="zh-CN"/>
        </w:rPr>
        <w:t>2026</w:t>
      </w:r>
      <w:r>
        <w:rPr>
          <w:rFonts w:hint="eastAsia" w:ascii="宋体" w:hAnsi="宋体" w:eastAsia="宋体" w:cs="宋体"/>
          <w:color w:val="auto"/>
          <w:kern w:val="0"/>
          <w:sz w:val="28"/>
          <w:szCs w:val="28"/>
          <w:highlight w:val="none"/>
        </w:rPr>
        <w:t>年</w:t>
      </w:r>
      <w:r>
        <w:rPr>
          <w:rFonts w:hint="eastAsia" w:ascii="宋体" w:hAnsi="宋体" w:eastAsia="宋体" w:cs="宋体"/>
          <w:color w:val="auto"/>
          <w:kern w:val="0"/>
          <w:sz w:val="28"/>
          <w:szCs w:val="28"/>
          <w:highlight w:val="none"/>
          <w:lang w:val="en-US" w:eastAsia="zh-CN"/>
        </w:rPr>
        <w:t xml:space="preserve"> </w:t>
      </w:r>
      <w:r>
        <w:rPr>
          <w:rFonts w:hint="eastAsia" w:ascii="宋体" w:hAnsi="宋体" w:eastAsia="宋体" w:cs="宋体"/>
          <w:color w:val="auto"/>
          <w:kern w:val="0"/>
          <w:sz w:val="28"/>
          <w:szCs w:val="28"/>
          <w:highlight w:val="none"/>
        </w:rPr>
        <w:t xml:space="preserve">月  </w:t>
      </w:r>
      <w:r>
        <w:rPr>
          <w:rFonts w:hint="eastAsia" w:ascii="宋体" w:hAnsi="宋体" w:eastAsia="宋体" w:cs="宋体"/>
          <w:color w:val="auto"/>
          <w:kern w:val="0"/>
          <w:sz w:val="28"/>
          <w:szCs w:val="28"/>
          <w:highlight w:val="none"/>
          <w:lang w:val="en-US" w:eastAsia="zh-CN"/>
        </w:rPr>
        <w:t xml:space="preserve"> </w:t>
      </w:r>
      <w:r>
        <w:rPr>
          <w:rFonts w:hint="eastAsia" w:ascii="宋体" w:hAnsi="宋体" w:eastAsia="宋体" w:cs="宋体"/>
          <w:color w:val="auto"/>
          <w:kern w:val="0"/>
          <w:sz w:val="28"/>
          <w:szCs w:val="28"/>
          <w:highlight w:val="none"/>
        </w:rPr>
        <w:t>日</w:t>
      </w:r>
      <w:r>
        <w:rPr>
          <w:rFonts w:hint="eastAsia" w:ascii="宋体" w:hAnsi="宋体" w:eastAsia="宋体" w:cs="宋体"/>
          <w:color w:val="auto"/>
          <w:kern w:val="0"/>
          <w:sz w:val="32"/>
          <w:szCs w:val="32"/>
          <w:highlight w:val="none"/>
        </w:rPr>
        <w:br w:type="page"/>
      </w:r>
    </w:p>
    <w:p w14:paraId="17DD75EB">
      <w:pPr>
        <w:ind w:firstLine="880"/>
        <w:jc w:val="center"/>
        <w:rPr>
          <w:rFonts w:hint="eastAsia" w:ascii="宋体" w:hAnsi="宋体" w:eastAsia="宋体" w:cs="宋体"/>
          <w:color w:val="auto"/>
          <w:sz w:val="32"/>
          <w:szCs w:val="32"/>
          <w:highlight w:val="none"/>
        </w:rPr>
      </w:pPr>
      <w:r>
        <w:rPr>
          <w:rFonts w:hint="eastAsia" w:ascii="宋体" w:hAnsi="宋体" w:eastAsia="宋体" w:cs="宋体"/>
          <w:color w:val="auto"/>
          <w:sz w:val="44"/>
          <w:szCs w:val="44"/>
          <w:highlight w:val="none"/>
        </w:rPr>
        <w:t>廉政协议书</w:t>
      </w:r>
    </w:p>
    <w:p w14:paraId="5EE8435A">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甲方: </w:t>
      </w:r>
      <w:r>
        <w:rPr>
          <w:rFonts w:hint="eastAsia" w:ascii="宋体" w:hAnsi="宋体" w:eastAsia="宋体" w:cs="宋体"/>
          <w:color w:val="auto"/>
          <w:sz w:val="24"/>
          <w:szCs w:val="24"/>
          <w:highlight w:val="none"/>
          <w:lang w:val="en-US" w:eastAsia="zh-CN"/>
        </w:rPr>
        <w:t>富民县公共就业和人才服务中心</w:t>
      </w:r>
    </w:p>
    <w:p w14:paraId="029B5347">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乙方:</w:t>
      </w:r>
    </w:p>
    <w:p w14:paraId="5DECBE47">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为促进甲乙双方廉洁高效合作，促使甲乙双方工作人员廉洁从业，不断推动党风廉政建设工作，按照《合同法》和国家其他有关法律法规、廉政规定，经甲乙双方协商一致，自愿签订以下廉政合同。 </w:t>
      </w:r>
    </w:p>
    <w:p w14:paraId="3B8C2920">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第一条:甲乙双方的共同遵守条款 </w:t>
      </w:r>
    </w:p>
    <w:p w14:paraId="4324A2EB">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(一)严格遵守党和国家有关法律法规及党风廉政建设各项规定。 </w:t>
      </w:r>
    </w:p>
    <w:p w14:paraId="269D5402">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(二)严格履行《中华人民共和国反不正当竞争法》、《关于禁止商业贿赂行为的暂行规定》各项约定，杜绝违约行为的发生。 </w:t>
      </w:r>
    </w:p>
    <w:p w14:paraId="48C29C3D">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(三)双方的业务活动坚持公开、公平、公正、诚信的原则(除法律 认定的商业秘密和合同文件另有规定之外)，严禁损害国家和集体利益，违反法律法规及规章制度。 </w:t>
      </w:r>
    </w:p>
    <w:p w14:paraId="5708FA4D">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(四)建立健全党风廉政建设各项制度，开展党风廉政建设宣传教育，加强对本方工作人员的监督检查。 </w:t>
      </w:r>
    </w:p>
    <w:p w14:paraId="0B4788A6">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(五)发现对方在业务活动中有违反廉政规定和本合同约定的行为时，有及时提醒和督促对方纠正的权利和义务。 </w:t>
      </w:r>
    </w:p>
    <w:p w14:paraId="271D8BA0">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(六)发现对方在业务活动中有违反廉政规定和本合同约定的行为时，有权向对方主管部门或有关机构检举、揭发。</w:t>
      </w:r>
    </w:p>
    <w:p w14:paraId="75424BF9">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(七)经济合同变更时廉政合同内容也应做相应调整，并履行有关手续。</w:t>
      </w:r>
    </w:p>
    <w:p w14:paraId="3780656D">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第二条:甲方在廉政建设方面的义务 </w:t>
      </w:r>
    </w:p>
    <w:p w14:paraId="169D8A31">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(一)甲方及其工作人员不得干扰乙方正常的经营活动，不得以任何理由要挟乙方从事不属于乙方义务的工作。 </w:t>
      </w:r>
    </w:p>
    <w:p w14:paraId="29C51249">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(二)甲方及其工作人员不得索要或接受乙方的礼金，有价证券、支付凭证、贵重物品等财物。 </w:t>
      </w:r>
    </w:p>
    <w:p w14:paraId="629E259D">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(三)甲方及其工作人员不得在乙方报销应由甲方或个人支付的任何费用。 </w:t>
      </w:r>
    </w:p>
    <w:p w14:paraId="455EB243">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(四)甲方工作人员不得参加乙方提供的宴请、娱乐活动、高档消费; 不得要求乙方提供交通工具、通讯工具、高档办公用品等。 </w:t>
      </w:r>
    </w:p>
    <w:p w14:paraId="4E40ED4E">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(五)甲方及其工作人员不得要求或者接受乙方为其住房装修、婚丧嫁娶、配偶、子女、亲友出国(境)旅游等违反规定的相关活动提供方便。 </w:t>
      </w:r>
    </w:p>
    <w:p w14:paraId="491E69AF">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(六)甲方及其工作人员不得要求乙方为其配偶、子女及有利害关系的人员安排工作或劳务;不得违反规定从事与乙方项目有关的材料设备供应、项目分包等经济活动。 </w:t>
      </w:r>
    </w:p>
    <w:p w14:paraId="55F6D368">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第三条:乙方在廉政建设方面义务</w:t>
      </w:r>
    </w:p>
    <w:p w14:paraId="37275825">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(一)乙方不准以任何形式向甲方及其工作人员馈赠礼金、礼品、有价证券、支付凭证、贵重物品等财物。</w:t>
      </w:r>
    </w:p>
    <w:p w14:paraId="67270296">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(二)乙方不准以任何名义为甲方及其工作人员报销应由甲方或个人支付的任何费用。 </w:t>
      </w:r>
    </w:p>
    <w:p w14:paraId="2E4E93A2">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(三)乙方不准以任何理由邀请甲方工作人员参加有影响合作业务的宴请及娱乐活动;不准为其提供通讯工具、交通工具、高档办公用品等。 </w:t>
      </w:r>
    </w:p>
    <w:p w14:paraId="24DDE892">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(四)乙方不准为甲方工作人员在住房装修、婚丧嫁娶、配偶、子女、亲友出国(境)旅游提供方便;不准为甲方工作人员的配偶、子女及有利害关系的人员安排工作或劳务。 </w:t>
      </w:r>
    </w:p>
    <w:p w14:paraId="4E29244A">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(五)乙方及其工作人员不准与监管单位串通，违反有关规定和程序，损害甲方利益。 </w:t>
      </w:r>
    </w:p>
    <w:p w14:paraId="0647DE11">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(六)不得有其他违反法律法规、党纪政纪行为。 </w:t>
      </w:r>
    </w:p>
    <w:p w14:paraId="03DBA0AC">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第四条:违约责任 </w:t>
      </w:r>
    </w:p>
    <w:p w14:paraId="59713152">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(一)乙方违反本《廉政合同》规定义务的，须向甲方承担经济合同总额3%的经济违约责任。 </w:t>
      </w:r>
    </w:p>
    <w:p w14:paraId="78515994">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(二)乙方发生多次违反廉政合同约定内容，甲方有权将乙方列入黑名单，禁止3-5年内参与甲方的采购活动;给甲方造成经济损失、社会影响较大的，甲方有权终止履行合同。 </w:t>
      </w:r>
    </w:p>
    <w:p w14:paraId="2B011E5C">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(三)甲方若违反本《廉政合同》有关规定的，对违法违纪人员，由甲方主管部门依据有关规定查处，给乙方造成的损失，按有关规定予以赔偿。 </w:t>
      </w:r>
    </w:p>
    <w:p w14:paraId="298D9255">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第五条:检查方式本合同的履约情况由甲乙双方共同派员监督，检查方式为座谈、问卷 调查、查看资料或由双方约定的其他方式等。检查时间、次数、方式、检查结论等由双方协商确定。 </w:t>
      </w:r>
    </w:p>
    <w:p w14:paraId="74D744DF">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第六条:本合同有效期同供货合同期限一致。 </w:t>
      </w:r>
    </w:p>
    <w:p w14:paraId="1039858B">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第七条:本合同为供货合同附件，与主合同具有同等法律效力，甲乙双方签署后生效。 </w:t>
      </w:r>
    </w:p>
    <w:p w14:paraId="4E129566">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第八条:本合同一式</w:t>
      </w:r>
      <w:r>
        <w:rPr>
          <w:rFonts w:hint="eastAsia" w:ascii="宋体" w:hAnsi="宋体" w:eastAsia="宋体" w:cs="宋体"/>
          <w:color w:val="auto"/>
          <w:sz w:val="24"/>
          <w:szCs w:val="24"/>
          <w:highlight w:val="none"/>
          <w:lang w:val="en-US" w:eastAsia="zh-CN"/>
        </w:rPr>
        <w:t>叁</w:t>
      </w:r>
      <w:r>
        <w:rPr>
          <w:rFonts w:hint="eastAsia" w:ascii="宋体" w:hAnsi="宋体" w:eastAsia="宋体" w:cs="宋体"/>
          <w:color w:val="auto"/>
          <w:sz w:val="24"/>
          <w:szCs w:val="24"/>
          <w:highlight w:val="none"/>
        </w:rPr>
        <w:t>份，甲方壹份，乙方壹份，代理机构壹份自双方盖章、签字后生效。</w:t>
      </w:r>
    </w:p>
    <w:p w14:paraId="34337BE3">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p>
    <w:p w14:paraId="09043C74">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p>
    <w:p w14:paraId="5526CED7">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富民县公共就业和人才服务中心</w:t>
      </w:r>
      <w:r>
        <w:rPr>
          <w:rFonts w:hint="eastAsia" w:ascii="宋体" w:hAnsi="宋体" w:eastAsia="宋体" w:cs="宋体"/>
          <w:color w:val="auto"/>
          <w:sz w:val="24"/>
          <w:szCs w:val="24"/>
          <w:highlight w:val="none"/>
        </w:rPr>
        <w:t xml:space="preserve">           </w:t>
      </w:r>
    </w:p>
    <w:p w14:paraId="63FBFBE4">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法定代表人或授权代理人（签字或盖章）</w:t>
      </w:r>
      <w:r>
        <w:rPr>
          <w:rFonts w:hint="eastAsia" w:ascii="宋体" w:hAnsi="宋体" w:eastAsia="宋体" w:cs="宋体"/>
          <w:color w:val="auto"/>
          <w:sz w:val="24"/>
          <w:szCs w:val="24"/>
          <w:highlight w:val="none"/>
        </w:rPr>
        <w:t xml:space="preserve">： </w:t>
      </w:r>
    </w:p>
    <w:p w14:paraId="4F21FE56">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kern w:val="0"/>
          <w:sz w:val="24"/>
          <w:szCs w:val="24"/>
          <w:highlight w:val="none"/>
          <w:lang w:val="en-US" w:eastAsia="zh-CN"/>
        </w:rPr>
        <w:t xml:space="preserve">                               </w:t>
      </w:r>
    </w:p>
    <w:p w14:paraId="6F4BFD52">
      <w:pPr>
        <w:keepNext w:val="0"/>
        <w:keepLines w:val="0"/>
        <w:pageBreakBefore w:val="0"/>
        <w:widowControl/>
        <w:kinsoku w:val="0"/>
        <w:wordWrap/>
        <w:overflowPunct/>
        <w:topLinePunct w:val="0"/>
        <w:autoSpaceDE/>
        <w:autoSpaceDN/>
        <w:bidi w:val="0"/>
        <w:adjustRightInd w:val="0"/>
        <w:snapToGrid w:val="0"/>
        <w:spacing w:line="440" w:lineRule="exact"/>
        <w:ind w:firstLine="0" w:firstLineChars="0"/>
        <w:textAlignment w:val="baseline"/>
        <w:rPr>
          <w:rFonts w:hint="eastAsia" w:ascii="宋体" w:hAnsi="宋体" w:eastAsia="宋体" w:cs="宋体"/>
          <w:color w:val="auto"/>
          <w:sz w:val="24"/>
          <w:szCs w:val="24"/>
          <w:highlight w:val="none"/>
        </w:rPr>
      </w:pPr>
    </w:p>
    <w:p w14:paraId="23CD7616">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乙方单位</w:t>
      </w:r>
      <w:r>
        <w:rPr>
          <w:rFonts w:hint="eastAsia" w:ascii="宋体" w:hAnsi="宋体" w:eastAsia="宋体" w:cs="宋体"/>
          <w:color w:val="auto"/>
          <w:sz w:val="24"/>
          <w:szCs w:val="24"/>
          <w:highlight w:val="none"/>
        </w:rPr>
        <w:t xml:space="preserve">：           </w:t>
      </w:r>
    </w:p>
    <w:p w14:paraId="55273D66">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法定代表人或授权代理人（签字或盖章）</w:t>
      </w:r>
      <w:r>
        <w:rPr>
          <w:rFonts w:hint="eastAsia" w:ascii="宋体" w:hAnsi="宋体" w:eastAsia="宋体" w:cs="宋体"/>
          <w:color w:val="auto"/>
          <w:sz w:val="24"/>
          <w:szCs w:val="24"/>
          <w:highlight w:val="none"/>
        </w:rPr>
        <w:t xml:space="preserve">： </w:t>
      </w:r>
    </w:p>
    <w:p w14:paraId="14F48224">
      <w:pPr>
        <w:keepNext w:val="0"/>
        <w:keepLines w:val="0"/>
        <w:pageBreakBefore w:val="0"/>
        <w:widowControl w:val="0"/>
        <w:kinsoku/>
        <w:wordWrap/>
        <w:overflowPunct/>
        <w:topLinePunct w:val="0"/>
        <w:autoSpaceDE/>
        <w:autoSpaceDN/>
        <w:bidi w:val="0"/>
        <w:adjustRightInd/>
        <w:snapToGrid/>
        <w:spacing w:line="440" w:lineRule="exact"/>
        <w:ind w:firstLine="5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r>
        <w:rPr>
          <w:rFonts w:hint="eastAsia" w:ascii="宋体" w:hAnsi="宋体" w:eastAsia="宋体" w:cs="宋体"/>
          <w:color w:val="auto"/>
          <w:sz w:val="24"/>
          <w:szCs w:val="24"/>
          <w:highlight w:val="none"/>
          <w:lang w:val="en-US" w:eastAsia="zh-CN"/>
        </w:rPr>
        <w:t xml:space="preserve">  </w:t>
      </w:r>
    </w:p>
    <w:p w14:paraId="590A1E2E">
      <w:pPr>
        <w:ind w:firstLine="354" w:firstLineChars="147"/>
        <w:rPr>
          <w:rFonts w:hint="eastAsia" w:ascii="宋体" w:hAnsi="宋体" w:eastAsia="宋体" w:cs="宋体"/>
          <w:b/>
          <w:snapToGrid w:val="0"/>
          <w:color w:val="auto"/>
          <w:kern w:val="21"/>
          <w:sz w:val="24"/>
          <w:szCs w:val="24"/>
          <w:highlight w:val="none"/>
        </w:rPr>
      </w:pPr>
      <w:r>
        <w:rPr>
          <w:rFonts w:hint="eastAsia" w:ascii="宋体" w:hAnsi="宋体" w:eastAsia="宋体" w:cs="宋体"/>
          <w:b/>
          <w:snapToGrid w:val="0"/>
          <w:color w:val="auto"/>
          <w:kern w:val="21"/>
          <w:sz w:val="24"/>
          <w:szCs w:val="24"/>
          <w:highlight w:val="none"/>
        </w:rPr>
        <w:t>注：本合同为示范文本，仅供参考，最终以甲乙双方协商签订的合同为准。</w:t>
      </w:r>
    </w:p>
    <w:p w14:paraId="64FAD144">
      <w:pPr>
        <w:pStyle w:val="8"/>
        <w:ind w:left="0" w:leftChars="0" w:firstLine="0" w:firstLineChars="0"/>
        <w:rPr>
          <w:rFonts w:hint="eastAsia" w:ascii="宋体" w:hAnsi="宋体" w:eastAsia="宋体" w:cs="宋体"/>
          <w:color w:val="auto"/>
          <w:highlight w:val="none"/>
        </w:rPr>
        <w:sectPr>
          <w:pgSz w:w="11907" w:h="16840"/>
          <w:pgMar w:top="1440" w:right="1080" w:bottom="1440" w:left="1080" w:header="851" w:footer="851" w:gutter="0"/>
          <w:pgNumType w:fmt="decimal"/>
          <w:cols w:space="720" w:num="1"/>
          <w:docGrid w:linePitch="462" w:charSpace="0"/>
        </w:sectPr>
      </w:pPr>
    </w:p>
    <w:p w14:paraId="15E7046E">
      <w:pPr>
        <w:pStyle w:val="8"/>
        <w:ind w:left="0" w:leftChars="0" w:firstLine="0" w:firstLineChars="0"/>
        <w:rPr>
          <w:rFonts w:hint="eastAsia" w:ascii="宋体" w:hAnsi="宋体" w:eastAsia="宋体" w:cs="宋体"/>
          <w:color w:val="auto"/>
          <w:highlight w:val="none"/>
          <w:lang w:val="en-US" w:eastAsia="zh-CN"/>
        </w:rPr>
      </w:pPr>
    </w:p>
    <w:p w14:paraId="4B3912F3">
      <w:pPr>
        <w:spacing w:line="360" w:lineRule="auto"/>
        <w:jc w:val="center"/>
        <w:outlineLvl w:val="0"/>
        <w:rPr>
          <w:rFonts w:hint="eastAsia" w:ascii="宋体" w:hAnsi="宋体" w:eastAsia="宋体" w:cs="宋体"/>
          <w:b/>
          <w:color w:val="auto"/>
          <w:sz w:val="36"/>
          <w:szCs w:val="36"/>
          <w:highlight w:val="none"/>
        </w:rPr>
      </w:pPr>
      <w:bookmarkStart w:id="278" w:name="_Toc7257"/>
      <w:bookmarkStart w:id="332" w:name="_GoBack"/>
      <w:bookmarkEnd w:id="332"/>
      <w:r>
        <w:rPr>
          <w:rFonts w:hint="eastAsia" w:ascii="宋体" w:hAnsi="宋体" w:eastAsia="宋体" w:cs="宋体"/>
          <w:b/>
          <w:color w:val="auto"/>
          <w:sz w:val="36"/>
          <w:szCs w:val="36"/>
          <w:highlight w:val="none"/>
        </w:rPr>
        <w:t>第七章   投标文件格式</w:t>
      </w:r>
      <w:bookmarkEnd w:id="278"/>
    </w:p>
    <w:p w14:paraId="66178995">
      <w:pPr>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br w:type="page"/>
      </w:r>
    </w:p>
    <w:p w14:paraId="1BD288AA">
      <w:pPr>
        <w:keepNext w:val="0"/>
        <w:keepLines w:val="0"/>
        <w:pageBreakBefore w:val="0"/>
        <w:widowControl/>
        <w:kinsoku w:val="0"/>
        <w:wordWrap/>
        <w:overflowPunct/>
        <w:topLinePunct w:val="0"/>
        <w:autoSpaceDE/>
        <w:autoSpaceDN/>
        <w:bidi w:val="0"/>
        <w:adjustRightInd w:val="0"/>
        <w:snapToGrid w:val="0"/>
        <w:spacing w:line="240" w:lineRule="auto"/>
        <w:ind w:left="0" w:leftChars="0" w:firstLine="0" w:firstLineChars="0"/>
        <w:jc w:val="center"/>
        <w:textAlignment w:val="baseline"/>
        <w:rPr>
          <w:rFonts w:hint="eastAsia" w:ascii="宋体" w:hAnsi="宋体" w:eastAsia="宋体" w:cs="宋体"/>
          <w:b/>
          <w:bCs/>
          <w:color w:val="auto"/>
          <w:sz w:val="56"/>
          <w:szCs w:val="48"/>
          <w:highlight w:val="none"/>
          <w:lang w:eastAsia="zh-CN"/>
        </w:rPr>
      </w:pPr>
    </w:p>
    <w:p w14:paraId="53B0866A">
      <w:pPr>
        <w:pStyle w:val="9"/>
        <w:rPr>
          <w:rFonts w:hint="eastAsia" w:ascii="宋体" w:hAnsi="宋体" w:eastAsia="宋体" w:cs="宋体"/>
          <w:color w:val="auto"/>
          <w:highlight w:val="none"/>
          <w:lang w:eastAsia="zh-CN"/>
        </w:rPr>
      </w:pPr>
    </w:p>
    <w:p w14:paraId="165FA9B4">
      <w:pPr>
        <w:keepNext w:val="0"/>
        <w:keepLines w:val="0"/>
        <w:pageBreakBefore w:val="0"/>
        <w:widowControl/>
        <w:kinsoku w:val="0"/>
        <w:wordWrap/>
        <w:overflowPunct/>
        <w:topLinePunct w:val="0"/>
        <w:autoSpaceDE/>
        <w:autoSpaceDN/>
        <w:bidi w:val="0"/>
        <w:adjustRightInd w:val="0"/>
        <w:snapToGrid w:val="0"/>
        <w:spacing w:line="240" w:lineRule="auto"/>
        <w:ind w:left="0" w:leftChars="0" w:firstLine="0" w:firstLineChars="0"/>
        <w:jc w:val="center"/>
        <w:textAlignment w:val="baseline"/>
        <w:rPr>
          <w:rFonts w:hint="eastAsia" w:ascii="宋体" w:hAnsi="宋体" w:eastAsia="宋体" w:cs="宋体"/>
          <w:b/>
          <w:bCs/>
          <w:color w:val="auto"/>
          <w:sz w:val="56"/>
          <w:szCs w:val="48"/>
          <w:highlight w:val="none"/>
          <w:lang w:eastAsia="zh-CN"/>
        </w:rPr>
      </w:pPr>
      <w:r>
        <w:rPr>
          <w:rFonts w:hint="eastAsia" w:ascii="宋体" w:hAnsi="宋体" w:eastAsia="宋体" w:cs="宋体"/>
          <w:b/>
          <w:bCs/>
          <w:color w:val="auto"/>
          <w:sz w:val="56"/>
          <w:szCs w:val="48"/>
          <w:highlight w:val="none"/>
          <w:lang w:eastAsia="zh-CN"/>
        </w:rPr>
        <w:t>富民县202</w:t>
      </w:r>
      <w:r>
        <w:rPr>
          <w:rFonts w:hint="eastAsia" w:ascii="宋体" w:hAnsi="宋体" w:eastAsia="宋体" w:cs="宋体"/>
          <w:b/>
          <w:bCs/>
          <w:color w:val="auto"/>
          <w:sz w:val="56"/>
          <w:szCs w:val="48"/>
          <w:highlight w:val="none"/>
          <w:lang w:val="en-US" w:eastAsia="zh-CN"/>
        </w:rPr>
        <w:t>6</w:t>
      </w:r>
      <w:r>
        <w:rPr>
          <w:rFonts w:hint="eastAsia" w:ascii="宋体" w:hAnsi="宋体" w:eastAsia="宋体" w:cs="宋体"/>
          <w:b/>
          <w:bCs/>
          <w:color w:val="auto"/>
          <w:sz w:val="56"/>
          <w:szCs w:val="48"/>
          <w:highlight w:val="none"/>
          <w:lang w:eastAsia="zh-CN"/>
        </w:rPr>
        <w:t>年职业技能</w:t>
      </w:r>
      <w:r>
        <w:rPr>
          <w:rFonts w:hint="eastAsia" w:ascii="宋体" w:hAnsi="宋体" w:eastAsia="宋体" w:cs="宋体"/>
          <w:b/>
          <w:bCs/>
          <w:color w:val="auto"/>
          <w:sz w:val="56"/>
          <w:szCs w:val="48"/>
          <w:highlight w:val="none"/>
          <w:lang w:val="en-US" w:eastAsia="zh-CN"/>
        </w:rPr>
        <w:t>提升</w:t>
      </w:r>
      <w:r>
        <w:rPr>
          <w:rFonts w:hint="eastAsia" w:ascii="宋体" w:hAnsi="宋体" w:eastAsia="宋体" w:cs="宋体"/>
          <w:b/>
          <w:bCs/>
          <w:color w:val="auto"/>
          <w:sz w:val="56"/>
          <w:szCs w:val="48"/>
          <w:highlight w:val="none"/>
          <w:lang w:eastAsia="zh-CN"/>
        </w:rPr>
        <w:t>培训项目</w:t>
      </w:r>
    </w:p>
    <w:p w14:paraId="504DDE2C">
      <w:pPr>
        <w:pStyle w:val="31"/>
        <w:keepNext w:val="0"/>
        <w:keepLines w:val="0"/>
        <w:pageBreakBefore w:val="0"/>
        <w:widowControl/>
        <w:kinsoku w:val="0"/>
        <w:wordWrap/>
        <w:overflowPunct/>
        <w:topLinePunct w:val="0"/>
        <w:autoSpaceDE/>
        <w:autoSpaceDN/>
        <w:bidi w:val="0"/>
        <w:adjustRightInd w:val="0"/>
        <w:snapToGrid w:val="0"/>
        <w:spacing w:line="240" w:lineRule="auto"/>
        <w:jc w:val="center"/>
        <w:textAlignment w:val="baseline"/>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eastAsia="zh-CN"/>
        </w:rPr>
        <w:t>（</w:t>
      </w:r>
      <w:r>
        <w:rPr>
          <w:rFonts w:hint="eastAsia" w:ascii="宋体" w:hAnsi="宋体" w:eastAsia="宋体" w:cs="宋体"/>
          <w:b/>
          <w:color w:val="auto"/>
          <w:spacing w:val="20"/>
          <w:sz w:val="32"/>
          <w:szCs w:val="32"/>
          <w:highlight w:val="none"/>
          <w:lang w:val="en-US" w:eastAsia="zh-CN"/>
        </w:rPr>
        <w:t>标段号</w:t>
      </w:r>
      <w:r>
        <w:rPr>
          <w:rFonts w:hint="eastAsia" w:ascii="宋体" w:hAnsi="宋体" w:eastAsia="宋体" w:cs="宋体"/>
          <w:b/>
          <w:color w:val="auto"/>
          <w:spacing w:val="20"/>
          <w:sz w:val="32"/>
          <w:szCs w:val="32"/>
          <w:highlight w:val="none"/>
        </w:rPr>
        <w:t>：</w:t>
      </w:r>
      <w:r>
        <w:rPr>
          <w:rFonts w:hint="eastAsia" w:ascii="宋体" w:hAnsi="宋体" w:eastAsia="宋体" w:cs="宋体"/>
          <w:b/>
          <w:color w:val="auto"/>
          <w:spacing w:val="20"/>
          <w:sz w:val="32"/>
          <w:szCs w:val="32"/>
          <w:highlight w:val="none"/>
          <w:lang w:val="en-US" w:eastAsia="zh-CN"/>
        </w:rPr>
        <w:t xml:space="preserve"> </w:t>
      </w:r>
      <w:r>
        <w:rPr>
          <w:rFonts w:hint="eastAsia" w:ascii="宋体" w:hAnsi="宋体" w:eastAsia="宋体" w:cs="宋体"/>
          <w:b/>
          <w:bCs/>
          <w:color w:val="auto"/>
          <w:sz w:val="28"/>
          <w:szCs w:val="28"/>
          <w:highlight w:val="none"/>
          <w:lang w:eastAsia="zh-CN"/>
        </w:rPr>
        <w:t>）</w:t>
      </w:r>
    </w:p>
    <w:p w14:paraId="133A8DB7">
      <w:pPr>
        <w:keepNext w:val="0"/>
        <w:keepLines w:val="0"/>
        <w:pageBreakBefore w:val="0"/>
        <w:widowControl/>
        <w:kinsoku w:val="0"/>
        <w:wordWrap/>
        <w:overflowPunct/>
        <w:topLinePunct w:val="0"/>
        <w:autoSpaceDE/>
        <w:autoSpaceDN/>
        <w:bidi w:val="0"/>
        <w:adjustRightInd w:val="0"/>
        <w:snapToGrid w:val="0"/>
        <w:spacing w:line="240" w:lineRule="auto"/>
        <w:ind w:left="0" w:leftChars="0" w:firstLine="0" w:firstLineChars="0"/>
        <w:jc w:val="center"/>
        <w:textAlignment w:val="baseline"/>
        <w:rPr>
          <w:rFonts w:hint="eastAsia" w:ascii="宋体" w:hAnsi="宋体" w:eastAsia="宋体" w:cs="宋体"/>
          <w:b/>
          <w:color w:val="auto"/>
          <w:spacing w:val="60"/>
          <w:sz w:val="84"/>
          <w:szCs w:val="84"/>
          <w:highlight w:val="none"/>
        </w:rPr>
      </w:pPr>
    </w:p>
    <w:p w14:paraId="18288854">
      <w:pPr>
        <w:keepNext w:val="0"/>
        <w:keepLines w:val="0"/>
        <w:pageBreakBefore w:val="0"/>
        <w:widowControl/>
        <w:kinsoku w:val="0"/>
        <w:wordWrap/>
        <w:overflowPunct/>
        <w:topLinePunct w:val="0"/>
        <w:autoSpaceDE/>
        <w:autoSpaceDN/>
        <w:bidi w:val="0"/>
        <w:adjustRightInd w:val="0"/>
        <w:snapToGrid w:val="0"/>
        <w:spacing w:line="240" w:lineRule="auto"/>
        <w:ind w:left="0" w:leftChars="0" w:firstLine="0" w:firstLineChars="0"/>
        <w:jc w:val="center"/>
        <w:textAlignment w:val="baseline"/>
        <w:rPr>
          <w:rFonts w:hint="eastAsia" w:ascii="宋体" w:hAnsi="宋体" w:eastAsia="宋体" w:cs="宋体"/>
          <w:b/>
          <w:color w:val="auto"/>
          <w:spacing w:val="60"/>
          <w:sz w:val="84"/>
          <w:szCs w:val="84"/>
          <w:highlight w:val="none"/>
        </w:rPr>
      </w:pPr>
    </w:p>
    <w:p w14:paraId="6E514035">
      <w:pPr>
        <w:keepNext w:val="0"/>
        <w:keepLines w:val="0"/>
        <w:pageBreakBefore w:val="0"/>
        <w:widowControl/>
        <w:kinsoku w:val="0"/>
        <w:wordWrap/>
        <w:overflowPunct/>
        <w:topLinePunct w:val="0"/>
        <w:autoSpaceDE/>
        <w:autoSpaceDN/>
        <w:bidi w:val="0"/>
        <w:adjustRightInd w:val="0"/>
        <w:snapToGrid w:val="0"/>
        <w:spacing w:line="240" w:lineRule="auto"/>
        <w:ind w:left="0" w:leftChars="0" w:firstLine="0" w:firstLineChars="0"/>
        <w:jc w:val="center"/>
        <w:textAlignment w:val="baseline"/>
        <w:rPr>
          <w:rFonts w:hint="eastAsia" w:ascii="宋体" w:hAnsi="宋体" w:eastAsia="宋体" w:cs="宋体"/>
          <w:b/>
          <w:color w:val="auto"/>
          <w:spacing w:val="60"/>
          <w:sz w:val="84"/>
          <w:szCs w:val="84"/>
          <w:highlight w:val="none"/>
        </w:rPr>
      </w:pPr>
    </w:p>
    <w:p w14:paraId="71BA58B4">
      <w:pPr>
        <w:keepNext w:val="0"/>
        <w:keepLines w:val="0"/>
        <w:pageBreakBefore w:val="0"/>
        <w:widowControl/>
        <w:kinsoku w:val="0"/>
        <w:wordWrap/>
        <w:overflowPunct/>
        <w:topLinePunct w:val="0"/>
        <w:autoSpaceDE/>
        <w:autoSpaceDN/>
        <w:bidi w:val="0"/>
        <w:adjustRightInd w:val="0"/>
        <w:snapToGrid w:val="0"/>
        <w:spacing w:line="240" w:lineRule="auto"/>
        <w:ind w:left="0" w:leftChars="0" w:firstLine="0" w:firstLineChars="0"/>
        <w:jc w:val="center"/>
        <w:textAlignment w:val="baseline"/>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t>投 标 文 件</w:t>
      </w:r>
    </w:p>
    <w:p w14:paraId="211CF54A">
      <w:pPr>
        <w:keepNext w:val="0"/>
        <w:keepLines w:val="0"/>
        <w:pageBreakBefore w:val="0"/>
        <w:widowControl/>
        <w:kinsoku w:val="0"/>
        <w:wordWrap/>
        <w:overflowPunct/>
        <w:topLinePunct w:val="0"/>
        <w:autoSpaceDE/>
        <w:autoSpaceDN/>
        <w:bidi w:val="0"/>
        <w:adjustRightInd w:val="0"/>
        <w:snapToGrid w:val="0"/>
        <w:spacing w:line="240" w:lineRule="auto"/>
        <w:ind w:left="0" w:leftChars="0" w:firstLine="0" w:firstLineChars="0"/>
        <w:jc w:val="center"/>
        <w:textAlignment w:val="baseline"/>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lang w:eastAsia="zh-CN"/>
        </w:rPr>
        <w:t>（</w:t>
      </w:r>
      <w:r>
        <w:rPr>
          <w:rFonts w:hint="eastAsia" w:ascii="宋体" w:hAnsi="宋体" w:eastAsia="宋体" w:cs="宋体"/>
          <w:b/>
          <w:bCs/>
          <w:color w:val="auto"/>
          <w:sz w:val="28"/>
          <w:szCs w:val="28"/>
          <w:highlight w:val="none"/>
          <w:lang w:val="en-US" w:eastAsia="zh-CN"/>
        </w:rPr>
        <w:t xml:space="preserve">项目编号：   </w:t>
      </w:r>
      <w:r>
        <w:rPr>
          <w:rFonts w:hint="eastAsia" w:ascii="宋体" w:hAnsi="宋体" w:eastAsia="宋体" w:cs="宋体"/>
          <w:b/>
          <w:color w:val="auto"/>
          <w:spacing w:val="20"/>
          <w:sz w:val="32"/>
          <w:szCs w:val="32"/>
          <w:highlight w:val="none"/>
          <w:lang w:eastAsia="zh-CN"/>
        </w:rPr>
        <w:t>）</w:t>
      </w:r>
    </w:p>
    <w:p w14:paraId="3082AC4D">
      <w:pPr>
        <w:keepNext w:val="0"/>
        <w:keepLines w:val="0"/>
        <w:pageBreakBefore w:val="0"/>
        <w:widowControl/>
        <w:kinsoku w:val="0"/>
        <w:wordWrap/>
        <w:overflowPunct/>
        <w:topLinePunct w:val="0"/>
        <w:autoSpaceDE/>
        <w:autoSpaceDN/>
        <w:bidi w:val="0"/>
        <w:adjustRightInd w:val="0"/>
        <w:snapToGrid w:val="0"/>
        <w:spacing w:line="240" w:lineRule="auto"/>
        <w:ind w:firstLine="542" w:firstLineChars="150"/>
        <w:jc w:val="center"/>
        <w:textAlignment w:val="baseline"/>
        <w:rPr>
          <w:rFonts w:hint="eastAsia" w:ascii="宋体" w:hAnsi="宋体" w:eastAsia="宋体" w:cs="宋体"/>
          <w:b/>
          <w:color w:val="auto"/>
          <w:spacing w:val="20"/>
          <w:sz w:val="32"/>
          <w:szCs w:val="32"/>
          <w:highlight w:val="none"/>
        </w:rPr>
      </w:pPr>
    </w:p>
    <w:p w14:paraId="5512CE1D">
      <w:pPr>
        <w:keepNext w:val="0"/>
        <w:keepLines w:val="0"/>
        <w:pageBreakBefore w:val="0"/>
        <w:widowControl/>
        <w:kinsoku w:val="0"/>
        <w:wordWrap/>
        <w:overflowPunct/>
        <w:topLinePunct w:val="0"/>
        <w:autoSpaceDE/>
        <w:autoSpaceDN/>
        <w:bidi w:val="0"/>
        <w:adjustRightInd w:val="0"/>
        <w:snapToGrid w:val="0"/>
        <w:spacing w:line="240" w:lineRule="auto"/>
        <w:ind w:firstLine="542" w:firstLineChars="150"/>
        <w:jc w:val="center"/>
        <w:textAlignment w:val="baseline"/>
        <w:rPr>
          <w:rFonts w:hint="eastAsia" w:ascii="宋体" w:hAnsi="宋体" w:eastAsia="宋体" w:cs="宋体"/>
          <w:b/>
          <w:color w:val="auto"/>
          <w:spacing w:val="20"/>
          <w:sz w:val="32"/>
          <w:szCs w:val="32"/>
          <w:highlight w:val="none"/>
        </w:rPr>
      </w:pPr>
    </w:p>
    <w:p w14:paraId="580A8C60">
      <w:pPr>
        <w:keepNext w:val="0"/>
        <w:keepLines w:val="0"/>
        <w:pageBreakBefore w:val="0"/>
        <w:widowControl/>
        <w:kinsoku w:val="0"/>
        <w:wordWrap/>
        <w:overflowPunct/>
        <w:topLinePunct w:val="0"/>
        <w:autoSpaceDE/>
        <w:autoSpaceDN/>
        <w:bidi w:val="0"/>
        <w:adjustRightInd w:val="0"/>
        <w:snapToGrid w:val="0"/>
        <w:spacing w:line="240" w:lineRule="auto"/>
        <w:jc w:val="center"/>
        <w:textAlignment w:val="baseline"/>
        <w:rPr>
          <w:rFonts w:hint="eastAsia" w:ascii="宋体" w:hAnsi="宋体" w:eastAsia="宋体" w:cs="宋体"/>
          <w:b/>
          <w:color w:val="auto"/>
          <w:sz w:val="32"/>
          <w:szCs w:val="32"/>
          <w:highlight w:val="none"/>
        </w:rPr>
      </w:pPr>
    </w:p>
    <w:p w14:paraId="63107AE5">
      <w:pPr>
        <w:keepNext w:val="0"/>
        <w:keepLines w:val="0"/>
        <w:pageBreakBefore w:val="0"/>
        <w:widowControl/>
        <w:kinsoku w:val="0"/>
        <w:wordWrap/>
        <w:overflowPunct/>
        <w:topLinePunct w:val="0"/>
        <w:autoSpaceDE/>
        <w:autoSpaceDN/>
        <w:bidi w:val="0"/>
        <w:adjustRightInd w:val="0"/>
        <w:snapToGrid w:val="0"/>
        <w:spacing w:line="240" w:lineRule="auto"/>
        <w:jc w:val="center"/>
        <w:textAlignment w:val="baseline"/>
        <w:rPr>
          <w:rFonts w:hint="eastAsia" w:ascii="宋体" w:hAnsi="宋体" w:eastAsia="宋体" w:cs="宋体"/>
          <w:b/>
          <w:color w:val="auto"/>
          <w:sz w:val="32"/>
          <w:szCs w:val="32"/>
          <w:highlight w:val="none"/>
        </w:rPr>
      </w:pPr>
    </w:p>
    <w:p w14:paraId="41759BF0">
      <w:pPr>
        <w:keepNext w:val="0"/>
        <w:keepLines w:val="0"/>
        <w:pageBreakBefore w:val="0"/>
        <w:widowControl/>
        <w:kinsoku w:val="0"/>
        <w:wordWrap/>
        <w:overflowPunct/>
        <w:topLinePunct w:val="0"/>
        <w:autoSpaceDE/>
        <w:autoSpaceDN/>
        <w:bidi w:val="0"/>
        <w:adjustRightInd w:val="0"/>
        <w:snapToGrid w:val="0"/>
        <w:spacing w:line="240" w:lineRule="auto"/>
        <w:ind w:left="0" w:leftChars="0" w:firstLine="0" w:firstLineChars="0"/>
        <w:jc w:val="center"/>
        <w:textAlignment w:val="baseline"/>
        <w:rPr>
          <w:rFonts w:hint="eastAsia" w:ascii="宋体" w:hAnsi="宋体" w:eastAsia="宋体" w:cs="宋体"/>
          <w:b/>
          <w:color w:val="auto"/>
          <w:spacing w:val="20"/>
          <w:sz w:val="32"/>
          <w:szCs w:val="32"/>
          <w:highlight w:val="none"/>
        </w:rPr>
      </w:pPr>
    </w:p>
    <w:p w14:paraId="515B5F5B">
      <w:pPr>
        <w:keepNext w:val="0"/>
        <w:keepLines w:val="0"/>
        <w:pageBreakBefore w:val="0"/>
        <w:widowControl/>
        <w:kinsoku w:val="0"/>
        <w:wordWrap/>
        <w:overflowPunct/>
        <w:topLinePunct w:val="0"/>
        <w:autoSpaceDE/>
        <w:autoSpaceDN/>
        <w:bidi w:val="0"/>
        <w:adjustRightInd w:val="0"/>
        <w:snapToGrid w:val="0"/>
        <w:spacing w:line="240" w:lineRule="auto"/>
        <w:jc w:val="center"/>
        <w:textAlignment w:val="baseline"/>
        <w:rPr>
          <w:rFonts w:hint="eastAsia" w:ascii="宋体" w:hAnsi="宋体" w:eastAsia="宋体" w:cs="宋体"/>
          <w:b/>
          <w:color w:val="auto"/>
          <w:spacing w:val="20"/>
          <w:sz w:val="32"/>
          <w:szCs w:val="32"/>
          <w:highlight w:val="none"/>
        </w:rPr>
      </w:pPr>
    </w:p>
    <w:p w14:paraId="5CE92DDD">
      <w:pPr>
        <w:keepNext w:val="0"/>
        <w:keepLines w:val="0"/>
        <w:pageBreakBefore w:val="0"/>
        <w:widowControl/>
        <w:kinsoku w:val="0"/>
        <w:wordWrap/>
        <w:overflowPunct/>
        <w:topLinePunct w:val="0"/>
        <w:autoSpaceDE/>
        <w:autoSpaceDN/>
        <w:bidi w:val="0"/>
        <w:adjustRightInd w:val="0"/>
        <w:snapToGrid w:val="0"/>
        <w:spacing w:line="480" w:lineRule="auto"/>
        <w:jc w:val="both"/>
        <w:textAlignment w:val="baseline"/>
        <w:rPr>
          <w:rFonts w:hint="eastAsia" w:ascii="宋体" w:hAnsi="宋体" w:eastAsia="宋体" w:cs="宋体"/>
          <w:b/>
          <w:color w:val="auto"/>
          <w:spacing w:val="20"/>
          <w:sz w:val="30"/>
          <w:szCs w:val="30"/>
          <w:highlight w:val="none"/>
        </w:rPr>
      </w:pPr>
    </w:p>
    <w:p w14:paraId="6E97A422">
      <w:pPr>
        <w:keepNext w:val="0"/>
        <w:keepLines w:val="0"/>
        <w:pageBreakBefore w:val="0"/>
        <w:widowControl/>
        <w:kinsoku w:val="0"/>
        <w:wordWrap/>
        <w:overflowPunct/>
        <w:topLinePunct w:val="0"/>
        <w:autoSpaceDE/>
        <w:autoSpaceDN/>
        <w:bidi w:val="0"/>
        <w:adjustRightInd w:val="0"/>
        <w:snapToGrid w:val="0"/>
        <w:spacing w:line="480" w:lineRule="auto"/>
        <w:jc w:val="both"/>
        <w:textAlignment w:val="baseline"/>
        <w:rPr>
          <w:rFonts w:hint="eastAsia" w:ascii="宋体" w:hAnsi="宋体" w:eastAsia="宋体" w:cs="宋体"/>
          <w:color w:val="auto"/>
          <w:sz w:val="30"/>
          <w:szCs w:val="30"/>
          <w:highlight w:val="none"/>
          <w:u w:val="single"/>
          <w:lang w:val="en-US" w:eastAsia="zh-CN"/>
        </w:rPr>
      </w:pPr>
      <w:r>
        <w:rPr>
          <w:rFonts w:hint="eastAsia" w:ascii="宋体" w:hAnsi="宋体" w:eastAsia="宋体" w:cs="宋体"/>
          <w:b/>
          <w:color w:val="auto"/>
          <w:spacing w:val="20"/>
          <w:sz w:val="30"/>
          <w:szCs w:val="30"/>
          <w:highlight w:val="none"/>
        </w:rPr>
        <w:t>投标人名称</w:t>
      </w:r>
      <w:r>
        <w:rPr>
          <w:rFonts w:hint="eastAsia" w:ascii="宋体" w:hAnsi="宋体" w:eastAsia="宋体" w:cs="宋体"/>
          <w:b/>
          <w:color w:val="auto"/>
          <w:spacing w:val="20"/>
          <w:sz w:val="30"/>
          <w:szCs w:val="30"/>
          <w:highlight w:val="none"/>
          <w:lang w:eastAsia="zh-CN"/>
        </w:rPr>
        <w:t>（</w:t>
      </w:r>
      <w:r>
        <w:rPr>
          <w:rFonts w:hint="eastAsia" w:ascii="宋体" w:hAnsi="宋体" w:eastAsia="宋体" w:cs="宋体"/>
          <w:b/>
          <w:color w:val="auto"/>
          <w:spacing w:val="20"/>
          <w:sz w:val="30"/>
          <w:szCs w:val="30"/>
          <w:highlight w:val="none"/>
          <w:lang w:val="en-US" w:eastAsia="zh-CN"/>
        </w:rPr>
        <w:t>电子签章</w:t>
      </w:r>
      <w:r>
        <w:rPr>
          <w:rFonts w:hint="eastAsia" w:ascii="宋体" w:hAnsi="宋体" w:eastAsia="宋体" w:cs="宋体"/>
          <w:b/>
          <w:color w:val="auto"/>
          <w:spacing w:val="20"/>
          <w:sz w:val="30"/>
          <w:szCs w:val="30"/>
          <w:highlight w:val="none"/>
          <w:lang w:eastAsia="zh-CN"/>
        </w:rPr>
        <w:t>）</w:t>
      </w:r>
      <w:r>
        <w:rPr>
          <w:rFonts w:hint="eastAsia" w:ascii="宋体" w:hAnsi="宋体" w:eastAsia="宋体" w:cs="宋体"/>
          <w:b/>
          <w:color w:val="auto"/>
          <w:spacing w:val="20"/>
          <w:sz w:val="30"/>
          <w:szCs w:val="30"/>
          <w:highlight w:val="none"/>
        </w:rPr>
        <w:t>：</w:t>
      </w:r>
      <w:r>
        <w:rPr>
          <w:rFonts w:hint="eastAsia" w:ascii="宋体" w:hAnsi="宋体" w:eastAsia="宋体" w:cs="宋体"/>
          <w:color w:val="auto"/>
          <w:sz w:val="30"/>
          <w:szCs w:val="30"/>
          <w:highlight w:val="none"/>
          <w:u w:val="single"/>
          <w:lang w:val="en-US" w:eastAsia="zh-CN"/>
        </w:rPr>
        <w:t xml:space="preserve">                              </w:t>
      </w:r>
    </w:p>
    <w:p w14:paraId="50331BFB">
      <w:pPr>
        <w:keepNext w:val="0"/>
        <w:keepLines w:val="0"/>
        <w:pageBreakBefore w:val="0"/>
        <w:widowControl/>
        <w:kinsoku w:val="0"/>
        <w:wordWrap/>
        <w:overflowPunct/>
        <w:topLinePunct w:val="0"/>
        <w:autoSpaceDE/>
        <w:autoSpaceDN/>
        <w:bidi w:val="0"/>
        <w:adjustRightInd w:val="0"/>
        <w:snapToGrid w:val="0"/>
        <w:spacing w:line="480" w:lineRule="auto"/>
        <w:jc w:val="both"/>
        <w:textAlignment w:val="baseline"/>
        <w:rPr>
          <w:rFonts w:hint="eastAsia" w:ascii="宋体" w:hAnsi="宋体" w:eastAsia="宋体" w:cs="宋体"/>
          <w:b/>
          <w:color w:val="auto"/>
          <w:spacing w:val="20"/>
          <w:sz w:val="30"/>
          <w:szCs w:val="30"/>
          <w:highlight w:val="none"/>
          <w:lang w:val="en-US" w:eastAsia="zh-CN"/>
        </w:rPr>
      </w:pPr>
      <w:r>
        <w:rPr>
          <w:rFonts w:hint="eastAsia" w:ascii="宋体" w:hAnsi="宋体" w:eastAsia="宋体" w:cs="宋体"/>
          <w:b/>
          <w:color w:val="auto"/>
          <w:spacing w:val="20"/>
          <w:sz w:val="30"/>
          <w:szCs w:val="30"/>
          <w:highlight w:val="none"/>
          <w:lang w:val="en-US" w:eastAsia="zh-CN"/>
        </w:rPr>
        <w:t>法定代表人或委托代理人（电子签章或签字）：</w:t>
      </w:r>
      <w:r>
        <w:rPr>
          <w:rFonts w:hint="eastAsia" w:ascii="宋体" w:hAnsi="宋体" w:eastAsia="宋体" w:cs="宋体"/>
          <w:b/>
          <w:color w:val="auto"/>
          <w:spacing w:val="20"/>
          <w:sz w:val="30"/>
          <w:szCs w:val="30"/>
          <w:highlight w:val="none"/>
          <w:u w:val="single"/>
          <w:lang w:val="en-US" w:eastAsia="zh-CN"/>
        </w:rPr>
        <w:t xml:space="preserve">         </w:t>
      </w:r>
      <w:r>
        <w:rPr>
          <w:rFonts w:hint="eastAsia" w:ascii="宋体" w:hAnsi="宋体" w:eastAsia="宋体" w:cs="宋体"/>
          <w:b/>
          <w:color w:val="auto"/>
          <w:spacing w:val="20"/>
          <w:sz w:val="30"/>
          <w:szCs w:val="30"/>
          <w:highlight w:val="none"/>
          <w:lang w:val="en-US" w:eastAsia="zh-CN"/>
        </w:rPr>
        <w:t xml:space="preserve">                      </w:t>
      </w:r>
    </w:p>
    <w:p w14:paraId="79AC4D54">
      <w:pPr>
        <w:pStyle w:val="31"/>
        <w:keepNext w:val="0"/>
        <w:keepLines w:val="0"/>
        <w:pageBreakBefore w:val="0"/>
        <w:widowControl/>
        <w:kinsoku w:val="0"/>
        <w:wordWrap/>
        <w:overflowPunct/>
        <w:topLinePunct w:val="0"/>
        <w:autoSpaceDE/>
        <w:autoSpaceDN/>
        <w:bidi w:val="0"/>
        <w:adjustRightInd w:val="0"/>
        <w:snapToGrid w:val="0"/>
        <w:spacing w:line="480" w:lineRule="auto"/>
        <w:jc w:val="both"/>
        <w:textAlignment w:val="baseline"/>
        <w:rPr>
          <w:rFonts w:hint="eastAsia" w:ascii="宋体" w:hAnsi="宋体" w:eastAsia="宋体" w:cs="宋体"/>
          <w:color w:val="auto"/>
          <w:sz w:val="30"/>
          <w:szCs w:val="30"/>
          <w:highlight w:val="none"/>
          <w:u w:val="single"/>
          <w:lang w:val="en-US" w:eastAsia="zh-CN"/>
        </w:rPr>
      </w:pPr>
      <w:r>
        <w:rPr>
          <w:rFonts w:hint="eastAsia" w:ascii="宋体" w:hAnsi="宋体" w:eastAsia="宋体" w:cs="宋体"/>
          <w:b/>
          <w:color w:val="auto"/>
          <w:spacing w:val="20"/>
          <w:sz w:val="30"/>
          <w:szCs w:val="30"/>
          <w:highlight w:val="none"/>
          <w:lang w:val="en-US" w:eastAsia="zh-CN"/>
        </w:rPr>
        <w:t>日期：</w:t>
      </w:r>
      <w:r>
        <w:rPr>
          <w:rFonts w:hint="eastAsia" w:ascii="宋体" w:hAnsi="宋体" w:eastAsia="宋体" w:cs="宋体"/>
          <w:b/>
          <w:color w:val="auto"/>
          <w:spacing w:val="20"/>
          <w:sz w:val="30"/>
          <w:szCs w:val="30"/>
          <w:highlight w:val="none"/>
          <w:u w:val="single"/>
          <w:lang w:val="en-US" w:eastAsia="zh-CN"/>
        </w:rPr>
        <w:t xml:space="preserve">                      </w:t>
      </w:r>
    </w:p>
    <w:p w14:paraId="6A35D16F">
      <w:pPr>
        <w:keepNext w:val="0"/>
        <w:keepLines w:val="0"/>
        <w:pageBreakBefore w:val="0"/>
        <w:widowControl/>
        <w:kinsoku w:val="0"/>
        <w:wordWrap/>
        <w:overflowPunct/>
        <w:topLinePunct w:val="0"/>
        <w:autoSpaceDE/>
        <w:autoSpaceDN/>
        <w:bidi w:val="0"/>
        <w:adjustRightInd w:val="0"/>
        <w:snapToGrid w:val="0"/>
        <w:spacing w:line="240" w:lineRule="auto"/>
        <w:ind w:left="0" w:leftChars="0" w:firstLine="0" w:firstLineChars="0"/>
        <w:jc w:val="left"/>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14:paraId="7BD55B16">
      <w:pPr>
        <w:keepNext/>
        <w:keepLines/>
        <w:autoSpaceDE w:val="0"/>
        <w:autoSpaceDN w:val="0"/>
        <w:adjustRightInd w:val="0"/>
        <w:spacing w:before="120" w:line="300" w:lineRule="auto"/>
        <w:jc w:val="left"/>
        <w:outlineLvl w:val="1"/>
        <w:rPr>
          <w:rFonts w:hint="eastAsia" w:ascii="宋体" w:hAnsi="宋体" w:eastAsia="宋体" w:cs="宋体"/>
          <w:b/>
          <w:color w:val="auto"/>
          <w:kern w:val="0"/>
          <w:sz w:val="32"/>
          <w:szCs w:val="32"/>
          <w:highlight w:val="none"/>
        </w:rPr>
      </w:pPr>
      <w:r>
        <w:rPr>
          <w:rFonts w:hint="eastAsia" w:ascii="宋体" w:hAnsi="宋体" w:eastAsia="宋体" w:cs="宋体"/>
          <w:b/>
          <w:color w:val="auto"/>
          <w:spacing w:val="20"/>
          <w:sz w:val="32"/>
          <w:szCs w:val="32"/>
          <w:highlight w:val="none"/>
        </w:rPr>
        <w:t>一、资格证明文件格式</w:t>
      </w:r>
    </w:p>
    <w:p w14:paraId="5794DAA2">
      <w:pPr>
        <w:keepNext w:val="0"/>
        <w:keepLines w:val="0"/>
        <w:pageBreakBefore w:val="0"/>
        <w:widowControl/>
        <w:kinsoku w:val="0"/>
        <w:wordWrap/>
        <w:overflowPunct/>
        <w:topLinePunct w:val="0"/>
        <w:autoSpaceDE/>
        <w:autoSpaceDN/>
        <w:bidi w:val="0"/>
        <w:adjustRightInd w:val="0"/>
        <w:snapToGrid w:val="0"/>
        <w:spacing w:line="360" w:lineRule="auto"/>
        <w:ind w:left="0" w:leftChars="0" w:firstLine="0" w:firstLineChars="0"/>
        <w:textAlignment w:val="baseline"/>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满足《中华人民共和国政府采购法》第二十二条规定</w:t>
      </w:r>
      <w:r>
        <w:rPr>
          <w:rFonts w:hint="eastAsia" w:ascii="宋体" w:hAnsi="宋体" w:eastAsia="宋体" w:cs="宋体"/>
          <w:color w:val="auto"/>
          <w:sz w:val="24"/>
          <w:highlight w:val="none"/>
          <w:lang w:eastAsia="zh-CN"/>
        </w:rPr>
        <w:t>：</w:t>
      </w:r>
    </w:p>
    <w:p w14:paraId="0CAAA9EC">
      <w:pPr>
        <w:keepNext w:val="0"/>
        <w:keepLines w:val="0"/>
        <w:pageBreakBefore w:val="0"/>
        <w:widowControl/>
        <w:kinsoku w:val="0"/>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须具有独立承担民事责任的能力：</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持有工商行政管理部门核发的有效的营业执照或事业单位法人证书或其他类似的法定证明文件；</w:t>
      </w:r>
    </w:p>
    <w:p w14:paraId="10037FC4">
      <w:pPr>
        <w:keepNext w:val="0"/>
        <w:keepLines w:val="0"/>
        <w:pageBreakBefore w:val="0"/>
        <w:widowControl/>
        <w:kinsoku w:val="0"/>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1.2投标人须具有良好的商业信誉和健全的财务会计制度</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提供承诺书</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3156F99B">
      <w:pPr>
        <w:keepNext w:val="0"/>
        <w:keepLines w:val="0"/>
        <w:pageBreakBefore w:val="0"/>
        <w:widowControl/>
        <w:kinsoku w:val="0"/>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1.2.1投标人在国家企业信用信息公示系统（www.gsxt.gov.cn）</w:t>
      </w:r>
      <w:r>
        <w:rPr>
          <w:rFonts w:hint="eastAsia" w:ascii="宋体" w:hAnsi="宋体" w:eastAsia="宋体" w:cs="宋体"/>
          <w:color w:val="auto"/>
          <w:sz w:val="24"/>
          <w:highlight w:val="none"/>
          <w:lang w:val="en-US" w:eastAsia="zh-CN"/>
        </w:rPr>
        <w:t>未在“国家企业信用信息公示系统（http://www.gsxt.gov.cn/）”网站上，被列入严重违法失信企业名单</w:t>
      </w:r>
      <w:r>
        <w:rPr>
          <w:rFonts w:hint="eastAsia" w:ascii="宋体" w:hAnsi="宋体" w:eastAsia="宋体" w:cs="宋体"/>
          <w:color w:val="auto"/>
          <w:sz w:val="24"/>
          <w:highlight w:val="none"/>
        </w:rPr>
        <w:t>（查询结果以采购人、采购代理机构查询结果为准）；</w:t>
      </w:r>
    </w:p>
    <w:p w14:paraId="4423318D">
      <w:pPr>
        <w:keepNext w:val="0"/>
        <w:keepLines w:val="0"/>
        <w:pageBreakBefore w:val="0"/>
        <w:widowControl/>
        <w:kinsoku w:val="0"/>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highlight w:val="none"/>
          <w:lang w:val="zh-TW" w:eastAsia="zh-CN"/>
        </w:rPr>
      </w:pPr>
      <w:r>
        <w:rPr>
          <w:rFonts w:hint="eastAsia" w:ascii="宋体" w:hAnsi="宋体" w:eastAsia="宋体" w:cs="宋体"/>
          <w:color w:val="auto"/>
          <w:sz w:val="24"/>
          <w:highlight w:val="none"/>
        </w:rPr>
        <w:t>1.2.2</w:t>
      </w:r>
      <w:r>
        <w:rPr>
          <w:rFonts w:hint="eastAsia" w:ascii="宋体" w:hAnsi="宋体" w:eastAsia="宋体" w:cs="宋体"/>
          <w:bCs/>
          <w:color w:val="auto"/>
          <w:sz w:val="24"/>
          <w:szCs w:val="24"/>
          <w:highlight w:val="none"/>
          <w:lang w:val="en-US" w:eastAsia="zh-CN"/>
        </w:rPr>
        <w:t>具有健全的财务会计制度，提供2023年至2025年任意一年经第三方审计机构审计的审计报告（至少包含资产负债表、现金流量表、利润表（或损益表）），未经审计的公司可提供公司内部自行编制的财务报表；投标人成立时间未满三年的，提供成立至今任意一年经第三方审计机构审计的审计报告（至少包含资产负债表、现金流量表、利润表（或损益表）），未经审计的公司可提供公司内部自行编制的财务报表；投标人成立时间未满一年的可不提供经第三方审计机构审计的审计报告，但需提供银行资信证明和情况说明；</w:t>
      </w:r>
    </w:p>
    <w:p w14:paraId="175E856C">
      <w:pPr>
        <w:keepNext w:val="0"/>
        <w:keepLines w:val="0"/>
        <w:pageBreakBefore w:val="0"/>
        <w:widowControl/>
        <w:kinsoku w:val="0"/>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1.3投标人须具有履行合同所必需的设备和专业技术能力证明材料（提供书面声明，加盖公章）；</w:t>
      </w:r>
    </w:p>
    <w:p w14:paraId="7CAECF6B">
      <w:pPr>
        <w:keepNext w:val="0"/>
        <w:keepLines w:val="0"/>
        <w:pageBreakBefore w:val="0"/>
        <w:widowControl/>
        <w:kinsoku w:val="0"/>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1.4投标人须具有依法缴纳税收和社会保障资金的良好记录（提供缴纳凭证或承诺书）；</w:t>
      </w:r>
    </w:p>
    <w:p w14:paraId="58116C18">
      <w:pPr>
        <w:keepNext w:val="0"/>
        <w:keepLines w:val="0"/>
        <w:pageBreakBefore w:val="0"/>
        <w:widowControl/>
        <w:kinsoku w:val="0"/>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1.5投标人参加政府采购活动前三年内，在经营活动中没有重大违法记录（重大违法记录，是指投标人因违法经营受到刑事处罚或者责令停产停业、吊销许可证或者执照、较大数额罚款等行政处罚）</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提供</w:t>
      </w:r>
      <w:r>
        <w:rPr>
          <w:rFonts w:hint="eastAsia" w:ascii="宋体" w:hAnsi="宋体" w:eastAsia="宋体" w:cs="宋体"/>
          <w:color w:val="auto"/>
          <w:sz w:val="24"/>
          <w:highlight w:val="none"/>
        </w:rPr>
        <w:t>书面声明；</w:t>
      </w:r>
    </w:p>
    <w:p w14:paraId="13D0E064">
      <w:pPr>
        <w:keepNext w:val="0"/>
        <w:keepLines w:val="0"/>
        <w:pageBreakBefore w:val="0"/>
        <w:widowControl/>
        <w:kinsoku w:val="0"/>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1.6法律、行政法规规定的其他条件：</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在信用中国网站（www.creditchina.gov.cn）“信用信息”下载的信用信息或“信用信息”查询栏中查询的信用信息（包括失信被执行人查询、</w:t>
      </w:r>
      <w:r>
        <w:rPr>
          <w:rFonts w:hint="eastAsia" w:ascii="宋体" w:hAnsi="宋体" w:eastAsia="宋体" w:cs="宋体"/>
          <w:color w:val="auto"/>
          <w:sz w:val="24"/>
          <w:highlight w:val="none"/>
          <w:lang w:val="en-US" w:eastAsia="zh-CN"/>
        </w:rPr>
        <w:t>重大</w:t>
      </w:r>
      <w:r>
        <w:rPr>
          <w:rFonts w:hint="eastAsia" w:ascii="宋体" w:hAnsi="宋体" w:eastAsia="宋体" w:cs="宋体"/>
          <w:color w:val="auto"/>
          <w:sz w:val="24"/>
          <w:highlight w:val="none"/>
        </w:rPr>
        <w:t>税收违法</w:t>
      </w:r>
      <w:r>
        <w:rPr>
          <w:rFonts w:hint="eastAsia" w:ascii="宋体" w:hAnsi="宋体" w:eastAsia="宋体" w:cs="宋体"/>
          <w:color w:val="auto"/>
          <w:sz w:val="24"/>
          <w:highlight w:val="none"/>
          <w:lang w:val="en-US" w:eastAsia="zh-CN"/>
        </w:rPr>
        <w:t>失信主体查询</w:t>
      </w:r>
      <w:r>
        <w:rPr>
          <w:rFonts w:hint="eastAsia" w:ascii="宋体" w:hAnsi="宋体" w:eastAsia="宋体" w:cs="宋体"/>
          <w:color w:val="auto"/>
          <w:sz w:val="24"/>
          <w:highlight w:val="none"/>
        </w:rPr>
        <w:t>）未出现不良信用信息查询记录；</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在中国政府采购网（www.ccgp.gov.cn）政府采购严重违法失信行为记录名单内无不良信息记录</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（查询结果以采购人、采购代理机构查询结果为准）</w:t>
      </w:r>
      <w:r>
        <w:rPr>
          <w:rFonts w:hint="eastAsia" w:ascii="宋体" w:hAnsi="宋体" w:eastAsia="宋体" w:cs="宋体"/>
          <w:color w:val="auto"/>
          <w:sz w:val="24"/>
          <w:highlight w:val="none"/>
          <w:lang w:eastAsia="zh-CN"/>
        </w:rPr>
        <w:t>。</w:t>
      </w:r>
    </w:p>
    <w:p w14:paraId="2D1078CF">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right="0"/>
        <w:jc w:val="both"/>
        <w:textAlignment w:val="auto"/>
        <w:outlineLvl w:val="9"/>
        <w:rPr>
          <w:rFonts w:hint="eastAsia" w:ascii="宋体" w:hAnsi="宋体" w:eastAsia="宋体" w:cs="宋体"/>
          <w:color w:val="auto"/>
          <w:sz w:val="24"/>
          <w:szCs w:val="24"/>
          <w:highlight w:val="none"/>
        </w:rPr>
      </w:pPr>
    </w:p>
    <w:p w14:paraId="576E1522">
      <w:pPr>
        <w:keepNext w:val="0"/>
        <w:keepLines w:val="0"/>
        <w:pageBreakBefore w:val="0"/>
        <w:widowControl w:val="0"/>
        <w:kinsoku/>
        <w:wordWrap/>
        <w:overflowPunct/>
        <w:topLinePunct w:val="0"/>
        <w:autoSpaceDE/>
        <w:autoSpaceDN/>
        <w:bidi w:val="0"/>
        <w:adjustRightInd/>
        <w:spacing w:line="360" w:lineRule="auto"/>
        <w:textAlignment w:val="auto"/>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 投标人资格声明书</w:t>
      </w:r>
    </w:p>
    <w:p w14:paraId="568EEEF5">
      <w:pPr>
        <w:jc w:val="center"/>
        <w:rPr>
          <w:rFonts w:hint="eastAsia" w:ascii="宋体" w:hAnsi="宋体" w:eastAsia="宋体" w:cs="宋体"/>
          <w:color w:val="auto"/>
          <w:sz w:val="22"/>
          <w:szCs w:val="22"/>
          <w:highlight w:val="none"/>
        </w:rPr>
      </w:pPr>
      <w:r>
        <w:rPr>
          <w:rFonts w:hint="eastAsia" w:ascii="宋体" w:hAnsi="宋体" w:eastAsia="宋体" w:cs="宋体"/>
          <w:b/>
          <w:color w:val="auto"/>
          <w:sz w:val="32"/>
          <w:szCs w:val="32"/>
          <w:highlight w:val="none"/>
        </w:rPr>
        <w:t>投标人资格声明书</w:t>
      </w:r>
    </w:p>
    <w:p w14:paraId="5F9B4F2E">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采购人或采购代理机构</w:t>
      </w:r>
    </w:p>
    <w:p w14:paraId="74AE57F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在参与本次项目投标中，我单位承诺：</w:t>
      </w:r>
    </w:p>
    <w:p w14:paraId="14CFE3DD">
      <w:pPr>
        <w:numPr>
          <w:ilvl w:val="0"/>
          <w:numId w:val="0"/>
        </w:numPr>
        <w:spacing w:line="360" w:lineRule="auto"/>
        <w:ind w:leftChars="200"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lang w:val="en-US" w:eastAsia="zh-CN"/>
        </w:rPr>
        <w:t>1</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具有良好的商业信誉和健全的财务会计制度；</w:t>
      </w:r>
    </w:p>
    <w:p w14:paraId="510F66FC">
      <w:pPr>
        <w:numPr>
          <w:ilvl w:val="0"/>
          <w:numId w:val="0"/>
        </w:numPr>
        <w:spacing w:line="360" w:lineRule="auto"/>
        <w:ind w:leftChars="200"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lang w:val="en-US" w:eastAsia="zh-CN"/>
        </w:rPr>
        <w:t>2</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具有履行合同所必需的设备和专业技术能力；</w:t>
      </w:r>
    </w:p>
    <w:p w14:paraId="394DAAA5">
      <w:pPr>
        <w:numPr>
          <w:ilvl w:val="0"/>
          <w:numId w:val="0"/>
        </w:numPr>
        <w:spacing w:line="360" w:lineRule="auto"/>
        <w:ind w:leftChars="200"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lang w:val="en-US" w:eastAsia="zh-CN"/>
        </w:rPr>
        <w:t>3</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有依法缴纳税收和社会保障资金的良好记录；</w:t>
      </w:r>
    </w:p>
    <w:p w14:paraId="4FA22B72">
      <w:pPr>
        <w:numPr>
          <w:ilvl w:val="0"/>
          <w:numId w:val="0"/>
        </w:numPr>
        <w:spacing w:line="360" w:lineRule="auto"/>
        <w:ind w:leftChars="200"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lang w:val="en-US" w:eastAsia="zh-CN"/>
        </w:rPr>
        <w:t>4</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3DD429B">
      <w:pPr>
        <w:numPr>
          <w:ilvl w:val="0"/>
          <w:numId w:val="0"/>
        </w:numPr>
        <w:spacing w:line="360" w:lineRule="auto"/>
        <w:ind w:leftChars="200"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lang w:val="en-US" w:eastAsia="zh-CN"/>
        </w:rPr>
        <w:t>5</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我单位不属于政府采购法律、行政法规规定的公益一类事业单位、或使用事业编制且由财政拨款保障的群团组织；</w:t>
      </w:r>
    </w:p>
    <w:p w14:paraId="3A1222FB">
      <w:pPr>
        <w:numPr>
          <w:ilvl w:val="0"/>
          <w:numId w:val="0"/>
        </w:numPr>
        <w:spacing w:line="360" w:lineRule="auto"/>
        <w:ind w:leftChars="200"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lang w:val="en-US" w:eastAsia="zh-CN"/>
        </w:rPr>
        <w:t>6</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我单位不存在</w:t>
      </w:r>
      <w:r>
        <w:rPr>
          <w:rFonts w:hint="eastAsia" w:ascii="宋体" w:hAnsi="宋体" w:eastAsia="宋体" w:cs="宋体"/>
          <w:color w:val="auto"/>
          <w:highlight w:val="none"/>
        </w:rPr>
        <w:t>以下情形：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投标活动</w:t>
      </w:r>
      <w:r>
        <w:rPr>
          <w:rFonts w:hint="eastAsia" w:ascii="宋体" w:hAnsi="宋体" w:eastAsia="宋体" w:cs="宋体"/>
          <w:color w:val="auto"/>
          <w:sz w:val="24"/>
          <w:szCs w:val="22"/>
          <w:highlight w:val="none"/>
        </w:rPr>
        <w:t>；</w:t>
      </w:r>
    </w:p>
    <w:p w14:paraId="653EAD5D">
      <w:pPr>
        <w:numPr>
          <w:ilvl w:val="0"/>
          <w:numId w:val="0"/>
        </w:numPr>
        <w:spacing w:line="360" w:lineRule="auto"/>
        <w:ind w:leftChars="200"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lang w:val="en-US" w:eastAsia="zh-CN"/>
        </w:rPr>
        <w:t>7</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52ED3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63632BBC">
            <w:pPr>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4574" w:type="dxa"/>
            <w:noWrap w:val="0"/>
            <w:vAlign w:val="center"/>
          </w:tcPr>
          <w:p w14:paraId="3F983A96">
            <w:pPr>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w:t>
            </w:r>
          </w:p>
        </w:tc>
        <w:tc>
          <w:tcPr>
            <w:tcW w:w="2976" w:type="dxa"/>
            <w:noWrap w:val="0"/>
            <w:vAlign w:val="center"/>
          </w:tcPr>
          <w:p w14:paraId="795D88C1">
            <w:pPr>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相互关系</w:t>
            </w:r>
          </w:p>
        </w:tc>
      </w:tr>
      <w:tr w14:paraId="5A067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6DD0F1E7">
            <w:pPr>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4574" w:type="dxa"/>
            <w:noWrap w:val="0"/>
            <w:vAlign w:val="center"/>
          </w:tcPr>
          <w:p w14:paraId="59079BD8">
            <w:pPr>
              <w:jc w:val="center"/>
              <w:rPr>
                <w:rFonts w:hint="eastAsia" w:ascii="宋体" w:hAnsi="宋体" w:eastAsia="宋体" w:cs="宋体"/>
                <w:color w:val="auto"/>
                <w:sz w:val="24"/>
                <w:highlight w:val="none"/>
              </w:rPr>
            </w:pPr>
          </w:p>
        </w:tc>
        <w:tc>
          <w:tcPr>
            <w:tcW w:w="2976" w:type="dxa"/>
            <w:noWrap w:val="0"/>
            <w:vAlign w:val="center"/>
          </w:tcPr>
          <w:p w14:paraId="7BAF4573">
            <w:pPr>
              <w:jc w:val="center"/>
              <w:rPr>
                <w:rFonts w:hint="eastAsia" w:ascii="宋体" w:hAnsi="宋体" w:eastAsia="宋体" w:cs="宋体"/>
                <w:color w:val="auto"/>
                <w:sz w:val="24"/>
                <w:highlight w:val="none"/>
              </w:rPr>
            </w:pPr>
          </w:p>
        </w:tc>
      </w:tr>
      <w:tr w14:paraId="7F759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109C4636">
            <w:pPr>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4574" w:type="dxa"/>
            <w:noWrap w:val="0"/>
            <w:vAlign w:val="center"/>
          </w:tcPr>
          <w:p w14:paraId="216DB2F6">
            <w:pPr>
              <w:jc w:val="center"/>
              <w:rPr>
                <w:rFonts w:hint="eastAsia" w:ascii="宋体" w:hAnsi="宋体" w:eastAsia="宋体" w:cs="宋体"/>
                <w:color w:val="auto"/>
                <w:sz w:val="24"/>
                <w:highlight w:val="none"/>
              </w:rPr>
            </w:pPr>
          </w:p>
        </w:tc>
        <w:tc>
          <w:tcPr>
            <w:tcW w:w="2976" w:type="dxa"/>
            <w:noWrap w:val="0"/>
            <w:vAlign w:val="center"/>
          </w:tcPr>
          <w:p w14:paraId="61E4A399">
            <w:pPr>
              <w:jc w:val="center"/>
              <w:rPr>
                <w:rFonts w:hint="eastAsia" w:ascii="宋体" w:hAnsi="宋体" w:eastAsia="宋体" w:cs="宋体"/>
                <w:color w:val="auto"/>
                <w:sz w:val="24"/>
                <w:highlight w:val="none"/>
              </w:rPr>
            </w:pPr>
          </w:p>
        </w:tc>
      </w:tr>
    </w:tbl>
    <w:p w14:paraId="6B4AC8BF">
      <w:pPr>
        <w:ind w:left="0" w:leftChars="0" w:firstLine="0" w:firstLineChars="0"/>
        <w:rPr>
          <w:rFonts w:hint="eastAsia" w:ascii="宋体" w:hAnsi="宋体" w:eastAsia="宋体" w:cs="宋体"/>
          <w:color w:val="auto"/>
          <w:highlight w:val="none"/>
        </w:rPr>
      </w:pPr>
    </w:p>
    <w:p w14:paraId="547A1DC6">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上述声明真实有效，否则我方负全部责任。</w:t>
      </w:r>
    </w:p>
    <w:p w14:paraId="5A0E1DC4">
      <w:pPr>
        <w:wordWrap w:val="0"/>
        <w:autoSpaceDE w:val="0"/>
        <w:autoSpaceDN w:val="0"/>
        <w:adjustRightInd w:val="0"/>
        <w:snapToGrid w:val="0"/>
        <w:spacing w:before="25" w:after="25" w:line="360" w:lineRule="auto"/>
        <w:jc w:val="righ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投标人名称（</w:t>
      </w:r>
      <w:r>
        <w:rPr>
          <w:rFonts w:hint="eastAsia" w:ascii="宋体" w:hAnsi="宋体" w:eastAsia="宋体" w:cs="宋体"/>
          <w:color w:val="auto"/>
          <w:sz w:val="24"/>
          <w:highlight w:val="none"/>
          <w:lang w:eastAsia="zh-CN"/>
        </w:rPr>
        <w:t>电子签章</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u w:val="single"/>
          <w:lang w:val="en-US" w:eastAsia="zh-CN"/>
        </w:rPr>
        <w:t xml:space="preserve">                    </w:t>
      </w:r>
    </w:p>
    <w:p w14:paraId="5A0500E5">
      <w:pPr>
        <w:spacing w:line="360" w:lineRule="auto"/>
        <w:ind w:right="360" w:firstLine="480"/>
        <w:jc w:val="right"/>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日期：</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rPr>
        <w:t>年</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rPr>
        <w:t>月</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rPr>
        <w:t xml:space="preserve">日   </w:t>
      </w:r>
    </w:p>
    <w:p w14:paraId="2FA9CD9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说明：</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承诺不实的，依据《政府采购法》第七十七条“提供虚假材料谋取中标、成交的”有关规定予以处理。</w:t>
      </w:r>
    </w:p>
    <w:p w14:paraId="64897648">
      <w:pPr>
        <w:tabs>
          <w:tab w:val="left" w:pos="5580"/>
        </w:tabs>
        <w:spacing w:line="360" w:lineRule="auto"/>
        <w:rPr>
          <w:rFonts w:hint="eastAsia" w:ascii="宋体" w:hAnsi="宋体" w:eastAsia="宋体" w:cs="宋体"/>
          <w:color w:val="auto"/>
          <w:sz w:val="24"/>
          <w:highlight w:val="none"/>
        </w:rPr>
        <w:sectPr>
          <w:pgSz w:w="11907" w:h="16840"/>
          <w:pgMar w:top="1304" w:right="1134" w:bottom="1304" w:left="1134" w:header="851" w:footer="851" w:gutter="0"/>
          <w:pgNumType w:fmt="decimal"/>
          <w:cols w:space="720" w:num="1"/>
          <w:docGrid w:linePitch="462" w:charSpace="0"/>
        </w:sectPr>
      </w:pPr>
    </w:p>
    <w:p w14:paraId="0F002EF6">
      <w:pPr>
        <w:widowControl/>
        <w:jc w:val="left"/>
        <w:rPr>
          <w:rFonts w:hint="eastAsia" w:ascii="宋体" w:hAnsi="宋体" w:eastAsia="宋体" w:cs="宋体"/>
          <w:color w:val="auto"/>
          <w:kern w:val="0"/>
          <w:sz w:val="24"/>
          <w:szCs w:val="20"/>
          <w:highlight w:val="none"/>
        </w:rPr>
      </w:pPr>
      <w:r>
        <w:rPr>
          <w:rFonts w:hint="eastAsia" w:ascii="宋体" w:hAnsi="宋体" w:eastAsia="宋体" w:cs="宋体"/>
          <w:color w:val="auto"/>
          <w:sz w:val="24"/>
          <w:szCs w:val="20"/>
          <w:highlight w:val="none"/>
          <w:lang w:val="en-US" w:eastAsia="zh-CN"/>
        </w:rPr>
        <w:t>3 、招标文件要求或投标人认为有必要提供的资料</w:t>
      </w:r>
      <w:r>
        <w:rPr>
          <w:rFonts w:hint="eastAsia" w:ascii="宋体" w:hAnsi="宋体" w:eastAsia="宋体" w:cs="宋体"/>
          <w:color w:val="auto"/>
          <w:sz w:val="24"/>
          <w:szCs w:val="20"/>
          <w:highlight w:val="none"/>
        </w:rPr>
        <w:br w:type="page"/>
      </w:r>
    </w:p>
    <w:p w14:paraId="169F1616">
      <w:pPr>
        <w:keepNext/>
        <w:keepLines/>
        <w:autoSpaceDE w:val="0"/>
        <w:autoSpaceDN w:val="0"/>
        <w:adjustRightInd w:val="0"/>
        <w:spacing w:before="120" w:line="300" w:lineRule="auto"/>
        <w:jc w:val="left"/>
        <w:outlineLvl w:val="1"/>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二、商务技术文件格式</w:t>
      </w:r>
    </w:p>
    <w:p w14:paraId="5FF42960">
      <w:pPr>
        <w:widowControl/>
        <w:ind w:left="0" w:leftChars="0" w:firstLine="0" w:firstLineChars="0"/>
        <w:jc w:val="left"/>
        <w:rPr>
          <w:rFonts w:hint="eastAsia" w:ascii="宋体" w:hAnsi="宋体" w:eastAsia="宋体" w:cs="宋体"/>
          <w:color w:val="auto"/>
          <w:sz w:val="24"/>
          <w:szCs w:val="20"/>
          <w:highlight w:val="none"/>
        </w:rPr>
      </w:pPr>
      <w:bookmarkStart w:id="279" w:name="_Hlt520274121"/>
      <w:bookmarkEnd w:id="279"/>
      <w:bookmarkStart w:id="280" w:name="_Hlt520274407"/>
      <w:bookmarkEnd w:id="280"/>
      <w:bookmarkStart w:id="281" w:name="_Hlt520355504"/>
      <w:bookmarkEnd w:id="281"/>
      <w:bookmarkStart w:id="282" w:name="_Hlt520274065"/>
      <w:bookmarkEnd w:id="282"/>
      <w:bookmarkStart w:id="283" w:name="_Hlt520343000"/>
      <w:bookmarkEnd w:id="283"/>
      <w:bookmarkStart w:id="284" w:name="_Hlt520271212"/>
      <w:bookmarkEnd w:id="284"/>
      <w:bookmarkStart w:id="285" w:name="_Hlt520273711"/>
      <w:bookmarkEnd w:id="285"/>
      <w:bookmarkStart w:id="286" w:name="_Hlt520274393"/>
      <w:bookmarkEnd w:id="286"/>
      <w:bookmarkStart w:id="287" w:name="_Hlt520350918"/>
      <w:bookmarkEnd w:id="287"/>
      <w:bookmarkStart w:id="288" w:name="_Hlt520343392"/>
      <w:bookmarkEnd w:id="288"/>
      <w:bookmarkStart w:id="289" w:name="_Ref467988698"/>
      <w:bookmarkStart w:id="290" w:name="_Toc480942349"/>
      <w:bookmarkStart w:id="291" w:name="_Toc226337252"/>
      <w:bookmarkStart w:id="292" w:name="_Toc520356217"/>
      <w:bookmarkStart w:id="293" w:name="_Toc195842921"/>
      <w:bookmarkStart w:id="294" w:name="_Toc127151556"/>
      <w:bookmarkStart w:id="295" w:name="_Toc142311058"/>
      <w:bookmarkStart w:id="296" w:name="_Toc226309800"/>
      <w:bookmarkStart w:id="297" w:name="_Toc150480794"/>
      <w:bookmarkStart w:id="298" w:name="_Toc150774761"/>
      <w:bookmarkStart w:id="299" w:name="_Toc226965829"/>
      <w:bookmarkStart w:id="300" w:name="_Toc226965746"/>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投标</w:t>
      </w:r>
      <w:bookmarkEnd w:id="289"/>
      <w:bookmarkEnd w:id="290"/>
      <w:r>
        <w:rPr>
          <w:rFonts w:hint="eastAsia" w:ascii="宋体" w:hAnsi="宋体" w:eastAsia="宋体" w:cs="宋体"/>
          <w:color w:val="auto"/>
          <w:sz w:val="24"/>
          <w:highlight w:val="none"/>
        </w:rPr>
        <w:t>书</w:t>
      </w:r>
      <w:bookmarkEnd w:id="291"/>
      <w:bookmarkEnd w:id="292"/>
      <w:bookmarkEnd w:id="293"/>
      <w:bookmarkEnd w:id="294"/>
      <w:bookmarkEnd w:id="295"/>
      <w:bookmarkEnd w:id="296"/>
      <w:bookmarkEnd w:id="297"/>
      <w:bookmarkEnd w:id="298"/>
      <w:bookmarkEnd w:id="299"/>
      <w:bookmarkEnd w:id="300"/>
    </w:p>
    <w:p w14:paraId="777A38C8">
      <w:pPr>
        <w:tabs>
          <w:tab w:val="left" w:pos="5580"/>
        </w:tabs>
        <w:spacing w:line="360" w:lineRule="auto"/>
        <w:rPr>
          <w:rFonts w:hint="eastAsia" w:ascii="宋体" w:hAnsi="宋体" w:eastAsia="宋体" w:cs="宋体"/>
          <w:color w:val="auto"/>
          <w:sz w:val="24"/>
          <w:highlight w:val="none"/>
        </w:rPr>
      </w:pPr>
    </w:p>
    <w:p w14:paraId="79AC5367">
      <w:pP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投标书</w:t>
      </w:r>
    </w:p>
    <w:p w14:paraId="61F1B255">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（采购人或采购代理机构）</w:t>
      </w:r>
    </w:p>
    <w:p w14:paraId="7F4D7066">
      <w:pPr>
        <w:tabs>
          <w:tab w:val="left" w:pos="5580"/>
        </w:tabs>
        <w:spacing w:line="360" w:lineRule="auto"/>
        <w:rPr>
          <w:rFonts w:hint="eastAsia" w:ascii="宋体" w:hAnsi="宋体" w:eastAsia="宋体" w:cs="宋体"/>
          <w:color w:val="auto"/>
          <w:sz w:val="24"/>
          <w:szCs w:val="20"/>
          <w:highlight w:val="none"/>
        </w:rPr>
      </w:pPr>
    </w:p>
    <w:p w14:paraId="7957845B">
      <w:pPr>
        <w:tabs>
          <w:tab w:val="left" w:pos="5580"/>
        </w:tabs>
        <w:spacing w:line="360" w:lineRule="auto"/>
        <w:ind w:firstLine="408"/>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我方参加你方就</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rPr>
        <w:t>（</w:t>
      </w:r>
      <w:r>
        <w:rPr>
          <w:rFonts w:hint="eastAsia" w:ascii="宋体" w:hAnsi="宋体" w:eastAsia="宋体" w:cs="宋体"/>
          <w:color w:val="auto"/>
          <w:sz w:val="24"/>
          <w:szCs w:val="20"/>
          <w:highlight w:val="none"/>
          <w:lang w:eastAsia="zh-CN"/>
        </w:rPr>
        <w:t>标的名称</w:t>
      </w:r>
      <w:r>
        <w:rPr>
          <w:rFonts w:hint="eastAsia" w:ascii="宋体" w:hAnsi="宋体" w:eastAsia="宋体" w:cs="宋体"/>
          <w:color w:val="auto"/>
          <w:sz w:val="24"/>
          <w:szCs w:val="20"/>
          <w:highlight w:val="none"/>
        </w:rPr>
        <w:t>，项目编号/包号）组织的招标活动，并对此项目进行投标。</w:t>
      </w:r>
    </w:p>
    <w:p w14:paraId="01958030">
      <w:pPr>
        <w:tabs>
          <w:tab w:val="left" w:pos="5580"/>
        </w:tabs>
        <w:spacing w:line="360" w:lineRule="auto"/>
        <w:ind w:firstLine="408"/>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 我方</w:t>
      </w:r>
      <w:r>
        <w:rPr>
          <w:rFonts w:hint="eastAsia" w:ascii="宋体" w:hAnsi="宋体" w:eastAsia="宋体" w:cs="宋体"/>
          <w:color w:val="auto"/>
          <w:sz w:val="24"/>
          <w:highlight w:val="none"/>
        </w:rPr>
        <w:t>已详细审查全部招标文件</w:t>
      </w:r>
      <w:r>
        <w:rPr>
          <w:rFonts w:hint="eastAsia" w:ascii="宋体" w:hAnsi="宋体" w:eastAsia="宋体" w:cs="宋体"/>
          <w:color w:val="auto"/>
          <w:sz w:val="24"/>
          <w:szCs w:val="20"/>
          <w:highlight w:val="none"/>
        </w:rPr>
        <w:t>，自愿参与投标并承诺如下：</w:t>
      </w:r>
    </w:p>
    <w:p w14:paraId="4096C060">
      <w:pPr>
        <w:tabs>
          <w:tab w:val="left" w:pos="720"/>
          <w:tab w:val="left" w:pos="900"/>
        </w:tabs>
        <w:spacing w:line="360" w:lineRule="auto"/>
        <w:ind w:left="360" w:firstLine="72" w:firstLineChars="3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（1）本投标有效期为自提交投标文件的截止之日起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szCs w:val="20"/>
          <w:highlight w:val="none"/>
        </w:rPr>
        <w:t>个日历日。</w:t>
      </w:r>
    </w:p>
    <w:p w14:paraId="6F932B4D">
      <w:pPr>
        <w:tabs>
          <w:tab w:val="left" w:pos="720"/>
          <w:tab w:val="left" w:pos="900"/>
        </w:tabs>
        <w:spacing w:line="360" w:lineRule="auto"/>
        <w:ind w:left="360" w:firstLine="72" w:firstLineChars="3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（2）除合同条款及采购需求偏离表列出的偏离外，我方响应招标文件的全部要求。</w:t>
      </w:r>
    </w:p>
    <w:p w14:paraId="377A45C1">
      <w:pPr>
        <w:tabs>
          <w:tab w:val="left" w:pos="5580"/>
        </w:tabs>
        <w:spacing w:line="360" w:lineRule="auto"/>
        <w:ind w:firstLine="420" w:firstLineChars="175"/>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（3）我方已提供的全部文件资料是真实、准确的，并对此承担一切法律后果。</w:t>
      </w:r>
    </w:p>
    <w:p w14:paraId="27134FDC">
      <w:pPr>
        <w:tabs>
          <w:tab w:val="left" w:pos="5580"/>
        </w:tabs>
        <w:spacing w:line="360" w:lineRule="auto"/>
        <w:ind w:firstLine="420" w:firstLineChars="175"/>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（4）如我方中标，我方将在法律规定的期限内与你方签订合同，按照招标文件要求提交履约保证金，并在合同约定的期限内完成合同规定的全部义务。</w:t>
      </w:r>
    </w:p>
    <w:p w14:paraId="74464DBA">
      <w:pPr>
        <w:spacing w:line="360" w:lineRule="auto"/>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2. 其他补充条款（如有）：</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highlight w:val="none"/>
        </w:rPr>
        <w:t>。</w:t>
      </w:r>
    </w:p>
    <w:p w14:paraId="55F1A04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与本投标有关的一切正式往来信函请寄：</w:t>
      </w:r>
    </w:p>
    <w:p w14:paraId="02D0849B">
      <w:pPr>
        <w:tabs>
          <w:tab w:val="left" w:pos="5580"/>
        </w:tabs>
        <w:spacing w:line="360" w:lineRule="auto"/>
        <w:ind w:left="420"/>
        <w:rPr>
          <w:rFonts w:hint="eastAsia" w:ascii="宋体" w:hAnsi="宋体" w:eastAsia="宋体" w:cs="宋体"/>
          <w:color w:val="auto"/>
          <w:sz w:val="24"/>
          <w:szCs w:val="20"/>
          <w:highlight w:val="none"/>
        </w:rPr>
      </w:pPr>
    </w:p>
    <w:p w14:paraId="5540E7CB">
      <w:pPr>
        <w:tabs>
          <w:tab w:val="left" w:pos="5580"/>
        </w:tabs>
        <w:spacing w:line="360" w:lineRule="auto"/>
        <w:ind w:left="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地址</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rPr>
        <w:t xml:space="preserve">    传真</w:t>
      </w:r>
      <w:r>
        <w:rPr>
          <w:rFonts w:hint="eastAsia" w:ascii="宋体" w:hAnsi="宋体" w:eastAsia="宋体" w:cs="宋体"/>
          <w:color w:val="auto"/>
          <w:sz w:val="24"/>
          <w:szCs w:val="20"/>
          <w:highlight w:val="none"/>
          <w:u w:val="single"/>
          <w:lang w:val="en-US" w:eastAsia="zh-CN"/>
        </w:rPr>
        <w:t xml:space="preserve">                                        </w:t>
      </w:r>
    </w:p>
    <w:p w14:paraId="00B8FA37">
      <w:pPr>
        <w:tabs>
          <w:tab w:val="left" w:pos="5580"/>
        </w:tabs>
        <w:spacing w:line="360" w:lineRule="auto"/>
        <w:ind w:left="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电话</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rPr>
        <w:t xml:space="preserve">     电子函件</w:t>
      </w:r>
      <w:r>
        <w:rPr>
          <w:rFonts w:hint="eastAsia" w:ascii="宋体" w:hAnsi="宋体" w:eastAsia="宋体" w:cs="宋体"/>
          <w:color w:val="auto"/>
          <w:sz w:val="24"/>
          <w:szCs w:val="20"/>
          <w:highlight w:val="none"/>
          <w:u w:val="single"/>
          <w:lang w:val="en-US" w:eastAsia="zh-CN"/>
        </w:rPr>
        <w:t xml:space="preserve">                                        </w:t>
      </w:r>
    </w:p>
    <w:p w14:paraId="6588E99D">
      <w:pPr>
        <w:tabs>
          <w:tab w:val="left" w:pos="5580"/>
        </w:tabs>
        <w:spacing w:line="360" w:lineRule="auto"/>
        <w:ind w:left="420"/>
        <w:rPr>
          <w:rFonts w:hint="eastAsia" w:ascii="宋体" w:hAnsi="宋体" w:eastAsia="宋体" w:cs="宋体"/>
          <w:color w:val="auto"/>
          <w:sz w:val="24"/>
          <w:szCs w:val="20"/>
          <w:highlight w:val="none"/>
        </w:rPr>
      </w:pPr>
    </w:p>
    <w:p w14:paraId="170B9D54">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b/>
          <w:bCs/>
          <w:color w:val="auto"/>
          <w:highlight w:val="none"/>
        </w:rPr>
      </w:pPr>
      <w:r>
        <w:rPr>
          <w:rFonts w:hint="eastAsia" w:ascii="宋体" w:hAnsi="宋体" w:eastAsia="宋体" w:cs="宋体"/>
          <w:color w:val="auto"/>
          <w:highlight w:val="none"/>
        </w:rPr>
        <w:t>投标人</w:t>
      </w:r>
      <w:r>
        <w:rPr>
          <w:rFonts w:hint="eastAsia" w:ascii="宋体" w:hAnsi="宋体" w:eastAsia="宋体" w:cs="宋体"/>
          <w:color w:val="auto"/>
          <w:highlight w:val="none"/>
          <w:lang w:val="en-US" w:eastAsia="zh-CN"/>
        </w:rPr>
        <w:t>名称</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电子签章</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r>
        <w:rPr>
          <w:rFonts w:hint="eastAsia" w:ascii="宋体" w:hAnsi="宋体" w:eastAsia="宋体" w:cs="宋体"/>
          <w:color w:val="auto"/>
          <w:highlight w:val="none"/>
          <w:u w:val="single"/>
          <w:lang w:val="en-US" w:eastAsia="zh-CN"/>
        </w:rPr>
        <w:t xml:space="preserve">                           </w:t>
      </w:r>
    </w:p>
    <w:p w14:paraId="64E513EB">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法定代表人或委托代理人（电子签章或签字）</w:t>
      </w:r>
      <w:r>
        <w:rPr>
          <w:rFonts w:hint="eastAsia" w:ascii="宋体" w:hAnsi="宋体" w:eastAsia="宋体" w:cs="宋体"/>
          <w:color w:val="auto"/>
          <w:highlight w:val="none"/>
        </w:rPr>
        <w:t>：</w:t>
      </w:r>
      <w:r>
        <w:rPr>
          <w:rFonts w:hint="eastAsia" w:ascii="宋体" w:hAnsi="宋体" w:eastAsia="宋体" w:cs="宋体"/>
          <w:color w:val="auto"/>
          <w:highlight w:val="none"/>
          <w:u w:val="single"/>
          <w:lang w:val="en-US" w:eastAsia="zh-CN"/>
        </w:rPr>
        <w:t xml:space="preserve">                  </w:t>
      </w:r>
    </w:p>
    <w:p w14:paraId="48FADA04">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日</w:t>
      </w:r>
    </w:p>
    <w:p w14:paraId="2269CE5D">
      <w:pPr>
        <w:tabs>
          <w:tab w:val="left" w:pos="5580"/>
        </w:tabs>
        <w:spacing w:line="360" w:lineRule="auto"/>
        <w:ind w:left="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w:t>
      </w:r>
    </w:p>
    <w:p w14:paraId="140C2C1E">
      <w:pPr>
        <w:tabs>
          <w:tab w:val="left" w:pos="5580"/>
        </w:tabs>
        <w:spacing w:line="360" w:lineRule="auto"/>
        <w:ind w:left="420"/>
        <w:rPr>
          <w:rFonts w:hint="eastAsia" w:ascii="宋体" w:hAnsi="宋体" w:eastAsia="宋体" w:cs="宋体"/>
          <w:color w:val="auto"/>
          <w:sz w:val="24"/>
          <w:szCs w:val="20"/>
          <w:highlight w:val="none"/>
          <w:u w:val="single"/>
        </w:rPr>
      </w:pPr>
    </w:p>
    <w:p w14:paraId="228A5675">
      <w:pPr>
        <w:widowControl/>
        <w:jc w:val="left"/>
        <w:rPr>
          <w:rFonts w:hint="eastAsia" w:ascii="宋体" w:hAnsi="宋体" w:eastAsia="宋体" w:cs="宋体"/>
          <w:color w:val="auto"/>
          <w:sz w:val="24"/>
          <w:highlight w:val="none"/>
        </w:rPr>
      </w:pPr>
      <w:bookmarkStart w:id="301" w:name="_Hlt520356243"/>
      <w:bookmarkEnd w:id="301"/>
      <w:bookmarkStart w:id="302" w:name="_Hlt520355938"/>
      <w:bookmarkEnd w:id="302"/>
      <w:bookmarkStart w:id="303" w:name="_Toc305158825"/>
      <w:bookmarkStart w:id="304" w:name="_Toc226965830"/>
      <w:bookmarkStart w:id="305" w:name="_Toc264969247"/>
      <w:bookmarkStart w:id="306" w:name="_Toc150480795"/>
      <w:bookmarkStart w:id="307" w:name="_Toc480942350"/>
      <w:bookmarkStart w:id="308" w:name="_Toc305158899"/>
      <w:bookmarkStart w:id="309" w:name="_Ref467988705"/>
      <w:bookmarkStart w:id="310" w:name="_Toc520356218"/>
      <w:bookmarkStart w:id="311" w:name="_Toc226337253"/>
      <w:bookmarkStart w:id="312" w:name="_Toc226965747"/>
      <w:bookmarkStart w:id="313" w:name="_Toc195842922"/>
      <w:bookmarkStart w:id="314" w:name="_Toc265228395"/>
      <w:bookmarkStart w:id="315" w:name="_Toc142311059"/>
      <w:bookmarkStart w:id="316" w:name="_Toc150774762"/>
      <w:bookmarkStart w:id="317" w:name="_Toc226309801"/>
      <w:bookmarkStart w:id="318" w:name="_Toc127151557"/>
      <w:r>
        <w:rPr>
          <w:rFonts w:hint="eastAsia" w:ascii="宋体" w:hAnsi="宋体" w:eastAsia="宋体" w:cs="宋体"/>
          <w:color w:val="auto"/>
          <w:sz w:val="24"/>
          <w:highlight w:val="none"/>
        </w:rPr>
        <w:br w:type="page"/>
      </w:r>
    </w:p>
    <w:p w14:paraId="3E51F419">
      <w:pPr>
        <w:spacing w:line="360" w:lineRule="auto"/>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授权委托书</w:t>
      </w:r>
    </w:p>
    <w:p w14:paraId="7E296A42">
      <w:pPr>
        <w:spacing w:line="360" w:lineRule="exac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授权委托书</w:t>
      </w:r>
    </w:p>
    <w:p w14:paraId="01D8DD3E">
      <w:pPr>
        <w:spacing w:line="360" w:lineRule="auto"/>
        <w:ind w:firstLine="420"/>
        <w:rPr>
          <w:rFonts w:hint="eastAsia" w:ascii="宋体" w:hAnsi="宋体" w:eastAsia="宋体" w:cs="宋体"/>
          <w:color w:val="auto"/>
          <w:sz w:val="24"/>
          <w:szCs w:val="20"/>
          <w:highlight w:val="none"/>
        </w:rPr>
      </w:pPr>
    </w:p>
    <w:p w14:paraId="24F74E69">
      <w:pPr>
        <w:spacing w:line="360" w:lineRule="auto"/>
        <w:ind w:firstLine="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本人</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rPr>
        <w:t>（姓名）系</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rPr>
        <w:t>（投标人名称）的法定代表人（单位负责人），现委托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szCs w:val="20"/>
          <w:highlight w:val="none"/>
        </w:rPr>
        <w:t>（姓名）为我方代理人。代理人根据授权，以我方名义签署、澄清确认、</w:t>
      </w:r>
      <w:r>
        <w:rPr>
          <w:rFonts w:hint="eastAsia" w:ascii="宋体" w:hAnsi="宋体" w:eastAsia="宋体" w:cs="宋体"/>
          <w:color w:val="auto"/>
          <w:sz w:val="24"/>
          <w:szCs w:val="20"/>
          <w:highlight w:val="none"/>
          <w:lang w:eastAsia="zh-CN"/>
        </w:rPr>
        <w:t>提</w:t>
      </w:r>
      <w:r>
        <w:rPr>
          <w:rFonts w:hint="eastAsia" w:ascii="宋体" w:hAnsi="宋体" w:eastAsia="宋体" w:cs="宋体"/>
          <w:color w:val="auto"/>
          <w:sz w:val="24"/>
          <w:szCs w:val="20"/>
          <w:highlight w:val="none"/>
        </w:rPr>
        <w:t>交、撤回、修改</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rPr>
        <w:t>（</w:t>
      </w:r>
      <w:r>
        <w:rPr>
          <w:rFonts w:hint="eastAsia" w:ascii="宋体" w:hAnsi="宋体" w:eastAsia="宋体" w:cs="宋体"/>
          <w:color w:val="auto"/>
          <w:sz w:val="24"/>
          <w:szCs w:val="20"/>
          <w:highlight w:val="none"/>
          <w:lang w:eastAsia="zh-CN"/>
        </w:rPr>
        <w:t>标的名称</w:t>
      </w:r>
      <w:r>
        <w:rPr>
          <w:rFonts w:hint="eastAsia" w:ascii="宋体" w:hAnsi="宋体" w:eastAsia="宋体" w:cs="宋体"/>
          <w:color w:val="auto"/>
          <w:sz w:val="24"/>
          <w:szCs w:val="20"/>
          <w:highlight w:val="none"/>
        </w:rPr>
        <w:t>）</w:t>
      </w:r>
      <w:r>
        <w:rPr>
          <w:rFonts w:hint="eastAsia" w:ascii="宋体" w:hAnsi="宋体" w:eastAsia="宋体" w:cs="宋体"/>
          <w:color w:val="auto"/>
          <w:sz w:val="24"/>
          <w:szCs w:val="20"/>
          <w:highlight w:val="none"/>
          <w:lang w:eastAsia="zh-CN"/>
        </w:rPr>
        <w:t>投标</w:t>
      </w:r>
      <w:r>
        <w:rPr>
          <w:rFonts w:hint="eastAsia" w:ascii="宋体" w:hAnsi="宋体" w:eastAsia="宋体" w:cs="宋体"/>
          <w:color w:val="auto"/>
          <w:sz w:val="24"/>
          <w:szCs w:val="20"/>
          <w:highlight w:val="none"/>
        </w:rPr>
        <w:t>文件和处理有关事宜，其法律后果由我方承担。</w:t>
      </w:r>
    </w:p>
    <w:p w14:paraId="1E0EF903">
      <w:pPr>
        <w:spacing w:line="360" w:lineRule="auto"/>
        <w:ind w:firstLine="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委托期限：自本授权委托书签署之日起至</w:t>
      </w:r>
      <w:r>
        <w:rPr>
          <w:rFonts w:hint="eastAsia" w:ascii="宋体" w:hAnsi="宋体" w:eastAsia="宋体" w:cs="宋体"/>
          <w:color w:val="auto"/>
          <w:sz w:val="24"/>
          <w:szCs w:val="20"/>
          <w:highlight w:val="none"/>
          <w:lang w:eastAsia="zh-CN"/>
        </w:rPr>
        <w:t>投标</w:t>
      </w:r>
      <w:r>
        <w:rPr>
          <w:rFonts w:hint="eastAsia" w:ascii="宋体" w:hAnsi="宋体" w:eastAsia="宋体" w:cs="宋体"/>
          <w:color w:val="auto"/>
          <w:sz w:val="24"/>
          <w:szCs w:val="20"/>
          <w:highlight w:val="none"/>
        </w:rPr>
        <w:t>有效期届满之日止。</w:t>
      </w:r>
    </w:p>
    <w:p w14:paraId="0A710BF3">
      <w:pPr>
        <w:spacing w:line="360" w:lineRule="auto"/>
        <w:ind w:firstLine="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代理人无转委托权。</w:t>
      </w:r>
      <w:r>
        <w:rPr>
          <w:rFonts w:hint="eastAsia" w:ascii="宋体" w:hAnsi="宋体" w:eastAsia="宋体" w:cs="宋体"/>
          <w:color w:val="auto"/>
          <w:sz w:val="24"/>
          <w:szCs w:val="20"/>
          <w:highlight w:val="none"/>
        </w:rPr>
        <w:cr/>
      </w:r>
    </w:p>
    <w:p w14:paraId="698F20C9">
      <w:pPr>
        <w:spacing w:line="360" w:lineRule="auto"/>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投标人名称（</w:t>
      </w:r>
      <w:r>
        <w:rPr>
          <w:rFonts w:hint="eastAsia" w:ascii="宋体" w:hAnsi="宋体" w:eastAsia="宋体" w:cs="宋体"/>
          <w:color w:val="auto"/>
          <w:sz w:val="24"/>
          <w:highlight w:val="none"/>
          <w:lang w:eastAsia="zh-CN"/>
        </w:rPr>
        <w:t>电子签章</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CN"/>
        </w:rPr>
        <w:t>：</w:t>
      </w:r>
      <w:r>
        <w:rPr>
          <w:rFonts w:hint="eastAsia" w:ascii="宋体" w:hAnsi="宋体" w:eastAsia="宋体" w:cs="宋体"/>
          <w:color w:val="auto"/>
          <w:sz w:val="24"/>
          <w:szCs w:val="20"/>
          <w:highlight w:val="none"/>
          <w:u w:val="single"/>
          <w:lang w:val="en-US" w:eastAsia="zh-CN"/>
        </w:rPr>
        <w:t xml:space="preserve">                                    </w:t>
      </w:r>
    </w:p>
    <w:p w14:paraId="13FF38C0">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法定代表人（单位负责人）（签字</w:t>
      </w:r>
      <w:r>
        <w:rPr>
          <w:rFonts w:hint="eastAsia" w:ascii="宋体" w:hAnsi="宋体" w:eastAsia="宋体" w:cs="宋体"/>
          <w:color w:val="auto"/>
          <w:sz w:val="24"/>
          <w:szCs w:val="20"/>
          <w:highlight w:val="none"/>
          <w:lang w:eastAsia="zh-CN"/>
        </w:rPr>
        <w:t>或</w:t>
      </w:r>
      <w:r>
        <w:rPr>
          <w:rFonts w:hint="eastAsia" w:ascii="宋体" w:hAnsi="宋体" w:eastAsia="宋体" w:cs="宋体"/>
          <w:color w:val="auto"/>
          <w:sz w:val="24"/>
          <w:szCs w:val="20"/>
          <w:highlight w:val="none"/>
        </w:rPr>
        <w:t>签章）：</w:t>
      </w:r>
      <w:r>
        <w:rPr>
          <w:rFonts w:hint="eastAsia" w:ascii="宋体" w:hAnsi="宋体" w:eastAsia="宋体" w:cs="宋体"/>
          <w:color w:val="auto"/>
          <w:sz w:val="24"/>
          <w:szCs w:val="20"/>
          <w:highlight w:val="none"/>
          <w:u w:val="single"/>
          <w:lang w:val="en-US" w:eastAsia="zh-CN"/>
        </w:rPr>
        <w:t xml:space="preserve">                                    </w:t>
      </w:r>
    </w:p>
    <w:p w14:paraId="69599AC9">
      <w:pPr>
        <w:autoSpaceDE w:val="0"/>
        <w:autoSpaceDN w:val="0"/>
        <w:adjustRightInd w:val="0"/>
        <w:snapToGrid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委托代理人：</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                      </w:t>
      </w:r>
    </w:p>
    <w:p w14:paraId="37FF7858">
      <w:pPr>
        <w:autoSpaceDE w:val="0"/>
        <w:autoSpaceDN w:val="0"/>
        <w:adjustRightInd w:val="0"/>
        <w:snapToGrid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日期：</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highlight w:val="none"/>
        </w:rPr>
        <w:t>日</w:t>
      </w:r>
    </w:p>
    <w:p w14:paraId="1C714D33">
      <w:pPr>
        <w:tabs>
          <w:tab w:val="left" w:pos="5580"/>
        </w:tabs>
        <w:spacing w:line="360" w:lineRule="auto"/>
        <w:ind w:firstLine="480" w:firstLineChars="200"/>
        <w:rPr>
          <w:rFonts w:hint="eastAsia" w:ascii="宋体" w:hAnsi="宋体" w:eastAsia="宋体" w:cs="宋体"/>
          <w:color w:val="auto"/>
          <w:sz w:val="24"/>
          <w:szCs w:val="20"/>
          <w:highlight w:val="none"/>
        </w:rPr>
      </w:pPr>
    </w:p>
    <w:p w14:paraId="053B3137">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附：</w:t>
      </w:r>
      <w:r>
        <w:rPr>
          <w:rFonts w:hint="eastAsia" w:ascii="宋体" w:hAnsi="宋体" w:eastAsia="宋体" w:cs="宋体"/>
          <w:b/>
          <w:bCs/>
          <w:color w:val="auto"/>
          <w:sz w:val="24"/>
          <w:szCs w:val="20"/>
          <w:highlight w:val="none"/>
          <w:lang w:val="en-US" w:eastAsia="zh-CN"/>
        </w:rPr>
        <w:t>法定代表人及委托代理人</w:t>
      </w:r>
      <w:r>
        <w:rPr>
          <w:rFonts w:hint="eastAsia" w:ascii="宋体" w:hAnsi="宋体" w:eastAsia="宋体" w:cs="宋体"/>
          <w:color w:val="auto"/>
          <w:sz w:val="24"/>
          <w:szCs w:val="20"/>
          <w:highlight w:val="none"/>
          <w:lang w:val="en-US" w:eastAsia="zh-CN"/>
        </w:rPr>
        <w:t xml:space="preserve">身份证明文件电子件： </w:t>
      </w:r>
    </w:p>
    <w:tbl>
      <w:tblPr>
        <w:tblStyle w:val="25"/>
        <w:tblW w:w="924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43"/>
      </w:tblGrid>
      <w:tr w14:paraId="69F27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0" w:hRule="atLeast"/>
        </w:trPr>
        <w:tc>
          <w:tcPr>
            <w:tcW w:w="9243" w:type="dxa"/>
            <w:noWrap w:val="0"/>
            <w:vAlign w:val="top"/>
          </w:tcPr>
          <w:p w14:paraId="4113811A">
            <w:pPr>
              <w:tabs>
                <w:tab w:val="left" w:pos="5580"/>
              </w:tabs>
              <w:spacing w:line="360" w:lineRule="auto"/>
              <w:jc w:val="left"/>
              <w:rPr>
                <w:rFonts w:hint="eastAsia" w:ascii="宋体" w:hAnsi="宋体" w:eastAsia="宋体" w:cs="宋体"/>
                <w:color w:val="auto"/>
                <w:sz w:val="24"/>
                <w:szCs w:val="20"/>
                <w:highlight w:val="none"/>
              </w:rPr>
            </w:pPr>
          </w:p>
          <w:p w14:paraId="13C5F8DD">
            <w:pPr>
              <w:tabs>
                <w:tab w:val="left" w:pos="5580"/>
              </w:tabs>
              <w:spacing w:line="360" w:lineRule="auto"/>
              <w:jc w:val="left"/>
              <w:rPr>
                <w:rFonts w:hint="eastAsia" w:ascii="宋体" w:hAnsi="宋体" w:eastAsia="宋体" w:cs="宋体"/>
                <w:color w:val="auto"/>
                <w:sz w:val="24"/>
                <w:szCs w:val="20"/>
                <w:highlight w:val="none"/>
              </w:rPr>
            </w:pPr>
          </w:p>
          <w:p w14:paraId="79A51B00">
            <w:pPr>
              <w:tabs>
                <w:tab w:val="left" w:pos="5580"/>
              </w:tabs>
              <w:spacing w:line="360" w:lineRule="auto"/>
              <w:jc w:val="left"/>
              <w:rPr>
                <w:rFonts w:hint="eastAsia" w:ascii="宋体" w:hAnsi="宋体" w:eastAsia="宋体" w:cs="宋体"/>
                <w:color w:val="auto"/>
                <w:sz w:val="24"/>
                <w:szCs w:val="20"/>
                <w:highlight w:val="none"/>
              </w:rPr>
            </w:pPr>
          </w:p>
        </w:tc>
      </w:tr>
    </w:tbl>
    <w:p w14:paraId="6B326AC9">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说明：</w:t>
      </w:r>
    </w:p>
    <w:p w14:paraId="0782A4E0">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szCs w:val="20"/>
          <w:highlight w:val="none"/>
          <w:lang w:val="en-US" w:eastAsia="zh-CN"/>
        </w:rPr>
        <w:t xml:space="preserve">若投标人为事业单位或其他组织或分支机构，则法定代表人（单位负责人）处的签署人可为单位负责人。 </w:t>
      </w:r>
    </w:p>
    <w:p w14:paraId="6BEBAFDD">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szCs w:val="20"/>
          <w:highlight w:val="none"/>
          <w:lang w:val="en-US" w:eastAsia="zh-CN"/>
        </w:rPr>
        <w:t xml:space="preserve">若投标文件中签字之处均为法定代表人（单位负责人）本人签署，则可不提供本《授权委托书》，但须提供《法定代表人（单位负责人）身份证明》。 </w:t>
      </w:r>
    </w:p>
    <w:p w14:paraId="5F6279EE">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szCs w:val="20"/>
          <w:highlight w:val="none"/>
          <w:lang w:val="en-US" w:eastAsia="zh-CN"/>
        </w:rPr>
        <w:t xml:space="preserve">投标人为自然人的情形，可不提供本《授权委托书》。 </w:t>
      </w:r>
    </w:p>
    <w:p w14:paraId="3CA6C4C3">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lang w:val="en-US" w:eastAsia="zh-CN"/>
        </w:rPr>
        <w:t>4.投标人应随本《授权委托书》同时提供</w:t>
      </w:r>
      <w:r>
        <w:rPr>
          <w:rFonts w:hint="eastAsia" w:ascii="宋体" w:hAnsi="宋体" w:eastAsia="宋体" w:cs="宋体"/>
          <w:b/>
          <w:bCs/>
          <w:color w:val="auto"/>
          <w:sz w:val="24"/>
          <w:highlight w:val="none"/>
          <w:lang w:val="en-US" w:eastAsia="zh-CN"/>
        </w:rPr>
        <w:t>法定代表人（单位负责人）及</w:t>
      </w:r>
      <w:r>
        <w:rPr>
          <w:rFonts w:hint="eastAsia" w:ascii="宋体" w:hAnsi="宋体" w:eastAsia="宋体" w:cs="宋体"/>
          <w:b/>
          <w:bCs/>
          <w:color w:val="auto"/>
          <w:sz w:val="24"/>
          <w:szCs w:val="20"/>
          <w:highlight w:val="none"/>
          <w:lang w:val="en-US" w:eastAsia="zh-CN"/>
        </w:rPr>
        <w:t>委托代理人</w:t>
      </w:r>
      <w:r>
        <w:rPr>
          <w:rFonts w:hint="eastAsia" w:ascii="宋体" w:hAnsi="宋体" w:eastAsia="宋体" w:cs="宋体"/>
          <w:color w:val="auto"/>
          <w:sz w:val="24"/>
          <w:szCs w:val="20"/>
          <w:highlight w:val="none"/>
          <w:lang w:val="en-US" w:eastAsia="zh-CN"/>
        </w:rPr>
        <w:t>的有效的身份证或护照等身份证明文件电子件。提供身份证的，应同时提供身份证</w:t>
      </w:r>
      <w:r>
        <w:rPr>
          <w:rFonts w:hint="eastAsia" w:ascii="宋体" w:hAnsi="宋体" w:eastAsia="宋体" w:cs="宋体"/>
          <w:b/>
          <w:bCs/>
          <w:color w:val="auto"/>
          <w:sz w:val="24"/>
          <w:szCs w:val="20"/>
          <w:highlight w:val="none"/>
          <w:lang w:val="en-US" w:eastAsia="zh-CN"/>
        </w:rPr>
        <w:t>双面</w:t>
      </w:r>
      <w:r>
        <w:rPr>
          <w:rFonts w:hint="eastAsia" w:ascii="宋体" w:hAnsi="宋体" w:eastAsia="宋体" w:cs="宋体"/>
          <w:color w:val="auto"/>
          <w:sz w:val="24"/>
          <w:szCs w:val="20"/>
          <w:highlight w:val="none"/>
          <w:lang w:val="en-US" w:eastAsia="zh-CN"/>
        </w:rPr>
        <w:t>电子件。</w:t>
      </w:r>
    </w:p>
    <w:p w14:paraId="56491E75">
      <w:pPr>
        <w:tabs>
          <w:tab w:val="left" w:pos="5580"/>
        </w:tabs>
        <w:spacing w:line="360" w:lineRule="auto"/>
        <w:jc w:val="lef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r>
    </w:p>
    <w:p w14:paraId="58062454">
      <w:pPr>
        <w:spacing w:line="360" w:lineRule="exac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法定代表人（单位负责人）身份证明</w:t>
      </w:r>
    </w:p>
    <w:p w14:paraId="64BBCC3E">
      <w:pPr>
        <w:kinsoku w:val="0"/>
        <w:overflowPunct w:val="0"/>
        <w:spacing w:line="200" w:lineRule="exact"/>
        <w:rPr>
          <w:rFonts w:hint="eastAsia" w:ascii="宋体" w:hAnsi="宋体" w:eastAsia="宋体" w:cs="宋体"/>
          <w:color w:val="auto"/>
          <w:sz w:val="20"/>
          <w:szCs w:val="20"/>
          <w:highlight w:val="none"/>
        </w:rPr>
      </w:pPr>
    </w:p>
    <w:p w14:paraId="52CEFB8E">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（采购人或采购代理机构）</w:t>
      </w:r>
    </w:p>
    <w:p w14:paraId="1D9E0BA2">
      <w:pPr>
        <w:pStyle w:val="9"/>
        <w:tabs>
          <w:tab w:val="left" w:pos="567"/>
          <w:tab w:val="left" w:pos="2412"/>
          <w:tab w:val="left" w:pos="3883"/>
          <w:tab w:val="left" w:pos="5352"/>
          <w:tab w:val="left" w:pos="6821"/>
        </w:tabs>
        <w:kinsoku w:val="0"/>
        <w:overflowPunct w:val="0"/>
        <w:spacing w:line="335"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兹证明，</w:t>
      </w:r>
    </w:p>
    <w:p w14:paraId="62ECF5B0">
      <w:pPr>
        <w:pStyle w:val="9"/>
        <w:tabs>
          <w:tab w:val="left" w:pos="567"/>
          <w:tab w:val="left" w:pos="1690"/>
          <w:tab w:val="left" w:pos="3400"/>
          <w:tab w:val="left" w:pos="5110"/>
          <w:tab w:val="left" w:pos="6821"/>
        </w:tabs>
        <w:kinsoku w:val="0"/>
        <w:overflowPunct w:val="0"/>
        <w:spacing w:line="335" w:lineRule="exact"/>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rPr>
        <w:t>姓名：</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性别：</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年龄：</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职务：</w:t>
      </w:r>
      <w:r>
        <w:rPr>
          <w:rFonts w:hint="eastAsia" w:ascii="宋体" w:hAnsi="宋体" w:eastAsia="宋体" w:cs="宋体"/>
          <w:color w:val="auto"/>
          <w:highlight w:val="none"/>
          <w:u w:val="single"/>
          <w:lang w:val="en-US" w:eastAsia="zh-CN"/>
        </w:rPr>
        <w:t xml:space="preserve">       </w:t>
      </w:r>
    </w:p>
    <w:p w14:paraId="530F4D1C">
      <w:pPr>
        <w:pStyle w:val="9"/>
        <w:tabs>
          <w:tab w:val="left" w:pos="567"/>
          <w:tab w:val="left" w:pos="2412"/>
          <w:tab w:val="left" w:pos="3883"/>
          <w:tab w:val="left" w:pos="5352"/>
          <w:tab w:val="left" w:pos="6821"/>
        </w:tabs>
        <w:kinsoku w:val="0"/>
        <w:overflowPunct w:val="0"/>
        <w:spacing w:line="335" w:lineRule="exact"/>
        <w:rPr>
          <w:rFonts w:hint="eastAsia" w:ascii="宋体" w:hAnsi="宋体" w:eastAsia="宋体" w:cs="宋体"/>
          <w:color w:val="auto"/>
          <w:highlight w:val="none"/>
        </w:rPr>
      </w:pPr>
    </w:p>
    <w:p w14:paraId="055BBC6A">
      <w:pPr>
        <w:pStyle w:val="9"/>
        <w:tabs>
          <w:tab w:val="left" w:pos="2250"/>
          <w:tab w:val="left" w:pos="2412"/>
          <w:tab w:val="left" w:pos="3883"/>
          <w:tab w:val="left" w:pos="5352"/>
          <w:tab w:val="left" w:pos="6821"/>
        </w:tabs>
        <w:kinsoku w:val="0"/>
        <w:overflowPunct w:val="0"/>
        <w:spacing w:line="335" w:lineRule="exact"/>
        <w:rPr>
          <w:rFonts w:hint="eastAsia" w:ascii="宋体" w:hAnsi="宋体" w:eastAsia="宋体" w:cs="宋体"/>
          <w:color w:val="auto"/>
          <w:highlight w:val="none"/>
        </w:rPr>
      </w:pPr>
      <w:r>
        <w:rPr>
          <w:rFonts w:hint="eastAsia" w:ascii="宋体" w:hAnsi="宋体" w:eastAsia="宋体" w:cs="宋体"/>
          <w:color w:val="auto"/>
          <w:highlight w:val="none"/>
        </w:rPr>
        <w:t>系</w:t>
      </w:r>
      <w:r>
        <w:rPr>
          <w:rFonts w:hint="eastAsia" w:ascii="宋体" w:hAnsi="宋体" w:eastAsia="宋体" w:cs="宋体"/>
          <w:color w:val="auto"/>
          <w:highlight w:val="none"/>
          <w:u w:val="single"/>
        </w:rPr>
        <w:tab/>
      </w:r>
      <w:r>
        <w:rPr>
          <w:rFonts w:hint="eastAsia" w:ascii="宋体" w:hAnsi="宋体" w:eastAsia="宋体" w:cs="宋体"/>
          <w:color w:val="auto"/>
          <w:highlight w:val="none"/>
        </w:rPr>
        <w:t>（投标人名称）的法定代表人（单位负责人）。</w:t>
      </w:r>
    </w:p>
    <w:p w14:paraId="3A8D7A7C">
      <w:pPr>
        <w:pStyle w:val="9"/>
        <w:tabs>
          <w:tab w:val="left" w:pos="567"/>
          <w:tab w:val="left" w:pos="2412"/>
          <w:tab w:val="left" w:pos="3883"/>
          <w:tab w:val="left" w:pos="5352"/>
          <w:tab w:val="left" w:pos="6821"/>
        </w:tabs>
        <w:kinsoku w:val="0"/>
        <w:overflowPunct w:val="0"/>
        <w:spacing w:line="335" w:lineRule="exact"/>
        <w:rPr>
          <w:rFonts w:hint="eastAsia" w:ascii="宋体" w:hAnsi="宋体" w:eastAsia="宋体" w:cs="宋体"/>
          <w:color w:val="auto"/>
          <w:highlight w:val="none"/>
        </w:rPr>
      </w:pPr>
    </w:p>
    <w:p w14:paraId="4F8B9C7B">
      <w:pPr>
        <w:pStyle w:val="9"/>
        <w:tabs>
          <w:tab w:val="left" w:pos="567"/>
          <w:tab w:val="left" w:pos="2412"/>
          <w:tab w:val="left" w:pos="3883"/>
          <w:tab w:val="left" w:pos="5352"/>
          <w:tab w:val="left" w:pos="6821"/>
        </w:tabs>
        <w:kinsoku w:val="0"/>
        <w:overflowPunct w:val="0"/>
        <w:spacing w:line="335" w:lineRule="exact"/>
        <w:rPr>
          <w:rFonts w:hint="eastAsia" w:ascii="宋体" w:hAnsi="宋体" w:eastAsia="宋体" w:cs="宋体"/>
          <w:color w:val="auto"/>
          <w:highlight w:val="none"/>
        </w:rPr>
      </w:pPr>
    </w:p>
    <w:p w14:paraId="04188E2B">
      <w:pPr>
        <w:pStyle w:val="9"/>
        <w:tabs>
          <w:tab w:val="left" w:pos="567"/>
          <w:tab w:val="left" w:pos="2412"/>
          <w:tab w:val="left" w:pos="3883"/>
          <w:tab w:val="left" w:pos="5352"/>
          <w:tab w:val="left" w:pos="6821"/>
        </w:tabs>
        <w:kinsoku w:val="0"/>
        <w:overflowPunct w:val="0"/>
        <w:spacing w:line="335" w:lineRule="exact"/>
        <w:rPr>
          <w:rFonts w:hint="eastAsia" w:ascii="宋体" w:hAnsi="宋体" w:eastAsia="宋体" w:cs="宋体"/>
          <w:color w:val="auto"/>
          <w:highlight w:val="none"/>
        </w:rPr>
      </w:pPr>
    </w:p>
    <w:p w14:paraId="493DC157">
      <w:pPr>
        <w:pStyle w:val="9"/>
        <w:tabs>
          <w:tab w:val="left" w:pos="567"/>
        </w:tabs>
        <w:kinsoku w:val="0"/>
        <w:overflowPunct w:val="0"/>
        <w:spacing w:line="583" w:lineRule="auto"/>
        <w:ind w:right="-46"/>
        <w:rPr>
          <w:rFonts w:hint="eastAsia" w:ascii="宋体" w:hAnsi="宋体" w:eastAsia="宋体" w:cs="宋体"/>
          <w:color w:val="auto"/>
          <w:spacing w:val="-3"/>
          <w:highlight w:val="none"/>
        </w:rPr>
      </w:pPr>
      <w:r>
        <w:rPr>
          <w:rFonts w:hint="eastAsia" w:ascii="宋体" w:hAnsi="宋体" w:eastAsia="宋体" w:cs="宋体"/>
          <w:color w:val="auto"/>
          <w:highlight w:val="none"/>
        </w:rPr>
        <w:t>附：</w:t>
      </w:r>
      <w:r>
        <w:rPr>
          <w:rFonts w:hint="eastAsia" w:ascii="宋体" w:hAnsi="宋体" w:eastAsia="宋体" w:cs="宋体"/>
          <w:color w:val="auto"/>
          <w:highlight w:val="none"/>
          <w:lang w:val="en-US" w:eastAsia="zh-CN"/>
        </w:rPr>
        <w:t>法定代表人（单位负责人）身份证或护照等身份证明文件电子件：</w:t>
      </w:r>
    </w:p>
    <w:tbl>
      <w:tblPr>
        <w:tblStyle w:val="25"/>
        <w:tblW w:w="91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62"/>
      </w:tblGrid>
      <w:tr w14:paraId="11BB9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62" w:hRule="atLeast"/>
        </w:trPr>
        <w:tc>
          <w:tcPr>
            <w:tcW w:w="9162" w:type="dxa"/>
            <w:noWrap w:val="0"/>
            <w:vAlign w:val="top"/>
          </w:tcPr>
          <w:p w14:paraId="0C50F282">
            <w:pPr>
              <w:tabs>
                <w:tab w:val="left" w:pos="5580"/>
              </w:tabs>
              <w:spacing w:line="360" w:lineRule="auto"/>
              <w:jc w:val="left"/>
              <w:rPr>
                <w:rFonts w:hint="eastAsia" w:ascii="宋体" w:hAnsi="宋体" w:eastAsia="宋体" w:cs="宋体"/>
                <w:color w:val="auto"/>
                <w:sz w:val="24"/>
                <w:szCs w:val="20"/>
                <w:highlight w:val="none"/>
              </w:rPr>
            </w:pPr>
          </w:p>
          <w:p w14:paraId="2DD5251D">
            <w:pPr>
              <w:tabs>
                <w:tab w:val="left" w:pos="5580"/>
              </w:tabs>
              <w:spacing w:line="360" w:lineRule="auto"/>
              <w:jc w:val="left"/>
              <w:rPr>
                <w:rFonts w:hint="eastAsia" w:ascii="宋体" w:hAnsi="宋体" w:eastAsia="宋体" w:cs="宋体"/>
                <w:color w:val="auto"/>
                <w:sz w:val="24"/>
                <w:szCs w:val="20"/>
                <w:highlight w:val="none"/>
              </w:rPr>
            </w:pPr>
          </w:p>
          <w:p w14:paraId="7FE2BE2B">
            <w:pPr>
              <w:tabs>
                <w:tab w:val="left" w:pos="5580"/>
              </w:tabs>
              <w:spacing w:line="360" w:lineRule="auto"/>
              <w:jc w:val="left"/>
              <w:rPr>
                <w:rFonts w:hint="eastAsia" w:ascii="宋体" w:hAnsi="宋体" w:eastAsia="宋体" w:cs="宋体"/>
                <w:color w:val="auto"/>
                <w:sz w:val="24"/>
                <w:szCs w:val="20"/>
                <w:highlight w:val="none"/>
              </w:rPr>
            </w:pPr>
          </w:p>
        </w:tc>
      </w:tr>
    </w:tbl>
    <w:p w14:paraId="3EEFE258">
      <w:pPr>
        <w:pStyle w:val="9"/>
        <w:tabs>
          <w:tab w:val="left" w:pos="567"/>
        </w:tabs>
        <w:kinsoku w:val="0"/>
        <w:overflowPunct w:val="0"/>
        <w:spacing w:line="583" w:lineRule="auto"/>
        <w:ind w:right="4305"/>
        <w:rPr>
          <w:rFonts w:hint="eastAsia" w:ascii="宋体" w:hAnsi="宋体" w:eastAsia="宋体" w:cs="宋体"/>
          <w:color w:val="auto"/>
          <w:spacing w:val="-3"/>
          <w:highlight w:val="none"/>
        </w:rPr>
      </w:pPr>
    </w:p>
    <w:p w14:paraId="1133C8F0">
      <w:pPr>
        <w:pStyle w:val="9"/>
        <w:tabs>
          <w:tab w:val="left" w:pos="567"/>
        </w:tabs>
        <w:kinsoku w:val="0"/>
        <w:overflowPunct w:val="0"/>
        <w:spacing w:line="583" w:lineRule="auto"/>
        <w:ind w:right="4305"/>
        <w:rPr>
          <w:rFonts w:hint="eastAsia" w:ascii="宋体" w:hAnsi="宋体" w:eastAsia="宋体" w:cs="宋体"/>
          <w:color w:val="auto"/>
          <w:spacing w:val="-3"/>
          <w:highlight w:val="none"/>
        </w:rPr>
      </w:pPr>
    </w:p>
    <w:p w14:paraId="670A6E4C">
      <w:pPr>
        <w:keepNext w:val="0"/>
        <w:keepLines w:val="0"/>
        <w:pageBreakBefore w:val="0"/>
        <w:widowControl/>
        <w:kinsoku w:val="0"/>
        <w:wordWrap/>
        <w:topLinePunct w:val="0"/>
        <w:autoSpaceDE w:val="0"/>
        <w:autoSpaceDN w:val="0"/>
        <w:bidi w:val="0"/>
        <w:adjustRightInd w:val="0"/>
        <w:snapToGrid w:val="0"/>
        <w:spacing w:line="480" w:lineRule="auto"/>
        <w:ind w:right="0"/>
        <w:textAlignment w:val="baseline"/>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投标人名称（</w:t>
      </w:r>
      <w:r>
        <w:rPr>
          <w:rFonts w:hint="eastAsia" w:ascii="宋体" w:hAnsi="宋体" w:eastAsia="宋体" w:cs="宋体"/>
          <w:color w:val="auto"/>
          <w:sz w:val="24"/>
          <w:highlight w:val="none"/>
          <w:lang w:eastAsia="zh-CN"/>
        </w:rPr>
        <w:t>电子签章</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u w:val="single"/>
          <w:lang w:val="en-US" w:eastAsia="zh-CN"/>
        </w:rPr>
        <w:t xml:space="preserve">                </w:t>
      </w:r>
    </w:p>
    <w:p w14:paraId="1B325577">
      <w:pPr>
        <w:pStyle w:val="9"/>
        <w:keepNext w:val="0"/>
        <w:keepLines w:val="0"/>
        <w:pageBreakBefore w:val="0"/>
        <w:widowControl/>
        <w:tabs>
          <w:tab w:val="left" w:pos="567"/>
        </w:tabs>
        <w:kinsoku w:val="0"/>
        <w:wordWrap/>
        <w:overflowPunct w:val="0"/>
        <w:topLinePunct w:val="0"/>
        <w:bidi w:val="0"/>
        <w:adjustRightInd w:val="0"/>
        <w:snapToGrid w:val="0"/>
        <w:spacing w:after="0" w:afterLines="0" w:line="480" w:lineRule="auto"/>
        <w:ind w:right="0"/>
        <w:textAlignment w:val="baseline"/>
        <w:rPr>
          <w:rFonts w:hint="eastAsia" w:ascii="宋体" w:hAnsi="宋体" w:eastAsia="宋体" w:cs="宋体"/>
          <w:color w:val="auto"/>
          <w:sz w:val="24"/>
          <w:highlight w:val="none"/>
        </w:rPr>
      </w:pPr>
      <w:r>
        <w:rPr>
          <w:rFonts w:hint="eastAsia" w:ascii="宋体" w:hAnsi="宋体" w:eastAsia="宋体" w:cs="宋体"/>
          <w:color w:val="auto"/>
          <w:spacing w:val="-3"/>
          <w:highlight w:val="none"/>
        </w:rPr>
        <w:t>法定代表人（</w:t>
      </w:r>
      <w:r>
        <w:rPr>
          <w:rFonts w:hint="eastAsia" w:ascii="宋体" w:hAnsi="宋体" w:eastAsia="宋体" w:cs="宋体"/>
          <w:color w:val="auto"/>
          <w:highlight w:val="none"/>
        </w:rPr>
        <w:t>单位负责人</w:t>
      </w:r>
      <w:r>
        <w:rPr>
          <w:rFonts w:hint="eastAsia" w:ascii="宋体" w:hAnsi="宋体" w:eastAsia="宋体" w:cs="宋体"/>
          <w:color w:val="auto"/>
          <w:spacing w:val="-3"/>
          <w:highlight w:val="none"/>
        </w:rPr>
        <w:t>）（签字</w:t>
      </w:r>
      <w:r>
        <w:rPr>
          <w:rFonts w:hint="eastAsia" w:ascii="宋体" w:hAnsi="宋体" w:eastAsia="宋体" w:cs="宋体"/>
          <w:color w:val="auto"/>
          <w:spacing w:val="-3"/>
          <w:highlight w:val="none"/>
          <w:lang w:eastAsia="zh-CN"/>
        </w:rPr>
        <w:t>或</w:t>
      </w:r>
      <w:r>
        <w:rPr>
          <w:rFonts w:hint="eastAsia" w:ascii="宋体" w:hAnsi="宋体" w:eastAsia="宋体" w:cs="宋体"/>
          <w:color w:val="auto"/>
          <w:spacing w:val="-3"/>
          <w:highlight w:val="none"/>
        </w:rPr>
        <w:t>签章）：</w:t>
      </w:r>
      <w:r>
        <w:rPr>
          <w:rFonts w:hint="eastAsia" w:ascii="宋体" w:hAnsi="宋体" w:eastAsia="宋体" w:cs="宋体"/>
          <w:color w:val="auto"/>
          <w:sz w:val="24"/>
          <w:highlight w:val="none"/>
          <w:u w:val="single"/>
          <w:lang w:val="en-US" w:eastAsia="zh-CN"/>
        </w:rPr>
        <w:t xml:space="preserve">               </w:t>
      </w:r>
    </w:p>
    <w:p w14:paraId="1C0DFF27">
      <w:pPr>
        <w:keepNext w:val="0"/>
        <w:keepLines w:val="0"/>
        <w:pageBreakBefore w:val="0"/>
        <w:widowControl/>
        <w:kinsoku w:val="0"/>
        <w:wordWrap/>
        <w:topLinePunct w:val="0"/>
        <w:autoSpaceDE w:val="0"/>
        <w:autoSpaceDN w:val="0"/>
        <w:bidi w:val="0"/>
        <w:adjustRightInd w:val="0"/>
        <w:snapToGrid w:val="0"/>
        <w:spacing w:line="480" w:lineRule="auto"/>
        <w:ind w:right="0"/>
        <w:textAlignment w:val="baseline"/>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p>
    <w:p w14:paraId="3CF3C342">
      <w:pPr>
        <w:widowControl/>
        <w:jc w:val="left"/>
        <w:rPr>
          <w:rFonts w:hint="eastAsia" w:ascii="宋体" w:hAnsi="宋体" w:eastAsia="宋体" w:cs="宋体"/>
          <w:i/>
          <w:color w:val="auto"/>
          <w:sz w:val="24"/>
          <w:szCs w:val="20"/>
          <w:highlight w:val="none"/>
          <w:u w:val="single"/>
        </w:rPr>
      </w:pPr>
    </w:p>
    <w:p w14:paraId="45312FA1">
      <w:pPr>
        <w:widowControl/>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r>
    </w:p>
    <w:p w14:paraId="07E55A24">
      <w:pPr>
        <w:spacing w:line="360" w:lineRule="auto"/>
        <w:jc w:val="left"/>
        <w:outlineLvl w:val="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开标一览表</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14:paraId="34068F10">
      <w:pPr>
        <w:tabs>
          <w:tab w:val="left" w:pos="1800"/>
          <w:tab w:val="left" w:pos="55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lang w:val="en-US" w:eastAsia="zh-CN"/>
        </w:rPr>
        <w:t>/包号</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lang w:val="en-US" w:eastAsia="zh-CN"/>
        </w:rPr>
        <w:t xml:space="preserve">               </w:t>
      </w:r>
    </w:p>
    <w:p w14:paraId="306FF474">
      <w:pPr>
        <w:tabs>
          <w:tab w:val="left" w:pos="1800"/>
          <w:tab w:val="left" w:pos="5580"/>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标的名称</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   </w:t>
      </w:r>
    </w:p>
    <w:tbl>
      <w:tblPr>
        <w:tblStyle w:val="25"/>
        <w:tblW w:w="96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81"/>
        <w:gridCol w:w="7318"/>
      </w:tblGrid>
      <w:tr w14:paraId="0FEB1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32" w:hRule="exact"/>
        </w:trPr>
        <w:tc>
          <w:tcPr>
            <w:tcW w:w="2381" w:type="dxa"/>
            <w:vAlign w:val="center"/>
          </w:tcPr>
          <w:p w14:paraId="4A564E9D">
            <w:pPr>
              <w:keepNext w:val="0"/>
              <w:keepLines w:val="0"/>
              <w:pageBreakBefore w:val="0"/>
              <w:widowControl w:val="0"/>
              <w:kinsoku/>
              <w:wordWrap/>
              <w:overflowPunct/>
              <w:topLinePunct w:val="0"/>
              <w:autoSpaceDE w:val="0"/>
              <w:autoSpaceDN w:val="0"/>
              <w:bidi w:val="0"/>
              <w:adjustRightInd/>
              <w:snapToGrid/>
              <w:spacing w:line="480" w:lineRule="auto"/>
              <w:ind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项</w:t>
            </w:r>
            <w:r>
              <w:rPr>
                <w:rFonts w:hint="eastAsia" w:ascii="宋体" w:hAnsi="宋体" w:eastAsia="宋体" w:cs="宋体"/>
                <w:color w:val="auto"/>
                <w:highlight w:val="none"/>
              </w:rPr>
              <w:tab/>
            </w:r>
            <w:r>
              <w:rPr>
                <w:rFonts w:hint="eastAsia" w:ascii="宋体" w:hAnsi="宋体" w:eastAsia="宋体" w:cs="宋体"/>
                <w:color w:val="auto"/>
                <w:highlight w:val="none"/>
              </w:rPr>
              <w:t>目</w:t>
            </w:r>
          </w:p>
        </w:tc>
        <w:tc>
          <w:tcPr>
            <w:tcW w:w="7318" w:type="dxa"/>
            <w:vAlign w:val="center"/>
          </w:tcPr>
          <w:p w14:paraId="26F4A2EA">
            <w:pPr>
              <w:keepNext w:val="0"/>
              <w:keepLines w:val="0"/>
              <w:pageBreakBefore w:val="0"/>
              <w:widowControl w:val="0"/>
              <w:kinsoku/>
              <w:wordWrap/>
              <w:overflowPunct/>
              <w:topLinePunct w:val="0"/>
              <w:autoSpaceDE w:val="0"/>
              <w:autoSpaceDN w:val="0"/>
              <w:bidi w:val="0"/>
              <w:adjustRightInd/>
              <w:snapToGrid/>
              <w:spacing w:line="480" w:lineRule="auto"/>
              <w:ind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填写内容</w:t>
            </w:r>
          </w:p>
        </w:tc>
      </w:tr>
      <w:tr w14:paraId="015DA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4" w:hRule="exact"/>
        </w:trPr>
        <w:tc>
          <w:tcPr>
            <w:tcW w:w="2381" w:type="dxa"/>
            <w:tcBorders>
              <w:top w:val="nil"/>
            </w:tcBorders>
            <w:vAlign w:val="center"/>
          </w:tcPr>
          <w:p w14:paraId="1CEEABA6">
            <w:pPr>
              <w:keepNext w:val="0"/>
              <w:keepLines w:val="0"/>
              <w:pageBreakBefore w:val="0"/>
              <w:widowControl w:val="0"/>
              <w:kinsoku/>
              <w:wordWrap/>
              <w:overflowPunct/>
              <w:topLinePunct w:val="0"/>
              <w:autoSpaceDE w:val="0"/>
              <w:autoSpaceDN w:val="0"/>
              <w:bidi w:val="0"/>
              <w:adjustRightInd/>
              <w:snapToGrid/>
              <w:spacing w:line="480" w:lineRule="auto"/>
              <w:ind w:firstLine="0" w:firstLineChars="0"/>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投标报价</w:t>
            </w:r>
          </w:p>
        </w:tc>
        <w:tc>
          <w:tcPr>
            <w:tcW w:w="7318" w:type="dxa"/>
            <w:vAlign w:val="center"/>
          </w:tcPr>
          <w:p w14:paraId="0A119E2F">
            <w:pPr>
              <w:keepNext w:val="0"/>
              <w:keepLines w:val="0"/>
              <w:pageBreakBefore w:val="0"/>
              <w:widowControl w:val="0"/>
              <w:kinsoku/>
              <w:wordWrap/>
              <w:overflowPunct/>
              <w:topLinePunct w:val="0"/>
              <w:autoSpaceDE w:val="0"/>
              <w:autoSpaceDN w:val="0"/>
              <w:bidi w:val="0"/>
              <w:adjustRightInd/>
              <w:snapToGrid/>
              <w:spacing w:line="480" w:lineRule="auto"/>
              <w:ind w:firstLine="0" w:firstLineChars="0"/>
              <w:jc w:val="lef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按照《云南省人力资源和社会保障厅云南省财政厅关于发布&lt;云南省2026年职业培训补贴标准目录&gt;的通知》（云人社通〔2026〕17号）《云南省人力资源和社会保障厅云南省财政厅印发&lt;云南省关于实施大规模职业技能提升行动的十五条措施&gt;的通知》（云人社函〔2025〕33 号）执行（若服务期间发布新的文件，按新文件执行），以实际培训工种、培训补贴标准及合格人数进行结算｡</w:t>
            </w:r>
          </w:p>
          <w:p w14:paraId="6C71E048">
            <w:pPr>
              <w:keepNext w:val="0"/>
              <w:keepLines w:val="0"/>
              <w:pageBreakBefore w:val="0"/>
              <w:widowControl w:val="0"/>
              <w:kinsoku/>
              <w:wordWrap/>
              <w:overflowPunct/>
              <w:topLinePunct w:val="0"/>
              <w:autoSpaceDE w:val="0"/>
              <w:autoSpaceDN w:val="0"/>
              <w:bidi w:val="0"/>
              <w:adjustRightInd/>
              <w:snapToGrid/>
              <w:spacing w:line="480" w:lineRule="auto"/>
              <w:ind w:firstLine="0" w:firstLineChars="0"/>
              <w:jc w:val="center"/>
              <w:textAlignment w:val="auto"/>
              <w:rPr>
                <w:rFonts w:hint="eastAsia" w:ascii="宋体" w:hAnsi="宋体" w:eastAsia="宋体" w:cs="宋体"/>
                <w:color w:val="auto"/>
                <w:highlight w:val="none"/>
              </w:rPr>
            </w:pPr>
          </w:p>
        </w:tc>
      </w:tr>
      <w:tr w14:paraId="644C5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2" w:hRule="exact"/>
        </w:trPr>
        <w:tc>
          <w:tcPr>
            <w:tcW w:w="2381" w:type="dxa"/>
            <w:tcBorders>
              <w:top w:val="nil"/>
            </w:tcBorders>
            <w:vAlign w:val="center"/>
          </w:tcPr>
          <w:p w14:paraId="6A238F78">
            <w:pPr>
              <w:keepNext w:val="0"/>
              <w:keepLines w:val="0"/>
              <w:pageBreakBefore w:val="0"/>
              <w:widowControl w:val="0"/>
              <w:kinsoku/>
              <w:wordWrap/>
              <w:overflowPunct/>
              <w:topLinePunct w:val="0"/>
              <w:autoSpaceDE w:val="0"/>
              <w:autoSpaceDN w:val="0"/>
              <w:bidi w:val="0"/>
              <w:adjustRightInd/>
              <w:snapToGrid/>
              <w:spacing w:line="480" w:lineRule="auto"/>
              <w:ind w:firstLine="0" w:firstLineChars="0"/>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lang w:val="en-US" w:eastAsia="zh-CN"/>
              </w:rPr>
              <w:t>服务时间</w:t>
            </w:r>
          </w:p>
        </w:tc>
        <w:tc>
          <w:tcPr>
            <w:tcW w:w="7318" w:type="dxa"/>
            <w:vAlign w:val="center"/>
          </w:tcPr>
          <w:p w14:paraId="24ABBADE">
            <w:pPr>
              <w:keepNext w:val="0"/>
              <w:keepLines w:val="0"/>
              <w:pageBreakBefore w:val="0"/>
              <w:widowControl w:val="0"/>
              <w:kinsoku/>
              <w:wordWrap/>
              <w:overflowPunct/>
              <w:topLinePunct w:val="0"/>
              <w:autoSpaceDE w:val="0"/>
              <w:autoSpaceDN w:val="0"/>
              <w:bidi w:val="0"/>
              <w:adjustRightInd/>
              <w:snapToGrid/>
              <w:spacing w:line="480" w:lineRule="auto"/>
              <w:ind w:firstLine="0" w:firstLineChars="0"/>
              <w:jc w:val="center"/>
              <w:textAlignment w:val="auto"/>
              <w:rPr>
                <w:rFonts w:hint="eastAsia" w:ascii="宋体" w:hAnsi="宋体" w:eastAsia="宋体" w:cs="宋体"/>
                <w:color w:val="auto"/>
                <w:highlight w:val="none"/>
              </w:rPr>
            </w:pPr>
          </w:p>
        </w:tc>
      </w:tr>
      <w:tr w14:paraId="45CE4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2" w:hRule="exact"/>
        </w:trPr>
        <w:tc>
          <w:tcPr>
            <w:tcW w:w="2381" w:type="dxa"/>
            <w:tcBorders>
              <w:top w:val="nil"/>
            </w:tcBorders>
            <w:vAlign w:val="center"/>
          </w:tcPr>
          <w:p w14:paraId="07F01DD8">
            <w:pPr>
              <w:keepNext w:val="0"/>
              <w:keepLines w:val="0"/>
              <w:pageBreakBefore w:val="0"/>
              <w:widowControl w:val="0"/>
              <w:kinsoku/>
              <w:wordWrap/>
              <w:overflowPunct/>
              <w:topLinePunct w:val="0"/>
              <w:autoSpaceDE w:val="0"/>
              <w:autoSpaceDN w:val="0"/>
              <w:bidi w:val="0"/>
              <w:adjustRightInd/>
              <w:snapToGrid/>
              <w:spacing w:line="480" w:lineRule="auto"/>
              <w:ind w:firstLine="0" w:firstLineChars="0"/>
              <w:jc w:val="center"/>
              <w:textAlignment w:val="auto"/>
              <w:rPr>
                <w:rFonts w:hint="eastAsia" w:ascii="宋体" w:hAnsi="宋体" w:eastAsia="宋体" w:cs="宋体"/>
                <w:color w:val="auto"/>
                <w:highlight w:val="none"/>
                <w:lang w:val="en-US"/>
              </w:rPr>
            </w:pPr>
            <w:r>
              <w:rPr>
                <w:rFonts w:hint="eastAsia" w:ascii="宋体" w:hAnsi="宋体" w:eastAsia="宋体" w:cs="宋体"/>
                <w:color w:val="auto"/>
                <w:highlight w:val="none"/>
                <w:lang w:val="en-US" w:eastAsia="zh-CN"/>
              </w:rPr>
              <w:t>服务质量</w:t>
            </w:r>
          </w:p>
        </w:tc>
        <w:tc>
          <w:tcPr>
            <w:tcW w:w="7318" w:type="dxa"/>
            <w:vAlign w:val="center"/>
          </w:tcPr>
          <w:p w14:paraId="69F5ACC1">
            <w:pPr>
              <w:keepNext w:val="0"/>
              <w:keepLines w:val="0"/>
              <w:pageBreakBefore w:val="0"/>
              <w:widowControl w:val="0"/>
              <w:kinsoku/>
              <w:wordWrap/>
              <w:overflowPunct/>
              <w:topLinePunct w:val="0"/>
              <w:autoSpaceDE w:val="0"/>
              <w:autoSpaceDN w:val="0"/>
              <w:bidi w:val="0"/>
              <w:adjustRightInd/>
              <w:snapToGrid/>
              <w:spacing w:line="480" w:lineRule="auto"/>
              <w:ind w:firstLine="0" w:firstLineChars="0"/>
              <w:jc w:val="center"/>
              <w:textAlignment w:val="auto"/>
              <w:rPr>
                <w:rFonts w:hint="eastAsia" w:ascii="宋体" w:hAnsi="宋体" w:eastAsia="宋体" w:cs="宋体"/>
                <w:color w:val="auto"/>
                <w:highlight w:val="none"/>
              </w:rPr>
            </w:pPr>
          </w:p>
        </w:tc>
      </w:tr>
      <w:tr w14:paraId="5D52D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0" w:hRule="exact"/>
        </w:trPr>
        <w:tc>
          <w:tcPr>
            <w:tcW w:w="2381" w:type="dxa"/>
            <w:tcBorders>
              <w:top w:val="nil"/>
            </w:tcBorders>
            <w:vAlign w:val="center"/>
          </w:tcPr>
          <w:p w14:paraId="5EAB5B39">
            <w:pPr>
              <w:keepNext w:val="0"/>
              <w:keepLines w:val="0"/>
              <w:pageBreakBefore w:val="0"/>
              <w:widowControl w:val="0"/>
              <w:kinsoku/>
              <w:wordWrap/>
              <w:overflowPunct/>
              <w:topLinePunct w:val="0"/>
              <w:autoSpaceDE w:val="0"/>
              <w:autoSpaceDN w:val="0"/>
              <w:bidi w:val="0"/>
              <w:adjustRightInd/>
              <w:snapToGrid/>
              <w:spacing w:line="480" w:lineRule="auto"/>
              <w:ind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备注</w:t>
            </w:r>
          </w:p>
        </w:tc>
        <w:tc>
          <w:tcPr>
            <w:tcW w:w="7318" w:type="dxa"/>
            <w:vAlign w:val="center"/>
          </w:tcPr>
          <w:p w14:paraId="2B041E53">
            <w:pPr>
              <w:keepNext w:val="0"/>
              <w:keepLines w:val="0"/>
              <w:pageBreakBefore w:val="0"/>
              <w:widowControl w:val="0"/>
              <w:kinsoku/>
              <w:wordWrap/>
              <w:overflowPunct/>
              <w:topLinePunct w:val="0"/>
              <w:autoSpaceDE w:val="0"/>
              <w:autoSpaceDN w:val="0"/>
              <w:bidi w:val="0"/>
              <w:adjustRightInd/>
              <w:snapToGrid/>
              <w:spacing w:line="480" w:lineRule="auto"/>
              <w:ind w:firstLine="0" w:firstLineChars="0"/>
              <w:jc w:val="center"/>
              <w:textAlignment w:val="auto"/>
              <w:rPr>
                <w:rFonts w:hint="eastAsia" w:ascii="宋体" w:hAnsi="宋体" w:eastAsia="宋体" w:cs="宋体"/>
                <w:color w:val="auto"/>
                <w:highlight w:val="none"/>
              </w:rPr>
            </w:pPr>
          </w:p>
        </w:tc>
      </w:tr>
    </w:tbl>
    <w:p w14:paraId="6FDDA26A">
      <w:pPr>
        <w:tabs>
          <w:tab w:val="left" w:pos="1800"/>
          <w:tab w:val="left" w:pos="5580"/>
        </w:tabs>
        <w:jc w:val="left"/>
        <w:rPr>
          <w:rFonts w:hint="eastAsia" w:ascii="宋体" w:hAnsi="宋体" w:eastAsia="宋体" w:cs="宋体"/>
          <w:color w:val="auto"/>
          <w:sz w:val="24"/>
          <w:highlight w:val="none"/>
        </w:rPr>
      </w:pPr>
    </w:p>
    <w:p w14:paraId="60780E2C">
      <w:pPr>
        <w:tabs>
          <w:tab w:val="left" w:pos="1800"/>
          <w:tab w:val="left" w:pos="5580"/>
        </w:tabs>
        <w:jc w:val="left"/>
        <w:rPr>
          <w:rFonts w:hint="eastAsia" w:ascii="宋体" w:hAnsi="宋体" w:eastAsia="宋体" w:cs="宋体"/>
          <w:color w:val="auto"/>
          <w:sz w:val="24"/>
          <w:highlight w:val="none"/>
        </w:rPr>
      </w:pPr>
    </w:p>
    <w:p w14:paraId="659E4406">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b/>
          <w:bCs/>
          <w:color w:val="auto"/>
          <w:highlight w:val="none"/>
        </w:rPr>
      </w:pPr>
      <w:r>
        <w:rPr>
          <w:rFonts w:hint="eastAsia" w:ascii="宋体" w:hAnsi="宋体" w:eastAsia="宋体" w:cs="宋体"/>
          <w:color w:val="auto"/>
          <w:highlight w:val="none"/>
        </w:rPr>
        <w:t>投标人</w:t>
      </w:r>
      <w:r>
        <w:rPr>
          <w:rFonts w:hint="eastAsia" w:ascii="宋体" w:hAnsi="宋体" w:eastAsia="宋体" w:cs="宋体"/>
          <w:color w:val="auto"/>
          <w:highlight w:val="none"/>
          <w:lang w:val="en-US" w:eastAsia="zh-CN"/>
        </w:rPr>
        <w:t>名称</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电子签章</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r>
        <w:rPr>
          <w:rFonts w:hint="eastAsia" w:ascii="宋体" w:hAnsi="宋体" w:eastAsia="宋体" w:cs="宋体"/>
          <w:color w:val="auto"/>
          <w:highlight w:val="none"/>
          <w:u w:val="single"/>
          <w:lang w:val="en-US" w:eastAsia="zh-CN"/>
        </w:rPr>
        <w:t xml:space="preserve">                           </w:t>
      </w:r>
    </w:p>
    <w:p w14:paraId="2EFF63D2">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法定代表人或委托代理人（电子签章或签字）</w:t>
      </w:r>
      <w:r>
        <w:rPr>
          <w:rFonts w:hint="eastAsia" w:ascii="宋体" w:hAnsi="宋体" w:eastAsia="宋体" w:cs="宋体"/>
          <w:color w:val="auto"/>
          <w:highlight w:val="none"/>
        </w:rPr>
        <w:t>：</w:t>
      </w:r>
      <w:r>
        <w:rPr>
          <w:rFonts w:hint="eastAsia" w:ascii="宋体" w:hAnsi="宋体" w:eastAsia="宋体" w:cs="宋体"/>
          <w:color w:val="auto"/>
          <w:highlight w:val="none"/>
          <w:u w:val="single"/>
          <w:lang w:val="en-US" w:eastAsia="zh-CN"/>
        </w:rPr>
        <w:t xml:space="preserve">                  </w:t>
      </w:r>
    </w:p>
    <w:p w14:paraId="057842EE">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日</w:t>
      </w:r>
    </w:p>
    <w:p w14:paraId="7DE84C17">
      <w:pPr>
        <w:autoSpaceDE w:val="0"/>
        <w:autoSpaceDN w:val="0"/>
        <w:adjustRightInd w:val="0"/>
        <w:snapToGrid w:val="0"/>
        <w:spacing w:before="25" w:after="25" w:line="360" w:lineRule="auto"/>
        <w:ind w:left="0" w:leftChars="0" w:firstLine="0" w:firstLineChars="0"/>
        <w:rPr>
          <w:rFonts w:hint="eastAsia" w:ascii="宋体" w:hAnsi="宋体" w:eastAsia="宋体" w:cs="宋体"/>
          <w:color w:val="auto"/>
          <w:highlight w:val="none"/>
        </w:rPr>
      </w:pPr>
      <w:bookmarkStart w:id="319" w:name="_Toc305158903"/>
      <w:bookmarkStart w:id="320" w:name="_Toc142311061"/>
      <w:bookmarkStart w:id="321" w:name="_Toc150774764"/>
      <w:bookmarkStart w:id="322" w:name="_Toc265228399"/>
      <w:bookmarkStart w:id="323" w:name="_Toc127151561"/>
      <w:bookmarkStart w:id="324" w:name="_Toc150480797"/>
      <w:bookmarkStart w:id="325" w:name="_Toc226965751"/>
      <w:bookmarkStart w:id="326" w:name="_Toc226337257"/>
      <w:bookmarkStart w:id="327" w:name="_Toc305158829"/>
      <w:bookmarkStart w:id="328" w:name="_Toc226309805"/>
      <w:bookmarkStart w:id="329" w:name="_Toc264969251"/>
      <w:bookmarkStart w:id="330" w:name="_Toc226965834"/>
      <w:bookmarkStart w:id="331" w:name="_Toc195842926"/>
    </w:p>
    <w:p w14:paraId="216DCFA1">
      <w:pPr>
        <w:autoSpaceDE w:val="0"/>
        <w:autoSpaceDN w:val="0"/>
        <w:adjustRightInd w:val="0"/>
        <w:snapToGrid w:val="0"/>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w:t>
      </w:r>
      <w:r>
        <w:rPr>
          <w:rFonts w:hint="eastAsia" w:ascii="宋体" w:hAnsi="宋体" w:eastAsia="宋体" w:cs="宋体"/>
          <w:color w:val="auto"/>
          <w:sz w:val="24"/>
          <w:szCs w:val="20"/>
          <w:highlight w:val="none"/>
        </w:rPr>
        <w:br w:type="page"/>
      </w:r>
      <w:r>
        <w:rPr>
          <w:rFonts w:hint="eastAsia" w:ascii="宋体" w:hAnsi="宋体" w:eastAsia="宋体" w:cs="宋体"/>
          <w:color w:val="auto"/>
          <w:sz w:val="24"/>
          <w:szCs w:val="20"/>
          <w:highlight w:val="none"/>
          <w:lang w:val="en-US" w:eastAsia="zh-CN"/>
        </w:rPr>
        <w:t>4</w:t>
      </w:r>
      <w:bookmarkEnd w:id="319"/>
      <w:bookmarkEnd w:id="320"/>
      <w:bookmarkEnd w:id="321"/>
      <w:bookmarkEnd w:id="322"/>
      <w:bookmarkEnd w:id="323"/>
      <w:bookmarkEnd w:id="324"/>
      <w:bookmarkEnd w:id="325"/>
      <w:bookmarkEnd w:id="326"/>
      <w:bookmarkEnd w:id="327"/>
      <w:bookmarkEnd w:id="328"/>
      <w:bookmarkEnd w:id="329"/>
      <w:bookmarkEnd w:id="330"/>
      <w:bookmarkEnd w:id="331"/>
      <w:r>
        <w:rPr>
          <w:rFonts w:hint="eastAsia" w:ascii="宋体" w:hAnsi="宋体" w:eastAsia="宋体" w:cs="宋体"/>
          <w:color w:val="auto"/>
          <w:sz w:val="24"/>
          <w:szCs w:val="20"/>
          <w:highlight w:val="none"/>
          <w:lang w:val="en-US" w:eastAsia="zh-CN"/>
        </w:rPr>
        <w:t>、</w:t>
      </w:r>
      <w:r>
        <w:rPr>
          <w:rFonts w:hint="eastAsia" w:ascii="宋体" w:hAnsi="宋体" w:eastAsia="宋体" w:cs="宋体"/>
          <w:color w:val="auto"/>
          <w:sz w:val="24"/>
          <w:szCs w:val="20"/>
          <w:highlight w:val="none"/>
        </w:rPr>
        <w:t>采购需求偏离表</w:t>
      </w:r>
    </w:p>
    <w:p w14:paraId="07B3339A">
      <w:pPr>
        <w:autoSpaceDE w:val="0"/>
        <w:autoSpaceDN w:val="0"/>
        <w:adjustRightInd w:val="0"/>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采购需求偏离表</w:t>
      </w:r>
    </w:p>
    <w:p w14:paraId="56261C04">
      <w:pPr>
        <w:tabs>
          <w:tab w:val="left" w:pos="1800"/>
          <w:tab w:val="left" w:pos="5580"/>
        </w:tabs>
        <w:spacing w:line="360" w:lineRule="auto"/>
        <w:ind w:firstLine="360" w:firstLineChars="150"/>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项目编号/包号：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标的名称</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lang w:val="en-US" w:eastAsia="zh-CN"/>
        </w:rPr>
        <w:t xml:space="preserve">                      </w:t>
      </w:r>
    </w:p>
    <w:tbl>
      <w:tblPr>
        <w:tblStyle w:val="2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E616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7358B685">
            <w:pPr>
              <w:adjustRightInd w:val="0"/>
              <w:snapToGrid w:val="0"/>
              <w:spacing w:line="240" w:lineRule="auto"/>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482" w:type="dxa"/>
            <w:noWrap w:val="0"/>
            <w:vAlign w:val="center"/>
          </w:tcPr>
          <w:p w14:paraId="73A6E8A1">
            <w:pPr>
              <w:adjustRightInd w:val="0"/>
              <w:snapToGrid w:val="0"/>
              <w:spacing w:line="240" w:lineRule="auto"/>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招标文件条目号(页码)</w:t>
            </w:r>
          </w:p>
        </w:tc>
        <w:tc>
          <w:tcPr>
            <w:tcW w:w="2384" w:type="dxa"/>
            <w:noWrap w:val="0"/>
            <w:vAlign w:val="center"/>
          </w:tcPr>
          <w:p w14:paraId="34927793">
            <w:pPr>
              <w:adjustRightInd w:val="0"/>
              <w:snapToGrid w:val="0"/>
              <w:spacing w:line="240" w:lineRule="auto"/>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招标文件要求</w:t>
            </w:r>
          </w:p>
        </w:tc>
        <w:tc>
          <w:tcPr>
            <w:tcW w:w="2126" w:type="dxa"/>
            <w:noWrap w:val="0"/>
            <w:vAlign w:val="center"/>
          </w:tcPr>
          <w:p w14:paraId="306BB497">
            <w:pPr>
              <w:adjustRightInd w:val="0"/>
              <w:snapToGrid w:val="0"/>
              <w:spacing w:line="240" w:lineRule="auto"/>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投标响应内容</w:t>
            </w:r>
          </w:p>
        </w:tc>
        <w:tc>
          <w:tcPr>
            <w:tcW w:w="1875" w:type="dxa"/>
            <w:noWrap w:val="0"/>
            <w:vAlign w:val="center"/>
          </w:tcPr>
          <w:p w14:paraId="3762CF9C">
            <w:pPr>
              <w:adjustRightInd w:val="0"/>
              <w:snapToGrid w:val="0"/>
              <w:spacing w:line="240" w:lineRule="auto"/>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偏离情况</w:t>
            </w:r>
          </w:p>
        </w:tc>
        <w:tc>
          <w:tcPr>
            <w:tcW w:w="1009" w:type="dxa"/>
            <w:noWrap w:val="0"/>
            <w:vAlign w:val="center"/>
          </w:tcPr>
          <w:p w14:paraId="0C4E0CBB">
            <w:pPr>
              <w:adjustRightInd w:val="0"/>
              <w:snapToGrid w:val="0"/>
              <w:spacing w:line="240" w:lineRule="auto"/>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说明</w:t>
            </w:r>
          </w:p>
        </w:tc>
      </w:tr>
      <w:tr w14:paraId="205D6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8A7BE87">
            <w:pPr>
              <w:adjustRightInd w:val="0"/>
              <w:snapToGrid w:val="0"/>
              <w:jc w:val="center"/>
              <w:rPr>
                <w:rFonts w:hint="eastAsia" w:ascii="宋体" w:hAnsi="宋体" w:eastAsia="宋体" w:cs="宋体"/>
                <w:color w:val="auto"/>
                <w:sz w:val="24"/>
                <w:highlight w:val="none"/>
              </w:rPr>
            </w:pPr>
          </w:p>
        </w:tc>
        <w:tc>
          <w:tcPr>
            <w:tcW w:w="1482" w:type="dxa"/>
            <w:noWrap w:val="0"/>
            <w:vAlign w:val="center"/>
          </w:tcPr>
          <w:p w14:paraId="1E37A94A">
            <w:pPr>
              <w:adjustRightInd w:val="0"/>
              <w:snapToGrid w:val="0"/>
              <w:jc w:val="center"/>
              <w:rPr>
                <w:rFonts w:hint="eastAsia" w:ascii="宋体" w:hAnsi="宋体" w:eastAsia="宋体" w:cs="宋体"/>
                <w:color w:val="auto"/>
                <w:sz w:val="24"/>
                <w:highlight w:val="none"/>
              </w:rPr>
            </w:pPr>
          </w:p>
        </w:tc>
        <w:tc>
          <w:tcPr>
            <w:tcW w:w="2384" w:type="dxa"/>
            <w:noWrap w:val="0"/>
            <w:vAlign w:val="center"/>
          </w:tcPr>
          <w:p w14:paraId="4CE1D00D">
            <w:pPr>
              <w:adjustRightInd w:val="0"/>
              <w:snapToGrid w:val="0"/>
              <w:jc w:val="center"/>
              <w:rPr>
                <w:rFonts w:hint="eastAsia" w:ascii="宋体" w:hAnsi="宋体" w:eastAsia="宋体" w:cs="宋体"/>
                <w:color w:val="auto"/>
                <w:sz w:val="24"/>
                <w:highlight w:val="none"/>
              </w:rPr>
            </w:pPr>
          </w:p>
        </w:tc>
        <w:tc>
          <w:tcPr>
            <w:tcW w:w="2126" w:type="dxa"/>
            <w:noWrap w:val="0"/>
            <w:vAlign w:val="center"/>
          </w:tcPr>
          <w:p w14:paraId="64209155">
            <w:pPr>
              <w:adjustRightInd w:val="0"/>
              <w:snapToGrid w:val="0"/>
              <w:jc w:val="center"/>
              <w:rPr>
                <w:rFonts w:hint="eastAsia" w:ascii="宋体" w:hAnsi="宋体" w:eastAsia="宋体" w:cs="宋体"/>
                <w:color w:val="auto"/>
                <w:sz w:val="24"/>
                <w:highlight w:val="none"/>
              </w:rPr>
            </w:pPr>
          </w:p>
        </w:tc>
        <w:tc>
          <w:tcPr>
            <w:tcW w:w="1875" w:type="dxa"/>
            <w:noWrap w:val="0"/>
            <w:vAlign w:val="center"/>
          </w:tcPr>
          <w:p w14:paraId="6498AA98">
            <w:pPr>
              <w:adjustRightInd w:val="0"/>
              <w:snapToGrid w:val="0"/>
              <w:jc w:val="center"/>
              <w:rPr>
                <w:rFonts w:hint="eastAsia" w:ascii="宋体" w:hAnsi="宋体" w:eastAsia="宋体" w:cs="宋体"/>
                <w:color w:val="auto"/>
                <w:sz w:val="24"/>
                <w:highlight w:val="none"/>
              </w:rPr>
            </w:pPr>
          </w:p>
        </w:tc>
        <w:tc>
          <w:tcPr>
            <w:tcW w:w="1009" w:type="dxa"/>
            <w:noWrap w:val="0"/>
            <w:vAlign w:val="center"/>
          </w:tcPr>
          <w:p w14:paraId="584D4D88">
            <w:pPr>
              <w:adjustRightInd w:val="0"/>
              <w:snapToGrid w:val="0"/>
              <w:jc w:val="center"/>
              <w:rPr>
                <w:rFonts w:hint="eastAsia" w:ascii="宋体" w:hAnsi="宋体" w:eastAsia="宋体" w:cs="宋体"/>
                <w:color w:val="auto"/>
                <w:sz w:val="24"/>
                <w:highlight w:val="none"/>
              </w:rPr>
            </w:pPr>
          </w:p>
        </w:tc>
      </w:tr>
      <w:tr w14:paraId="5C42A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2A288DD">
            <w:pPr>
              <w:adjustRightInd w:val="0"/>
              <w:snapToGrid w:val="0"/>
              <w:jc w:val="center"/>
              <w:rPr>
                <w:rFonts w:hint="eastAsia" w:ascii="宋体" w:hAnsi="宋体" w:eastAsia="宋体" w:cs="宋体"/>
                <w:color w:val="auto"/>
                <w:sz w:val="24"/>
                <w:highlight w:val="none"/>
              </w:rPr>
            </w:pPr>
          </w:p>
        </w:tc>
        <w:tc>
          <w:tcPr>
            <w:tcW w:w="1482" w:type="dxa"/>
            <w:noWrap w:val="0"/>
            <w:vAlign w:val="center"/>
          </w:tcPr>
          <w:p w14:paraId="6C0889F3">
            <w:pPr>
              <w:adjustRightInd w:val="0"/>
              <w:snapToGrid w:val="0"/>
              <w:jc w:val="center"/>
              <w:rPr>
                <w:rFonts w:hint="eastAsia" w:ascii="宋体" w:hAnsi="宋体" w:eastAsia="宋体" w:cs="宋体"/>
                <w:color w:val="auto"/>
                <w:sz w:val="24"/>
                <w:highlight w:val="none"/>
              </w:rPr>
            </w:pPr>
          </w:p>
        </w:tc>
        <w:tc>
          <w:tcPr>
            <w:tcW w:w="2384" w:type="dxa"/>
            <w:noWrap w:val="0"/>
            <w:vAlign w:val="center"/>
          </w:tcPr>
          <w:p w14:paraId="02A365C8">
            <w:pPr>
              <w:adjustRightInd w:val="0"/>
              <w:snapToGrid w:val="0"/>
              <w:jc w:val="center"/>
              <w:rPr>
                <w:rFonts w:hint="eastAsia" w:ascii="宋体" w:hAnsi="宋体" w:eastAsia="宋体" w:cs="宋体"/>
                <w:color w:val="auto"/>
                <w:sz w:val="24"/>
                <w:highlight w:val="none"/>
              </w:rPr>
            </w:pPr>
          </w:p>
        </w:tc>
        <w:tc>
          <w:tcPr>
            <w:tcW w:w="2126" w:type="dxa"/>
            <w:noWrap w:val="0"/>
            <w:vAlign w:val="center"/>
          </w:tcPr>
          <w:p w14:paraId="51FADAB3">
            <w:pPr>
              <w:adjustRightInd w:val="0"/>
              <w:snapToGrid w:val="0"/>
              <w:jc w:val="center"/>
              <w:rPr>
                <w:rFonts w:hint="eastAsia" w:ascii="宋体" w:hAnsi="宋体" w:eastAsia="宋体" w:cs="宋体"/>
                <w:color w:val="auto"/>
                <w:sz w:val="24"/>
                <w:highlight w:val="none"/>
              </w:rPr>
            </w:pPr>
          </w:p>
        </w:tc>
        <w:tc>
          <w:tcPr>
            <w:tcW w:w="1875" w:type="dxa"/>
            <w:noWrap w:val="0"/>
            <w:vAlign w:val="center"/>
          </w:tcPr>
          <w:p w14:paraId="473AF6C1">
            <w:pPr>
              <w:adjustRightInd w:val="0"/>
              <w:snapToGrid w:val="0"/>
              <w:jc w:val="center"/>
              <w:rPr>
                <w:rFonts w:hint="eastAsia" w:ascii="宋体" w:hAnsi="宋体" w:eastAsia="宋体" w:cs="宋体"/>
                <w:color w:val="auto"/>
                <w:sz w:val="24"/>
                <w:highlight w:val="none"/>
              </w:rPr>
            </w:pPr>
          </w:p>
        </w:tc>
        <w:tc>
          <w:tcPr>
            <w:tcW w:w="1009" w:type="dxa"/>
            <w:noWrap w:val="0"/>
            <w:vAlign w:val="center"/>
          </w:tcPr>
          <w:p w14:paraId="00C4D998">
            <w:pPr>
              <w:adjustRightInd w:val="0"/>
              <w:snapToGrid w:val="0"/>
              <w:jc w:val="center"/>
              <w:rPr>
                <w:rFonts w:hint="eastAsia" w:ascii="宋体" w:hAnsi="宋体" w:eastAsia="宋体" w:cs="宋体"/>
                <w:color w:val="auto"/>
                <w:sz w:val="24"/>
                <w:highlight w:val="none"/>
              </w:rPr>
            </w:pPr>
          </w:p>
        </w:tc>
      </w:tr>
      <w:tr w14:paraId="5F085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914FA42">
            <w:pPr>
              <w:adjustRightInd w:val="0"/>
              <w:snapToGrid w:val="0"/>
              <w:jc w:val="center"/>
              <w:rPr>
                <w:rFonts w:hint="eastAsia" w:ascii="宋体" w:hAnsi="宋体" w:eastAsia="宋体" w:cs="宋体"/>
                <w:color w:val="auto"/>
                <w:sz w:val="24"/>
                <w:highlight w:val="none"/>
              </w:rPr>
            </w:pPr>
          </w:p>
        </w:tc>
        <w:tc>
          <w:tcPr>
            <w:tcW w:w="1482" w:type="dxa"/>
            <w:noWrap w:val="0"/>
            <w:vAlign w:val="center"/>
          </w:tcPr>
          <w:p w14:paraId="3AC38E66">
            <w:pPr>
              <w:adjustRightInd w:val="0"/>
              <w:snapToGrid w:val="0"/>
              <w:jc w:val="center"/>
              <w:rPr>
                <w:rFonts w:hint="eastAsia" w:ascii="宋体" w:hAnsi="宋体" w:eastAsia="宋体" w:cs="宋体"/>
                <w:color w:val="auto"/>
                <w:sz w:val="24"/>
                <w:highlight w:val="none"/>
              </w:rPr>
            </w:pPr>
          </w:p>
        </w:tc>
        <w:tc>
          <w:tcPr>
            <w:tcW w:w="2384" w:type="dxa"/>
            <w:noWrap w:val="0"/>
            <w:vAlign w:val="center"/>
          </w:tcPr>
          <w:p w14:paraId="61F3A746">
            <w:pPr>
              <w:adjustRightInd w:val="0"/>
              <w:snapToGrid w:val="0"/>
              <w:jc w:val="center"/>
              <w:rPr>
                <w:rFonts w:hint="eastAsia" w:ascii="宋体" w:hAnsi="宋体" w:eastAsia="宋体" w:cs="宋体"/>
                <w:color w:val="auto"/>
                <w:sz w:val="24"/>
                <w:highlight w:val="none"/>
              </w:rPr>
            </w:pPr>
          </w:p>
        </w:tc>
        <w:tc>
          <w:tcPr>
            <w:tcW w:w="2126" w:type="dxa"/>
            <w:noWrap w:val="0"/>
            <w:vAlign w:val="center"/>
          </w:tcPr>
          <w:p w14:paraId="4CEE3E07">
            <w:pPr>
              <w:adjustRightInd w:val="0"/>
              <w:snapToGrid w:val="0"/>
              <w:jc w:val="center"/>
              <w:rPr>
                <w:rFonts w:hint="eastAsia" w:ascii="宋体" w:hAnsi="宋体" w:eastAsia="宋体" w:cs="宋体"/>
                <w:color w:val="auto"/>
                <w:sz w:val="24"/>
                <w:highlight w:val="none"/>
              </w:rPr>
            </w:pPr>
          </w:p>
        </w:tc>
        <w:tc>
          <w:tcPr>
            <w:tcW w:w="1875" w:type="dxa"/>
            <w:noWrap w:val="0"/>
            <w:vAlign w:val="center"/>
          </w:tcPr>
          <w:p w14:paraId="6772EC1C">
            <w:pPr>
              <w:adjustRightInd w:val="0"/>
              <w:snapToGrid w:val="0"/>
              <w:jc w:val="center"/>
              <w:rPr>
                <w:rFonts w:hint="eastAsia" w:ascii="宋体" w:hAnsi="宋体" w:eastAsia="宋体" w:cs="宋体"/>
                <w:color w:val="auto"/>
                <w:sz w:val="24"/>
                <w:highlight w:val="none"/>
              </w:rPr>
            </w:pPr>
          </w:p>
        </w:tc>
        <w:tc>
          <w:tcPr>
            <w:tcW w:w="1009" w:type="dxa"/>
            <w:noWrap w:val="0"/>
            <w:vAlign w:val="center"/>
          </w:tcPr>
          <w:p w14:paraId="55719B2B">
            <w:pPr>
              <w:adjustRightInd w:val="0"/>
              <w:snapToGrid w:val="0"/>
              <w:jc w:val="center"/>
              <w:rPr>
                <w:rFonts w:hint="eastAsia" w:ascii="宋体" w:hAnsi="宋体" w:eastAsia="宋体" w:cs="宋体"/>
                <w:color w:val="auto"/>
                <w:sz w:val="24"/>
                <w:highlight w:val="none"/>
              </w:rPr>
            </w:pPr>
          </w:p>
        </w:tc>
      </w:tr>
      <w:tr w14:paraId="2E406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8492F32">
            <w:pPr>
              <w:adjustRightInd w:val="0"/>
              <w:snapToGrid w:val="0"/>
              <w:jc w:val="center"/>
              <w:rPr>
                <w:rFonts w:hint="eastAsia" w:ascii="宋体" w:hAnsi="宋体" w:eastAsia="宋体" w:cs="宋体"/>
                <w:color w:val="auto"/>
                <w:sz w:val="24"/>
                <w:highlight w:val="none"/>
              </w:rPr>
            </w:pPr>
          </w:p>
        </w:tc>
        <w:tc>
          <w:tcPr>
            <w:tcW w:w="1482" w:type="dxa"/>
            <w:noWrap w:val="0"/>
            <w:vAlign w:val="center"/>
          </w:tcPr>
          <w:p w14:paraId="401A4195">
            <w:pPr>
              <w:adjustRightInd w:val="0"/>
              <w:snapToGrid w:val="0"/>
              <w:jc w:val="center"/>
              <w:rPr>
                <w:rFonts w:hint="eastAsia" w:ascii="宋体" w:hAnsi="宋体" w:eastAsia="宋体" w:cs="宋体"/>
                <w:color w:val="auto"/>
                <w:sz w:val="24"/>
                <w:highlight w:val="none"/>
              </w:rPr>
            </w:pPr>
          </w:p>
        </w:tc>
        <w:tc>
          <w:tcPr>
            <w:tcW w:w="2384" w:type="dxa"/>
            <w:noWrap w:val="0"/>
            <w:vAlign w:val="center"/>
          </w:tcPr>
          <w:p w14:paraId="490A2441">
            <w:pPr>
              <w:adjustRightInd w:val="0"/>
              <w:snapToGrid w:val="0"/>
              <w:jc w:val="center"/>
              <w:rPr>
                <w:rFonts w:hint="eastAsia" w:ascii="宋体" w:hAnsi="宋体" w:eastAsia="宋体" w:cs="宋体"/>
                <w:color w:val="auto"/>
                <w:sz w:val="24"/>
                <w:highlight w:val="none"/>
              </w:rPr>
            </w:pPr>
          </w:p>
        </w:tc>
        <w:tc>
          <w:tcPr>
            <w:tcW w:w="2126" w:type="dxa"/>
            <w:noWrap w:val="0"/>
            <w:vAlign w:val="center"/>
          </w:tcPr>
          <w:p w14:paraId="0C831396">
            <w:pPr>
              <w:adjustRightInd w:val="0"/>
              <w:snapToGrid w:val="0"/>
              <w:jc w:val="center"/>
              <w:rPr>
                <w:rFonts w:hint="eastAsia" w:ascii="宋体" w:hAnsi="宋体" w:eastAsia="宋体" w:cs="宋体"/>
                <w:color w:val="auto"/>
                <w:sz w:val="24"/>
                <w:highlight w:val="none"/>
              </w:rPr>
            </w:pPr>
          </w:p>
        </w:tc>
        <w:tc>
          <w:tcPr>
            <w:tcW w:w="1875" w:type="dxa"/>
            <w:noWrap w:val="0"/>
            <w:vAlign w:val="center"/>
          </w:tcPr>
          <w:p w14:paraId="3C7F0E49">
            <w:pPr>
              <w:adjustRightInd w:val="0"/>
              <w:snapToGrid w:val="0"/>
              <w:jc w:val="center"/>
              <w:rPr>
                <w:rFonts w:hint="eastAsia" w:ascii="宋体" w:hAnsi="宋体" w:eastAsia="宋体" w:cs="宋体"/>
                <w:color w:val="auto"/>
                <w:sz w:val="24"/>
                <w:highlight w:val="none"/>
              </w:rPr>
            </w:pPr>
          </w:p>
        </w:tc>
        <w:tc>
          <w:tcPr>
            <w:tcW w:w="1009" w:type="dxa"/>
            <w:noWrap w:val="0"/>
            <w:vAlign w:val="center"/>
          </w:tcPr>
          <w:p w14:paraId="3E9F81A6">
            <w:pPr>
              <w:adjustRightInd w:val="0"/>
              <w:snapToGrid w:val="0"/>
              <w:jc w:val="center"/>
              <w:rPr>
                <w:rFonts w:hint="eastAsia" w:ascii="宋体" w:hAnsi="宋体" w:eastAsia="宋体" w:cs="宋体"/>
                <w:color w:val="auto"/>
                <w:sz w:val="24"/>
                <w:highlight w:val="none"/>
              </w:rPr>
            </w:pPr>
          </w:p>
        </w:tc>
      </w:tr>
      <w:tr w14:paraId="14E8D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D1486D7">
            <w:pPr>
              <w:adjustRightInd w:val="0"/>
              <w:snapToGrid w:val="0"/>
              <w:jc w:val="center"/>
              <w:rPr>
                <w:rFonts w:hint="eastAsia" w:ascii="宋体" w:hAnsi="宋体" w:eastAsia="宋体" w:cs="宋体"/>
                <w:color w:val="auto"/>
                <w:sz w:val="24"/>
                <w:highlight w:val="none"/>
              </w:rPr>
            </w:pPr>
          </w:p>
        </w:tc>
        <w:tc>
          <w:tcPr>
            <w:tcW w:w="1482" w:type="dxa"/>
            <w:noWrap w:val="0"/>
            <w:vAlign w:val="center"/>
          </w:tcPr>
          <w:p w14:paraId="2319A121">
            <w:pPr>
              <w:adjustRightInd w:val="0"/>
              <w:snapToGrid w:val="0"/>
              <w:jc w:val="center"/>
              <w:rPr>
                <w:rFonts w:hint="eastAsia" w:ascii="宋体" w:hAnsi="宋体" w:eastAsia="宋体" w:cs="宋体"/>
                <w:color w:val="auto"/>
                <w:sz w:val="24"/>
                <w:highlight w:val="none"/>
              </w:rPr>
            </w:pPr>
          </w:p>
        </w:tc>
        <w:tc>
          <w:tcPr>
            <w:tcW w:w="2384" w:type="dxa"/>
            <w:noWrap w:val="0"/>
            <w:vAlign w:val="center"/>
          </w:tcPr>
          <w:p w14:paraId="75529923">
            <w:pPr>
              <w:adjustRightInd w:val="0"/>
              <w:snapToGrid w:val="0"/>
              <w:jc w:val="center"/>
              <w:rPr>
                <w:rFonts w:hint="eastAsia" w:ascii="宋体" w:hAnsi="宋体" w:eastAsia="宋体" w:cs="宋体"/>
                <w:color w:val="auto"/>
                <w:sz w:val="24"/>
                <w:highlight w:val="none"/>
              </w:rPr>
            </w:pPr>
          </w:p>
        </w:tc>
        <w:tc>
          <w:tcPr>
            <w:tcW w:w="2126" w:type="dxa"/>
            <w:noWrap w:val="0"/>
            <w:vAlign w:val="center"/>
          </w:tcPr>
          <w:p w14:paraId="38083E96">
            <w:pPr>
              <w:adjustRightInd w:val="0"/>
              <w:snapToGrid w:val="0"/>
              <w:jc w:val="center"/>
              <w:rPr>
                <w:rFonts w:hint="eastAsia" w:ascii="宋体" w:hAnsi="宋体" w:eastAsia="宋体" w:cs="宋体"/>
                <w:color w:val="auto"/>
                <w:sz w:val="24"/>
                <w:highlight w:val="none"/>
              </w:rPr>
            </w:pPr>
          </w:p>
        </w:tc>
        <w:tc>
          <w:tcPr>
            <w:tcW w:w="1875" w:type="dxa"/>
            <w:noWrap w:val="0"/>
            <w:vAlign w:val="center"/>
          </w:tcPr>
          <w:p w14:paraId="2DB0DDC1">
            <w:pPr>
              <w:adjustRightInd w:val="0"/>
              <w:snapToGrid w:val="0"/>
              <w:jc w:val="center"/>
              <w:rPr>
                <w:rFonts w:hint="eastAsia" w:ascii="宋体" w:hAnsi="宋体" w:eastAsia="宋体" w:cs="宋体"/>
                <w:color w:val="auto"/>
                <w:sz w:val="24"/>
                <w:highlight w:val="none"/>
              </w:rPr>
            </w:pPr>
          </w:p>
        </w:tc>
        <w:tc>
          <w:tcPr>
            <w:tcW w:w="1009" w:type="dxa"/>
            <w:noWrap w:val="0"/>
            <w:vAlign w:val="center"/>
          </w:tcPr>
          <w:p w14:paraId="778E9903">
            <w:pPr>
              <w:adjustRightInd w:val="0"/>
              <w:snapToGrid w:val="0"/>
              <w:jc w:val="center"/>
              <w:rPr>
                <w:rFonts w:hint="eastAsia" w:ascii="宋体" w:hAnsi="宋体" w:eastAsia="宋体" w:cs="宋体"/>
                <w:color w:val="auto"/>
                <w:sz w:val="24"/>
                <w:highlight w:val="none"/>
              </w:rPr>
            </w:pPr>
          </w:p>
        </w:tc>
      </w:tr>
      <w:tr w14:paraId="53D86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08510C6">
            <w:pPr>
              <w:adjustRightInd w:val="0"/>
              <w:snapToGrid w:val="0"/>
              <w:jc w:val="center"/>
              <w:rPr>
                <w:rFonts w:hint="eastAsia" w:ascii="宋体" w:hAnsi="宋体" w:eastAsia="宋体" w:cs="宋体"/>
                <w:color w:val="auto"/>
                <w:sz w:val="24"/>
                <w:highlight w:val="none"/>
              </w:rPr>
            </w:pPr>
          </w:p>
        </w:tc>
        <w:tc>
          <w:tcPr>
            <w:tcW w:w="1482" w:type="dxa"/>
            <w:noWrap w:val="0"/>
            <w:vAlign w:val="center"/>
          </w:tcPr>
          <w:p w14:paraId="667DE61F">
            <w:pPr>
              <w:adjustRightInd w:val="0"/>
              <w:snapToGrid w:val="0"/>
              <w:jc w:val="center"/>
              <w:rPr>
                <w:rFonts w:hint="eastAsia" w:ascii="宋体" w:hAnsi="宋体" w:eastAsia="宋体" w:cs="宋体"/>
                <w:color w:val="auto"/>
                <w:sz w:val="24"/>
                <w:highlight w:val="none"/>
              </w:rPr>
            </w:pPr>
          </w:p>
        </w:tc>
        <w:tc>
          <w:tcPr>
            <w:tcW w:w="2384" w:type="dxa"/>
            <w:noWrap w:val="0"/>
            <w:vAlign w:val="center"/>
          </w:tcPr>
          <w:p w14:paraId="30462089">
            <w:pPr>
              <w:adjustRightInd w:val="0"/>
              <w:snapToGrid w:val="0"/>
              <w:jc w:val="center"/>
              <w:rPr>
                <w:rFonts w:hint="eastAsia" w:ascii="宋体" w:hAnsi="宋体" w:eastAsia="宋体" w:cs="宋体"/>
                <w:color w:val="auto"/>
                <w:sz w:val="24"/>
                <w:highlight w:val="none"/>
              </w:rPr>
            </w:pPr>
          </w:p>
        </w:tc>
        <w:tc>
          <w:tcPr>
            <w:tcW w:w="2126" w:type="dxa"/>
            <w:noWrap w:val="0"/>
            <w:vAlign w:val="center"/>
          </w:tcPr>
          <w:p w14:paraId="216DF77A">
            <w:pPr>
              <w:adjustRightInd w:val="0"/>
              <w:snapToGrid w:val="0"/>
              <w:jc w:val="center"/>
              <w:rPr>
                <w:rFonts w:hint="eastAsia" w:ascii="宋体" w:hAnsi="宋体" w:eastAsia="宋体" w:cs="宋体"/>
                <w:color w:val="auto"/>
                <w:sz w:val="24"/>
                <w:highlight w:val="none"/>
              </w:rPr>
            </w:pPr>
          </w:p>
        </w:tc>
        <w:tc>
          <w:tcPr>
            <w:tcW w:w="1875" w:type="dxa"/>
            <w:noWrap w:val="0"/>
            <w:vAlign w:val="center"/>
          </w:tcPr>
          <w:p w14:paraId="22DBEC79">
            <w:pPr>
              <w:adjustRightInd w:val="0"/>
              <w:snapToGrid w:val="0"/>
              <w:jc w:val="center"/>
              <w:rPr>
                <w:rFonts w:hint="eastAsia" w:ascii="宋体" w:hAnsi="宋体" w:eastAsia="宋体" w:cs="宋体"/>
                <w:color w:val="auto"/>
                <w:sz w:val="24"/>
                <w:highlight w:val="none"/>
              </w:rPr>
            </w:pPr>
          </w:p>
        </w:tc>
        <w:tc>
          <w:tcPr>
            <w:tcW w:w="1009" w:type="dxa"/>
            <w:noWrap w:val="0"/>
            <w:vAlign w:val="center"/>
          </w:tcPr>
          <w:p w14:paraId="32CC06FA">
            <w:pPr>
              <w:adjustRightInd w:val="0"/>
              <w:snapToGrid w:val="0"/>
              <w:jc w:val="center"/>
              <w:rPr>
                <w:rFonts w:hint="eastAsia" w:ascii="宋体" w:hAnsi="宋体" w:eastAsia="宋体" w:cs="宋体"/>
                <w:color w:val="auto"/>
                <w:sz w:val="24"/>
                <w:highlight w:val="none"/>
              </w:rPr>
            </w:pPr>
          </w:p>
        </w:tc>
      </w:tr>
    </w:tbl>
    <w:p w14:paraId="36DD7B35">
      <w:pPr>
        <w:tabs>
          <w:tab w:val="left" w:pos="1800"/>
          <w:tab w:val="left" w:pos="5580"/>
        </w:tabs>
        <w:spacing w:line="360" w:lineRule="auto"/>
        <w:ind w:left="0" w:leftChars="0" w:firstLine="0" w:firstLineChars="0"/>
        <w:jc w:val="left"/>
        <w:rPr>
          <w:rFonts w:hint="eastAsia" w:ascii="宋体" w:hAnsi="宋体" w:eastAsia="宋体" w:cs="宋体"/>
          <w:color w:val="auto"/>
          <w:sz w:val="24"/>
          <w:highlight w:val="none"/>
          <w:u w:val="single"/>
        </w:rPr>
      </w:pPr>
    </w:p>
    <w:p w14:paraId="1C7AC34C">
      <w:pPr>
        <w:tabs>
          <w:tab w:val="left" w:pos="1800"/>
          <w:tab w:val="left" w:pos="5580"/>
        </w:tabs>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p>
    <w:p w14:paraId="536AA44B">
      <w:pPr>
        <w:tabs>
          <w:tab w:val="left" w:pos="1800"/>
          <w:tab w:val="left" w:pos="5580"/>
        </w:tabs>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 对招标文件中的所有商务、技术要求，除本表所列明的所有偏离外，均视作</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已对之理解和响应。此表中若无任何文字说明，内容为空白</w:t>
      </w:r>
      <w:r>
        <w:rPr>
          <w:rFonts w:hint="eastAsia" w:ascii="宋体" w:hAnsi="宋体" w:eastAsia="宋体" w:cs="宋体"/>
          <w:color w:val="auto"/>
          <w:sz w:val="24"/>
          <w:highlight w:val="none"/>
          <w:lang w:eastAsia="zh-CN"/>
        </w:rPr>
        <w:t>的</w:t>
      </w:r>
      <w:r>
        <w:rPr>
          <w:rFonts w:hint="eastAsia" w:ascii="宋体" w:hAnsi="宋体" w:eastAsia="宋体" w:cs="宋体"/>
          <w:color w:val="auto"/>
          <w:sz w:val="24"/>
          <w:highlight w:val="none"/>
        </w:rPr>
        <w:t>，</w:t>
      </w:r>
      <w:r>
        <w:rPr>
          <w:rFonts w:hint="eastAsia" w:ascii="宋体" w:hAnsi="宋体" w:eastAsia="宋体" w:cs="宋体"/>
          <w:b/>
          <w:color w:val="auto"/>
          <w:sz w:val="24"/>
          <w:highlight w:val="none"/>
        </w:rPr>
        <w:t>投标无效。</w:t>
      </w:r>
    </w:p>
    <w:p w14:paraId="4C0F17E9">
      <w:pPr>
        <w:tabs>
          <w:tab w:val="left" w:pos="1800"/>
          <w:tab w:val="left" w:pos="5580"/>
        </w:tabs>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2.“偏离情况”列应据实填写“</w:t>
      </w:r>
      <w:r>
        <w:rPr>
          <w:rFonts w:hint="eastAsia" w:ascii="宋体" w:hAnsi="宋体" w:eastAsia="宋体" w:cs="宋体"/>
          <w:color w:val="auto"/>
          <w:sz w:val="24"/>
          <w:highlight w:val="none"/>
          <w:lang w:eastAsia="zh-CN"/>
        </w:rPr>
        <w:t>无</w:t>
      </w:r>
      <w:r>
        <w:rPr>
          <w:rFonts w:hint="eastAsia" w:ascii="宋体" w:hAnsi="宋体" w:eastAsia="宋体" w:cs="宋体"/>
          <w:color w:val="auto"/>
          <w:sz w:val="24"/>
          <w:highlight w:val="none"/>
        </w:rPr>
        <w:t>偏离”“正偏离”或“负偏离”。</w:t>
      </w:r>
    </w:p>
    <w:p w14:paraId="6E457DF4">
      <w:pPr>
        <w:rPr>
          <w:rFonts w:hint="eastAsia" w:ascii="宋体" w:hAnsi="宋体" w:eastAsia="宋体" w:cs="宋体"/>
          <w:color w:val="auto"/>
          <w:sz w:val="24"/>
          <w:szCs w:val="20"/>
          <w:highlight w:val="none"/>
        </w:rPr>
      </w:pPr>
    </w:p>
    <w:p w14:paraId="4EE82457">
      <w:pPr>
        <w:autoSpaceDE w:val="0"/>
        <w:autoSpaceDN w:val="0"/>
        <w:adjustRightInd w:val="0"/>
        <w:snapToGrid w:val="0"/>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p>
    <w:p w14:paraId="0DEFA333">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b/>
          <w:bCs/>
          <w:color w:val="auto"/>
          <w:highlight w:val="none"/>
        </w:rPr>
      </w:pPr>
      <w:r>
        <w:rPr>
          <w:rFonts w:hint="eastAsia" w:ascii="宋体" w:hAnsi="宋体" w:eastAsia="宋体" w:cs="宋体"/>
          <w:color w:val="auto"/>
          <w:highlight w:val="none"/>
        </w:rPr>
        <w:t>投标人</w:t>
      </w:r>
      <w:r>
        <w:rPr>
          <w:rFonts w:hint="eastAsia" w:ascii="宋体" w:hAnsi="宋体" w:eastAsia="宋体" w:cs="宋体"/>
          <w:color w:val="auto"/>
          <w:highlight w:val="none"/>
          <w:lang w:val="en-US" w:eastAsia="zh-CN"/>
        </w:rPr>
        <w:t>名称</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电子签章</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r>
        <w:rPr>
          <w:rFonts w:hint="eastAsia" w:ascii="宋体" w:hAnsi="宋体" w:eastAsia="宋体" w:cs="宋体"/>
          <w:color w:val="auto"/>
          <w:highlight w:val="none"/>
          <w:u w:val="single"/>
          <w:lang w:val="en-US" w:eastAsia="zh-CN"/>
        </w:rPr>
        <w:t xml:space="preserve">                           </w:t>
      </w:r>
    </w:p>
    <w:p w14:paraId="1F968187">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法定代表人或委托代理人（电子签章或签字）</w:t>
      </w:r>
      <w:r>
        <w:rPr>
          <w:rFonts w:hint="eastAsia" w:ascii="宋体" w:hAnsi="宋体" w:eastAsia="宋体" w:cs="宋体"/>
          <w:color w:val="auto"/>
          <w:highlight w:val="none"/>
        </w:rPr>
        <w:t>：</w:t>
      </w:r>
      <w:r>
        <w:rPr>
          <w:rFonts w:hint="eastAsia" w:ascii="宋体" w:hAnsi="宋体" w:eastAsia="宋体" w:cs="宋体"/>
          <w:color w:val="auto"/>
          <w:highlight w:val="none"/>
          <w:u w:val="single"/>
          <w:lang w:val="en-US" w:eastAsia="zh-CN"/>
        </w:rPr>
        <w:t xml:space="preserve">                  </w:t>
      </w:r>
    </w:p>
    <w:p w14:paraId="5FDE7FD7">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日</w:t>
      </w:r>
    </w:p>
    <w:p w14:paraId="199FA2AA">
      <w:pPr>
        <w:shd w:val="clear" w:color="auto" w:fill="auto"/>
        <w:spacing w:line="360" w:lineRule="auto"/>
        <w:ind w:firstLine="480" w:firstLineChars="200"/>
        <w:rPr>
          <w:rFonts w:hint="eastAsia" w:ascii="宋体" w:hAnsi="宋体" w:eastAsia="宋体" w:cs="宋体"/>
          <w:color w:val="auto"/>
          <w:spacing w:val="6"/>
          <w:sz w:val="24"/>
          <w:highlight w:val="none"/>
        </w:rPr>
      </w:pPr>
      <w:r>
        <w:rPr>
          <w:rFonts w:hint="eastAsia" w:ascii="宋体" w:hAnsi="宋体" w:eastAsia="宋体" w:cs="宋体"/>
          <w:color w:val="auto"/>
          <w:sz w:val="24"/>
          <w:szCs w:val="20"/>
          <w:highlight w:val="none"/>
        </w:rPr>
        <w:br w:type="page"/>
      </w:r>
    </w:p>
    <w:p w14:paraId="06622549">
      <w:pPr>
        <w:spacing w:line="360" w:lineRule="auto"/>
        <w:ind w:left="0" w:leftChars="0" w:firstLine="240" w:firstLineChars="100"/>
        <w:outlineLvl w:val="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5</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招标文件要求提供或投标人认为应附的其他材料</w:t>
      </w:r>
    </w:p>
    <w:p w14:paraId="4DFC1D0B">
      <w:pPr>
        <w:spacing w:line="288" w:lineRule="auto"/>
        <w:jc w:val="center"/>
        <w:rPr>
          <w:rFonts w:hint="eastAsia" w:ascii="宋体" w:hAnsi="宋体" w:eastAsia="宋体" w:cs="宋体"/>
          <w:b/>
          <w:bCs/>
          <w:color w:val="auto"/>
          <w:sz w:val="32"/>
          <w:szCs w:val="40"/>
          <w:highlight w:val="none"/>
        </w:rPr>
      </w:pPr>
      <w:r>
        <w:rPr>
          <w:rFonts w:hint="eastAsia" w:ascii="宋体" w:hAnsi="宋体" w:eastAsia="宋体" w:cs="宋体"/>
          <w:b/>
          <w:bCs/>
          <w:color w:val="auto"/>
          <w:sz w:val="32"/>
          <w:szCs w:val="40"/>
          <w:highlight w:val="none"/>
        </w:rPr>
        <w:t>服务内容</w:t>
      </w:r>
    </w:p>
    <w:p w14:paraId="54115FE5">
      <w:pPr>
        <w:bidi w:val="0"/>
        <w:jc w:val="center"/>
        <w:rPr>
          <w:rFonts w:hint="eastAsia" w:ascii="宋体" w:hAnsi="宋体" w:eastAsia="宋体" w:cs="宋体"/>
          <w:color w:val="auto"/>
          <w:highlight w:val="none"/>
        </w:rPr>
      </w:pPr>
      <w:r>
        <w:rPr>
          <w:rFonts w:hint="eastAsia" w:ascii="宋体" w:hAnsi="宋体" w:eastAsia="宋体" w:cs="宋体"/>
          <w:color w:val="auto"/>
          <w:highlight w:val="none"/>
        </w:rPr>
        <w:t>(由投标人针对《采购需求》及评分办法内容自拟)</w:t>
      </w:r>
    </w:p>
    <w:p w14:paraId="09112252">
      <w:pPr>
        <w:pStyle w:val="32"/>
        <w:rPr>
          <w:rFonts w:hint="eastAsia" w:ascii="宋体" w:hAnsi="宋体" w:eastAsia="宋体" w:cs="宋体"/>
          <w:i w:val="0"/>
          <w:iCs w:val="0"/>
          <w:color w:val="auto"/>
          <w:kern w:val="0"/>
          <w:sz w:val="24"/>
          <w:szCs w:val="24"/>
          <w:highlight w:val="none"/>
          <w:u w:val="none"/>
          <w:lang w:val="en-US" w:eastAsia="zh-CN" w:bidi="ar"/>
        </w:rPr>
      </w:pPr>
    </w:p>
    <w:p w14:paraId="071AAFC4">
      <w:pPr>
        <w:pStyle w:val="32"/>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（1）教学实施方案；</w:t>
      </w:r>
    </w:p>
    <w:p w14:paraId="582F573F">
      <w:pPr>
        <w:pStyle w:val="32"/>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（2）培训服务方案；</w:t>
      </w:r>
    </w:p>
    <w:p w14:paraId="1E4EDBB9">
      <w:pPr>
        <w:pStyle w:val="32"/>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（3）培训服务能力；</w:t>
      </w:r>
    </w:p>
    <w:p w14:paraId="1E8E84A5">
      <w:pPr>
        <w:pStyle w:val="32"/>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（4）管理制度；</w:t>
      </w:r>
    </w:p>
    <w:p w14:paraId="6E734A8B">
      <w:pPr>
        <w:pStyle w:val="32"/>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（5）师资力量；</w:t>
      </w:r>
    </w:p>
    <w:p w14:paraId="3B4D4D4C">
      <w:pPr>
        <w:pStyle w:val="32"/>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（6）设施设备；</w:t>
      </w:r>
    </w:p>
    <w:p w14:paraId="3DB5F39F">
      <w:pPr>
        <w:pStyle w:val="32"/>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（7）招生方案及保障措施；</w:t>
      </w:r>
    </w:p>
    <w:p w14:paraId="53271A25">
      <w:pPr>
        <w:pStyle w:val="32"/>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（8）促进就业措施。</w:t>
      </w:r>
    </w:p>
    <w:p w14:paraId="6EE2E383">
      <w:pPr>
        <w:bidi w:val="0"/>
        <w:rPr>
          <w:rFonts w:hint="eastAsia" w:ascii="宋体" w:hAnsi="宋体" w:eastAsia="宋体" w:cs="宋体"/>
          <w:color w:val="auto"/>
          <w:highlight w:val="none"/>
        </w:rPr>
      </w:pPr>
      <w:r>
        <w:rPr>
          <w:rFonts w:hint="eastAsia" w:ascii="宋体" w:hAnsi="宋体" w:eastAsia="宋体" w:cs="宋体"/>
          <w:color w:val="auto"/>
          <w:highlight w:val="none"/>
        </w:rPr>
        <w:t>........</w:t>
      </w:r>
    </w:p>
    <w:p w14:paraId="2F8F40A9">
      <w:pPr>
        <w:pStyle w:val="32"/>
        <w:rPr>
          <w:rFonts w:hint="eastAsia" w:ascii="宋体" w:hAnsi="宋体" w:eastAsia="宋体" w:cs="宋体"/>
          <w:i w:val="0"/>
          <w:iCs w:val="0"/>
          <w:color w:val="auto"/>
          <w:kern w:val="0"/>
          <w:sz w:val="24"/>
          <w:szCs w:val="24"/>
          <w:highlight w:val="none"/>
          <w:u w:val="none"/>
          <w:lang w:val="en-US" w:eastAsia="zh-CN" w:bidi="ar"/>
        </w:rPr>
      </w:pPr>
    </w:p>
    <w:p w14:paraId="77DDC847">
      <w:pPr>
        <w:spacing w:line="267" w:lineRule="auto"/>
        <w:rPr>
          <w:rFonts w:hint="eastAsia" w:ascii="宋体" w:hAnsi="宋体" w:eastAsia="宋体" w:cs="宋体"/>
          <w:color w:val="auto"/>
          <w:sz w:val="21"/>
          <w:highlight w:val="none"/>
        </w:rPr>
      </w:pPr>
    </w:p>
    <w:p w14:paraId="2FD420E8">
      <w:pPr>
        <w:spacing w:line="268" w:lineRule="auto"/>
        <w:rPr>
          <w:rFonts w:hint="eastAsia" w:ascii="宋体" w:hAnsi="宋体" w:eastAsia="宋体" w:cs="宋体"/>
          <w:color w:val="auto"/>
          <w:sz w:val="21"/>
          <w:highlight w:val="none"/>
        </w:rPr>
      </w:pPr>
    </w:p>
    <w:p w14:paraId="2A18445F">
      <w:pPr>
        <w:spacing w:line="268" w:lineRule="auto"/>
        <w:rPr>
          <w:rFonts w:hint="eastAsia" w:ascii="宋体" w:hAnsi="宋体" w:eastAsia="宋体" w:cs="宋体"/>
          <w:color w:val="auto"/>
          <w:sz w:val="21"/>
          <w:highlight w:val="none"/>
        </w:rPr>
      </w:pPr>
    </w:p>
    <w:p w14:paraId="1EFA9C78">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b/>
          <w:bCs/>
          <w:color w:val="auto"/>
          <w:highlight w:val="none"/>
        </w:rPr>
      </w:pPr>
      <w:r>
        <w:rPr>
          <w:rFonts w:hint="eastAsia" w:ascii="宋体" w:hAnsi="宋体" w:eastAsia="宋体" w:cs="宋体"/>
          <w:color w:val="auto"/>
          <w:highlight w:val="none"/>
        </w:rPr>
        <w:t>投标人</w:t>
      </w:r>
      <w:r>
        <w:rPr>
          <w:rFonts w:hint="eastAsia" w:ascii="宋体" w:hAnsi="宋体" w:eastAsia="宋体" w:cs="宋体"/>
          <w:color w:val="auto"/>
          <w:highlight w:val="none"/>
          <w:lang w:val="en-US" w:eastAsia="zh-CN"/>
        </w:rPr>
        <w:t>名称</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电子签章</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r>
        <w:rPr>
          <w:rFonts w:hint="eastAsia" w:ascii="宋体" w:hAnsi="宋体" w:eastAsia="宋体" w:cs="宋体"/>
          <w:color w:val="auto"/>
          <w:highlight w:val="none"/>
          <w:u w:val="single"/>
          <w:lang w:val="en-US" w:eastAsia="zh-CN"/>
        </w:rPr>
        <w:t xml:space="preserve">                           </w:t>
      </w:r>
    </w:p>
    <w:p w14:paraId="6EB40A5A">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法定代表人或委托代理人（电子签章或签字）</w:t>
      </w:r>
      <w:r>
        <w:rPr>
          <w:rFonts w:hint="eastAsia" w:ascii="宋体" w:hAnsi="宋体" w:eastAsia="宋体" w:cs="宋体"/>
          <w:color w:val="auto"/>
          <w:highlight w:val="none"/>
        </w:rPr>
        <w:t>：</w:t>
      </w:r>
      <w:r>
        <w:rPr>
          <w:rFonts w:hint="eastAsia" w:ascii="宋体" w:hAnsi="宋体" w:eastAsia="宋体" w:cs="宋体"/>
          <w:color w:val="auto"/>
          <w:highlight w:val="none"/>
          <w:u w:val="single"/>
          <w:lang w:val="en-US" w:eastAsia="zh-CN"/>
        </w:rPr>
        <w:t xml:space="preserve">                  </w:t>
      </w:r>
    </w:p>
    <w:p w14:paraId="7CE30288">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日</w:t>
      </w:r>
    </w:p>
    <w:p w14:paraId="12C0AB04">
      <w:pPr>
        <w:widowControl/>
        <w:jc w:val="left"/>
        <w:rPr>
          <w:rFonts w:hint="eastAsia" w:ascii="宋体" w:hAnsi="宋体" w:eastAsia="宋体" w:cs="宋体"/>
          <w:b/>
          <w:color w:val="auto"/>
          <w:sz w:val="36"/>
          <w:szCs w:val="36"/>
          <w:highlight w:val="none"/>
        </w:rPr>
      </w:pPr>
    </w:p>
    <w:p w14:paraId="054D792A">
      <w:pPr>
        <w:widowControl/>
        <w:jc w:val="left"/>
        <w:rPr>
          <w:rFonts w:hint="eastAsia" w:ascii="宋体" w:hAnsi="宋体" w:eastAsia="宋体" w:cs="宋体"/>
          <w:b/>
          <w:color w:val="auto"/>
          <w:sz w:val="36"/>
          <w:szCs w:val="36"/>
          <w:highlight w:val="none"/>
        </w:rPr>
      </w:pPr>
    </w:p>
    <w:p w14:paraId="4A9A4EB5">
      <w:pPr>
        <w:numPr>
          <w:ilvl w:val="0"/>
          <w:numId w:val="0"/>
        </w:numPr>
        <w:ind w:leftChars="200"/>
        <w:rPr>
          <w:rFonts w:hint="eastAsia" w:ascii="宋体" w:hAnsi="宋体" w:eastAsia="宋体" w:cs="宋体"/>
          <w:color w:val="auto"/>
          <w:highlight w:val="none"/>
          <w:lang w:val="en-US" w:eastAsia="zh-CN"/>
        </w:rPr>
      </w:pPr>
    </w:p>
    <w:sectPr>
      <w:pgSz w:w="11906" w:h="16839"/>
      <w:pgMar w:top="1440" w:right="1080" w:bottom="1440" w:left="1080" w:header="850" w:footer="680" w:gutter="0"/>
      <w:pgBorders>
        <w:top w:val="none" w:sz="0" w:space="0"/>
        <w:left w:val="none" w:sz="0" w:space="0"/>
        <w:bottom w:val="none" w:sz="0" w:space="0"/>
        <w:right w:val="none" w:sz="0" w:space="0"/>
      </w:pgBorders>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cida Sans Unicode">
    <w:panose1 w:val="020B0602030504020204"/>
    <w:charset w:val="00"/>
    <w:family w:val="auto"/>
    <w:pitch w:val="default"/>
    <w:sig w:usb0="80001AFF" w:usb1="0000396B" w:usb2="00000000" w:usb3="00000000" w:csb0="200000BF" w:csb1="D7F7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F3DDA">
    <w:pPr>
      <w:pStyle w:val="17"/>
      <w:framePr w:wrap="around" w:vAnchor="text" w:hAnchor="margin" w:y="1"/>
      <w:ind w:right="360"/>
      <w:rPr>
        <w:rStyle w:val="29"/>
      </w:rPr>
    </w:pPr>
  </w:p>
  <w:p w14:paraId="4298554B">
    <w:pPr>
      <w:pStyle w:val="17"/>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5856F">
    <w:pPr>
      <w:pStyle w:val="17"/>
      <w:framePr w:wrap="around" w:vAnchor="text" w:hAnchor="margin" w:xAlign="center" w:y="1"/>
      <w:rPr>
        <w:rStyle w:val="29"/>
      </w:rPr>
    </w:pPr>
    <w:r>
      <w:fldChar w:fldCharType="begin"/>
    </w:r>
    <w:r>
      <w:rPr>
        <w:rStyle w:val="29"/>
      </w:rPr>
      <w:instrText xml:space="preserve">PAGE  </w:instrText>
    </w:r>
    <w:r>
      <w:fldChar w:fldCharType="end"/>
    </w:r>
  </w:p>
  <w:p w14:paraId="22C6DF7F">
    <w:pPr>
      <w:pStyle w:val="17"/>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B447E">
    <w:pPr>
      <w:pStyle w:val="17"/>
      <w:framePr w:wrap="around" w:vAnchor="text" w:hAnchor="margin" w:xAlign="right" w:y="1"/>
      <w:rPr>
        <w:rStyle w:val="29"/>
      </w:rPr>
    </w:pPr>
  </w:p>
  <w:p w14:paraId="5D79BCC7">
    <w:pPr>
      <w:pStyle w:val="17"/>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A1F70">
    <w:pPr>
      <w:pStyle w:val="17"/>
      <w:ind w:right="360"/>
      <w:rPr>
        <w:rStyle w:val="29"/>
      </w:rPr>
    </w:pPr>
  </w:p>
  <w:p w14:paraId="0AF2D9DF">
    <w:pPr>
      <w:pStyle w:val="17"/>
      <w:ind w:right="360" w:firstLine="360"/>
      <w:jc w:val="right"/>
    </w:pPr>
    <w:r>
      <w:rPr>
        <w:sz w:val="21"/>
      </w:rPr>
      <mc:AlternateContent>
        <mc:Choice Requires="wps">
          <w:drawing>
            <wp:anchor distT="0" distB="0" distL="114300" distR="114300" simplePos="0" relativeHeight="251659264" behindDoc="0" locked="0" layoutInCell="1" allowOverlap="1">
              <wp:simplePos x="0" y="0"/>
              <wp:positionH relativeFrom="margin">
                <wp:posOffset>2859405</wp:posOffset>
              </wp:positionH>
              <wp:positionV relativeFrom="paragraph">
                <wp:posOffset>114935</wp:posOffset>
              </wp:positionV>
              <wp:extent cx="808990" cy="4362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8990" cy="4362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0A8C8D">
                          <w:pPr>
                            <w:pStyle w:val="17"/>
                            <w:rPr>
                              <w:b w:val="0"/>
                              <w:bCs/>
                              <w:sz w:val="22"/>
                              <w:szCs w:val="28"/>
                            </w:rPr>
                          </w:pPr>
                          <w:r>
                            <w:rPr>
                              <w:b w:val="0"/>
                              <w:bCs/>
                              <w:sz w:val="22"/>
                              <w:szCs w:val="28"/>
                            </w:rPr>
                            <w:t xml:space="preserve">第 </w:t>
                          </w:r>
                          <w:r>
                            <w:rPr>
                              <w:b w:val="0"/>
                              <w:bCs/>
                              <w:sz w:val="22"/>
                              <w:szCs w:val="28"/>
                            </w:rPr>
                            <w:fldChar w:fldCharType="begin"/>
                          </w:r>
                          <w:r>
                            <w:rPr>
                              <w:b w:val="0"/>
                              <w:bCs/>
                              <w:sz w:val="22"/>
                              <w:szCs w:val="28"/>
                            </w:rPr>
                            <w:instrText xml:space="preserve"> PAGE  \* MERGEFORMAT </w:instrText>
                          </w:r>
                          <w:r>
                            <w:rPr>
                              <w:b w:val="0"/>
                              <w:bCs/>
                              <w:sz w:val="22"/>
                              <w:szCs w:val="28"/>
                            </w:rPr>
                            <w:fldChar w:fldCharType="separate"/>
                          </w:r>
                          <w:r>
                            <w:rPr>
                              <w:b w:val="0"/>
                              <w:bCs/>
                              <w:sz w:val="22"/>
                              <w:szCs w:val="28"/>
                            </w:rPr>
                            <w:t>1</w:t>
                          </w:r>
                          <w:r>
                            <w:rPr>
                              <w:b w:val="0"/>
                              <w:bCs/>
                              <w:sz w:val="22"/>
                              <w:szCs w:val="28"/>
                            </w:rPr>
                            <w:fldChar w:fldCharType="end"/>
                          </w:r>
                          <w:r>
                            <w:rPr>
                              <w:b w:val="0"/>
                              <w:bCs/>
                              <w:sz w:val="22"/>
                              <w:szCs w:val="28"/>
                            </w:rPr>
                            <w:t xml:space="preserve"> 页</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25.15pt;margin-top:9.05pt;height:34.35pt;width:63.7pt;mso-position-horizontal-relative:margin;z-index:251659264;mso-width-relative:page;mso-height-relative:page;" filled="f" stroked="f" coordsize="21600,21600" o:gfxdata="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HfbGFjYAAAACQEAAA8AAAAAAAAAAQAgAAAAIgAAAGRycy9kb3du&#10;cmV2LnhtbFBLAQIUABQAAAAIAIdO4kC+jQx9OAIAAGEEAAAOAAAAAAAAAAEAIAAAACcBAABkcnMv&#10;ZTJvRG9jLnhtbFBLBQYAAAAABgAGAFkBAADRBQAAAAA=&#10;">
              <v:fill on="f" focussize="0,0"/>
              <v:stroke on="f" weight="0.5pt"/>
              <v:imagedata o:title=""/>
              <o:lock v:ext="edit" aspectratio="f"/>
              <v:textbox inset="0mm,0mm,0mm,0mm">
                <w:txbxContent>
                  <w:p w14:paraId="420A8C8D">
                    <w:pPr>
                      <w:pStyle w:val="17"/>
                      <w:rPr>
                        <w:b w:val="0"/>
                        <w:bCs/>
                        <w:sz w:val="22"/>
                        <w:szCs w:val="28"/>
                      </w:rPr>
                    </w:pPr>
                    <w:r>
                      <w:rPr>
                        <w:b w:val="0"/>
                        <w:bCs/>
                        <w:sz w:val="22"/>
                        <w:szCs w:val="28"/>
                      </w:rPr>
                      <w:t xml:space="preserve">第 </w:t>
                    </w:r>
                    <w:r>
                      <w:rPr>
                        <w:b w:val="0"/>
                        <w:bCs/>
                        <w:sz w:val="22"/>
                        <w:szCs w:val="28"/>
                      </w:rPr>
                      <w:fldChar w:fldCharType="begin"/>
                    </w:r>
                    <w:r>
                      <w:rPr>
                        <w:b w:val="0"/>
                        <w:bCs/>
                        <w:sz w:val="22"/>
                        <w:szCs w:val="28"/>
                      </w:rPr>
                      <w:instrText xml:space="preserve"> PAGE  \* MERGEFORMAT </w:instrText>
                    </w:r>
                    <w:r>
                      <w:rPr>
                        <w:b w:val="0"/>
                        <w:bCs/>
                        <w:sz w:val="22"/>
                        <w:szCs w:val="28"/>
                      </w:rPr>
                      <w:fldChar w:fldCharType="separate"/>
                    </w:r>
                    <w:r>
                      <w:rPr>
                        <w:b w:val="0"/>
                        <w:bCs/>
                        <w:sz w:val="22"/>
                        <w:szCs w:val="28"/>
                      </w:rPr>
                      <w:t>1</w:t>
                    </w:r>
                    <w:r>
                      <w:rPr>
                        <w:b w:val="0"/>
                        <w:bCs/>
                        <w:sz w:val="22"/>
                        <w:szCs w:val="28"/>
                      </w:rPr>
                      <w:fldChar w:fldCharType="end"/>
                    </w:r>
                    <w:r>
                      <w:rPr>
                        <w:b w:val="0"/>
                        <w:bCs/>
                        <w:sz w:val="22"/>
                        <w:szCs w:val="28"/>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DF0F6">
    <w:pPr>
      <w:pStyle w:val="17"/>
      <w:framePr w:wrap="around" w:vAnchor="text" w:hAnchor="margin" w:xAlign="right" w:y="1"/>
      <w:rPr>
        <w:rStyle w:val="29"/>
      </w:rPr>
    </w:pPr>
    <w:r>
      <w:rPr>
        <w:rStyle w:val="29"/>
      </w:rPr>
      <w:fldChar w:fldCharType="begin"/>
    </w:r>
    <w:r>
      <w:rPr>
        <w:rStyle w:val="29"/>
      </w:rPr>
      <w:instrText xml:space="preserve">PAGE  </w:instrText>
    </w:r>
    <w:r>
      <w:rPr>
        <w:rStyle w:val="29"/>
      </w:rPr>
      <w:fldChar w:fldCharType="end"/>
    </w:r>
  </w:p>
  <w:p w14:paraId="343FB4AE">
    <w:pPr>
      <w:pStyle w:val="17"/>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D766A">
    <w:pPr>
      <w:pStyle w:val="17"/>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748DB">
    <w:pPr>
      <w:pStyle w:val="17"/>
    </w:pPr>
    <w:r>
      <w:rPr>
        <w:sz w:val="21"/>
      </w:rPr>
      <mc:AlternateContent>
        <mc:Choice Requires="wps">
          <w:drawing>
            <wp:anchor distT="0" distB="0" distL="114300" distR="114300" simplePos="0" relativeHeight="251660288" behindDoc="0" locked="0" layoutInCell="1" allowOverlap="1">
              <wp:simplePos x="0" y="0"/>
              <wp:positionH relativeFrom="margin">
                <wp:posOffset>2830830</wp:posOffset>
              </wp:positionH>
              <wp:positionV relativeFrom="paragraph">
                <wp:posOffset>127000</wp:posOffset>
              </wp:positionV>
              <wp:extent cx="555625" cy="408940"/>
              <wp:effectExtent l="0" t="0" r="0" b="0"/>
              <wp:wrapNone/>
              <wp:docPr id="2" name="文本框 2"/>
              <wp:cNvGraphicFramePr/>
              <a:graphic xmlns:a="http://schemas.openxmlformats.org/drawingml/2006/main">
                <a:graphicData uri="http://schemas.microsoft.com/office/word/2010/wordprocessingShape">
                  <wps:wsp>
                    <wps:cNvSpPr txBox="1"/>
                    <wps:spPr>
                      <a:xfrm>
                        <a:off x="0" y="0"/>
                        <a:ext cx="555625" cy="408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6664ED">
                          <w:pPr>
                            <w:pStyle w:val="17"/>
                            <w:rPr>
                              <w:b w:val="0"/>
                              <w:bCs/>
                              <w:sz w:val="18"/>
                              <w:szCs w:val="21"/>
                            </w:rPr>
                          </w:pPr>
                          <w:r>
                            <w:rPr>
                              <w:b w:val="0"/>
                              <w:bCs/>
                              <w:sz w:val="18"/>
                              <w:szCs w:val="21"/>
                            </w:rPr>
                            <w:t xml:space="preserve">第 </w:t>
                          </w:r>
                          <w:r>
                            <w:rPr>
                              <w:b w:val="0"/>
                              <w:bCs/>
                              <w:sz w:val="18"/>
                              <w:szCs w:val="21"/>
                            </w:rPr>
                            <w:fldChar w:fldCharType="begin"/>
                          </w:r>
                          <w:r>
                            <w:rPr>
                              <w:b w:val="0"/>
                              <w:bCs/>
                              <w:sz w:val="18"/>
                              <w:szCs w:val="21"/>
                            </w:rPr>
                            <w:instrText xml:space="preserve"> PAGE  \* MERGEFORMAT </w:instrText>
                          </w:r>
                          <w:r>
                            <w:rPr>
                              <w:b w:val="0"/>
                              <w:bCs/>
                              <w:sz w:val="18"/>
                              <w:szCs w:val="21"/>
                            </w:rPr>
                            <w:fldChar w:fldCharType="separate"/>
                          </w:r>
                          <w:r>
                            <w:rPr>
                              <w:b w:val="0"/>
                              <w:bCs/>
                              <w:sz w:val="18"/>
                              <w:szCs w:val="21"/>
                            </w:rPr>
                            <w:t>26</w:t>
                          </w:r>
                          <w:r>
                            <w:rPr>
                              <w:b w:val="0"/>
                              <w:bCs/>
                              <w:sz w:val="18"/>
                              <w:szCs w:val="21"/>
                            </w:rPr>
                            <w:fldChar w:fldCharType="end"/>
                          </w:r>
                          <w:r>
                            <w:rPr>
                              <w:b w:val="0"/>
                              <w:bCs/>
                              <w:sz w:val="18"/>
                              <w:szCs w:val="21"/>
                            </w:rPr>
                            <w:t xml:space="preserve"> 页</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22.9pt;margin-top:10pt;height:32.2pt;width:43.75pt;mso-position-horizontal-relative:margin;z-index:251660288;mso-width-relative:page;mso-height-relative:page;" filled="f" stroked="f" coordsize="21600,21600" o:gfxdata="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rrAWN1wAAAAkBAAAPAAAAAAAAAAEAIAAAACIAAABkcnMvZG93bnJl&#10;di54bWxQSwECFAAUAAAACACHTuJA5xoVrzcCAABhBAAADgAAAAAAAAABACAAAAAmAQAAZHJzL2Uy&#10;b0RvYy54bWxQSwUGAAAAAAYABgBZAQAAzwUAAAAA&#10;">
              <v:fill on="f" focussize="0,0"/>
              <v:stroke on="f" weight="0.5pt"/>
              <v:imagedata o:title=""/>
              <o:lock v:ext="edit" aspectratio="f"/>
              <v:textbox inset="0mm,0mm,0mm,0mm">
                <w:txbxContent>
                  <w:p w14:paraId="636664ED">
                    <w:pPr>
                      <w:pStyle w:val="17"/>
                      <w:rPr>
                        <w:b w:val="0"/>
                        <w:bCs/>
                        <w:sz w:val="18"/>
                        <w:szCs w:val="21"/>
                      </w:rPr>
                    </w:pPr>
                    <w:r>
                      <w:rPr>
                        <w:b w:val="0"/>
                        <w:bCs/>
                        <w:sz w:val="18"/>
                        <w:szCs w:val="21"/>
                      </w:rPr>
                      <w:t xml:space="preserve">第 </w:t>
                    </w:r>
                    <w:r>
                      <w:rPr>
                        <w:b w:val="0"/>
                        <w:bCs/>
                        <w:sz w:val="18"/>
                        <w:szCs w:val="21"/>
                      </w:rPr>
                      <w:fldChar w:fldCharType="begin"/>
                    </w:r>
                    <w:r>
                      <w:rPr>
                        <w:b w:val="0"/>
                        <w:bCs/>
                        <w:sz w:val="18"/>
                        <w:szCs w:val="21"/>
                      </w:rPr>
                      <w:instrText xml:space="preserve"> PAGE  \* MERGEFORMAT </w:instrText>
                    </w:r>
                    <w:r>
                      <w:rPr>
                        <w:b w:val="0"/>
                        <w:bCs/>
                        <w:sz w:val="18"/>
                        <w:szCs w:val="21"/>
                      </w:rPr>
                      <w:fldChar w:fldCharType="separate"/>
                    </w:r>
                    <w:r>
                      <w:rPr>
                        <w:b w:val="0"/>
                        <w:bCs/>
                        <w:sz w:val="18"/>
                        <w:szCs w:val="21"/>
                      </w:rPr>
                      <w:t>26</w:t>
                    </w:r>
                    <w:r>
                      <w:rPr>
                        <w:b w:val="0"/>
                        <w:bCs/>
                        <w:sz w:val="18"/>
                        <w:szCs w:val="21"/>
                      </w:rPr>
                      <w:fldChar w:fldCharType="end"/>
                    </w:r>
                    <w:r>
                      <w:rPr>
                        <w:b w:val="0"/>
                        <w:bCs/>
                        <w:sz w:val="18"/>
                        <w:szCs w:val="21"/>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4B1F1">
    <w:pPr>
      <w:pStyle w:val="18"/>
      <w:pBdr>
        <w:bottom w:val="double" w:color="auto" w:sz="8" w:space="1"/>
      </w:pBdr>
      <w:rPr>
        <w:rFonts w:hint="default"/>
        <w:lang w:val="en-US"/>
      </w:rPr>
    </w:pPr>
    <w:r>
      <w:rPr>
        <w:rFonts w:hint="eastAsia" w:asciiTheme="minorEastAsia" w:hAnsiTheme="minorEastAsia" w:eastAsiaTheme="minorEastAsia" w:cstheme="minorEastAsia"/>
        <w:color w:val="auto"/>
        <w:sz w:val="24"/>
        <w:highlight w:val="none"/>
        <w:u w:val="none"/>
        <w:lang w:val="en-US" w:eastAsia="zh-CN"/>
      </w:rPr>
      <w:t>富民县2026年职业技能提升培训项目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59866">
    <w:pPr>
      <w:pStyle w:val="1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796BB">
    <w:pPr>
      <w:pStyle w:val="1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064113">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07776E8"/>
    <w:multiLevelType w:val="singleLevel"/>
    <w:tmpl w:val="F07776E8"/>
    <w:lvl w:ilvl="0" w:tentative="0">
      <w:start w:val="1"/>
      <w:numFmt w:val="decimal"/>
      <w:suff w:val="nothing"/>
      <w:lvlText w:val="（%1）"/>
      <w:lvlJc w:val="left"/>
    </w:lvl>
  </w:abstractNum>
  <w:abstractNum w:abstractNumId="1">
    <w:nsid w:val="F16CC1BC"/>
    <w:multiLevelType w:val="singleLevel"/>
    <w:tmpl w:val="F16CC1BC"/>
    <w:lvl w:ilvl="0" w:tentative="0">
      <w:start w:val="2"/>
      <w:numFmt w:val="chineseCounting"/>
      <w:suff w:val="nothing"/>
      <w:lvlText w:val="%1、"/>
      <w:lvlJc w:val="left"/>
      <w:rPr>
        <w:rFonts w:hint="eastAsia"/>
      </w:rPr>
    </w:lvl>
  </w:abstractNum>
  <w:abstractNum w:abstractNumId="2">
    <w:nsid w:val="26043312"/>
    <w:multiLevelType w:val="multilevel"/>
    <w:tmpl w:val="26043312"/>
    <w:lvl w:ilvl="0" w:tentative="0">
      <w:start w:val="1"/>
      <w:numFmt w:val="decimal"/>
      <w:lvlText w:val="%1."/>
      <w:lvlJc w:val="left"/>
      <w:pPr>
        <w:ind w:left="425" w:hanging="425"/>
      </w:pPr>
    </w:lvl>
    <w:lvl w:ilvl="1" w:tentative="0">
      <w:start w:val="1"/>
      <w:numFmt w:val="decimal"/>
      <w:pStyle w:val="44"/>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3">
    <w:nsid w:val="73FDCF66"/>
    <w:multiLevelType w:val="singleLevel"/>
    <w:tmpl w:val="73FDCF66"/>
    <w:lvl w:ilvl="0" w:tentative="0">
      <w:start w:val="1"/>
      <w:numFmt w:val="chineseCounting"/>
      <w:suff w:val="nothing"/>
      <w:lvlText w:val="%1、"/>
      <w:lvlJc w:val="left"/>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ZmOTBlM2RkOWNhYWQ0ODgwNDExNjYyMDliNGQ0ZTYifQ=="/>
  </w:docVars>
  <w:rsids>
    <w:rsidRoot w:val="00000000"/>
    <w:rsid w:val="0003473C"/>
    <w:rsid w:val="004149D3"/>
    <w:rsid w:val="00EA3142"/>
    <w:rsid w:val="01484AA8"/>
    <w:rsid w:val="01AF5332"/>
    <w:rsid w:val="01D4130F"/>
    <w:rsid w:val="01E0373D"/>
    <w:rsid w:val="021D673F"/>
    <w:rsid w:val="023837CB"/>
    <w:rsid w:val="023A2E4D"/>
    <w:rsid w:val="02571C51"/>
    <w:rsid w:val="029B39CE"/>
    <w:rsid w:val="02D072EE"/>
    <w:rsid w:val="02EC4100"/>
    <w:rsid w:val="02FB1FCF"/>
    <w:rsid w:val="02FE20CD"/>
    <w:rsid w:val="03174F3D"/>
    <w:rsid w:val="03483348"/>
    <w:rsid w:val="03CE7CF1"/>
    <w:rsid w:val="04115E30"/>
    <w:rsid w:val="042A6EF2"/>
    <w:rsid w:val="042C0EBC"/>
    <w:rsid w:val="04F453FD"/>
    <w:rsid w:val="0534627A"/>
    <w:rsid w:val="0546436E"/>
    <w:rsid w:val="054D2E98"/>
    <w:rsid w:val="05654685"/>
    <w:rsid w:val="057E12A3"/>
    <w:rsid w:val="05B41169"/>
    <w:rsid w:val="05C7461C"/>
    <w:rsid w:val="06025E93"/>
    <w:rsid w:val="062E2CC9"/>
    <w:rsid w:val="063B7194"/>
    <w:rsid w:val="06620BC5"/>
    <w:rsid w:val="06693D01"/>
    <w:rsid w:val="06973838"/>
    <w:rsid w:val="06D8379E"/>
    <w:rsid w:val="06F37A6F"/>
    <w:rsid w:val="07464042"/>
    <w:rsid w:val="075C1AB8"/>
    <w:rsid w:val="07C733D5"/>
    <w:rsid w:val="07DC0503"/>
    <w:rsid w:val="07E01DA1"/>
    <w:rsid w:val="081B4AFE"/>
    <w:rsid w:val="081E0B1B"/>
    <w:rsid w:val="0854453D"/>
    <w:rsid w:val="088816CC"/>
    <w:rsid w:val="08B5322E"/>
    <w:rsid w:val="08BA4CE8"/>
    <w:rsid w:val="08D3343D"/>
    <w:rsid w:val="09226F26"/>
    <w:rsid w:val="09510A7C"/>
    <w:rsid w:val="09D41DD9"/>
    <w:rsid w:val="09E10052"/>
    <w:rsid w:val="09E3201C"/>
    <w:rsid w:val="09F91840"/>
    <w:rsid w:val="0A2B33DF"/>
    <w:rsid w:val="0A2C751F"/>
    <w:rsid w:val="0A402B91"/>
    <w:rsid w:val="0A832F99"/>
    <w:rsid w:val="0B460C7F"/>
    <w:rsid w:val="0B52745A"/>
    <w:rsid w:val="0B582596"/>
    <w:rsid w:val="0BBF1783"/>
    <w:rsid w:val="0C25691C"/>
    <w:rsid w:val="0C2B3807"/>
    <w:rsid w:val="0CA35A93"/>
    <w:rsid w:val="0D640F8B"/>
    <w:rsid w:val="0D7168B9"/>
    <w:rsid w:val="0D786F20"/>
    <w:rsid w:val="0D8D5388"/>
    <w:rsid w:val="0D9A308D"/>
    <w:rsid w:val="0DA73361"/>
    <w:rsid w:val="0DBF06AB"/>
    <w:rsid w:val="0DD34156"/>
    <w:rsid w:val="0DED5218"/>
    <w:rsid w:val="0DF14750"/>
    <w:rsid w:val="0E26072A"/>
    <w:rsid w:val="0E651252"/>
    <w:rsid w:val="0EB83A78"/>
    <w:rsid w:val="0EFE3455"/>
    <w:rsid w:val="0F0767AD"/>
    <w:rsid w:val="0F16079E"/>
    <w:rsid w:val="0F1D1B2D"/>
    <w:rsid w:val="0F275907"/>
    <w:rsid w:val="0F340C24"/>
    <w:rsid w:val="0F735BF1"/>
    <w:rsid w:val="0FD93FFF"/>
    <w:rsid w:val="10060813"/>
    <w:rsid w:val="1034712E"/>
    <w:rsid w:val="105E2D2F"/>
    <w:rsid w:val="10774D6C"/>
    <w:rsid w:val="10A67900"/>
    <w:rsid w:val="10FD7E68"/>
    <w:rsid w:val="11162CD7"/>
    <w:rsid w:val="11230F50"/>
    <w:rsid w:val="114E06C3"/>
    <w:rsid w:val="115E21EE"/>
    <w:rsid w:val="11845A4E"/>
    <w:rsid w:val="119F0F1F"/>
    <w:rsid w:val="11C95F9C"/>
    <w:rsid w:val="11CA0076"/>
    <w:rsid w:val="11D32976"/>
    <w:rsid w:val="1232769D"/>
    <w:rsid w:val="12490E8B"/>
    <w:rsid w:val="128A74D9"/>
    <w:rsid w:val="12B75DF4"/>
    <w:rsid w:val="12C14EC5"/>
    <w:rsid w:val="12C549B5"/>
    <w:rsid w:val="131B65FA"/>
    <w:rsid w:val="13217712"/>
    <w:rsid w:val="13622204"/>
    <w:rsid w:val="13E64BE3"/>
    <w:rsid w:val="14026FE0"/>
    <w:rsid w:val="14382F65"/>
    <w:rsid w:val="14485621"/>
    <w:rsid w:val="14D56A06"/>
    <w:rsid w:val="14DC7D94"/>
    <w:rsid w:val="14E86739"/>
    <w:rsid w:val="153277F3"/>
    <w:rsid w:val="15BB209F"/>
    <w:rsid w:val="15C360A8"/>
    <w:rsid w:val="15EC4007"/>
    <w:rsid w:val="162032B0"/>
    <w:rsid w:val="167F67F2"/>
    <w:rsid w:val="16895CFA"/>
    <w:rsid w:val="16C46D32"/>
    <w:rsid w:val="16DE7DF3"/>
    <w:rsid w:val="16EB42BE"/>
    <w:rsid w:val="16FC471D"/>
    <w:rsid w:val="16FD374C"/>
    <w:rsid w:val="17010640"/>
    <w:rsid w:val="176D1177"/>
    <w:rsid w:val="178D6BFF"/>
    <w:rsid w:val="17B75E30"/>
    <w:rsid w:val="17B84AE8"/>
    <w:rsid w:val="17D905BB"/>
    <w:rsid w:val="17DF13DB"/>
    <w:rsid w:val="18113331"/>
    <w:rsid w:val="18297794"/>
    <w:rsid w:val="18D916F9"/>
    <w:rsid w:val="190B0C48"/>
    <w:rsid w:val="19102702"/>
    <w:rsid w:val="199E2D40"/>
    <w:rsid w:val="19DB2D10"/>
    <w:rsid w:val="19FB3F7F"/>
    <w:rsid w:val="1A50725A"/>
    <w:rsid w:val="1AA41354"/>
    <w:rsid w:val="1AC45552"/>
    <w:rsid w:val="1B25315E"/>
    <w:rsid w:val="1B5239FE"/>
    <w:rsid w:val="1B6034CD"/>
    <w:rsid w:val="1B754A9E"/>
    <w:rsid w:val="1C403731"/>
    <w:rsid w:val="1C513253"/>
    <w:rsid w:val="1C654B13"/>
    <w:rsid w:val="1C9378D2"/>
    <w:rsid w:val="1D7274E7"/>
    <w:rsid w:val="1D943902"/>
    <w:rsid w:val="1DA84CB7"/>
    <w:rsid w:val="1E2C58E8"/>
    <w:rsid w:val="1E2C7F48"/>
    <w:rsid w:val="1E554624"/>
    <w:rsid w:val="1E69422B"/>
    <w:rsid w:val="1E6D1371"/>
    <w:rsid w:val="1E967206"/>
    <w:rsid w:val="1EA055EF"/>
    <w:rsid w:val="1EA2204E"/>
    <w:rsid w:val="1EC95333"/>
    <w:rsid w:val="1F892472"/>
    <w:rsid w:val="202076CF"/>
    <w:rsid w:val="202F7912"/>
    <w:rsid w:val="208E1C56"/>
    <w:rsid w:val="20994D8B"/>
    <w:rsid w:val="20EE61C5"/>
    <w:rsid w:val="2116462E"/>
    <w:rsid w:val="211F7986"/>
    <w:rsid w:val="21472A39"/>
    <w:rsid w:val="21894E00"/>
    <w:rsid w:val="21A165ED"/>
    <w:rsid w:val="21CD73E2"/>
    <w:rsid w:val="21FE1CBB"/>
    <w:rsid w:val="22482F0D"/>
    <w:rsid w:val="226C09A9"/>
    <w:rsid w:val="229D02EF"/>
    <w:rsid w:val="2318468D"/>
    <w:rsid w:val="232323B6"/>
    <w:rsid w:val="23432A93"/>
    <w:rsid w:val="23432E93"/>
    <w:rsid w:val="234611FA"/>
    <w:rsid w:val="235A56B5"/>
    <w:rsid w:val="23D9206E"/>
    <w:rsid w:val="240437DC"/>
    <w:rsid w:val="241E3F25"/>
    <w:rsid w:val="242B03F0"/>
    <w:rsid w:val="242B4894"/>
    <w:rsid w:val="2446522A"/>
    <w:rsid w:val="247423AA"/>
    <w:rsid w:val="24B51144"/>
    <w:rsid w:val="24C5392C"/>
    <w:rsid w:val="24D42836"/>
    <w:rsid w:val="25506360"/>
    <w:rsid w:val="25AE3087"/>
    <w:rsid w:val="25D23219"/>
    <w:rsid w:val="25E33B1F"/>
    <w:rsid w:val="25E42F4C"/>
    <w:rsid w:val="262B30B4"/>
    <w:rsid w:val="262C7334"/>
    <w:rsid w:val="26420893"/>
    <w:rsid w:val="2668592C"/>
    <w:rsid w:val="2734580E"/>
    <w:rsid w:val="27433CA3"/>
    <w:rsid w:val="277B343D"/>
    <w:rsid w:val="281A5E27"/>
    <w:rsid w:val="28500CF0"/>
    <w:rsid w:val="28520641"/>
    <w:rsid w:val="28620159"/>
    <w:rsid w:val="28904CC6"/>
    <w:rsid w:val="28CF1BF9"/>
    <w:rsid w:val="28F56982"/>
    <w:rsid w:val="291E49C7"/>
    <w:rsid w:val="29337157"/>
    <w:rsid w:val="294C5091"/>
    <w:rsid w:val="2A0E0598"/>
    <w:rsid w:val="2A110088"/>
    <w:rsid w:val="2ABB4B72"/>
    <w:rsid w:val="2AC2150B"/>
    <w:rsid w:val="2AD819D4"/>
    <w:rsid w:val="2AE0004D"/>
    <w:rsid w:val="2AFC789B"/>
    <w:rsid w:val="2B0F69CA"/>
    <w:rsid w:val="2B456C0B"/>
    <w:rsid w:val="2B634913"/>
    <w:rsid w:val="2B6F5066"/>
    <w:rsid w:val="2BB3046C"/>
    <w:rsid w:val="2BDB2E73"/>
    <w:rsid w:val="2BE45A54"/>
    <w:rsid w:val="2BE617CC"/>
    <w:rsid w:val="2BE772F2"/>
    <w:rsid w:val="2BF832AE"/>
    <w:rsid w:val="2C2E643C"/>
    <w:rsid w:val="2CD535EF"/>
    <w:rsid w:val="2CD77367"/>
    <w:rsid w:val="2CDB5AAE"/>
    <w:rsid w:val="2CFB12A7"/>
    <w:rsid w:val="2D597C99"/>
    <w:rsid w:val="2D6F75A0"/>
    <w:rsid w:val="2DAE1FBC"/>
    <w:rsid w:val="2DDB4C35"/>
    <w:rsid w:val="2DDE512D"/>
    <w:rsid w:val="2DE009E3"/>
    <w:rsid w:val="2DE26FB5"/>
    <w:rsid w:val="2E4E2DEA"/>
    <w:rsid w:val="2E544A35"/>
    <w:rsid w:val="2E8010CD"/>
    <w:rsid w:val="2EA414CB"/>
    <w:rsid w:val="2EC1207D"/>
    <w:rsid w:val="2F077651"/>
    <w:rsid w:val="2FB7522E"/>
    <w:rsid w:val="2FFC18B7"/>
    <w:rsid w:val="302A1EA4"/>
    <w:rsid w:val="302A5A00"/>
    <w:rsid w:val="30C714A1"/>
    <w:rsid w:val="30D836AE"/>
    <w:rsid w:val="315D2EC3"/>
    <w:rsid w:val="315E0057"/>
    <w:rsid w:val="31A35A6A"/>
    <w:rsid w:val="31D73965"/>
    <w:rsid w:val="320F1473"/>
    <w:rsid w:val="32395F2E"/>
    <w:rsid w:val="3267118D"/>
    <w:rsid w:val="32876A04"/>
    <w:rsid w:val="32BB5035"/>
    <w:rsid w:val="32C4213C"/>
    <w:rsid w:val="32CC0FF0"/>
    <w:rsid w:val="33153D3D"/>
    <w:rsid w:val="331A61FF"/>
    <w:rsid w:val="33323549"/>
    <w:rsid w:val="33354DE7"/>
    <w:rsid w:val="33704071"/>
    <w:rsid w:val="339935C8"/>
    <w:rsid w:val="33A04957"/>
    <w:rsid w:val="33D97E69"/>
    <w:rsid w:val="344828F8"/>
    <w:rsid w:val="346F257B"/>
    <w:rsid w:val="34735BC7"/>
    <w:rsid w:val="34BB0312"/>
    <w:rsid w:val="34C24459"/>
    <w:rsid w:val="350C3AAC"/>
    <w:rsid w:val="3512582C"/>
    <w:rsid w:val="352B0250"/>
    <w:rsid w:val="35431A3E"/>
    <w:rsid w:val="358C11CC"/>
    <w:rsid w:val="36315D3A"/>
    <w:rsid w:val="3632560E"/>
    <w:rsid w:val="366A4DA8"/>
    <w:rsid w:val="37040D59"/>
    <w:rsid w:val="37265173"/>
    <w:rsid w:val="37A442EA"/>
    <w:rsid w:val="37A87B95"/>
    <w:rsid w:val="37C339F3"/>
    <w:rsid w:val="37F406F2"/>
    <w:rsid w:val="38451D0A"/>
    <w:rsid w:val="389D1465"/>
    <w:rsid w:val="38B22A36"/>
    <w:rsid w:val="391D25A6"/>
    <w:rsid w:val="393110B2"/>
    <w:rsid w:val="39A9208B"/>
    <w:rsid w:val="39B3128E"/>
    <w:rsid w:val="39E9692C"/>
    <w:rsid w:val="3A0A0D7C"/>
    <w:rsid w:val="3A2D7D96"/>
    <w:rsid w:val="3A3951BD"/>
    <w:rsid w:val="3A3A2CE3"/>
    <w:rsid w:val="3A5633AA"/>
    <w:rsid w:val="3A6337FA"/>
    <w:rsid w:val="3A970136"/>
    <w:rsid w:val="3ACE4CD6"/>
    <w:rsid w:val="3AEA64B7"/>
    <w:rsid w:val="3AF630AE"/>
    <w:rsid w:val="3B4A51A8"/>
    <w:rsid w:val="3B714E2B"/>
    <w:rsid w:val="3BB014AF"/>
    <w:rsid w:val="3BC767F9"/>
    <w:rsid w:val="3BCC6B0B"/>
    <w:rsid w:val="3C0417FB"/>
    <w:rsid w:val="3C37397E"/>
    <w:rsid w:val="3C663D2A"/>
    <w:rsid w:val="3CBB635D"/>
    <w:rsid w:val="3CC0457A"/>
    <w:rsid w:val="3D204412"/>
    <w:rsid w:val="3D9B7F3D"/>
    <w:rsid w:val="3DBA03C3"/>
    <w:rsid w:val="3DE43692"/>
    <w:rsid w:val="3DE44991"/>
    <w:rsid w:val="3DEB2C72"/>
    <w:rsid w:val="3EA572C5"/>
    <w:rsid w:val="3EED6576"/>
    <w:rsid w:val="3F141EA6"/>
    <w:rsid w:val="3F283A52"/>
    <w:rsid w:val="3F2C3542"/>
    <w:rsid w:val="3F375A43"/>
    <w:rsid w:val="3F6F78D3"/>
    <w:rsid w:val="3F762A0F"/>
    <w:rsid w:val="3FA23805"/>
    <w:rsid w:val="3FF83425"/>
    <w:rsid w:val="40183AC7"/>
    <w:rsid w:val="401F077D"/>
    <w:rsid w:val="40896772"/>
    <w:rsid w:val="40C17CBA"/>
    <w:rsid w:val="40D46A39"/>
    <w:rsid w:val="41175B2C"/>
    <w:rsid w:val="4155698F"/>
    <w:rsid w:val="41650F8E"/>
    <w:rsid w:val="416B23D3"/>
    <w:rsid w:val="41A63C48"/>
    <w:rsid w:val="421309EA"/>
    <w:rsid w:val="42246753"/>
    <w:rsid w:val="42383462"/>
    <w:rsid w:val="42905890"/>
    <w:rsid w:val="42AC273C"/>
    <w:rsid w:val="42B04124"/>
    <w:rsid w:val="431247FD"/>
    <w:rsid w:val="432307B8"/>
    <w:rsid w:val="433B01F8"/>
    <w:rsid w:val="43835C93"/>
    <w:rsid w:val="43C64EE8"/>
    <w:rsid w:val="43DE0B83"/>
    <w:rsid w:val="43F87E15"/>
    <w:rsid w:val="44366C11"/>
    <w:rsid w:val="446E1F07"/>
    <w:rsid w:val="44BA0864"/>
    <w:rsid w:val="44DC3315"/>
    <w:rsid w:val="455D56AA"/>
    <w:rsid w:val="458D2861"/>
    <w:rsid w:val="45E1693D"/>
    <w:rsid w:val="463C0FA2"/>
    <w:rsid w:val="464473C4"/>
    <w:rsid w:val="4674757D"/>
    <w:rsid w:val="46A2233C"/>
    <w:rsid w:val="46A77952"/>
    <w:rsid w:val="46B8390E"/>
    <w:rsid w:val="47370CD6"/>
    <w:rsid w:val="479A2EA7"/>
    <w:rsid w:val="47C6205A"/>
    <w:rsid w:val="47D74267"/>
    <w:rsid w:val="47EB386F"/>
    <w:rsid w:val="480542FE"/>
    <w:rsid w:val="480C5CBF"/>
    <w:rsid w:val="4819662E"/>
    <w:rsid w:val="48562DBD"/>
    <w:rsid w:val="48B63E7D"/>
    <w:rsid w:val="48F26BB2"/>
    <w:rsid w:val="49184B37"/>
    <w:rsid w:val="494F67AB"/>
    <w:rsid w:val="499E6DEB"/>
    <w:rsid w:val="49B41C4E"/>
    <w:rsid w:val="49D96075"/>
    <w:rsid w:val="4AA14EEB"/>
    <w:rsid w:val="4AA77F21"/>
    <w:rsid w:val="4AAA7A11"/>
    <w:rsid w:val="4AAE5753"/>
    <w:rsid w:val="4AB83EDC"/>
    <w:rsid w:val="4AC40AD3"/>
    <w:rsid w:val="4B3B68BB"/>
    <w:rsid w:val="4B644064"/>
    <w:rsid w:val="4B85700A"/>
    <w:rsid w:val="4B9C37FE"/>
    <w:rsid w:val="4BA6467C"/>
    <w:rsid w:val="4BDE5BC4"/>
    <w:rsid w:val="4C1506B9"/>
    <w:rsid w:val="4C691076"/>
    <w:rsid w:val="4C9D5A7F"/>
    <w:rsid w:val="4CA81035"/>
    <w:rsid w:val="4CA95044"/>
    <w:rsid w:val="4CB15087"/>
    <w:rsid w:val="4CC4568A"/>
    <w:rsid w:val="4CE4720A"/>
    <w:rsid w:val="4CF92386"/>
    <w:rsid w:val="4D355CB8"/>
    <w:rsid w:val="4D5C1497"/>
    <w:rsid w:val="4D991CB4"/>
    <w:rsid w:val="4DB36BDD"/>
    <w:rsid w:val="4E2B2C17"/>
    <w:rsid w:val="4EDD03B5"/>
    <w:rsid w:val="4EE81699"/>
    <w:rsid w:val="4F5B752C"/>
    <w:rsid w:val="4FF05EC6"/>
    <w:rsid w:val="5032028D"/>
    <w:rsid w:val="504F0E3F"/>
    <w:rsid w:val="50502E09"/>
    <w:rsid w:val="50846E0E"/>
    <w:rsid w:val="50CA4969"/>
    <w:rsid w:val="50E73525"/>
    <w:rsid w:val="50ED0658"/>
    <w:rsid w:val="50FE4613"/>
    <w:rsid w:val="51022355"/>
    <w:rsid w:val="51024103"/>
    <w:rsid w:val="51257DF2"/>
    <w:rsid w:val="513A2AF1"/>
    <w:rsid w:val="51613734"/>
    <w:rsid w:val="51A451BA"/>
    <w:rsid w:val="51C66475"/>
    <w:rsid w:val="51EA0925"/>
    <w:rsid w:val="51F45208"/>
    <w:rsid w:val="51FE0D6E"/>
    <w:rsid w:val="52580FD8"/>
    <w:rsid w:val="52594F38"/>
    <w:rsid w:val="52854FEC"/>
    <w:rsid w:val="52C445E8"/>
    <w:rsid w:val="53373E0C"/>
    <w:rsid w:val="53481383"/>
    <w:rsid w:val="53C47D96"/>
    <w:rsid w:val="53D855EF"/>
    <w:rsid w:val="53EE6BC1"/>
    <w:rsid w:val="541D5EE6"/>
    <w:rsid w:val="545174E8"/>
    <w:rsid w:val="54694499"/>
    <w:rsid w:val="54933167"/>
    <w:rsid w:val="54AA0D3A"/>
    <w:rsid w:val="55410F72"/>
    <w:rsid w:val="554D5B69"/>
    <w:rsid w:val="55941EBE"/>
    <w:rsid w:val="55B92985"/>
    <w:rsid w:val="55CF47D0"/>
    <w:rsid w:val="55F52488"/>
    <w:rsid w:val="55F66200"/>
    <w:rsid w:val="562C39D0"/>
    <w:rsid w:val="566E5D97"/>
    <w:rsid w:val="567A473C"/>
    <w:rsid w:val="56B57E6A"/>
    <w:rsid w:val="56C67981"/>
    <w:rsid w:val="56CB4F97"/>
    <w:rsid w:val="56D007FF"/>
    <w:rsid w:val="56E77C77"/>
    <w:rsid w:val="572052E3"/>
    <w:rsid w:val="572D17AE"/>
    <w:rsid w:val="573B211D"/>
    <w:rsid w:val="57574A7D"/>
    <w:rsid w:val="577E08ED"/>
    <w:rsid w:val="57B62CFC"/>
    <w:rsid w:val="57C00874"/>
    <w:rsid w:val="57C93BCD"/>
    <w:rsid w:val="58201313"/>
    <w:rsid w:val="5853068D"/>
    <w:rsid w:val="585D2E9A"/>
    <w:rsid w:val="58694A68"/>
    <w:rsid w:val="58896EB8"/>
    <w:rsid w:val="58AB740C"/>
    <w:rsid w:val="58AD0DF8"/>
    <w:rsid w:val="58B77EC9"/>
    <w:rsid w:val="58DF11CE"/>
    <w:rsid w:val="590D5D3B"/>
    <w:rsid w:val="59590F80"/>
    <w:rsid w:val="59A2335F"/>
    <w:rsid w:val="59F14D15"/>
    <w:rsid w:val="5A851901"/>
    <w:rsid w:val="5AE825BC"/>
    <w:rsid w:val="5B3E0DAE"/>
    <w:rsid w:val="5B5E462C"/>
    <w:rsid w:val="5B9A1488"/>
    <w:rsid w:val="5B9C33A6"/>
    <w:rsid w:val="5BD3501A"/>
    <w:rsid w:val="5BD7618C"/>
    <w:rsid w:val="5C1318BA"/>
    <w:rsid w:val="5C4B1054"/>
    <w:rsid w:val="5C4D667C"/>
    <w:rsid w:val="5C875E04"/>
    <w:rsid w:val="5C9D2F32"/>
    <w:rsid w:val="5CCC2B81"/>
    <w:rsid w:val="5D380EAD"/>
    <w:rsid w:val="5D494E68"/>
    <w:rsid w:val="5D4B6E32"/>
    <w:rsid w:val="5D4D6706"/>
    <w:rsid w:val="5DB524FD"/>
    <w:rsid w:val="5DBC65F2"/>
    <w:rsid w:val="5ECC3FA2"/>
    <w:rsid w:val="5EEE4808"/>
    <w:rsid w:val="5F155949"/>
    <w:rsid w:val="5F236CA7"/>
    <w:rsid w:val="5F350407"/>
    <w:rsid w:val="5F4E0968"/>
    <w:rsid w:val="5F5D2E4C"/>
    <w:rsid w:val="5F7268F8"/>
    <w:rsid w:val="5F9525E6"/>
    <w:rsid w:val="5FA10F8B"/>
    <w:rsid w:val="5FB567E4"/>
    <w:rsid w:val="601B2AEB"/>
    <w:rsid w:val="602A5424"/>
    <w:rsid w:val="602B3BF1"/>
    <w:rsid w:val="60336387"/>
    <w:rsid w:val="604D4C6F"/>
    <w:rsid w:val="60877AD2"/>
    <w:rsid w:val="609603C4"/>
    <w:rsid w:val="60AA3E6F"/>
    <w:rsid w:val="60D3786A"/>
    <w:rsid w:val="61045C75"/>
    <w:rsid w:val="612B4C7E"/>
    <w:rsid w:val="614222FA"/>
    <w:rsid w:val="6162299C"/>
    <w:rsid w:val="618D33C7"/>
    <w:rsid w:val="61BC5F61"/>
    <w:rsid w:val="61D373F6"/>
    <w:rsid w:val="61DA0784"/>
    <w:rsid w:val="61DF5D9B"/>
    <w:rsid w:val="61F31112"/>
    <w:rsid w:val="6220263B"/>
    <w:rsid w:val="623F6839"/>
    <w:rsid w:val="625E3163"/>
    <w:rsid w:val="629B6165"/>
    <w:rsid w:val="62AE7A71"/>
    <w:rsid w:val="62DB0C58"/>
    <w:rsid w:val="62FA7330"/>
    <w:rsid w:val="63047C9B"/>
    <w:rsid w:val="63163A3E"/>
    <w:rsid w:val="631E1CED"/>
    <w:rsid w:val="6329551F"/>
    <w:rsid w:val="63422A85"/>
    <w:rsid w:val="63C416EC"/>
    <w:rsid w:val="63DD630A"/>
    <w:rsid w:val="643979E4"/>
    <w:rsid w:val="645F3C51"/>
    <w:rsid w:val="64AE2F91"/>
    <w:rsid w:val="64BF164C"/>
    <w:rsid w:val="64CF0348"/>
    <w:rsid w:val="64E92C00"/>
    <w:rsid w:val="651D5558"/>
    <w:rsid w:val="6531690D"/>
    <w:rsid w:val="65406A28"/>
    <w:rsid w:val="654239FC"/>
    <w:rsid w:val="657607C4"/>
    <w:rsid w:val="65A13A93"/>
    <w:rsid w:val="65F20C46"/>
    <w:rsid w:val="660F3AD0"/>
    <w:rsid w:val="66660838"/>
    <w:rsid w:val="66815672"/>
    <w:rsid w:val="670C535B"/>
    <w:rsid w:val="6759039D"/>
    <w:rsid w:val="67A27113"/>
    <w:rsid w:val="67B861D9"/>
    <w:rsid w:val="67BC1058"/>
    <w:rsid w:val="67BF46A4"/>
    <w:rsid w:val="67CB2F95"/>
    <w:rsid w:val="67FF7197"/>
    <w:rsid w:val="68112A26"/>
    <w:rsid w:val="682E35D8"/>
    <w:rsid w:val="688356D2"/>
    <w:rsid w:val="695D4175"/>
    <w:rsid w:val="69653029"/>
    <w:rsid w:val="698060B5"/>
    <w:rsid w:val="69EB79D2"/>
    <w:rsid w:val="69EC374B"/>
    <w:rsid w:val="6A0B2B0C"/>
    <w:rsid w:val="6A132A85"/>
    <w:rsid w:val="6A152DAC"/>
    <w:rsid w:val="6A771266"/>
    <w:rsid w:val="6AA81420"/>
    <w:rsid w:val="6ADE7537"/>
    <w:rsid w:val="6AEE4FFB"/>
    <w:rsid w:val="6B15282D"/>
    <w:rsid w:val="6B1B4485"/>
    <w:rsid w:val="6B282560"/>
    <w:rsid w:val="6B2F3761"/>
    <w:rsid w:val="6B3B2294"/>
    <w:rsid w:val="6B5B2936"/>
    <w:rsid w:val="6B7E15DA"/>
    <w:rsid w:val="6BC04E8F"/>
    <w:rsid w:val="6BEA5A68"/>
    <w:rsid w:val="6C215EC8"/>
    <w:rsid w:val="6C7B400F"/>
    <w:rsid w:val="6C832144"/>
    <w:rsid w:val="6CBA731E"/>
    <w:rsid w:val="6CCD26D1"/>
    <w:rsid w:val="6CFF5543"/>
    <w:rsid w:val="6D042B59"/>
    <w:rsid w:val="6D8D43D8"/>
    <w:rsid w:val="6DB77BCC"/>
    <w:rsid w:val="6DE2776C"/>
    <w:rsid w:val="6E0C43BB"/>
    <w:rsid w:val="6E1D2124"/>
    <w:rsid w:val="6E3631E6"/>
    <w:rsid w:val="6E6733A0"/>
    <w:rsid w:val="6EF74B4E"/>
    <w:rsid w:val="6F2179F2"/>
    <w:rsid w:val="6F2F0361"/>
    <w:rsid w:val="6F3E05A4"/>
    <w:rsid w:val="6F6451B6"/>
    <w:rsid w:val="6F743681"/>
    <w:rsid w:val="6F983DC8"/>
    <w:rsid w:val="6FC7059A"/>
    <w:rsid w:val="6FF62C2D"/>
    <w:rsid w:val="708C1C4A"/>
    <w:rsid w:val="713A123F"/>
    <w:rsid w:val="71B96608"/>
    <w:rsid w:val="71D52AEB"/>
    <w:rsid w:val="71E01DE7"/>
    <w:rsid w:val="720430D3"/>
    <w:rsid w:val="720D425E"/>
    <w:rsid w:val="723E44BF"/>
    <w:rsid w:val="724A3704"/>
    <w:rsid w:val="725614EF"/>
    <w:rsid w:val="72AA7CFF"/>
    <w:rsid w:val="72C70DEF"/>
    <w:rsid w:val="72D51220"/>
    <w:rsid w:val="72DA4145"/>
    <w:rsid w:val="73394BB6"/>
    <w:rsid w:val="737F144C"/>
    <w:rsid w:val="738467A2"/>
    <w:rsid w:val="738F5872"/>
    <w:rsid w:val="73920EBF"/>
    <w:rsid w:val="73AD3F4B"/>
    <w:rsid w:val="73AE6D87"/>
    <w:rsid w:val="73BC5F3C"/>
    <w:rsid w:val="74233D30"/>
    <w:rsid w:val="74600FBD"/>
    <w:rsid w:val="746A3BEA"/>
    <w:rsid w:val="748C76F8"/>
    <w:rsid w:val="74CF1C9F"/>
    <w:rsid w:val="74D01C2F"/>
    <w:rsid w:val="7524023C"/>
    <w:rsid w:val="75273889"/>
    <w:rsid w:val="752B35DF"/>
    <w:rsid w:val="754103F0"/>
    <w:rsid w:val="75492451"/>
    <w:rsid w:val="7596205A"/>
    <w:rsid w:val="759727BC"/>
    <w:rsid w:val="75E009AD"/>
    <w:rsid w:val="75ED4AD2"/>
    <w:rsid w:val="75F71914"/>
    <w:rsid w:val="7605202E"/>
    <w:rsid w:val="76261D92"/>
    <w:rsid w:val="7657019E"/>
    <w:rsid w:val="765E11D8"/>
    <w:rsid w:val="765E152C"/>
    <w:rsid w:val="76C43A85"/>
    <w:rsid w:val="76DB2B7D"/>
    <w:rsid w:val="771B4A54"/>
    <w:rsid w:val="772E7150"/>
    <w:rsid w:val="775748F9"/>
    <w:rsid w:val="7759005A"/>
    <w:rsid w:val="776D5ECB"/>
    <w:rsid w:val="777A4144"/>
    <w:rsid w:val="7793433E"/>
    <w:rsid w:val="77AB6D5D"/>
    <w:rsid w:val="78177BE5"/>
    <w:rsid w:val="782F3180"/>
    <w:rsid w:val="783C764B"/>
    <w:rsid w:val="78504696"/>
    <w:rsid w:val="7863107C"/>
    <w:rsid w:val="786C6182"/>
    <w:rsid w:val="78715547"/>
    <w:rsid w:val="78A91184"/>
    <w:rsid w:val="78FE2B52"/>
    <w:rsid w:val="79186DCA"/>
    <w:rsid w:val="79907C4E"/>
    <w:rsid w:val="79B871A5"/>
    <w:rsid w:val="79CE0777"/>
    <w:rsid w:val="7A35407A"/>
    <w:rsid w:val="7A7C01D3"/>
    <w:rsid w:val="7A8552D9"/>
    <w:rsid w:val="7AF4420D"/>
    <w:rsid w:val="7B0C77A9"/>
    <w:rsid w:val="7B19564A"/>
    <w:rsid w:val="7B766F9E"/>
    <w:rsid w:val="7BC80A02"/>
    <w:rsid w:val="7C0439CD"/>
    <w:rsid w:val="7C1728A9"/>
    <w:rsid w:val="7C185901"/>
    <w:rsid w:val="7C2E58BC"/>
    <w:rsid w:val="7C703D67"/>
    <w:rsid w:val="7C8141C6"/>
    <w:rsid w:val="7C9A0DE4"/>
    <w:rsid w:val="7CC02A24"/>
    <w:rsid w:val="7CD9190C"/>
    <w:rsid w:val="7CE32501"/>
    <w:rsid w:val="7CE7227B"/>
    <w:rsid w:val="7CE8640F"/>
    <w:rsid w:val="7CED360A"/>
    <w:rsid w:val="7D00333D"/>
    <w:rsid w:val="7D1943FF"/>
    <w:rsid w:val="7D63567A"/>
    <w:rsid w:val="7D7B29C4"/>
    <w:rsid w:val="7D8E7F71"/>
    <w:rsid w:val="7D9121E7"/>
    <w:rsid w:val="7DA0067C"/>
    <w:rsid w:val="7DAC0DCF"/>
    <w:rsid w:val="7DE95B7F"/>
    <w:rsid w:val="7DF06F0E"/>
    <w:rsid w:val="7E723DC7"/>
    <w:rsid w:val="7E851D4C"/>
    <w:rsid w:val="7E8B30DA"/>
    <w:rsid w:val="7EAF43B0"/>
    <w:rsid w:val="7EB73E24"/>
    <w:rsid w:val="7EE00DB5"/>
    <w:rsid w:val="7F123704"/>
    <w:rsid w:val="7F1F3372"/>
    <w:rsid w:val="7F5B485B"/>
    <w:rsid w:val="7F623E3B"/>
    <w:rsid w:val="7F633CC3"/>
    <w:rsid w:val="7FB34697"/>
    <w:rsid w:val="7FE9284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autoSpaceDN/>
      <w:adjustRightInd w:val="0"/>
      <w:snapToGrid w:val="0"/>
      <w:spacing w:line="360" w:lineRule="auto"/>
      <w:ind w:firstLine="928" w:firstLineChars="200"/>
      <w:jc w:val="both"/>
      <w:textAlignment w:val="baseline"/>
    </w:pPr>
    <w:rPr>
      <w:rFonts w:ascii="Lucida Sans Unicode" w:hAnsi="Lucida Sans Unicode" w:eastAsia="宋体" w:cs="Lucida Sans Unicode"/>
      <w:snapToGrid w:val="0"/>
      <w:color w:val="000000"/>
      <w:kern w:val="0"/>
      <w:sz w:val="24"/>
      <w:szCs w:val="24"/>
    </w:rPr>
  </w:style>
  <w:style w:type="paragraph" w:styleId="3">
    <w:name w:val="heading 1"/>
    <w:basedOn w:val="1"/>
    <w:next w:val="1"/>
    <w:autoRedefine/>
    <w:qFormat/>
    <w:uiPriority w:val="0"/>
    <w:pPr>
      <w:keepNext/>
      <w:keepLines/>
      <w:pageBreakBefore/>
      <w:spacing w:before="260" w:beforeLines="0" w:beforeAutospacing="0" w:after="260" w:afterLines="0" w:afterAutospacing="0" w:line="360" w:lineRule="auto"/>
      <w:ind w:firstLine="0" w:firstLineChars="0"/>
      <w:jc w:val="center"/>
      <w:outlineLvl w:val="0"/>
    </w:pPr>
    <w:rPr>
      <w:rFonts w:ascii="Arial" w:hAnsi="Arial"/>
      <w:b/>
      <w:kern w:val="44"/>
      <w:sz w:val="36"/>
    </w:rPr>
  </w:style>
  <w:style w:type="paragraph" w:styleId="4">
    <w:name w:val="heading 2"/>
    <w:basedOn w:val="1"/>
    <w:next w:val="1"/>
    <w:autoRedefine/>
    <w:unhideWhenUsed/>
    <w:qFormat/>
    <w:uiPriority w:val="0"/>
    <w:pPr>
      <w:keepNext/>
      <w:keepLines/>
      <w:spacing w:before="260" w:beforeLines="0" w:beforeAutospacing="0" w:after="260" w:afterLines="0" w:afterAutospacing="0" w:line="413" w:lineRule="auto"/>
      <w:ind w:firstLine="0" w:firstLineChars="0"/>
      <w:jc w:val="center"/>
      <w:outlineLvl w:val="1"/>
    </w:pPr>
    <w:rPr>
      <w:rFonts w:ascii="Arial" w:hAnsi="Arial" w:eastAsia="宋体"/>
      <w:sz w:val="30"/>
    </w:rPr>
  </w:style>
  <w:style w:type="paragraph" w:styleId="5">
    <w:name w:val="heading 3"/>
    <w:basedOn w:val="1"/>
    <w:next w:val="1"/>
    <w:autoRedefine/>
    <w:unhideWhenUsed/>
    <w:qFormat/>
    <w:uiPriority w:val="0"/>
    <w:pPr>
      <w:keepNext/>
      <w:keepLines/>
      <w:spacing w:before="260" w:after="260" w:line="416" w:lineRule="auto"/>
      <w:ind w:firstLine="0" w:firstLineChars="0"/>
      <w:jc w:val="center"/>
      <w:outlineLvl w:val="2"/>
    </w:pPr>
    <w:rPr>
      <w:rFonts w:ascii="Times New Roman" w:hAnsi="Times New Roman" w:eastAsia="宋体" w:cs="Times New Roman"/>
      <w:b/>
      <w:bCs/>
      <w:sz w:val="28"/>
      <w:szCs w:val="32"/>
    </w:rPr>
  </w:style>
  <w:style w:type="paragraph" w:styleId="6">
    <w:name w:val="heading 4"/>
    <w:basedOn w:val="1"/>
    <w:next w:val="1"/>
    <w:autoRedefine/>
    <w:unhideWhenUsed/>
    <w:qFormat/>
    <w:uiPriority w:val="0"/>
    <w:pPr>
      <w:keepNext/>
      <w:keepLines/>
      <w:spacing w:before="280" w:beforeLines="0" w:beforeAutospacing="0" w:after="290" w:afterLines="0" w:afterAutospacing="0" w:line="372" w:lineRule="auto"/>
      <w:outlineLvl w:val="3"/>
    </w:pPr>
    <w:rPr>
      <w:rFonts w:ascii="Arial" w:hAnsi="Arial" w:eastAsia="宋体"/>
      <w:b/>
      <w:sz w:val="28"/>
    </w:rPr>
  </w:style>
  <w:style w:type="character" w:default="1" w:styleId="27">
    <w:name w:val="Default Paragraph Font"/>
    <w:autoRedefine/>
    <w:semiHidden/>
    <w:qFormat/>
    <w:uiPriority w:val="0"/>
  </w:style>
  <w:style w:type="table" w:default="1" w:styleId="25">
    <w:name w:val="Normal Table"/>
    <w:autoRedefine/>
    <w:semiHidden/>
    <w:qFormat/>
    <w:uiPriority w:val="0"/>
    <w:tblPr>
      <w:tblCellMar>
        <w:top w:w="0" w:type="dxa"/>
        <w:left w:w="108" w:type="dxa"/>
        <w:bottom w:w="0" w:type="dxa"/>
        <w:right w:w="108" w:type="dxa"/>
      </w:tblCellMar>
    </w:tblPr>
  </w:style>
  <w:style w:type="paragraph" w:styleId="2">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7">
    <w:name w:val="List 3"/>
    <w:basedOn w:val="1"/>
    <w:next w:val="1"/>
    <w:autoRedefine/>
    <w:qFormat/>
    <w:uiPriority w:val="0"/>
    <w:pPr>
      <w:widowControl w:val="0"/>
      <w:autoSpaceDE/>
      <w:autoSpaceDN/>
      <w:spacing w:before="0" w:beforeLines="0" w:after="0" w:afterLines="0" w:line="360" w:lineRule="auto"/>
      <w:ind w:left="100" w:hanging="200"/>
      <w:jc w:val="both"/>
    </w:pPr>
    <w:rPr>
      <w:rFonts w:ascii="Times New Roman" w:eastAsia="宋体"/>
      <w:sz w:val="24"/>
    </w:rPr>
  </w:style>
  <w:style w:type="paragraph" w:styleId="8">
    <w:name w:val="Normal Indent"/>
    <w:basedOn w:val="1"/>
    <w:next w:val="1"/>
    <w:autoRedefine/>
    <w:qFormat/>
    <w:uiPriority w:val="0"/>
    <w:pPr>
      <w:ind w:firstLine="420"/>
    </w:pPr>
    <w:rPr>
      <w:szCs w:val="20"/>
    </w:rPr>
  </w:style>
  <w:style w:type="paragraph" w:styleId="9">
    <w:name w:val="Body Text"/>
    <w:basedOn w:val="1"/>
    <w:next w:val="10"/>
    <w:autoRedefine/>
    <w:qFormat/>
    <w:uiPriority w:val="0"/>
    <w:pPr>
      <w:spacing w:after="120" w:afterLines="0" w:afterAutospacing="0"/>
    </w:pPr>
  </w:style>
  <w:style w:type="paragraph" w:styleId="10">
    <w:name w:val="toc 5"/>
    <w:basedOn w:val="1"/>
    <w:next w:val="1"/>
    <w:qFormat/>
    <w:uiPriority w:val="0"/>
    <w:pPr>
      <w:ind w:left="800"/>
    </w:pPr>
    <w:rPr>
      <w:sz w:val="18"/>
      <w:szCs w:val="18"/>
    </w:rPr>
  </w:style>
  <w:style w:type="paragraph" w:styleId="11">
    <w:name w:val="Body Text Indent"/>
    <w:basedOn w:val="1"/>
    <w:next w:val="12"/>
    <w:autoRedefine/>
    <w:qFormat/>
    <w:uiPriority w:val="0"/>
    <w:pPr>
      <w:spacing w:line="200" w:lineRule="exact"/>
      <w:ind w:firstLine="301"/>
    </w:pPr>
    <w:rPr>
      <w:rFonts w:hAnsi="Courier New" w:eastAsiaTheme="minorEastAsia" w:cstheme="minorBidi"/>
      <w:spacing w:val="-4"/>
      <w:sz w:val="18"/>
      <w:szCs w:val="22"/>
    </w:rPr>
  </w:style>
  <w:style w:type="paragraph" w:styleId="12">
    <w:name w:val="Body Text First Indent 2"/>
    <w:basedOn w:val="11"/>
    <w:next w:val="8"/>
    <w:autoRedefine/>
    <w:qFormat/>
    <w:uiPriority w:val="0"/>
    <w:pPr>
      <w:spacing w:after="120"/>
      <w:ind w:left="420" w:leftChars="200" w:firstLine="420"/>
    </w:pPr>
    <w:rPr>
      <w:rFonts w:ascii="Times New Roman"/>
      <w:sz w:val="21"/>
    </w:rPr>
  </w:style>
  <w:style w:type="paragraph" w:styleId="13">
    <w:name w:val="toc 3"/>
    <w:basedOn w:val="1"/>
    <w:next w:val="1"/>
    <w:autoRedefine/>
    <w:qFormat/>
    <w:uiPriority w:val="0"/>
    <w:pPr>
      <w:ind w:left="480" w:leftChars="200"/>
    </w:pPr>
  </w:style>
  <w:style w:type="paragraph" w:styleId="14">
    <w:name w:val="Plain Text"/>
    <w:basedOn w:val="1"/>
    <w:autoRedefine/>
    <w:qFormat/>
    <w:uiPriority w:val="0"/>
    <w:rPr>
      <w:rFonts w:ascii="宋体" w:hAnsi="Courier New" w:eastAsiaTheme="minorEastAsia" w:cstheme="minorBidi"/>
      <w:szCs w:val="22"/>
    </w:rPr>
  </w:style>
  <w:style w:type="paragraph" w:styleId="15">
    <w:name w:val="Date"/>
    <w:basedOn w:val="1"/>
    <w:next w:val="1"/>
    <w:autoRedefine/>
    <w:qFormat/>
    <w:uiPriority w:val="0"/>
    <w:pPr>
      <w:ind w:left="100" w:leftChars="2500"/>
    </w:pPr>
  </w:style>
  <w:style w:type="paragraph" w:styleId="16">
    <w:name w:val="Body Text Indent 2"/>
    <w:basedOn w:val="1"/>
    <w:autoRedefine/>
    <w:qFormat/>
    <w:uiPriority w:val="0"/>
    <w:pPr>
      <w:spacing w:after="120" w:line="480" w:lineRule="auto"/>
      <w:ind w:left="420" w:leftChars="200"/>
    </w:pPr>
  </w:style>
  <w:style w:type="paragraph" w:styleId="17">
    <w:name w:val="footer"/>
    <w:basedOn w:val="1"/>
    <w:autoRedefine/>
    <w:qFormat/>
    <w:uiPriority w:val="0"/>
    <w:pPr>
      <w:tabs>
        <w:tab w:val="center" w:pos="4153"/>
        <w:tab w:val="right" w:pos="8306"/>
      </w:tabs>
      <w:snapToGrid w:val="0"/>
      <w:ind w:firstLine="0" w:firstLineChars="0"/>
      <w:jc w:val="center"/>
    </w:pPr>
    <w:rPr>
      <w:b/>
      <w:sz w:val="21"/>
    </w:rPr>
  </w:style>
  <w:style w:type="paragraph" w:styleId="1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ind w:firstLine="0" w:firstLineChars="0"/>
      <w:jc w:val="both"/>
      <w:outlineLvl w:val="9"/>
    </w:pPr>
    <w:rPr>
      <w:sz w:val="21"/>
    </w:rPr>
  </w:style>
  <w:style w:type="paragraph" w:styleId="19">
    <w:name w:val="toc 1"/>
    <w:basedOn w:val="1"/>
    <w:next w:val="1"/>
    <w:autoRedefine/>
    <w:qFormat/>
    <w:uiPriority w:val="0"/>
    <w:pPr>
      <w:spacing w:line="360" w:lineRule="auto"/>
      <w:ind w:left="0" w:firstLine="0" w:firstLineChars="0"/>
      <w:jc w:val="left"/>
    </w:pPr>
    <w:rPr>
      <w:rFonts w:ascii="黑体" w:hAnsi="黑体" w:cs="黑体"/>
      <w:b/>
      <w:sz w:val="28"/>
      <w:szCs w:val="28"/>
      <w:lang w:val="zh-CN" w:bidi="zh-CN"/>
    </w:rPr>
  </w:style>
  <w:style w:type="paragraph" w:styleId="20">
    <w:name w:val="toc 2"/>
    <w:basedOn w:val="1"/>
    <w:next w:val="1"/>
    <w:autoRedefine/>
    <w:qFormat/>
    <w:uiPriority w:val="0"/>
    <w:pPr>
      <w:ind w:left="420" w:leftChars="200" w:firstLine="0" w:firstLineChars="0"/>
    </w:pPr>
  </w:style>
  <w:style w:type="paragraph" w:styleId="21">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pPr>
    <w:rPr>
      <w:rFonts w:ascii="Arial" w:hAnsi="Arial" w:eastAsia="宋体" w:cs="Times New Roman"/>
      <w:kern w:val="0"/>
      <w:sz w:val="24"/>
    </w:rPr>
  </w:style>
  <w:style w:type="paragraph" w:styleId="22">
    <w:name w:val="Normal (Web)"/>
    <w:basedOn w:val="1"/>
    <w:autoRedefine/>
    <w:qFormat/>
    <w:uiPriority w:val="0"/>
    <w:pPr>
      <w:spacing w:beforeAutospacing="1" w:afterAutospacing="1"/>
      <w:jc w:val="left"/>
    </w:pPr>
    <w:rPr>
      <w:rFonts w:cs="Times New Roman"/>
      <w:kern w:val="0"/>
      <w:sz w:val="24"/>
    </w:rPr>
  </w:style>
  <w:style w:type="paragraph" w:styleId="23">
    <w:name w:val="Title"/>
    <w:basedOn w:val="1"/>
    <w:next w:val="9"/>
    <w:autoRedefine/>
    <w:qFormat/>
    <w:uiPriority w:val="0"/>
    <w:pPr>
      <w:spacing w:before="240" w:after="60"/>
      <w:jc w:val="center"/>
      <w:outlineLvl w:val="1"/>
    </w:pPr>
    <w:rPr>
      <w:rFonts w:ascii="Cambria" w:hAnsi="Cambria" w:eastAsia="黑体"/>
      <w:b/>
      <w:bCs/>
      <w:sz w:val="44"/>
      <w:szCs w:val="32"/>
    </w:rPr>
  </w:style>
  <w:style w:type="paragraph" w:styleId="24">
    <w:name w:val="Body Text First Indent"/>
    <w:basedOn w:val="9"/>
    <w:autoRedefine/>
    <w:unhideWhenUsed/>
    <w:qFormat/>
    <w:uiPriority w:val="0"/>
    <w:pPr>
      <w:ind w:firstLine="420" w:firstLineChars="100"/>
    </w:pPr>
  </w:style>
  <w:style w:type="table" w:styleId="26">
    <w:name w:val="Table Grid"/>
    <w:basedOn w:val="2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autoRedefine/>
    <w:qFormat/>
    <w:uiPriority w:val="0"/>
    <w:rPr>
      <w:b/>
      <w:bCs/>
    </w:rPr>
  </w:style>
  <w:style w:type="character" w:styleId="29">
    <w:name w:val="page number"/>
    <w:basedOn w:val="27"/>
    <w:qFormat/>
    <w:uiPriority w:val="0"/>
  </w:style>
  <w:style w:type="character" w:styleId="30">
    <w:name w:val="Hyperlink"/>
    <w:basedOn w:val="27"/>
    <w:autoRedefine/>
    <w:qFormat/>
    <w:uiPriority w:val="0"/>
    <w:rPr>
      <w:color w:val="0000FF"/>
      <w:u w:val="single"/>
    </w:rPr>
  </w:style>
  <w:style w:type="paragraph" w:customStyle="1" w:styleId="31">
    <w:name w:val="正文（标准）"/>
    <w:basedOn w:val="1"/>
    <w:next w:val="1"/>
    <w:autoRedefine/>
    <w:semiHidden/>
    <w:qFormat/>
    <w:uiPriority w:val="0"/>
    <w:pPr>
      <w:ind w:firstLine="525"/>
    </w:pPr>
    <w:rPr>
      <w:rFonts w:ascii="宋体" w:hAnsi="宋体"/>
    </w:rPr>
  </w:style>
  <w:style w:type="paragraph" w:customStyle="1" w:styleId="32">
    <w:name w:val="表格文字"/>
    <w:basedOn w:val="33"/>
    <w:autoRedefine/>
    <w:qFormat/>
    <w:uiPriority w:val="0"/>
    <w:pPr>
      <w:spacing w:before="25" w:after="25"/>
      <w:jc w:val="left"/>
    </w:pPr>
    <w:rPr>
      <w:bCs/>
      <w:spacing w:val="10"/>
      <w:kern w:val="0"/>
      <w:sz w:val="24"/>
    </w:rPr>
  </w:style>
  <w:style w:type="paragraph" w:customStyle="1" w:styleId="33">
    <w:name w:val="表格文字图表文字"/>
    <w:basedOn w:val="1"/>
    <w:autoRedefine/>
    <w:qFormat/>
    <w:uiPriority w:val="0"/>
    <w:pPr>
      <w:snapToGrid w:val="0"/>
      <w:ind w:firstLine="200" w:firstLineChars="200"/>
      <w:jc w:val="center"/>
    </w:pPr>
    <w:rPr>
      <w:color w:val="7030A0"/>
    </w:rPr>
  </w:style>
  <w:style w:type="table" w:customStyle="1" w:styleId="34">
    <w:name w:val="Table Normal_0"/>
    <w:autoRedefine/>
    <w:semiHidden/>
    <w:unhideWhenUsed/>
    <w:qFormat/>
    <w:uiPriority w:val="0"/>
    <w:tblPr>
      <w:tblCellMar>
        <w:top w:w="0" w:type="dxa"/>
        <w:left w:w="0" w:type="dxa"/>
        <w:bottom w:w="0" w:type="dxa"/>
        <w:right w:w="0" w:type="dxa"/>
      </w:tblCellMar>
    </w:tblPr>
  </w:style>
  <w:style w:type="paragraph" w:customStyle="1" w:styleId="35">
    <w:name w:val="Table Paragraph"/>
    <w:basedOn w:val="1"/>
    <w:autoRedefine/>
    <w:qFormat/>
    <w:uiPriority w:val="1"/>
    <w:rPr>
      <w:rFonts w:ascii="宋体" w:hAnsi="宋体" w:eastAsia="宋体" w:cs="宋体"/>
      <w:lang w:val="zh-CN" w:eastAsia="zh-CN" w:bidi="zh-CN"/>
    </w:rPr>
  </w:style>
  <w:style w:type="character" w:customStyle="1" w:styleId="36">
    <w:name w:val="font11"/>
    <w:basedOn w:val="27"/>
    <w:autoRedefine/>
    <w:qFormat/>
    <w:uiPriority w:val="0"/>
    <w:rPr>
      <w:rFonts w:hint="eastAsia" w:ascii="微软雅黑" w:hAnsi="微软雅黑" w:eastAsia="微软雅黑" w:cs="微软雅黑"/>
      <w:color w:val="000000"/>
      <w:sz w:val="22"/>
      <w:szCs w:val="22"/>
      <w:u w:val="none"/>
    </w:rPr>
  </w:style>
  <w:style w:type="paragraph" w:customStyle="1" w:styleId="37">
    <w:name w:val="中等深浅底纹 1 - 强调文字颜色 11"/>
    <w:autoRedefine/>
    <w:qFormat/>
    <w:uiPriority w:val="1"/>
    <w:rPr>
      <w:rFonts w:ascii="Calibri" w:hAnsi="Calibri" w:eastAsia="宋体" w:cs="Times New Roman"/>
      <w:sz w:val="22"/>
      <w:szCs w:val="22"/>
      <w:lang w:val="en-US" w:eastAsia="zh-CN" w:bidi="ar-SA"/>
    </w:rPr>
  </w:style>
  <w:style w:type="paragraph" w:styleId="38">
    <w:name w:val="List Paragraph"/>
    <w:basedOn w:val="1"/>
    <w:autoRedefine/>
    <w:qFormat/>
    <w:uiPriority w:val="0"/>
    <w:pPr>
      <w:ind w:firstLine="420" w:firstLineChars="200"/>
    </w:pPr>
    <w:rPr>
      <w:rFonts w:ascii="Calibri" w:hAnsi="Calibri" w:eastAsia="宋体" w:cs="Times New Roman"/>
      <w:szCs w:val="22"/>
      <w:lang w:val="en-US" w:eastAsia="zh-CN" w:bidi="ar-SA"/>
    </w:rPr>
  </w:style>
  <w:style w:type="paragraph" w:customStyle="1" w:styleId="39">
    <w:name w:val="_Style 0"/>
    <w:autoRedefine/>
    <w:qFormat/>
    <w:uiPriority w:val="0"/>
    <w:pPr>
      <w:ind w:firstLine="420" w:firstLineChars="200"/>
    </w:pPr>
    <w:rPr>
      <w:rFonts w:ascii="Calibri" w:hAnsi="Calibri" w:eastAsia="宋体" w:cs="Times New Roman"/>
      <w:szCs w:val="22"/>
      <w:lang w:val="en-US" w:eastAsia="zh-CN" w:bidi="ar-SA"/>
    </w:rPr>
  </w:style>
  <w:style w:type="paragraph" w:customStyle="1" w:styleId="40">
    <w:name w:val="彩色列表 - 强调文字颜色 12"/>
    <w:basedOn w:val="1"/>
    <w:autoRedefine/>
    <w:qFormat/>
    <w:uiPriority w:val="34"/>
    <w:pPr>
      <w:ind w:firstLine="420" w:firstLineChars="200"/>
    </w:pPr>
    <w:rPr>
      <w:rFonts w:ascii="Calibri" w:hAnsi="Calibri" w:eastAsia="宋体" w:cs="Times New Roman"/>
      <w:szCs w:val="22"/>
    </w:rPr>
  </w:style>
  <w:style w:type="paragraph" w:customStyle="1" w:styleId="41">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2">
    <w:name w:val="大标题"/>
    <w:basedOn w:val="1"/>
    <w:next w:val="12"/>
    <w:autoRedefine/>
    <w:qFormat/>
    <w:uiPriority w:val="0"/>
    <w:pPr>
      <w:jc w:val="center"/>
    </w:pPr>
    <w:rPr>
      <w:rFonts w:ascii="Arial" w:hAnsi="Arial" w:eastAsia="宋体"/>
      <w:b/>
      <w:sz w:val="28"/>
      <w:szCs w:val="24"/>
    </w:rPr>
  </w:style>
  <w:style w:type="paragraph" w:customStyle="1" w:styleId="43">
    <w:name w:val="样式1"/>
    <w:basedOn w:val="4"/>
    <w:next w:val="6"/>
    <w:autoRedefine/>
    <w:qFormat/>
    <w:uiPriority w:val="0"/>
  </w:style>
  <w:style w:type="paragraph" w:customStyle="1" w:styleId="44">
    <w:name w:val="2级小标题"/>
    <w:basedOn w:val="3"/>
    <w:autoRedefine/>
    <w:qFormat/>
    <w:uiPriority w:val="0"/>
    <w:pPr>
      <w:numPr>
        <w:ilvl w:val="1"/>
        <w:numId w:val="1"/>
      </w:numPr>
      <w:spacing w:line="360" w:lineRule="auto"/>
    </w:pPr>
    <w:rPr>
      <w:bCs/>
      <w:sz w:val="24"/>
      <w:szCs w:val="24"/>
    </w:rPr>
  </w:style>
  <w:style w:type="paragraph" w:customStyle="1" w:styleId="45">
    <w:name w:val="正文1"/>
    <w:basedOn w:val="1"/>
    <w:autoRedefine/>
    <w:qFormat/>
    <w:uiPriority w:val="0"/>
    <w:pPr>
      <w:spacing w:line="360" w:lineRule="auto"/>
      <w:ind w:left="-76" w:leftChars="-50" w:right="-105" w:rightChars="-50" w:hanging="29" w:hangingChars="12"/>
      <w:jc w:val="center"/>
    </w:pPr>
    <w:rPr>
      <w:rFonts w:ascii="宋体" w:hAnsi="宋体" w:cs="宋体"/>
    </w:rPr>
  </w:style>
  <w:style w:type="paragraph" w:customStyle="1" w:styleId="46">
    <w:name w:val="文本"/>
    <w:basedOn w:val="1"/>
    <w:autoRedefine/>
    <w:qFormat/>
    <w:uiPriority w:val="0"/>
    <w:pPr>
      <w:spacing w:before="25" w:beforeLines="25" w:after="25" w:afterLines="25"/>
      <w:ind w:firstLine="420"/>
    </w:pPr>
  </w:style>
  <w:style w:type="paragraph" w:customStyle="1" w:styleId="47">
    <w:name w:val="列出段落1"/>
    <w:basedOn w:val="1"/>
    <w:autoRedefine/>
    <w:qFormat/>
    <w:uiPriority w:val="0"/>
    <w:pPr>
      <w:ind w:firstLine="420" w:firstLineChars="200"/>
    </w:pPr>
  </w:style>
  <w:style w:type="paragraph" w:customStyle="1" w:styleId="48">
    <w:name w:val="正文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
    <w:name w:val="样式 标题 2 + 自动设置"/>
    <w:basedOn w:val="4"/>
    <w:autoRedefine/>
    <w:qFormat/>
    <w:uiPriority w:val="0"/>
    <w:pPr>
      <w:spacing w:before="0" w:after="0" w:line="360" w:lineRule="auto"/>
    </w:pPr>
    <w:rPr>
      <w:rFonts w:eastAsia="宋体"/>
      <w:bCs/>
      <w:color w:val="auto"/>
      <w:kern w:val="2"/>
      <w:sz w:val="30"/>
    </w:rPr>
  </w:style>
  <w:style w:type="paragraph" w:customStyle="1" w:styleId="50">
    <w:name w:val="正文缩进11"/>
    <w:basedOn w:val="1"/>
    <w:qFormat/>
    <w:uiPriority w:val="0"/>
    <w:pPr>
      <w:ind w:firstLine="420"/>
    </w:pPr>
  </w:style>
  <w:style w:type="paragraph" w:customStyle="1" w:styleId="51">
    <w:name w:val="样式 标题 3 + (中文) 黑体 小四 非加粗 段前: 7.8 磅 段后: 0 磅 行距: 固定值 20 磅"/>
    <w:basedOn w:val="5"/>
    <w:qFormat/>
    <w:uiPriority w:val="0"/>
    <w:pPr>
      <w:widowControl w:val="0"/>
      <w:tabs>
        <w:tab w:val="left" w:pos="426"/>
      </w:tabs>
      <w:spacing w:before="0" w:after="0" w:line="400" w:lineRule="exact"/>
      <w:jc w:val="both"/>
    </w:pPr>
    <w:rPr>
      <w:rFonts w:eastAsia="黑体" w:cs="宋体"/>
      <w:b w:val="0"/>
      <w:bCs w:val="0"/>
      <w:kern w:val="2"/>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58</Pages>
  <Words>19539</Words>
  <Characters>21069</Characters>
  <Lines>0</Lines>
  <Paragraphs>0</Paragraphs>
  <TotalTime>41</TotalTime>
  <ScaleCrop>false</ScaleCrop>
  <LinksUpToDate>false</LinksUpToDate>
  <CharactersWithSpaces>21304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2022-11-18T16:28:00Z</dcterms:created>
  <dc:creator>微软用户</dc:creator>
  <cp:lastModifiedBy>WPS_1562304950</cp:lastModifiedBy>
  <dcterms:modified xsi:type="dcterms:W3CDTF">2026-06-05T05:51:01Z</dcterms:modified>
  <dc:title>招标编号：YDCOH2014476</dc:titl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2022-11-18T16:52:55Z</vt:filetime>
  </property>
  <property fmtid="{D5CDD505-2E9C-101B-9397-08002B2CF9AE}" pid="3" name="CRO">
    <vt:lpwstr>wqlLaW5nc29mdCBQREYgdG8gV1BTIDgw</vt:lpwstr>
  </property>
  <property fmtid="{D5CDD505-2E9C-101B-9397-08002B2CF9AE}" pid="4" name="ICV">
    <vt:lpwstr>0D9710D4E3CA4BAF88BBF0E6098F5D80_13</vt:lpwstr>
  </property>
  <property fmtid="{D5CDD505-2E9C-101B-9397-08002B2CF9AE}" pid="5" name="KSOProductBuildVer">
    <vt:lpwstr>2052-12.1.0.26375</vt:lpwstr>
  </property>
  <property fmtid="{D5CDD505-2E9C-101B-9397-08002B2CF9AE}" pid="6" name="KSOTemplateDocerSaveRecord">
    <vt:lpwstr>eyJoZGlkIjoiZWIxMjhhYmQwY2Y4YjI3ZTU5MWNhYWFkMTg5MGFhNmEiLCJ1c2VySWQiOiI2MDEzNDY3MTQifQ==</vt:lpwstr>
  </property>
</Properties>
</file>