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版本号：政采-汉台区-2026-0003920260427001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2026年汉台区残联残疾人托养和照护服务项目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政采-汉台区-2026-00039</w:t>
      </w:r>
      <w:r>
        <w:br/>
      </w:r>
      <w:r>
        <w:br/>
      </w:r>
      <w:r>
        <w:br/>
      </w:r>
    </w:p>
    <w:p>
      <w:pPr>
        <w:pStyle w:val="null3"/>
        <w:jc w:val="center"/>
        <w:outlineLvl w:val="2"/>
      </w:pPr>
      <w:r>
        <w:rPr>
          <w:rFonts w:ascii="仿宋_GB2312" w:hAnsi="仿宋_GB2312" w:cs="仿宋_GB2312" w:eastAsia="仿宋_GB2312"/>
          <w:sz w:val="28"/>
          <w:b/>
        </w:rPr>
        <w:t>汉中市汉台区残疾人联合会</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汉中市汉台区残疾人联合会</w:t>
      </w:r>
      <w:r>
        <w:rPr>
          <w:rFonts w:ascii="仿宋_GB2312" w:hAnsi="仿宋_GB2312" w:cs="仿宋_GB2312" w:eastAsia="仿宋_GB2312"/>
        </w:rPr>
        <w:t>委托，拟对</w:t>
      </w:r>
      <w:r>
        <w:rPr>
          <w:rFonts w:ascii="仿宋_GB2312" w:hAnsi="仿宋_GB2312" w:cs="仿宋_GB2312" w:eastAsia="仿宋_GB2312"/>
        </w:rPr>
        <w:t>2026年汉台区残联残疾人托养和照护服务项目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政采-汉台区-2026-00039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2026年汉台区残联残疾人托养和照护服务项目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残疾人托养服务及社会救助家庭中生活不能自理残疾人照护服务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4、供应商资质：供应商须具备由相关行政审批单位颁发的《医疗机构执业许可证》；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汉台区中山街周公巷口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13399163303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汉中市汉台区残疾人联合会</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完成质量和内容达到方案服务标准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残疾人托养服务及社会救助家庭中生活不能自理残疾人照护服务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w:t>
      </w:r>
    </w:p>
    <w:p>
      <w:pPr>
        <w:pStyle w:val="null3"/>
      </w:pPr>
      <w:r>
        <w:rPr>
          <w:rFonts w:ascii="仿宋_GB2312" w:hAnsi="仿宋_GB2312" w:cs="仿宋_GB2312" w:eastAsia="仿宋_GB2312"/>
        </w:rPr>
        <w:t>采购包最高限价（元）: 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残疾人托养和照护服务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标的名称：残疾人托养和照护服务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rPr>
              <w:t>一、服务对象</w:t>
            </w:r>
          </w:p>
          <w:p>
            <w:pPr>
              <w:pStyle w:val="null3"/>
              <w:spacing w:before="105" w:after="105"/>
              <w:ind w:firstLine="640"/>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残疾人托养服务：</w:t>
            </w:r>
            <w:r>
              <w:rPr>
                <w:rFonts w:ascii="仿宋_GB2312" w:hAnsi="仿宋_GB2312" w:cs="仿宋_GB2312" w:eastAsia="仿宋_GB2312"/>
                <w:sz w:val="24"/>
                <w:color w:val="000000"/>
              </w:rPr>
              <w:t>具有汉台区户籍，</w:t>
            </w:r>
            <w:r>
              <w:rPr>
                <w:rFonts w:ascii="仿宋_GB2312" w:hAnsi="仿宋_GB2312" w:cs="仿宋_GB2312" w:eastAsia="仿宋_GB2312"/>
                <w:sz w:val="24"/>
                <w:color w:val="000000"/>
              </w:rPr>
              <w:t>处于就业年龄阶段</w:t>
            </w:r>
            <w:r>
              <w:rPr>
                <w:rFonts w:ascii="仿宋_GB2312" w:hAnsi="仿宋_GB2312" w:cs="仿宋_GB2312" w:eastAsia="仿宋_GB2312"/>
                <w:sz w:val="24"/>
                <w:color w:val="000000"/>
              </w:rPr>
              <w:t>、持有《中华人民共和国残疾人证》，</w:t>
            </w:r>
            <w:r>
              <w:rPr>
                <w:rFonts w:ascii="仿宋_GB2312" w:hAnsi="仿宋_GB2312" w:cs="仿宋_GB2312" w:eastAsia="仿宋_GB2312"/>
                <w:sz w:val="24"/>
                <w:color w:val="000000"/>
              </w:rPr>
              <w:t>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spacing w:before="105" w:after="105"/>
              <w:ind w:firstLine="64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社会救助家庭中生活不能自理残疾人照护服务：</w:t>
            </w:r>
            <w:r>
              <w:rPr>
                <w:rFonts w:ascii="仿宋_GB2312" w:hAnsi="仿宋_GB2312" w:cs="仿宋_GB2312" w:eastAsia="仿宋_GB2312"/>
                <w:sz w:val="24"/>
                <w:color w:val="000000"/>
              </w:rPr>
              <w:t>具有汉台区户籍，</w:t>
            </w:r>
            <w:r>
              <w:rPr>
                <w:rFonts w:ascii="仿宋_GB2312" w:hAnsi="仿宋_GB2312" w:cs="仿宋_GB2312" w:eastAsia="仿宋_GB2312"/>
                <w:sz w:val="24"/>
                <w:color w:val="000000"/>
              </w:rPr>
              <w:t>16</w:t>
            </w:r>
            <w:r>
              <w:rPr>
                <w:rFonts w:ascii="仿宋_GB2312" w:hAnsi="仿宋_GB2312" w:cs="仿宋_GB2312" w:eastAsia="仿宋_GB2312"/>
                <w:sz w:val="24"/>
                <w:color w:val="000000"/>
              </w:rPr>
              <w:t>周岁以上、持有《中华人民共和国残疾人证》，属低保或低保边缘家庭、生活不能自理、有照护需求和意愿的残疾人。</w:t>
            </w:r>
            <w:r>
              <w:rPr>
                <w:rFonts w:ascii="仿宋_GB2312" w:hAnsi="仿宋_GB2312" w:cs="仿宋_GB2312" w:eastAsia="仿宋_GB2312"/>
                <w:sz w:val="24"/>
                <w:color w:val="000000"/>
              </w:rPr>
              <w:t>已经纳入特困救助供养、服务类救助、失能老年人照护服务、长期护理保险、残疾人托养服务、精神卫生社区康复服务等相关照护政策或项目覆盖范围的，不作为服务对象。</w:t>
            </w:r>
          </w:p>
          <w:p>
            <w:pPr>
              <w:pStyle w:val="null3"/>
              <w:spacing w:before="105" w:after="105"/>
              <w:jc w:val="both"/>
            </w:pPr>
            <w:r>
              <w:rPr>
                <w:rFonts w:ascii="仿宋_GB2312" w:hAnsi="仿宋_GB2312" w:cs="仿宋_GB2312" w:eastAsia="仿宋_GB2312"/>
                <w:sz w:val="24"/>
                <w:b/>
              </w:rPr>
              <w:t>二、托养形式</w:t>
            </w:r>
          </w:p>
          <w:p>
            <w:pPr>
              <w:pStyle w:val="null3"/>
              <w:spacing w:before="105" w:after="105"/>
              <w:ind w:firstLine="640"/>
              <w:jc w:val="both"/>
            </w:pPr>
            <w:r>
              <w:rPr>
                <w:rFonts w:ascii="仿宋_GB2312" w:hAnsi="仿宋_GB2312" w:cs="仿宋_GB2312" w:eastAsia="仿宋_GB2312"/>
                <w:sz w:val="24"/>
                <w:color w:val="000000"/>
              </w:rPr>
              <w:t>集中托养：集中托养对象为日常饮食起居需要专人护理而家庭护理有困难的重度残疾人。</w:t>
            </w:r>
          </w:p>
          <w:p>
            <w:pPr>
              <w:pStyle w:val="null3"/>
              <w:spacing w:before="105" w:after="105"/>
              <w:jc w:val="both"/>
            </w:pPr>
            <w:r>
              <w:rPr>
                <w:rFonts w:ascii="仿宋_GB2312" w:hAnsi="仿宋_GB2312" w:cs="仿宋_GB2312" w:eastAsia="仿宋_GB2312"/>
                <w:sz w:val="24"/>
                <w:b/>
              </w:rPr>
              <w:t>三、托养照护服务内容</w:t>
            </w:r>
          </w:p>
          <w:p>
            <w:pPr>
              <w:pStyle w:val="null3"/>
              <w:spacing w:before="105" w:after="105"/>
              <w:ind w:firstLine="6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实施生活自理能力训练，提升残疾人自我照料水平；</w:t>
            </w:r>
          </w:p>
          <w:p>
            <w:pPr>
              <w:pStyle w:val="null3"/>
              <w:spacing w:before="105" w:after="105"/>
              <w:ind w:firstLine="6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提供个人卫生清洁、营养膳食搭配等日常照料服务，保障残疾人基本生活需求；</w:t>
            </w:r>
          </w:p>
          <w:p>
            <w:pPr>
              <w:pStyle w:val="null3"/>
              <w:spacing w:before="105" w:after="105"/>
              <w:ind w:firstLine="6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组织心理健康辅导、提供康复训练服务，减轻残疾对生产生活的影响；</w:t>
            </w:r>
          </w:p>
          <w:p>
            <w:pPr>
              <w:pStyle w:val="null3"/>
              <w:spacing w:before="105" w:after="105"/>
              <w:ind w:firstLine="64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结合残疾人自身能力特点，开展简单手工业、园艺等实用技术和辅助性就业技能培训；</w:t>
            </w:r>
          </w:p>
          <w:p>
            <w:pPr>
              <w:pStyle w:val="null3"/>
              <w:spacing w:before="105" w:after="105"/>
              <w:ind w:firstLine="64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开展文化知识教育，提高残疾人科学文化素养；</w:t>
            </w:r>
          </w:p>
          <w:p>
            <w:pPr>
              <w:pStyle w:val="null3"/>
              <w:spacing w:before="105" w:after="105"/>
              <w:ind w:firstLine="64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进行生活能力与生存技能评估，为寄养残疾人建立个人档案，并定期追踪托养成效。</w:t>
            </w:r>
          </w:p>
          <w:p>
            <w:pPr>
              <w:pStyle w:val="null3"/>
              <w:spacing w:before="105" w:after="105"/>
              <w:jc w:val="both"/>
            </w:pPr>
            <w:r>
              <w:rPr>
                <w:rFonts w:ascii="仿宋_GB2312" w:hAnsi="仿宋_GB2312" w:cs="仿宋_GB2312" w:eastAsia="仿宋_GB2312"/>
                <w:sz w:val="24"/>
                <w:b/>
              </w:rPr>
              <w:t>四、购买标准及要求</w:t>
            </w:r>
          </w:p>
          <w:p>
            <w:pPr>
              <w:pStyle w:val="null3"/>
              <w:spacing w:before="105" w:after="105"/>
              <w:ind w:firstLine="640"/>
              <w:jc w:val="both"/>
            </w:pPr>
            <w:r>
              <w:rPr>
                <w:rFonts w:ascii="仿宋_GB2312" w:hAnsi="仿宋_GB2312" w:cs="仿宋_GB2312" w:eastAsia="仿宋_GB2312"/>
                <w:sz w:val="24"/>
              </w:rPr>
              <w:t>寄宿制托养</w:t>
            </w:r>
            <w:r>
              <w:rPr>
                <w:rFonts w:ascii="仿宋_GB2312" w:hAnsi="仿宋_GB2312" w:cs="仿宋_GB2312" w:eastAsia="仿宋_GB2312"/>
                <w:sz w:val="24"/>
              </w:rPr>
              <w:t>照护</w:t>
            </w:r>
            <w:r>
              <w:rPr>
                <w:rFonts w:ascii="仿宋_GB2312" w:hAnsi="仿宋_GB2312" w:cs="仿宋_GB2312" w:eastAsia="仿宋_GB2312"/>
                <w:sz w:val="24"/>
              </w:rPr>
              <w:t>服务</w:t>
            </w:r>
            <w:r>
              <w:rPr>
                <w:rFonts w:ascii="仿宋_GB2312" w:hAnsi="仿宋_GB2312" w:cs="仿宋_GB2312" w:eastAsia="仿宋_GB2312"/>
                <w:sz w:val="24"/>
              </w:rPr>
              <w:t>，每服务</w:t>
            </w:r>
            <w:r>
              <w:rPr>
                <w:rFonts w:ascii="仿宋_GB2312" w:hAnsi="仿宋_GB2312" w:cs="仿宋_GB2312" w:eastAsia="仿宋_GB2312"/>
                <w:sz w:val="24"/>
              </w:rPr>
              <w:t>3</w:t>
            </w:r>
            <w:r>
              <w:rPr>
                <w:rFonts w:ascii="仿宋_GB2312" w:hAnsi="仿宋_GB2312" w:cs="仿宋_GB2312" w:eastAsia="仿宋_GB2312"/>
                <w:sz w:val="24"/>
              </w:rPr>
              <w:t>个月为</w:t>
            </w:r>
            <w:r>
              <w:rPr>
                <w:rFonts w:ascii="仿宋_GB2312" w:hAnsi="仿宋_GB2312" w:cs="仿宋_GB2312" w:eastAsia="仿宋_GB2312"/>
                <w:sz w:val="24"/>
              </w:rPr>
              <w:t>1</w:t>
            </w:r>
            <w:r>
              <w:rPr>
                <w:rFonts w:ascii="仿宋_GB2312" w:hAnsi="仿宋_GB2312" w:cs="仿宋_GB2312" w:eastAsia="仿宋_GB2312"/>
                <w:sz w:val="24"/>
              </w:rPr>
              <w:t>人次</w:t>
            </w:r>
            <w:r>
              <w:rPr>
                <w:rFonts w:ascii="仿宋_GB2312" w:hAnsi="仿宋_GB2312" w:cs="仿宋_GB2312" w:eastAsia="仿宋_GB2312"/>
                <w:sz w:val="24"/>
              </w:rPr>
              <w:t>，</w:t>
            </w:r>
            <w:r>
              <w:rPr>
                <w:rFonts w:ascii="仿宋_GB2312" w:hAnsi="仿宋_GB2312" w:cs="仿宋_GB2312" w:eastAsia="仿宋_GB2312"/>
                <w:sz w:val="24"/>
              </w:rPr>
              <w:t>每人次购买标准为</w:t>
            </w:r>
            <w:r>
              <w:rPr>
                <w:rFonts w:ascii="仿宋_GB2312" w:hAnsi="仿宋_GB2312" w:cs="仿宋_GB2312" w:eastAsia="仿宋_GB2312"/>
                <w:sz w:val="24"/>
              </w:rPr>
              <w:t>不低于</w:t>
            </w:r>
            <w:r>
              <w:rPr>
                <w:rFonts w:ascii="仿宋_GB2312" w:hAnsi="仿宋_GB2312" w:cs="仿宋_GB2312" w:eastAsia="仿宋_GB2312"/>
                <w:sz w:val="24"/>
              </w:rPr>
              <w:t>6000</w:t>
            </w:r>
            <w:r>
              <w:rPr>
                <w:rFonts w:ascii="仿宋_GB2312" w:hAnsi="仿宋_GB2312" w:cs="仿宋_GB2312" w:eastAsia="仿宋_GB2312"/>
                <w:sz w:val="24"/>
              </w:rPr>
              <w:t>元</w:t>
            </w:r>
            <w:r>
              <w:rPr>
                <w:rFonts w:ascii="仿宋_GB2312" w:hAnsi="仿宋_GB2312" w:cs="仿宋_GB2312" w:eastAsia="仿宋_GB2312"/>
                <w:sz w:val="24"/>
              </w:rPr>
              <w:t>。个别</w:t>
            </w:r>
            <w:r>
              <w:rPr>
                <w:rFonts w:ascii="仿宋_GB2312" w:hAnsi="仿宋_GB2312" w:cs="仿宋_GB2312" w:eastAsia="仿宋_GB2312"/>
                <w:sz w:val="24"/>
              </w:rPr>
              <w:t>服务对象确需长期服务的，按具体服务的时间确定人次。</w:t>
            </w:r>
          </w:p>
          <w:p>
            <w:pPr>
              <w:pStyle w:val="null3"/>
              <w:spacing w:before="105" w:after="105"/>
              <w:jc w:val="both"/>
            </w:pPr>
            <w:r>
              <w:rPr>
                <w:rFonts w:ascii="仿宋_GB2312" w:hAnsi="仿宋_GB2312" w:cs="仿宋_GB2312" w:eastAsia="仿宋_GB2312"/>
                <w:sz w:val="24"/>
                <w:b/>
              </w:rPr>
              <w:t>五</w:t>
            </w:r>
            <w:r>
              <w:rPr>
                <w:rFonts w:ascii="仿宋_GB2312" w:hAnsi="仿宋_GB2312" w:cs="仿宋_GB2312" w:eastAsia="仿宋_GB2312"/>
                <w:sz w:val="24"/>
                <w:b/>
              </w:rPr>
              <w:t>、绩效目标</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（一）社会效益指标：残疾人托养服务水平和能力得到较显著提高，残疾人社会适应能力得到提高，融入社会生活程度得到较显著改善。</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（二）服务对象满意度指标：残疾人及家属对残疾人托养服务的满意度达到</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％以上。</w:t>
            </w:r>
          </w:p>
          <w:p>
            <w:pPr>
              <w:pStyle w:val="null3"/>
              <w:spacing w:before="105" w:after="105"/>
              <w:jc w:val="both"/>
            </w:pPr>
            <w:r>
              <w:rPr>
                <w:rFonts w:ascii="仿宋_GB2312" w:hAnsi="仿宋_GB2312" w:cs="仿宋_GB2312" w:eastAsia="仿宋_GB2312"/>
                <w:sz w:val="24"/>
                <w:b/>
              </w:rPr>
              <w:t>六</w:t>
            </w:r>
            <w:r>
              <w:rPr>
                <w:rFonts w:ascii="仿宋_GB2312" w:hAnsi="仿宋_GB2312" w:cs="仿宋_GB2312" w:eastAsia="仿宋_GB2312"/>
                <w:sz w:val="24"/>
                <w:b/>
              </w:rPr>
              <w:t>、购买内容和承接主体</w:t>
            </w:r>
          </w:p>
          <w:p>
            <w:pPr>
              <w:pStyle w:val="null3"/>
              <w:spacing w:before="105" w:after="105"/>
              <w:ind w:firstLine="640"/>
              <w:jc w:val="both"/>
            </w:pPr>
            <w:r>
              <w:rPr>
                <w:rFonts w:ascii="仿宋_GB2312" w:hAnsi="仿宋_GB2312" w:cs="仿宋_GB2312" w:eastAsia="仿宋_GB2312"/>
                <w:sz w:val="24"/>
              </w:rPr>
              <w:t>残疾人托养专项资金，用于购买各类承接主体为重度残疾人提供的托养服务。</w:t>
            </w:r>
          </w:p>
          <w:p>
            <w:pPr>
              <w:pStyle w:val="null3"/>
              <w:spacing w:before="105" w:after="105"/>
              <w:ind w:firstLine="640"/>
              <w:jc w:val="both"/>
            </w:pPr>
            <w:r>
              <w:rPr>
                <w:rFonts w:ascii="仿宋_GB2312" w:hAnsi="仿宋_GB2312" w:cs="仿宋_GB2312" w:eastAsia="仿宋_GB2312"/>
                <w:sz w:val="24"/>
              </w:rPr>
              <w:t>寄宿制托养照护机构和日间照料机构，</w:t>
            </w:r>
            <w:r>
              <w:rPr>
                <w:rFonts w:ascii="仿宋_GB2312" w:hAnsi="仿宋_GB2312" w:cs="仿宋_GB2312" w:eastAsia="仿宋_GB2312"/>
                <w:sz w:val="24"/>
              </w:rPr>
              <w:t>托养服务的范围包括</w:t>
            </w:r>
            <w:r>
              <w:rPr>
                <w:rFonts w:ascii="仿宋_GB2312" w:hAnsi="仿宋_GB2312" w:cs="仿宋_GB2312" w:eastAsia="仿宋_GB2312"/>
                <w:sz w:val="24"/>
              </w:rPr>
              <w:t>：</w:t>
            </w:r>
            <w:r>
              <w:rPr>
                <w:rFonts w:ascii="仿宋_GB2312" w:hAnsi="仿宋_GB2312" w:cs="仿宋_GB2312" w:eastAsia="仿宋_GB2312"/>
                <w:sz w:val="24"/>
              </w:rPr>
              <w:t>生活照料和护理</w:t>
            </w:r>
            <w:r>
              <w:rPr>
                <w:rFonts w:ascii="仿宋_GB2312" w:hAnsi="仿宋_GB2312" w:cs="仿宋_GB2312" w:eastAsia="仿宋_GB2312"/>
                <w:sz w:val="24"/>
              </w:rPr>
              <w:t>；</w:t>
            </w:r>
            <w:r>
              <w:rPr>
                <w:rFonts w:ascii="仿宋_GB2312" w:hAnsi="仿宋_GB2312" w:cs="仿宋_GB2312" w:eastAsia="仿宋_GB2312"/>
                <w:sz w:val="24"/>
              </w:rPr>
              <w:t>生活自理能力训练</w:t>
            </w:r>
            <w:r>
              <w:rPr>
                <w:rFonts w:ascii="仿宋_GB2312" w:hAnsi="仿宋_GB2312" w:cs="仿宋_GB2312" w:eastAsia="仿宋_GB2312"/>
                <w:sz w:val="24"/>
              </w:rPr>
              <w:t>；</w:t>
            </w:r>
            <w:r>
              <w:rPr>
                <w:rFonts w:ascii="仿宋_GB2312" w:hAnsi="仿宋_GB2312" w:cs="仿宋_GB2312" w:eastAsia="仿宋_GB2312"/>
                <w:sz w:val="24"/>
              </w:rPr>
              <w:t>社会适应能力辅导</w:t>
            </w:r>
            <w:r>
              <w:rPr>
                <w:rFonts w:ascii="仿宋_GB2312" w:hAnsi="仿宋_GB2312" w:cs="仿宋_GB2312" w:eastAsia="仿宋_GB2312"/>
                <w:sz w:val="24"/>
              </w:rPr>
              <w:t>；</w:t>
            </w:r>
            <w:r>
              <w:rPr>
                <w:rFonts w:ascii="仿宋_GB2312" w:hAnsi="仿宋_GB2312" w:cs="仿宋_GB2312" w:eastAsia="仿宋_GB2312"/>
                <w:sz w:val="24"/>
              </w:rPr>
              <w:t>职业康复和劳动技能训练</w:t>
            </w:r>
            <w:r>
              <w:rPr>
                <w:rFonts w:ascii="仿宋_GB2312" w:hAnsi="仿宋_GB2312" w:cs="仿宋_GB2312" w:eastAsia="仿宋_GB2312"/>
                <w:sz w:val="24"/>
              </w:rPr>
              <w:t>；</w:t>
            </w:r>
            <w:r>
              <w:rPr>
                <w:rFonts w:ascii="仿宋_GB2312" w:hAnsi="仿宋_GB2312" w:cs="仿宋_GB2312" w:eastAsia="仿宋_GB2312"/>
                <w:sz w:val="24"/>
              </w:rPr>
              <w:t>运动功能训练。</w:t>
            </w:r>
          </w:p>
          <w:p>
            <w:pPr>
              <w:pStyle w:val="null3"/>
              <w:spacing w:before="105" w:after="105"/>
              <w:ind w:firstLine="640"/>
              <w:jc w:val="both"/>
            </w:pPr>
            <w:r>
              <w:rPr>
                <w:rFonts w:ascii="仿宋_GB2312" w:hAnsi="仿宋_GB2312" w:cs="仿宋_GB2312" w:eastAsia="仿宋_GB2312"/>
                <w:sz w:val="24"/>
              </w:rPr>
              <w:t>购买主体是残联组织</w:t>
            </w:r>
            <w:r>
              <w:rPr>
                <w:rFonts w:ascii="仿宋_GB2312" w:hAnsi="仿宋_GB2312" w:cs="仿宋_GB2312" w:eastAsia="仿宋_GB2312"/>
                <w:sz w:val="24"/>
              </w:rPr>
              <w:t>，</w:t>
            </w:r>
            <w:r>
              <w:rPr>
                <w:rFonts w:ascii="仿宋_GB2312" w:hAnsi="仿宋_GB2312" w:cs="仿宋_GB2312" w:eastAsia="仿宋_GB2312"/>
                <w:sz w:val="24"/>
              </w:rPr>
              <w:t>承接主体指依法建立、合法运营，符合残疾人托养服务机构相关准入标准，经</w:t>
            </w:r>
            <w:r>
              <w:rPr>
                <w:rFonts w:ascii="仿宋_GB2312" w:hAnsi="仿宋_GB2312" w:cs="仿宋_GB2312" w:eastAsia="仿宋_GB2312"/>
                <w:sz w:val="24"/>
              </w:rPr>
              <w:t>市残联或</w:t>
            </w:r>
            <w:r>
              <w:rPr>
                <w:rFonts w:ascii="仿宋_GB2312" w:hAnsi="仿宋_GB2312" w:cs="仿宋_GB2312" w:eastAsia="仿宋_GB2312"/>
                <w:sz w:val="24"/>
              </w:rPr>
              <w:t>区级残联确认开展残疾人托养服务的机构。机构承接的托养服务类型应符合中国残联《就业年龄段智力、精神及重度肢体残疾人托养服务规范》（</w:t>
            </w:r>
            <w:r>
              <w:rPr>
                <w:rFonts w:ascii="仿宋_GB2312" w:hAnsi="仿宋_GB2312" w:cs="仿宋_GB2312" w:eastAsia="仿宋_GB2312"/>
                <w:sz w:val="24"/>
              </w:rPr>
              <w:t>GB/T 37516—2019</w:t>
            </w:r>
            <w:r>
              <w:rPr>
                <w:rFonts w:ascii="仿宋_GB2312" w:hAnsi="仿宋_GB2312" w:cs="仿宋_GB2312" w:eastAsia="仿宋_GB2312"/>
                <w:sz w:val="24"/>
              </w:rPr>
              <w:t>）以及《政府购买残疾人托养服务技术标准与规范》有关规定（照护服务参照执行）。</w:t>
            </w:r>
          </w:p>
          <w:p>
            <w:pPr>
              <w:pStyle w:val="null3"/>
              <w:spacing w:before="105" w:after="105"/>
              <w:jc w:val="both"/>
            </w:pPr>
            <w:r>
              <w:rPr>
                <w:rFonts w:ascii="仿宋_GB2312" w:hAnsi="仿宋_GB2312" w:cs="仿宋_GB2312" w:eastAsia="仿宋_GB2312"/>
                <w:sz w:val="24"/>
                <w:b/>
              </w:rPr>
              <w:t>七</w:t>
            </w:r>
            <w:r>
              <w:rPr>
                <w:rFonts w:ascii="仿宋_GB2312" w:hAnsi="仿宋_GB2312" w:cs="仿宋_GB2312" w:eastAsia="仿宋_GB2312"/>
                <w:sz w:val="24"/>
                <w:b/>
              </w:rPr>
              <w:t>、工作要求</w:t>
            </w:r>
          </w:p>
          <w:p>
            <w:pPr>
              <w:pStyle w:val="null3"/>
              <w:spacing w:before="105" w:after="105"/>
              <w:ind w:firstLine="640"/>
              <w:jc w:val="both"/>
            </w:pPr>
            <w:r>
              <w:rPr>
                <w:rFonts w:ascii="仿宋_GB2312" w:hAnsi="仿宋_GB2312" w:cs="仿宋_GB2312" w:eastAsia="仿宋_GB2312"/>
                <w:sz w:val="24"/>
              </w:rPr>
              <w:t>各镇、办事处残联要结合持证残疾人基本服务状况和调查的有关数据，切实摸清辖区残疾人托养服务需求情况，对有托养需求且符合政策规定的残疾人要</w:t>
            </w:r>
            <w:r>
              <w:rPr>
                <w:rFonts w:ascii="仿宋_GB2312" w:hAnsi="仿宋_GB2312" w:cs="仿宋_GB2312" w:eastAsia="仿宋_GB2312"/>
                <w:sz w:val="24"/>
              </w:rPr>
              <w:t>及时</w:t>
            </w:r>
            <w:r>
              <w:rPr>
                <w:rFonts w:ascii="仿宋_GB2312" w:hAnsi="仿宋_GB2312" w:cs="仿宋_GB2312" w:eastAsia="仿宋_GB2312"/>
                <w:sz w:val="24"/>
              </w:rPr>
              <w:t>报区残联安排托养服务。区残联也将根据各镇</w:t>
            </w:r>
            <w:r>
              <w:rPr>
                <w:rFonts w:ascii="仿宋_GB2312" w:hAnsi="仿宋_GB2312" w:cs="仿宋_GB2312" w:eastAsia="仿宋_GB2312"/>
                <w:sz w:val="24"/>
              </w:rPr>
              <w:t>（</w:t>
            </w:r>
            <w:r>
              <w:rPr>
                <w:rFonts w:ascii="仿宋_GB2312" w:hAnsi="仿宋_GB2312" w:cs="仿宋_GB2312" w:eastAsia="仿宋_GB2312"/>
                <w:sz w:val="24"/>
              </w:rPr>
              <w:t>办</w:t>
            </w:r>
            <w:r>
              <w:rPr>
                <w:rFonts w:ascii="仿宋_GB2312" w:hAnsi="仿宋_GB2312" w:cs="仿宋_GB2312" w:eastAsia="仿宋_GB2312"/>
                <w:sz w:val="24"/>
              </w:rPr>
              <w:t>）</w:t>
            </w:r>
            <w:r>
              <w:rPr>
                <w:rFonts w:ascii="仿宋_GB2312" w:hAnsi="仿宋_GB2312" w:cs="仿宋_GB2312" w:eastAsia="仿宋_GB2312"/>
                <w:sz w:val="24"/>
              </w:rPr>
              <w:t>辖区内符合托养条件的残疾人予以评估，对有托养需求的及时开展托养服务。要认真总结以往开展残疾人托养工作的经验做法，采取多种方式开展好托养政策的宣传，让更多的残疾人能够享受到托养服务。</w:t>
            </w:r>
          </w:p>
          <w:p>
            <w:pPr>
              <w:pStyle w:val="null3"/>
              <w:ind w:firstLine="640"/>
              <w:jc w:val="both"/>
            </w:pPr>
            <w:r>
              <w:rPr>
                <w:rFonts w:ascii="仿宋_GB2312" w:hAnsi="仿宋_GB2312" w:cs="仿宋_GB2312" w:eastAsia="仿宋_GB2312"/>
                <w:sz w:val="24"/>
              </w:rPr>
              <w:t>在项目实施结束时，区残联、区财政局将按照规定，组织验收组对托养机构合同履约情况进行专项验收，完成质量和内容达到方案服务标准并通过验收，验收结果向社会公示。验收采用第三方机构进行，由区残联在区政府网站发布相关项目要求和方案公告，遴选第三方对项目验收，第三方机构与具体承接托养机构分别报送验收报告和项目资料，区残联对资料进行审验。第三方机构验收产生的费用由相关托养机构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合同签订后，托养服务实施方案经审通过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项目实施过程中，按照规定对供应商合同履约情况进行专项抽查，质量和内容达到方案服务标准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项目实施结束，按照规定对供应商合同履约情况进行专项验收，完成质量和内容达到方案服务标准并通过验收，验收结果向社会公示。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供应商应提供的资格证明相关资料.pdf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供应商应提供的资格证明相关资料.pdf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供应商应提供的资格证明相关资料.pdf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供应商应提供的资格证明相关资料.pdf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供应商应提供的资格证明相关资料.pdf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供应商应提供的资格证明相关资料.pdf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完全响应竞争性磋商文件要求的各项服务内容条款</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提供（2021年1月1日以来）类似（残疾人照护服务类）项目业绩（日期以合同签订时间为准），每提供一份计2.5分，最高得5分。须提供清晰合同复印件加盖供应商公章。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供应商针对本项目提供项目服务方案，内容包含但不限于：①整体托养照护服务方案、②生活照料和护理方案、③康复与适应能力辅导方案。二、评审标准：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9分；缺1项，扣3分；此项未提供不得分。2、针对性：针对性强，得4.5-6分；具有一定针对性，得3.1-4.4分；针对性一般，得1.5-3分；缺乏针对性，得0.5-1.4分；此项未提供不得分。3、可实施性：可实施性强，得4.5-6分；具有一定可实施性，得3.1-4.4分；可实施性一般，得1.5-3分；缺乏可实施性，得1.5-1.4分；此项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供应商应成立不少于15人的服务团队，且应具备相关专业资质，其中康复理疗师不少于1名、助理医师不少于2名、社会工作者不少于1名、老年人能力评估师不少于1名、养老护理员不少于10名；满足要求的得15分，每少提供一人扣1分，扣完为止。 评审依据：提供人员相关证书复印件并加盖供应商公章。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6分；缺1项扣除2，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质量管理及保障措施方案</w:t>
            </w:r>
          </w:p>
        </w:tc>
        <w:tc>
          <w:tcPr>
            <w:tcW w:type="dxa" w:w="2492"/>
          </w:tcPr>
          <w:p>
            <w:pPr>
              <w:pStyle w:val="null3"/>
            </w:pPr>
            <w:r>
              <w:rPr>
                <w:rFonts w:ascii="仿宋_GB2312" w:hAnsi="仿宋_GB2312" w:cs="仿宋_GB2312" w:eastAsia="仿宋_GB2312"/>
              </w:rPr>
              <w:t>一、评审内容：供应商针对本项目制定详细、具体、可行的质量管理及保障措施方案，内容包含但不限于：①服务质量保障措施及考核标准、②环境卫生保障方案、③回访制度和投诉处理机制。④安全保障方案，⑤工作进度计划及保障措施。 二、评审标准： 1、针对性： （1）针对性强：方案能够完全切合本项目实际情况。 （2） 针对性一般：方案中多数内容能够切合本项目实际情况，但存在至少一处不适用本项目实际的内容。 （3）缺乏针对性：方案描述不符合本项目实际情况，存在明显套用其他项目方案的内容。 2、可实施性： （1）可实施性强：方案工作流程完善，实施步骤清晰，科学合理，可实施性强。 （2）可实施性一般：方案中存在至少一处表述模糊、难以执行或不够科学合理的内容。 （3）缺乏可实施性：方案内容空洞，工作流程不完善，实施标准、实施质量不利于采购需求的实现，存在逻辑漏洞、常识错误或合理 性差。 三、赋分标准 ：1、完整性：方案内容完整全面，对评审内容均有描述及说明，得10分；缺1项扣2分；此项未提供不得分。2、针对性：针对性强，得2.8-4分；针对性一般，得1.5-2.7分；缺乏针对性，得0.5-1.4分；此项未提供不得分。3、可实施性：可实施性强，得2.8-4分；可实施性一般，得1.5-2.7分；缺乏可实施性，得0.5-1.4分；此项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3分；缺1项扣1分；此项未提供不得分。2、针对性：针对性强，得2分；具有一定针对性，得1.5分；针对性一般，得1分；缺乏针对性，得0.5分；此项未提供不得分。3、可实施性：可实施性强，得2分；具有一定可实施性，得1.5分；可实施性一般，得1分；缺乏可实施性，得0.5分；此项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的最后报价中最低投标报价为评标基准价，其价格分为满分。其他投标供应商的价格分统一按照下列公式计算：投标报价得分=（评标基准价/投标报价）×20（四舍五入后保留小数点后两位）(注：本项目为不专门面向中小企业项目，参与项目的供应商被认定为中小企业的，可予以10%价格扣除，用扣除后的价格参与评审。中小企业认定以供应商提交的中小企业声明函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详见附件：供应商应提供的资格证明相关资料.pdf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