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B85B73">
      <w:pPr>
        <w:pStyle w:val="8"/>
        <w:keepLines w:val="0"/>
        <w:spacing w:before="0" w:after="0" w:line="360" w:lineRule="auto"/>
        <w:rPr>
          <w:rFonts w:hint="eastAsia" w:ascii="宋体" w:hAnsi="宋体" w:cs="宋体"/>
          <w:sz w:val="36"/>
          <w:szCs w:val="36"/>
        </w:rPr>
      </w:pPr>
      <w:r>
        <w:rPr>
          <w:rFonts w:hint="eastAsia" w:ascii="宋体" w:hAnsi="宋体" w:cs="宋体"/>
          <w:sz w:val="36"/>
          <w:szCs w:val="36"/>
        </w:rPr>
        <w:t>招标项目技术、服务要求及商务要求</w:t>
      </w:r>
    </w:p>
    <w:p w14:paraId="4332E0C9">
      <w:pPr>
        <w:keepNext/>
        <w:spacing w:line="360" w:lineRule="auto"/>
        <w:jc w:val="center"/>
        <w:rPr>
          <w:rFonts w:hint="eastAsia" w:ascii="宋体" w:hAnsi="宋体" w:cs="宋体"/>
          <w:b/>
          <w:bCs/>
          <w:sz w:val="24"/>
        </w:rPr>
      </w:pPr>
      <w:bookmarkStart w:id="0" w:name="_Toc217446095"/>
      <w:r>
        <w:rPr>
          <w:rFonts w:hint="eastAsia" w:ascii="宋体" w:hAnsi="宋体" w:cs="宋体"/>
          <w:b/>
          <w:bCs/>
          <w:sz w:val="24"/>
        </w:rPr>
        <w:t>【本章要求均为本项目实质性要求，不满足或负偏离作无效投标处理】</w:t>
      </w:r>
    </w:p>
    <w:p w14:paraId="0274964E">
      <w:pPr>
        <w:keepNext/>
        <w:spacing w:line="360" w:lineRule="auto"/>
        <w:jc w:val="center"/>
        <w:rPr>
          <w:rFonts w:hint="eastAsia" w:ascii="宋体" w:hAnsi="宋体" w:cs="宋体"/>
          <w:b/>
          <w:bCs/>
          <w:sz w:val="24"/>
        </w:rPr>
      </w:pPr>
    </w:p>
    <w:bookmarkEnd w:id="0"/>
    <w:p w14:paraId="30E79F9A">
      <w:pPr>
        <w:pStyle w:val="4"/>
        <w:rPr>
          <w:rFonts w:hint="eastAsia"/>
          <w:lang w:eastAsia="zh-Hans"/>
        </w:rPr>
      </w:pPr>
      <w:bookmarkStart w:id="1" w:name="_Toc16856"/>
      <w:bookmarkStart w:id="2" w:name="_Toc230177033"/>
      <w:r>
        <w:rPr>
          <w:rFonts w:hint="eastAsia"/>
          <w:lang w:eastAsia="zh-Hans"/>
        </w:rPr>
        <w:t>一、项目</w:t>
      </w:r>
      <w:r>
        <w:rPr>
          <w:rFonts w:hint="eastAsia"/>
        </w:rPr>
        <w:t>清单</w:t>
      </w:r>
      <w:bookmarkEnd w:id="1"/>
      <w:bookmarkEnd w:id="2"/>
    </w:p>
    <w:p w14:paraId="0E093EC5">
      <w:pPr>
        <w:widowControl/>
        <w:spacing w:line="360" w:lineRule="auto"/>
        <w:jc w:val="left"/>
        <w:rPr>
          <w:rFonts w:hint="eastAsia" w:ascii="宋体" w:hAnsi="宋体" w:cs="宋体"/>
          <w:b/>
          <w:bCs/>
          <w:sz w:val="24"/>
        </w:rPr>
      </w:pPr>
      <w:r>
        <w:rPr>
          <w:rFonts w:hint="eastAsia" w:ascii="宋体" w:hAnsi="宋体" w:cs="宋体"/>
          <w:b/>
          <w:bCs/>
          <w:sz w:val="24"/>
        </w:rPr>
        <w:t>01包（大米）：</w:t>
      </w:r>
    </w:p>
    <w:tbl>
      <w:tblPr>
        <w:tblStyle w:val="5"/>
        <w:tblW w:w="10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10"/>
        <w:gridCol w:w="993"/>
        <w:gridCol w:w="1140"/>
        <w:gridCol w:w="1665"/>
        <w:gridCol w:w="1800"/>
        <w:gridCol w:w="1501"/>
        <w:gridCol w:w="1501"/>
      </w:tblGrid>
      <w:tr w14:paraId="2AC28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0652099D">
            <w:pPr>
              <w:jc w:val="center"/>
              <w:rPr>
                <w:rFonts w:hint="eastAsia" w:ascii="宋体" w:hAnsi="宋体" w:cs="宋体"/>
                <w:b/>
                <w:sz w:val="24"/>
              </w:rPr>
            </w:pPr>
            <w:r>
              <w:rPr>
                <w:rFonts w:hint="eastAsia" w:ascii="宋体" w:hAnsi="宋体" w:cs="宋体"/>
                <w:b/>
                <w:sz w:val="24"/>
              </w:rPr>
              <w:t>序号</w:t>
            </w:r>
          </w:p>
        </w:tc>
        <w:tc>
          <w:tcPr>
            <w:tcW w:w="1310" w:type="dxa"/>
            <w:noWrap w:val="0"/>
            <w:vAlign w:val="center"/>
          </w:tcPr>
          <w:p w14:paraId="1A349A4F">
            <w:pPr>
              <w:jc w:val="center"/>
              <w:rPr>
                <w:rFonts w:hint="eastAsia" w:ascii="宋体" w:hAnsi="宋体" w:cs="宋体"/>
                <w:b/>
                <w:sz w:val="24"/>
              </w:rPr>
            </w:pPr>
            <w:r>
              <w:rPr>
                <w:rFonts w:hint="eastAsia" w:ascii="宋体" w:hAnsi="宋体" w:cs="宋体"/>
                <w:b/>
                <w:sz w:val="24"/>
              </w:rPr>
              <w:t>物资名称</w:t>
            </w:r>
          </w:p>
        </w:tc>
        <w:tc>
          <w:tcPr>
            <w:tcW w:w="993" w:type="dxa"/>
            <w:noWrap w:val="0"/>
            <w:vAlign w:val="center"/>
          </w:tcPr>
          <w:p w14:paraId="69C0C9FD">
            <w:pPr>
              <w:jc w:val="center"/>
              <w:rPr>
                <w:rFonts w:hint="eastAsia" w:ascii="宋体" w:hAnsi="宋体" w:cs="宋体"/>
                <w:b/>
                <w:sz w:val="24"/>
              </w:rPr>
            </w:pPr>
            <w:r>
              <w:rPr>
                <w:rFonts w:hint="eastAsia" w:ascii="宋体" w:hAnsi="宋体" w:cs="宋体"/>
                <w:b/>
                <w:sz w:val="24"/>
              </w:rPr>
              <w:t>等级</w:t>
            </w:r>
          </w:p>
        </w:tc>
        <w:tc>
          <w:tcPr>
            <w:tcW w:w="1140" w:type="dxa"/>
            <w:noWrap w:val="0"/>
            <w:vAlign w:val="center"/>
          </w:tcPr>
          <w:p w14:paraId="2F77DED6">
            <w:pPr>
              <w:jc w:val="center"/>
              <w:rPr>
                <w:rFonts w:hint="eastAsia" w:ascii="宋体" w:hAnsi="宋体" w:cs="宋体"/>
                <w:b/>
                <w:sz w:val="24"/>
              </w:rPr>
            </w:pPr>
            <w:r>
              <w:rPr>
                <w:rFonts w:hint="eastAsia" w:ascii="宋体" w:hAnsi="宋体" w:cs="宋体"/>
                <w:b/>
                <w:sz w:val="24"/>
              </w:rPr>
              <w:t>单位</w:t>
            </w:r>
          </w:p>
        </w:tc>
        <w:tc>
          <w:tcPr>
            <w:tcW w:w="1665" w:type="dxa"/>
            <w:noWrap w:val="0"/>
            <w:vAlign w:val="center"/>
          </w:tcPr>
          <w:p w14:paraId="7AE2E91A">
            <w:pPr>
              <w:jc w:val="center"/>
              <w:rPr>
                <w:rFonts w:hint="eastAsia" w:ascii="宋体" w:hAnsi="宋体" w:cs="宋体"/>
                <w:b/>
                <w:sz w:val="24"/>
              </w:rPr>
            </w:pPr>
            <w:r>
              <w:rPr>
                <w:rFonts w:hint="eastAsia" w:ascii="宋体" w:hAnsi="宋体" w:cs="宋体"/>
                <w:b/>
                <w:sz w:val="24"/>
              </w:rPr>
              <w:t>规格</w:t>
            </w:r>
          </w:p>
        </w:tc>
        <w:tc>
          <w:tcPr>
            <w:tcW w:w="1800" w:type="dxa"/>
            <w:noWrap w:val="0"/>
            <w:vAlign w:val="center"/>
          </w:tcPr>
          <w:p w14:paraId="643CCA20">
            <w:pPr>
              <w:jc w:val="center"/>
              <w:rPr>
                <w:rFonts w:hint="eastAsia" w:ascii="宋体" w:hAnsi="宋体" w:cs="宋体"/>
                <w:b/>
                <w:sz w:val="24"/>
              </w:rPr>
            </w:pPr>
            <w:r>
              <w:rPr>
                <w:rFonts w:hint="eastAsia" w:ascii="宋体" w:hAnsi="宋体" w:cs="宋体"/>
                <w:b/>
                <w:sz w:val="24"/>
              </w:rPr>
              <w:t>全年预估数量</w:t>
            </w:r>
          </w:p>
        </w:tc>
        <w:tc>
          <w:tcPr>
            <w:tcW w:w="1501" w:type="dxa"/>
            <w:noWrap w:val="0"/>
            <w:vAlign w:val="center"/>
          </w:tcPr>
          <w:p w14:paraId="542AEE77">
            <w:pPr>
              <w:jc w:val="center"/>
              <w:rPr>
                <w:rFonts w:hint="eastAsia" w:ascii="宋体" w:hAnsi="宋体" w:cs="宋体"/>
                <w:b/>
                <w:sz w:val="24"/>
              </w:rPr>
            </w:pPr>
            <w:r>
              <w:rPr>
                <w:rFonts w:hint="eastAsia" w:ascii="宋体" w:hAnsi="宋体" w:cs="宋体"/>
                <w:b/>
                <w:sz w:val="24"/>
              </w:rPr>
              <w:t>第一周期预估数量</w:t>
            </w:r>
          </w:p>
        </w:tc>
        <w:tc>
          <w:tcPr>
            <w:tcW w:w="1501" w:type="dxa"/>
            <w:noWrap w:val="0"/>
            <w:vAlign w:val="center"/>
          </w:tcPr>
          <w:p w14:paraId="0B15F846">
            <w:pPr>
              <w:jc w:val="center"/>
              <w:rPr>
                <w:rFonts w:hint="eastAsia" w:ascii="宋体" w:hAnsi="宋体" w:cs="宋体"/>
                <w:b/>
                <w:sz w:val="24"/>
              </w:rPr>
            </w:pPr>
            <w:r>
              <w:rPr>
                <w:rFonts w:hint="eastAsia" w:ascii="宋体" w:hAnsi="宋体" w:cs="宋体"/>
                <w:b/>
                <w:sz w:val="24"/>
              </w:rPr>
              <w:t>所属行业</w:t>
            </w:r>
          </w:p>
        </w:tc>
      </w:tr>
      <w:tr w14:paraId="0B7D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23A4D857">
            <w:pPr>
              <w:jc w:val="center"/>
              <w:rPr>
                <w:rFonts w:hint="eastAsia" w:ascii="宋体" w:hAnsi="宋体" w:cs="宋体"/>
                <w:sz w:val="24"/>
              </w:rPr>
            </w:pPr>
            <w:r>
              <w:rPr>
                <w:rFonts w:hint="eastAsia" w:ascii="宋体" w:hAnsi="宋体" w:cs="宋体"/>
                <w:sz w:val="24"/>
              </w:rPr>
              <w:t>1</w:t>
            </w:r>
          </w:p>
        </w:tc>
        <w:tc>
          <w:tcPr>
            <w:tcW w:w="1310" w:type="dxa"/>
            <w:noWrap w:val="0"/>
            <w:vAlign w:val="center"/>
          </w:tcPr>
          <w:p w14:paraId="7D3F4D8A">
            <w:pPr>
              <w:widowControl/>
              <w:jc w:val="center"/>
              <w:textAlignment w:val="center"/>
              <w:rPr>
                <w:rFonts w:hint="eastAsia" w:ascii="宋体" w:hAnsi="宋体" w:cs="宋体"/>
                <w:sz w:val="24"/>
              </w:rPr>
            </w:pPr>
            <w:r>
              <w:rPr>
                <w:rFonts w:hint="eastAsia" w:ascii="宋体" w:hAnsi="宋体" w:cs="宋体"/>
                <w:kern w:val="0"/>
                <w:sz w:val="24"/>
                <w:lang w:bidi="ar"/>
              </w:rPr>
              <w:t>籼米</w:t>
            </w:r>
          </w:p>
        </w:tc>
        <w:tc>
          <w:tcPr>
            <w:tcW w:w="993" w:type="dxa"/>
            <w:noWrap w:val="0"/>
            <w:vAlign w:val="center"/>
          </w:tcPr>
          <w:p w14:paraId="27134F9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一级</w:t>
            </w:r>
          </w:p>
        </w:tc>
        <w:tc>
          <w:tcPr>
            <w:tcW w:w="1140" w:type="dxa"/>
            <w:noWrap w:val="0"/>
            <w:vAlign w:val="center"/>
          </w:tcPr>
          <w:p w14:paraId="5232D146">
            <w:pPr>
              <w:widowControl/>
              <w:jc w:val="center"/>
              <w:textAlignment w:val="center"/>
              <w:rPr>
                <w:rFonts w:hint="eastAsia" w:ascii="宋体" w:hAnsi="宋体" w:cs="宋体"/>
                <w:sz w:val="24"/>
              </w:rPr>
            </w:pPr>
            <w:r>
              <w:rPr>
                <w:rFonts w:hint="eastAsia" w:ascii="宋体" w:hAnsi="宋体" w:cs="宋体"/>
                <w:kern w:val="0"/>
                <w:sz w:val="24"/>
                <w:lang w:bidi="ar"/>
              </w:rPr>
              <w:t>公斤</w:t>
            </w:r>
          </w:p>
        </w:tc>
        <w:tc>
          <w:tcPr>
            <w:tcW w:w="1665" w:type="dxa"/>
            <w:noWrap w:val="0"/>
            <w:vAlign w:val="center"/>
          </w:tcPr>
          <w:p w14:paraId="74538D3B">
            <w:pPr>
              <w:widowControl/>
              <w:jc w:val="center"/>
              <w:textAlignment w:val="center"/>
              <w:rPr>
                <w:rFonts w:hint="eastAsia" w:ascii="宋体" w:hAnsi="宋体" w:cs="宋体"/>
                <w:sz w:val="24"/>
              </w:rPr>
            </w:pPr>
            <w:r>
              <w:rPr>
                <w:rFonts w:hint="eastAsia" w:ascii="宋体" w:hAnsi="宋体" w:cs="宋体"/>
                <w:kern w:val="0"/>
                <w:sz w:val="24"/>
                <w:lang w:bidi="ar"/>
              </w:rPr>
              <w:t>25—50kg包装</w:t>
            </w:r>
          </w:p>
        </w:tc>
        <w:tc>
          <w:tcPr>
            <w:tcW w:w="1800" w:type="dxa"/>
            <w:noWrap w:val="0"/>
            <w:vAlign w:val="center"/>
          </w:tcPr>
          <w:p w14:paraId="14E66982">
            <w:pPr>
              <w:widowControl/>
              <w:jc w:val="center"/>
              <w:textAlignment w:val="center"/>
              <w:rPr>
                <w:rFonts w:hint="eastAsia" w:ascii="宋体" w:hAnsi="宋体" w:cs="宋体"/>
                <w:sz w:val="24"/>
              </w:rPr>
            </w:pPr>
            <w:r>
              <w:rPr>
                <w:rFonts w:hint="eastAsia" w:ascii="宋体" w:hAnsi="宋体" w:cs="宋体"/>
                <w:kern w:val="0"/>
                <w:sz w:val="24"/>
                <w:lang w:bidi="ar"/>
              </w:rPr>
              <w:t>200000.00</w:t>
            </w:r>
          </w:p>
        </w:tc>
        <w:tc>
          <w:tcPr>
            <w:tcW w:w="1501" w:type="dxa"/>
            <w:noWrap w:val="0"/>
            <w:vAlign w:val="center"/>
          </w:tcPr>
          <w:p w14:paraId="5D6BA694">
            <w:pPr>
              <w:widowControl/>
              <w:jc w:val="center"/>
              <w:textAlignment w:val="center"/>
              <w:rPr>
                <w:rFonts w:hint="eastAsia" w:ascii="宋体" w:hAnsi="宋体" w:cs="宋体"/>
                <w:kern w:val="0"/>
                <w:sz w:val="24"/>
                <w:lang w:bidi="ar"/>
              </w:rPr>
            </w:pPr>
            <w:r>
              <w:rPr>
                <w:rFonts w:hint="eastAsia" w:ascii="宋体" w:hAnsi="宋体" w:cs="宋体"/>
                <w:sz w:val="24"/>
              </w:rPr>
              <w:t>50000.00</w:t>
            </w:r>
          </w:p>
        </w:tc>
        <w:tc>
          <w:tcPr>
            <w:tcW w:w="1501" w:type="dxa"/>
            <w:noWrap w:val="0"/>
            <w:vAlign w:val="center"/>
          </w:tcPr>
          <w:p w14:paraId="681CCBB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2A531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3559BB89">
            <w:pPr>
              <w:jc w:val="center"/>
              <w:rPr>
                <w:rFonts w:hint="eastAsia" w:ascii="宋体" w:hAnsi="宋体" w:cs="宋体"/>
                <w:sz w:val="24"/>
              </w:rPr>
            </w:pPr>
            <w:r>
              <w:rPr>
                <w:rFonts w:hint="eastAsia" w:ascii="宋体" w:hAnsi="宋体" w:cs="宋体"/>
                <w:sz w:val="24"/>
              </w:rPr>
              <w:t>2</w:t>
            </w:r>
          </w:p>
        </w:tc>
        <w:tc>
          <w:tcPr>
            <w:tcW w:w="1310" w:type="dxa"/>
            <w:noWrap w:val="0"/>
            <w:vAlign w:val="center"/>
          </w:tcPr>
          <w:p w14:paraId="216E8CF7">
            <w:pPr>
              <w:widowControl/>
              <w:jc w:val="center"/>
              <w:textAlignment w:val="center"/>
              <w:rPr>
                <w:rFonts w:hint="eastAsia" w:ascii="宋体" w:hAnsi="宋体" w:cs="宋体"/>
                <w:sz w:val="24"/>
              </w:rPr>
            </w:pPr>
            <w:r>
              <w:rPr>
                <w:rFonts w:hint="eastAsia" w:ascii="宋体" w:hAnsi="宋体" w:cs="宋体"/>
                <w:kern w:val="0"/>
                <w:sz w:val="24"/>
                <w:lang w:bidi="ar"/>
              </w:rPr>
              <w:t>珍珠米</w:t>
            </w:r>
          </w:p>
        </w:tc>
        <w:tc>
          <w:tcPr>
            <w:tcW w:w="993" w:type="dxa"/>
            <w:noWrap w:val="0"/>
            <w:vAlign w:val="center"/>
          </w:tcPr>
          <w:p w14:paraId="18F433D4">
            <w:pPr>
              <w:widowControl/>
              <w:jc w:val="center"/>
              <w:textAlignment w:val="center"/>
              <w:rPr>
                <w:rFonts w:hint="eastAsia" w:ascii="宋体" w:hAnsi="宋体" w:cs="宋体"/>
                <w:kern w:val="0"/>
                <w:sz w:val="24"/>
                <w:lang w:bidi="ar"/>
              </w:rPr>
            </w:pPr>
          </w:p>
        </w:tc>
        <w:tc>
          <w:tcPr>
            <w:tcW w:w="1140" w:type="dxa"/>
            <w:noWrap w:val="0"/>
            <w:vAlign w:val="center"/>
          </w:tcPr>
          <w:p w14:paraId="7C88054E">
            <w:pPr>
              <w:widowControl/>
              <w:jc w:val="center"/>
              <w:textAlignment w:val="center"/>
              <w:rPr>
                <w:rFonts w:hint="eastAsia" w:ascii="宋体" w:hAnsi="宋体" w:cs="宋体"/>
                <w:sz w:val="24"/>
              </w:rPr>
            </w:pPr>
            <w:r>
              <w:rPr>
                <w:rFonts w:hint="eastAsia" w:ascii="宋体" w:hAnsi="宋体" w:cs="宋体"/>
                <w:kern w:val="0"/>
                <w:sz w:val="24"/>
                <w:lang w:bidi="ar"/>
              </w:rPr>
              <w:t>公斤</w:t>
            </w:r>
          </w:p>
        </w:tc>
        <w:tc>
          <w:tcPr>
            <w:tcW w:w="1665" w:type="dxa"/>
            <w:noWrap w:val="0"/>
            <w:vAlign w:val="center"/>
          </w:tcPr>
          <w:p w14:paraId="66B5F771">
            <w:pPr>
              <w:widowControl/>
              <w:jc w:val="center"/>
              <w:textAlignment w:val="center"/>
              <w:rPr>
                <w:rFonts w:hint="eastAsia" w:ascii="宋体" w:hAnsi="宋体" w:cs="宋体"/>
                <w:sz w:val="24"/>
              </w:rPr>
            </w:pPr>
            <w:r>
              <w:rPr>
                <w:rFonts w:hint="eastAsia" w:ascii="宋体" w:hAnsi="宋体" w:cs="宋体"/>
                <w:kern w:val="0"/>
                <w:sz w:val="24"/>
                <w:lang w:bidi="ar"/>
              </w:rPr>
              <w:t>25—50kg包装</w:t>
            </w:r>
          </w:p>
        </w:tc>
        <w:tc>
          <w:tcPr>
            <w:tcW w:w="1800" w:type="dxa"/>
            <w:noWrap w:val="0"/>
            <w:vAlign w:val="center"/>
          </w:tcPr>
          <w:p w14:paraId="287DBA0B">
            <w:pPr>
              <w:widowControl/>
              <w:jc w:val="center"/>
              <w:textAlignment w:val="center"/>
              <w:rPr>
                <w:rFonts w:hint="eastAsia" w:ascii="宋体" w:hAnsi="宋体" w:cs="宋体"/>
                <w:sz w:val="24"/>
              </w:rPr>
            </w:pPr>
            <w:r>
              <w:rPr>
                <w:rFonts w:hint="eastAsia" w:ascii="宋体" w:hAnsi="宋体" w:cs="宋体"/>
                <w:kern w:val="0"/>
                <w:sz w:val="24"/>
                <w:lang w:bidi="ar"/>
              </w:rPr>
              <w:t>480000.00</w:t>
            </w:r>
          </w:p>
        </w:tc>
        <w:tc>
          <w:tcPr>
            <w:tcW w:w="1501" w:type="dxa"/>
            <w:noWrap w:val="0"/>
            <w:vAlign w:val="center"/>
          </w:tcPr>
          <w:p w14:paraId="185BE576">
            <w:pPr>
              <w:widowControl/>
              <w:jc w:val="center"/>
              <w:textAlignment w:val="center"/>
              <w:rPr>
                <w:rFonts w:hint="eastAsia" w:ascii="宋体" w:hAnsi="宋体" w:cs="宋体"/>
                <w:kern w:val="0"/>
                <w:sz w:val="24"/>
                <w:lang w:bidi="ar"/>
              </w:rPr>
            </w:pPr>
            <w:r>
              <w:rPr>
                <w:rFonts w:hint="eastAsia" w:ascii="宋体" w:hAnsi="宋体" w:cs="宋体"/>
                <w:sz w:val="24"/>
              </w:rPr>
              <w:t>120000.00</w:t>
            </w:r>
          </w:p>
        </w:tc>
        <w:tc>
          <w:tcPr>
            <w:tcW w:w="1501" w:type="dxa"/>
            <w:noWrap w:val="0"/>
            <w:vAlign w:val="center"/>
          </w:tcPr>
          <w:p w14:paraId="7A32AC50">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bl>
    <w:p w14:paraId="581E37AD">
      <w:pPr>
        <w:widowControl/>
        <w:jc w:val="left"/>
        <w:rPr>
          <w:rFonts w:hint="eastAsia" w:ascii="宋体" w:hAnsi="宋体" w:cs="宋体"/>
          <w:b/>
          <w:sz w:val="24"/>
        </w:rPr>
      </w:pPr>
    </w:p>
    <w:p w14:paraId="2961781C">
      <w:pPr>
        <w:widowControl/>
        <w:jc w:val="left"/>
        <w:rPr>
          <w:rFonts w:hint="eastAsia" w:ascii="宋体" w:hAnsi="宋体" w:cs="宋体"/>
          <w:b/>
          <w:sz w:val="24"/>
        </w:rPr>
      </w:pPr>
      <w:r>
        <w:rPr>
          <w:rFonts w:hint="eastAsia" w:ascii="宋体" w:hAnsi="宋体" w:cs="宋体"/>
          <w:b/>
          <w:sz w:val="24"/>
        </w:rPr>
        <w:t>02包（食用油）：</w:t>
      </w:r>
    </w:p>
    <w:tbl>
      <w:tblPr>
        <w:tblStyle w:val="5"/>
        <w:tblW w:w="10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10"/>
        <w:gridCol w:w="993"/>
        <w:gridCol w:w="1140"/>
        <w:gridCol w:w="1665"/>
        <w:gridCol w:w="1800"/>
        <w:gridCol w:w="1501"/>
        <w:gridCol w:w="1501"/>
      </w:tblGrid>
      <w:tr w14:paraId="2536F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03363FB7">
            <w:pPr>
              <w:jc w:val="center"/>
              <w:rPr>
                <w:b/>
                <w:sz w:val="24"/>
              </w:rPr>
            </w:pPr>
            <w:r>
              <w:rPr>
                <w:b/>
                <w:sz w:val="24"/>
              </w:rPr>
              <w:t>序号</w:t>
            </w:r>
          </w:p>
        </w:tc>
        <w:tc>
          <w:tcPr>
            <w:tcW w:w="1310" w:type="dxa"/>
            <w:noWrap w:val="0"/>
            <w:vAlign w:val="center"/>
          </w:tcPr>
          <w:p w14:paraId="029A29CE">
            <w:pPr>
              <w:jc w:val="center"/>
              <w:rPr>
                <w:b/>
                <w:sz w:val="24"/>
              </w:rPr>
            </w:pPr>
            <w:r>
              <w:rPr>
                <w:rFonts w:hint="eastAsia"/>
                <w:b/>
                <w:sz w:val="24"/>
              </w:rPr>
              <w:t>物资</w:t>
            </w:r>
            <w:r>
              <w:rPr>
                <w:b/>
                <w:sz w:val="24"/>
              </w:rPr>
              <w:t>名称</w:t>
            </w:r>
          </w:p>
        </w:tc>
        <w:tc>
          <w:tcPr>
            <w:tcW w:w="993" w:type="dxa"/>
            <w:noWrap w:val="0"/>
            <w:vAlign w:val="center"/>
          </w:tcPr>
          <w:p w14:paraId="44928D04">
            <w:pPr>
              <w:jc w:val="center"/>
              <w:rPr>
                <w:b/>
                <w:sz w:val="24"/>
              </w:rPr>
            </w:pPr>
            <w:r>
              <w:rPr>
                <w:rFonts w:hint="eastAsia"/>
                <w:b/>
                <w:sz w:val="24"/>
              </w:rPr>
              <w:t>等级</w:t>
            </w:r>
          </w:p>
        </w:tc>
        <w:tc>
          <w:tcPr>
            <w:tcW w:w="1140" w:type="dxa"/>
            <w:noWrap w:val="0"/>
            <w:vAlign w:val="center"/>
          </w:tcPr>
          <w:p w14:paraId="05BCA9FD">
            <w:pPr>
              <w:jc w:val="center"/>
              <w:rPr>
                <w:b/>
                <w:sz w:val="24"/>
              </w:rPr>
            </w:pPr>
            <w:r>
              <w:rPr>
                <w:b/>
                <w:sz w:val="24"/>
              </w:rPr>
              <w:t>单位</w:t>
            </w:r>
          </w:p>
        </w:tc>
        <w:tc>
          <w:tcPr>
            <w:tcW w:w="1665" w:type="dxa"/>
            <w:noWrap w:val="0"/>
            <w:vAlign w:val="center"/>
          </w:tcPr>
          <w:p w14:paraId="124229FA">
            <w:pPr>
              <w:jc w:val="center"/>
              <w:rPr>
                <w:b/>
                <w:sz w:val="24"/>
              </w:rPr>
            </w:pPr>
            <w:r>
              <w:rPr>
                <w:rFonts w:hint="eastAsia"/>
                <w:b/>
                <w:sz w:val="24"/>
              </w:rPr>
              <w:t>规格</w:t>
            </w:r>
          </w:p>
        </w:tc>
        <w:tc>
          <w:tcPr>
            <w:tcW w:w="1800" w:type="dxa"/>
            <w:noWrap w:val="0"/>
            <w:vAlign w:val="center"/>
          </w:tcPr>
          <w:p w14:paraId="3FF9532C">
            <w:pPr>
              <w:jc w:val="center"/>
              <w:rPr>
                <w:b/>
                <w:sz w:val="24"/>
              </w:rPr>
            </w:pPr>
            <w:r>
              <w:rPr>
                <w:rFonts w:hint="eastAsia"/>
                <w:b/>
                <w:sz w:val="24"/>
              </w:rPr>
              <w:t>全年预估</w:t>
            </w:r>
            <w:r>
              <w:rPr>
                <w:b/>
                <w:sz w:val="24"/>
              </w:rPr>
              <w:t>数量</w:t>
            </w:r>
          </w:p>
        </w:tc>
        <w:tc>
          <w:tcPr>
            <w:tcW w:w="1501" w:type="dxa"/>
            <w:noWrap w:val="0"/>
            <w:vAlign w:val="center"/>
          </w:tcPr>
          <w:p w14:paraId="055888C1">
            <w:pPr>
              <w:jc w:val="center"/>
              <w:rPr>
                <w:b/>
                <w:sz w:val="24"/>
              </w:rPr>
            </w:pPr>
            <w:r>
              <w:rPr>
                <w:rFonts w:hint="eastAsia"/>
                <w:b/>
                <w:sz w:val="24"/>
              </w:rPr>
              <w:t>第一周期预估数量</w:t>
            </w:r>
          </w:p>
        </w:tc>
        <w:tc>
          <w:tcPr>
            <w:tcW w:w="1501" w:type="dxa"/>
            <w:noWrap w:val="0"/>
            <w:vAlign w:val="center"/>
          </w:tcPr>
          <w:p w14:paraId="7C43B914">
            <w:pPr>
              <w:jc w:val="center"/>
              <w:rPr>
                <w:rFonts w:hint="eastAsia" w:ascii="宋体" w:hAnsi="宋体" w:cs="宋体"/>
                <w:b/>
                <w:sz w:val="24"/>
              </w:rPr>
            </w:pPr>
            <w:r>
              <w:rPr>
                <w:rFonts w:hint="eastAsia" w:ascii="宋体" w:hAnsi="宋体" w:cs="宋体"/>
                <w:b/>
                <w:sz w:val="24"/>
              </w:rPr>
              <w:t>所属行业</w:t>
            </w:r>
          </w:p>
        </w:tc>
      </w:tr>
      <w:tr w14:paraId="5BB16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7009AA77">
            <w:pPr>
              <w:jc w:val="center"/>
              <w:rPr>
                <w:sz w:val="24"/>
              </w:rPr>
            </w:pPr>
            <w:r>
              <w:rPr>
                <w:sz w:val="24"/>
              </w:rPr>
              <w:t>1</w:t>
            </w:r>
          </w:p>
        </w:tc>
        <w:tc>
          <w:tcPr>
            <w:tcW w:w="1310" w:type="dxa"/>
            <w:noWrap w:val="0"/>
            <w:vAlign w:val="center"/>
          </w:tcPr>
          <w:p w14:paraId="0F66338E">
            <w:pPr>
              <w:widowControl/>
              <w:jc w:val="center"/>
              <w:textAlignment w:val="center"/>
              <w:rPr>
                <w:rFonts w:hint="eastAsia" w:ascii="宋体" w:hAnsi="宋体" w:cs="宋体"/>
                <w:sz w:val="24"/>
              </w:rPr>
            </w:pPr>
            <w:r>
              <w:rPr>
                <w:rFonts w:hint="eastAsia" w:ascii="宋体" w:hAnsi="宋体" w:cs="宋体"/>
                <w:kern w:val="0"/>
                <w:sz w:val="24"/>
                <w:lang w:bidi="ar"/>
              </w:rPr>
              <w:t>大豆油（非转基因）</w:t>
            </w:r>
          </w:p>
        </w:tc>
        <w:tc>
          <w:tcPr>
            <w:tcW w:w="993" w:type="dxa"/>
            <w:noWrap w:val="0"/>
            <w:vAlign w:val="center"/>
          </w:tcPr>
          <w:p w14:paraId="2EDD24DE">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一级</w:t>
            </w:r>
          </w:p>
        </w:tc>
        <w:tc>
          <w:tcPr>
            <w:tcW w:w="1140" w:type="dxa"/>
            <w:noWrap w:val="0"/>
            <w:vAlign w:val="center"/>
          </w:tcPr>
          <w:p w14:paraId="69D03376">
            <w:pPr>
              <w:widowControl/>
              <w:jc w:val="center"/>
              <w:textAlignment w:val="center"/>
              <w:rPr>
                <w:sz w:val="24"/>
              </w:rPr>
            </w:pPr>
            <w:r>
              <w:rPr>
                <w:rFonts w:hint="eastAsia" w:ascii="宋体" w:hAnsi="宋体" w:cs="宋体"/>
                <w:kern w:val="0"/>
                <w:sz w:val="24"/>
                <w:lang w:bidi="ar"/>
              </w:rPr>
              <w:t>公斤</w:t>
            </w:r>
          </w:p>
        </w:tc>
        <w:tc>
          <w:tcPr>
            <w:tcW w:w="1665" w:type="dxa"/>
            <w:noWrap w:val="0"/>
            <w:vAlign w:val="center"/>
          </w:tcPr>
          <w:p w14:paraId="06156D70">
            <w:pPr>
              <w:widowControl/>
              <w:jc w:val="center"/>
              <w:textAlignment w:val="center"/>
              <w:rPr>
                <w:sz w:val="24"/>
              </w:rPr>
            </w:pPr>
            <w:r>
              <w:rPr>
                <w:rFonts w:hint="eastAsia" w:ascii="宋体" w:hAnsi="宋体" w:cs="宋体"/>
                <w:kern w:val="0"/>
                <w:sz w:val="24"/>
                <w:lang w:bidi="ar"/>
              </w:rPr>
              <w:t>40斤/桶</w:t>
            </w:r>
          </w:p>
        </w:tc>
        <w:tc>
          <w:tcPr>
            <w:tcW w:w="1800" w:type="dxa"/>
            <w:noWrap w:val="0"/>
            <w:vAlign w:val="center"/>
          </w:tcPr>
          <w:p w14:paraId="3B5E12D3">
            <w:pPr>
              <w:widowControl/>
              <w:jc w:val="center"/>
              <w:textAlignment w:val="center"/>
              <w:rPr>
                <w:rFonts w:hint="eastAsia" w:ascii="宋体" w:hAnsi="宋体" w:cs="宋体"/>
                <w:sz w:val="24"/>
              </w:rPr>
            </w:pPr>
            <w:r>
              <w:rPr>
                <w:rFonts w:hint="eastAsia" w:ascii="宋体" w:hAnsi="宋体" w:cs="宋体"/>
                <w:kern w:val="0"/>
                <w:sz w:val="24"/>
                <w:lang w:bidi="ar"/>
              </w:rPr>
              <w:t xml:space="preserve"> 340000.00 </w:t>
            </w:r>
          </w:p>
        </w:tc>
        <w:tc>
          <w:tcPr>
            <w:tcW w:w="1501" w:type="dxa"/>
            <w:noWrap w:val="0"/>
            <w:vAlign w:val="center"/>
          </w:tcPr>
          <w:p w14:paraId="2AE03F25">
            <w:pPr>
              <w:widowControl/>
              <w:jc w:val="center"/>
              <w:textAlignment w:val="center"/>
              <w:rPr>
                <w:rFonts w:hint="eastAsia" w:ascii="宋体" w:hAnsi="宋体" w:cs="宋体"/>
                <w:kern w:val="0"/>
                <w:sz w:val="24"/>
                <w:lang w:bidi="ar"/>
              </w:rPr>
            </w:pPr>
            <w:r>
              <w:rPr>
                <w:rFonts w:hint="eastAsia" w:ascii="宋体" w:hAnsi="宋体" w:cs="宋体"/>
                <w:sz w:val="24"/>
              </w:rPr>
              <w:t>85000.00</w:t>
            </w:r>
          </w:p>
        </w:tc>
        <w:tc>
          <w:tcPr>
            <w:tcW w:w="1501" w:type="dxa"/>
            <w:noWrap w:val="0"/>
            <w:vAlign w:val="center"/>
          </w:tcPr>
          <w:p w14:paraId="644D5A40">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1978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0FC1065A">
            <w:pPr>
              <w:jc w:val="center"/>
              <w:rPr>
                <w:sz w:val="24"/>
              </w:rPr>
            </w:pPr>
            <w:r>
              <w:rPr>
                <w:sz w:val="24"/>
              </w:rPr>
              <w:t>2</w:t>
            </w:r>
          </w:p>
        </w:tc>
        <w:tc>
          <w:tcPr>
            <w:tcW w:w="1310" w:type="dxa"/>
            <w:noWrap w:val="0"/>
            <w:vAlign w:val="center"/>
          </w:tcPr>
          <w:p w14:paraId="29269530">
            <w:pPr>
              <w:widowControl/>
              <w:jc w:val="center"/>
              <w:textAlignment w:val="center"/>
              <w:rPr>
                <w:rFonts w:hint="eastAsia" w:ascii="宋体" w:hAnsi="宋体" w:cs="宋体"/>
                <w:sz w:val="24"/>
              </w:rPr>
            </w:pPr>
            <w:r>
              <w:rPr>
                <w:rFonts w:hint="eastAsia" w:ascii="宋体" w:hAnsi="宋体" w:cs="宋体"/>
                <w:kern w:val="0"/>
                <w:sz w:val="24"/>
                <w:lang w:bidi="ar"/>
              </w:rPr>
              <w:t>菜籽油（非转基因）</w:t>
            </w:r>
          </w:p>
        </w:tc>
        <w:tc>
          <w:tcPr>
            <w:tcW w:w="993" w:type="dxa"/>
            <w:noWrap w:val="0"/>
            <w:vAlign w:val="center"/>
          </w:tcPr>
          <w:p w14:paraId="12F52EC0">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二级</w:t>
            </w:r>
          </w:p>
        </w:tc>
        <w:tc>
          <w:tcPr>
            <w:tcW w:w="1140" w:type="dxa"/>
            <w:noWrap w:val="0"/>
            <w:vAlign w:val="center"/>
          </w:tcPr>
          <w:p w14:paraId="28CE904F">
            <w:pPr>
              <w:widowControl/>
              <w:jc w:val="center"/>
              <w:textAlignment w:val="center"/>
              <w:rPr>
                <w:sz w:val="24"/>
              </w:rPr>
            </w:pPr>
            <w:r>
              <w:rPr>
                <w:rFonts w:hint="eastAsia" w:ascii="宋体" w:hAnsi="宋体" w:cs="宋体"/>
                <w:kern w:val="0"/>
                <w:sz w:val="24"/>
                <w:lang w:bidi="ar"/>
              </w:rPr>
              <w:t>公斤</w:t>
            </w:r>
          </w:p>
        </w:tc>
        <w:tc>
          <w:tcPr>
            <w:tcW w:w="1665" w:type="dxa"/>
            <w:noWrap w:val="0"/>
            <w:vAlign w:val="center"/>
          </w:tcPr>
          <w:p w14:paraId="796D31F7">
            <w:pPr>
              <w:widowControl/>
              <w:jc w:val="center"/>
              <w:textAlignment w:val="center"/>
              <w:rPr>
                <w:sz w:val="24"/>
              </w:rPr>
            </w:pPr>
            <w:r>
              <w:rPr>
                <w:rFonts w:hint="eastAsia" w:ascii="宋体" w:hAnsi="宋体" w:cs="宋体"/>
                <w:sz w:val="24"/>
              </w:rPr>
              <w:t>/</w:t>
            </w:r>
          </w:p>
        </w:tc>
        <w:tc>
          <w:tcPr>
            <w:tcW w:w="1800" w:type="dxa"/>
            <w:noWrap w:val="0"/>
            <w:vAlign w:val="center"/>
          </w:tcPr>
          <w:p w14:paraId="22B6F538">
            <w:pPr>
              <w:widowControl/>
              <w:jc w:val="center"/>
              <w:textAlignment w:val="center"/>
              <w:rPr>
                <w:rFonts w:hint="eastAsia" w:ascii="宋体" w:hAnsi="宋体" w:cs="宋体"/>
                <w:sz w:val="24"/>
              </w:rPr>
            </w:pPr>
            <w:r>
              <w:rPr>
                <w:rFonts w:hint="eastAsia" w:ascii="宋体" w:hAnsi="宋体" w:cs="宋体"/>
                <w:kern w:val="0"/>
                <w:sz w:val="24"/>
                <w:lang w:bidi="ar"/>
              </w:rPr>
              <w:t xml:space="preserve"> 30000.00 </w:t>
            </w:r>
          </w:p>
        </w:tc>
        <w:tc>
          <w:tcPr>
            <w:tcW w:w="1501" w:type="dxa"/>
            <w:noWrap w:val="0"/>
            <w:vAlign w:val="center"/>
          </w:tcPr>
          <w:p w14:paraId="0C846721">
            <w:pPr>
              <w:widowControl/>
              <w:jc w:val="center"/>
              <w:textAlignment w:val="center"/>
              <w:rPr>
                <w:rFonts w:hint="eastAsia" w:ascii="宋体" w:hAnsi="宋体" w:cs="宋体"/>
                <w:kern w:val="0"/>
                <w:sz w:val="24"/>
                <w:lang w:bidi="ar"/>
              </w:rPr>
            </w:pPr>
            <w:r>
              <w:rPr>
                <w:rFonts w:hint="eastAsia" w:ascii="宋体" w:hAnsi="宋体" w:cs="宋体"/>
                <w:sz w:val="24"/>
              </w:rPr>
              <w:t>7500.00</w:t>
            </w:r>
          </w:p>
        </w:tc>
        <w:tc>
          <w:tcPr>
            <w:tcW w:w="1501" w:type="dxa"/>
            <w:noWrap w:val="0"/>
            <w:vAlign w:val="center"/>
          </w:tcPr>
          <w:p w14:paraId="2419110A">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bl>
    <w:p w14:paraId="31702197">
      <w:pPr>
        <w:widowControl/>
        <w:jc w:val="left"/>
        <w:rPr>
          <w:rFonts w:hint="eastAsia" w:ascii="宋体" w:hAnsi="宋体" w:cs="宋体"/>
          <w:b/>
          <w:sz w:val="24"/>
        </w:rPr>
      </w:pPr>
    </w:p>
    <w:p w14:paraId="52C3CE00">
      <w:pPr>
        <w:widowControl/>
        <w:jc w:val="left"/>
        <w:rPr>
          <w:rFonts w:hint="eastAsia" w:ascii="宋体" w:hAnsi="宋体" w:cs="宋体"/>
          <w:b/>
          <w:sz w:val="24"/>
        </w:rPr>
      </w:pPr>
      <w:r>
        <w:rPr>
          <w:rFonts w:hint="eastAsia" w:ascii="宋体" w:hAnsi="宋体" w:cs="宋体"/>
          <w:b/>
          <w:sz w:val="24"/>
        </w:rPr>
        <w:t>03包（面粉）：</w:t>
      </w:r>
    </w:p>
    <w:tbl>
      <w:tblPr>
        <w:tblStyle w:val="5"/>
        <w:tblW w:w="10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310"/>
        <w:gridCol w:w="993"/>
        <w:gridCol w:w="1140"/>
        <w:gridCol w:w="1665"/>
        <w:gridCol w:w="1800"/>
        <w:gridCol w:w="1501"/>
        <w:gridCol w:w="1501"/>
      </w:tblGrid>
      <w:tr w14:paraId="6815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4A62E248">
            <w:pPr>
              <w:jc w:val="center"/>
              <w:rPr>
                <w:b/>
                <w:sz w:val="24"/>
              </w:rPr>
            </w:pPr>
            <w:r>
              <w:rPr>
                <w:b/>
                <w:sz w:val="24"/>
              </w:rPr>
              <w:t>序号</w:t>
            </w:r>
          </w:p>
        </w:tc>
        <w:tc>
          <w:tcPr>
            <w:tcW w:w="1310" w:type="dxa"/>
            <w:noWrap w:val="0"/>
            <w:vAlign w:val="center"/>
          </w:tcPr>
          <w:p w14:paraId="0FB2B0B6">
            <w:pPr>
              <w:jc w:val="center"/>
              <w:rPr>
                <w:b/>
                <w:sz w:val="24"/>
              </w:rPr>
            </w:pPr>
            <w:r>
              <w:rPr>
                <w:rFonts w:hint="eastAsia"/>
                <w:b/>
                <w:sz w:val="24"/>
              </w:rPr>
              <w:t>物资</w:t>
            </w:r>
            <w:r>
              <w:rPr>
                <w:b/>
                <w:sz w:val="24"/>
              </w:rPr>
              <w:t>名称</w:t>
            </w:r>
          </w:p>
        </w:tc>
        <w:tc>
          <w:tcPr>
            <w:tcW w:w="993" w:type="dxa"/>
            <w:noWrap w:val="0"/>
            <w:vAlign w:val="center"/>
          </w:tcPr>
          <w:p w14:paraId="6BE38E08">
            <w:pPr>
              <w:jc w:val="center"/>
              <w:rPr>
                <w:b/>
                <w:sz w:val="24"/>
              </w:rPr>
            </w:pPr>
            <w:r>
              <w:rPr>
                <w:rFonts w:hint="eastAsia"/>
                <w:b/>
                <w:sz w:val="24"/>
              </w:rPr>
              <w:t>等级</w:t>
            </w:r>
          </w:p>
        </w:tc>
        <w:tc>
          <w:tcPr>
            <w:tcW w:w="1140" w:type="dxa"/>
            <w:noWrap w:val="0"/>
            <w:vAlign w:val="center"/>
          </w:tcPr>
          <w:p w14:paraId="2A1BCA8B">
            <w:pPr>
              <w:jc w:val="center"/>
              <w:rPr>
                <w:b/>
                <w:sz w:val="24"/>
              </w:rPr>
            </w:pPr>
            <w:r>
              <w:rPr>
                <w:b/>
                <w:sz w:val="24"/>
              </w:rPr>
              <w:t>单位</w:t>
            </w:r>
          </w:p>
        </w:tc>
        <w:tc>
          <w:tcPr>
            <w:tcW w:w="1665" w:type="dxa"/>
            <w:noWrap w:val="0"/>
            <w:vAlign w:val="center"/>
          </w:tcPr>
          <w:p w14:paraId="4B2C2B21">
            <w:pPr>
              <w:jc w:val="center"/>
              <w:rPr>
                <w:b/>
                <w:sz w:val="24"/>
              </w:rPr>
            </w:pPr>
            <w:r>
              <w:rPr>
                <w:rFonts w:hint="eastAsia"/>
                <w:b/>
                <w:sz w:val="24"/>
              </w:rPr>
              <w:t>规格</w:t>
            </w:r>
          </w:p>
        </w:tc>
        <w:tc>
          <w:tcPr>
            <w:tcW w:w="1800" w:type="dxa"/>
            <w:noWrap w:val="0"/>
            <w:vAlign w:val="center"/>
          </w:tcPr>
          <w:p w14:paraId="4E4CA8AF">
            <w:pPr>
              <w:jc w:val="center"/>
              <w:rPr>
                <w:b/>
                <w:sz w:val="24"/>
              </w:rPr>
            </w:pPr>
            <w:r>
              <w:rPr>
                <w:rFonts w:hint="eastAsia"/>
                <w:b/>
                <w:sz w:val="24"/>
              </w:rPr>
              <w:t>全年预估</w:t>
            </w:r>
            <w:r>
              <w:rPr>
                <w:b/>
                <w:sz w:val="24"/>
              </w:rPr>
              <w:t>数量</w:t>
            </w:r>
          </w:p>
        </w:tc>
        <w:tc>
          <w:tcPr>
            <w:tcW w:w="1501" w:type="dxa"/>
            <w:noWrap w:val="0"/>
            <w:vAlign w:val="center"/>
          </w:tcPr>
          <w:p w14:paraId="7EB33392">
            <w:pPr>
              <w:jc w:val="center"/>
              <w:rPr>
                <w:b/>
                <w:sz w:val="24"/>
              </w:rPr>
            </w:pPr>
            <w:r>
              <w:rPr>
                <w:rFonts w:hint="eastAsia"/>
                <w:b/>
                <w:sz w:val="24"/>
              </w:rPr>
              <w:t>第一周期预估数量</w:t>
            </w:r>
          </w:p>
        </w:tc>
        <w:tc>
          <w:tcPr>
            <w:tcW w:w="1501" w:type="dxa"/>
            <w:noWrap w:val="0"/>
            <w:vAlign w:val="center"/>
          </w:tcPr>
          <w:p w14:paraId="75C3DEA4">
            <w:pPr>
              <w:jc w:val="center"/>
              <w:rPr>
                <w:rFonts w:hint="eastAsia"/>
                <w:b/>
                <w:sz w:val="24"/>
              </w:rPr>
            </w:pPr>
            <w:r>
              <w:rPr>
                <w:rFonts w:hint="eastAsia" w:ascii="宋体" w:hAnsi="宋体" w:cs="宋体"/>
                <w:b/>
                <w:sz w:val="24"/>
              </w:rPr>
              <w:t>所属行业</w:t>
            </w:r>
          </w:p>
        </w:tc>
      </w:tr>
      <w:tr w14:paraId="0A624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1F2A9579">
            <w:pPr>
              <w:jc w:val="center"/>
              <w:rPr>
                <w:sz w:val="24"/>
              </w:rPr>
            </w:pPr>
            <w:r>
              <w:rPr>
                <w:rFonts w:hint="eastAsia" w:ascii="宋体" w:hAnsi="宋体" w:cs="宋体"/>
                <w:sz w:val="24"/>
              </w:rPr>
              <w:t>1</w:t>
            </w:r>
          </w:p>
        </w:tc>
        <w:tc>
          <w:tcPr>
            <w:tcW w:w="1310" w:type="dxa"/>
            <w:noWrap w:val="0"/>
            <w:vAlign w:val="center"/>
          </w:tcPr>
          <w:p w14:paraId="4E4BD958">
            <w:pPr>
              <w:widowControl/>
              <w:jc w:val="center"/>
              <w:textAlignment w:val="center"/>
              <w:rPr>
                <w:rFonts w:hint="eastAsia" w:ascii="宋体" w:hAnsi="宋体" w:cs="宋体"/>
                <w:sz w:val="24"/>
              </w:rPr>
            </w:pPr>
            <w:r>
              <w:rPr>
                <w:rFonts w:hint="eastAsia" w:ascii="宋体" w:hAnsi="宋体" w:cs="宋体"/>
                <w:kern w:val="0"/>
                <w:sz w:val="24"/>
                <w:lang w:bidi="ar"/>
              </w:rPr>
              <w:t>面粉</w:t>
            </w:r>
          </w:p>
        </w:tc>
        <w:tc>
          <w:tcPr>
            <w:tcW w:w="993" w:type="dxa"/>
            <w:noWrap w:val="0"/>
            <w:vAlign w:val="center"/>
          </w:tcPr>
          <w:p w14:paraId="31836E3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精制粉</w:t>
            </w:r>
          </w:p>
        </w:tc>
        <w:tc>
          <w:tcPr>
            <w:tcW w:w="1140" w:type="dxa"/>
            <w:noWrap w:val="0"/>
            <w:vAlign w:val="center"/>
          </w:tcPr>
          <w:p w14:paraId="3C95EA40">
            <w:pPr>
              <w:widowControl/>
              <w:jc w:val="center"/>
              <w:textAlignment w:val="center"/>
              <w:rPr>
                <w:sz w:val="24"/>
              </w:rPr>
            </w:pPr>
            <w:r>
              <w:rPr>
                <w:rFonts w:hint="eastAsia" w:ascii="宋体" w:hAnsi="宋体" w:cs="宋体"/>
                <w:kern w:val="0"/>
                <w:sz w:val="24"/>
                <w:lang w:bidi="ar"/>
              </w:rPr>
              <w:t>公斤</w:t>
            </w:r>
          </w:p>
        </w:tc>
        <w:tc>
          <w:tcPr>
            <w:tcW w:w="1665" w:type="dxa"/>
            <w:noWrap w:val="0"/>
            <w:vAlign w:val="center"/>
          </w:tcPr>
          <w:p w14:paraId="0725936F">
            <w:pPr>
              <w:widowControl/>
              <w:jc w:val="center"/>
              <w:textAlignment w:val="center"/>
              <w:rPr>
                <w:sz w:val="24"/>
              </w:rPr>
            </w:pPr>
            <w:r>
              <w:rPr>
                <w:rFonts w:hint="eastAsia" w:ascii="宋体" w:hAnsi="宋体" w:cs="宋体"/>
                <w:kern w:val="0"/>
                <w:sz w:val="24"/>
                <w:lang w:bidi="ar"/>
              </w:rPr>
              <w:t>25kg/袋</w:t>
            </w:r>
          </w:p>
        </w:tc>
        <w:tc>
          <w:tcPr>
            <w:tcW w:w="1800" w:type="dxa"/>
            <w:noWrap w:val="0"/>
            <w:vAlign w:val="center"/>
          </w:tcPr>
          <w:p w14:paraId="0326234F">
            <w:pPr>
              <w:widowControl/>
              <w:jc w:val="center"/>
              <w:textAlignment w:val="center"/>
              <w:rPr>
                <w:rFonts w:hint="eastAsia" w:ascii="宋体" w:hAnsi="宋体" w:cs="宋体"/>
                <w:sz w:val="24"/>
              </w:rPr>
            </w:pPr>
            <w:r>
              <w:rPr>
                <w:rFonts w:hint="eastAsia" w:ascii="宋体" w:hAnsi="宋体" w:cs="宋体"/>
                <w:kern w:val="0"/>
                <w:sz w:val="24"/>
                <w:lang w:bidi="ar"/>
              </w:rPr>
              <w:t xml:space="preserve"> 340000.00 </w:t>
            </w:r>
          </w:p>
        </w:tc>
        <w:tc>
          <w:tcPr>
            <w:tcW w:w="1501" w:type="dxa"/>
            <w:noWrap w:val="0"/>
            <w:vAlign w:val="center"/>
          </w:tcPr>
          <w:p w14:paraId="4B1A6D77">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 xml:space="preserve"> 85000.00 </w:t>
            </w:r>
          </w:p>
        </w:tc>
        <w:tc>
          <w:tcPr>
            <w:tcW w:w="1501" w:type="dxa"/>
            <w:noWrap w:val="0"/>
            <w:vAlign w:val="center"/>
          </w:tcPr>
          <w:p w14:paraId="711EAD18">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5A13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4F954611">
            <w:pPr>
              <w:jc w:val="center"/>
              <w:rPr>
                <w:sz w:val="24"/>
              </w:rPr>
            </w:pPr>
            <w:r>
              <w:rPr>
                <w:rFonts w:hint="eastAsia" w:ascii="宋体" w:hAnsi="宋体" w:cs="宋体"/>
                <w:sz w:val="24"/>
              </w:rPr>
              <w:t>2</w:t>
            </w:r>
          </w:p>
        </w:tc>
        <w:tc>
          <w:tcPr>
            <w:tcW w:w="1310" w:type="dxa"/>
            <w:noWrap w:val="0"/>
            <w:vAlign w:val="center"/>
          </w:tcPr>
          <w:p w14:paraId="28ABAC2E">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高筋小麦面粉</w:t>
            </w:r>
          </w:p>
        </w:tc>
        <w:tc>
          <w:tcPr>
            <w:tcW w:w="993" w:type="dxa"/>
            <w:noWrap w:val="0"/>
            <w:vAlign w:val="center"/>
          </w:tcPr>
          <w:p w14:paraId="01A46AB9">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一等</w:t>
            </w:r>
          </w:p>
        </w:tc>
        <w:tc>
          <w:tcPr>
            <w:tcW w:w="1140" w:type="dxa"/>
            <w:noWrap w:val="0"/>
            <w:vAlign w:val="center"/>
          </w:tcPr>
          <w:p w14:paraId="7359A91D">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公斤</w:t>
            </w:r>
          </w:p>
        </w:tc>
        <w:tc>
          <w:tcPr>
            <w:tcW w:w="1665" w:type="dxa"/>
            <w:noWrap w:val="0"/>
            <w:vAlign w:val="center"/>
          </w:tcPr>
          <w:p w14:paraId="6CB291E2">
            <w:pPr>
              <w:widowControl/>
              <w:jc w:val="center"/>
              <w:textAlignment w:val="center"/>
              <w:rPr>
                <w:rFonts w:hint="eastAsia" w:ascii="宋体" w:hAnsi="宋体" w:cs="宋体"/>
                <w:sz w:val="24"/>
              </w:rPr>
            </w:pPr>
            <w:r>
              <w:rPr>
                <w:rFonts w:hint="eastAsia" w:ascii="宋体" w:hAnsi="宋体" w:cs="宋体"/>
                <w:kern w:val="0"/>
                <w:sz w:val="24"/>
                <w:lang w:bidi="ar"/>
              </w:rPr>
              <w:t>25kg/袋</w:t>
            </w:r>
          </w:p>
        </w:tc>
        <w:tc>
          <w:tcPr>
            <w:tcW w:w="1800" w:type="dxa"/>
            <w:noWrap w:val="0"/>
            <w:vAlign w:val="center"/>
          </w:tcPr>
          <w:p w14:paraId="1D2FA49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 xml:space="preserve"> 20000.00 </w:t>
            </w:r>
          </w:p>
        </w:tc>
        <w:tc>
          <w:tcPr>
            <w:tcW w:w="1501" w:type="dxa"/>
            <w:noWrap w:val="0"/>
            <w:vAlign w:val="center"/>
          </w:tcPr>
          <w:p w14:paraId="26362307">
            <w:pPr>
              <w:widowControl/>
              <w:jc w:val="center"/>
              <w:textAlignment w:val="center"/>
              <w:rPr>
                <w:rFonts w:hint="eastAsia" w:ascii="宋体" w:hAnsi="宋体" w:cs="宋体"/>
                <w:sz w:val="24"/>
              </w:rPr>
            </w:pPr>
            <w:r>
              <w:rPr>
                <w:rFonts w:hint="eastAsia" w:ascii="宋体" w:hAnsi="宋体" w:cs="宋体"/>
                <w:kern w:val="0"/>
                <w:sz w:val="24"/>
                <w:lang w:bidi="ar"/>
              </w:rPr>
              <w:t xml:space="preserve">5000.00 </w:t>
            </w:r>
          </w:p>
        </w:tc>
        <w:tc>
          <w:tcPr>
            <w:tcW w:w="1501" w:type="dxa"/>
            <w:noWrap w:val="0"/>
            <w:vAlign w:val="center"/>
          </w:tcPr>
          <w:p w14:paraId="3F7FBC6F">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7D4BE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74878341">
            <w:pPr>
              <w:jc w:val="center"/>
              <w:rPr>
                <w:sz w:val="24"/>
              </w:rPr>
            </w:pPr>
            <w:r>
              <w:rPr>
                <w:rFonts w:hint="eastAsia" w:ascii="宋体" w:hAnsi="宋体" w:cs="宋体"/>
                <w:sz w:val="24"/>
              </w:rPr>
              <w:t>3</w:t>
            </w:r>
          </w:p>
        </w:tc>
        <w:tc>
          <w:tcPr>
            <w:tcW w:w="1310" w:type="dxa"/>
            <w:noWrap w:val="0"/>
            <w:vAlign w:val="center"/>
          </w:tcPr>
          <w:p w14:paraId="6542CAA6">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高级包点粉</w:t>
            </w:r>
          </w:p>
        </w:tc>
        <w:tc>
          <w:tcPr>
            <w:tcW w:w="993" w:type="dxa"/>
            <w:noWrap w:val="0"/>
            <w:vAlign w:val="center"/>
          </w:tcPr>
          <w:p w14:paraId="26CF5152">
            <w:pPr>
              <w:jc w:val="center"/>
              <w:rPr>
                <w:rFonts w:hint="eastAsia" w:ascii="宋体" w:hAnsi="宋体" w:cs="宋体"/>
                <w:kern w:val="0"/>
                <w:sz w:val="24"/>
                <w:lang w:bidi="ar"/>
              </w:rPr>
            </w:pPr>
            <w:r>
              <w:rPr>
                <w:rFonts w:hint="eastAsia" w:ascii="宋体" w:hAnsi="宋体" w:cs="宋体"/>
                <w:sz w:val="24"/>
              </w:rPr>
              <w:t>/</w:t>
            </w:r>
          </w:p>
        </w:tc>
        <w:tc>
          <w:tcPr>
            <w:tcW w:w="1140" w:type="dxa"/>
            <w:noWrap w:val="0"/>
            <w:vAlign w:val="center"/>
          </w:tcPr>
          <w:p w14:paraId="639D2A9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公斤</w:t>
            </w:r>
          </w:p>
        </w:tc>
        <w:tc>
          <w:tcPr>
            <w:tcW w:w="1665" w:type="dxa"/>
            <w:noWrap w:val="0"/>
            <w:vAlign w:val="center"/>
          </w:tcPr>
          <w:p w14:paraId="254586CD">
            <w:pPr>
              <w:widowControl/>
              <w:jc w:val="center"/>
              <w:textAlignment w:val="center"/>
              <w:rPr>
                <w:rFonts w:hint="eastAsia" w:ascii="宋体" w:hAnsi="宋体" w:cs="宋体"/>
                <w:sz w:val="24"/>
              </w:rPr>
            </w:pPr>
            <w:r>
              <w:rPr>
                <w:rFonts w:hint="eastAsia" w:ascii="宋体" w:hAnsi="宋体" w:cs="宋体"/>
                <w:kern w:val="0"/>
                <w:sz w:val="24"/>
                <w:lang w:bidi="ar"/>
              </w:rPr>
              <w:t>25kg/袋</w:t>
            </w:r>
          </w:p>
        </w:tc>
        <w:tc>
          <w:tcPr>
            <w:tcW w:w="1800" w:type="dxa"/>
            <w:noWrap w:val="0"/>
            <w:vAlign w:val="center"/>
          </w:tcPr>
          <w:p w14:paraId="4CC727F9">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 xml:space="preserve"> 14000.00 </w:t>
            </w:r>
          </w:p>
        </w:tc>
        <w:tc>
          <w:tcPr>
            <w:tcW w:w="1501" w:type="dxa"/>
            <w:noWrap w:val="0"/>
            <w:vAlign w:val="center"/>
          </w:tcPr>
          <w:p w14:paraId="7C4357CC">
            <w:pPr>
              <w:widowControl/>
              <w:jc w:val="center"/>
              <w:textAlignment w:val="center"/>
              <w:rPr>
                <w:rFonts w:hint="eastAsia" w:ascii="宋体" w:hAnsi="宋体" w:cs="宋体"/>
                <w:sz w:val="24"/>
              </w:rPr>
            </w:pPr>
            <w:r>
              <w:rPr>
                <w:rFonts w:hint="eastAsia" w:ascii="宋体" w:hAnsi="宋体" w:cs="宋体"/>
                <w:kern w:val="0"/>
                <w:sz w:val="24"/>
                <w:lang w:bidi="ar"/>
              </w:rPr>
              <w:t xml:space="preserve">3500.00 </w:t>
            </w:r>
          </w:p>
        </w:tc>
        <w:tc>
          <w:tcPr>
            <w:tcW w:w="1501" w:type="dxa"/>
            <w:noWrap w:val="0"/>
            <w:vAlign w:val="center"/>
          </w:tcPr>
          <w:p w14:paraId="076835A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3E779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0" w:type="dxa"/>
            <w:noWrap w:val="0"/>
            <w:vAlign w:val="center"/>
          </w:tcPr>
          <w:p w14:paraId="7CB880AC">
            <w:pPr>
              <w:jc w:val="center"/>
              <w:rPr>
                <w:sz w:val="24"/>
              </w:rPr>
            </w:pPr>
            <w:r>
              <w:rPr>
                <w:rFonts w:hint="eastAsia" w:ascii="宋体" w:hAnsi="宋体" w:cs="宋体"/>
                <w:sz w:val="24"/>
              </w:rPr>
              <w:t>4</w:t>
            </w:r>
          </w:p>
        </w:tc>
        <w:tc>
          <w:tcPr>
            <w:tcW w:w="1310" w:type="dxa"/>
            <w:noWrap w:val="0"/>
            <w:vAlign w:val="center"/>
          </w:tcPr>
          <w:p w14:paraId="62D89554">
            <w:pPr>
              <w:widowControl/>
              <w:jc w:val="center"/>
              <w:textAlignment w:val="center"/>
              <w:rPr>
                <w:rFonts w:hint="eastAsia" w:ascii="宋体" w:hAnsi="宋体" w:cs="宋体"/>
                <w:sz w:val="24"/>
              </w:rPr>
            </w:pPr>
            <w:r>
              <w:rPr>
                <w:rFonts w:hint="eastAsia" w:ascii="宋体" w:hAnsi="宋体" w:cs="宋体"/>
                <w:kern w:val="0"/>
                <w:sz w:val="24"/>
                <w:lang w:bidi="ar"/>
              </w:rPr>
              <w:t>拉面粉</w:t>
            </w:r>
          </w:p>
        </w:tc>
        <w:tc>
          <w:tcPr>
            <w:tcW w:w="993" w:type="dxa"/>
            <w:noWrap w:val="0"/>
            <w:vAlign w:val="center"/>
          </w:tcPr>
          <w:p w14:paraId="306CAED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一等</w:t>
            </w:r>
          </w:p>
        </w:tc>
        <w:tc>
          <w:tcPr>
            <w:tcW w:w="1140" w:type="dxa"/>
            <w:noWrap w:val="0"/>
            <w:vAlign w:val="center"/>
          </w:tcPr>
          <w:p w14:paraId="5E1F4869">
            <w:pPr>
              <w:widowControl/>
              <w:jc w:val="center"/>
              <w:textAlignment w:val="center"/>
              <w:rPr>
                <w:sz w:val="24"/>
              </w:rPr>
            </w:pPr>
            <w:r>
              <w:rPr>
                <w:rFonts w:hint="eastAsia" w:ascii="宋体" w:hAnsi="宋体" w:cs="宋体"/>
                <w:kern w:val="0"/>
                <w:sz w:val="24"/>
                <w:lang w:bidi="ar"/>
              </w:rPr>
              <w:t>公斤</w:t>
            </w:r>
          </w:p>
        </w:tc>
        <w:tc>
          <w:tcPr>
            <w:tcW w:w="1665" w:type="dxa"/>
            <w:noWrap w:val="0"/>
            <w:vAlign w:val="center"/>
          </w:tcPr>
          <w:p w14:paraId="0E6C0E99">
            <w:pPr>
              <w:widowControl/>
              <w:jc w:val="center"/>
              <w:textAlignment w:val="center"/>
              <w:rPr>
                <w:sz w:val="24"/>
              </w:rPr>
            </w:pPr>
            <w:r>
              <w:rPr>
                <w:rFonts w:hint="eastAsia" w:ascii="宋体" w:hAnsi="宋体" w:cs="宋体"/>
                <w:sz w:val="24"/>
              </w:rPr>
              <w:t>/</w:t>
            </w:r>
          </w:p>
        </w:tc>
        <w:tc>
          <w:tcPr>
            <w:tcW w:w="1800" w:type="dxa"/>
            <w:noWrap w:val="0"/>
            <w:vAlign w:val="center"/>
          </w:tcPr>
          <w:p w14:paraId="2B12AF0A">
            <w:pPr>
              <w:widowControl/>
              <w:jc w:val="center"/>
              <w:textAlignment w:val="center"/>
              <w:rPr>
                <w:rFonts w:hint="eastAsia" w:ascii="宋体" w:hAnsi="宋体" w:cs="宋体"/>
                <w:sz w:val="24"/>
              </w:rPr>
            </w:pPr>
            <w:r>
              <w:rPr>
                <w:rFonts w:hint="eastAsia" w:ascii="宋体" w:hAnsi="宋体" w:cs="宋体"/>
                <w:kern w:val="0"/>
                <w:sz w:val="24"/>
                <w:lang w:bidi="ar"/>
              </w:rPr>
              <w:t xml:space="preserve"> 12000.00 </w:t>
            </w:r>
          </w:p>
        </w:tc>
        <w:tc>
          <w:tcPr>
            <w:tcW w:w="1501" w:type="dxa"/>
            <w:noWrap w:val="0"/>
            <w:vAlign w:val="center"/>
          </w:tcPr>
          <w:p w14:paraId="5835008F">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 xml:space="preserve">3000.00 </w:t>
            </w:r>
          </w:p>
        </w:tc>
        <w:tc>
          <w:tcPr>
            <w:tcW w:w="1501" w:type="dxa"/>
            <w:noWrap w:val="0"/>
            <w:vAlign w:val="center"/>
          </w:tcPr>
          <w:p w14:paraId="6F8B094D">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bl>
    <w:p w14:paraId="1C918A5B">
      <w:pPr>
        <w:widowControl/>
        <w:jc w:val="left"/>
        <w:rPr>
          <w:rFonts w:hint="eastAsia" w:ascii="宋体" w:hAnsi="宋体" w:cs="宋体"/>
          <w:b/>
          <w:sz w:val="24"/>
        </w:rPr>
      </w:pPr>
    </w:p>
    <w:p w14:paraId="67D89BFF">
      <w:pPr>
        <w:widowControl/>
        <w:jc w:val="left"/>
        <w:rPr>
          <w:rFonts w:hint="eastAsia" w:ascii="宋体" w:hAnsi="宋体" w:cs="宋体"/>
          <w:b/>
          <w:sz w:val="24"/>
        </w:rPr>
      </w:pPr>
      <w:r>
        <w:rPr>
          <w:rFonts w:hint="eastAsia" w:ascii="宋体" w:hAnsi="宋体" w:cs="宋体"/>
          <w:b/>
          <w:sz w:val="24"/>
        </w:rPr>
        <w:t>04包（蛋类）</w:t>
      </w:r>
    </w:p>
    <w:tbl>
      <w:tblPr>
        <w:tblStyle w:val="5"/>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8"/>
        <w:gridCol w:w="2882"/>
        <w:gridCol w:w="1410"/>
        <w:gridCol w:w="2353"/>
        <w:gridCol w:w="2353"/>
      </w:tblGrid>
      <w:tr w14:paraId="68F1E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8" w:type="dxa"/>
            <w:noWrap w:val="0"/>
            <w:vAlign w:val="center"/>
          </w:tcPr>
          <w:p w14:paraId="568AD011">
            <w:pPr>
              <w:jc w:val="center"/>
              <w:rPr>
                <w:b/>
                <w:sz w:val="24"/>
              </w:rPr>
            </w:pPr>
            <w:r>
              <w:rPr>
                <w:b/>
                <w:sz w:val="24"/>
              </w:rPr>
              <w:t>序号</w:t>
            </w:r>
          </w:p>
        </w:tc>
        <w:tc>
          <w:tcPr>
            <w:tcW w:w="2882" w:type="dxa"/>
            <w:noWrap w:val="0"/>
            <w:vAlign w:val="center"/>
          </w:tcPr>
          <w:p w14:paraId="0CD4ED59">
            <w:pPr>
              <w:jc w:val="center"/>
              <w:rPr>
                <w:b/>
                <w:sz w:val="24"/>
              </w:rPr>
            </w:pPr>
            <w:r>
              <w:rPr>
                <w:rFonts w:hint="eastAsia"/>
                <w:b/>
                <w:sz w:val="24"/>
              </w:rPr>
              <w:t>物资</w:t>
            </w:r>
            <w:r>
              <w:rPr>
                <w:b/>
                <w:sz w:val="24"/>
              </w:rPr>
              <w:t>名称</w:t>
            </w:r>
          </w:p>
        </w:tc>
        <w:tc>
          <w:tcPr>
            <w:tcW w:w="1410" w:type="dxa"/>
            <w:noWrap w:val="0"/>
            <w:vAlign w:val="center"/>
          </w:tcPr>
          <w:p w14:paraId="215F1376">
            <w:pPr>
              <w:jc w:val="center"/>
              <w:rPr>
                <w:b/>
                <w:sz w:val="24"/>
              </w:rPr>
            </w:pPr>
            <w:r>
              <w:rPr>
                <w:b/>
                <w:sz w:val="24"/>
              </w:rPr>
              <w:t>单位</w:t>
            </w:r>
          </w:p>
        </w:tc>
        <w:tc>
          <w:tcPr>
            <w:tcW w:w="2353" w:type="dxa"/>
            <w:noWrap w:val="0"/>
            <w:vAlign w:val="center"/>
          </w:tcPr>
          <w:p w14:paraId="7259A44A">
            <w:pPr>
              <w:jc w:val="center"/>
              <w:rPr>
                <w:b/>
                <w:sz w:val="24"/>
              </w:rPr>
            </w:pPr>
            <w:r>
              <w:rPr>
                <w:rFonts w:hint="eastAsia" w:ascii="宋体" w:hAnsi="宋体" w:cs="宋体"/>
                <w:b/>
                <w:sz w:val="24"/>
              </w:rPr>
              <w:t>2026年预估数量</w:t>
            </w:r>
          </w:p>
        </w:tc>
        <w:tc>
          <w:tcPr>
            <w:tcW w:w="2353" w:type="dxa"/>
            <w:noWrap w:val="0"/>
            <w:vAlign w:val="center"/>
          </w:tcPr>
          <w:p w14:paraId="54BD0FC7">
            <w:pPr>
              <w:jc w:val="center"/>
              <w:rPr>
                <w:rFonts w:hint="eastAsia" w:ascii="宋体" w:hAnsi="宋体" w:cs="宋体"/>
                <w:b/>
                <w:sz w:val="24"/>
              </w:rPr>
            </w:pPr>
            <w:r>
              <w:rPr>
                <w:rFonts w:hint="eastAsia" w:ascii="宋体" w:hAnsi="宋体" w:cs="宋体"/>
                <w:b/>
                <w:sz w:val="24"/>
              </w:rPr>
              <w:t>所属行业</w:t>
            </w:r>
          </w:p>
        </w:tc>
      </w:tr>
      <w:tr w14:paraId="4AB08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8" w:type="dxa"/>
            <w:noWrap w:val="0"/>
            <w:vAlign w:val="center"/>
          </w:tcPr>
          <w:p w14:paraId="72F45D2F">
            <w:pPr>
              <w:jc w:val="center"/>
              <w:rPr>
                <w:sz w:val="24"/>
              </w:rPr>
            </w:pPr>
            <w:r>
              <w:rPr>
                <w:rFonts w:hint="eastAsia" w:ascii="宋体" w:hAnsi="宋体" w:cs="宋体"/>
                <w:sz w:val="24"/>
              </w:rPr>
              <w:t>1</w:t>
            </w:r>
          </w:p>
        </w:tc>
        <w:tc>
          <w:tcPr>
            <w:tcW w:w="2882" w:type="dxa"/>
            <w:noWrap w:val="0"/>
            <w:vAlign w:val="center"/>
          </w:tcPr>
          <w:p w14:paraId="16E54929">
            <w:pPr>
              <w:widowControl/>
              <w:jc w:val="center"/>
              <w:textAlignment w:val="center"/>
              <w:rPr>
                <w:rFonts w:hint="eastAsia" w:ascii="宋体" w:hAnsi="宋体" w:cs="宋体"/>
                <w:sz w:val="24"/>
              </w:rPr>
            </w:pPr>
            <w:r>
              <w:rPr>
                <w:rFonts w:hint="eastAsia" w:ascii="宋体" w:hAnsi="宋体" w:cs="宋体"/>
                <w:kern w:val="0"/>
                <w:sz w:val="24"/>
                <w:lang w:bidi="ar"/>
              </w:rPr>
              <w:t>鸡蛋（黄壳）</w:t>
            </w:r>
          </w:p>
        </w:tc>
        <w:tc>
          <w:tcPr>
            <w:tcW w:w="1410" w:type="dxa"/>
            <w:noWrap w:val="0"/>
            <w:vAlign w:val="center"/>
          </w:tcPr>
          <w:p w14:paraId="29F85B9D">
            <w:pPr>
              <w:widowControl/>
              <w:jc w:val="center"/>
              <w:textAlignment w:val="center"/>
              <w:rPr>
                <w:sz w:val="24"/>
              </w:rPr>
            </w:pPr>
            <w:r>
              <w:rPr>
                <w:rFonts w:hint="eastAsia" w:ascii="宋体" w:hAnsi="宋体" w:cs="宋体"/>
                <w:kern w:val="0"/>
                <w:sz w:val="24"/>
                <w:lang w:bidi="ar"/>
              </w:rPr>
              <w:t>斤</w:t>
            </w:r>
          </w:p>
        </w:tc>
        <w:tc>
          <w:tcPr>
            <w:tcW w:w="2353" w:type="dxa"/>
            <w:noWrap w:val="0"/>
            <w:vAlign w:val="center"/>
          </w:tcPr>
          <w:p w14:paraId="3B0AD29F">
            <w:pPr>
              <w:widowControl/>
              <w:jc w:val="center"/>
              <w:textAlignment w:val="center"/>
              <w:rPr>
                <w:rFonts w:hint="eastAsia" w:ascii="宋体" w:hAnsi="宋体" w:cs="宋体"/>
                <w:sz w:val="24"/>
              </w:rPr>
            </w:pPr>
            <w:r>
              <w:rPr>
                <w:rFonts w:hint="eastAsia" w:ascii="宋体" w:hAnsi="宋体" w:cs="宋体"/>
                <w:kern w:val="0"/>
                <w:sz w:val="24"/>
                <w:lang w:bidi="ar"/>
              </w:rPr>
              <w:t>660000.00</w:t>
            </w:r>
          </w:p>
        </w:tc>
        <w:tc>
          <w:tcPr>
            <w:tcW w:w="2353" w:type="dxa"/>
            <w:noWrap w:val="0"/>
            <w:vAlign w:val="center"/>
          </w:tcPr>
          <w:p w14:paraId="37F1D143">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农、林、牧、渔业</w:t>
            </w:r>
          </w:p>
        </w:tc>
      </w:tr>
      <w:tr w14:paraId="24317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8" w:type="dxa"/>
            <w:noWrap w:val="0"/>
            <w:vAlign w:val="center"/>
          </w:tcPr>
          <w:p w14:paraId="316EF2A5">
            <w:pPr>
              <w:jc w:val="center"/>
              <w:rPr>
                <w:sz w:val="24"/>
              </w:rPr>
            </w:pPr>
            <w:r>
              <w:rPr>
                <w:rFonts w:hint="eastAsia" w:ascii="宋体" w:hAnsi="宋体" w:cs="宋体"/>
                <w:sz w:val="24"/>
              </w:rPr>
              <w:t>2</w:t>
            </w:r>
          </w:p>
        </w:tc>
        <w:tc>
          <w:tcPr>
            <w:tcW w:w="2882" w:type="dxa"/>
            <w:noWrap w:val="0"/>
            <w:vAlign w:val="center"/>
          </w:tcPr>
          <w:p w14:paraId="78A5FAE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鸡蛋（白壳）</w:t>
            </w:r>
          </w:p>
        </w:tc>
        <w:tc>
          <w:tcPr>
            <w:tcW w:w="1410" w:type="dxa"/>
            <w:noWrap w:val="0"/>
            <w:vAlign w:val="center"/>
          </w:tcPr>
          <w:p w14:paraId="17FACE58">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斤</w:t>
            </w:r>
          </w:p>
        </w:tc>
        <w:tc>
          <w:tcPr>
            <w:tcW w:w="2353" w:type="dxa"/>
            <w:noWrap w:val="0"/>
            <w:vAlign w:val="center"/>
          </w:tcPr>
          <w:p w14:paraId="7A68DB19">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260000.00</w:t>
            </w:r>
          </w:p>
        </w:tc>
        <w:tc>
          <w:tcPr>
            <w:tcW w:w="2353" w:type="dxa"/>
            <w:noWrap w:val="0"/>
            <w:vAlign w:val="center"/>
          </w:tcPr>
          <w:p w14:paraId="245DADD7">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农、林、牧、渔业</w:t>
            </w:r>
          </w:p>
        </w:tc>
      </w:tr>
      <w:tr w14:paraId="1D673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8" w:type="dxa"/>
            <w:noWrap w:val="0"/>
            <w:vAlign w:val="center"/>
          </w:tcPr>
          <w:p w14:paraId="0FE5616C">
            <w:pPr>
              <w:jc w:val="center"/>
              <w:rPr>
                <w:sz w:val="24"/>
              </w:rPr>
            </w:pPr>
            <w:r>
              <w:rPr>
                <w:rFonts w:hint="eastAsia" w:ascii="宋体" w:hAnsi="宋体" w:cs="宋体"/>
                <w:sz w:val="24"/>
              </w:rPr>
              <w:t>3</w:t>
            </w:r>
          </w:p>
        </w:tc>
        <w:tc>
          <w:tcPr>
            <w:tcW w:w="2882" w:type="dxa"/>
            <w:noWrap w:val="0"/>
            <w:vAlign w:val="center"/>
          </w:tcPr>
          <w:p w14:paraId="5838F2C4">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鹌鹑蛋（去壳）</w:t>
            </w:r>
          </w:p>
        </w:tc>
        <w:tc>
          <w:tcPr>
            <w:tcW w:w="1410" w:type="dxa"/>
            <w:noWrap w:val="0"/>
            <w:vAlign w:val="center"/>
          </w:tcPr>
          <w:p w14:paraId="2DB412B2">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斤</w:t>
            </w:r>
          </w:p>
        </w:tc>
        <w:tc>
          <w:tcPr>
            <w:tcW w:w="2353" w:type="dxa"/>
            <w:noWrap w:val="0"/>
            <w:vAlign w:val="center"/>
          </w:tcPr>
          <w:p w14:paraId="24E41A0C">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30000.00</w:t>
            </w:r>
          </w:p>
        </w:tc>
        <w:tc>
          <w:tcPr>
            <w:tcW w:w="2353" w:type="dxa"/>
            <w:noWrap w:val="0"/>
            <w:vAlign w:val="center"/>
          </w:tcPr>
          <w:p w14:paraId="17B32317">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工业</w:t>
            </w:r>
          </w:p>
        </w:tc>
      </w:tr>
      <w:tr w14:paraId="1C44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38" w:type="dxa"/>
            <w:noWrap w:val="0"/>
            <w:vAlign w:val="center"/>
          </w:tcPr>
          <w:p w14:paraId="4EA38CF8">
            <w:pPr>
              <w:jc w:val="center"/>
              <w:rPr>
                <w:sz w:val="24"/>
              </w:rPr>
            </w:pPr>
            <w:r>
              <w:rPr>
                <w:rFonts w:hint="eastAsia" w:ascii="宋体" w:hAnsi="宋体" w:cs="宋体"/>
                <w:sz w:val="24"/>
              </w:rPr>
              <w:t>4</w:t>
            </w:r>
          </w:p>
        </w:tc>
        <w:tc>
          <w:tcPr>
            <w:tcW w:w="2882" w:type="dxa"/>
            <w:noWrap w:val="0"/>
            <w:vAlign w:val="center"/>
          </w:tcPr>
          <w:p w14:paraId="10EA5C03">
            <w:pPr>
              <w:widowControl/>
              <w:jc w:val="center"/>
              <w:textAlignment w:val="center"/>
              <w:rPr>
                <w:rFonts w:hint="eastAsia" w:ascii="宋体" w:hAnsi="宋体" w:cs="宋体"/>
                <w:sz w:val="24"/>
              </w:rPr>
            </w:pPr>
            <w:r>
              <w:rPr>
                <w:rFonts w:hint="eastAsia" w:ascii="宋体" w:hAnsi="宋体" w:cs="宋体"/>
                <w:kern w:val="0"/>
                <w:sz w:val="24"/>
                <w:lang w:bidi="ar"/>
              </w:rPr>
              <w:t>鹌鹑蛋（带壳）</w:t>
            </w:r>
          </w:p>
        </w:tc>
        <w:tc>
          <w:tcPr>
            <w:tcW w:w="1410" w:type="dxa"/>
            <w:noWrap w:val="0"/>
            <w:vAlign w:val="center"/>
          </w:tcPr>
          <w:p w14:paraId="205961A8">
            <w:pPr>
              <w:widowControl/>
              <w:jc w:val="center"/>
              <w:textAlignment w:val="center"/>
              <w:rPr>
                <w:sz w:val="24"/>
              </w:rPr>
            </w:pPr>
            <w:r>
              <w:rPr>
                <w:rFonts w:hint="eastAsia" w:ascii="宋体" w:hAnsi="宋体" w:cs="宋体"/>
                <w:kern w:val="0"/>
                <w:sz w:val="24"/>
                <w:lang w:bidi="ar"/>
              </w:rPr>
              <w:t>斤</w:t>
            </w:r>
          </w:p>
        </w:tc>
        <w:tc>
          <w:tcPr>
            <w:tcW w:w="2353" w:type="dxa"/>
            <w:noWrap w:val="0"/>
            <w:vAlign w:val="center"/>
          </w:tcPr>
          <w:p w14:paraId="63B6923D">
            <w:pPr>
              <w:widowControl/>
              <w:jc w:val="center"/>
              <w:textAlignment w:val="center"/>
              <w:rPr>
                <w:rFonts w:hint="eastAsia" w:ascii="宋体" w:hAnsi="宋体" w:cs="宋体"/>
                <w:sz w:val="24"/>
              </w:rPr>
            </w:pPr>
            <w:r>
              <w:rPr>
                <w:rFonts w:hint="eastAsia" w:ascii="宋体" w:hAnsi="宋体" w:cs="宋体"/>
                <w:kern w:val="0"/>
                <w:sz w:val="24"/>
                <w:lang w:bidi="ar"/>
              </w:rPr>
              <w:t>6000.00</w:t>
            </w:r>
          </w:p>
        </w:tc>
        <w:tc>
          <w:tcPr>
            <w:tcW w:w="2353" w:type="dxa"/>
            <w:noWrap w:val="0"/>
            <w:vAlign w:val="center"/>
          </w:tcPr>
          <w:p w14:paraId="7B9F7AC7">
            <w:pPr>
              <w:widowControl/>
              <w:jc w:val="center"/>
              <w:textAlignment w:val="center"/>
              <w:rPr>
                <w:rFonts w:hint="eastAsia" w:ascii="宋体" w:hAnsi="宋体" w:cs="宋体"/>
                <w:kern w:val="0"/>
                <w:sz w:val="24"/>
                <w:lang w:bidi="ar"/>
              </w:rPr>
            </w:pPr>
            <w:r>
              <w:rPr>
                <w:rFonts w:hint="eastAsia" w:ascii="宋体" w:hAnsi="宋体" w:cs="宋体"/>
                <w:kern w:val="0"/>
                <w:sz w:val="24"/>
                <w:lang w:bidi="ar"/>
              </w:rPr>
              <w:t>农、林、牧、渔业</w:t>
            </w:r>
          </w:p>
        </w:tc>
      </w:tr>
    </w:tbl>
    <w:p w14:paraId="2C19CE3B">
      <w:pPr>
        <w:widowControl/>
        <w:jc w:val="left"/>
        <w:rPr>
          <w:rFonts w:hint="eastAsia" w:ascii="宋体" w:hAnsi="宋体" w:cs="宋体"/>
          <w:b/>
          <w:sz w:val="24"/>
          <w:lang w:eastAsia="zh-Hans"/>
        </w:rPr>
      </w:pPr>
    </w:p>
    <w:p w14:paraId="7EBC3C98">
      <w:pPr>
        <w:pStyle w:val="4"/>
        <w:rPr>
          <w:rFonts w:hint="eastAsia"/>
        </w:rPr>
      </w:pPr>
      <w:bookmarkStart w:id="3" w:name="_Toc230177034"/>
      <w:bookmarkStart w:id="4" w:name="_Toc31466"/>
      <w:r>
        <w:rPr>
          <w:rFonts w:hint="eastAsia"/>
        </w:rPr>
        <w:t>二、入围供应商数量及比价规则（以下要求须在“项目要求应答表”中进行应答）</w:t>
      </w:r>
      <w:bookmarkEnd w:id="3"/>
      <w:bookmarkEnd w:id="4"/>
    </w:p>
    <w:tbl>
      <w:tblPr>
        <w:tblStyle w:val="5"/>
        <w:tblW w:w="95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1582"/>
        <w:gridCol w:w="1036"/>
        <w:gridCol w:w="1487"/>
        <w:gridCol w:w="4718"/>
      </w:tblGrid>
      <w:tr w14:paraId="2F0DB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4798B805">
            <w:pPr>
              <w:widowControl/>
              <w:jc w:val="center"/>
              <w:textAlignment w:val="center"/>
              <w:rPr>
                <w:b/>
                <w:bCs/>
                <w:szCs w:val="21"/>
              </w:rPr>
            </w:pPr>
            <w:r>
              <w:rPr>
                <w:rFonts w:hint="eastAsia" w:ascii="宋体" w:hAnsi="宋体" w:cs="宋体"/>
                <w:b/>
                <w:bCs/>
                <w:kern w:val="0"/>
                <w:szCs w:val="21"/>
                <w:lang w:bidi="ar"/>
              </w:rPr>
              <w:t>包号</w:t>
            </w:r>
          </w:p>
        </w:tc>
        <w:tc>
          <w:tcPr>
            <w:tcW w:w="1582" w:type="dxa"/>
            <w:noWrap w:val="0"/>
            <w:vAlign w:val="center"/>
          </w:tcPr>
          <w:p w14:paraId="18969CF5">
            <w:pPr>
              <w:widowControl/>
              <w:jc w:val="center"/>
              <w:textAlignment w:val="center"/>
              <w:rPr>
                <w:b/>
                <w:bCs/>
                <w:szCs w:val="21"/>
              </w:rPr>
            </w:pPr>
            <w:r>
              <w:rPr>
                <w:rFonts w:hint="eastAsia" w:ascii="宋体" w:hAnsi="宋体" w:cs="宋体"/>
                <w:b/>
                <w:bCs/>
                <w:kern w:val="0"/>
                <w:szCs w:val="21"/>
                <w:lang w:bidi="ar"/>
              </w:rPr>
              <w:t>品类名称</w:t>
            </w:r>
          </w:p>
        </w:tc>
        <w:tc>
          <w:tcPr>
            <w:tcW w:w="1036" w:type="dxa"/>
            <w:noWrap w:val="0"/>
            <w:vAlign w:val="center"/>
          </w:tcPr>
          <w:p w14:paraId="4C5D154E">
            <w:pPr>
              <w:widowControl/>
              <w:jc w:val="center"/>
              <w:textAlignment w:val="center"/>
              <w:rPr>
                <w:b/>
                <w:bCs/>
                <w:szCs w:val="21"/>
              </w:rPr>
            </w:pPr>
            <w:r>
              <w:rPr>
                <w:rFonts w:hint="eastAsia" w:ascii="宋体" w:hAnsi="宋体" w:cs="宋体"/>
                <w:b/>
                <w:bCs/>
                <w:kern w:val="0"/>
                <w:szCs w:val="21"/>
                <w:lang w:bidi="ar"/>
              </w:rPr>
              <w:t>入围家数</w:t>
            </w:r>
          </w:p>
        </w:tc>
        <w:tc>
          <w:tcPr>
            <w:tcW w:w="1487" w:type="dxa"/>
            <w:noWrap w:val="0"/>
            <w:vAlign w:val="center"/>
          </w:tcPr>
          <w:p w14:paraId="3C4B2511">
            <w:pPr>
              <w:widowControl/>
              <w:jc w:val="center"/>
              <w:textAlignment w:val="center"/>
              <w:rPr>
                <w:b/>
                <w:bCs/>
                <w:szCs w:val="21"/>
              </w:rPr>
            </w:pPr>
            <w:r>
              <w:rPr>
                <w:rFonts w:hint="eastAsia" w:ascii="宋体" w:hAnsi="宋体" w:cs="宋体"/>
                <w:b/>
                <w:bCs/>
                <w:kern w:val="0"/>
                <w:szCs w:val="21"/>
                <w:lang w:bidi="ar"/>
              </w:rPr>
              <w:t>比价周期</w:t>
            </w:r>
          </w:p>
        </w:tc>
        <w:tc>
          <w:tcPr>
            <w:tcW w:w="4718" w:type="dxa"/>
            <w:noWrap w:val="0"/>
            <w:vAlign w:val="center"/>
          </w:tcPr>
          <w:p w14:paraId="6051ED61">
            <w:pPr>
              <w:widowControl/>
              <w:jc w:val="center"/>
              <w:textAlignment w:val="center"/>
              <w:rPr>
                <w:b/>
                <w:bCs/>
                <w:szCs w:val="21"/>
              </w:rPr>
            </w:pPr>
            <w:r>
              <w:rPr>
                <w:rFonts w:hint="eastAsia" w:ascii="宋体" w:hAnsi="宋体" w:cs="宋体"/>
                <w:b/>
                <w:bCs/>
                <w:kern w:val="0"/>
                <w:szCs w:val="21"/>
                <w:lang w:bidi="ar"/>
              </w:rPr>
              <w:t>比价规则</w:t>
            </w:r>
          </w:p>
        </w:tc>
      </w:tr>
      <w:tr w14:paraId="2B1F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4B2E8830">
            <w:pPr>
              <w:widowControl/>
              <w:jc w:val="center"/>
              <w:textAlignment w:val="center"/>
              <w:rPr>
                <w:szCs w:val="21"/>
              </w:rPr>
            </w:pPr>
            <w:r>
              <w:rPr>
                <w:rFonts w:hint="eastAsia" w:ascii="宋体" w:hAnsi="宋体" w:cs="宋体"/>
                <w:kern w:val="0"/>
                <w:szCs w:val="21"/>
                <w:lang w:bidi="ar"/>
              </w:rPr>
              <w:t>01包</w:t>
            </w:r>
          </w:p>
        </w:tc>
        <w:tc>
          <w:tcPr>
            <w:tcW w:w="1582" w:type="dxa"/>
            <w:noWrap w:val="0"/>
            <w:vAlign w:val="center"/>
          </w:tcPr>
          <w:p w14:paraId="5C7DA87F">
            <w:pPr>
              <w:widowControl/>
              <w:jc w:val="center"/>
              <w:textAlignment w:val="center"/>
              <w:rPr>
                <w:rFonts w:hint="eastAsia"/>
                <w:szCs w:val="21"/>
              </w:rPr>
            </w:pPr>
            <w:r>
              <w:rPr>
                <w:rFonts w:hint="eastAsia" w:ascii="宋体" w:hAnsi="宋体" w:cs="宋体"/>
                <w:kern w:val="0"/>
                <w:szCs w:val="21"/>
                <w:lang w:bidi="ar"/>
              </w:rPr>
              <w:t>大米</w:t>
            </w:r>
          </w:p>
        </w:tc>
        <w:tc>
          <w:tcPr>
            <w:tcW w:w="1036" w:type="dxa"/>
            <w:noWrap w:val="0"/>
            <w:vAlign w:val="center"/>
          </w:tcPr>
          <w:p w14:paraId="5B9B1430">
            <w:pPr>
              <w:widowControl/>
              <w:jc w:val="center"/>
              <w:textAlignment w:val="center"/>
              <w:rPr>
                <w:szCs w:val="21"/>
              </w:rPr>
            </w:pPr>
            <w:r>
              <w:rPr>
                <w:rFonts w:hint="eastAsia" w:ascii="宋体" w:hAnsi="宋体" w:cs="宋体"/>
                <w:kern w:val="0"/>
                <w:szCs w:val="21"/>
                <w:lang w:bidi="ar"/>
              </w:rPr>
              <w:t>四家（中标候选人只有3家时，入围3家）</w:t>
            </w:r>
          </w:p>
        </w:tc>
        <w:tc>
          <w:tcPr>
            <w:tcW w:w="1487" w:type="dxa"/>
            <w:noWrap w:val="0"/>
            <w:vAlign w:val="center"/>
          </w:tcPr>
          <w:p w14:paraId="6CDB22B0">
            <w:pPr>
              <w:widowControl/>
              <w:jc w:val="center"/>
              <w:textAlignment w:val="center"/>
              <w:rPr>
                <w:szCs w:val="21"/>
              </w:rPr>
            </w:pPr>
            <w:r>
              <w:rPr>
                <w:rFonts w:hint="eastAsia" w:ascii="宋体" w:hAnsi="宋体" w:cs="宋体"/>
                <w:kern w:val="0"/>
                <w:szCs w:val="21"/>
                <w:lang w:bidi="ar"/>
              </w:rPr>
              <w:t>每3个月开展一次比价</w:t>
            </w:r>
          </w:p>
        </w:tc>
        <w:tc>
          <w:tcPr>
            <w:tcW w:w="4718" w:type="dxa"/>
            <w:noWrap w:val="0"/>
            <w:vAlign w:val="center"/>
          </w:tcPr>
          <w:p w14:paraId="6298A8E2">
            <w:pPr>
              <w:widowControl/>
              <w:spacing w:line="360" w:lineRule="exact"/>
              <w:jc w:val="left"/>
              <w:textAlignment w:val="center"/>
              <w:rPr>
                <w:rFonts w:hint="eastAsia"/>
                <w:szCs w:val="21"/>
              </w:rPr>
            </w:pPr>
            <w:r>
              <w:rPr>
                <w:rFonts w:hint="eastAsia"/>
                <w:szCs w:val="21"/>
              </w:rPr>
              <w:t>1.工作主体：周期比价工作由</w:t>
            </w:r>
            <w:r>
              <w:rPr>
                <w:rFonts w:hint="eastAsia" w:ascii="宋体" w:hAnsi="宋体" w:cs="宋体"/>
                <w:kern w:val="0"/>
                <w:szCs w:val="21"/>
                <w:lang w:bidi="ar"/>
              </w:rPr>
              <w:t>学校后勤保障部</w:t>
            </w:r>
            <w:r>
              <w:rPr>
                <w:rFonts w:hint="eastAsia"/>
                <w:szCs w:val="21"/>
              </w:rPr>
              <w:t>物资科牵头组织，按比价周期规定的频次进行（第一周期除外）。</w:t>
            </w:r>
          </w:p>
          <w:p w14:paraId="35586587">
            <w:pPr>
              <w:widowControl/>
              <w:spacing w:line="360" w:lineRule="exact"/>
              <w:jc w:val="left"/>
              <w:textAlignment w:val="center"/>
              <w:rPr>
                <w:rFonts w:hint="eastAsia"/>
                <w:szCs w:val="21"/>
              </w:rPr>
            </w:pPr>
            <w:r>
              <w:rPr>
                <w:rFonts w:hint="eastAsia"/>
                <w:szCs w:val="21"/>
              </w:rPr>
              <w:t>2.成交供应商的确定：评审时得分前四名为入围供应商，得分最高的供应商为第一周期成交供应商。</w:t>
            </w:r>
          </w:p>
          <w:p w14:paraId="42B97C68">
            <w:pPr>
              <w:widowControl/>
              <w:spacing w:line="360" w:lineRule="exact"/>
              <w:jc w:val="left"/>
              <w:textAlignment w:val="center"/>
              <w:rPr>
                <w:rFonts w:hint="eastAsia"/>
                <w:szCs w:val="21"/>
              </w:rPr>
            </w:pPr>
            <w:r>
              <w:rPr>
                <w:rFonts w:hint="eastAsia"/>
                <w:szCs w:val="21"/>
              </w:rPr>
              <w:t>入围供应商根据</w:t>
            </w:r>
            <w:r>
              <w:rPr>
                <w:rFonts w:hint="eastAsia" w:ascii="宋体" w:hAnsi="宋体" w:cs="宋体"/>
                <w:kern w:val="0"/>
                <w:szCs w:val="21"/>
                <w:lang w:bidi="ar"/>
              </w:rPr>
              <w:t>学校后勤保障部</w:t>
            </w:r>
            <w:r>
              <w:rPr>
                <w:rFonts w:hint="eastAsia"/>
                <w:szCs w:val="21"/>
              </w:rPr>
              <w:t>饮食中心提供的周期报价清单（采购品种、预估量等），在不超出周期预算前提下总报价最低的为成交供应商，负责本周期配送（若最低报价相同，则由比价小组现场抽签决定），第二、三、四名为候选供应商。当第一名配送出现问题时，后勤保障部授权饮食中心自行决定，按照周期报价高低排序确定下一候选供应商为成交供应商，或重新开展比价，报部长办公会审定后签订周期配送合同。</w:t>
            </w:r>
          </w:p>
          <w:p w14:paraId="1E887A09">
            <w:pPr>
              <w:widowControl/>
              <w:spacing w:line="360" w:lineRule="exact"/>
              <w:jc w:val="left"/>
              <w:textAlignment w:val="center"/>
              <w:rPr>
                <w:rFonts w:hint="eastAsia"/>
                <w:szCs w:val="21"/>
              </w:rPr>
            </w:pPr>
            <w:r>
              <w:rPr>
                <w:rFonts w:hint="eastAsia"/>
                <w:szCs w:val="21"/>
              </w:rPr>
              <w:t>3.特殊情况</w:t>
            </w:r>
          </w:p>
          <w:p w14:paraId="7838E341">
            <w:pPr>
              <w:widowControl/>
              <w:spacing w:line="360" w:lineRule="exact"/>
              <w:jc w:val="left"/>
              <w:textAlignment w:val="center"/>
              <w:rPr>
                <w:rFonts w:hint="eastAsia"/>
                <w:szCs w:val="21"/>
              </w:rPr>
            </w:pPr>
            <w:r>
              <w:rPr>
                <w:rFonts w:hint="eastAsia"/>
                <w:szCs w:val="21"/>
              </w:rPr>
              <w:t>（1）提前比价。若出现“周期合同期内约定的采购预算提前执行完毕”的情况，提前启动下一周期比价工作；若出现“周期合同到期而约定的采购预算未执行完毕”的情况，该周期合同自然终止，启动下一周期比价工作。</w:t>
            </w:r>
          </w:p>
          <w:p w14:paraId="3CCC41E3">
            <w:pPr>
              <w:widowControl/>
              <w:spacing w:line="360" w:lineRule="exact"/>
              <w:jc w:val="left"/>
              <w:textAlignment w:val="center"/>
              <w:rPr>
                <w:szCs w:val="21"/>
              </w:rPr>
            </w:pPr>
            <w:r>
              <w:rPr>
                <w:rFonts w:hint="eastAsia"/>
                <w:szCs w:val="21"/>
              </w:rPr>
              <w:t>（2）临时调价。若出现“周期内（第一周期除外）大米市场价格大幅波动”的情况，采供双方均有权提出重新比价，根据双方协商一致并经部长办公会审定的比价结果签订补充协议，该比价结果作为本周期剩余配送的结算价格。</w:t>
            </w:r>
          </w:p>
        </w:tc>
      </w:tr>
      <w:tr w14:paraId="5761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467F7E95">
            <w:pPr>
              <w:widowControl/>
              <w:jc w:val="center"/>
              <w:textAlignment w:val="center"/>
              <w:rPr>
                <w:szCs w:val="21"/>
              </w:rPr>
            </w:pPr>
            <w:r>
              <w:rPr>
                <w:rFonts w:hint="eastAsia" w:ascii="宋体" w:hAnsi="宋体" w:cs="宋体"/>
                <w:kern w:val="0"/>
                <w:szCs w:val="21"/>
                <w:lang w:bidi="ar"/>
              </w:rPr>
              <w:t>02包</w:t>
            </w:r>
          </w:p>
        </w:tc>
        <w:tc>
          <w:tcPr>
            <w:tcW w:w="1582" w:type="dxa"/>
            <w:noWrap w:val="0"/>
            <w:vAlign w:val="center"/>
          </w:tcPr>
          <w:p w14:paraId="566B2FA2">
            <w:pPr>
              <w:widowControl/>
              <w:jc w:val="center"/>
              <w:textAlignment w:val="center"/>
              <w:rPr>
                <w:rFonts w:hint="eastAsia"/>
                <w:szCs w:val="21"/>
              </w:rPr>
            </w:pPr>
            <w:r>
              <w:rPr>
                <w:rFonts w:hint="eastAsia" w:ascii="宋体" w:hAnsi="宋体" w:cs="宋体"/>
                <w:kern w:val="0"/>
                <w:szCs w:val="21"/>
                <w:lang w:bidi="ar"/>
              </w:rPr>
              <w:t>食用油</w:t>
            </w:r>
          </w:p>
        </w:tc>
        <w:tc>
          <w:tcPr>
            <w:tcW w:w="1036" w:type="dxa"/>
            <w:noWrap w:val="0"/>
            <w:vAlign w:val="center"/>
          </w:tcPr>
          <w:p w14:paraId="71778E39">
            <w:pPr>
              <w:widowControl/>
              <w:jc w:val="center"/>
              <w:textAlignment w:val="center"/>
              <w:rPr>
                <w:szCs w:val="21"/>
              </w:rPr>
            </w:pPr>
            <w:r>
              <w:rPr>
                <w:rFonts w:hint="eastAsia" w:ascii="宋体" w:hAnsi="宋体" w:cs="宋体"/>
                <w:kern w:val="0"/>
                <w:szCs w:val="21"/>
                <w:lang w:bidi="ar"/>
              </w:rPr>
              <w:t>四家（中标候选人只有3家时，入围3家）</w:t>
            </w:r>
          </w:p>
        </w:tc>
        <w:tc>
          <w:tcPr>
            <w:tcW w:w="1487" w:type="dxa"/>
            <w:noWrap w:val="0"/>
            <w:vAlign w:val="center"/>
          </w:tcPr>
          <w:p w14:paraId="56BCD6D3">
            <w:pPr>
              <w:widowControl/>
              <w:jc w:val="center"/>
              <w:textAlignment w:val="center"/>
              <w:rPr>
                <w:szCs w:val="21"/>
              </w:rPr>
            </w:pPr>
            <w:r>
              <w:rPr>
                <w:rFonts w:hint="eastAsia" w:ascii="宋体" w:hAnsi="宋体" w:cs="宋体"/>
                <w:kern w:val="0"/>
                <w:szCs w:val="21"/>
                <w:lang w:bidi="ar"/>
              </w:rPr>
              <w:t>每3个月开展一次比价</w:t>
            </w:r>
          </w:p>
        </w:tc>
        <w:tc>
          <w:tcPr>
            <w:tcW w:w="4718" w:type="dxa"/>
            <w:noWrap w:val="0"/>
            <w:vAlign w:val="center"/>
          </w:tcPr>
          <w:p w14:paraId="40BA1419">
            <w:pPr>
              <w:widowControl/>
              <w:spacing w:line="360" w:lineRule="exact"/>
              <w:jc w:val="left"/>
              <w:textAlignment w:val="center"/>
              <w:rPr>
                <w:rFonts w:hint="eastAsia"/>
                <w:szCs w:val="21"/>
              </w:rPr>
            </w:pPr>
            <w:r>
              <w:rPr>
                <w:rFonts w:hint="eastAsia"/>
                <w:szCs w:val="21"/>
              </w:rPr>
              <w:t>1.工作主体：周期比价工作由</w:t>
            </w:r>
            <w:r>
              <w:rPr>
                <w:rFonts w:hint="eastAsia" w:ascii="宋体" w:hAnsi="宋体" w:cs="宋体"/>
                <w:kern w:val="0"/>
                <w:szCs w:val="21"/>
                <w:lang w:bidi="ar"/>
              </w:rPr>
              <w:t>学校后勤保障部</w:t>
            </w:r>
            <w:r>
              <w:rPr>
                <w:rFonts w:hint="eastAsia"/>
                <w:szCs w:val="21"/>
              </w:rPr>
              <w:t>物资科牵头组织，按比价周期规定的频次进行（第一周期除外）。</w:t>
            </w:r>
          </w:p>
          <w:p w14:paraId="25B45959">
            <w:pPr>
              <w:widowControl/>
              <w:spacing w:line="360" w:lineRule="exact"/>
              <w:jc w:val="left"/>
              <w:textAlignment w:val="center"/>
              <w:rPr>
                <w:rFonts w:hint="eastAsia"/>
                <w:szCs w:val="21"/>
              </w:rPr>
            </w:pPr>
            <w:r>
              <w:rPr>
                <w:rFonts w:hint="eastAsia"/>
                <w:szCs w:val="21"/>
              </w:rPr>
              <w:t>2.成交供应商的确定：评审时得分前四名为入围供应商，得分最高的供应商为第一周期成交供应商。</w:t>
            </w:r>
          </w:p>
          <w:p w14:paraId="3D413734">
            <w:pPr>
              <w:widowControl/>
              <w:spacing w:line="360" w:lineRule="exact"/>
              <w:jc w:val="left"/>
              <w:textAlignment w:val="center"/>
              <w:rPr>
                <w:rFonts w:hint="eastAsia"/>
                <w:szCs w:val="21"/>
              </w:rPr>
            </w:pPr>
            <w:r>
              <w:rPr>
                <w:rFonts w:hint="eastAsia"/>
                <w:szCs w:val="21"/>
              </w:rPr>
              <w:t>入围供应商根据</w:t>
            </w:r>
            <w:r>
              <w:rPr>
                <w:rFonts w:hint="eastAsia" w:ascii="宋体" w:hAnsi="宋体" w:cs="宋体"/>
                <w:kern w:val="0"/>
                <w:szCs w:val="21"/>
                <w:lang w:bidi="ar"/>
              </w:rPr>
              <w:t>学校后勤保障部</w:t>
            </w:r>
            <w:r>
              <w:rPr>
                <w:rFonts w:hint="eastAsia"/>
                <w:szCs w:val="21"/>
              </w:rPr>
              <w:t>饮食中心提供的周期报价清单（采购品种、预估量等），在不超过周期预算前提下总报价最低的为成交供应商，负责本周期配送（若最低报价相同，则由比价小组现场抽签决定），第二、三、四名为候选供应商。当第一名配送出现问题时，后勤保障部授权饮食中心自行决定，按照周期报价高低排序确定下一候选供应商为成交供应商，或重新开展比价，报部长办公会审定后签订周期配送合同。</w:t>
            </w:r>
          </w:p>
          <w:p w14:paraId="27C23274">
            <w:pPr>
              <w:widowControl/>
              <w:spacing w:line="360" w:lineRule="exact"/>
              <w:jc w:val="left"/>
              <w:textAlignment w:val="center"/>
              <w:rPr>
                <w:rFonts w:hint="eastAsia"/>
                <w:szCs w:val="21"/>
              </w:rPr>
            </w:pPr>
            <w:r>
              <w:rPr>
                <w:rFonts w:hint="eastAsia"/>
                <w:szCs w:val="21"/>
              </w:rPr>
              <w:t>3.特殊情况</w:t>
            </w:r>
          </w:p>
          <w:p w14:paraId="570BF17F">
            <w:pPr>
              <w:widowControl/>
              <w:spacing w:line="360" w:lineRule="exact"/>
              <w:jc w:val="left"/>
              <w:textAlignment w:val="center"/>
              <w:rPr>
                <w:rFonts w:hint="eastAsia"/>
                <w:szCs w:val="21"/>
              </w:rPr>
            </w:pPr>
            <w:r>
              <w:rPr>
                <w:rFonts w:hint="eastAsia"/>
                <w:szCs w:val="21"/>
              </w:rPr>
              <w:t>（1）提前比价。若出现“周期合同期内约定的采购预算提前执行完毕”的情况，提前启动下一周期比价工作；若出现“周期合同到期而约定的采购预算未执行完毕”的情况，该周期合同自然终止，启动下一周期比价工作。</w:t>
            </w:r>
          </w:p>
          <w:p w14:paraId="01320334">
            <w:pPr>
              <w:widowControl/>
              <w:spacing w:line="360" w:lineRule="exact"/>
              <w:jc w:val="left"/>
              <w:textAlignment w:val="center"/>
              <w:rPr>
                <w:rFonts w:hint="eastAsia"/>
                <w:szCs w:val="21"/>
              </w:rPr>
            </w:pPr>
            <w:r>
              <w:rPr>
                <w:rFonts w:hint="eastAsia"/>
                <w:szCs w:val="21"/>
              </w:rPr>
              <w:t>（2）临时调价。若出现“周期内（第一周期除外）食用油市场价格大幅波动”的情况，采供双方均有权提出重新比价，根据双方协商一致并经部长办公会审定的比价结果签订补充协议，该比价结果作为本周期剩余配送的结算价格。</w:t>
            </w:r>
          </w:p>
        </w:tc>
      </w:tr>
      <w:tr w14:paraId="25DF1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726332CC">
            <w:pPr>
              <w:widowControl/>
              <w:jc w:val="center"/>
              <w:textAlignment w:val="center"/>
              <w:rPr>
                <w:szCs w:val="21"/>
              </w:rPr>
            </w:pPr>
            <w:r>
              <w:rPr>
                <w:rFonts w:hint="eastAsia" w:ascii="宋体" w:hAnsi="宋体" w:cs="宋体"/>
                <w:kern w:val="0"/>
                <w:szCs w:val="21"/>
                <w:lang w:bidi="ar"/>
              </w:rPr>
              <w:t>03包</w:t>
            </w:r>
          </w:p>
        </w:tc>
        <w:tc>
          <w:tcPr>
            <w:tcW w:w="1582" w:type="dxa"/>
            <w:noWrap w:val="0"/>
            <w:vAlign w:val="center"/>
          </w:tcPr>
          <w:p w14:paraId="20FA5627">
            <w:pPr>
              <w:widowControl/>
              <w:jc w:val="center"/>
              <w:textAlignment w:val="center"/>
              <w:rPr>
                <w:rFonts w:hint="eastAsia"/>
                <w:szCs w:val="21"/>
              </w:rPr>
            </w:pPr>
            <w:r>
              <w:rPr>
                <w:rFonts w:hint="eastAsia" w:ascii="宋体" w:hAnsi="宋体" w:cs="宋体"/>
                <w:kern w:val="0"/>
                <w:szCs w:val="21"/>
                <w:lang w:bidi="ar"/>
              </w:rPr>
              <w:t>面粉</w:t>
            </w:r>
          </w:p>
        </w:tc>
        <w:tc>
          <w:tcPr>
            <w:tcW w:w="1036" w:type="dxa"/>
            <w:noWrap w:val="0"/>
            <w:vAlign w:val="center"/>
          </w:tcPr>
          <w:p w14:paraId="77F7D9F8">
            <w:pPr>
              <w:widowControl/>
              <w:jc w:val="center"/>
              <w:textAlignment w:val="center"/>
              <w:rPr>
                <w:szCs w:val="21"/>
              </w:rPr>
            </w:pPr>
            <w:r>
              <w:rPr>
                <w:rFonts w:hint="eastAsia" w:ascii="宋体" w:hAnsi="宋体" w:cs="宋体"/>
                <w:kern w:val="0"/>
                <w:szCs w:val="21"/>
                <w:lang w:bidi="ar"/>
              </w:rPr>
              <w:t>四家（中标候选人只有3家时，入围3家）</w:t>
            </w:r>
          </w:p>
        </w:tc>
        <w:tc>
          <w:tcPr>
            <w:tcW w:w="1487" w:type="dxa"/>
            <w:noWrap w:val="0"/>
            <w:vAlign w:val="center"/>
          </w:tcPr>
          <w:p w14:paraId="6854DC92">
            <w:pPr>
              <w:widowControl/>
              <w:jc w:val="center"/>
              <w:textAlignment w:val="center"/>
              <w:rPr>
                <w:szCs w:val="21"/>
              </w:rPr>
            </w:pPr>
            <w:r>
              <w:rPr>
                <w:rFonts w:hint="eastAsia" w:ascii="宋体" w:hAnsi="宋体" w:cs="宋体"/>
                <w:kern w:val="0"/>
                <w:szCs w:val="21"/>
                <w:lang w:bidi="ar"/>
              </w:rPr>
              <w:t>每3个月开展一次比价</w:t>
            </w:r>
          </w:p>
        </w:tc>
        <w:tc>
          <w:tcPr>
            <w:tcW w:w="4718" w:type="dxa"/>
            <w:noWrap w:val="0"/>
            <w:vAlign w:val="center"/>
          </w:tcPr>
          <w:p w14:paraId="6D177282">
            <w:pPr>
              <w:widowControl/>
              <w:spacing w:line="360" w:lineRule="exact"/>
              <w:jc w:val="left"/>
              <w:textAlignment w:val="center"/>
              <w:rPr>
                <w:rFonts w:hint="eastAsia"/>
                <w:szCs w:val="21"/>
              </w:rPr>
            </w:pPr>
            <w:r>
              <w:rPr>
                <w:rFonts w:hint="eastAsia"/>
                <w:szCs w:val="21"/>
              </w:rPr>
              <w:t>1.工作主体：周期比价工作由</w:t>
            </w:r>
            <w:r>
              <w:rPr>
                <w:rFonts w:hint="eastAsia" w:ascii="宋体" w:hAnsi="宋体" w:cs="宋体"/>
                <w:kern w:val="0"/>
                <w:szCs w:val="21"/>
                <w:lang w:bidi="ar"/>
              </w:rPr>
              <w:t>学校后勤保障部</w:t>
            </w:r>
            <w:r>
              <w:rPr>
                <w:rFonts w:hint="eastAsia"/>
                <w:szCs w:val="21"/>
              </w:rPr>
              <w:t>物资科牵头组织，按比价周期规定的频次进行（第一周期除外）。</w:t>
            </w:r>
          </w:p>
          <w:p w14:paraId="4521F831">
            <w:pPr>
              <w:widowControl/>
              <w:spacing w:line="360" w:lineRule="exact"/>
              <w:jc w:val="left"/>
              <w:textAlignment w:val="center"/>
              <w:rPr>
                <w:rFonts w:hint="eastAsia"/>
                <w:szCs w:val="21"/>
              </w:rPr>
            </w:pPr>
            <w:r>
              <w:rPr>
                <w:rFonts w:hint="eastAsia"/>
                <w:szCs w:val="21"/>
              </w:rPr>
              <w:t>2.成交供应商的确定：评审时得分前四名为入围供应商，得分最高的供应商为第一周期成交供应商。</w:t>
            </w:r>
          </w:p>
          <w:p w14:paraId="260A5DAF">
            <w:pPr>
              <w:widowControl/>
              <w:spacing w:line="360" w:lineRule="exact"/>
              <w:jc w:val="left"/>
              <w:textAlignment w:val="center"/>
              <w:rPr>
                <w:rFonts w:hint="eastAsia"/>
                <w:szCs w:val="21"/>
              </w:rPr>
            </w:pPr>
            <w:r>
              <w:rPr>
                <w:rFonts w:hint="eastAsia"/>
                <w:szCs w:val="21"/>
              </w:rPr>
              <w:t>入围供应商根据</w:t>
            </w:r>
            <w:r>
              <w:rPr>
                <w:rFonts w:hint="eastAsia" w:ascii="宋体" w:hAnsi="宋体" w:cs="宋体"/>
                <w:kern w:val="0"/>
                <w:szCs w:val="21"/>
                <w:lang w:bidi="ar"/>
              </w:rPr>
              <w:t>学校后勤保障部</w:t>
            </w:r>
            <w:r>
              <w:rPr>
                <w:rFonts w:hint="eastAsia"/>
                <w:szCs w:val="21"/>
              </w:rPr>
              <w:t>饮食中心提供的周期报价清单（采购品种、预估量等），在不超过周期预算前提下总报价最低的为成交供应商，负责本周期配送（若最低报价相同，则由比价小组现场抽签决定），第二、三、四名为候选供应商。当第一名配送出现问题时，后勤保障部授权饮食中心自行决定，按照周期报价高低排序确定下一候选供应商为成交供应商，或重新开展比价，报部长办公会审定后签订周期配送合同。</w:t>
            </w:r>
          </w:p>
          <w:p w14:paraId="77463B13">
            <w:pPr>
              <w:widowControl/>
              <w:spacing w:line="360" w:lineRule="exact"/>
              <w:jc w:val="left"/>
              <w:textAlignment w:val="center"/>
              <w:rPr>
                <w:rFonts w:hint="eastAsia"/>
                <w:szCs w:val="21"/>
              </w:rPr>
            </w:pPr>
            <w:r>
              <w:rPr>
                <w:rFonts w:hint="eastAsia"/>
                <w:szCs w:val="21"/>
              </w:rPr>
              <w:t>3.特殊情况</w:t>
            </w:r>
          </w:p>
          <w:p w14:paraId="310ECB8A">
            <w:pPr>
              <w:widowControl/>
              <w:spacing w:line="360" w:lineRule="exact"/>
              <w:jc w:val="left"/>
              <w:textAlignment w:val="center"/>
              <w:rPr>
                <w:rFonts w:hint="eastAsia"/>
                <w:szCs w:val="21"/>
              </w:rPr>
            </w:pPr>
            <w:r>
              <w:rPr>
                <w:rFonts w:hint="eastAsia"/>
                <w:szCs w:val="21"/>
              </w:rPr>
              <w:t>（1）提前比价。若出现“周期合同期内约定的采购预算提前执行完毕”的情况，提前启动下一周期比价工作；若出现“周期合同到期而约定的采购预算未执行完毕”的情况，该周期合同自然终止，启动下一周期比价工作。</w:t>
            </w:r>
          </w:p>
          <w:p w14:paraId="191BE2FD">
            <w:pPr>
              <w:widowControl/>
              <w:spacing w:line="360" w:lineRule="exact"/>
              <w:jc w:val="left"/>
              <w:textAlignment w:val="center"/>
              <w:rPr>
                <w:rFonts w:hint="eastAsia"/>
                <w:szCs w:val="21"/>
              </w:rPr>
            </w:pPr>
            <w:r>
              <w:rPr>
                <w:rFonts w:hint="eastAsia"/>
                <w:szCs w:val="21"/>
              </w:rPr>
              <w:t>（2）临时调价。若出现“周期内（第一周期除外）面粉市场价格大幅波动”的情况，采供双方均有权提出重新比价，根据双方协商一致并经部长办公会审定的比价结果签订补充协议，该比价结果作为本周期剩余配送的结算价格。</w:t>
            </w:r>
          </w:p>
        </w:tc>
      </w:tr>
      <w:tr w14:paraId="3130A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3" w:type="dxa"/>
            <w:noWrap w:val="0"/>
            <w:vAlign w:val="center"/>
          </w:tcPr>
          <w:p w14:paraId="382BA0A8">
            <w:pPr>
              <w:widowControl/>
              <w:jc w:val="center"/>
              <w:textAlignment w:val="center"/>
              <w:rPr>
                <w:szCs w:val="21"/>
              </w:rPr>
            </w:pPr>
            <w:r>
              <w:rPr>
                <w:rFonts w:hint="eastAsia" w:ascii="宋体" w:hAnsi="宋体" w:cs="宋体"/>
                <w:kern w:val="0"/>
                <w:szCs w:val="21"/>
                <w:lang w:bidi="ar"/>
              </w:rPr>
              <w:t>04包</w:t>
            </w:r>
          </w:p>
        </w:tc>
        <w:tc>
          <w:tcPr>
            <w:tcW w:w="1582" w:type="dxa"/>
            <w:noWrap w:val="0"/>
            <w:vAlign w:val="center"/>
          </w:tcPr>
          <w:p w14:paraId="57C128D9">
            <w:pPr>
              <w:widowControl/>
              <w:jc w:val="center"/>
              <w:textAlignment w:val="center"/>
              <w:rPr>
                <w:rFonts w:hint="eastAsia"/>
                <w:szCs w:val="21"/>
              </w:rPr>
            </w:pPr>
            <w:r>
              <w:rPr>
                <w:rFonts w:hint="eastAsia" w:ascii="宋体" w:hAnsi="宋体" w:cs="宋体"/>
                <w:kern w:val="0"/>
                <w:szCs w:val="21"/>
                <w:lang w:bidi="ar"/>
              </w:rPr>
              <w:t>蛋类</w:t>
            </w:r>
          </w:p>
        </w:tc>
        <w:tc>
          <w:tcPr>
            <w:tcW w:w="1036" w:type="dxa"/>
            <w:noWrap w:val="0"/>
            <w:vAlign w:val="center"/>
          </w:tcPr>
          <w:p w14:paraId="557682C8">
            <w:pPr>
              <w:widowControl/>
              <w:jc w:val="center"/>
              <w:textAlignment w:val="center"/>
              <w:rPr>
                <w:szCs w:val="21"/>
              </w:rPr>
            </w:pPr>
            <w:r>
              <w:rPr>
                <w:rFonts w:hint="eastAsia" w:ascii="宋体" w:hAnsi="宋体" w:cs="宋体"/>
                <w:kern w:val="0"/>
                <w:szCs w:val="21"/>
                <w:lang w:bidi="ar"/>
              </w:rPr>
              <w:t>四家（中标候选人只有3家时，入围3家）</w:t>
            </w:r>
          </w:p>
        </w:tc>
        <w:tc>
          <w:tcPr>
            <w:tcW w:w="1487" w:type="dxa"/>
            <w:noWrap w:val="0"/>
            <w:vAlign w:val="center"/>
          </w:tcPr>
          <w:p w14:paraId="440B13E9">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每周开展一次比价</w:t>
            </w:r>
          </w:p>
        </w:tc>
        <w:tc>
          <w:tcPr>
            <w:tcW w:w="4718" w:type="dxa"/>
            <w:noWrap w:val="0"/>
            <w:vAlign w:val="center"/>
          </w:tcPr>
          <w:p w14:paraId="47CD3115">
            <w:pPr>
              <w:widowControl/>
              <w:spacing w:line="360" w:lineRule="exact"/>
              <w:jc w:val="left"/>
              <w:textAlignment w:val="center"/>
              <w:rPr>
                <w:rFonts w:hint="eastAsia"/>
                <w:szCs w:val="21"/>
              </w:rPr>
            </w:pPr>
            <w:r>
              <w:rPr>
                <w:rFonts w:hint="eastAsia"/>
                <w:szCs w:val="21"/>
              </w:rPr>
              <w:t>1.工作主体：周期比价工作由学校后勤保障部授权饮食中心自行组织，每周开展1次蛋类周期比价工作。</w:t>
            </w:r>
          </w:p>
          <w:p w14:paraId="2A27C543">
            <w:pPr>
              <w:widowControl/>
              <w:spacing w:line="360" w:lineRule="exact"/>
              <w:jc w:val="left"/>
              <w:textAlignment w:val="center"/>
              <w:rPr>
                <w:rFonts w:hint="eastAsia"/>
                <w:szCs w:val="21"/>
              </w:rPr>
            </w:pPr>
            <w:r>
              <w:rPr>
                <w:rFonts w:hint="eastAsia"/>
                <w:szCs w:val="21"/>
              </w:rPr>
              <w:t>2.成交供应商的确定：评审时按综合评分排序，前四名为入围供应商；后续各周期成交供应商以比价方式确定。</w:t>
            </w:r>
          </w:p>
          <w:p w14:paraId="23DB9870">
            <w:pPr>
              <w:widowControl/>
              <w:spacing w:line="360" w:lineRule="exact"/>
              <w:jc w:val="left"/>
              <w:textAlignment w:val="center"/>
              <w:rPr>
                <w:rFonts w:hint="eastAsia"/>
                <w:szCs w:val="21"/>
              </w:rPr>
            </w:pPr>
            <w:r>
              <w:rPr>
                <w:rFonts w:hint="eastAsia"/>
                <w:szCs w:val="21"/>
              </w:rPr>
              <w:t>入围供应商根据</w:t>
            </w:r>
            <w:r>
              <w:rPr>
                <w:rFonts w:hint="eastAsia" w:ascii="宋体" w:hAnsi="宋体" w:cs="宋体"/>
                <w:kern w:val="0"/>
                <w:szCs w:val="21"/>
                <w:lang w:bidi="ar"/>
              </w:rPr>
              <w:t>学校后勤保障部</w:t>
            </w:r>
            <w:r>
              <w:rPr>
                <w:rFonts w:hint="eastAsia"/>
                <w:szCs w:val="21"/>
              </w:rPr>
              <w:t>饮食中心提供的周期报价清单（含采购品种、基准价、预估量等），在不超过投标时确定的浮动比例的前提下进行周期报价，总报价最低的为成交供应商，负责本周期配送，第二、三、四名轮空。当第一名配送出现问题时，按照周期报价高低排序确定下一候选供应商为成交供应商，或重新开展比价，报部长办公会审定后签订周期配送合同。</w:t>
            </w:r>
          </w:p>
          <w:p w14:paraId="7E13E07D">
            <w:pPr>
              <w:widowControl/>
              <w:spacing w:line="360" w:lineRule="exact"/>
              <w:jc w:val="left"/>
              <w:textAlignment w:val="center"/>
              <w:rPr>
                <w:rFonts w:hint="eastAsia"/>
                <w:szCs w:val="21"/>
              </w:rPr>
            </w:pPr>
            <w:r>
              <w:rPr>
                <w:rFonts w:hint="eastAsia"/>
                <w:szCs w:val="21"/>
              </w:rPr>
              <w:t>3.周期报价区间计算方式</w:t>
            </w:r>
          </w:p>
          <w:p w14:paraId="0FC05524">
            <w:pPr>
              <w:widowControl/>
              <w:spacing w:line="360" w:lineRule="exact"/>
              <w:jc w:val="left"/>
              <w:textAlignment w:val="center"/>
              <w:rPr>
                <w:rFonts w:hint="eastAsia"/>
                <w:szCs w:val="21"/>
              </w:rPr>
            </w:pPr>
            <w:r>
              <w:rPr>
                <w:rFonts w:hint="eastAsia"/>
                <w:szCs w:val="21"/>
              </w:rPr>
              <w:t>入围供应商周期报价不得超过合同报价区间，否则视为无效报价。报价区间以基准价与投标时所报浮动比例范围（X1～X2）为准，下浮率X1范围：-50%≤X1≤-1%，上浮率X2范围：+1%≤X2≤+5%（X1、X2的比例数字须均为1的整数倍，例如：1%，2%...）。</w:t>
            </w:r>
          </w:p>
          <w:p w14:paraId="087EB1B0">
            <w:pPr>
              <w:widowControl/>
              <w:spacing w:line="360" w:lineRule="exact"/>
              <w:jc w:val="left"/>
              <w:textAlignment w:val="center"/>
              <w:rPr>
                <w:rFonts w:hint="eastAsia"/>
                <w:szCs w:val="21"/>
              </w:rPr>
            </w:pPr>
            <w:r>
              <w:rPr>
                <w:rFonts w:hint="eastAsia"/>
                <w:szCs w:val="21"/>
              </w:rPr>
              <w:t>例：若供应商报价的X1=-10%，X2＝4%，市场调查基准价为2.0元/kg，则供应商的报价区间应在：2.0*（1-10％）＝1.80元/kg至2.0*（1+4％）＝2.08元/kg之间。</w:t>
            </w:r>
          </w:p>
        </w:tc>
      </w:tr>
    </w:tbl>
    <w:p w14:paraId="683D5A86">
      <w:pPr>
        <w:rPr>
          <w:rFonts w:hint="eastAsia"/>
        </w:rPr>
      </w:pPr>
    </w:p>
    <w:p w14:paraId="6863F31A">
      <w:pPr>
        <w:pStyle w:val="4"/>
        <w:rPr>
          <w:rFonts w:hint="eastAsia"/>
        </w:rPr>
      </w:pPr>
      <w:bookmarkStart w:id="5" w:name="_Toc26164"/>
      <w:bookmarkStart w:id="6" w:name="_Toc230177035"/>
      <w:r>
        <w:rPr>
          <w:rFonts w:hint="eastAsia"/>
        </w:rPr>
        <w:t>三、标准要求（以下要求须在“项目要求应答表”中进行应答）</w:t>
      </w:r>
      <w:bookmarkEnd w:id="5"/>
      <w:bookmarkEnd w:id="6"/>
    </w:p>
    <w:tbl>
      <w:tblPr>
        <w:tblStyle w:val="5"/>
        <w:tblW w:w="9610" w:type="dxa"/>
        <w:jc w:val="center"/>
        <w:tblLayout w:type="fixed"/>
        <w:tblCellMar>
          <w:top w:w="0" w:type="dxa"/>
          <w:left w:w="108" w:type="dxa"/>
          <w:bottom w:w="0" w:type="dxa"/>
          <w:right w:w="108" w:type="dxa"/>
        </w:tblCellMar>
      </w:tblPr>
      <w:tblGrid>
        <w:gridCol w:w="714"/>
        <w:gridCol w:w="2667"/>
        <w:gridCol w:w="5149"/>
        <w:gridCol w:w="1080"/>
      </w:tblGrid>
      <w:tr w14:paraId="23657A6D">
        <w:tblPrEx>
          <w:tblCellMar>
            <w:top w:w="0" w:type="dxa"/>
            <w:left w:w="108" w:type="dxa"/>
            <w:bottom w:w="0" w:type="dxa"/>
            <w:right w:w="108" w:type="dxa"/>
          </w:tblCellMar>
        </w:tblPrEx>
        <w:trPr>
          <w:trHeight w:val="540" w:hRule="atLeast"/>
          <w:jc w:val="center"/>
        </w:trPr>
        <w:tc>
          <w:tcPr>
            <w:tcW w:w="714" w:type="dxa"/>
            <w:tcBorders>
              <w:top w:val="single" w:color="000000" w:sz="4" w:space="0"/>
              <w:left w:val="single" w:color="000000" w:sz="4" w:space="0"/>
              <w:bottom w:val="single" w:color="000000" w:sz="4" w:space="0"/>
              <w:right w:val="single" w:color="000000" w:sz="4" w:space="0"/>
            </w:tcBorders>
            <w:noWrap w:val="0"/>
            <w:vAlign w:val="center"/>
          </w:tcPr>
          <w:p w14:paraId="37E5B13B">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包号</w:t>
            </w:r>
          </w:p>
        </w:tc>
        <w:tc>
          <w:tcPr>
            <w:tcW w:w="2667" w:type="dxa"/>
            <w:tcBorders>
              <w:top w:val="single" w:color="000000" w:sz="4" w:space="0"/>
              <w:left w:val="single" w:color="000000" w:sz="4" w:space="0"/>
              <w:bottom w:val="single" w:color="000000" w:sz="4" w:space="0"/>
              <w:right w:val="single" w:color="000000" w:sz="4" w:space="0"/>
            </w:tcBorders>
            <w:noWrap w:val="0"/>
            <w:vAlign w:val="center"/>
          </w:tcPr>
          <w:p w14:paraId="7BCF267F">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品类名称</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29CDC97B">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采购标的须执行的相关标准、规范</w:t>
            </w:r>
          </w:p>
        </w:tc>
        <w:tc>
          <w:tcPr>
            <w:tcW w:w="1080" w:type="dxa"/>
            <w:tcBorders>
              <w:top w:val="single" w:color="000000" w:sz="4" w:space="0"/>
              <w:left w:val="single" w:color="000000" w:sz="4" w:space="0"/>
              <w:bottom w:val="single" w:color="000000" w:sz="4" w:space="0"/>
              <w:right w:val="single" w:color="000000" w:sz="4" w:space="0"/>
            </w:tcBorders>
            <w:noWrap/>
            <w:vAlign w:val="center"/>
          </w:tcPr>
          <w:p w14:paraId="34CB8AAE">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备注</w:t>
            </w:r>
          </w:p>
        </w:tc>
      </w:tr>
      <w:tr w14:paraId="15D7894F">
        <w:tblPrEx>
          <w:tblCellMar>
            <w:top w:w="0" w:type="dxa"/>
            <w:left w:w="108" w:type="dxa"/>
            <w:bottom w:w="0" w:type="dxa"/>
            <w:right w:w="108" w:type="dxa"/>
          </w:tblCellMar>
        </w:tblPrEx>
        <w:trPr>
          <w:trHeight w:val="405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54EB5FB2">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01包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06D7F6CF">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大米</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02539697">
            <w:pPr>
              <w:widowControl/>
              <w:spacing w:line="360" w:lineRule="exact"/>
              <w:jc w:val="left"/>
              <w:textAlignment w:val="center"/>
              <w:rPr>
                <w:rFonts w:hint="eastAsia" w:ascii="宋体" w:hAnsi="宋体" w:cs="宋体"/>
                <w:szCs w:val="21"/>
              </w:rPr>
            </w:pPr>
            <w:r>
              <w:rPr>
                <w:rFonts w:hint="eastAsia" w:ascii="宋体" w:hAnsi="宋体" w:cs="宋体"/>
                <w:szCs w:val="21"/>
              </w:rPr>
              <w:t>1.GB/T 1354-2018《大米》</w:t>
            </w:r>
          </w:p>
          <w:p w14:paraId="63AB227A">
            <w:pPr>
              <w:widowControl/>
              <w:spacing w:line="360" w:lineRule="exact"/>
              <w:jc w:val="left"/>
              <w:textAlignment w:val="center"/>
              <w:rPr>
                <w:rFonts w:hint="eastAsia" w:ascii="宋体" w:hAnsi="宋体" w:cs="宋体"/>
                <w:szCs w:val="21"/>
              </w:rPr>
            </w:pPr>
            <w:r>
              <w:rPr>
                <w:rFonts w:hint="eastAsia" w:ascii="宋体" w:hAnsi="宋体" w:cs="宋体"/>
                <w:szCs w:val="21"/>
              </w:rPr>
              <w:t>2.GB 2715-2016《食品安全国家标准粮食》</w:t>
            </w:r>
          </w:p>
          <w:p w14:paraId="792FBB47">
            <w:pPr>
              <w:widowControl/>
              <w:spacing w:line="360" w:lineRule="exact"/>
              <w:jc w:val="left"/>
              <w:textAlignment w:val="center"/>
              <w:rPr>
                <w:rFonts w:hint="eastAsia" w:ascii="宋体" w:hAnsi="宋体" w:cs="宋体"/>
                <w:szCs w:val="21"/>
              </w:rPr>
            </w:pPr>
            <w:r>
              <w:rPr>
                <w:rFonts w:hint="eastAsia" w:ascii="宋体" w:hAnsi="宋体" w:cs="宋体"/>
                <w:szCs w:val="21"/>
              </w:rPr>
              <w:t>3.GB 2760-2024《食品安全国家标准食品添加剂使用标准》</w:t>
            </w:r>
          </w:p>
          <w:p w14:paraId="4389E611">
            <w:pPr>
              <w:widowControl/>
              <w:spacing w:line="360" w:lineRule="exact"/>
              <w:jc w:val="left"/>
              <w:textAlignment w:val="center"/>
              <w:rPr>
                <w:rFonts w:hint="eastAsia" w:ascii="宋体" w:hAnsi="宋体" w:cs="宋体"/>
                <w:szCs w:val="21"/>
              </w:rPr>
            </w:pPr>
            <w:r>
              <w:rPr>
                <w:rFonts w:hint="eastAsia" w:ascii="宋体" w:hAnsi="宋体" w:cs="宋体"/>
                <w:szCs w:val="21"/>
              </w:rPr>
              <w:t>4.GB 2762-2022《食品安全国家标准食品中污染物限量（含第1号修改单）》</w:t>
            </w:r>
          </w:p>
          <w:p w14:paraId="6C3BEF24">
            <w:pPr>
              <w:widowControl/>
              <w:spacing w:line="360" w:lineRule="exact"/>
              <w:jc w:val="left"/>
              <w:textAlignment w:val="center"/>
              <w:rPr>
                <w:rFonts w:hint="eastAsia" w:ascii="宋体" w:hAnsi="宋体" w:cs="宋体"/>
                <w:szCs w:val="21"/>
              </w:rPr>
            </w:pPr>
            <w:r>
              <w:rPr>
                <w:rFonts w:hint="eastAsia" w:ascii="宋体" w:hAnsi="宋体" w:cs="宋体"/>
                <w:szCs w:val="21"/>
              </w:rPr>
              <w:t>5.GB 2763-2026《食品安全国家标准食品中农药最大残留限量》</w:t>
            </w:r>
          </w:p>
          <w:p w14:paraId="5A7BA578">
            <w:pPr>
              <w:widowControl/>
              <w:spacing w:line="360" w:lineRule="exact"/>
              <w:jc w:val="left"/>
              <w:textAlignment w:val="center"/>
              <w:rPr>
                <w:rFonts w:hint="eastAsia" w:ascii="宋体" w:hAnsi="宋体" w:cs="宋体"/>
                <w:szCs w:val="21"/>
              </w:rPr>
            </w:pPr>
            <w:r>
              <w:rPr>
                <w:rFonts w:hint="eastAsia" w:ascii="宋体" w:hAnsi="宋体" w:cs="宋体"/>
                <w:szCs w:val="21"/>
              </w:rPr>
              <w:t>6.GB 7718-2011《食品安全国家标准预包装食品标签通则》</w:t>
            </w:r>
          </w:p>
          <w:p w14:paraId="00C772BF">
            <w:pPr>
              <w:widowControl/>
              <w:spacing w:line="360" w:lineRule="exact"/>
              <w:jc w:val="left"/>
              <w:textAlignment w:val="center"/>
              <w:rPr>
                <w:rFonts w:hint="eastAsia" w:ascii="宋体" w:hAnsi="宋体" w:cs="宋体"/>
                <w:szCs w:val="21"/>
              </w:rPr>
            </w:pPr>
            <w:r>
              <w:rPr>
                <w:rFonts w:hint="eastAsia" w:ascii="宋体" w:hAnsi="宋体" w:cs="宋体"/>
                <w:szCs w:val="21"/>
              </w:rPr>
              <w:t>7.GB 2761-2017《食品安全国家标准食品中真菌毒素限量》</w:t>
            </w:r>
          </w:p>
          <w:p w14:paraId="0A76CA75">
            <w:pPr>
              <w:widowControl/>
              <w:spacing w:line="360" w:lineRule="exact"/>
              <w:jc w:val="left"/>
              <w:textAlignment w:val="center"/>
              <w:rPr>
                <w:rFonts w:hint="eastAsia" w:ascii="宋体" w:hAnsi="宋体" w:cs="宋体"/>
                <w:szCs w:val="21"/>
              </w:rPr>
            </w:pPr>
            <w:r>
              <w:rPr>
                <w:rFonts w:hint="eastAsia" w:ascii="宋体" w:hAnsi="宋体" w:cs="宋体"/>
                <w:szCs w:val="21"/>
              </w:rPr>
              <w:t>8.国家政府部门要求的其他相关标准、规范</w:t>
            </w:r>
          </w:p>
        </w:tc>
        <w:tc>
          <w:tcPr>
            <w:tcW w:w="1080" w:type="dxa"/>
            <w:vMerge w:val="restart"/>
            <w:tcBorders>
              <w:top w:val="single" w:color="000000" w:sz="4" w:space="0"/>
              <w:left w:val="single" w:color="000000" w:sz="4" w:space="0"/>
              <w:bottom w:val="single" w:color="000000" w:sz="4" w:space="0"/>
              <w:right w:val="single" w:color="000000" w:sz="4" w:space="0"/>
            </w:tcBorders>
            <w:noWrap w:val="0"/>
            <w:vAlign w:val="center"/>
          </w:tcPr>
          <w:p w14:paraId="05074581">
            <w:pPr>
              <w:widowControl/>
              <w:spacing w:line="360" w:lineRule="exact"/>
              <w:jc w:val="center"/>
              <w:textAlignment w:val="center"/>
              <w:rPr>
                <w:rFonts w:hint="eastAsia" w:ascii="宋体" w:hAnsi="宋体" w:cs="宋体"/>
                <w:b/>
                <w:bCs/>
                <w:szCs w:val="21"/>
              </w:rPr>
            </w:pPr>
            <w:r>
              <w:rPr>
                <w:rFonts w:hint="eastAsia" w:ascii="宋体" w:hAnsi="宋体" w:cs="宋体"/>
                <w:b/>
                <w:bCs/>
                <w:kern w:val="0"/>
                <w:szCs w:val="21"/>
                <w:lang w:bidi="ar"/>
              </w:rPr>
              <w:t>履约期间，国家、地方或行业相关强制性标准如有更新，自新标准实施之日起执行。</w:t>
            </w:r>
          </w:p>
        </w:tc>
      </w:tr>
      <w:tr w14:paraId="53980F3C">
        <w:tblPrEx>
          <w:tblCellMar>
            <w:top w:w="0" w:type="dxa"/>
            <w:left w:w="108" w:type="dxa"/>
            <w:bottom w:w="0" w:type="dxa"/>
            <w:right w:w="108" w:type="dxa"/>
          </w:tblCellMar>
        </w:tblPrEx>
        <w:trPr>
          <w:trHeight w:val="378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35953BD2">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02包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5DB1C6C0">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食用油</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22BF25CB">
            <w:pPr>
              <w:widowControl/>
              <w:spacing w:line="360" w:lineRule="exact"/>
              <w:jc w:val="left"/>
              <w:textAlignment w:val="center"/>
              <w:rPr>
                <w:rFonts w:hint="eastAsia" w:ascii="宋体" w:hAnsi="宋体" w:cs="宋体"/>
                <w:szCs w:val="21"/>
              </w:rPr>
            </w:pPr>
            <w:r>
              <w:rPr>
                <w:rFonts w:hint="eastAsia" w:ascii="宋体" w:hAnsi="宋体" w:cs="宋体"/>
                <w:szCs w:val="21"/>
              </w:rPr>
              <w:t>1.GB 2716-2018 《食品安全国家标准植物油》</w:t>
            </w:r>
          </w:p>
          <w:p w14:paraId="6A6874E1">
            <w:pPr>
              <w:widowControl/>
              <w:spacing w:line="360" w:lineRule="exact"/>
              <w:jc w:val="left"/>
              <w:textAlignment w:val="center"/>
              <w:rPr>
                <w:rFonts w:hint="eastAsia" w:ascii="宋体" w:hAnsi="宋体" w:cs="宋体"/>
                <w:szCs w:val="21"/>
              </w:rPr>
            </w:pPr>
            <w:r>
              <w:rPr>
                <w:rFonts w:hint="eastAsia" w:ascii="宋体" w:hAnsi="宋体" w:cs="宋体"/>
                <w:szCs w:val="21"/>
              </w:rPr>
              <w:t>2.GB/T 40851-2021《食用调和油》</w:t>
            </w:r>
          </w:p>
          <w:p w14:paraId="4A8A0EBE">
            <w:pPr>
              <w:widowControl/>
              <w:spacing w:line="360" w:lineRule="exact"/>
              <w:jc w:val="left"/>
              <w:textAlignment w:val="center"/>
              <w:rPr>
                <w:rFonts w:hint="eastAsia" w:ascii="宋体" w:hAnsi="宋体" w:cs="宋体"/>
                <w:szCs w:val="21"/>
              </w:rPr>
            </w:pPr>
            <w:r>
              <w:rPr>
                <w:rFonts w:hint="eastAsia" w:ascii="宋体" w:hAnsi="宋体" w:cs="宋体"/>
                <w:szCs w:val="21"/>
              </w:rPr>
              <w:t>3.GB/T 1536-2021 《菜籽油（含第1号修改单）》</w:t>
            </w:r>
          </w:p>
          <w:p w14:paraId="747EC0BC">
            <w:pPr>
              <w:widowControl/>
              <w:spacing w:line="360" w:lineRule="exact"/>
              <w:jc w:val="left"/>
              <w:textAlignment w:val="center"/>
              <w:rPr>
                <w:rFonts w:hint="eastAsia" w:ascii="宋体" w:hAnsi="宋体" w:cs="宋体"/>
                <w:szCs w:val="21"/>
              </w:rPr>
            </w:pPr>
            <w:r>
              <w:rPr>
                <w:rFonts w:hint="eastAsia" w:ascii="宋体" w:hAnsi="宋体" w:cs="宋体"/>
                <w:szCs w:val="21"/>
              </w:rPr>
              <w:t>4.GB 2760-2024《食品安全国家标准食品添加剂使用标准》</w:t>
            </w:r>
          </w:p>
          <w:p w14:paraId="7704357D">
            <w:pPr>
              <w:widowControl/>
              <w:spacing w:line="360" w:lineRule="exact"/>
              <w:jc w:val="left"/>
              <w:textAlignment w:val="center"/>
              <w:rPr>
                <w:rFonts w:hint="eastAsia" w:ascii="宋体" w:hAnsi="宋体" w:cs="宋体"/>
                <w:szCs w:val="21"/>
              </w:rPr>
            </w:pPr>
            <w:r>
              <w:rPr>
                <w:rFonts w:hint="eastAsia" w:ascii="宋体" w:hAnsi="宋体" w:cs="宋体"/>
                <w:szCs w:val="21"/>
              </w:rPr>
              <w:t>5.GB 2762-2022《食品安全国家标准食品中污染物限量（含第1号修改单）》</w:t>
            </w:r>
          </w:p>
          <w:p w14:paraId="1332D982">
            <w:pPr>
              <w:widowControl/>
              <w:spacing w:line="360" w:lineRule="exact"/>
              <w:jc w:val="left"/>
              <w:textAlignment w:val="center"/>
              <w:rPr>
                <w:rFonts w:hint="eastAsia" w:ascii="宋体" w:hAnsi="宋体" w:cs="宋体"/>
                <w:szCs w:val="21"/>
              </w:rPr>
            </w:pPr>
            <w:r>
              <w:rPr>
                <w:rFonts w:hint="eastAsia" w:ascii="宋体" w:hAnsi="宋体" w:cs="宋体"/>
                <w:szCs w:val="21"/>
              </w:rPr>
              <w:t>6.GB 2763-2026《食品安全国家标准食品中农药最大残留限量》</w:t>
            </w:r>
          </w:p>
          <w:p w14:paraId="079DA4F3">
            <w:pPr>
              <w:widowControl/>
              <w:spacing w:line="360" w:lineRule="exact"/>
              <w:jc w:val="left"/>
              <w:textAlignment w:val="center"/>
              <w:rPr>
                <w:rFonts w:hint="eastAsia" w:ascii="宋体" w:hAnsi="宋体" w:cs="宋体"/>
                <w:szCs w:val="21"/>
              </w:rPr>
            </w:pPr>
            <w:r>
              <w:rPr>
                <w:rFonts w:hint="eastAsia" w:ascii="宋体" w:hAnsi="宋体" w:cs="宋体"/>
                <w:szCs w:val="21"/>
              </w:rPr>
              <w:t>7.GB 7718-2011《食品安全国家标准预包装食品标签通则》</w:t>
            </w:r>
          </w:p>
          <w:p w14:paraId="0267D25F">
            <w:pPr>
              <w:widowControl/>
              <w:spacing w:line="360" w:lineRule="exact"/>
              <w:jc w:val="left"/>
              <w:textAlignment w:val="center"/>
              <w:rPr>
                <w:rFonts w:hint="eastAsia" w:ascii="宋体" w:hAnsi="宋体" w:cs="宋体"/>
                <w:szCs w:val="21"/>
              </w:rPr>
            </w:pPr>
            <w:r>
              <w:rPr>
                <w:rFonts w:hint="eastAsia" w:ascii="宋体" w:hAnsi="宋体" w:cs="宋体"/>
                <w:szCs w:val="21"/>
              </w:rPr>
              <w:t>8.GB 2761-2017《食品安全国家标准食品中真菌毒素限量》</w:t>
            </w:r>
          </w:p>
          <w:p w14:paraId="52C35CDA">
            <w:pPr>
              <w:widowControl/>
              <w:spacing w:line="360" w:lineRule="exact"/>
              <w:jc w:val="left"/>
              <w:textAlignment w:val="center"/>
              <w:rPr>
                <w:rFonts w:hint="eastAsia" w:ascii="宋体" w:hAnsi="宋体" w:cs="宋体"/>
                <w:szCs w:val="21"/>
              </w:rPr>
            </w:pPr>
            <w:r>
              <w:rPr>
                <w:rFonts w:hint="eastAsia" w:ascii="宋体" w:hAnsi="宋体" w:cs="宋体"/>
                <w:szCs w:val="21"/>
              </w:rPr>
              <w:t>9.国家政府部门要求的其他相关标准、规范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7DCC9C">
            <w:pPr>
              <w:spacing w:line="360" w:lineRule="exact"/>
              <w:jc w:val="center"/>
              <w:rPr>
                <w:rFonts w:hint="eastAsia" w:ascii="宋体" w:hAnsi="宋体" w:cs="宋体"/>
                <w:szCs w:val="21"/>
              </w:rPr>
            </w:pPr>
          </w:p>
        </w:tc>
      </w:tr>
      <w:tr w14:paraId="3B030B4F">
        <w:tblPrEx>
          <w:tblCellMar>
            <w:top w:w="0" w:type="dxa"/>
            <w:left w:w="108" w:type="dxa"/>
            <w:bottom w:w="0" w:type="dxa"/>
            <w:right w:w="108" w:type="dxa"/>
          </w:tblCellMar>
        </w:tblPrEx>
        <w:trPr>
          <w:trHeight w:val="114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565A0ED6">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03包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0CCF0695">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面粉</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22053AC5">
            <w:pPr>
              <w:widowControl/>
              <w:spacing w:line="360" w:lineRule="exact"/>
              <w:jc w:val="left"/>
              <w:textAlignment w:val="center"/>
              <w:rPr>
                <w:rFonts w:hint="eastAsia" w:ascii="宋体" w:hAnsi="宋体" w:cs="宋体"/>
                <w:szCs w:val="21"/>
              </w:rPr>
            </w:pPr>
            <w:r>
              <w:rPr>
                <w:rFonts w:hint="eastAsia" w:ascii="宋体" w:hAnsi="宋体" w:cs="宋体"/>
                <w:szCs w:val="21"/>
              </w:rPr>
              <w:t>1.GB/T 1355-2021《小麦粉》</w:t>
            </w:r>
          </w:p>
          <w:p w14:paraId="7F24BAEA">
            <w:pPr>
              <w:widowControl/>
              <w:spacing w:line="360" w:lineRule="exact"/>
              <w:jc w:val="left"/>
              <w:textAlignment w:val="center"/>
              <w:rPr>
                <w:rFonts w:hint="eastAsia" w:ascii="宋体" w:hAnsi="宋体" w:cs="宋体"/>
                <w:szCs w:val="21"/>
              </w:rPr>
            </w:pPr>
            <w:r>
              <w:rPr>
                <w:rFonts w:hint="eastAsia" w:ascii="宋体" w:hAnsi="宋体" w:cs="宋体"/>
                <w:szCs w:val="21"/>
              </w:rPr>
              <w:t>2.GB 2715-2016《食品安全国家标准粮食》</w:t>
            </w:r>
          </w:p>
          <w:p w14:paraId="53B2E131">
            <w:pPr>
              <w:widowControl/>
              <w:spacing w:line="360" w:lineRule="exact"/>
              <w:jc w:val="left"/>
              <w:textAlignment w:val="center"/>
              <w:rPr>
                <w:rFonts w:hint="eastAsia" w:ascii="宋体" w:hAnsi="宋体" w:cs="宋体"/>
                <w:szCs w:val="21"/>
              </w:rPr>
            </w:pPr>
            <w:r>
              <w:rPr>
                <w:rFonts w:hint="eastAsia" w:ascii="宋体" w:hAnsi="宋体" w:cs="宋体"/>
                <w:szCs w:val="21"/>
              </w:rPr>
              <w:t>3.GB 2760-2024《食品安全国家标准食品添加剂使用标准》</w:t>
            </w:r>
          </w:p>
          <w:p w14:paraId="1FBD4256">
            <w:pPr>
              <w:widowControl/>
              <w:spacing w:line="360" w:lineRule="exact"/>
              <w:jc w:val="left"/>
              <w:textAlignment w:val="center"/>
              <w:rPr>
                <w:rFonts w:hint="eastAsia" w:ascii="宋体" w:hAnsi="宋体" w:cs="宋体"/>
                <w:szCs w:val="21"/>
              </w:rPr>
            </w:pPr>
            <w:r>
              <w:rPr>
                <w:rFonts w:hint="eastAsia" w:ascii="宋体" w:hAnsi="宋体" w:cs="宋体"/>
                <w:szCs w:val="21"/>
              </w:rPr>
              <w:t>4.GB 7718-2011《食品安全国家标准预包装食品标签通则》</w:t>
            </w:r>
          </w:p>
          <w:p w14:paraId="4115A709">
            <w:pPr>
              <w:widowControl/>
              <w:spacing w:line="360" w:lineRule="exact"/>
              <w:jc w:val="left"/>
              <w:textAlignment w:val="center"/>
              <w:rPr>
                <w:rFonts w:hint="eastAsia" w:ascii="宋体" w:hAnsi="宋体" w:cs="宋体"/>
                <w:szCs w:val="21"/>
              </w:rPr>
            </w:pPr>
            <w:r>
              <w:rPr>
                <w:rFonts w:hint="eastAsia" w:ascii="宋体" w:hAnsi="宋体" w:cs="宋体"/>
                <w:szCs w:val="21"/>
              </w:rPr>
              <w:t>5.GB 2762-2022《食品安全国家标准食品中污染物限量（含第1号修改单）》</w:t>
            </w:r>
          </w:p>
          <w:p w14:paraId="080D9D1E">
            <w:pPr>
              <w:widowControl/>
              <w:spacing w:line="360" w:lineRule="exact"/>
              <w:jc w:val="left"/>
              <w:textAlignment w:val="center"/>
              <w:rPr>
                <w:rFonts w:hint="eastAsia" w:ascii="宋体" w:hAnsi="宋体" w:cs="宋体"/>
                <w:szCs w:val="21"/>
              </w:rPr>
            </w:pPr>
            <w:r>
              <w:rPr>
                <w:rFonts w:hint="eastAsia" w:ascii="宋体" w:hAnsi="宋体" w:cs="宋体"/>
                <w:szCs w:val="21"/>
              </w:rPr>
              <w:t>6.GB 2763-2026《食品安全国家标准食品中农药最大残留限量》</w:t>
            </w:r>
          </w:p>
          <w:p w14:paraId="18ACF7E5">
            <w:pPr>
              <w:widowControl/>
              <w:spacing w:line="360" w:lineRule="exact"/>
              <w:jc w:val="left"/>
              <w:textAlignment w:val="center"/>
              <w:rPr>
                <w:rFonts w:hint="eastAsia" w:ascii="宋体" w:hAnsi="宋体" w:cs="宋体"/>
                <w:szCs w:val="21"/>
              </w:rPr>
            </w:pPr>
            <w:r>
              <w:rPr>
                <w:rFonts w:hint="eastAsia" w:ascii="宋体" w:hAnsi="宋体" w:cs="宋体"/>
                <w:szCs w:val="21"/>
              </w:rPr>
              <w:t>7.GB 2761-2017《食品安全国家标准食品中真菌毒素限量》</w:t>
            </w:r>
          </w:p>
          <w:p w14:paraId="42F970F0">
            <w:pPr>
              <w:widowControl/>
              <w:spacing w:line="360" w:lineRule="exact"/>
              <w:jc w:val="left"/>
              <w:textAlignment w:val="center"/>
              <w:rPr>
                <w:rFonts w:hint="eastAsia" w:ascii="宋体" w:hAnsi="宋体" w:cs="宋体"/>
                <w:szCs w:val="21"/>
              </w:rPr>
            </w:pPr>
            <w:r>
              <w:rPr>
                <w:rFonts w:hint="eastAsia" w:ascii="宋体" w:hAnsi="宋体" w:cs="宋体"/>
                <w:szCs w:val="21"/>
              </w:rPr>
              <w:t>8.国家政府部门要求的其他相关标准、规范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CCE1A6">
            <w:pPr>
              <w:spacing w:line="360" w:lineRule="exact"/>
              <w:jc w:val="center"/>
              <w:rPr>
                <w:rFonts w:hint="eastAsia" w:ascii="宋体" w:hAnsi="宋体" w:cs="宋体"/>
                <w:szCs w:val="21"/>
              </w:rPr>
            </w:pPr>
          </w:p>
        </w:tc>
      </w:tr>
      <w:tr w14:paraId="13332012">
        <w:tblPrEx>
          <w:tblCellMar>
            <w:top w:w="0" w:type="dxa"/>
            <w:left w:w="108" w:type="dxa"/>
            <w:bottom w:w="0" w:type="dxa"/>
            <w:right w:w="108" w:type="dxa"/>
          </w:tblCellMar>
        </w:tblPrEx>
        <w:trPr>
          <w:trHeight w:val="1350" w:hRule="atLeast"/>
          <w:jc w:val="center"/>
        </w:trPr>
        <w:tc>
          <w:tcPr>
            <w:tcW w:w="714" w:type="dxa"/>
            <w:tcBorders>
              <w:top w:val="single" w:color="000000" w:sz="4" w:space="0"/>
              <w:left w:val="single" w:color="000000" w:sz="4" w:space="0"/>
              <w:bottom w:val="single" w:color="000000" w:sz="4" w:space="0"/>
              <w:right w:val="single" w:color="000000" w:sz="4" w:space="0"/>
            </w:tcBorders>
            <w:noWrap/>
            <w:vAlign w:val="center"/>
          </w:tcPr>
          <w:p w14:paraId="538E20FB">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04包</w:t>
            </w:r>
          </w:p>
        </w:tc>
        <w:tc>
          <w:tcPr>
            <w:tcW w:w="2667" w:type="dxa"/>
            <w:tcBorders>
              <w:top w:val="single" w:color="000000" w:sz="4" w:space="0"/>
              <w:left w:val="single" w:color="000000" w:sz="4" w:space="0"/>
              <w:bottom w:val="single" w:color="000000" w:sz="4" w:space="0"/>
              <w:right w:val="single" w:color="000000" w:sz="4" w:space="0"/>
            </w:tcBorders>
            <w:noWrap/>
            <w:vAlign w:val="center"/>
          </w:tcPr>
          <w:p w14:paraId="047096DA">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蛋类</w:t>
            </w:r>
          </w:p>
        </w:tc>
        <w:tc>
          <w:tcPr>
            <w:tcW w:w="5149" w:type="dxa"/>
            <w:tcBorders>
              <w:top w:val="single" w:color="000000" w:sz="4" w:space="0"/>
              <w:left w:val="single" w:color="000000" w:sz="4" w:space="0"/>
              <w:bottom w:val="single" w:color="000000" w:sz="4" w:space="0"/>
              <w:right w:val="single" w:color="000000" w:sz="4" w:space="0"/>
            </w:tcBorders>
            <w:noWrap w:val="0"/>
            <w:vAlign w:val="center"/>
          </w:tcPr>
          <w:p w14:paraId="123C2BA0">
            <w:pPr>
              <w:widowControl/>
              <w:spacing w:line="360" w:lineRule="exact"/>
              <w:jc w:val="left"/>
              <w:textAlignment w:val="center"/>
              <w:rPr>
                <w:rFonts w:hint="eastAsia" w:ascii="宋体" w:hAnsi="宋体" w:cs="宋体"/>
                <w:szCs w:val="21"/>
              </w:rPr>
            </w:pPr>
            <w:r>
              <w:rPr>
                <w:rFonts w:hint="eastAsia" w:ascii="宋体" w:hAnsi="宋体" w:cs="宋体"/>
                <w:szCs w:val="21"/>
              </w:rPr>
              <w:t>1.GB 2762-2022《食品安全国家标准食品中污染物限量（含第1号修改单）》</w:t>
            </w:r>
          </w:p>
          <w:p w14:paraId="58B32332">
            <w:pPr>
              <w:widowControl/>
              <w:spacing w:line="360" w:lineRule="exact"/>
              <w:jc w:val="left"/>
              <w:textAlignment w:val="center"/>
              <w:rPr>
                <w:rFonts w:hint="eastAsia" w:ascii="宋体" w:hAnsi="宋体" w:cs="宋体"/>
                <w:szCs w:val="21"/>
              </w:rPr>
            </w:pPr>
            <w:r>
              <w:rPr>
                <w:rFonts w:hint="eastAsia" w:ascii="宋体" w:hAnsi="宋体" w:cs="宋体"/>
                <w:szCs w:val="21"/>
              </w:rPr>
              <w:t>2.GB 2749-2015《食品安全国家标准蛋与蛋制品》</w:t>
            </w:r>
          </w:p>
          <w:p w14:paraId="0EE2A0AE">
            <w:pPr>
              <w:widowControl/>
              <w:spacing w:line="360" w:lineRule="exact"/>
              <w:jc w:val="left"/>
              <w:textAlignment w:val="center"/>
              <w:rPr>
                <w:rFonts w:hint="eastAsia" w:ascii="宋体" w:hAnsi="宋体" w:cs="宋体"/>
                <w:szCs w:val="21"/>
              </w:rPr>
            </w:pPr>
            <w:r>
              <w:rPr>
                <w:rFonts w:hint="eastAsia" w:ascii="宋体" w:hAnsi="宋体" w:cs="宋体"/>
                <w:szCs w:val="21"/>
              </w:rPr>
              <w:t>3.GB 31650.1-2022 《食品安全国家标准食品中41种兽药最大残留限量》</w:t>
            </w:r>
          </w:p>
          <w:p w14:paraId="2EEC3AF2">
            <w:pPr>
              <w:widowControl/>
              <w:spacing w:line="360" w:lineRule="exact"/>
              <w:jc w:val="left"/>
              <w:textAlignment w:val="center"/>
              <w:rPr>
                <w:rFonts w:hint="eastAsia" w:ascii="宋体" w:hAnsi="宋体" w:cs="宋体"/>
                <w:szCs w:val="21"/>
              </w:rPr>
            </w:pPr>
            <w:r>
              <w:rPr>
                <w:rFonts w:hint="eastAsia" w:ascii="宋体" w:hAnsi="宋体" w:cs="宋体"/>
                <w:szCs w:val="21"/>
              </w:rPr>
              <w:t>4.GB 2763-2026《食品安全国家标准食品中农药最大残留限量》</w:t>
            </w:r>
          </w:p>
          <w:p w14:paraId="33633C5A">
            <w:pPr>
              <w:widowControl/>
              <w:spacing w:line="360" w:lineRule="exact"/>
              <w:jc w:val="left"/>
              <w:textAlignment w:val="center"/>
              <w:rPr>
                <w:rFonts w:hint="eastAsia" w:ascii="宋体" w:hAnsi="宋体" w:cs="宋体"/>
                <w:szCs w:val="21"/>
              </w:rPr>
            </w:pPr>
            <w:r>
              <w:rPr>
                <w:rFonts w:hint="eastAsia" w:ascii="宋体" w:hAnsi="宋体" w:cs="宋体"/>
                <w:szCs w:val="21"/>
              </w:rPr>
              <w:t>5.国家政府部门要求的其他相关标准、规范</w:t>
            </w:r>
          </w:p>
        </w:tc>
        <w:tc>
          <w:tcPr>
            <w:tcW w:w="10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CE57F2">
            <w:pPr>
              <w:spacing w:line="360" w:lineRule="exact"/>
              <w:jc w:val="center"/>
              <w:rPr>
                <w:rFonts w:hint="eastAsia" w:ascii="宋体" w:hAnsi="宋体" w:cs="宋体"/>
                <w:szCs w:val="21"/>
              </w:rPr>
            </w:pPr>
          </w:p>
        </w:tc>
      </w:tr>
    </w:tbl>
    <w:p w14:paraId="6B858CAB">
      <w:pPr>
        <w:rPr>
          <w:rFonts w:hint="eastAsia"/>
        </w:rPr>
      </w:pPr>
      <w:bookmarkStart w:id="7" w:name="_Toc230177036"/>
    </w:p>
    <w:p w14:paraId="2142A6B7">
      <w:pPr>
        <w:pStyle w:val="4"/>
        <w:rPr>
          <w:rFonts w:hint="eastAsia"/>
        </w:rPr>
      </w:pPr>
      <w:bookmarkStart w:id="8" w:name="_Toc26118"/>
      <w:r>
        <w:rPr>
          <w:rFonts w:hint="eastAsia"/>
        </w:rPr>
        <w:t>四、人员管理要求（以下要求须在“项目要求应答表”中进行应答）</w:t>
      </w:r>
      <w:bookmarkEnd w:id="7"/>
      <w:bookmarkEnd w:id="8"/>
    </w:p>
    <w:tbl>
      <w:tblPr>
        <w:tblStyle w:val="5"/>
        <w:tblW w:w="99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59"/>
        <w:gridCol w:w="7609"/>
      </w:tblGrid>
      <w:tr w14:paraId="46CDF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36DCE66F">
            <w:pPr>
              <w:widowControl/>
              <w:jc w:val="center"/>
              <w:textAlignment w:val="center"/>
              <w:rPr>
                <w:rFonts w:hint="eastAsia"/>
                <w:b/>
                <w:bCs/>
                <w:szCs w:val="21"/>
              </w:rPr>
            </w:pPr>
            <w:r>
              <w:rPr>
                <w:rFonts w:hint="eastAsia" w:ascii="宋体" w:hAnsi="宋体" w:cs="宋体"/>
                <w:b/>
                <w:bCs/>
                <w:kern w:val="0"/>
                <w:szCs w:val="21"/>
                <w:lang w:bidi="ar"/>
              </w:rPr>
              <w:t>包号</w:t>
            </w:r>
          </w:p>
        </w:tc>
        <w:tc>
          <w:tcPr>
            <w:tcW w:w="1459" w:type="dxa"/>
            <w:noWrap w:val="0"/>
            <w:vAlign w:val="center"/>
          </w:tcPr>
          <w:p w14:paraId="1B5426C9">
            <w:pPr>
              <w:widowControl/>
              <w:jc w:val="center"/>
              <w:textAlignment w:val="center"/>
              <w:rPr>
                <w:rFonts w:hint="eastAsia"/>
                <w:b/>
                <w:bCs/>
                <w:szCs w:val="21"/>
              </w:rPr>
            </w:pPr>
            <w:r>
              <w:rPr>
                <w:rFonts w:hint="eastAsia" w:ascii="宋体" w:hAnsi="宋体" w:cs="宋体"/>
                <w:b/>
                <w:bCs/>
                <w:kern w:val="0"/>
                <w:szCs w:val="21"/>
                <w:lang w:bidi="ar"/>
              </w:rPr>
              <w:t>品类名称</w:t>
            </w:r>
          </w:p>
        </w:tc>
        <w:tc>
          <w:tcPr>
            <w:tcW w:w="7609" w:type="dxa"/>
            <w:noWrap w:val="0"/>
            <w:vAlign w:val="center"/>
          </w:tcPr>
          <w:p w14:paraId="12B06E99">
            <w:pPr>
              <w:widowControl/>
              <w:jc w:val="center"/>
              <w:textAlignment w:val="center"/>
              <w:rPr>
                <w:rFonts w:hint="eastAsia"/>
                <w:b/>
                <w:bCs/>
                <w:szCs w:val="21"/>
              </w:rPr>
            </w:pPr>
            <w:r>
              <w:rPr>
                <w:rFonts w:hint="eastAsia" w:ascii="宋体" w:hAnsi="宋体" w:cs="宋体"/>
                <w:b/>
                <w:bCs/>
                <w:kern w:val="0"/>
                <w:szCs w:val="21"/>
                <w:lang w:bidi="ar"/>
              </w:rPr>
              <w:t>人员管理要求</w:t>
            </w:r>
          </w:p>
        </w:tc>
      </w:tr>
      <w:tr w14:paraId="31280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31F4633">
            <w:pPr>
              <w:widowControl/>
              <w:jc w:val="center"/>
              <w:textAlignment w:val="center"/>
              <w:rPr>
                <w:rFonts w:hint="eastAsia"/>
                <w:szCs w:val="21"/>
              </w:rPr>
            </w:pPr>
            <w:r>
              <w:rPr>
                <w:rFonts w:hint="eastAsia" w:ascii="宋体" w:hAnsi="宋体" w:cs="宋体"/>
                <w:kern w:val="0"/>
                <w:szCs w:val="21"/>
                <w:lang w:bidi="ar"/>
              </w:rPr>
              <w:t>01包</w:t>
            </w:r>
          </w:p>
        </w:tc>
        <w:tc>
          <w:tcPr>
            <w:tcW w:w="1459" w:type="dxa"/>
            <w:noWrap w:val="0"/>
            <w:vAlign w:val="center"/>
          </w:tcPr>
          <w:p w14:paraId="350BD11C">
            <w:pPr>
              <w:widowControl/>
              <w:jc w:val="center"/>
              <w:textAlignment w:val="center"/>
              <w:rPr>
                <w:rFonts w:hint="eastAsia"/>
                <w:szCs w:val="21"/>
              </w:rPr>
            </w:pPr>
            <w:r>
              <w:rPr>
                <w:rFonts w:hint="eastAsia" w:ascii="宋体" w:hAnsi="宋体" w:cs="宋体"/>
                <w:kern w:val="0"/>
                <w:szCs w:val="21"/>
                <w:lang w:bidi="ar"/>
              </w:rPr>
              <w:t>大米</w:t>
            </w:r>
          </w:p>
        </w:tc>
        <w:tc>
          <w:tcPr>
            <w:tcW w:w="7609" w:type="dxa"/>
            <w:noWrap w:val="0"/>
            <w:vAlign w:val="center"/>
          </w:tcPr>
          <w:p w14:paraId="02FD404A">
            <w:pPr>
              <w:widowControl/>
              <w:spacing w:line="360" w:lineRule="exact"/>
              <w:jc w:val="left"/>
              <w:textAlignment w:val="center"/>
              <w:rPr>
                <w:rFonts w:hint="eastAsia"/>
                <w:szCs w:val="21"/>
              </w:rPr>
            </w:pPr>
            <w:r>
              <w:rPr>
                <w:rFonts w:hint="eastAsia"/>
                <w:szCs w:val="21"/>
              </w:rPr>
              <w:t>1.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5B2EBD28">
            <w:pPr>
              <w:widowControl/>
              <w:spacing w:line="360" w:lineRule="exact"/>
              <w:jc w:val="left"/>
              <w:textAlignment w:val="center"/>
              <w:rPr>
                <w:rFonts w:hint="eastAsia"/>
                <w:b/>
                <w:bCs/>
                <w:szCs w:val="21"/>
              </w:rPr>
            </w:pPr>
            <w:r>
              <w:rPr>
                <w:rFonts w:hint="eastAsia"/>
                <w:b/>
                <w:bCs/>
                <w:szCs w:val="21"/>
              </w:rPr>
              <w:t>注：供应商须提供该管理人员的身份证复印件，并同时提供该人员与投标人有效的劳动关系证明，劳动关系证明材料不作具体限制，复印件均需加盖供应商公章。</w:t>
            </w:r>
          </w:p>
          <w:p w14:paraId="2F3F04E0">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r w14:paraId="63EAF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AB8AA66">
            <w:pPr>
              <w:widowControl/>
              <w:jc w:val="center"/>
              <w:textAlignment w:val="center"/>
              <w:rPr>
                <w:rFonts w:hint="eastAsia"/>
                <w:szCs w:val="21"/>
              </w:rPr>
            </w:pPr>
            <w:r>
              <w:rPr>
                <w:rFonts w:hint="eastAsia" w:ascii="宋体" w:hAnsi="宋体" w:cs="宋体"/>
                <w:kern w:val="0"/>
                <w:szCs w:val="21"/>
                <w:lang w:bidi="ar"/>
              </w:rPr>
              <w:t>02包</w:t>
            </w:r>
          </w:p>
        </w:tc>
        <w:tc>
          <w:tcPr>
            <w:tcW w:w="1459" w:type="dxa"/>
            <w:noWrap w:val="0"/>
            <w:vAlign w:val="center"/>
          </w:tcPr>
          <w:p w14:paraId="14758CCE">
            <w:pPr>
              <w:widowControl/>
              <w:jc w:val="center"/>
              <w:textAlignment w:val="center"/>
              <w:rPr>
                <w:rFonts w:hint="eastAsia"/>
                <w:szCs w:val="21"/>
              </w:rPr>
            </w:pPr>
            <w:r>
              <w:rPr>
                <w:rFonts w:hint="eastAsia" w:ascii="宋体" w:hAnsi="宋体" w:cs="宋体"/>
                <w:kern w:val="0"/>
                <w:szCs w:val="21"/>
                <w:lang w:bidi="ar"/>
              </w:rPr>
              <w:t>食用油</w:t>
            </w:r>
          </w:p>
        </w:tc>
        <w:tc>
          <w:tcPr>
            <w:tcW w:w="7609" w:type="dxa"/>
            <w:noWrap w:val="0"/>
            <w:vAlign w:val="center"/>
          </w:tcPr>
          <w:p w14:paraId="73F54F80">
            <w:pPr>
              <w:widowControl/>
              <w:spacing w:line="360" w:lineRule="exact"/>
              <w:jc w:val="left"/>
              <w:textAlignment w:val="center"/>
              <w:rPr>
                <w:rFonts w:hint="eastAsia"/>
                <w:szCs w:val="21"/>
              </w:rPr>
            </w:pPr>
            <w:r>
              <w:rPr>
                <w:rFonts w:hint="eastAsia"/>
                <w:szCs w:val="21"/>
              </w:rPr>
              <w:t>1.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4D1A78CB">
            <w:pPr>
              <w:widowControl/>
              <w:spacing w:line="360" w:lineRule="exact"/>
              <w:jc w:val="left"/>
              <w:textAlignment w:val="center"/>
              <w:rPr>
                <w:rFonts w:hint="eastAsia"/>
                <w:b/>
                <w:bCs/>
                <w:szCs w:val="21"/>
              </w:rPr>
            </w:pPr>
            <w:r>
              <w:rPr>
                <w:rFonts w:hint="eastAsia"/>
                <w:b/>
                <w:bCs/>
                <w:szCs w:val="21"/>
              </w:rPr>
              <w:t>注：供应商须提供该管理人员的身份证复印件，并同时提供该人员与投标人有效的劳动关系证明，劳动关系证明材料不作具体限制，复印件均需加盖供应商公章。</w:t>
            </w:r>
          </w:p>
          <w:p w14:paraId="5A8674B9">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r w14:paraId="3F399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170C11C">
            <w:pPr>
              <w:widowControl/>
              <w:jc w:val="center"/>
              <w:textAlignment w:val="center"/>
              <w:rPr>
                <w:rFonts w:hint="eastAsia"/>
                <w:szCs w:val="21"/>
              </w:rPr>
            </w:pPr>
            <w:r>
              <w:rPr>
                <w:rFonts w:hint="eastAsia" w:ascii="宋体" w:hAnsi="宋体" w:cs="宋体"/>
                <w:kern w:val="0"/>
                <w:szCs w:val="21"/>
                <w:lang w:bidi="ar"/>
              </w:rPr>
              <w:t>03包</w:t>
            </w:r>
          </w:p>
        </w:tc>
        <w:tc>
          <w:tcPr>
            <w:tcW w:w="1459" w:type="dxa"/>
            <w:noWrap w:val="0"/>
            <w:vAlign w:val="center"/>
          </w:tcPr>
          <w:p w14:paraId="71CC06BB">
            <w:pPr>
              <w:widowControl/>
              <w:jc w:val="center"/>
              <w:textAlignment w:val="center"/>
              <w:rPr>
                <w:rFonts w:hint="eastAsia"/>
                <w:szCs w:val="21"/>
              </w:rPr>
            </w:pPr>
            <w:r>
              <w:rPr>
                <w:rFonts w:hint="eastAsia" w:ascii="宋体" w:hAnsi="宋体" w:cs="宋体"/>
                <w:kern w:val="0"/>
                <w:szCs w:val="21"/>
                <w:lang w:bidi="ar"/>
              </w:rPr>
              <w:t>面粉</w:t>
            </w:r>
          </w:p>
        </w:tc>
        <w:tc>
          <w:tcPr>
            <w:tcW w:w="7609" w:type="dxa"/>
            <w:noWrap w:val="0"/>
            <w:vAlign w:val="center"/>
          </w:tcPr>
          <w:p w14:paraId="76666B85">
            <w:pPr>
              <w:widowControl/>
              <w:spacing w:line="360" w:lineRule="exact"/>
              <w:jc w:val="left"/>
              <w:textAlignment w:val="center"/>
              <w:rPr>
                <w:rFonts w:hint="eastAsia"/>
                <w:szCs w:val="21"/>
              </w:rPr>
            </w:pPr>
            <w:r>
              <w:rPr>
                <w:rFonts w:hint="eastAsia"/>
                <w:szCs w:val="21"/>
              </w:rPr>
              <w:t>1.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2CFFC5C7">
            <w:pPr>
              <w:widowControl/>
              <w:spacing w:line="360" w:lineRule="exact"/>
              <w:jc w:val="left"/>
              <w:textAlignment w:val="center"/>
              <w:rPr>
                <w:rFonts w:hint="eastAsia"/>
                <w:b/>
                <w:bCs/>
                <w:szCs w:val="21"/>
              </w:rPr>
            </w:pPr>
            <w:r>
              <w:rPr>
                <w:rFonts w:hint="eastAsia"/>
                <w:b/>
                <w:bCs/>
                <w:szCs w:val="21"/>
              </w:rPr>
              <w:t>注：供应商须提供该管理人员的身份证复印件，并同时提供该人员与投标人有效的劳动关系证明，劳动关系证明材料不作具体限制，复印件均需加盖供应商公章。</w:t>
            </w:r>
          </w:p>
          <w:p w14:paraId="43EE9D1B">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r w14:paraId="70A90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37D73B3">
            <w:pPr>
              <w:widowControl/>
              <w:jc w:val="center"/>
              <w:textAlignment w:val="center"/>
              <w:rPr>
                <w:rFonts w:hint="eastAsia"/>
                <w:szCs w:val="21"/>
              </w:rPr>
            </w:pPr>
            <w:r>
              <w:rPr>
                <w:rFonts w:hint="eastAsia" w:ascii="宋体" w:hAnsi="宋体" w:cs="宋体"/>
                <w:kern w:val="0"/>
                <w:szCs w:val="21"/>
                <w:lang w:bidi="ar"/>
              </w:rPr>
              <w:t>04包</w:t>
            </w:r>
          </w:p>
        </w:tc>
        <w:tc>
          <w:tcPr>
            <w:tcW w:w="1459" w:type="dxa"/>
            <w:noWrap w:val="0"/>
            <w:vAlign w:val="center"/>
          </w:tcPr>
          <w:p w14:paraId="33256347">
            <w:pPr>
              <w:widowControl/>
              <w:jc w:val="center"/>
              <w:textAlignment w:val="center"/>
              <w:rPr>
                <w:rFonts w:hint="eastAsia"/>
                <w:szCs w:val="21"/>
              </w:rPr>
            </w:pPr>
            <w:r>
              <w:rPr>
                <w:rFonts w:hint="eastAsia" w:ascii="宋体" w:hAnsi="宋体" w:cs="宋体"/>
                <w:kern w:val="0"/>
                <w:szCs w:val="21"/>
                <w:lang w:bidi="ar"/>
              </w:rPr>
              <w:t>蛋类</w:t>
            </w:r>
          </w:p>
        </w:tc>
        <w:tc>
          <w:tcPr>
            <w:tcW w:w="7609" w:type="dxa"/>
            <w:noWrap w:val="0"/>
            <w:vAlign w:val="center"/>
          </w:tcPr>
          <w:p w14:paraId="0A526A8C">
            <w:pPr>
              <w:widowControl/>
              <w:spacing w:line="360" w:lineRule="exact"/>
              <w:jc w:val="left"/>
              <w:textAlignment w:val="center"/>
              <w:rPr>
                <w:rFonts w:hint="eastAsia"/>
                <w:szCs w:val="21"/>
              </w:rPr>
            </w:pPr>
            <w:r>
              <w:rPr>
                <w:rFonts w:hint="eastAsia"/>
                <w:szCs w:val="21"/>
              </w:rPr>
              <w:t>1.中标人须为本项目配置专职管理人员，负责与采购人就合同执行相关工作进行对接；该人员须为其本单位人员，且应与投标时提供服务方案中所拟派的管理人员保持一致。若在服务期限内需要更换本项目的管理人员，须提前向采购人进行报备，并将更换人员的信息资料在采购人处进行备案。更换后的管理人员同样须为中标人的本单位人员。若中标人擅自更换管理人员，或实际参与项目的管理人员并非中标人的本单位人员，一经查实，按采购合同相关要求处理。</w:t>
            </w:r>
          </w:p>
          <w:p w14:paraId="7A615A69">
            <w:pPr>
              <w:widowControl/>
              <w:spacing w:line="360" w:lineRule="exact"/>
              <w:jc w:val="left"/>
              <w:textAlignment w:val="center"/>
              <w:rPr>
                <w:rFonts w:hint="eastAsia"/>
                <w:b/>
                <w:bCs/>
                <w:szCs w:val="21"/>
              </w:rPr>
            </w:pPr>
            <w:r>
              <w:rPr>
                <w:rFonts w:hint="eastAsia"/>
                <w:b/>
                <w:bCs/>
                <w:szCs w:val="21"/>
              </w:rPr>
              <w:t>注：供应商须提供该管理人员的身份证复印件，并同时提供该人员与投标人有效的劳动关系证明，劳动关系证明材料不作具体限制，复印件均需加盖供应商公章。</w:t>
            </w:r>
          </w:p>
          <w:p w14:paraId="20317ECF">
            <w:pPr>
              <w:widowControl/>
              <w:spacing w:line="360" w:lineRule="exact"/>
              <w:jc w:val="left"/>
              <w:textAlignment w:val="center"/>
              <w:rPr>
                <w:rFonts w:hint="eastAsia"/>
                <w:szCs w:val="21"/>
              </w:rPr>
            </w:pPr>
            <w:r>
              <w:rPr>
                <w:rFonts w:hint="eastAsia"/>
                <w:szCs w:val="21"/>
              </w:rPr>
              <w:t>2.中标人派遣的配送人员（含驾驶员）需持有健康证明。</w:t>
            </w:r>
            <w:r>
              <w:rPr>
                <w:rFonts w:hint="eastAsia"/>
                <w:b/>
                <w:bCs/>
                <w:szCs w:val="21"/>
              </w:rPr>
              <w:t>在中标后，合同签订之前，向采购人提供与健康证明相关的材料复印件（加盖供应商公章）备案。</w:t>
            </w:r>
          </w:p>
        </w:tc>
      </w:tr>
    </w:tbl>
    <w:p w14:paraId="584BEB3A">
      <w:pPr>
        <w:rPr>
          <w:rFonts w:hint="eastAsia"/>
        </w:rPr>
      </w:pPr>
    </w:p>
    <w:p w14:paraId="17DE4C13">
      <w:pPr>
        <w:pStyle w:val="4"/>
        <w:rPr>
          <w:rFonts w:hint="eastAsia"/>
        </w:rPr>
      </w:pPr>
      <w:bookmarkStart w:id="9" w:name="_Toc20973"/>
      <w:bookmarkStart w:id="10" w:name="_Toc230177037"/>
      <w:r>
        <w:rPr>
          <w:rFonts w:hint="eastAsia"/>
        </w:rPr>
        <w:t>五、配送要求（以下要求须在“项目要求应答表”中进行应答）</w:t>
      </w:r>
      <w:bookmarkEnd w:id="9"/>
      <w:bookmarkEnd w:id="10"/>
    </w:p>
    <w:tbl>
      <w:tblPr>
        <w:tblStyle w:val="5"/>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32"/>
        <w:gridCol w:w="1432"/>
        <w:gridCol w:w="6231"/>
      </w:tblGrid>
      <w:tr w14:paraId="7F4C3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4B452ACD">
            <w:pPr>
              <w:widowControl/>
              <w:jc w:val="center"/>
              <w:textAlignment w:val="center"/>
              <w:rPr>
                <w:rFonts w:hint="eastAsia"/>
                <w:b/>
                <w:bCs/>
                <w:szCs w:val="21"/>
              </w:rPr>
            </w:pPr>
            <w:r>
              <w:rPr>
                <w:rFonts w:hint="eastAsia" w:ascii="宋体" w:hAnsi="宋体" w:cs="宋体"/>
                <w:b/>
                <w:bCs/>
                <w:kern w:val="0"/>
                <w:szCs w:val="21"/>
                <w:lang w:bidi="ar"/>
              </w:rPr>
              <w:t>包号</w:t>
            </w:r>
          </w:p>
        </w:tc>
        <w:tc>
          <w:tcPr>
            <w:tcW w:w="1432" w:type="dxa"/>
            <w:noWrap w:val="0"/>
            <w:vAlign w:val="center"/>
          </w:tcPr>
          <w:p w14:paraId="1CA56362">
            <w:pPr>
              <w:widowControl/>
              <w:jc w:val="center"/>
              <w:textAlignment w:val="center"/>
              <w:rPr>
                <w:rFonts w:hint="eastAsia"/>
                <w:b/>
                <w:bCs/>
                <w:szCs w:val="21"/>
              </w:rPr>
            </w:pPr>
            <w:r>
              <w:rPr>
                <w:rFonts w:hint="eastAsia" w:ascii="宋体" w:hAnsi="宋体" w:cs="宋体"/>
                <w:b/>
                <w:bCs/>
                <w:kern w:val="0"/>
                <w:szCs w:val="21"/>
                <w:lang w:bidi="ar"/>
              </w:rPr>
              <w:t>品类名称</w:t>
            </w:r>
          </w:p>
        </w:tc>
        <w:tc>
          <w:tcPr>
            <w:tcW w:w="1432" w:type="dxa"/>
            <w:noWrap w:val="0"/>
            <w:vAlign w:val="center"/>
          </w:tcPr>
          <w:p w14:paraId="6D789916">
            <w:pPr>
              <w:widowControl/>
              <w:jc w:val="center"/>
              <w:textAlignment w:val="center"/>
              <w:rPr>
                <w:rFonts w:hint="eastAsia"/>
                <w:b/>
                <w:bCs/>
                <w:szCs w:val="21"/>
              </w:rPr>
            </w:pPr>
            <w:r>
              <w:rPr>
                <w:rFonts w:hint="eastAsia" w:ascii="宋体" w:hAnsi="宋体" w:cs="宋体"/>
                <w:b/>
                <w:bCs/>
                <w:kern w:val="0"/>
                <w:szCs w:val="21"/>
                <w:lang w:bidi="ar"/>
              </w:rPr>
              <w:t>要求</w:t>
            </w:r>
          </w:p>
        </w:tc>
        <w:tc>
          <w:tcPr>
            <w:tcW w:w="6231" w:type="dxa"/>
            <w:noWrap w:val="0"/>
            <w:vAlign w:val="center"/>
          </w:tcPr>
          <w:p w14:paraId="1DE90C5C">
            <w:pPr>
              <w:widowControl/>
              <w:jc w:val="center"/>
              <w:textAlignment w:val="center"/>
              <w:rPr>
                <w:rFonts w:hint="eastAsia"/>
                <w:b/>
                <w:bCs/>
                <w:szCs w:val="21"/>
              </w:rPr>
            </w:pPr>
            <w:r>
              <w:rPr>
                <w:rFonts w:hint="eastAsia" w:ascii="宋体" w:hAnsi="宋体" w:cs="宋体"/>
                <w:b/>
                <w:bCs/>
                <w:kern w:val="0"/>
                <w:szCs w:val="21"/>
                <w:lang w:bidi="ar"/>
              </w:rPr>
              <w:t>具体要求</w:t>
            </w:r>
          </w:p>
        </w:tc>
      </w:tr>
      <w:tr w14:paraId="2C3E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34DC653D">
            <w:pPr>
              <w:widowControl/>
              <w:jc w:val="center"/>
              <w:textAlignment w:val="center"/>
              <w:rPr>
                <w:rFonts w:hint="eastAsia"/>
                <w:szCs w:val="21"/>
              </w:rPr>
            </w:pPr>
            <w:r>
              <w:rPr>
                <w:rFonts w:hint="eastAsia" w:ascii="宋体" w:hAnsi="宋体" w:cs="宋体"/>
                <w:kern w:val="0"/>
                <w:szCs w:val="21"/>
                <w:lang w:bidi="ar"/>
              </w:rPr>
              <w:t>01包</w:t>
            </w:r>
          </w:p>
        </w:tc>
        <w:tc>
          <w:tcPr>
            <w:tcW w:w="1432" w:type="dxa"/>
            <w:vMerge w:val="restart"/>
            <w:noWrap w:val="0"/>
            <w:vAlign w:val="center"/>
          </w:tcPr>
          <w:p w14:paraId="7B5A7B3F">
            <w:pPr>
              <w:widowControl/>
              <w:jc w:val="center"/>
              <w:textAlignment w:val="center"/>
              <w:rPr>
                <w:rFonts w:hint="eastAsia"/>
                <w:szCs w:val="21"/>
              </w:rPr>
            </w:pPr>
            <w:r>
              <w:rPr>
                <w:rFonts w:hint="eastAsia" w:ascii="宋体" w:hAnsi="宋体" w:cs="宋体"/>
                <w:kern w:val="0"/>
                <w:szCs w:val="21"/>
                <w:lang w:bidi="ar"/>
              </w:rPr>
              <w:t>大米</w:t>
            </w:r>
          </w:p>
        </w:tc>
        <w:tc>
          <w:tcPr>
            <w:tcW w:w="1432" w:type="dxa"/>
            <w:noWrap w:val="0"/>
            <w:vAlign w:val="center"/>
          </w:tcPr>
          <w:p w14:paraId="4DE5DAB4">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6295BCF2">
            <w:pPr>
              <w:widowControl/>
              <w:spacing w:line="360" w:lineRule="exact"/>
              <w:jc w:val="left"/>
              <w:textAlignment w:val="center"/>
              <w:rPr>
                <w:rFonts w:hint="eastAsia"/>
                <w:szCs w:val="21"/>
              </w:rPr>
            </w:pPr>
            <w:r>
              <w:rPr>
                <w:rFonts w:hint="eastAsia"/>
                <w:szCs w:val="21"/>
              </w:rPr>
              <w:t>（1）所送货物须符合国家、地方或行业相关强制性标准及相关法律法规要求，确保货物在保质期内配送。运输配送过程中防止交叉污染，运送时控温防潮，符合存储要求，包装标签符合国家规定。履约期间，国家、地方或行业相关强制性标准如有更新，按新标准实施之日起执行。若标准提高，中标人须提供符合新标准的货物；若原产品被淘汰，双方协商替换为不低于原品质且符合新标准的货物。</w:t>
            </w:r>
          </w:p>
          <w:p w14:paraId="18C76CCF">
            <w:pPr>
              <w:widowControl/>
              <w:spacing w:line="360" w:lineRule="exact"/>
              <w:jc w:val="left"/>
              <w:textAlignment w:val="center"/>
              <w:rPr>
                <w:rFonts w:hint="eastAsia"/>
                <w:szCs w:val="21"/>
              </w:rPr>
            </w:pPr>
            <w:r>
              <w:rPr>
                <w:rFonts w:hint="eastAsia"/>
                <w:szCs w:val="21"/>
              </w:rPr>
              <w:t>（2）所送大米为新米，禁止使用陈化粮或掺入其他品种大米。不得超范围、超限量使用食品添加剂。采购人有权对大米的真菌毒素指标、重金属残留等进行抽检，抽检费用由采购人承担；抽检不合格的，</w:t>
            </w:r>
            <w:r>
              <w:rPr>
                <w:rFonts w:hint="eastAsia" w:ascii="宋体" w:hAnsi="宋体" w:cs="宋体"/>
                <w:kern w:val="0"/>
                <w:szCs w:val="21"/>
                <w:lang w:bidi="ar"/>
              </w:rPr>
              <w:t>供应商须无条件退换货，采购人视情节轻重根据</w:t>
            </w:r>
            <w:r>
              <w:rPr>
                <w:rFonts w:hint="eastAsia"/>
              </w:rPr>
              <w:t>《西南交通大学后勤保障部饮食服务中心物资供应商负面清单》，对中标人进行处理</w:t>
            </w:r>
            <w:r>
              <w:rPr>
                <w:rFonts w:hint="eastAsia"/>
                <w:szCs w:val="21"/>
              </w:rPr>
              <w:t>。</w:t>
            </w:r>
          </w:p>
        </w:tc>
      </w:tr>
      <w:tr w14:paraId="6962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08F0D328">
            <w:pPr>
              <w:jc w:val="center"/>
              <w:rPr>
                <w:rFonts w:hint="eastAsia"/>
                <w:szCs w:val="21"/>
              </w:rPr>
            </w:pPr>
          </w:p>
        </w:tc>
        <w:tc>
          <w:tcPr>
            <w:tcW w:w="1432" w:type="dxa"/>
            <w:vMerge w:val="continue"/>
            <w:noWrap w:val="0"/>
            <w:vAlign w:val="center"/>
          </w:tcPr>
          <w:p w14:paraId="3ADDD5D7">
            <w:pPr>
              <w:jc w:val="center"/>
              <w:rPr>
                <w:rFonts w:hint="eastAsia"/>
                <w:szCs w:val="21"/>
              </w:rPr>
            </w:pPr>
          </w:p>
        </w:tc>
        <w:tc>
          <w:tcPr>
            <w:tcW w:w="1432" w:type="dxa"/>
            <w:noWrap w:val="0"/>
            <w:vAlign w:val="center"/>
          </w:tcPr>
          <w:p w14:paraId="65668D50">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2F01C5E1">
            <w:pPr>
              <w:widowControl/>
              <w:spacing w:line="360" w:lineRule="exact"/>
              <w:jc w:val="left"/>
              <w:textAlignment w:val="center"/>
              <w:rPr>
                <w:rFonts w:hint="eastAsia"/>
                <w:szCs w:val="21"/>
              </w:rPr>
            </w:pPr>
            <w:r>
              <w:rPr>
                <w:rFonts w:hint="eastAsia"/>
                <w:szCs w:val="21"/>
              </w:rPr>
              <w:t>中标人须做到售后服务专业化，建立配送网点，便于各点之间相互调货，满足采购人需求且具有组织配送、调运、分拣、包装、二次搬运的能力。</w:t>
            </w:r>
          </w:p>
        </w:tc>
      </w:tr>
      <w:tr w14:paraId="6E412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65487A6B">
            <w:pPr>
              <w:jc w:val="center"/>
              <w:rPr>
                <w:rFonts w:hint="eastAsia"/>
                <w:szCs w:val="21"/>
              </w:rPr>
            </w:pPr>
          </w:p>
        </w:tc>
        <w:tc>
          <w:tcPr>
            <w:tcW w:w="1432" w:type="dxa"/>
            <w:vMerge w:val="continue"/>
            <w:noWrap w:val="0"/>
            <w:vAlign w:val="center"/>
          </w:tcPr>
          <w:p w14:paraId="58E1A6CA">
            <w:pPr>
              <w:jc w:val="center"/>
              <w:rPr>
                <w:rFonts w:hint="eastAsia"/>
                <w:szCs w:val="21"/>
              </w:rPr>
            </w:pPr>
          </w:p>
        </w:tc>
        <w:tc>
          <w:tcPr>
            <w:tcW w:w="1432" w:type="dxa"/>
            <w:noWrap w:val="0"/>
            <w:vAlign w:val="center"/>
          </w:tcPr>
          <w:p w14:paraId="34E188F5">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590BD85A">
            <w:pPr>
              <w:widowControl/>
              <w:spacing w:line="360" w:lineRule="exact"/>
              <w:jc w:val="left"/>
              <w:textAlignment w:val="center"/>
              <w:rPr>
                <w:rFonts w:hint="eastAsia"/>
                <w:szCs w:val="21"/>
              </w:rPr>
            </w:pPr>
            <w:r>
              <w:rPr>
                <w:rFonts w:hint="eastAsia"/>
                <w:szCs w:val="21"/>
              </w:rPr>
              <w:t>常规配送时间为每日6:00至9:00。</w:t>
            </w:r>
          </w:p>
          <w:p w14:paraId="7DB1AC0D">
            <w:pPr>
              <w:widowControl/>
              <w:spacing w:line="360" w:lineRule="exact"/>
              <w:jc w:val="left"/>
              <w:textAlignment w:val="center"/>
              <w:rPr>
                <w:rFonts w:hint="eastAsia"/>
                <w:szCs w:val="21"/>
              </w:rPr>
            </w:pPr>
            <w:r>
              <w:rPr>
                <w:rFonts w:hint="eastAsia"/>
                <w:szCs w:val="21"/>
              </w:rPr>
              <w:t>遇应急采购、节假日及其他特殊情况，供应商须无条件配合调整配送时间，确保食材按时到位，保障食堂正常供餐。</w:t>
            </w:r>
          </w:p>
        </w:tc>
      </w:tr>
      <w:tr w14:paraId="75D34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75E77780">
            <w:pPr>
              <w:jc w:val="center"/>
              <w:rPr>
                <w:rFonts w:hint="eastAsia"/>
                <w:szCs w:val="21"/>
              </w:rPr>
            </w:pPr>
          </w:p>
        </w:tc>
        <w:tc>
          <w:tcPr>
            <w:tcW w:w="1432" w:type="dxa"/>
            <w:vMerge w:val="continue"/>
            <w:noWrap w:val="0"/>
            <w:vAlign w:val="center"/>
          </w:tcPr>
          <w:p w14:paraId="1872CC56">
            <w:pPr>
              <w:jc w:val="center"/>
              <w:rPr>
                <w:rFonts w:hint="eastAsia"/>
                <w:szCs w:val="21"/>
              </w:rPr>
            </w:pPr>
          </w:p>
        </w:tc>
        <w:tc>
          <w:tcPr>
            <w:tcW w:w="1432" w:type="dxa"/>
            <w:noWrap w:val="0"/>
            <w:vAlign w:val="center"/>
          </w:tcPr>
          <w:p w14:paraId="4C118A1D">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7785F6BE">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szCs w:val="21"/>
              </w:rPr>
              <w:t>犀浦校区：一食堂、二食堂、三食堂、四食堂、五食堂</w:t>
            </w:r>
            <w:r>
              <w:rPr>
                <w:rFonts w:hint="eastAsia" w:ascii="宋体" w:hAnsi="宋体" w:cs="宋体"/>
                <w:kern w:val="0"/>
                <w:szCs w:val="21"/>
                <w:lang w:bidi="ar"/>
              </w:rPr>
              <w:t>（教师餐厅）、</w:t>
            </w:r>
            <w:r>
              <w:rPr>
                <w:rFonts w:hint="eastAsia"/>
                <w:szCs w:val="21"/>
              </w:rPr>
              <w:t>六食堂、民族风味餐厅、锦馨苑、加工配送中心；</w:t>
            </w:r>
          </w:p>
          <w:p w14:paraId="69DCC2F0">
            <w:pPr>
              <w:widowControl/>
              <w:spacing w:line="360" w:lineRule="exact"/>
              <w:jc w:val="left"/>
              <w:textAlignment w:val="center"/>
              <w:rPr>
                <w:rFonts w:hint="eastAsia"/>
                <w:szCs w:val="21"/>
              </w:rPr>
            </w:pPr>
            <w:r>
              <w:rPr>
                <w:rFonts w:hint="eastAsia"/>
                <w:szCs w:val="21"/>
              </w:rPr>
              <w:t>九里校区：一食堂、三食堂、南风餐厅、扬华餐厅、附中食堂。</w:t>
            </w:r>
          </w:p>
          <w:p w14:paraId="1EE15DA2">
            <w:pPr>
              <w:widowControl/>
              <w:spacing w:line="360" w:lineRule="exact"/>
              <w:jc w:val="left"/>
              <w:textAlignment w:val="center"/>
              <w:rPr>
                <w:rFonts w:hint="eastAsia"/>
                <w:szCs w:val="21"/>
              </w:rPr>
            </w:pPr>
            <w:r>
              <w:rPr>
                <w:rFonts w:hint="eastAsia" w:ascii="宋体" w:hAnsi="宋体" w:cs="宋体"/>
                <w:kern w:val="0"/>
                <w:szCs w:val="21"/>
                <w:lang w:bidi="ar"/>
              </w:rPr>
              <w:t>如采购人因经营发展需要，新增设食堂配送点位的，中标人应无条件配合，按采购人需求进行配送。</w:t>
            </w:r>
          </w:p>
        </w:tc>
      </w:tr>
      <w:tr w14:paraId="34DA8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D845AD1">
            <w:pPr>
              <w:jc w:val="center"/>
              <w:rPr>
                <w:rFonts w:hint="eastAsia"/>
                <w:szCs w:val="21"/>
              </w:rPr>
            </w:pPr>
          </w:p>
        </w:tc>
        <w:tc>
          <w:tcPr>
            <w:tcW w:w="1432" w:type="dxa"/>
            <w:vMerge w:val="continue"/>
            <w:noWrap w:val="0"/>
            <w:vAlign w:val="center"/>
          </w:tcPr>
          <w:p w14:paraId="79E18F8F">
            <w:pPr>
              <w:jc w:val="center"/>
              <w:rPr>
                <w:rFonts w:hint="eastAsia"/>
                <w:szCs w:val="21"/>
              </w:rPr>
            </w:pPr>
          </w:p>
        </w:tc>
        <w:tc>
          <w:tcPr>
            <w:tcW w:w="1432" w:type="dxa"/>
            <w:noWrap w:val="0"/>
            <w:vAlign w:val="center"/>
          </w:tcPr>
          <w:p w14:paraId="181D84B6">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5099F7A1">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34DF5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DCCD9F9">
            <w:pPr>
              <w:jc w:val="center"/>
              <w:rPr>
                <w:rFonts w:hint="eastAsia"/>
                <w:szCs w:val="21"/>
              </w:rPr>
            </w:pPr>
          </w:p>
        </w:tc>
        <w:tc>
          <w:tcPr>
            <w:tcW w:w="1432" w:type="dxa"/>
            <w:vMerge w:val="continue"/>
            <w:noWrap w:val="0"/>
            <w:vAlign w:val="center"/>
          </w:tcPr>
          <w:p w14:paraId="09BBEA3A">
            <w:pPr>
              <w:jc w:val="center"/>
              <w:rPr>
                <w:rFonts w:hint="eastAsia"/>
                <w:szCs w:val="21"/>
              </w:rPr>
            </w:pPr>
          </w:p>
        </w:tc>
        <w:tc>
          <w:tcPr>
            <w:tcW w:w="1432" w:type="dxa"/>
            <w:noWrap w:val="0"/>
            <w:vAlign w:val="center"/>
          </w:tcPr>
          <w:p w14:paraId="482FFBD8">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14F08D56">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须加盖公章。</w:t>
            </w:r>
          </w:p>
        </w:tc>
      </w:tr>
      <w:tr w14:paraId="2097F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56C42E60">
            <w:pPr>
              <w:widowControl/>
              <w:jc w:val="center"/>
              <w:textAlignment w:val="center"/>
              <w:rPr>
                <w:rFonts w:hint="eastAsia"/>
                <w:szCs w:val="21"/>
              </w:rPr>
            </w:pPr>
            <w:r>
              <w:rPr>
                <w:rFonts w:hint="eastAsia" w:ascii="宋体" w:hAnsi="宋体" w:cs="宋体"/>
                <w:kern w:val="0"/>
                <w:szCs w:val="21"/>
                <w:lang w:bidi="ar"/>
              </w:rPr>
              <w:t>02包</w:t>
            </w:r>
          </w:p>
        </w:tc>
        <w:tc>
          <w:tcPr>
            <w:tcW w:w="1432" w:type="dxa"/>
            <w:vMerge w:val="restart"/>
            <w:noWrap w:val="0"/>
            <w:vAlign w:val="center"/>
          </w:tcPr>
          <w:p w14:paraId="5598D08D">
            <w:pPr>
              <w:widowControl/>
              <w:jc w:val="center"/>
              <w:textAlignment w:val="center"/>
              <w:rPr>
                <w:rFonts w:hint="eastAsia"/>
                <w:szCs w:val="21"/>
              </w:rPr>
            </w:pPr>
            <w:r>
              <w:rPr>
                <w:rFonts w:hint="eastAsia" w:ascii="宋体" w:hAnsi="宋体" w:cs="宋体"/>
                <w:kern w:val="0"/>
                <w:szCs w:val="21"/>
                <w:lang w:bidi="ar"/>
              </w:rPr>
              <w:t>食用油</w:t>
            </w:r>
          </w:p>
        </w:tc>
        <w:tc>
          <w:tcPr>
            <w:tcW w:w="1432" w:type="dxa"/>
            <w:noWrap w:val="0"/>
            <w:vAlign w:val="center"/>
          </w:tcPr>
          <w:p w14:paraId="7CDB49DD">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3AB1B7C3">
            <w:pPr>
              <w:widowControl/>
              <w:spacing w:line="360" w:lineRule="exact"/>
              <w:jc w:val="left"/>
              <w:textAlignment w:val="center"/>
              <w:rPr>
                <w:rFonts w:hint="eastAsia"/>
                <w:szCs w:val="21"/>
              </w:rPr>
            </w:pPr>
            <w:r>
              <w:rPr>
                <w:rFonts w:hint="eastAsia"/>
                <w:szCs w:val="21"/>
              </w:rPr>
              <w:t>（1）所送货物须符合国家、地方或行业相关强制性标准及相关法律法规要求，确保货物在保质期内配送。运输配送过程中防止交叉污染，运送控温，符合存储要求，包装标签符合国家规定。履约期间，国家、地方或行业相关强制性标准如有更新，按新标准实施之日起执行。若标准提高，中标人须提供符合新标准的货物；若原产品被淘汰，双方协商替换为不低于原品质且符合新标准的货物。</w:t>
            </w:r>
          </w:p>
          <w:p w14:paraId="1EC80C1F">
            <w:pPr>
              <w:widowControl/>
              <w:spacing w:line="360" w:lineRule="exact"/>
              <w:jc w:val="left"/>
              <w:textAlignment w:val="center"/>
              <w:rPr>
                <w:rFonts w:hint="eastAsia"/>
                <w:szCs w:val="21"/>
              </w:rPr>
            </w:pPr>
            <w:r>
              <w:rPr>
                <w:rFonts w:hint="eastAsia"/>
                <w:szCs w:val="21"/>
              </w:rPr>
              <w:t>（2）食用油须为二级及以上非转基因菜籽油和非转基因一级大豆调和油，禁止使用转基因原料。不得超范围、超限量使用食品添加剂。采购人有权对食用油的酸价、过氧化值、溶剂残留量等进行抽检，抽检费用由采购人承担；抽检不合格的，</w:t>
            </w:r>
            <w:r>
              <w:rPr>
                <w:rFonts w:hint="eastAsia" w:ascii="宋体" w:hAnsi="宋体" w:cs="宋体"/>
                <w:kern w:val="0"/>
                <w:szCs w:val="21"/>
                <w:lang w:bidi="ar"/>
              </w:rPr>
              <w:t>供应商须无条件退换货，采购人视情节轻重根据</w:t>
            </w:r>
            <w:r>
              <w:rPr>
                <w:rFonts w:hint="eastAsia"/>
              </w:rPr>
              <w:t>《西南交通大学后勤保障部饮食服务中心物资供应商负面清单》，对中标人进行处理</w:t>
            </w:r>
            <w:r>
              <w:rPr>
                <w:rFonts w:hint="eastAsia"/>
                <w:szCs w:val="21"/>
              </w:rPr>
              <w:t>。</w:t>
            </w:r>
          </w:p>
        </w:tc>
      </w:tr>
      <w:tr w14:paraId="0E0F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6DFF50C2">
            <w:pPr>
              <w:jc w:val="center"/>
              <w:rPr>
                <w:rFonts w:hint="eastAsia"/>
                <w:szCs w:val="21"/>
              </w:rPr>
            </w:pPr>
          </w:p>
        </w:tc>
        <w:tc>
          <w:tcPr>
            <w:tcW w:w="1432" w:type="dxa"/>
            <w:vMerge w:val="continue"/>
            <w:noWrap w:val="0"/>
            <w:vAlign w:val="center"/>
          </w:tcPr>
          <w:p w14:paraId="34E73896">
            <w:pPr>
              <w:jc w:val="center"/>
              <w:rPr>
                <w:rFonts w:hint="eastAsia"/>
                <w:szCs w:val="21"/>
              </w:rPr>
            </w:pPr>
          </w:p>
        </w:tc>
        <w:tc>
          <w:tcPr>
            <w:tcW w:w="1432" w:type="dxa"/>
            <w:noWrap w:val="0"/>
            <w:vAlign w:val="center"/>
          </w:tcPr>
          <w:p w14:paraId="6FE0D226">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425BABAF">
            <w:pPr>
              <w:widowControl/>
              <w:spacing w:line="360" w:lineRule="exact"/>
              <w:jc w:val="left"/>
              <w:textAlignment w:val="center"/>
              <w:rPr>
                <w:rFonts w:hint="eastAsia"/>
                <w:szCs w:val="21"/>
              </w:rPr>
            </w:pPr>
            <w:r>
              <w:rPr>
                <w:rFonts w:hint="eastAsia"/>
                <w:szCs w:val="21"/>
              </w:rPr>
              <w:t>中标人须做到售后服务专业化，建立配送网点便于各点之间相互调货，满足采购人需求且具有组织配送、调运、分拣、包装、二次搬运的能力。</w:t>
            </w:r>
          </w:p>
        </w:tc>
      </w:tr>
      <w:tr w14:paraId="4774A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D0C2A9C">
            <w:pPr>
              <w:jc w:val="center"/>
              <w:rPr>
                <w:rFonts w:hint="eastAsia"/>
                <w:szCs w:val="21"/>
              </w:rPr>
            </w:pPr>
          </w:p>
        </w:tc>
        <w:tc>
          <w:tcPr>
            <w:tcW w:w="1432" w:type="dxa"/>
            <w:vMerge w:val="continue"/>
            <w:noWrap w:val="0"/>
            <w:vAlign w:val="center"/>
          </w:tcPr>
          <w:p w14:paraId="4D1EEE3B">
            <w:pPr>
              <w:jc w:val="center"/>
              <w:rPr>
                <w:rFonts w:hint="eastAsia"/>
                <w:szCs w:val="21"/>
              </w:rPr>
            </w:pPr>
          </w:p>
        </w:tc>
        <w:tc>
          <w:tcPr>
            <w:tcW w:w="1432" w:type="dxa"/>
            <w:noWrap w:val="0"/>
            <w:vAlign w:val="center"/>
          </w:tcPr>
          <w:p w14:paraId="39AF34B0">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217F05C3">
            <w:pPr>
              <w:widowControl/>
              <w:spacing w:line="360" w:lineRule="exact"/>
              <w:jc w:val="left"/>
              <w:textAlignment w:val="center"/>
              <w:rPr>
                <w:rFonts w:hint="eastAsia"/>
                <w:szCs w:val="21"/>
              </w:rPr>
            </w:pPr>
            <w:r>
              <w:rPr>
                <w:rFonts w:hint="eastAsia"/>
                <w:szCs w:val="21"/>
              </w:rPr>
              <w:t>常规配送时间为每日6:00至9:00。</w:t>
            </w:r>
          </w:p>
          <w:p w14:paraId="7F2564BD">
            <w:pPr>
              <w:widowControl/>
              <w:spacing w:line="360" w:lineRule="exact"/>
              <w:jc w:val="left"/>
              <w:textAlignment w:val="center"/>
              <w:rPr>
                <w:rFonts w:hint="eastAsia"/>
                <w:szCs w:val="21"/>
              </w:rPr>
            </w:pPr>
            <w:r>
              <w:rPr>
                <w:rFonts w:hint="eastAsia"/>
                <w:szCs w:val="21"/>
              </w:rPr>
              <w:t>遇应急采购、节假日及其他特殊情况，供应商须无条件配合调整配送时间，确保食材按时到位，保障食堂正常供餐。</w:t>
            </w:r>
          </w:p>
        </w:tc>
      </w:tr>
      <w:tr w14:paraId="1155B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2B4B6083">
            <w:pPr>
              <w:jc w:val="center"/>
              <w:rPr>
                <w:rFonts w:hint="eastAsia"/>
                <w:szCs w:val="21"/>
              </w:rPr>
            </w:pPr>
          </w:p>
        </w:tc>
        <w:tc>
          <w:tcPr>
            <w:tcW w:w="1432" w:type="dxa"/>
            <w:vMerge w:val="continue"/>
            <w:noWrap w:val="0"/>
            <w:vAlign w:val="center"/>
          </w:tcPr>
          <w:p w14:paraId="183151D7">
            <w:pPr>
              <w:jc w:val="center"/>
              <w:rPr>
                <w:rFonts w:hint="eastAsia"/>
                <w:szCs w:val="21"/>
              </w:rPr>
            </w:pPr>
          </w:p>
        </w:tc>
        <w:tc>
          <w:tcPr>
            <w:tcW w:w="1432" w:type="dxa"/>
            <w:noWrap w:val="0"/>
            <w:vAlign w:val="center"/>
          </w:tcPr>
          <w:p w14:paraId="6B8E3664">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112A2756">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如采购人因经营发展需要，新增设食堂配送点位的，中标人应无条件配合，按采购人需求进行配送。</w:t>
            </w:r>
          </w:p>
        </w:tc>
      </w:tr>
      <w:tr w14:paraId="7F078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6D49892A">
            <w:pPr>
              <w:jc w:val="center"/>
              <w:rPr>
                <w:rFonts w:hint="eastAsia"/>
                <w:szCs w:val="21"/>
              </w:rPr>
            </w:pPr>
          </w:p>
        </w:tc>
        <w:tc>
          <w:tcPr>
            <w:tcW w:w="1432" w:type="dxa"/>
            <w:vMerge w:val="continue"/>
            <w:noWrap w:val="0"/>
            <w:vAlign w:val="center"/>
          </w:tcPr>
          <w:p w14:paraId="4A758E14">
            <w:pPr>
              <w:jc w:val="center"/>
              <w:rPr>
                <w:rFonts w:hint="eastAsia"/>
                <w:szCs w:val="21"/>
              </w:rPr>
            </w:pPr>
          </w:p>
        </w:tc>
        <w:tc>
          <w:tcPr>
            <w:tcW w:w="1432" w:type="dxa"/>
            <w:noWrap w:val="0"/>
            <w:vAlign w:val="center"/>
          </w:tcPr>
          <w:p w14:paraId="165E6293">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605EF1AE">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236DE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78EE7AFC">
            <w:pPr>
              <w:jc w:val="center"/>
              <w:rPr>
                <w:rFonts w:hint="eastAsia"/>
                <w:szCs w:val="21"/>
              </w:rPr>
            </w:pPr>
          </w:p>
        </w:tc>
        <w:tc>
          <w:tcPr>
            <w:tcW w:w="1432" w:type="dxa"/>
            <w:vMerge w:val="continue"/>
            <w:noWrap w:val="0"/>
            <w:vAlign w:val="center"/>
          </w:tcPr>
          <w:p w14:paraId="4A8EC8B7">
            <w:pPr>
              <w:jc w:val="center"/>
              <w:rPr>
                <w:rFonts w:hint="eastAsia"/>
                <w:szCs w:val="21"/>
              </w:rPr>
            </w:pPr>
          </w:p>
        </w:tc>
        <w:tc>
          <w:tcPr>
            <w:tcW w:w="1432" w:type="dxa"/>
            <w:noWrap w:val="0"/>
            <w:vAlign w:val="center"/>
          </w:tcPr>
          <w:p w14:paraId="4F7266C0">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6324B5B3">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须加盖公章。</w:t>
            </w:r>
          </w:p>
        </w:tc>
      </w:tr>
      <w:tr w14:paraId="0E31B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477BDFA0">
            <w:pPr>
              <w:widowControl/>
              <w:jc w:val="center"/>
              <w:textAlignment w:val="center"/>
              <w:rPr>
                <w:rFonts w:hint="eastAsia"/>
                <w:szCs w:val="21"/>
              </w:rPr>
            </w:pPr>
            <w:r>
              <w:rPr>
                <w:rFonts w:hint="eastAsia" w:ascii="宋体" w:hAnsi="宋体" w:cs="宋体"/>
                <w:kern w:val="0"/>
                <w:szCs w:val="21"/>
                <w:lang w:bidi="ar"/>
              </w:rPr>
              <w:t>03包</w:t>
            </w:r>
          </w:p>
        </w:tc>
        <w:tc>
          <w:tcPr>
            <w:tcW w:w="1432" w:type="dxa"/>
            <w:vMerge w:val="restart"/>
            <w:noWrap w:val="0"/>
            <w:vAlign w:val="center"/>
          </w:tcPr>
          <w:p w14:paraId="44514743">
            <w:pPr>
              <w:widowControl/>
              <w:jc w:val="center"/>
              <w:textAlignment w:val="center"/>
              <w:rPr>
                <w:rFonts w:hint="eastAsia"/>
                <w:szCs w:val="21"/>
              </w:rPr>
            </w:pPr>
            <w:r>
              <w:rPr>
                <w:rFonts w:hint="eastAsia" w:ascii="宋体" w:hAnsi="宋体" w:cs="宋体"/>
                <w:kern w:val="0"/>
                <w:szCs w:val="21"/>
                <w:lang w:bidi="ar"/>
              </w:rPr>
              <w:t>面粉</w:t>
            </w:r>
          </w:p>
        </w:tc>
        <w:tc>
          <w:tcPr>
            <w:tcW w:w="1432" w:type="dxa"/>
            <w:noWrap w:val="0"/>
            <w:vAlign w:val="center"/>
          </w:tcPr>
          <w:p w14:paraId="53F56B43">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16167467">
            <w:pPr>
              <w:widowControl/>
              <w:spacing w:line="360" w:lineRule="exact"/>
              <w:jc w:val="left"/>
              <w:textAlignment w:val="center"/>
              <w:rPr>
                <w:rFonts w:hint="eastAsia"/>
                <w:szCs w:val="21"/>
              </w:rPr>
            </w:pPr>
            <w:r>
              <w:rPr>
                <w:rFonts w:hint="eastAsia"/>
                <w:szCs w:val="21"/>
              </w:rPr>
              <w:t>（1）所送货物须符合国家、地方或行业相关强制性标准及相关法律法规要求，确保货物在保质期内配送。运输配送过程中防止交叉污染，运送湿度符合存储要求，包装标签符合国家规定。履约期间，国家、地方或行业相关强制性标准如有更新，按新标准实施之日起执行。若标准提高，中标人须提供符合新标准的货物；若原产品被淘汰，双方协商替换为不低于原品质且符合新标准的货物。</w:t>
            </w:r>
          </w:p>
          <w:p w14:paraId="1E083901">
            <w:pPr>
              <w:widowControl/>
              <w:spacing w:line="360" w:lineRule="exact"/>
              <w:jc w:val="left"/>
              <w:textAlignment w:val="center"/>
              <w:rPr>
                <w:rFonts w:hint="eastAsia"/>
                <w:szCs w:val="21"/>
              </w:rPr>
            </w:pPr>
            <w:r>
              <w:rPr>
                <w:rFonts w:hint="eastAsia"/>
                <w:szCs w:val="21"/>
              </w:rPr>
              <w:t>（2）面粉须为非转基因原料生产，禁止使用霉变、虫蛀小麦原料。不得超范围、超限量使用食品添加剂（面粉中不得添加过氧化苯甲酰等增白剂，允许使用的添加剂如偶氮甲酰胺等须符合GB 2760限量规定）。采购人有权对面粉的真菌毒素限量、添加剂残留、重金属残留等进行抽检，抽检费用由采购人承担；抽检不合格的，</w:t>
            </w:r>
            <w:r>
              <w:rPr>
                <w:rFonts w:hint="eastAsia" w:ascii="宋体" w:hAnsi="宋体" w:cs="宋体"/>
                <w:kern w:val="0"/>
                <w:szCs w:val="21"/>
                <w:lang w:bidi="ar"/>
              </w:rPr>
              <w:t>供应商须无条件退换货，采购人视情节轻重根据</w:t>
            </w:r>
            <w:r>
              <w:rPr>
                <w:rFonts w:hint="eastAsia"/>
              </w:rPr>
              <w:t>《西南交通大学后勤保障部饮食服务中心物资供应商负面清单》，对中标人进行处理</w:t>
            </w:r>
            <w:r>
              <w:rPr>
                <w:rFonts w:hint="eastAsia"/>
                <w:szCs w:val="21"/>
              </w:rPr>
              <w:t>。</w:t>
            </w:r>
          </w:p>
        </w:tc>
      </w:tr>
      <w:tr w14:paraId="7B7F0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72149F9A">
            <w:pPr>
              <w:jc w:val="center"/>
              <w:rPr>
                <w:rFonts w:hint="eastAsia"/>
                <w:szCs w:val="21"/>
              </w:rPr>
            </w:pPr>
          </w:p>
        </w:tc>
        <w:tc>
          <w:tcPr>
            <w:tcW w:w="1432" w:type="dxa"/>
            <w:vMerge w:val="continue"/>
            <w:noWrap w:val="0"/>
            <w:vAlign w:val="center"/>
          </w:tcPr>
          <w:p w14:paraId="13433BA4">
            <w:pPr>
              <w:jc w:val="center"/>
              <w:rPr>
                <w:rFonts w:hint="eastAsia"/>
                <w:szCs w:val="21"/>
              </w:rPr>
            </w:pPr>
          </w:p>
        </w:tc>
        <w:tc>
          <w:tcPr>
            <w:tcW w:w="1432" w:type="dxa"/>
            <w:noWrap w:val="0"/>
            <w:vAlign w:val="center"/>
          </w:tcPr>
          <w:p w14:paraId="636E7E21">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59F71C6D">
            <w:pPr>
              <w:widowControl/>
              <w:spacing w:line="360" w:lineRule="exact"/>
              <w:jc w:val="left"/>
              <w:textAlignment w:val="center"/>
              <w:rPr>
                <w:rFonts w:hint="eastAsia"/>
                <w:szCs w:val="21"/>
              </w:rPr>
            </w:pPr>
            <w:r>
              <w:rPr>
                <w:rFonts w:hint="eastAsia" w:ascii="宋体" w:hAnsi="宋体" w:cs="宋体"/>
                <w:kern w:val="0"/>
                <w:szCs w:val="21"/>
                <w:lang w:bidi="ar"/>
              </w:rPr>
              <w:t>中标人须做到售后服务专业化，建立配送网点，便于各点之间相互调货，满足采购人需求且具有组织配送、调运、分拣、包装、二次搬运的能力。</w:t>
            </w:r>
          </w:p>
        </w:tc>
      </w:tr>
      <w:tr w14:paraId="19DC7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CE89A47">
            <w:pPr>
              <w:jc w:val="center"/>
              <w:rPr>
                <w:rFonts w:hint="eastAsia"/>
                <w:szCs w:val="21"/>
              </w:rPr>
            </w:pPr>
          </w:p>
        </w:tc>
        <w:tc>
          <w:tcPr>
            <w:tcW w:w="1432" w:type="dxa"/>
            <w:vMerge w:val="continue"/>
            <w:noWrap w:val="0"/>
            <w:vAlign w:val="center"/>
          </w:tcPr>
          <w:p w14:paraId="683C30D3">
            <w:pPr>
              <w:jc w:val="center"/>
              <w:rPr>
                <w:rFonts w:hint="eastAsia"/>
                <w:szCs w:val="21"/>
              </w:rPr>
            </w:pPr>
          </w:p>
        </w:tc>
        <w:tc>
          <w:tcPr>
            <w:tcW w:w="1432" w:type="dxa"/>
            <w:noWrap w:val="0"/>
            <w:vAlign w:val="center"/>
          </w:tcPr>
          <w:p w14:paraId="3F1B1A28">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70C67FC8">
            <w:pPr>
              <w:widowControl/>
              <w:spacing w:line="360" w:lineRule="exact"/>
              <w:jc w:val="left"/>
              <w:textAlignment w:val="center"/>
              <w:rPr>
                <w:rFonts w:hint="eastAsia"/>
                <w:szCs w:val="21"/>
              </w:rPr>
            </w:pPr>
            <w:r>
              <w:rPr>
                <w:rFonts w:hint="eastAsia" w:ascii="宋体" w:hAnsi="宋体" w:cs="宋体"/>
                <w:kern w:val="0"/>
                <w:szCs w:val="21"/>
                <w:lang w:bidi="ar"/>
              </w:rPr>
              <w:t>常规配送时间为每日6:00至9:00。</w:t>
            </w:r>
            <w:r>
              <w:rPr>
                <w:rFonts w:hint="eastAsia" w:ascii="宋体" w:hAnsi="宋体" w:cs="宋体"/>
                <w:kern w:val="0"/>
                <w:szCs w:val="21"/>
                <w:lang w:bidi="ar"/>
              </w:rPr>
              <w:br w:type="textWrapping"/>
            </w:r>
            <w:r>
              <w:rPr>
                <w:rFonts w:hint="eastAsia" w:ascii="宋体" w:hAnsi="宋体" w:cs="宋体"/>
                <w:kern w:val="0"/>
                <w:szCs w:val="21"/>
                <w:lang w:bidi="ar"/>
              </w:rPr>
              <w:t>遇应急采购、节假日及其他特殊情况，供应商须无条件配合，调整配送时间，确保食材按时到位，保障食堂正常供餐。</w:t>
            </w:r>
          </w:p>
        </w:tc>
      </w:tr>
      <w:tr w14:paraId="69B61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5406DF86">
            <w:pPr>
              <w:jc w:val="center"/>
              <w:rPr>
                <w:rFonts w:hint="eastAsia"/>
                <w:szCs w:val="21"/>
              </w:rPr>
            </w:pPr>
          </w:p>
        </w:tc>
        <w:tc>
          <w:tcPr>
            <w:tcW w:w="1432" w:type="dxa"/>
            <w:vMerge w:val="continue"/>
            <w:noWrap w:val="0"/>
            <w:vAlign w:val="center"/>
          </w:tcPr>
          <w:p w14:paraId="22AFB7FA">
            <w:pPr>
              <w:jc w:val="center"/>
              <w:rPr>
                <w:rFonts w:hint="eastAsia"/>
                <w:szCs w:val="21"/>
              </w:rPr>
            </w:pPr>
          </w:p>
        </w:tc>
        <w:tc>
          <w:tcPr>
            <w:tcW w:w="1432" w:type="dxa"/>
            <w:noWrap w:val="0"/>
            <w:vAlign w:val="center"/>
          </w:tcPr>
          <w:p w14:paraId="1C5C4459">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1B3D34C0">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如采购人因经营发展需要，新增设食堂配送点位的，中标人应无条件配合，按采购人需求进行货物配送。</w:t>
            </w:r>
          </w:p>
        </w:tc>
      </w:tr>
      <w:tr w14:paraId="5DF0A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C98BBD9">
            <w:pPr>
              <w:jc w:val="center"/>
              <w:rPr>
                <w:rFonts w:hint="eastAsia"/>
                <w:szCs w:val="21"/>
              </w:rPr>
            </w:pPr>
          </w:p>
        </w:tc>
        <w:tc>
          <w:tcPr>
            <w:tcW w:w="1432" w:type="dxa"/>
            <w:vMerge w:val="continue"/>
            <w:noWrap w:val="0"/>
            <w:vAlign w:val="center"/>
          </w:tcPr>
          <w:p w14:paraId="6A11758B">
            <w:pPr>
              <w:jc w:val="center"/>
              <w:rPr>
                <w:rFonts w:hint="eastAsia"/>
                <w:szCs w:val="21"/>
              </w:rPr>
            </w:pPr>
          </w:p>
        </w:tc>
        <w:tc>
          <w:tcPr>
            <w:tcW w:w="1432" w:type="dxa"/>
            <w:noWrap w:val="0"/>
            <w:vAlign w:val="center"/>
          </w:tcPr>
          <w:p w14:paraId="0BF51811">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4FF31E21">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47490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0A05AAAE">
            <w:pPr>
              <w:jc w:val="center"/>
              <w:rPr>
                <w:rFonts w:hint="eastAsia"/>
                <w:szCs w:val="21"/>
              </w:rPr>
            </w:pPr>
          </w:p>
        </w:tc>
        <w:tc>
          <w:tcPr>
            <w:tcW w:w="1432" w:type="dxa"/>
            <w:vMerge w:val="continue"/>
            <w:noWrap w:val="0"/>
            <w:vAlign w:val="center"/>
          </w:tcPr>
          <w:p w14:paraId="3E17F45C">
            <w:pPr>
              <w:jc w:val="center"/>
              <w:rPr>
                <w:rFonts w:hint="eastAsia"/>
                <w:szCs w:val="21"/>
              </w:rPr>
            </w:pPr>
          </w:p>
        </w:tc>
        <w:tc>
          <w:tcPr>
            <w:tcW w:w="1432" w:type="dxa"/>
            <w:noWrap w:val="0"/>
            <w:vAlign w:val="center"/>
          </w:tcPr>
          <w:p w14:paraId="2346770E">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09572DFA">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需加盖公章。</w:t>
            </w:r>
          </w:p>
        </w:tc>
      </w:tr>
      <w:tr w14:paraId="0A7CC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restart"/>
            <w:noWrap w:val="0"/>
            <w:vAlign w:val="center"/>
          </w:tcPr>
          <w:p w14:paraId="6E84ED3B">
            <w:pPr>
              <w:widowControl/>
              <w:jc w:val="center"/>
              <w:textAlignment w:val="center"/>
              <w:rPr>
                <w:rFonts w:hint="eastAsia"/>
                <w:szCs w:val="21"/>
              </w:rPr>
            </w:pPr>
            <w:r>
              <w:rPr>
                <w:rFonts w:hint="eastAsia" w:ascii="宋体" w:hAnsi="宋体" w:cs="宋体"/>
                <w:kern w:val="0"/>
                <w:szCs w:val="21"/>
                <w:lang w:bidi="ar"/>
              </w:rPr>
              <w:t>04包</w:t>
            </w:r>
          </w:p>
        </w:tc>
        <w:tc>
          <w:tcPr>
            <w:tcW w:w="1432" w:type="dxa"/>
            <w:vMerge w:val="restart"/>
            <w:noWrap w:val="0"/>
            <w:vAlign w:val="center"/>
          </w:tcPr>
          <w:p w14:paraId="326D4BE5">
            <w:pPr>
              <w:widowControl/>
              <w:jc w:val="center"/>
              <w:textAlignment w:val="center"/>
              <w:rPr>
                <w:rFonts w:hint="eastAsia"/>
                <w:szCs w:val="21"/>
              </w:rPr>
            </w:pPr>
            <w:r>
              <w:rPr>
                <w:rFonts w:hint="eastAsia" w:ascii="宋体" w:hAnsi="宋体" w:cs="宋体"/>
                <w:kern w:val="0"/>
                <w:szCs w:val="21"/>
                <w:lang w:bidi="ar"/>
              </w:rPr>
              <w:t>（蛋类）</w:t>
            </w:r>
          </w:p>
        </w:tc>
        <w:tc>
          <w:tcPr>
            <w:tcW w:w="1432" w:type="dxa"/>
            <w:noWrap w:val="0"/>
            <w:vAlign w:val="center"/>
          </w:tcPr>
          <w:p w14:paraId="0CDB2463">
            <w:pPr>
              <w:widowControl/>
              <w:jc w:val="left"/>
              <w:textAlignment w:val="center"/>
              <w:rPr>
                <w:rFonts w:hint="eastAsia"/>
                <w:szCs w:val="21"/>
              </w:rPr>
            </w:pPr>
            <w:r>
              <w:rPr>
                <w:rFonts w:hint="eastAsia" w:ascii="宋体" w:hAnsi="宋体" w:cs="宋体"/>
                <w:kern w:val="0"/>
                <w:szCs w:val="21"/>
                <w:lang w:bidi="ar"/>
              </w:rPr>
              <w:t>1.质量要求</w:t>
            </w:r>
          </w:p>
        </w:tc>
        <w:tc>
          <w:tcPr>
            <w:tcW w:w="6231" w:type="dxa"/>
            <w:noWrap w:val="0"/>
            <w:vAlign w:val="center"/>
          </w:tcPr>
          <w:p w14:paraId="60D2C99C">
            <w:pPr>
              <w:widowControl/>
              <w:spacing w:line="360" w:lineRule="exact"/>
              <w:jc w:val="left"/>
              <w:textAlignment w:val="center"/>
              <w:rPr>
                <w:rFonts w:hint="eastAsia"/>
                <w:szCs w:val="21"/>
              </w:rPr>
            </w:pPr>
            <w:r>
              <w:rPr>
                <w:rFonts w:hint="eastAsia"/>
                <w:szCs w:val="21"/>
              </w:rPr>
              <w:t>（1）所送货物须符合国家、地方或行业相关强制性标准及相关法律法规要求，确保货物在保质期内配送。运输配送过程中防止交叉污染，运送温度符合存储要求，包装标签符合国家规定。履约期间，国家、地方或行业强制性标准如有更新，按新标准实施之日起执行。</w:t>
            </w:r>
          </w:p>
          <w:p w14:paraId="0F5A80D6">
            <w:pPr>
              <w:widowControl/>
              <w:spacing w:line="360" w:lineRule="exact"/>
              <w:jc w:val="left"/>
              <w:textAlignment w:val="center"/>
              <w:rPr>
                <w:rFonts w:hint="eastAsia"/>
                <w:szCs w:val="21"/>
              </w:rPr>
            </w:pPr>
            <w:r>
              <w:rPr>
                <w:rFonts w:hint="eastAsia"/>
                <w:szCs w:val="21"/>
              </w:rPr>
              <w:t>（2）带壳蛋类新鲜无损坏，鸡蛋上需打印有生产日期（食品级油墨），蛋盒（夹）完整、整洁，便于存放。采购人有权对蛋类货物的兽药残留、重金属残留、铅（Pb）、镉（Cd）、致病菌（沙门氏菌）等进行抽检，抽检费用由采购人承担；抽检不合格的，</w:t>
            </w:r>
            <w:r>
              <w:rPr>
                <w:rFonts w:hint="eastAsia" w:ascii="宋体" w:hAnsi="宋体" w:cs="宋体"/>
                <w:kern w:val="0"/>
                <w:szCs w:val="21"/>
                <w:lang w:bidi="ar"/>
              </w:rPr>
              <w:t>供应商须无条件退换货，采购人视情节轻重根据</w:t>
            </w:r>
            <w:r>
              <w:rPr>
                <w:rFonts w:hint="eastAsia"/>
              </w:rPr>
              <w:t>《西南交通大学后勤保障部饮食服务中心物资供应商负面清单》，对中标人进行处理</w:t>
            </w:r>
            <w:r>
              <w:rPr>
                <w:rFonts w:hint="eastAsia"/>
                <w:szCs w:val="21"/>
              </w:rPr>
              <w:t>。</w:t>
            </w:r>
          </w:p>
        </w:tc>
      </w:tr>
      <w:tr w14:paraId="46E50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40E7EC87">
            <w:pPr>
              <w:jc w:val="center"/>
              <w:rPr>
                <w:rFonts w:hint="eastAsia"/>
                <w:szCs w:val="21"/>
              </w:rPr>
            </w:pPr>
          </w:p>
        </w:tc>
        <w:tc>
          <w:tcPr>
            <w:tcW w:w="1432" w:type="dxa"/>
            <w:vMerge w:val="continue"/>
            <w:noWrap w:val="0"/>
            <w:vAlign w:val="center"/>
          </w:tcPr>
          <w:p w14:paraId="625C5AAF">
            <w:pPr>
              <w:jc w:val="center"/>
              <w:rPr>
                <w:rFonts w:hint="eastAsia"/>
                <w:szCs w:val="21"/>
              </w:rPr>
            </w:pPr>
          </w:p>
        </w:tc>
        <w:tc>
          <w:tcPr>
            <w:tcW w:w="1432" w:type="dxa"/>
            <w:noWrap w:val="0"/>
            <w:vAlign w:val="center"/>
          </w:tcPr>
          <w:p w14:paraId="29B268FF">
            <w:pPr>
              <w:widowControl/>
              <w:jc w:val="left"/>
              <w:textAlignment w:val="center"/>
              <w:rPr>
                <w:rFonts w:hint="eastAsia"/>
                <w:szCs w:val="21"/>
              </w:rPr>
            </w:pPr>
            <w:r>
              <w:rPr>
                <w:rFonts w:hint="eastAsia" w:ascii="宋体" w:hAnsi="宋体" w:cs="宋体"/>
                <w:kern w:val="0"/>
                <w:szCs w:val="21"/>
                <w:lang w:bidi="ar"/>
              </w:rPr>
              <w:t>2.配送服务要求</w:t>
            </w:r>
          </w:p>
        </w:tc>
        <w:tc>
          <w:tcPr>
            <w:tcW w:w="6231" w:type="dxa"/>
            <w:noWrap w:val="0"/>
            <w:vAlign w:val="center"/>
          </w:tcPr>
          <w:p w14:paraId="5F4B8EDB">
            <w:pPr>
              <w:widowControl/>
              <w:spacing w:line="360" w:lineRule="exact"/>
              <w:jc w:val="left"/>
              <w:textAlignment w:val="center"/>
              <w:rPr>
                <w:rFonts w:hint="eastAsia"/>
                <w:szCs w:val="21"/>
              </w:rPr>
            </w:pPr>
            <w:r>
              <w:rPr>
                <w:rFonts w:hint="eastAsia" w:ascii="宋体" w:hAnsi="宋体" w:cs="宋体"/>
                <w:kern w:val="0"/>
                <w:szCs w:val="21"/>
                <w:lang w:bidi="ar"/>
              </w:rPr>
              <w:t>中标人须做到售后服务专业化，建立配送网点，便于各点之间相互调货，满足采购人需求且具有组织配送、调运、分拣、包装、二次搬运的能力。</w:t>
            </w:r>
          </w:p>
        </w:tc>
      </w:tr>
      <w:tr w14:paraId="4E3DD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66A1D752">
            <w:pPr>
              <w:jc w:val="center"/>
              <w:rPr>
                <w:rFonts w:hint="eastAsia"/>
                <w:szCs w:val="21"/>
              </w:rPr>
            </w:pPr>
          </w:p>
        </w:tc>
        <w:tc>
          <w:tcPr>
            <w:tcW w:w="1432" w:type="dxa"/>
            <w:vMerge w:val="continue"/>
            <w:noWrap w:val="0"/>
            <w:vAlign w:val="center"/>
          </w:tcPr>
          <w:p w14:paraId="7CC10886">
            <w:pPr>
              <w:jc w:val="center"/>
              <w:rPr>
                <w:rFonts w:hint="eastAsia"/>
                <w:szCs w:val="21"/>
              </w:rPr>
            </w:pPr>
          </w:p>
        </w:tc>
        <w:tc>
          <w:tcPr>
            <w:tcW w:w="1432" w:type="dxa"/>
            <w:noWrap w:val="0"/>
            <w:vAlign w:val="center"/>
          </w:tcPr>
          <w:p w14:paraId="70DED1F5">
            <w:pPr>
              <w:widowControl/>
              <w:jc w:val="left"/>
              <w:textAlignment w:val="center"/>
              <w:rPr>
                <w:rFonts w:hint="eastAsia"/>
                <w:szCs w:val="21"/>
              </w:rPr>
            </w:pPr>
            <w:r>
              <w:rPr>
                <w:rFonts w:hint="eastAsia" w:ascii="宋体" w:hAnsi="宋体" w:cs="宋体"/>
                <w:kern w:val="0"/>
                <w:szCs w:val="21"/>
                <w:lang w:bidi="ar"/>
              </w:rPr>
              <w:t>3.配送时间</w:t>
            </w:r>
          </w:p>
        </w:tc>
        <w:tc>
          <w:tcPr>
            <w:tcW w:w="6231" w:type="dxa"/>
            <w:noWrap w:val="0"/>
            <w:vAlign w:val="center"/>
          </w:tcPr>
          <w:p w14:paraId="2B48D373">
            <w:pPr>
              <w:widowControl/>
              <w:spacing w:line="360" w:lineRule="exact"/>
              <w:jc w:val="left"/>
              <w:textAlignment w:val="center"/>
              <w:rPr>
                <w:rFonts w:ascii="宋体" w:hAnsi="宋体" w:cs="宋体"/>
                <w:kern w:val="0"/>
                <w:szCs w:val="21"/>
                <w:lang w:bidi="ar"/>
              </w:rPr>
            </w:pPr>
            <w:r>
              <w:rPr>
                <w:rFonts w:hint="eastAsia" w:ascii="宋体" w:hAnsi="宋体" w:cs="宋体"/>
                <w:kern w:val="0"/>
                <w:szCs w:val="21"/>
                <w:lang w:bidi="ar"/>
              </w:rPr>
              <w:t>常规配送时间为每日6:00至9:00，禽蛋包装蛋格（箱）实行循环回收。同一供应商连续配送时，在下次送货时回收上次所用包装蛋格（箱）；若供应商发生变更，由库房管理人员通知原供应商在规定时间内自行取回包装蛋格（箱）。</w:t>
            </w:r>
          </w:p>
          <w:p w14:paraId="2F31C5F1">
            <w:pPr>
              <w:widowControl/>
              <w:spacing w:line="360" w:lineRule="exact"/>
              <w:jc w:val="left"/>
              <w:textAlignment w:val="center"/>
              <w:rPr>
                <w:rFonts w:hint="eastAsia"/>
                <w:szCs w:val="21"/>
              </w:rPr>
            </w:pPr>
            <w:r>
              <w:rPr>
                <w:rFonts w:hint="eastAsia" w:ascii="宋体" w:hAnsi="宋体" w:cs="宋体"/>
                <w:kern w:val="0"/>
                <w:szCs w:val="21"/>
                <w:lang w:bidi="ar"/>
              </w:rPr>
              <w:t>遇应急采购、节假日及其他特殊情况，供应商须无条件配合，调整配送时间，确保食材按时到位，保障食堂正常供餐。</w:t>
            </w:r>
          </w:p>
        </w:tc>
      </w:tr>
      <w:tr w14:paraId="46EF0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3BFF3923">
            <w:pPr>
              <w:jc w:val="center"/>
              <w:rPr>
                <w:rFonts w:hint="eastAsia"/>
                <w:szCs w:val="21"/>
              </w:rPr>
            </w:pPr>
          </w:p>
        </w:tc>
        <w:tc>
          <w:tcPr>
            <w:tcW w:w="1432" w:type="dxa"/>
            <w:vMerge w:val="continue"/>
            <w:noWrap w:val="0"/>
            <w:vAlign w:val="center"/>
          </w:tcPr>
          <w:p w14:paraId="73C29C6E">
            <w:pPr>
              <w:jc w:val="center"/>
              <w:rPr>
                <w:rFonts w:hint="eastAsia"/>
                <w:szCs w:val="21"/>
              </w:rPr>
            </w:pPr>
          </w:p>
        </w:tc>
        <w:tc>
          <w:tcPr>
            <w:tcW w:w="1432" w:type="dxa"/>
            <w:noWrap w:val="0"/>
            <w:vAlign w:val="center"/>
          </w:tcPr>
          <w:p w14:paraId="52856C9B">
            <w:pPr>
              <w:widowControl/>
              <w:jc w:val="left"/>
              <w:textAlignment w:val="center"/>
              <w:rPr>
                <w:rFonts w:hint="eastAsia"/>
                <w:szCs w:val="21"/>
              </w:rPr>
            </w:pPr>
            <w:r>
              <w:rPr>
                <w:rFonts w:hint="eastAsia" w:ascii="宋体" w:hAnsi="宋体" w:cs="宋体"/>
                <w:kern w:val="0"/>
                <w:szCs w:val="21"/>
                <w:lang w:bidi="ar"/>
              </w:rPr>
              <w:t>4.配送地点</w:t>
            </w:r>
          </w:p>
        </w:tc>
        <w:tc>
          <w:tcPr>
            <w:tcW w:w="6231" w:type="dxa"/>
            <w:noWrap w:val="0"/>
            <w:vAlign w:val="center"/>
          </w:tcPr>
          <w:p w14:paraId="1BC1BC16">
            <w:pPr>
              <w:widowControl/>
              <w:spacing w:line="360" w:lineRule="exact"/>
              <w:jc w:val="left"/>
              <w:textAlignment w:val="center"/>
              <w:rPr>
                <w:rFonts w:hint="eastAsia"/>
                <w:szCs w:val="21"/>
              </w:rPr>
            </w:pPr>
            <w:r>
              <w:rPr>
                <w:rFonts w:hint="eastAsia" w:ascii="宋体" w:hAnsi="宋体" w:cs="宋体"/>
                <w:kern w:val="0"/>
                <w:szCs w:val="21"/>
                <w:lang w:bidi="ar"/>
              </w:rPr>
              <w:t>中标人应按要求进行各点位配送，两校区配送点位如下：</w:t>
            </w:r>
            <w:r>
              <w:rPr>
                <w:rFonts w:hint="eastAsia" w:ascii="宋体" w:hAnsi="宋体" w:cs="宋体"/>
                <w:kern w:val="0"/>
                <w:szCs w:val="21"/>
                <w:lang w:bidi="ar"/>
              </w:rPr>
              <w:br w:type="textWrapping"/>
            </w:r>
            <w:r>
              <w:rPr>
                <w:rFonts w:hint="eastAsia" w:ascii="宋体" w:hAnsi="宋体" w:cs="宋体"/>
                <w:kern w:val="0"/>
                <w:szCs w:val="21"/>
                <w:lang w:bidi="ar"/>
              </w:rPr>
              <w:t>犀浦校区：一食堂、二食堂、三食堂、四食堂、五食堂（教师餐厅）、六食堂、民族风味餐厅、锦馨苑、加工配送中心；</w:t>
            </w:r>
            <w:r>
              <w:rPr>
                <w:rFonts w:hint="eastAsia" w:ascii="宋体" w:hAnsi="宋体" w:cs="宋体"/>
                <w:kern w:val="0"/>
                <w:szCs w:val="21"/>
                <w:lang w:bidi="ar"/>
              </w:rPr>
              <w:br w:type="textWrapping"/>
            </w:r>
            <w:r>
              <w:rPr>
                <w:rFonts w:hint="eastAsia" w:ascii="宋体" w:hAnsi="宋体" w:cs="宋体"/>
                <w:kern w:val="0"/>
                <w:szCs w:val="21"/>
                <w:lang w:bidi="ar"/>
              </w:rPr>
              <w:t>九里校区：一食堂、三食堂、南风餐厅、扬华餐厅、附中食堂。</w:t>
            </w:r>
            <w:r>
              <w:rPr>
                <w:rFonts w:hint="eastAsia" w:ascii="宋体" w:hAnsi="宋体" w:cs="宋体"/>
                <w:kern w:val="0"/>
                <w:szCs w:val="21"/>
                <w:lang w:bidi="ar"/>
              </w:rPr>
              <w:br w:type="textWrapping"/>
            </w:r>
            <w:r>
              <w:rPr>
                <w:rFonts w:hint="eastAsia" w:ascii="宋体" w:hAnsi="宋体" w:cs="宋体"/>
                <w:kern w:val="0"/>
                <w:szCs w:val="21"/>
                <w:lang w:bidi="ar"/>
              </w:rPr>
              <w:t>如采购人因经营发展需要，新增设食堂配送点位的，中标人应无条件配合，按采购人需求进行货物配送。</w:t>
            </w:r>
          </w:p>
        </w:tc>
      </w:tr>
      <w:tr w14:paraId="7A981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1AE1246B">
            <w:pPr>
              <w:jc w:val="center"/>
              <w:rPr>
                <w:rFonts w:hint="eastAsia"/>
                <w:szCs w:val="21"/>
              </w:rPr>
            </w:pPr>
          </w:p>
        </w:tc>
        <w:tc>
          <w:tcPr>
            <w:tcW w:w="1432" w:type="dxa"/>
            <w:vMerge w:val="continue"/>
            <w:noWrap w:val="0"/>
            <w:vAlign w:val="center"/>
          </w:tcPr>
          <w:p w14:paraId="5857E310">
            <w:pPr>
              <w:jc w:val="center"/>
              <w:rPr>
                <w:rFonts w:hint="eastAsia"/>
                <w:szCs w:val="21"/>
              </w:rPr>
            </w:pPr>
          </w:p>
        </w:tc>
        <w:tc>
          <w:tcPr>
            <w:tcW w:w="1432" w:type="dxa"/>
            <w:noWrap w:val="0"/>
            <w:vAlign w:val="center"/>
          </w:tcPr>
          <w:p w14:paraId="437EDBFA">
            <w:pPr>
              <w:widowControl/>
              <w:jc w:val="left"/>
              <w:textAlignment w:val="center"/>
              <w:rPr>
                <w:rFonts w:hint="eastAsia"/>
                <w:szCs w:val="21"/>
              </w:rPr>
            </w:pPr>
            <w:r>
              <w:rPr>
                <w:rFonts w:hint="eastAsia" w:ascii="宋体" w:hAnsi="宋体" w:cs="宋体"/>
                <w:kern w:val="0"/>
                <w:szCs w:val="21"/>
                <w:lang w:bidi="ar"/>
              </w:rPr>
              <w:t>5.校园安全要求</w:t>
            </w:r>
          </w:p>
        </w:tc>
        <w:tc>
          <w:tcPr>
            <w:tcW w:w="6231" w:type="dxa"/>
            <w:noWrap w:val="0"/>
            <w:vAlign w:val="center"/>
          </w:tcPr>
          <w:p w14:paraId="7CC90F70">
            <w:pPr>
              <w:widowControl/>
              <w:spacing w:line="360" w:lineRule="exact"/>
              <w:jc w:val="left"/>
              <w:textAlignment w:val="center"/>
              <w:rPr>
                <w:rFonts w:hint="eastAsia"/>
                <w:szCs w:val="21"/>
              </w:rPr>
            </w:pPr>
            <w:r>
              <w:rPr>
                <w:rFonts w:hint="eastAsia" w:ascii="宋体" w:hAnsi="宋体" w:cs="宋体"/>
                <w:kern w:val="0"/>
                <w:szCs w:val="21"/>
                <w:lang w:bidi="ar"/>
              </w:rPr>
              <w:t>在校园范围内，中标人及其配送人员须严格遵守学校及后勤保障部的交通安全规定和相关管理规定，限速（30公里/小时）行驶。若违反规定并导致交通事故，中标人须承担全部经济责任和法律责任。配送车辆及人员进入学校时，应严格依照学校在交通、安全等方面的要求执行。</w:t>
            </w:r>
          </w:p>
        </w:tc>
      </w:tr>
      <w:tr w14:paraId="6636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vMerge w:val="continue"/>
            <w:noWrap w:val="0"/>
            <w:vAlign w:val="center"/>
          </w:tcPr>
          <w:p w14:paraId="0B072DE5">
            <w:pPr>
              <w:jc w:val="center"/>
              <w:rPr>
                <w:rFonts w:hint="eastAsia"/>
                <w:szCs w:val="21"/>
              </w:rPr>
            </w:pPr>
          </w:p>
        </w:tc>
        <w:tc>
          <w:tcPr>
            <w:tcW w:w="1432" w:type="dxa"/>
            <w:vMerge w:val="continue"/>
            <w:noWrap w:val="0"/>
            <w:vAlign w:val="center"/>
          </w:tcPr>
          <w:p w14:paraId="037E4AC4">
            <w:pPr>
              <w:jc w:val="center"/>
              <w:rPr>
                <w:rFonts w:hint="eastAsia"/>
                <w:szCs w:val="21"/>
              </w:rPr>
            </w:pPr>
          </w:p>
        </w:tc>
        <w:tc>
          <w:tcPr>
            <w:tcW w:w="1432" w:type="dxa"/>
            <w:noWrap w:val="0"/>
            <w:vAlign w:val="center"/>
          </w:tcPr>
          <w:p w14:paraId="7307E51A">
            <w:pPr>
              <w:widowControl/>
              <w:jc w:val="left"/>
              <w:textAlignment w:val="center"/>
              <w:rPr>
                <w:rFonts w:hint="eastAsia"/>
                <w:szCs w:val="21"/>
              </w:rPr>
            </w:pPr>
            <w:r>
              <w:rPr>
                <w:rFonts w:hint="eastAsia" w:ascii="宋体" w:hAnsi="宋体" w:cs="宋体"/>
                <w:kern w:val="0"/>
                <w:szCs w:val="21"/>
                <w:lang w:bidi="ar"/>
              </w:rPr>
              <w:t>6.车辆保险</w:t>
            </w:r>
          </w:p>
        </w:tc>
        <w:tc>
          <w:tcPr>
            <w:tcW w:w="6231" w:type="dxa"/>
            <w:noWrap w:val="0"/>
            <w:vAlign w:val="center"/>
          </w:tcPr>
          <w:p w14:paraId="4F28166D">
            <w:pPr>
              <w:widowControl/>
              <w:spacing w:line="360" w:lineRule="exact"/>
              <w:jc w:val="left"/>
              <w:textAlignment w:val="center"/>
              <w:rPr>
                <w:rFonts w:hint="eastAsia"/>
                <w:szCs w:val="21"/>
              </w:rPr>
            </w:pPr>
            <w:r>
              <w:rPr>
                <w:rFonts w:hint="eastAsia" w:ascii="宋体" w:hAnsi="宋体" w:cs="宋体"/>
                <w:kern w:val="0"/>
                <w:szCs w:val="21"/>
                <w:lang w:bidi="ar"/>
              </w:rPr>
              <w:t>（1）中标人为本项目投入使用的全部车辆，均须购买合法有效的机动车保险，且保险手续齐全、投保主体合法。</w:t>
            </w:r>
            <w:r>
              <w:rPr>
                <w:rFonts w:hint="eastAsia" w:ascii="宋体" w:hAnsi="宋体" w:cs="宋体"/>
                <w:kern w:val="0"/>
                <w:szCs w:val="21"/>
                <w:lang w:bidi="ar"/>
              </w:rPr>
              <w:br w:type="textWrapping"/>
            </w:r>
            <w:r>
              <w:rPr>
                <w:rFonts w:hint="eastAsia" w:ascii="宋体" w:hAnsi="宋体" w:cs="宋体"/>
                <w:kern w:val="0"/>
                <w:szCs w:val="21"/>
                <w:lang w:bidi="ar"/>
              </w:rPr>
              <w:t>（2）车辆必须投保的基础险种为：机动车交通事故责任强制保险（以下简称“交强险”）、机动车第三者责任险（以下简称“三者险”）。其中，三者险保额不得低于200万元。</w:t>
            </w:r>
            <w:r>
              <w:rPr>
                <w:rFonts w:hint="eastAsia" w:ascii="宋体" w:hAnsi="宋体" w:cs="宋体"/>
                <w:kern w:val="0"/>
                <w:szCs w:val="21"/>
                <w:lang w:bidi="ar"/>
              </w:rPr>
              <w:br w:type="textWrapping"/>
            </w:r>
            <w:r>
              <w:rPr>
                <w:rFonts w:hint="eastAsia" w:ascii="宋体" w:hAnsi="宋体" w:cs="宋体"/>
                <w:kern w:val="0"/>
                <w:szCs w:val="21"/>
                <w:lang w:bidi="ar"/>
              </w:rPr>
              <w:t>（3）中标人可根据项目车辆实际使用场景，额外投保车损险、车上人员责任险（司机及乘客）、不计免赔险、盗抢险等补充险种，补充险种的投保标准由供应商自行确定，但不得降低本条款约定的基础险种及保额要求。</w:t>
            </w:r>
            <w:r>
              <w:rPr>
                <w:rFonts w:hint="eastAsia" w:ascii="宋体" w:hAnsi="宋体" w:cs="宋体"/>
                <w:kern w:val="0"/>
                <w:szCs w:val="21"/>
                <w:lang w:bidi="ar"/>
              </w:rPr>
              <w:br w:type="textWrapping"/>
            </w:r>
            <w:r>
              <w:rPr>
                <w:rFonts w:hint="eastAsia" w:ascii="宋体" w:hAnsi="宋体" w:cs="宋体"/>
                <w:kern w:val="0"/>
                <w:szCs w:val="21"/>
                <w:lang w:bidi="ar"/>
              </w:rPr>
              <w:t>（4）中标人中标后向采购人提供：①车辆为供应商自有的，提供能显示车辆归属权的车辆行驶证复印件及实车外观照片（能显示车辆号牌、冷藏车还应显示具有冷藏功能）②租赁车辆的，提供租赁合同复印件（租赁期限不短于本项目服务期限）及实车外观照片（能显示车辆号牌、冷藏车还应显示具有冷藏功能）③车辆商业保险复印件④签订入校安全承诺书。上述证明材料均需加盖公章。</w:t>
            </w:r>
          </w:p>
        </w:tc>
      </w:tr>
    </w:tbl>
    <w:p w14:paraId="64867981">
      <w:pPr>
        <w:rPr>
          <w:rFonts w:hint="eastAsia"/>
        </w:rPr>
      </w:pPr>
      <w:bookmarkStart w:id="11" w:name="_Toc230177038"/>
    </w:p>
    <w:p w14:paraId="32ABD095">
      <w:pPr>
        <w:pStyle w:val="4"/>
        <w:rPr>
          <w:rFonts w:hint="eastAsia"/>
        </w:rPr>
      </w:pPr>
      <w:bookmarkStart w:id="12" w:name="_Toc31443"/>
      <w:r>
        <w:rPr>
          <w:rFonts w:hint="eastAsia"/>
        </w:rPr>
        <w:t>六、售后服务（以下要求须在“项目要求应答表”中进行应答）</w:t>
      </w:r>
      <w:bookmarkEnd w:id="11"/>
      <w:bookmarkEnd w:id="12"/>
    </w:p>
    <w:tbl>
      <w:tblPr>
        <w:tblStyle w:val="5"/>
        <w:tblW w:w="9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2"/>
        <w:gridCol w:w="1432"/>
        <w:gridCol w:w="7663"/>
      </w:tblGrid>
      <w:tr w14:paraId="36CAC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7BB717EC">
            <w:pPr>
              <w:widowControl/>
              <w:jc w:val="center"/>
              <w:textAlignment w:val="center"/>
              <w:rPr>
                <w:rFonts w:hint="eastAsia"/>
                <w:szCs w:val="21"/>
              </w:rPr>
            </w:pPr>
            <w:r>
              <w:rPr>
                <w:rFonts w:hint="eastAsia" w:ascii="宋体" w:hAnsi="宋体" w:cs="宋体"/>
                <w:kern w:val="0"/>
                <w:szCs w:val="21"/>
                <w:lang w:bidi="ar"/>
              </w:rPr>
              <w:t>包号</w:t>
            </w:r>
          </w:p>
        </w:tc>
        <w:tc>
          <w:tcPr>
            <w:tcW w:w="1432" w:type="dxa"/>
            <w:noWrap w:val="0"/>
            <w:vAlign w:val="center"/>
          </w:tcPr>
          <w:p w14:paraId="750E2398">
            <w:pPr>
              <w:widowControl/>
              <w:jc w:val="center"/>
              <w:textAlignment w:val="center"/>
              <w:rPr>
                <w:rFonts w:hint="eastAsia"/>
                <w:szCs w:val="21"/>
              </w:rPr>
            </w:pPr>
            <w:r>
              <w:rPr>
                <w:rFonts w:hint="eastAsia" w:ascii="宋体" w:hAnsi="宋体" w:cs="宋体"/>
                <w:kern w:val="0"/>
                <w:szCs w:val="21"/>
                <w:lang w:bidi="ar"/>
              </w:rPr>
              <w:t>品类名称</w:t>
            </w:r>
          </w:p>
        </w:tc>
        <w:tc>
          <w:tcPr>
            <w:tcW w:w="7663" w:type="dxa"/>
            <w:noWrap w:val="0"/>
            <w:vAlign w:val="center"/>
          </w:tcPr>
          <w:p w14:paraId="0611D6A2">
            <w:pPr>
              <w:widowControl/>
              <w:jc w:val="center"/>
              <w:textAlignment w:val="center"/>
              <w:rPr>
                <w:rFonts w:hint="eastAsia"/>
                <w:szCs w:val="21"/>
              </w:rPr>
            </w:pPr>
            <w:r>
              <w:rPr>
                <w:rFonts w:hint="eastAsia" w:ascii="宋体" w:hAnsi="宋体" w:cs="宋体"/>
                <w:kern w:val="0"/>
                <w:szCs w:val="21"/>
                <w:lang w:bidi="ar"/>
              </w:rPr>
              <w:t>售后服务要求</w:t>
            </w:r>
          </w:p>
        </w:tc>
      </w:tr>
      <w:tr w14:paraId="7DA38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9900F12">
            <w:pPr>
              <w:widowControl/>
              <w:jc w:val="center"/>
              <w:textAlignment w:val="center"/>
              <w:rPr>
                <w:rFonts w:hint="eastAsia"/>
                <w:szCs w:val="21"/>
              </w:rPr>
            </w:pPr>
            <w:r>
              <w:rPr>
                <w:rFonts w:hint="eastAsia" w:ascii="宋体" w:hAnsi="宋体" w:cs="宋体"/>
                <w:kern w:val="0"/>
                <w:szCs w:val="21"/>
                <w:lang w:bidi="ar"/>
              </w:rPr>
              <w:t>01包</w:t>
            </w:r>
          </w:p>
        </w:tc>
        <w:tc>
          <w:tcPr>
            <w:tcW w:w="1432" w:type="dxa"/>
            <w:noWrap w:val="0"/>
            <w:vAlign w:val="center"/>
          </w:tcPr>
          <w:p w14:paraId="7F633835">
            <w:pPr>
              <w:widowControl/>
              <w:jc w:val="center"/>
              <w:textAlignment w:val="center"/>
              <w:rPr>
                <w:rFonts w:hint="eastAsia"/>
                <w:szCs w:val="21"/>
              </w:rPr>
            </w:pPr>
            <w:r>
              <w:rPr>
                <w:rFonts w:hint="eastAsia" w:ascii="宋体" w:hAnsi="宋体" w:cs="宋体"/>
                <w:kern w:val="0"/>
                <w:szCs w:val="21"/>
                <w:lang w:bidi="ar"/>
              </w:rPr>
              <w:t>大米</w:t>
            </w:r>
          </w:p>
        </w:tc>
        <w:tc>
          <w:tcPr>
            <w:tcW w:w="7663" w:type="dxa"/>
            <w:noWrap w:val="0"/>
            <w:vAlign w:val="center"/>
          </w:tcPr>
          <w:p w14:paraId="6C1D6F9B">
            <w:pPr>
              <w:widowControl/>
              <w:spacing w:line="360" w:lineRule="exact"/>
              <w:jc w:val="left"/>
              <w:textAlignment w:val="center"/>
              <w:rPr>
                <w:rFonts w:hint="eastAsia"/>
                <w:szCs w:val="21"/>
              </w:rPr>
            </w:pPr>
            <w:r>
              <w:rPr>
                <w:rFonts w:hint="eastAsia"/>
                <w:szCs w:val="21"/>
              </w:rPr>
              <w:t>1</w:t>
            </w:r>
            <w:r>
              <w:rPr>
                <w:szCs w:val="21"/>
              </w:rPr>
              <w:t>.</w:t>
            </w:r>
            <w:r>
              <w:rPr>
                <w:rFonts w:hint="eastAsia"/>
                <w:szCs w:val="21"/>
              </w:rPr>
              <w:t>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p>
          <w:p w14:paraId="6CAB983C">
            <w:pPr>
              <w:widowControl/>
              <w:spacing w:line="360" w:lineRule="exact"/>
              <w:jc w:val="left"/>
              <w:textAlignment w:val="center"/>
              <w:rPr>
                <w:rFonts w:hint="eastAsia"/>
                <w:szCs w:val="21"/>
              </w:rPr>
            </w:pPr>
            <w:r>
              <w:rPr>
                <w:rFonts w:hint="eastAsia"/>
                <w:szCs w:val="21"/>
              </w:rPr>
              <w:t>2</w:t>
            </w:r>
            <w:r>
              <w:rPr>
                <w:szCs w:val="21"/>
              </w:rPr>
              <w:t>.</w:t>
            </w:r>
            <w:r>
              <w:rPr>
                <w:rFonts w:hint="eastAsia"/>
                <w:szCs w:val="21"/>
              </w:rPr>
              <w:t>因供应商原因，未按时将货物送达指定地点，影响食堂按时供餐，给食堂造成不便和损失，其损失由供应商承担。</w:t>
            </w:r>
          </w:p>
          <w:p w14:paraId="0751D2B8">
            <w:pPr>
              <w:widowControl/>
              <w:spacing w:line="360" w:lineRule="exact"/>
              <w:jc w:val="left"/>
              <w:textAlignment w:val="center"/>
              <w:rPr>
                <w:rFonts w:hint="eastAsia"/>
                <w:szCs w:val="21"/>
              </w:rPr>
            </w:pPr>
            <w:r>
              <w:rPr>
                <w:rFonts w:hint="eastAsia"/>
                <w:szCs w:val="21"/>
              </w:rPr>
              <w:t>3</w:t>
            </w:r>
            <w:r>
              <w:rPr>
                <w:szCs w:val="21"/>
              </w:rPr>
              <w:t>.</w:t>
            </w:r>
            <w:r>
              <w:rPr>
                <w:rFonts w:hint="eastAsia"/>
                <w:szCs w:val="21"/>
              </w:rPr>
              <w:t>履行合同期间，中标人进行生产经营过程中所发生的一切费用自行承担，与采购人无关。</w:t>
            </w:r>
          </w:p>
          <w:p w14:paraId="5BF25577">
            <w:pPr>
              <w:widowControl/>
              <w:spacing w:line="360" w:lineRule="exact"/>
              <w:jc w:val="left"/>
              <w:textAlignment w:val="center"/>
              <w:rPr>
                <w:rFonts w:hint="eastAsia"/>
                <w:szCs w:val="21"/>
              </w:rPr>
            </w:pPr>
            <w:r>
              <w:rPr>
                <w:rFonts w:hint="eastAsia"/>
                <w:szCs w:val="21"/>
              </w:rPr>
              <w:t>4</w:t>
            </w:r>
            <w:r>
              <w:rPr>
                <w:szCs w:val="21"/>
              </w:rPr>
              <w:t>.</w:t>
            </w:r>
            <w:r>
              <w:rPr>
                <w:rFonts w:hint="eastAsia"/>
                <w:szCs w:val="21"/>
              </w:rPr>
              <w:t>中标人应配合采购人采取市场调查、同类比较、现场考察和满意度调查等方式对中标人进行考核，及时评估中标人价格是否合理、服务是否及时和质量是否稳定。</w:t>
            </w:r>
          </w:p>
          <w:p w14:paraId="6608F31C">
            <w:pPr>
              <w:widowControl/>
              <w:spacing w:line="360" w:lineRule="exact"/>
              <w:jc w:val="left"/>
              <w:textAlignment w:val="center"/>
              <w:rPr>
                <w:rFonts w:hint="eastAsia"/>
                <w:szCs w:val="21"/>
              </w:rPr>
            </w:pPr>
            <w:r>
              <w:rPr>
                <w:rFonts w:hint="eastAsia"/>
                <w:szCs w:val="21"/>
              </w:rPr>
              <w:t>5</w:t>
            </w:r>
            <w:r>
              <w:rPr>
                <w:szCs w:val="21"/>
              </w:rPr>
              <w:t>.</w:t>
            </w:r>
            <w:r>
              <w:rPr>
                <w:rFonts w:hint="eastAsia"/>
                <w:szCs w:val="21"/>
              </w:rPr>
              <w:t>中标人须以本企业经营主体名义投保食品安全责任险，保单中食品类型须包含所中包件全部食材种类，保额1000万元或以上，合同履行期间不断保、不降低保险购买额度。</w:t>
            </w:r>
          </w:p>
        </w:tc>
      </w:tr>
      <w:tr w14:paraId="05036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2A31C294">
            <w:pPr>
              <w:widowControl/>
              <w:jc w:val="center"/>
              <w:textAlignment w:val="center"/>
              <w:rPr>
                <w:rFonts w:hint="eastAsia"/>
                <w:szCs w:val="21"/>
              </w:rPr>
            </w:pPr>
            <w:r>
              <w:rPr>
                <w:rFonts w:hint="eastAsia" w:ascii="宋体" w:hAnsi="宋体" w:cs="宋体"/>
                <w:kern w:val="0"/>
                <w:szCs w:val="21"/>
                <w:lang w:bidi="ar"/>
              </w:rPr>
              <w:t>02包</w:t>
            </w:r>
          </w:p>
        </w:tc>
        <w:tc>
          <w:tcPr>
            <w:tcW w:w="1432" w:type="dxa"/>
            <w:noWrap w:val="0"/>
            <w:vAlign w:val="center"/>
          </w:tcPr>
          <w:p w14:paraId="0F4468D9">
            <w:pPr>
              <w:widowControl/>
              <w:jc w:val="center"/>
              <w:textAlignment w:val="center"/>
              <w:rPr>
                <w:rFonts w:hint="eastAsia"/>
                <w:szCs w:val="21"/>
              </w:rPr>
            </w:pPr>
            <w:r>
              <w:rPr>
                <w:rFonts w:hint="eastAsia" w:ascii="宋体" w:hAnsi="宋体" w:cs="宋体"/>
                <w:kern w:val="0"/>
                <w:szCs w:val="21"/>
                <w:lang w:bidi="ar"/>
              </w:rPr>
              <w:t>食用油</w:t>
            </w:r>
          </w:p>
        </w:tc>
        <w:tc>
          <w:tcPr>
            <w:tcW w:w="7663" w:type="dxa"/>
            <w:noWrap w:val="0"/>
            <w:vAlign w:val="center"/>
          </w:tcPr>
          <w:p w14:paraId="59DA10CE">
            <w:pPr>
              <w:widowControl/>
              <w:spacing w:line="360" w:lineRule="exact"/>
              <w:jc w:val="left"/>
              <w:textAlignment w:val="center"/>
              <w:rPr>
                <w:rFonts w:hint="eastAsia"/>
                <w:szCs w:val="21"/>
              </w:rPr>
            </w:pPr>
            <w:r>
              <w:rPr>
                <w:rFonts w:hint="eastAsia"/>
                <w:szCs w:val="21"/>
              </w:rPr>
              <w:t>1</w:t>
            </w:r>
            <w:r>
              <w:rPr>
                <w:szCs w:val="21"/>
              </w:rPr>
              <w:t>.</w:t>
            </w:r>
            <w:r>
              <w:rPr>
                <w:rFonts w:hint="eastAsia"/>
                <w:szCs w:val="21"/>
              </w:rPr>
              <w:t>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p>
          <w:p w14:paraId="31DD607E">
            <w:pPr>
              <w:widowControl/>
              <w:spacing w:line="360" w:lineRule="exact"/>
              <w:jc w:val="left"/>
              <w:textAlignment w:val="center"/>
              <w:rPr>
                <w:rFonts w:hint="eastAsia"/>
                <w:szCs w:val="21"/>
              </w:rPr>
            </w:pPr>
            <w:r>
              <w:rPr>
                <w:rFonts w:hint="eastAsia"/>
                <w:szCs w:val="21"/>
              </w:rPr>
              <w:t>2</w:t>
            </w:r>
            <w:r>
              <w:rPr>
                <w:szCs w:val="21"/>
              </w:rPr>
              <w:t>.</w:t>
            </w:r>
            <w:r>
              <w:rPr>
                <w:rFonts w:hint="eastAsia"/>
                <w:szCs w:val="21"/>
              </w:rPr>
              <w:t>因供应商原因，未按时将货物送达指定地点，影响食堂按时供餐，给食堂造成不便和损失，其损失由供应商承担。</w:t>
            </w:r>
          </w:p>
          <w:p w14:paraId="73F17597">
            <w:pPr>
              <w:widowControl/>
              <w:spacing w:line="360" w:lineRule="exact"/>
              <w:jc w:val="left"/>
              <w:textAlignment w:val="center"/>
              <w:rPr>
                <w:rFonts w:hint="eastAsia"/>
                <w:szCs w:val="21"/>
              </w:rPr>
            </w:pPr>
            <w:r>
              <w:rPr>
                <w:rFonts w:hint="eastAsia"/>
                <w:szCs w:val="21"/>
              </w:rPr>
              <w:t>3</w:t>
            </w:r>
            <w:r>
              <w:rPr>
                <w:szCs w:val="21"/>
              </w:rPr>
              <w:t>.</w:t>
            </w:r>
            <w:r>
              <w:rPr>
                <w:rFonts w:hint="eastAsia"/>
                <w:szCs w:val="21"/>
              </w:rPr>
              <w:t>履行合同期间，中标人进行生产经营过程中所发生的一切费用自行承担，与采购人无关。</w:t>
            </w:r>
          </w:p>
          <w:p w14:paraId="680F65EF">
            <w:pPr>
              <w:widowControl/>
              <w:spacing w:line="360" w:lineRule="exact"/>
              <w:jc w:val="left"/>
              <w:textAlignment w:val="center"/>
              <w:rPr>
                <w:rFonts w:hint="eastAsia"/>
                <w:szCs w:val="21"/>
              </w:rPr>
            </w:pPr>
            <w:r>
              <w:rPr>
                <w:rFonts w:hint="eastAsia"/>
                <w:szCs w:val="21"/>
              </w:rPr>
              <w:t>4</w:t>
            </w:r>
            <w:r>
              <w:rPr>
                <w:szCs w:val="21"/>
              </w:rPr>
              <w:t>.</w:t>
            </w:r>
            <w:r>
              <w:rPr>
                <w:rFonts w:hint="eastAsia"/>
                <w:szCs w:val="21"/>
              </w:rPr>
              <w:t>中标人应配合采购人采取市场调查、同类比较、现场考察和满意度调查等方式对中标人进行考核，及时评估中标人价格是否合理、服务是否及时和质量是否稳定。</w:t>
            </w:r>
          </w:p>
          <w:p w14:paraId="50DB3C1F">
            <w:pPr>
              <w:widowControl/>
              <w:spacing w:line="360" w:lineRule="exact"/>
              <w:jc w:val="left"/>
              <w:textAlignment w:val="center"/>
              <w:rPr>
                <w:rFonts w:hint="eastAsia"/>
                <w:szCs w:val="21"/>
              </w:rPr>
            </w:pPr>
            <w:r>
              <w:rPr>
                <w:rFonts w:hint="eastAsia"/>
                <w:szCs w:val="21"/>
              </w:rPr>
              <w:t>5</w:t>
            </w:r>
            <w:r>
              <w:rPr>
                <w:szCs w:val="21"/>
              </w:rPr>
              <w:t>.</w:t>
            </w:r>
            <w:r>
              <w:rPr>
                <w:rFonts w:hint="eastAsia"/>
                <w:szCs w:val="21"/>
              </w:rPr>
              <w:t>中标人须以本企业经营主体名义投保食品安全责任险，保单中食品类型须包含所中包件全部食材种类，保额1000万元或以上，合同履行期间不断保、不降低保险购买额度。</w:t>
            </w:r>
          </w:p>
        </w:tc>
      </w:tr>
      <w:tr w14:paraId="1FFBE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617B9149">
            <w:pPr>
              <w:widowControl/>
              <w:jc w:val="center"/>
              <w:textAlignment w:val="center"/>
              <w:rPr>
                <w:rFonts w:hint="eastAsia"/>
                <w:szCs w:val="21"/>
              </w:rPr>
            </w:pPr>
            <w:r>
              <w:rPr>
                <w:rFonts w:hint="eastAsia" w:ascii="宋体" w:hAnsi="宋体" w:cs="宋体"/>
                <w:kern w:val="0"/>
                <w:szCs w:val="21"/>
                <w:lang w:bidi="ar"/>
              </w:rPr>
              <w:t>03包</w:t>
            </w:r>
          </w:p>
        </w:tc>
        <w:tc>
          <w:tcPr>
            <w:tcW w:w="1432" w:type="dxa"/>
            <w:noWrap w:val="0"/>
            <w:vAlign w:val="center"/>
          </w:tcPr>
          <w:p w14:paraId="555CAA1B">
            <w:pPr>
              <w:widowControl/>
              <w:jc w:val="center"/>
              <w:textAlignment w:val="center"/>
              <w:rPr>
                <w:rFonts w:hint="eastAsia"/>
                <w:szCs w:val="21"/>
              </w:rPr>
            </w:pPr>
            <w:r>
              <w:rPr>
                <w:rFonts w:hint="eastAsia" w:ascii="宋体" w:hAnsi="宋体" w:cs="宋体"/>
                <w:kern w:val="0"/>
                <w:szCs w:val="21"/>
                <w:lang w:bidi="ar"/>
              </w:rPr>
              <w:t>面粉</w:t>
            </w:r>
          </w:p>
        </w:tc>
        <w:tc>
          <w:tcPr>
            <w:tcW w:w="7663" w:type="dxa"/>
            <w:noWrap w:val="0"/>
            <w:vAlign w:val="center"/>
          </w:tcPr>
          <w:p w14:paraId="36ACF11B">
            <w:pPr>
              <w:widowControl/>
              <w:spacing w:line="360" w:lineRule="exact"/>
              <w:jc w:val="left"/>
              <w:textAlignment w:val="center"/>
              <w:rPr>
                <w:rFonts w:hint="eastAsia"/>
                <w:szCs w:val="21"/>
              </w:rPr>
            </w:pPr>
            <w:r>
              <w:rPr>
                <w:rFonts w:hint="eastAsia"/>
                <w:szCs w:val="21"/>
              </w:rPr>
              <w:t>1</w:t>
            </w:r>
            <w:r>
              <w:rPr>
                <w:szCs w:val="21"/>
              </w:rPr>
              <w:t>.</w:t>
            </w:r>
            <w:r>
              <w:rPr>
                <w:rFonts w:hint="eastAsia"/>
                <w:szCs w:val="21"/>
              </w:rPr>
              <w:t>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p>
          <w:p w14:paraId="4BD14369">
            <w:pPr>
              <w:widowControl/>
              <w:spacing w:line="360" w:lineRule="exact"/>
              <w:jc w:val="left"/>
              <w:textAlignment w:val="center"/>
              <w:rPr>
                <w:rFonts w:hint="eastAsia"/>
                <w:szCs w:val="21"/>
              </w:rPr>
            </w:pPr>
            <w:r>
              <w:rPr>
                <w:rFonts w:hint="eastAsia"/>
                <w:szCs w:val="21"/>
              </w:rPr>
              <w:t>2</w:t>
            </w:r>
            <w:r>
              <w:rPr>
                <w:szCs w:val="21"/>
              </w:rPr>
              <w:t>.</w:t>
            </w:r>
            <w:r>
              <w:rPr>
                <w:rFonts w:hint="eastAsia"/>
                <w:szCs w:val="21"/>
              </w:rPr>
              <w:t>因供应商原因，未按时将货物送达指定地点，影响食堂按时供餐，给食堂造成不便和损失，其损失由供应商承担。</w:t>
            </w:r>
          </w:p>
          <w:p w14:paraId="548E03AF">
            <w:pPr>
              <w:widowControl/>
              <w:spacing w:line="360" w:lineRule="exact"/>
              <w:jc w:val="left"/>
              <w:textAlignment w:val="center"/>
              <w:rPr>
                <w:rFonts w:hint="eastAsia"/>
                <w:szCs w:val="21"/>
              </w:rPr>
            </w:pPr>
            <w:r>
              <w:rPr>
                <w:rFonts w:hint="eastAsia"/>
                <w:szCs w:val="21"/>
              </w:rPr>
              <w:t>3</w:t>
            </w:r>
            <w:r>
              <w:rPr>
                <w:szCs w:val="21"/>
              </w:rPr>
              <w:t>.</w:t>
            </w:r>
            <w:r>
              <w:rPr>
                <w:rFonts w:hint="eastAsia"/>
                <w:szCs w:val="21"/>
              </w:rPr>
              <w:t>履行合同期间，中标人进行生产经营过程中所发生的一切费用自行承担，与采购人无关。</w:t>
            </w:r>
          </w:p>
          <w:p w14:paraId="7F7C3EDC">
            <w:pPr>
              <w:widowControl/>
              <w:spacing w:line="360" w:lineRule="exact"/>
              <w:jc w:val="left"/>
              <w:textAlignment w:val="center"/>
              <w:rPr>
                <w:rFonts w:hint="eastAsia"/>
                <w:szCs w:val="21"/>
              </w:rPr>
            </w:pPr>
            <w:r>
              <w:rPr>
                <w:rFonts w:hint="eastAsia"/>
                <w:szCs w:val="21"/>
              </w:rPr>
              <w:t>4</w:t>
            </w:r>
            <w:r>
              <w:rPr>
                <w:szCs w:val="21"/>
              </w:rPr>
              <w:t>.</w:t>
            </w:r>
            <w:r>
              <w:rPr>
                <w:rFonts w:hint="eastAsia"/>
                <w:szCs w:val="21"/>
              </w:rPr>
              <w:t>中标人应配合采购人采取市场调查、同类比较、现场考察和满意度调查等方式对中标人进行考核，及时评估中标人价格是否合理、服务是否及时和质量是否稳定。</w:t>
            </w:r>
          </w:p>
          <w:p w14:paraId="64110DA4">
            <w:pPr>
              <w:widowControl/>
              <w:spacing w:line="360" w:lineRule="exact"/>
              <w:jc w:val="left"/>
              <w:textAlignment w:val="center"/>
              <w:rPr>
                <w:rFonts w:hint="eastAsia"/>
                <w:szCs w:val="21"/>
              </w:rPr>
            </w:pPr>
            <w:r>
              <w:rPr>
                <w:rFonts w:hint="eastAsia"/>
                <w:szCs w:val="21"/>
              </w:rPr>
              <w:t>5</w:t>
            </w:r>
            <w:r>
              <w:rPr>
                <w:szCs w:val="21"/>
              </w:rPr>
              <w:t>.</w:t>
            </w:r>
            <w:r>
              <w:rPr>
                <w:rFonts w:hint="eastAsia"/>
                <w:szCs w:val="21"/>
              </w:rPr>
              <w:t>中标人须以本企业经营主体名义投保食品安全责任险，保单中食品类型须包含所中包件全部食材种类，保额1000万元或以上，合同履行期间不断保、不降低保险购买额度。</w:t>
            </w:r>
          </w:p>
        </w:tc>
      </w:tr>
      <w:tr w14:paraId="4030D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2" w:type="dxa"/>
            <w:noWrap w:val="0"/>
            <w:vAlign w:val="center"/>
          </w:tcPr>
          <w:p w14:paraId="3A720F07">
            <w:pPr>
              <w:widowControl/>
              <w:jc w:val="center"/>
              <w:textAlignment w:val="center"/>
              <w:rPr>
                <w:rFonts w:hint="eastAsia"/>
                <w:szCs w:val="21"/>
              </w:rPr>
            </w:pPr>
            <w:r>
              <w:rPr>
                <w:rFonts w:hint="eastAsia" w:ascii="宋体" w:hAnsi="宋体" w:cs="宋体"/>
                <w:kern w:val="0"/>
                <w:szCs w:val="21"/>
                <w:lang w:bidi="ar"/>
              </w:rPr>
              <w:t>04包</w:t>
            </w:r>
          </w:p>
        </w:tc>
        <w:tc>
          <w:tcPr>
            <w:tcW w:w="1432" w:type="dxa"/>
            <w:noWrap w:val="0"/>
            <w:vAlign w:val="center"/>
          </w:tcPr>
          <w:p w14:paraId="436FD493">
            <w:pPr>
              <w:widowControl/>
              <w:jc w:val="center"/>
              <w:textAlignment w:val="center"/>
              <w:rPr>
                <w:rFonts w:hint="eastAsia"/>
                <w:szCs w:val="21"/>
              </w:rPr>
            </w:pPr>
            <w:r>
              <w:rPr>
                <w:rFonts w:hint="eastAsia" w:ascii="宋体" w:hAnsi="宋体" w:cs="宋体"/>
                <w:kern w:val="0"/>
                <w:szCs w:val="21"/>
                <w:lang w:bidi="ar"/>
              </w:rPr>
              <w:t>蛋类</w:t>
            </w:r>
          </w:p>
        </w:tc>
        <w:tc>
          <w:tcPr>
            <w:tcW w:w="7663" w:type="dxa"/>
            <w:noWrap w:val="0"/>
            <w:vAlign w:val="center"/>
          </w:tcPr>
          <w:p w14:paraId="380D6D95">
            <w:pPr>
              <w:widowControl/>
              <w:spacing w:line="360" w:lineRule="exact"/>
              <w:jc w:val="left"/>
              <w:textAlignment w:val="center"/>
              <w:rPr>
                <w:rFonts w:hint="eastAsia"/>
                <w:szCs w:val="21"/>
              </w:rPr>
            </w:pPr>
            <w:r>
              <w:rPr>
                <w:rFonts w:hint="eastAsia"/>
                <w:szCs w:val="21"/>
              </w:rPr>
              <w:t>1</w:t>
            </w:r>
            <w:r>
              <w:rPr>
                <w:szCs w:val="21"/>
              </w:rPr>
              <w:t>.</w:t>
            </w:r>
            <w:r>
              <w:rPr>
                <w:rFonts w:hint="eastAsia"/>
                <w:szCs w:val="21"/>
              </w:rPr>
              <w:t>中标人须保质、保量为采购人供应所需货物，证照齐全。中标人及其所供应的物资须符合食品安全法、动物防疫法及其他行政法律法规规定的相关要求。若因中标人供应的货物存在质量问题而引发食品安全事件（包括但不限于食物中毒等），中标人须承担由此产生的全部经济赔偿责任与法律责任。因质量致使第三人受到损害的，中标人应承担第三人的全部赔偿责任。第三人向采购人索赔的所有费用，也应由中标人全部承担。</w:t>
            </w:r>
          </w:p>
          <w:p w14:paraId="706840F2">
            <w:pPr>
              <w:widowControl/>
              <w:spacing w:line="360" w:lineRule="exact"/>
              <w:jc w:val="left"/>
              <w:textAlignment w:val="center"/>
              <w:rPr>
                <w:rFonts w:hint="eastAsia"/>
                <w:szCs w:val="21"/>
              </w:rPr>
            </w:pPr>
            <w:r>
              <w:rPr>
                <w:rFonts w:hint="eastAsia"/>
                <w:szCs w:val="21"/>
              </w:rPr>
              <w:t>2</w:t>
            </w:r>
            <w:r>
              <w:rPr>
                <w:szCs w:val="21"/>
              </w:rPr>
              <w:t>.</w:t>
            </w:r>
            <w:r>
              <w:rPr>
                <w:rFonts w:hint="eastAsia"/>
                <w:szCs w:val="21"/>
              </w:rPr>
              <w:t>因供应商原因，未按时将货物送达指定地点，影响食堂按时供餐，给食堂造成不便和损失，其损失由供应商承担。</w:t>
            </w:r>
          </w:p>
          <w:p w14:paraId="227EC1F2">
            <w:pPr>
              <w:widowControl/>
              <w:spacing w:line="360" w:lineRule="exact"/>
              <w:jc w:val="left"/>
              <w:textAlignment w:val="center"/>
              <w:rPr>
                <w:rFonts w:hint="eastAsia"/>
                <w:szCs w:val="21"/>
              </w:rPr>
            </w:pPr>
            <w:r>
              <w:rPr>
                <w:rFonts w:hint="eastAsia"/>
                <w:szCs w:val="21"/>
              </w:rPr>
              <w:t>3</w:t>
            </w:r>
            <w:r>
              <w:rPr>
                <w:szCs w:val="21"/>
              </w:rPr>
              <w:t>.</w:t>
            </w:r>
            <w:r>
              <w:rPr>
                <w:rFonts w:hint="eastAsia"/>
                <w:szCs w:val="21"/>
              </w:rPr>
              <w:t>履行合同期间，中标人进行生产经营过程中所发生的一切费用自行承担，与采购人无关。</w:t>
            </w:r>
          </w:p>
          <w:p w14:paraId="7A710453">
            <w:pPr>
              <w:widowControl/>
              <w:spacing w:line="360" w:lineRule="exact"/>
              <w:jc w:val="left"/>
              <w:textAlignment w:val="center"/>
              <w:rPr>
                <w:rFonts w:hint="eastAsia"/>
                <w:szCs w:val="21"/>
              </w:rPr>
            </w:pPr>
            <w:r>
              <w:rPr>
                <w:rFonts w:hint="eastAsia"/>
                <w:szCs w:val="21"/>
              </w:rPr>
              <w:t>4</w:t>
            </w:r>
            <w:r>
              <w:rPr>
                <w:szCs w:val="21"/>
              </w:rPr>
              <w:t>.</w:t>
            </w:r>
            <w:r>
              <w:rPr>
                <w:rFonts w:hint="eastAsia"/>
                <w:szCs w:val="21"/>
              </w:rPr>
              <w:t>中标人应配合采购人采取市场调查、同类比较、现场考察和满意度调查等方式对中标人进行考核，及时评估中标人价格是否合理、服务是否及时和质量是否稳定。</w:t>
            </w:r>
          </w:p>
          <w:p w14:paraId="0008C8D7">
            <w:pPr>
              <w:widowControl/>
              <w:spacing w:line="360" w:lineRule="exact"/>
              <w:jc w:val="left"/>
              <w:textAlignment w:val="center"/>
              <w:rPr>
                <w:rFonts w:hint="eastAsia"/>
                <w:szCs w:val="21"/>
              </w:rPr>
            </w:pPr>
            <w:r>
              <w:rPr>
                <w:rFonts w:hint="eastAsia"/>
                <w:szCs w:val="21"/>
              </w:rPr>
              <w:t>5</w:t>
            </w:r>
            <w:r>
              <w:rPr>
                <w:szCs w:val="21"/>
              </w:rPr>
              <w:t>.</w:t>
            </w:r>
            <w:r>
              <w:rPr>
                <w:rFonts w:hint="eastAsia"/>
                <w:szCs w:val="21"/>
              </w:rPr>
              <w:t>中标人须以本企业经营主体名义投保食品安全责任险，保单中食品类型须包含所中包件全部食材种类，保额1000万元或以上，合同履行期间不断保、不降低保险购买额度。</w:t>
            </w:r>
          </w:p>
        </w:tc>
      </w:tr>
    </w:tbl>
    <w:p w14:paraId="30D8C4F5">
      <w:pPr>
        <w:rPr>
          <w:rFonts w:hint="eastAsia"/>
        </w:rPr>
      </w:pPr>
      <w:bookmarkStart w:id="13" w:name="_Toc230177039"/>
    </w:p>
    <w:p w14:paraId="230EE83C">
      <w:pPr>
        <w:pStyle w:val="4"/>
        <w:rPr>
          <w:rFonts w:hint="eastAsia"/>
        </w:rPr>
      </w:pPr>
      <w:bookmarkStart w:id="14" w:name="_Toc28222"/>
      <w:r>
        <w:rPr>
          <w:rFonts w:hint="eastAsia"/>
        </w:rPr>
        <w:t>七、合同执行（以下要求须在“项目要求应答表”中进行应答）</w:t>
      </w:r>
      <w:bookmarkEnd w:id="13"/>
      <w:bookmarkEnd w:id="14"/>
    </w:p>
    <w:p w14:paraId="118797CE">
      <w:pPr>
        <w:rPr>
          <w:rFonts w:hint="eastAsia"/>
          <w:b/>
          <w:bCs/>
          <w:sz w:val="24"/>
          <w:szCs w:val="32"/>
        </w:rPr>
      </w:pPr>
      <w:r>
        <w:rPr>
          <w:rFonts w:hint="eastAsia"/>
          <w:b/>
          <w:bCs/>
          <w:sz w:val="24"/>
          <w:szCs w:val="32"/>
        </w:rPr>
        <w:t>01包（大米）：</w:t>
      </w:r>
    </w:p>
    <w:p w14:paraId="71F3437C">
      <w:pPr>
        <w:spacing w:line="360" w:lineRule="atLeast"/>
        <w:ind w:firstLine="422" w:firstLineChars="200"/>
        <w:rPr>
          <w:b/>
          <w:bCs/>
        </w:rPr>
      </w:pPr>
      <w:r>
        <w:rPr>
          <w:rFonts w:hint="eastAsia"/>
          <w:b/>
          <w:bCs/>
        </w:rPr>
        <w:t>1.索证索票相关要求</w:t>
      </w:r>
    </w:p>
    <w:p w14:paraId="42B891C6">
      <w:pPr>
        <w:spacing w:line="360" w:lineRule="atLeast"/>
        <w:ind w:firstLine="420" w:firstLineChars="200"/>
      </w:pPr>
      <w:r>
        <w:rPr>
          <w:rFonts w:hint="eastAsia"/>
        </w:rPr>
        <w:t>采购人与中标人签订合同之时，各中标人须提供营业执照、食品生产许可证或食品经营许可证（若涉及相关业务）、检测或检验检疫报告（若涉及相关业务）、税务登记证（若已更换为三证合一的营业执照，则无需提供）、本项目管理人员名单、配送人员名单以及法定代表人身份证原件，以供采购人进行审验，并留存复印件存档以备查核。若中标人为经销商，还须提供中标相关产品的生产厂家营业执照、《食品生产许可证》。上述资质文件及检验报告须处于有效期内，若在合同履行期间发生更换，应在有效期满之前进行更换，更换后3日内将最新版本提交至采购人存档。</w:t>
      </w:r>
    </w:p>
    <w:p w14:paraId="216BE563">
      <w:pPr>
        <w:spacing w:line="360" w:lineRule="atLeast"/>
        <w:ind w:firstLine="422" w:firstLineChars="200"/>
        <w:rPr>
          <w:b/>
          <w:bCs/>
        </w:rPr>
      </w:pPr>
      <w:r>
        <w:rPr>
          <w:rFonts w:hint="eastAsia"/>
          <w:b/>
          <w:bCs/>
        </w:rPr>
        <w:t>2.验收标准</w:t>
      </w:r>
    </w:p>
    <w:tbl>
      <w:tblPr>
        <w:tblStyle w:val="5"/>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105"/>
        <w:gridCol w:w="1527"/>
        <w:gridCol w:w="2932"/>
        <w:gridCol w:w="2602"/>
      </w:tblGrid>
      <w:tr w14:paraId="459FD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4" w:type="dxa"/>
            <w:noWrap w:val="0"/>
            <w:vAlign w:val="center"/>
          </w:tcPr>
          <w:p w14:paraId="2565EF7E">
            <w:pPr>
              <w:pStyle w:val="9"/>
              <w:spacing w:line="240" w:lineRule="auto"/>
              <w:jc w:val="center"/>
              <w:rPr>
                <w:rFonts w:hint="eastAsia" w:ascii="宋体" w:hAnsi="宋体" w:cs="宋体"/>
                <w:b/>
                <w:bCs/>
              </w:rPr>
            </w:pPr>
            <w:r>
              <w:rPr>
                <w:rFonts w:hint="eastAsia" w:ascii="宋体" w:hAnsi="宋体" w:cs="宋体"/>
                <w:b/>
                <w:bCs/>
              </w:rPr>
              <w:t>序号</w:t>
            </w:r>
          </w:p>
        </w:tc>
        <w:tc>
          <w:tcPr>
            <w:tcW w:w="1105" w:type="dxa"/>
            <w:noWrap w:val="0"/>
            <w:vAlign w:val="center"/>
          </w:tcPr>
          <w:p w14:paraId="21400EF8">
            <w:pPr>
              <w:pStyle w:val="9"/>
              <w:spacing w:line="240" w:lineRule="auto"/>
              <w:jc w:val="center"/>
              <w:rPr>
                <w:rFonts w:hint="eastAsia" w:ascii="宋体" w:hAnsi="宋体" w:cs="宋体"/>
                <w:b/>
                <w:bCs/>
              </w:rPr>
            </w:pPr>
            <w:r>
              <w:rPr>
                <w:rFonts w:hint="eastAsia" w:ascii="宋体" w:hAnsi="宋体" w:cs="宋体"/>
                <w:b/>
              </w:rPr>
              <w:t>物资名称</w:t>
            </w:r>
          </w:p>
        </w:tc>
        <w:tc>
          <w:tcPr>
            <w:tcW w:w="1527" w:type="dxa"/>
            <w:noWrap w:val="0"/>
            <w:vAlign w:val="center"/>
          </w:tcPr>
          <w:p w14:paraId="0609B343">
            <w:pPr>
              <w:pStyle w:val="9"/>
              <w:spacing w:line="240" w:lineRule="auto"/>
              <w:jc w:val="center"/>
              <w:rPr>
                <w:rFonts w:hint="eastAsia" w:ascii="宋体" w:hAnsi="宋体" w:cs="宋体"/>
                <w:b/>
                <w:bCs/>
              </w:rPr>
            </w:pPr>
            <w:r>
              <w:rPr>
                <w:rFonts w:hint="eastAsia" w:ascii="宋体" w:hAnsi="宋体" w:cs="宋体"/>
                <w:b/>
                <w:bCs/>
              </w:rPr>
              <w:t>需检证件</w:t>
            </w:r>
          </w:p>
        </w:tc>
        <w:tc>
          <w:tcPr>
            <w:tcW w:w="2932" w:type="dxa"/>
            <w:noWrap w:val="0"/>
            <w:vAlign w:val="center"/>
          </w:tcPr>
          <w:p w14:paraId="2439BB0D">
            <w:pPr>
              <w:pStyle w:val="9"/>
              <w:spacing w:line="240" w:lineRule="auto"/>
              <w:jc w:val="center"/>
              <w:rPr>
                <w:rFonts w:hint="eastAsia" w:ascii="宋体" w:hAnsi="宋体" w:cs="宋体"/>
                <w:b/>
                <w:bCs/>
              </w:rPr>
            </w:pPr>
            <w:r>
              <w:rPr>
                <w:rFonts w:hint="eastAsia" w:ascii="宋体" w:hAnsi="宋体" w:cs="宋体"/>
                <w:b/>
                <w:bCs/>
              </w:rPr>
              <w:t>检验标准</w:t>
            </w:r>
          </w:p>
        </w:tc>
        <w:tc>
          <w:tcPr>
            <w:tcW w:w="2602" w:type="dxa"/>
            <w:noWrap w:val="0"/>
            <w:vAlign w:val="center"/>
          </w:tcPr>
          <w:p w14:paraId="34244CF4">
            <w:pPr>
              <w:pStyle w:val="9"/>
              <w:spacing w:line="240" w:lineRule="auto"/>
              <w:jc w:val="center"/>
              <w:rPr>
                <w:rFonts w:hint="eastAsia" w:ascii="宋体" w:hAnsi="宋体" w:cs="宋体"/>
                <w:b/>
                <w:bCs/>
              </w:rPr>
            </w:pPr>
            <w:r>
              <w:rPr>
                <w:rFonts w:hint="eastAsia" w:ascii="宋体" w:hAnsi="宋体" w:cs="宋体"/>
                <w:b/>
                <w:bCs/>
              </w:rPr>
              <w:t>不合格判定</w:t>
            </w:r>
          </w:p>
        </w:tc>
      </w:tr>
      <w:tr w14:paraId="089FA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6" w:hRule="atLeast"/>
          <w:jc w:val="center"/>
        </w:trPr>
        <w:tc>
          <w:tcPr>
            <w:tcW w:w="714" w:type="dxa"/>
            <w:noWrap w:val="0"/>
            <w:vAlign w:val="center"/>
          </w:tcPr>
          <w:p w14:paraId="197BA195">
            <w:pPr>
              <w:pStyle w:val="9"/>
              <w:spacing w:line="240" w:lineRule="auto"/>
              <w:jc w:val="center"/>
              <w:rPr>
                <w:rFonts w:hint="eastAsia" w:ascii="宋体" w:hAnsi="宋体" w:cs="宋体"/>
              </w:rPr>
            </w:pPr>
            <w:r>
              <w:rPr>
                <w:rFonts w:hint="eastAsia" w:ascii="宋体" w:hAnsi="宋体" w:cs="宋体"/>
              </w:rPr>
              <w:t>1</w:t>
            </w:r>
          </w:p>
        </w:tc>
        <w:tc>
          <w:tcPr>
            <w:tcW w:w="1105" w:type="dxa"/>
            <w:noWrap w:val="0"/>
            <w:vAlign w:val="center"/>
          </w:tcPr>
          <w:p w14:paraId="0F771597">
            <w:pPr>
              <w:widowControl/>
              <w:jc w:val="center"/>
              <w:textAlignment w:val="center"/>
              <w:rPr>
                <w:rFonts w:hint="eastAsia" w:ascii="宋体" w:hAnsi="宋体" w:cs="宋体"/>
                <w:kern w:val="0"/>
                <w:szCs w:val="21"/>
                <w:lang w:bidi="ar"/>
              </w:rPr>
            </w:pPr>
            <w:r>
              <w:rPr>
                <w:rFonts w:hint="eastAsia" w:ascii="宋体" w:hAnsi="宋体" w:cs="宋体"/>
                <w:kern w:val="0"/>
                <w:szCs w:val="21"/>
                <w:lang w:bidi="ar"/>
              </w:rPr>
              <w:t>籼米</w:t>
            </w:r>
          </w:p>
          <w:p w14:paraId="6900E0D6">
            <w:pPr>
              <w:widowControl/>
              <w:jc w:val="center"/>
              <w:textAlignment w:val="center"/>
              <w:rPr>
                <w:rFonts w:hint="eastAsia" w:ascii="宋体" w:hAnsi="宋体" w:cs="宋体"/>
                <w:szCs w:val="21"/>
              </w:rPr>
            </w:pPr>
            <w:r>
              <w:rPr>
                <w:rFonts w:hint="eastAsia" w:ascii="宋体" w:hAnsi="宋体" w:cs="宋体"/>
                <w:kern w:val="0"/>
                <w:szCs w:val="21"/>
                <w:lang w:bidi="ar"/>
              </w:rPr>
              <w:t>（一级）</w:t>
            </w:r>
          </w:p>
        </w:tc>
        <w:tc>
          <w:tcPr>
            <w:tcW w:w="1527" w:type="dxa"/>
            <w:vMerge w:val="restart"/>
            <w:noWrap w:val="0"/>
            <w:vAlign w:val="center"/>
          </w:tcPr>
          <w:p w14:paraId="61CB4AF2">
            <w:pPr>
              <w:spacing w:line="360" w:lineRule="atLeast"/>
              <w:rPr>
                <w:rFonts w:hint="eastAsia"/>
              </w:rPr>
            </w:pPr>
            <w:r>
              <w:rPr>
                <w:rFonts w:hint="eastAsia"/>
              </w:rPr>
              <w:t>合格证、生产日期、生产厂家、品牌、型号、批次自检报告</w:t>
            </w:r>
          </w:p>
        </w:tc>
        <w:tc>
          <w:tcPr>
            <w:tcW w:w="2932" w:type="dxa"/>
            <w:vMerge w:val="restart"/>
            <w:noWrap w:val="0"/>
            <w:vAlign w:val="center"/>
          </w:tcPr>
          <w:p w14:paraId="135BC140">
            <w:pPr>
              <w:spacing w:line="360" w:lineRule="atLeast"/>
              <w:rPr>
                <w:rFonts w:hint="eastAsia"/>
              </w:rPr>
            </w:pPr>
            <w:r>
              <w:rPr>
                <w:rFonts w:hint="eastAsia"/>
              </w:rPr>
              <w:t>外观质量：无潮湿感，米粒无结块。</w:t>
            </w:r>
          </w:p>
          <w:p w14:paraId="35069DD8">
            <w:pPr>
              <w:spacing w:line="360" w:lineRule="atLeast"/>
              <w:rPr>
                <w:rFonts w:hint="eastAsia"/>
              </w:rPr>
            </w:pPr>
            <w:r>
              <w:rPr>
                <w:rFonts w:hint="eastAsia"/>
              </w:rPr>
              <w:t>米粒形态：米粒充实，颗粒完整饱满，无裂纹和明显破碎，无明显不完善粒（包括未成熟粒、虫蚀粒、病斑粒、生霉粒、糙米粒等）。</w:t>
            </w:r>
          </w:p>
          <w:p w14:paraId="00BA2FC7">
            <w:pPr>
              <w:spacing w:line="360" w:lineRule="atLeast"/>
              <w:rPr>
                <w:rFonts w:hint="eastAsia"/>
              </w:rPr>
            </w:pPr>
            <w:r>
              <w:rPr>
                <w:rFonts w:hint="eastAsia"/>
              </w:rPr>
              <w:t>色泽与光泽：具有固有的颜色和光泽，色泽鲜亮，无暗色或色斑。</w:t>
            </w:r>
          </w:p>
          <w:p w14:paraId="6C9E0F65">
            <w:pPr>
              <w:spacing w:line="360" w:lineRule="atLeast"/>
              <w:rPr>
                <w:rFonts w:hint="eastAsia"/>
              </w:rPr>
            </w:pPr>
            <w:r>
              <w:rPr>
                <w:rFonts w:hint="eastAsia"/>
              </w:rPr>
              <w:t>杂质：无肉眼可见的石头、沙子、植物残片等杂质。</w:t>
            </w:r>
          </w:p>
          <w:p w14:paraId="41939C5C">
            <w:pPr>
              <w:spacing w:line="360" w:lineRule="atLeast"/>
              <w:rPr>
                <w:rFonts w:hint="eastAsia"/>
              </w:rPr>
            </w:pPr>
            <w:r>
              <w:rPr>
                <w:rFonts w:hint="eastAsia"/>
              </w:rPr>
              <w:t>包装：包装无破损、无渗漏，标签清晰，注明产品名称、生产日期、保质期、生产厂家等信息。</w:t>
            </w:r>
          </w:p>
        </w:tc>
        <w:tc>
          <w:tcPr>
            <w:tcW w:w="2602" w:type="dxa"/>
            <w:vMerge w:val="restart"/>
            <w:noWrap w:val="0"/>
            <w:vAlign w:val="center"/>
          </w:tcPr>
          <w:p w14:paraId="178EADED">
            <w:pPr>
              <w:spacing w:line="360" w:lineRule="atLeast"/>
              <w:rPr>
                <w:rFonts w:hint="eastAsia"/>
              </w:rPr>
            </w:pPr>
            <w:r>
              <w:rPr>
                <w:rFonts w:hint="eastAsia"/>
              </w:rPr>
              <w:t>外观质量：手感潮湿，米粒粘连。</w:t>
            </w:r>
          </w:p>
          <w:p w14:paraId="1A2CC43E">
            <w:pPr>
              <w:spacing w:line="360" w:lineRule="atLeast"/>
              <w:rPr>
                <w:rFonts w:hint="eastAsia"/>
              </w:rPr>
            </w:pPr>
            <w:r>
              <w:rPr>
                <w:rFonts w:hint="eastAsia"/>
              </w:rPr>
              <w:t>米粒形态：米粒明显不饱满，大小不均匀，存在大量裂纹或破碎现象，发霉，不完善粒明显。</w:t>
            </w:r>
          </w:p>
          <w:p w14:paraId="2C118462">
            <w:pPr>
              <w:spacing w:line="360" w:lineRule="atLeast"/>
              <w:rPr>
                <w:rFonts w:hint="eastAsia"/>
              </w:rPr>
            </w:pPr>
            <w:r>
              <w:rPr>
                <w:rFonts w:hint="eastAsia"/>
              </w:rPr>
              <w:t>色泽与光泽：色泽暗淡，缺乏固有的光泽，或有明显色斑。</w:t>
            </w:r>
          </w:p>
          <w:p w14:paraId="6ABCF86F">
            <w:pPr>
              <w:spacing w:line="360" w:lineRule="atLeast"/>
              <w:rPr>
                <w:rFonts w:hint="eastAsia"/>
              </w:rPr>
            </w:pPr>
            <w:r>
              <w:rPr>
                <w:rFonts w:hint="eastAsia"/>
              </w:rPr>
              <w:t>杂质：肉眼可见大量石头、沙子、植物残片等杂质。</w:t>
            </w:r>
          </w:p>
          <w:p w14:paraId="0DBE48EE">
            <w:pPr>
              <w:spacing w:line="360" w:lineRule="atLeast"/>
              <w:rPr>
                <w:rFonts w:hint="eastAsia"/>
              </w:rPr>
            </w:pPr>
            <w:r>
              <w:rPr>
                <w:rFonts w:hint="eastAsia"/>
              </w:rPr>
              <w:t>包装：包装破损、渗漏，标签不清晰、缺失或未注明产品名称、生产日期、保质期、生产厂家等信息。</w:t>
            </w:r>
          </w:p>
        </w:tc>
      </w:tr>
      <w:tr w14:paraId="6DCBA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6A82C779">
            <w:pPr>
              <w:pStyle w:val="9"/>
              <w:spacing w:line="240" w:lineRule="auto"/>
              <w:jc w:val="center"/>
              <w:rPr>
                <w:rFonts w:hint="eastAsia" w:ascii="宋体" w:hAnsi="宋体" w:cs="宋体"/>
              </w:rPr>
            </w:pPr>
            <w:r>
              <w:rPr>
                <w:rFonts w:hint="eastAsia" w:ascii="宋体" w:hAnsi="宋体" w:cs="宋体"/>
              </w:rPr>
              <w:t>2</w:t>
            </w:r>
          </w:p>
        </w:tc>
        <w:tc>
          <w:tcPr>
            <w:tcW w:w="1105" w:type="dxa"/>
            <w:noWrap w:val="0"/>
            <w:vAlign w:val="center"/>
          </w:tcPr>
          <w:p w14:paraId="6B5B48B1">
            <w:pPr>
              <w:widowControl/>
              <w:jc w:val="center"/>
              <w:textAlignment w:val="center"/>
              <w:rPr>
                <w:rFonts w:hint="eastAsia" w:ascii="宋体" w:hAnsi="宋体" w:cs="宋体"/>
                <w:szCs w:val="21"/>
              </w:rPr>
            </w:pPr>
            <w:r>
              <w:rPr>
                <w:rFonts w:hint="eastAsia" w:ascii="宋体" w:hAnsi="宋体" w:cs="宋体"/>
                <w:kern w:val="0"/>
                <w:szCs w:val="21"/>
                <w:lang w:bidi="ar"/>
              </w:rPr>
              <w:t>珍珠米</w:t>
            </w:r>
          </w:p>
        </w:tc>
        <w:tc>
          <w:tcPr>
            <w:tcW w:w="1527" w:type="dxa"/>
            <w:vMerge w:val="continue"/>
            <w:noWrap w:val="0"/>
            <w:vAlign w:val="center"/>
          </w:tcPr>
          <w:p w14:paraId="78C4D137">
            <w:pPr>
              <w:spacing w:line="360" w:lineRule="atLeast"/>
              <w:rPr>
                <w:rFonts w:hint="eastAsia"/>
              </w:rPr>
            </w:pPr>
          </w:p>
        </w:tc>
        <w:tc>
          <w:tcPr>
            <w:tcW w:w="2932" w:type="dxa"/>
            <w:vMerge w:val="continue"/>
            <w:noWrap w:val="0"/>
            <w:vAlign w:val="center"/>
          </w:tcPr>
          <w:p w14:paraId="408B7A6B">
            <w:pPr>
              <w:spacing w:line="360" w:lineRule="atLeast"/>
              <w:rPr>
                <w:rFonts w:hint="eastAsia"/>
              </w:rPr>
            </w:pPr>
          </w:p>
        </w:tc>
        <w:tc>
          <w:tcPr>
            <w:tcW w:w="2602" w:type="dxa"/>
            <w:vMerge w:val="continue"/>
            <w:noWrap w:val="0"/>
            <w:vAlign w:val="center"/>
          </w:tcPr>
          <w:p w14:paraId="113DF004">
            <w:pPr>
              <w:spacing w:line="360" w:lineRule="atLeast"/>
              <w:rPr>
                <w:rFonts w:hint="eastAsia"/>
              </w:rPr>
            </w:pPr>
          </w:p>
        </w:tc>
      </w:tr>
      <w:tr w14:paraId="71A1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0" w:type="dxa"/>
            <w:gridSpan w:val="5"/>
            <w:noWrap w:val="0"/>
            <w:vAlign w:val="center"/>
          </w:tcPr>
          <w:p w14:paraId="7BF74F29">
            <w:pPr>
              <w:spacing w:line="360" w:lineRule="atLeast"/>
              <w:rPr>
                <w:rFonts w:hint="eastAsia"/>
              </w:rPr>
            </w:pPr>
            <w:r>
              <w:rPr>
                <w:rFonts w:hint="eastAsia"/>
              </w:rPr>
              <w:t>1.产品标准：符合招标文件第五章第三条包件01大米的标准要求。</w:t>
            </w:r>
          </w:p>
          <w:p w14:paraId="4320B7CC">
            <w:pPr>
              <w:spacing w:line="360" w:lineRule="atLeast"/>
              <w:rPr>
                <w:rFonts w:hint="eastAsia"/>
              </w:rPr>
            </w:pPr>
            <w:r>
              <w:rPr>
                <w:rFonts w:hint="eastAsia"/>
              </w:rPr>
              <w:t>2.检测报告：供应商中标后在首次供货时须提供本年内该品类具备中国计量认证（CMA）资质的第三方检测机构出具的针对本次投标产品的检测报告复印件，检测内容须包含镉、黄曲霉毒素</w:t>
            </w:r>
            <w:r>
              <w:rPr>
                <w:rFonts w:hint="eastAsia" w:ascii="宋体" w:hAnsi="宋体" w:cs="宋体"/>
                <w:bCs/>
                <w:szCs w:val="21"/>
              </w:rPr>
              <w:t>B₁</w:t>
            </w:r>
            <w:r>
              <w:rPr>
                <w:rFonts w:hint="eastAsia"/>
              </w:rPr>
              <w:t>的检查结果。</w:t>
            </w:r>
          </w:p>
          <w:p w14:paraId="145DB648">
            <w:pPr>
              <w:spacing w:line="360" w:lineRule="exact"/>
              <w:jc w:val="left"/>
              <w:rPr>
                <w:rFonts w:hint="eastAsia" w:ascii="宋体" w:hAnsi="宋体" w:cs="宋体"/>
                <w:bCs/>
                <w:szCs w:val="21"/>
              </w:rPr>
            </w:pPr>
            <w:r>
              <w:rPr>
                <w:rFonts w:hint="eastAsia"/>
              </w:rPr>
              <w:t>3.有效期：要求所送大米为新米（即当年收获稻谷加工而成，米龄在1个月至6个月内），</w:t>
            </w:r>
            <w:r>
              <w:rPr>
                <w:rFonts w:hint="eastAsia"/>
                <w:szCs w:val="21"/>
              </w:rPr>
              <w:t>交货时须明确标注生产日期和保质期，每批货送达采购人指定地点时，剩余有效期不得少于总保质期的8</w:t>
            </w:r>
            <w:r>
              <w:rPr>
                <w:szCs w:val="21"/>
              </w:rPr>
              <w:t>0</w:t>
            </w:r>
            <w:r>
              <w:rPr>
                <w:rFonts w:hint="eastAsia"/>
                <w:szCs w:val="21"/>
              </w:rPr>
              <w:t>%。</w:t>
            </w:r>
          </w:p>
          <w:p w14:paraId="039763E5">
            <w:pPr>
              <w:spacing w:line="360" w:lineRule="atLeast"/>
              <w:rPr>
                <w:rFonts w:hint="eastAsia"/>
              </w:rPr>
            </w:pPr>
            <w:r>
              <w:rPr>
                <w:rFonts w:hint="eastAsia"/>
              </w:rPr>
              <w:t>4.包装要求：包装完整、标签信息齐全（包括生产日期、厂家、执行标准等），包装执行标准符合GB/T 17109-2008《粮食销售包装》。</w:t>
            </w:r>
          </w:p>
          <w:p w14:paraId="7B48560E">
            <w:pPr>
              <w:spacing w:line="360" w:lineRule="atLeast"/>
              <w:rPr>
                <w:rFonts w:hint="eastAsia"/>
              </w:rPr>
            </w:pPr>
            <w:r>
              <w:rPr>
                <w:rFonts w:hint="eastAsia"/>
              </w:rPr>
              <w:t>5.批次检测：交货时，每批货均须提供生产厂家出具的《出厂检验合格证（报告）》复印件，须包含该具体生产批号大米的检测结果，检测内容必须包含镉、黄曲霉毒素</w:t>
            </w:r>
            <w:r>
              <w:rPr>
                <w:rFonts w:hint="eastAsia" w:ascii="宋体" w:hAnsi="宋体" w:cs="宋体"/>
                <w:bCs/>
                <w:szCs w:val="21"/>
              </w:rPr>
              <w:t>B₁</w:t>
            </w:r>
            <w:r>
              <w:rPr>
                <w:rFonts w:hint="eastAsia"/>
              </w:rPr>
              <w:t>的检查结果。</w:t>
            </w:r>
          </w:p>
          <w:p w14:paraId="50A769A6">
            <w:pPr>
              <w:spacing w:line="360" w:lineRule="atLeast"/>
              <w:rPr>
                <w:rFonts w:hint="eastAsia"/>
              </w:rPr>
            </w:pPr>
            <w:r>
              <w:rPr>
                <w:rFonts w:hint="eastAsia"/>
              </w:rPr>
              <w:t>6.车辆要求：</w:t>
            </w:r>
            <w:r>
              <w:rPr>
                <w:rFonts w:hint="eastAsia"/>
                <w:szCs w:val="21"/>
              </w:rPr>
              <w:t>须使用符合卫生要求的专用运输车辆</w:t>
            </w:r>
            <w:r>
              <w:rPr>
                <w:rFonts w:hint="eastAsia"/>
              </w:rPr>
              <w:t>。</w:t>
            </w:r>
          </w:p>
        </w:tc>
      </w:tr>
    </w:tbl>
    <w:p w14:paraId="1B127CFB">
      <w:pPr>
        <w:spacing w:line="360" w:lineRule="atLeast"/>
        <w:ind w:firstLine="420" w:firstLineChars="200"/>
        <w:rPr>
          <w:rFonts w:hint="eastAsia"/>
        </w:rPr>
      </w:pPr>
      <w:r>
        <w:rPr>
          <w:rFonts w:hint="eastAsia"/>
        </w:rPr>
        <w:t>说明：本项目要求中所涉及的国家、地方或行业相关强制性标准如有更新，自新标准实施之日起，按新标准执行。</w:t>
      </w:r>
    </w:p>
    <w:p w14:paraId="2A3D316B">
      <w:pPr>
        <w:spacing w:line="360" w:lineRule="exact"/>
        <w:ind w:firstLine="422" w:firstLineChars="200"/>
        <w:rPr>
          <w:b/>
          <w:bCs/>
        </w:rPr>
      </w:pPr>
      <w:r>
        <w:rPr>
          <w:rFonts w:hint="eastAsia"/>
          <w:b/>
          <w:bCs/>
        </w:rPr>
        <w:t>3.考核机制及合同履约负面清单</w:t>
      </w:r>
    </w:p>
    <w:p w14:paraId="1507D26F">
      <w:pPr>
        <w:spacing w:line="360" w:lineRule="exact"/>
        <w:ind w:firstLine="420" w:firstLineChars="200"/>
      </w:pPr>
      <w:r>
        <w:rPr>
          <w:rFonts w:hint="eastAsia"/>
        </w:rPr>
        <w:t>（1）考核机制</w:t>
      </w:r>
    </w:p>
    <w:p w14:paraId="40694426">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40F3D657">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77FADF35">
      <w:pPr>
        <w:spacing w:line="360" w:lineRule="exact"/>
        <w:ind w:firstLine="420" w:firstLineChars="200"/>
      </w:pPr>
      <w:r>
        <w:rPr>
          <w:rFonts w:hint="eastAsia"/>
        </w:rPr>
        <w:t>（2）合同履约负面清单</w:t>
      </w:r>
    </w:p>
    <w:p w14:paraId="05B427BA">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4D6F99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0F3FA26B">
            <w:pPr>
              <w:spacing w:line="360" w:lineRule="exact"/>
              <w:jc w:val="center"/>
              <w:rPr>
                <w:b/>
                <w:bCs/>
                <w:szCs w:val="21"/>
              </w:rPr>
            </w:pPr>
            <w:r>
              <w:rPr>
                <w:rFonts w:hint="eastAsia"/>
                <w:b/>
                <w:bCs/>
                <w:szCs w:val="21"/>
              </w:rPr>
              <w:t>西南交通大学后勤保障部饮食服务中心物资供应商负面清单</w:t>
            </w:r>
          </w:p>
        </w:tc>
      </w:tr>
      <w:tr w14:paraId="0416F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31134CA5">
            <w:pPr>
              <w:spacing w:line="360" w:lineRule="exact"/>
              <w:jc w:val="center"/>
              <w:rPr>
                <w:b/>
                <w:bCs/>
                <w:szCs w:val="21"/>
              </w:rPr>
            </w:pPr>
            <w:r>
              <w:rPr>
                <w:rFonts w:hint="eastAsia"/>
                <w:b/>
                <w:bCs/>
                <w:szCs w:val="21"/>
              </w:rPr>
              <w:t>风险等级</w:t>
            </w:r>
          </w:p>
        </w:tc>
        <w:tc>
          <w:tcPr>
            <w:tcW w:w="862" w:type="dxa"/>
            <w:noWrap w:val="0"/>
            <w:vAlign w:val="center"/>
          </w:tcPr>
          <w:p w14:paraId="19E2EDD9">
            <w:pPr>
              <w:spacing w:line="360" w:lineRule="exact"/>
              <w:jc w:val="center"/>
              <w:rPr>
                <w:b/>
                <w:bCs/>
                <w:szCs w:val="21"/>
              </w:rPr>
            </w:pPr>
            <w:r>
              <w:rPr>
                <w:rFonts w:hint="eastAsia"/>
                <w:b/>
                <w:bCs/>
                <w:szCs w:val="21"/>
              </w:rPr>
              <w:t>序号</w:t>
            </w:r>
          </w:p>
        </w:tc>
        <w:tc>
          <w:tcPr>
            <w:tcW w:w="3319" w:type="dxa"/>
            <w:noWrap w:val="0"/>
            <w:vAlign w:val="center"/>
          </w:tcPr>
          <w:p w14:paraId="204E92B8">
            <w:pPr>
              <w:spacing w:line="360" w:lineRule="exact"/>
              <w:jc w:val="center"/>
              <w:rPr>
                <w:b/>
                <w:bCs/>
                <w:szCs w:val="21"/>
              </w:rPr>
            </w:pPr>
            <w:r>
              <w:rPr>
                <w:rFonts w:hint="eastAsia"/>
                <w:b/>
                <w:bCs/>
                <w:szCs w:val="21"/>
              </w:rPr>
              <w:t>负面行为描述</w:t>
            </w:r>
          </w:p>
        </w:tc>
        <w:tc>
          <w:tcPr>
            <w:tcW w:w="1106" w:type="dxa"/>
            <w:noWrap w:val="0"/>
            <w:vAlign w:val="center"/>
          </w:tcPr>
          <w:p w14:paraId="34494165">
            <w:pPr>
              <w:spacing w:line="360" w:lineRule="exact"/>
              <w:jc w:val="center"/>
              <w:rPr>
                <w:b/>
                <w:bCs/>
                <w:szCs w:val="21"/>
              </w:rPr>
            </w:pPr>
            <w:r>
              <w:rPr>
                <w:rFonts w:hint="eastAsia"/>
                <w:b/>
                <w:bCs/>
                <w:szCs w:val="21"/>
              </w:rPr>
              <w:t>单次扣分</w:t>
            </w:r>
          </w:p>
        </w:tc>
        <w:tc>
          <w:tcPr>
            <w:tcW w:w="2243" w:type="dxa"/>
            <w:noWrap w:val="0"/>
            <w:vAlign w:val="center"/>
          </w:tcPr>
          <w:p w14:paraId="189403AC">
            <w:pPr>
              <w:spacing w:line="360" w:lineRule="exact"/>
              <w:jc w:val="center"/>
              <w:rPr>
                <w:b/>
                <w:bCs/>
                <w:szCs w:val="21"/>
              </w:rPr>
            </w:pPr>
            <w:r>
              <w:rPr>
                <w:rFonts w:hint="eastAsia"/>
                <w:b/>
                <w:bCs/>
                <w:szCs w:val="21"/>
              </w:rPr>
              <w:t>责任追究</w:t>
            </w:r>
          </w:p>
        </w:tc>
      </w:tr>
      <w:tr w14:paraId="592EF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63D93382">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2661DF00">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2AC1A508">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7081C594">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CF21D75">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46B7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2156E028">
            <w:pPr>
              <w:widowControl/>
              <w:jc w:val="left"/>
              <w:rPr>
                <w:rFonts w:ascii="宋体" w:hAnsi="宋体" w:cs="宋体"/>
                <w:kern w:val="0"/>
                <w:szCs w:val="21"/>
                <w:lang w:bidi="ar"/>
              </w:rPr>
            </w:pPr>
          </w:p>
        </w:tc>
        <w:tc>
          <w:tcPr>
            <w:tcW w:w="862" w:type="dxa"/>
            <w:noWrap w:val="0"/>
            <w:vAlign w:val="center"/>
          </w:tcPr>
          <w:p w14:paraId="1A6B8D22">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0B8BE7A2">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0A25E0B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4A10E3C">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1E34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5F4DC89">
            <w:pPr>
              <w:widowControl/>
              <w:jc w:val="left"/>
              <w:rPr>
                <w:rFonts w:ascii="宋体" w:hAnsi="宋体" w:cs="宋体"/>
                <w:kern w:val="0"/>
                <w:szCs w:val="21"/>
                <w:lang w:bidi="ar"/>
              </w:rPr>
            </w:pPr>
          </w:p>
        </w:tc>
        <w:tc>
          <w:tcPr>
            <w:tcW w:w="862" w:type="dxa"/>
            <w:noWrap w:val="0"/>
            <w:vAlign w:val="center"/>
          </w:tcPr>
          <w:p w14:paraId="3BA7DF0A">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268E9BD4">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1213A8F1">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C4BD190">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513C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5C9CFBEE">
            <w:pPr>
              <w:widowControl/>
              <w:jc w:val="left"/>
              <w:rPr>
                <w:rFonts w:ascii="宋体" w:hAnsi="宋体" w:cs="宋体"/>
                <w:kern w:val="0"/>
                <w:szCs w:val="21"/>
                <w:lang w:bidi="ar"/>
              </w:rPr>
            </w:pPr>
          </w:p>
        </w:tc>
        <w:tc>
          <w:tcPr>
            <w:tcW w:w="862" w:type="dxa"/>
            <w:noWrap w:val="0"/>
            <w:vAlign w:val="center"/>
          </w:tcPr>
          <w:p w14:paraId="564DF972">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20496B20">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55D1AE56">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96F271D">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3EC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47182C81">
            <w:pPr>
              <w:widowControl/>
              <w:jc w:val="left"/>
              <w:rPr>
                <w:rFonts w:ascii="宋体" w:hAnsi="宋体" w:cs="宋体"/>
                <w:kern w:val="0"/>
                <w:szCs w:val="21"/>
                <w:lang w:bidi="ar"/>
              </w:rPr>
            </w:pPr>
          </w:p>
        </w:tc>
        <w:tc>
          <w:tcPr>
            <w:tcW w:w="862" w:type="dxa"/>
            <w:noWrap w:val="0"/>
            <w:vAlign w:val="center"/>
          </w:tcPr>
          <w:p w14:paraId="7B644312">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2ABDFA2A">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18A9FDE3">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CB36B2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98B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5229804C">
            <w:pPr>
              <w:widowControl/>
              <w:jc w:val="left"/>
              <w:rPr>
                <w:rFonts w:ascii="宋体" w:hAnsi="宋体" w:cs="宋体"/>
                <w:kern w:val="0"/>
                <w:szCs w:val="21"/>
                <w:lang w:bidi="ar"/>
              </w:rPr>
            </w:pPr>
          </w:p>
        </w:tc>
        <w:tc>
          <w:tcPr>
            <w:tcW w:w="862" w:type="dxa"/>
            <w:noWrap w:val="0"/>
            <w:vAlign w:val="center"/>
          </w:tcPr>
          <w:p w14:paraId="3F40772F">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3740E30F">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097C6811">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92111A2">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486EF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28A61D5F">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1C832202">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4E3E7CF1">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4C75C4A4">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50208C47">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4DF9F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6C4055DA">
            <w:pPr>
              <w:spacing w:line="360" w:lineRule="exact"/>
              <w:rPr>
                <w:rFonts w:ascii="宋体" w:hAnsi="宋体" w:cs="宋体"/>
                <w:szCs w:val="21"/>
              </w:rPr>
            </w:pPr>
          </w:p>
        </w:tc>
        <w:tc>
          <w:tcPr>
            <w:tcW w:w="862" w:type="dxa"/>
            <w:noWrap w:val="0"/>
            <w:vAlign w:val="center"/>
          </w:tcPr>
          <w:p w14:paraId="2AB0FE8C">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51821170">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3ED7A824">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62DF09C2">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27415D53">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61A6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48115BDC">
            <w:pPr>
              <w:spacing w:line="360" w:lineRule="exact"/>
              <w:rPr>
                <w:rFonts w:ascii="宋体" w:hAnsi="宋体" w:cs="宋体"/>
                <w:szCs w:val="21"/>
              </w:rPr>
            </w:pPr>
          </w:p>
        </w:tc>
        <w:tc>
          <w:tcPr>
            <w:tcW w:w="862" w:type="dxa"/>
            <w:noWrap w:val="0"/>
            <w:vAlign w:val="center"/>
          </w:tcPr>
          <w:p w14:paraId="1F21ADD7">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17C76766">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22085BE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668C971D">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70308133">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3B8E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737C851">
            <w:pPr>
              <w:spacing w:line="360" w:lineRule="exact"/>
              <w:rPr>
                <w:rFonts w:ascii="宋体" w:hAnsi="宋体" w:cs="宋体"/>
                <w:szCs w:val="21"/>
              </w:rPr>
            </w:pPr>
          </w:p>
        </w:tc>
        <w:tc>
          <w:tcPr>
            <w:tcW w:w="862" w:type="dxa"/>
            <w:noWrap w:val="0"/>
            <w:vAlign w:val="center"/>
          </w:tcPr>
          <w:p w14:paraId="17302321">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0B04D806">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3EF7A86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64E1919A">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5F53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6DE75DD2">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588048AD">
            <w:pPr>
              <w:pStyle w:val="2"/>
              <w:jc w:val="center"/>
              <w:rPr>
                <w:rFonts w:ascii="宋体" w:hAnsi="宋体" w:cs="宋体"/>
                <w:szCs w:val="21"/>
              </w:rPr>
            </w:pPr>
            <w:r>
              <w:rPr>
                <w:rFonts w:ascii="宋体" w:hAnsi="宋体" w:cs="宋体"/>
                <w:szCs w:val="21"/>
              </w:rPr>
              <w:t>11</w:t>
            </w:r>
          </w:p>
        </w:tc>
        <w:tc>
          <w:tcPr>
            <w:tcW w:w="3319" w:type="dxa"/>
            <w:noWrap w:val="0"/>
            <w:vAlign w:val="center"/>
          </w:tcPr>
          <w:p w14:paraId="34386EBE">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67867BB4">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53A3D6E7">
            <w:pPr>
              <w:spacing w:line="360" w:lineRule="exact"/>
              <w:rPr>
                <w:rFonts w:ascii="宋体" w:hAnsi="宋体" w:cs="宋体"/>
                <w:szCs w:val="21"/>
              </w:rPr>
            </w:pPr>
            <w:r>
              <w:rPr>
                <w:rFonts w:hint="eastAsia" w:ascii="宋体" w:hAnsi="宋体" w:cs="宋体"/>
                <w:szCs w:val="21"/>
              </w:rPr>
              <w:t>暂停配送资格，并扣除履约保证金4000元。</w:t>
            </w:r>
          </w:p>
        </w:tc>
      </w:tr>
      <w:tr w14:paraId="3066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0DB6E722">
            <w:pPr>
              <w:spacing w:line="360" w:lineRule="exact"/>
              <w:rPr>
                <w:rFonts w:ascii="宋体" w:hAnsi="宋体" w:cs="宋体"/>
                <w:szCs w:val="21"/>
              </w:rPr>
            </w:pPr>
          </w:p>
        </w:tc>
        <w:tc>
          <w:tcPr>
            <w:tcW w:w="862" w:type="dxa"/>
            <w:noWrap w:val="0"/>
            <w:vAlign w:val="center"/>
          </w:tcPr>
          <w:p w14:paraId="514A3722">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54167CCD">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0BD41737">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7DB6B8AE">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72075A8B">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685D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416F4F7D">
            <w:pPr>
              <w:spacing w:line="360" w:lineRule="exact"/>
              <w:rPr>
                <w:rFonts w:ascii="宋体" w:hAnsi="宋体" w:cs="宋体"/>
                <w:szCs w:val="21"/>
              </w:rPr>
            </w:pPr>
          </w:p>
        </w:tc>
        <w:tc>
          <w:tcPr>
            <w:tcW w:w="862" w:type="dxa"/>
            <w:noWrap w:val="0"/>
            <w:vAlign w:val="center"/>
          </w:tcPr>
          <w:p w14:paraId="6C06E019">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22E4B38B">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77393137">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00CEBAED">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07127257">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472D1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73E2C326">
            <w:pPr>
              <w:spacing w:line="360" w:lineRule="exact"/>
              <w:rPr>
                <w:rFonts w:ascii="宋体" w:hAnsi="宋体" w:cs="宋体"/>
                <w:szCs w:val="21"/>
              </w:rPr>
            </w:pPr>
          </w:p>
        </w:tc>
        <w:tc>
          <w:tcPr>
            <w:tcW w:w="862" w:type="dxa"/>
            <w:noWrap w:val="0"/>
            <w:vAlign w:val="center"/>
          </w:tcPr>
          <w:p w14:paraId="225B0D97">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25442E78">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69EDFBEF">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71F09E20">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1474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561B7369">
            <w:pPr>
              <w:spacing w:line="360" w:lineRule="exact"/>
              <w:rPr>
                <w:b/>
                <w:bCs/>
                <w:szCs w:val="21"/>
              </w:rPr>
            </w:pPr>
            <w:r>
              <w:rPr>
                <w:rFonts w:hint="eastAsia"/>
                <w:b/>
                <w:bCs/>
                <w:szCs w:val="21"/>
              </w:rPr>
              <w:t>一、责任追究机制</w:t>
            </w:r>
          </w:p>
          <w:p w14:paraId="16137A95">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3F7A9A5C">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3EBA5A08">
            <w:pPr>
              <w:spacing w:line="360" w:lineRule="exact"/>
              <w:rPr>
                <w:szCs w:val="21"/>
              </w:rPr>
            </w:pPr>
            <w:r>
              <w:rPr>
                <w:rFonts w:hint="eastAsia"/>
                <w:szCs w:val="21"/>
              </w:rPr>
              <w:t>（1）私自更换包装、供应食材与中标规格/品牌/产地不一致；</w:t>
            </w:r>
          </w:p>
          <w:p w14:paraId="7D30B0DA">
            <w:pPr>
              <w:spacing w:line="360" w:lineRule="exact"/>
              <w:rPr>
                <w:szCs w:val="21"/>
              </w:rPr>
            </w:pPr>
            <w:r>
              <w:rPr>
                <w:rFonts w:hint="eastAsia"/>
                <w:szCs w:val="21"/>
              </w:rPr>
              <w:t>（2）未按规定使用符合卫生要求的专用运输车辆；</w:t>
            </w:r>
          </w:p>
          <w:p w14:paraId="1B0DF64D">
            <w:pPr>
              <w:spacing w:line="360" w:lineRule="exact"/>
              <w:rPr>
                <w:szCs w:val="21"/>
              </w:rPr>
            </w:pPr>
            <w:r>
              <w:rPr>
                <w:rFonts w:hint="eastAsia"/>
                <w:szCs w:val="21"/>
              </w:rPr>
              <w:t>（3）不符合本项目招标文件第五章第三条标准要求的；</w:t>
            </w:r>
          </w:p>
          <w:p w14:paraId="3EE809DF">
            <w:pPr>
              <w:spacing w:line="360" w:lineRule="exact"/>
              <w:rPr>
                <w:szCs w:val="21"/>
              </w:rPr>
            </w:pPr>
            <w:r>
              <w:rPr>
                <w:rFonts w:hint="eastAsia"/>
                <w:szCs w:val="21"/>
              </w:rPr>
              <w:t>（4）负面清单中规定暂停配送资格的。</w:t>
            </w:r>
          </w:p>
          <w:p w14:paraId="41E79C05">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2799BBC1">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4A96992B">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40FF881D">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433245E6">
            <w:pPr>
              <w:spacing w:line="360" w:lineRule="exact"/>
              <w:rPr>
                <w:szCs w:val="21"/>
              </w:rPr>
            </w:pPr>
            <w:r>
              <w:rPr>
                <w:rFonts w:hint="eastAsia"/>
                <w:szCs w:val="21"/>
              </w:rPr>
              <w:t>（3）食材运输过程中与有毒有害物资混装；</w:t>
            </w:r>
          </w:p>
          <w:p w14:paraId="31AF6B20">
            <w:pPr>
              <w:spacing w:line="360" w:lineRule="exact"/>
              <w:rPr>
                <w:szCs w:val="21"/>
              </w:rPr>
            </w:pPr>
            <w:r>
              <w:rPr>
                <w:rFonts w:hint="eastAsia"/>
                <w:szCs w:val="21"/>
              </w:rPr>
              <w:t>（4）提供假冒伪劣产品、走私物品，或伪造、变造检验报告及相关资质证明；</w:t>
            </w:r>
          </w:p>
          <w:p w14:paraId="71C3C298">
            <w:pPr>
              <w:spacing w:line="360" w:lineRule="exact"/>
              <w:rPr>
                <w:szCs w:val="21"/>
              </w:rPr>
            </w:pPr>
            <w:r>
              <w:rPr>
                <w:rFonts w:hint="eastAsia"/>
                <w:szCs w:val="21"/>
              </w:rPr>
              <w:t>（5）存在围标、串标、商业贿赂等恶意扰乱市场秩序的行为；</w:t>
            </w:r>
          </w:p>
          <w:p w14:paraId="0AE3AD39">
            <w:pPr>
              <w:spacing w:line="360" w:lineRule="exact"/>
              <w:rPr>
                <w:szCs w:val="21"/>
              </w:rPr>
            </w:pPr>
            <w:r>
              <w:rPr>
                <w:rFonts w:hint="eastAsia"/>
                <w:szCs w:val="21"/>
              </w:rPr>
              <w:t>（6）因劳资纠纷引发群体性事件，严重影响校园秩序或学校声誉的；</w:t>
            </w:r>
          </w:p>
          <w:p w14:paraId="729ACF12">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422F3984">
            <w:pPr>
              <w:spacing w:line="360" w:lineRule="exact"/>
              <w:rPr>
                <w:b/>
                <w:bCs/>
                <w:szCs w:val="21"/>
              </w:rPr>
            </w:pPr>
            <w:r>
              <w:rPr>
                <w:rFonts w:hint="eastAsia"/>
                <w:b/>
                <w:bCs/>
                <w:szCs w:val="21"/>
              </w:rPr>
              <w:t>二、违约金的扣除</w:t>
            </w:r>
          </w:p>
          <w:p w14:paraId="228FB430">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18E22A31">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2EEB89FA">
      <w:pPr>
        <w:rPr>
          <w:rFonts w:hint="eastAsia"/>
          <w:szCs w:val="21"/>
        </w:rPr>
      </w:pPr>
    </w:p>
    <w:p w14:paraId="5173B796">
      <w:pPr>
        <w:rPr>
          <w:rFonts w:hint="eastAsia"/>
          <w:b/>
          <w:bCs/>
          <w:sz w:val="24"/>
        </w:rPr>
      </w:pPr>
      <w:r>
        <w:rPr>
          <w:rFonts w:hint="eastAsia"/>
          <w:b/>
          <w:bCs/>
          <w:sz w:val="24"/>
        </w:rPr>
        <w:t>02包（食用油）：</w:t>
      </w:r>
    </w:p>
    <w:p w14:paraId="0718D6A4">
      <w:pPr>
        <w:spacing w:line="360" w:lineRule="exact"/>
        <w:ind w:firstLine="422" w:firstLineChars="200"/>
        <w:rPr>
          <w:b/>
          <w:bCs/>
        </w:rPr>
      </w:pPr>
      <w:r>
        <w:rPr>
          <w:rFonts w:hint="eastAsia"/>
          <w:b/>
          <w:bCs/>
        </w:rPr>
        <w:t>1.索证索票相关要求</w:t>
      </w:r>
    </w:p>
    <w:p w14:paraId="55FD95F2">
      <w:pPr>
        <w:spacing w:line="360" w:lineRule="exact"/>
        <w:ind w:firstLine="420" w:firstLineChars="200"/>
      </w:pPr>
      <w:r>
        <w:rPr>
          <w:rFonts w:hint="eastAsia"/>
        </w:rPr>
        <w:t>采购人与中标人签订合同之时，各中标人须提供营业执照、食品生产许可证或食品经营许可证（若涉及相关业务）、检测或检验检疫报告（若涉及相关业务）、税务登记证（若已更换为三证合一的营业执照，则无需提供）、本项目管理人员名单、配送人员名单以及法定代表人身份证原件，以供采购人进行审验，并留存复印件存档以备查核。若中标人为经销商，还须提供中标相关产品的生产厂家营业执照、《食品生产许可证》。上述资质文件及检验报告须处于有效期内，若在合同履行期间发生更换，应在有效期满之前进行更换，更换后3日内将最新版本提交至采购人存档。</w:t>
      </w:r>
    </w:p>
    <w:p w14:paraId="245CB01A">
      <w:pPr>
        <w:spacing w:line="360" w:lineRule="exact"/>
        <w:ind w:firstLine="422" w:firstLineChars="200"/>
        <w:rPr>
          <w:b/>
          <w:bCs/>
        </w:rPr>
      </w:pPr>
      <w:r>
        <w:rPr>
          <w:rFonts w:hint="eastAsia"/>
          <w:b/>
          <w:bCs/>
        </w:rPr>
        <w:t>2.验收标准</w:t>
      </w:r>
    </w:p>
    <w:tbl>
      <w:tblPr>
        <w:tblStyle w:val="5"/>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105"/>
        <w:gridCol w:w="1527"/>
        <w:gridCol w:w="2932"/>
        <w:gridCol w:w="2602"/>
      </w:tblGrid>
      <w:tr w14:paraId="22B6F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4" w:type="dxa"/>
            <w:noWrap w:val="0"/>
            <w:vAlign w:val="center"/>
          </w:tcPr>
          <w:p w14:paraId="66E1780C">
            <w:pPr>
              <w:pStyle w:val="9"/>
              <w:spacing w:line="360" w:lineRule="exact"/>
              <w:jc w:val="center"/>
              <w:rPr>
                <w:rFonts w:hint="eastAsia" w:ascii="宋体" w:hAnsi="宋体" w:cs="宋体"/>
                <w:b/>
                <w:bCs/>
              </w:rPr>
            </w:pPr>
            <w:r>
              <w:rPr>
                <w:rFonts w:hint="eastAsia" w:ascii="宋体" w:hAnsi="宋体" w:cs="宋体"/>
                <w:b/>
                <w:bCs/>
              </w:rPr>
              <w:t>序号</w:t>
            </w:r>
          </w:p>
        </w:tc>
        <w:tc>
          <w:tcPr>
            <w:tcW w:w="1105" w:type="dxa"/>
            <w:noWrap w:val="0"/>
            <w:vAlign w:val="center"/>
          </w:tcPr>
          <w:p w14:paraId="6D1C6E24">
            <w:pPr>
              <w:pStyle w:val="9"/>
              <w:spacing w:line="360" w:lineRule="exact"/>
              <w:jc w:val="center"/>
              <w:rPr>
                <w:rFonts w:hint="eastAsia" w:ascii="宋体" w:hAnsi="宋体" w:cs="宋体"/>
                <w:b/>
                <w:bCs/>
              </w:rPr>
            </w:pPr>
            <w:r>
              <w:rPr>
                <w:rFonts w:hint="eastAsia" w:ascii="宋体" w:hAnsi="宋体" w:cs="宋体"/>
                <w:b/>
              </w:rPr>
              <w:t>物资名称</w:t>
            </w:r>
          </w:p>
        </w:tc>
        <w:tc>
          <w:tcPr>
            <w:tcW w:w="1527" w:type="dxa"/>
            <w:noWrap w:val="0"/>
            <w:vAlign w:val="center"/>
          </w:tcPr>
          <w:p w14:paraId="0054EE54">
            <w:pPr>
              <w:pStyle w:val="9"/>
              <w:spacing w:line="360" w:lineRule="exact"/>
              <w:jc w:val="center"/>
              <w:rPr>
                <w:rFonts w:hint="eastAsia" w:ascii="宋体" w:hAnsi="宋体" w:cs="宋体"/>
                <w:b/>
                <w:bCs/>
              </w:rPr>
            </w:pPr>
            <w:r>
              <w:rPr>
                <w:rFonts w:hint="eastAsia" w:ascii="宋体" w:hAnsi="宋体" w:cs="宋体"/>
                <w:b/>
                <w:bCs/>
              </w:rPr>
              <w:t>需检证件</w:t>
            </w:r>
          </w:p>
        </w:tc>
        <w:tc>
          <w:tcPr>
            <w:tcW w:w="2932" w:type="dxa"/>
            <w:noWrap w:val="0"/>
            <w:vAlign w:val="center"/>
          </w:tcPr>
          <w:p w14:paraId="644BF2B1">
            <w:pPr>
              <w:pStyle w:val="9"/>
              <w:spacing w:line="360" w:lineRule="exact"/>
              <w:jc w:val="center"/>
              <w:rPr>
                <w:rFonts w:hint="eastAsia" w:ascii="宋体" w:hAnsi="宋体" w:cs="宋体"/>
                <w:b/>
                <w:bCs/>
              </w:rPr>
            </w:pPr>
            <w:r>
              <w:rPr>
                <w:rFonts w:hint="eastAsia" w:ascii="宋体" w:hAnsi="宋体" w:cs="宋体"/>
                <w:b/>
                <w:bCs/>
              </w:rPr>
              <w:t>检验标准</w:t>
            </w:r>
          </w:p>
        </w:tc>
        <w:tc>
          <w:tcPr>
            <w:tcW w:w="2602" w:type="dxa"/>
            <w:noWrap w:val="0"/>
            <w:vAlign w:val="center"/>
          </w:tcPr>
          <w:p w14:paraId="092C295D">
            <w:pPr>
              <w:pStyle w:val="9"/>
              <w:spacing w:line="360" w:lineRule="exact"/>
              <w:jc w:val="center"/>
              <w:rPr>
                <w:rFonts w:hint="eastAsia" w:ascii="宋体" w:hAnsi="宋体" w:cs="宋体"/>
                <w:b/>
                <w:bCs/>
              </w:rPr>
            </w:pPr>
            <w:r>
              <w:rPr>
                <w:rFonts w:hint="eastAsia" w:ascii="宋体" w:hAnsi="宋体" w:cs="宋体"/>
                <w:b/>
                <w:bCs/>
              </w:rPr>
              <w:t>不合格判定</w:t>
            </w:r>
          </w:p>
        </w:tc>
      </w:tr>
      <w:tr w14:paraId="65996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5F3E612A">
            <w:pPr>
              <w:pStyle w:val="9"/>
              <w:spacing w:line="360" w:lineRule="exact"/>
              <w:jc w:val="center"/>
              <w:rPr>
                <w:rFonts w:hint="eastAsia" w:ascii="宋体" w:hAnsi="宋体" w:cs="宋体"/>
              </w:rPr>
            </w:pPr>
            <w:r>
              <w:rPr>
                <w:rFonts w:hint="eastAsia" w:ascii="宋体" w:hAnsi="宋体" w:cs="宋体"/>
              </w:rPr>
              <w:t>1</w:t>
            </w:r>
          </w:p>
        </w:tc>
        <w:tc>
          <w:tcPr>
            <w:tcW w:w="1105" w:type="dxa"/>
            <w:noWrap w:val="0"/>
            <w:vAlign w:val="center"/>
          </w:tcPr>
          <w:p w14:paraId="755B28B4">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大豆油（非转基因）（一级）</w:t>
            </w:r>
          </w:p>
        </w:tc>
        <w:tc>
          <w:tcPr>
            <w:tcW w:w="1527" w:type="dxa"/>
            <w:vMerge w:val="restart"/>
            <w:noWrap w:val="0"/>
            <w:vAlign w:val="center"/>
          </w:tcPr>
          <w:p w14:paraId="39314550">
            <w:pPr>
              <w:pStyle w:val="9"/>
              <w:spacing w:line="360" w:lineRule="exact"/>
              <w:jc w:val="center"/>
              <w:rPr>
                <w:rFonts w:hint="eastAsia" w:ascii="宋体" w:hAnsi="宋体" w:cs="宋体"/>
              </w:rPr>
            </w:pPr>
            <w:r>
              <w:rPr>
                <w:rFonts w:hint="eastAsia" w:ascii="宋体" w:hAnsi="宋体" w:cs="宋体"/>
              </w:rPr>
              <w:t>合格证、生产日期、生产厂家、品牌、型号、批次自检报告</w:t>
            </w:r>
          </w:p>
        </w:tc>
        <w:tc>
          <w:tcPr>
            <w:tcW w:w="2932" w:type="dxa"/>
            <w:noWrap w:val="0"/>
            <w:vAlign w:val="center"/>
          </w:tcPr>
          <w:p w14:paraId="7A73DA4C">
            <w:pPr>
              <w:pStyle w:val="9"/>
              <w:spacing w:line="360" w:lineRule="exact"/>
              <w:rPr>
                <w:rFonts w:hint="eastAsia" w:ascii="宋体" w:hAnsi="宋体" w:cs="宋体"/>
              </w:rPr>
            </w:pPr>
            <w:r>
              <w:rPr>
                <w:rFonts w:hint="eastAsia" w:ascii="宋体" w:hAnsi="宋体" w:cs="宋体"/>
              </w:rPr>
              <w:t>色泽：液体具有油脂的正常色泽，澄清透明，无明显色差。</w:t>
            </w:r>
          </w:p>
          <w:p w14:paraId="484193B6">
            <w:pPr>
              <w:pStyle w:val="9"/>
              <w:spacing w:line="360" w:lineRule="exact"/>
              <w:rPr>
                <w:rFonts w:hint="eastAsia" w:ascii="宋体" w:hAnsi="宋体" w:cs="宋体"/>
              </w:rPr>
            </w:pPr>
            <w:r>
              <w:rPr>
                <w:rFonts w:hint="eastAsia" w:ascii="宋体" w:hAnsi="宋体" w:cs="宋体"/>
              </w:rPr>
              <w:t>滋味：无酸败或其他异味，符合大豆油的正常口感。</w:t>
            </w:r>
          </w:p>
          <w:p w14:paraId="7EC3AF2D">
            <w:pPr>
              <w:pStyle w:val="9"/>
              <w:spacing w:line="360" w:lineRule="exact"/>
              <w:rPr>
                <w:rFonts w:hint="eastAsia" w:ascii="宋体" w:hAnsi="宋体" w:cs="宋体"/>
              </w:rPr>
            </w:pPr>
            <w:r>
              <w:rPr>
                <w:rFonts w:hint="eastAsia" w:ascii="宋体" w:hAnsi="宋体" w:cs="宋体"/>
              </w:rPr>
              <w:t xml:space="preserve">气味：具有大豆油固有的气味，无异味。 </w:t>
            </w:r>
          </w:p>
          <w:p w14:paraId="529A295D">
            <w:pPr>
              <w:pStyle w:val="9"/>
              <w:spacing w:line="360" w:lineRule="exact"/>
              <w:rPr>
                <w:rFonts w:hint="eastAsia" w:ascii="宋体" w:hAnsi="宋体" w:cs="宋体"/>
              </w:rPr>
            </w:pPr>
            <w:r>
              <w:rPr>
                <w:rFonts w:hint="eastAsia" w:ascii="宋体" w:hAnsi="宋体" w:cs="宋体"/>
              </w:rPr>
              <w:t>包装：完好无损，符合卫生要求，干净无污染，标签清晰，注明产品名称、生产日期、保质期、生产厂家等信息。</w:t>
            </w:r>
          </w:p>
        </w:tc>
        <w:tc>
          <w:tcPr>
            <w:tcW w:w="2602" w:type="dxa"/>
            <w:noWrap w:val="0"/>
            <w:vAlign w:val="center"/>
          </w:tcPr>
          <w:p w14:paraId="5C659848">
            <w:pPr>
              <w:pStyle w:val="9"/>
              <w:spacing w:line="360" w:lineRule="exact"/>
              <w:rPr>
                <w:rFonts w:hint="eastAsia" w:ascii="宋体" w:hAnsi="宋体" w:cs="宋体"/>
              </w:rPr>
            </w:pPr>
            <w:r>
              <w:rPr>
                <w:rFonts w:hint="eastAsia" w:ascii="宋体" w:hAnsi="宋体" w:cs="宋体"/>
              </w:rPr>
              <w:t>色泽：大豆油色泽异常，如呈现深色、浑浊或有明显色差。</w:t>
            </w:r>
          </w:p>
          <w:p w14:paraId="552ACD1F">
            <w:pPr>
              <w:pStyle w:val="9"/>
              <w:spacing w:line="360" w:lineRule="exact"/>
              <w:rPr>
                <w:rFonts w:hint="eastAsia" w:ascii="宋体" w:hAnsi="宋体" w:cs="宋体"/>
              </w:rPr>
            </w:pPr>
            <w:r>
              <w:rPr>
                <w:rFonts w:hint="eastAsia" w:ascii="宋体" w:hAnsi="宋体" w:cs="宋体"/>
              </w:rPr>
              <w:t>滋味：口感不佳，有酸味或其他异味。</w:t>
            </w:r>
          </w:p>
          <w:p w14:paraId="2CCA1A3D">
            <w:pPr>
              <w:pStyle w:val="9"/>
              <w:spacing w:line="360" w:lineRule="exact"/>
              <w:rPr>
                <w:rFonts w:hint="eastAsia" w:ascii="宋体" w:hAnsi="宋体" w:cs="宋体"/>
              </w:rPr>
            </w:pPr>
            <w:r>
              <w:rPr>
                <w:rFonts w:hint="eastAsia" w:ascii="宋体" w:hAnsi="宋体" w:cs="宋体"/>
              </w:rPr>
              <w:t>气味：有焦臭、酸败或其他异常气味，不符合大豆油的固有气味。</w:t>
            </w:r>
          </w:p>
          <w:p w14:paraId="1066DE05">
            <w:pPr>
              <w:pStyle w:val="9"/>
              <w:spacing w:line="360" w:lineRule="exact"/>
              <w:rPr>
                <w:rFonts w:hint="eastAsia" w:ascii="宋体" w:hAnsi="宋体" w:cs="宋体"/>
              </w:rPr>
            </w:pPr>
            <w:r>
              <w:rPr>
                <w:rFonts w:hint="eastAsia" w:ascii="宋体" w:hAnsi="宋体" w:cs="宋体"/>
              </w:rPr>
              <w:t>包装：破损、污染，标签不清晰，未注明产品名称、生产日期、保质期、生产厂家等信息。</w:t>
            </w:r>
          </w:p>
        </w:tc>
      </w:tr>
      <w:tr w14:paraId="4D4B2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32278E58">
            <w:pPr>
              <w:pStyle w:val="9"/>
              <w:spacing w:line="360" w:lineRule="exact"/>
              <w:jc w:val="center"/>
              <w:rPr>
                <w:rFonts w:hint="eastAsia" w:ascii="宋体" w:hAnsi="宋体" w:cs="宋体"/>
              </w:rPr>
            </w:pPr>
            <w:r>
              <w:rPr>
                <w:rFonts w:hint="eastAsia" w:ascii="宋体" w:hAnsi="宋体" w:cs="宋体"/>
              </w:rPr>
              <w:t>2</w:t>
            </w:r>
          </w:p>
        </w:tc>
        <w:tc>
          <w:tcPr>
            <w:tcW w:w="1105" w:type="dxa"/>
            <w:noWrap w:val="0"/>
            <w:vAlign w:val="center"/>
          </w:tcPr>
          <w:p w14:paraId="5DB9DD79">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菜籽油（非转基因）（二级及以上）</w:t>
            </w:r>
          </w:p>
        </w:tc>
        <w:tc>
          <w:tcPr>
            <w:tcW w:w="1527" w:type="dxa"/>
            <w:vMerge w:val="continue"/>
            <w:noWrap w:val="0"/>
            <w:vAlign w:val="center"/>
          </w:tcPr>
          <w:p w14:paraId="0C55263C">
            <w:pPr>
              <w:pStyle w:val="9"/>
              <w:spacing w:line="360" w:lineRule="exact"/>
              <w:jc w:val="center"/>
              <w:rPr>
                <w:rFonts w:hint="eastAsia" w:ascii="宋体" w:hAnsi="宋体" w:cs="宋体"/>
              </w:rPr>
            </w:pPr>
          </w:p>
        </w:tc>
        <w:tc>
          <w:tcPr>
            <w:tcW w:w="2932" w:type="dxa"/>
            <w:noWrap w:val="0"/>
            <w:vAlign w:val="center"/>
          </w:tcPr>
          <w:p w14:paraId="37FFD1B3">
            <w:pPr>
              <w:pStyle w:val="9"/>
              <w:spacing w:line="360" w:lineRule="exact"/>
              <w:rPr>
                <w:rFonts w:hint="eastAsia" w:ascii="宋体" w:hAnsi="宋体" w:cs="宋体"/>
              </w:rPr>
            </w:pPr>
            <w:r>
              <w:rPr>
                <w:rFonts w:hint="eastAsia" w:ascii="宋体" w:hAnsi="宋体" w:cs="宋体"/>
              </w:rPr>
              <w:t>色泽：液体具有油脂的正常色泽，淡黄至浅棕。</w:t>
            </w:r>
          </w:p>
          <w:p w14:paraId="0F628D9B">
            <w:pPr>
              <w:pStyle w:val="9"/>
              <w:spacing w:line="360" w:lineRule="exact"/>
              <w:rPr>
                <w:rFonts w:hint="eastAsia" w:ascii="宋体" w:hAnsi="宋体" w:cs="宋体"/>
              </w:rPr>
            </w:pPr>
            <w:r>
              <w:rPr>
                <w:rFonts w:hint="eastAsia" w:ascii="宋体" w:hAnsi="宋体" w:cs="宋体"/>
              </w:rPr>
              <w:t>滋味：无焦臭、酸败及其他异味，符合菜籽油的正常口感。</w:t>
            </w:r>
          </w:p>
          <w:p w14:paraId="2EE3AB7D">
            <w:pPr>
              <w:pStyle w:val="9"/>
              <w:spacing w:line="360" w:lineRule="exact"/>
              <w:rPr>
                <w:rFonts w:hint="eastAsia" w:ascii="宋体" w:hAnsi="宋体" w:cs="宋体"/>
              </w:rPr>
            </w:pPr>
            <w:r>
              <w:rPr>
                <w:rFonts w:hint="eastAsia" w:ascii="宋体" w:hAnsi="宋体" w:cs="宋体"/>
              </w:rPr>
              <w:t>气味：具有菜籽油固有的气味，无异味。</w:t>
            </w:r>
          </w:p>
          <w:p w14:paraId="141EF3C8">
            <w:pPr>
              <w:pStyle w:val="9"/>
              <w:spacing w:line="360" w:lineRule="exact"/>
              <w:rPr>
                <w:rFonts w:hint="eastAsia" w:ascii="宋体" w:hAnsi="宋体" w:cs="宋体"/>
              </w:rPr>
            </w:pPr>
            <w:r>
              <w:rPr>
                <w:rFonts w:hint="eastAsia" w:ascii="宋体" w:hAnsi="宋体" w:cs="宋体"/>
              </w:rPr>
              <w:t>包装：完好无损，符合卫生要求，干净无污染，标签清晰，注明产品名称、生产日期、保质期、生产厂家等信息。</w:t>
            </w:r>
          </w:p>
        </w:tc>
        <w:tc>
          <w:tcPr>
            <w:tcW w:w="2602" w:type="dxa"/>
            <w:noWrap w:val="0"/>
            <w:vAlign w:val="center"/>
          </w:tcPr>
          <w:p w14:paraId="4ED37AFA">
            <w:pPr>
              <w:pStyle w:val="9"/>
              <w:spacing w:line="360" w:lineRule="exact"/>
              <w:rPr>
                <w:rFonts w:hint="eastAsia" w:ascii="宋体" w:hAnsi="宋体" w:cs="宋体"/>
              </w:rPr>
            </w:pPr>
            <w:r>
              <w:rPr>
                <w:rFonts w:hint="eastAsia" w:ascii="宋体" w:hAnsi="宋体" w:cs="宋体"/>
              </w:rPr>
              <w:t>色泽：色泽异常，有明显色差。</w:t>
            </w:r>
          </w:p>
          <w:p w14:paraId="44C640EA">
            <w:pPr>
              <w:pStyle w:val="9"/>
              <w:spacing w:line="360" w:lineRule="exact"/>
              <w:rPr>
                <w:rFonts w:hint="eastAsia" w:ascii="宋体" w:hAnsi="宋体" w:cs="宋体"/>
              </w:rPr>
            </w:pPr>
            <w:r>
              <w:rPr>
                <w:rFonts w:hint="eastAsia" w:ascii="宋体" w:hAnsi="宋体" w:cs="宋体"/>
              </w:rPr>
              <w:t>滋味：口感不佳，有酸味或其他异味。</w:t>
            </w:r>
          </w:p>
          <w:p w14:paraId="50D4D8C5">
            <w:pPr>
              <w:pStyle w:val="9"/>
              <w:spacing w:line="360" w:lineRule="exact"/>
              <w:rPr>
                <w:rFonts w:hint="eastAsia" w:ascii="宋体" w:hAnsi="宋体" w:cs="宋体"/>
              </w:rPr>
            </w:pPr>
            <w:r>
              <w:rPr>
                <w:rFonts w:hint="eastAsia" w:ascii="宋体" w:hAnsi="宋体" w:cs="宋体"/>
              </w:rPr>
              <w:t>气味：有焦臭、酸败或其他异常气味，不符合菜籽油的固有气味。</w:t>
            </w:r>
          </w:p>
          <w:p w14:paraId="6A94AC05">
            <w:pPr>
              <w:pStyle w:val="9"/>
              <w:spacing w:line="360" w:lineRule="exact"/>
              <w:rPr>
                <w:rFonts w:hint="eastAsia" w:ascii="宋体" w:hAnsi="宋体" w:cs="宋体"/>
              </w:rPr>
            </w:pPr>
            <w:r>
              <w:rPr>
                <w:rFonts w:hint="eastAsia" w:ascii="宋体" w:hAnsi="宋体" w:cs="宋体"/>
              </w:rPr>
              <w:t>包装：破损、污染，标签不清晰，未注明产品名称、生产日期、保质期、生产厂家等信息。</w:t>
            </w:r>
          </w:p>
        </w:tc>
      </w:tr>
      <w:tr w14:paraId="25BE5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0" w:type="dxa"/>
            <w:gridSpan w:val="5"/>
            <w:noWrap w:val="0"/>
            <w:vAlign w:val="center"/>
          </w:tcPr>
          <w:p w14:paraId="0E7B3187">
            <w:pPr>
              <w:spacing w:line="360" w:lineRule="exact"/>
              <w:jc w:val="left"/>
              <w:rPr>
                <w:rFonts w:hint="eastAsia" w:ascii="宋体" w:hAnsi="宋体" w:cs="宋体"/>
                <w:bCs/>
                <w:szCs w:val="21"/>
              </w:rPr>
            </w:pPr>
            <w:r>
              <w:rPr>
                <w:rFonts w:hint="eastAsia" w:ascii="宋体" w:hAnsi="宋体" w:cs="宋体"/>
                <w:bCs/>
                <w:szCs w:val="21"/>
              </w:rPr>
              <w:t xml:space="preserve">1.产品标准：符合招标文件第五章第三条包件02食用油的标准要求。 </w:t>
            </w:r>
          </w:p>
          <w:p w14:paraId="2A1702CA">
            <w:pPr>
              <w:spacing w:line="360" w:lineRule="exact"/>
              <w:jc w:val="left"/>
              <w:rPr>
                <w:rFonts w:hint="eastAsia" w:ascii="宋体" w:hAnsi="宋体" w:cs="宋体"/>
                <w:bCs/>
                <w:szCs w:val="21"/>
              </w:rPr>
            </w:pPr>
            <w:r>
              <w:rPr>
                <w:rFonts w:hint="eastAsia" w:ascii="宋体" w:hAnsi="宋体" w:cs="宋体"/>
                <w:bCs/>
                <w:szCs w:val="21"/>
              </w:rPr>
              <w:t>2.检测报告：供应商中标后在首次供货时须提供本年内该品类具备中国计量认证（CMA）资质的第三方检测机构出具的针对本次投标产品的检测报告复印件，检测内容须包含铅、黄曲霉毒素B₁检查结果。</w:t>
            </w:r>
          </w:p>
          <w:p w14:paraId="13B738BB">
            <w:pPr>
              <w:spacing w:line="360" w:lineRule="exact"/>
              <w:jc w:val="left"/>
              <w:rPr>
                <w:rFonts w:ascii="宋体" w:hAnsi="宋体" w:cs="宋体"/>
                <w:bCs/>
                <w:szCs w:val="21"/>
              </w:rPr>
            </w:pPr>
            <w:r>
              <w:rPr>
                <w:rFonts w:hint="eastAsia"/>
                <w:szCs w:val="21"/>
              </w:rPr>
              <w:t>3.保质期：交货时须明确标注生产日期和保质期，每批货送达采购人指定地点时，剩余有效期不得少于总保质期的8</w:t>
            </w:r>
            <w:r>
              <w:rPr>
                <w:szCs w:val="21"/>
              </w:rPr>
              <w:t>0</w:t>
            </w:r>
            <w:r>
              <w:rPr>
                <w:rFonts w:hint="eastAsia"/>
                <w:szCs w:val="21"/>
              </w:rPr>
              <w:t>%。</w:t>
            </w:r>
          </w:p>
          <w:p w14:paraId="563DB5B4">
            <w:pPr>
              <w:spacing w:line="360" w:lineRule="exact"/>
              <w:jc w:val="left"/>
              <w:rPr>
                <w:rFonts w:hint="eastAsia" w:ascii="宋体" w:hAnsi="宋体" w:cs="宋体"/>
                <w:bCs/>
                <w:szCs w:val="21"/>
              </w:rPr>
            </w:pPr>
            <w:r>
              <w:rPr>
                <w:rFonts w:hint="eastAsia" w:ascii="宋体" w:hAnsi="宋体" w:cs="宋体"/>
                <w:bCs/>
                <w:szCs w:val="21"/>
              </w:rPr>
              <w:t xml:space="preserve">4.包装要求：一次性PET包装。包装执行标准符合GB/T 17374-2024《食用植物油销售包装》，包装标识清楚。 </w:t>
            </w:r>
          </w:p>
          <w:p w14:paraId="587399E5">
            <w:pPr>
              <w:spacing w:line="360" w:lineRule="exact"/>
              <w:jc w:val="left"/>
              <w:rPr>
                <w:rFonts w:hint="eastAsia" w:ascii="宋体" w:hAnsi="宋体" w:cs="宋体"/>
                <w:bCs/>
                <w:szCs w:val="21"/>
              </w:rPr>
            </w:pPr>
            <w:r>
              <w:rPr>
                <w:rFonts w:hint="eastAsia" w:ascii="宋体" w:hAnsi="宋体" w:cs="宋体"/>
                <w:bCs/>
                <w:szCs w:val="21"/>
              </w:rPr>
              <w:t>5.批次检测：每批货均须提供食用油生产厂家出具的《出厂检验合格证》，须包含该具体生产批号食用油的检测结果，检测内容须包含铅、黄曲霉毒素B₁检查结果。</w:t>
            </w:r>
          </w:p>
          <w:p w14:paraId="51B2500B">
            <w:pPr>
              <w:spacing w:line="360" w:lineRule="exact"/>
              <w:jc w:val="left"/>
              <w:rPr>
                <w:rFonts w:hint="eastAsia" w:ascii="宋体" w:hAnsi="宋体" w:cs="宋体"/>
              </w:rPr>
            </w:pPr>
            <w:r>
              <w:rPr>
                <w:rFonts w:hint="eastAsia" w:ascii="宋体" w:hAnsi="宋体" w:cs="宋体"/>
                <w:bCs/>
                <w:szCs w:val="21"/>
              </w:rPr>
              <w:t>6.车辆要求：须使用符合卫生要求的专用运输车辆。</w:t>
            </w:r>
          </w:p>
        </w:tc>
      </w:tr>
    </w:tbl>
    <w:p w14:paraId="25E3E772">
      <w:pPr>
        <w:spacing w:line="360" w:lineRule="exact"/>
        <w:ind w:firstLine="420" w:firstLineChars="200"/>
      </w:pPr>
      <w:r>
        <w:rPr>
          <w:rFonts w:hint="eastAsia"/>
        </w:rPr>
        <w:t>说明：本项目要求中所涉及的国家、地方或行业强制性标准如有更新，自新标准实施之日起，按新标准执行。</w:t>
      </w:r>
    </w:p>
    <w:p w14:paraId="66FC4664">
      <w:pPr>
        <w:spacing w:line="360" w:lineRule="exact"/>
        <w:ind w:firstLine="422" w:firstLineChars="200"/>
        <w:rPr>
          <w:b/>
          <w:bCs/>
        </w:rPr>
      </w:pPr>
      <w:r>
        <w:rPr>
          <w:rFonts w:hint="eastAsia"/>
          <w:b/>
          <w:bCs/>
        </w:rPr>
        <w:t>3.考核机制及合同履约负面清单</w:t>
      </w:r>
    </w:p>
    <w:p w14:paraId="04BFD4C9">
      <w:pPr>
        <w:spacing w:line="360" w:lineRule="exact"/>
        <w:ind w:firstLine="420" w:firstLineChars="200"/>
      </w:pPr>
      <w:r>
        <w:rPr>
          <w:rFonts w:hint="eastAsia"/>
        </w:rPr>
        <w:t>（1）考核机制</w:t>
      </w:r>
    </w:p>
    <w:p w14:paraId="0A0380D0">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7E2DB1A4">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237359E5">
      <w:pPr>
        <w:spacing w:line="360" w:lineRule="exact"/>
        <w:ind w:firstLine="420" w:firstLineChars="200"/>
      </w:pPr>
      <w:r>
        <w:rPr>
          <w:rFonts w:hint="eastAsia"/>
        </w:rPr>
        <w:t>（2）合同履约负面清单</w:t>
      </w:r>
    </w:p>
    <w:p w14:paraId="31D70248">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4743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60A268E8">
            <w:pPr>
              <w:spacing w:line="360" w:lineRule="exact"/>
              <w:jc w:val="center"/>
              <w:rPr>
                <w:b/>
                <w:bCs/>
                <w:szCs w:val="21"/>
              </w:rPr>
            </w:pPr>
            <w:bookmarkStart w:id="15" w:name="OLE_LINK1"/>
            <w:r>
              <w:rPr>
                <w:rFonts w:hint="eastAsia"/>
                <w:b/>
                <w:bCs/>
                <w:szCs w:val="21"/>
              </w:rPr>
              <w:t>西南交通大学后勤保障部饮食服务中心物资供应商负面清单</w:t>
            </w:r>
            <w:bookmarkEnd w:id="15"/>
          </w:p>
        </w:tc>
      </w:tr>
      <w:tr w14:paraId="221A5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5B8A9733">
            <w:pPr>
              <w:spacing w:line="360" w:lineRule="exact"/>
              <w:jc w:val="center"/>
              <w:rPr>
                <w:b/>
                <w:bCs/>
                <w:szCs w:val="21"/>
              </w:rPr>
            </w:pPr>
            <w:r>
              <w:rPr>
                <w:rFonts w:hint="eastAsia"/>
                <w:b/>
                <w:bCs/>
                <w:szCs w:val="21"/>
              </w:rPr>
              <w:t>风险等级</w:t>
            </w:r>
          </w:p>
        </w:tc>
        <w:tc>
          <w:tcPr>
            <w:tcW w:w="862" w:type="dxa"/>
            <w:noWrap w:val="0"/>
            <w:vAlign w:val="center"/>
          </w:tcPr>
          <w:p w14:paraId="0C3967D2">
            <w:pPr>
              <w:spacing w:line="360" w:lineRule="exact"/>
              <w:jc w:val="center"/>
              <w:rPr>
                <w:b/>
                <w:bCs/>
                <w:szCs w:val="21"/>
              </w:rPr>
            </w:pPr>
            <w:r>
              <w:rPr>
                <w:rFonts w:hint="eastAsia"/>
                <w:b/>
                <w:bCs/>
                <w:szCs w:val="21"/>
              </w:rPr>
              <w:t>序号</w:t>
            </w:r>
          </w:p>
        </w:tc>
        <w:tc>
          <w:tcPr>
            <w:tcW w:w="3319" w:type="dxa"/>
            <w:noWrap w:val="0"/>
            <w:vAlign w:val="center"/>
          </w:tcPr>
          <w:p w14:paraId="63E78F40">
            <w:pPr>
              <w:spacing w:line="360" w:lineRule="exact"/>
              <w:jc w:val="center"/>
              <w:rPr>
                <w:b/>
                <w:bCs/>
                <w:szCs w:val="21"/>
              </w:rPr>
            </w:pPr>
            <w:r>
              <w:rPr>
                <w:rFonts w:hint="eastAsia"/>
                <w:b/>
                <w:bCs/>
                <w:szCs w:val="21"/>
              </w:rPr>
              <w:t>负面行为描述</w:t>
            </w:r>
          </w:p>
        </w:tc>
        <w:tc>
          <w:tcPr>
            <w:tcW w:w="1106" w:type="dxa"/>
            <w:noWrap w:val="0"/>
            <w:vAlign w:val="center"/>
          </w:tcPr>
          <w:p w14:paraId="5BA29ABB">
            <w:pPr>
              <w:spacing w:line="360" w:lineRule="exact"/>
              <w:jc w:val="center"/>
              <w:rPr>
                <w:b/>
                <w:bCs/>
                <w:szCs w:val="21"/>
              </w:rPr>
            </w:pPr>
            <w:r>
              <w:rPr>
                <w:rFonts w:hint="eastAsia"/>
                <w:b/>
                <w:bCs/>
                <w:szCs w:val="21"/>
              </w:rPr>
              <w:t>单次扣分</w:t>
            </w:r>
          </w:p>
        </w:tc>
        <w:tc>
          <w:tcPr>
            <w:tcW w:w="2243" w:type="dxa"/>
            <w:noWrap w:val="0"/>
            <w:vAlign w:val="center"/>
          </w:tcPr>
          <w:p w14:paraId="4D70EA6B">
            <w:pPr>
              <w:spacing w:line="360" w:lineRule="exact"/>
              <w:jc w:val="center"/>
              <w:rPr>
                <w:b/>
                <w:bCs/>
                <w:szCs w:val="21"/>
              </w:rPr>
            </w:pPr>
            <w:r>
              <w:rPr>
                <w:rFonts w:hint="eastAsia"/>
                <w:b/>
                <w:bCs/>
                <w:szCs w:val="21"/>
              </w:rPr>
              <w:t>责任追究</w:t>
            </w:r>
          </w:p>
        </w:tc>
      </w:tr>
      <w:tr w14:paraId="585F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4FDFBB22">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4916E896">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773BF3B2">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6CDC6AA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E3D8B30">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5B83E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007773FA">
            <w:pPr>
              <w:widowControl/>
              <w:jc w:val="left"/>
              <w:rPr>
                <w:rFonts w:ascii="宋体" w:hAnsi="宋体" w:cs="宋体"/>
                <w:kern w:val="0"/>
                <w:szCs w:val="21"/>
                <w:lang w:bidi="ar"/>
              </w:rPr>
            </w:pPr>
          </w:p>
        </w:tc>
        <w:tc>
          <w:tcPr>
            <w:tcW w:w="862" w:type="dxa"/>
            <w:noWrap w:val="0"/>
            <w:vAlign w:val="center"/>
          </w:tcPr>
          <w:p w14:paraId="7930FDE3">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42E90491">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4D4B09D7">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CFC04CB">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216F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7EDBC3F">
            <w:pPr>
              <w:widowControl/>
              <w:jc w:val="left"/>
              <w:rPr>
                <w:rFonts w:ascii="宋体" w:hAnsi="宋体" w:cs="宋体"/>
                <w:kern w:val="0"/>
                <w:szCs w:val="21"/>
                <w:lang w:bidi="ar"/>
              </w:rPr>
            </w:pPr>
          </w:p>
        </w:tc>
        <w:tc>
          <w:tcPr>
            <w:tcW w:w="862" w:type="dxa"/>
            <w:noWrap w:val="0"/>
            <w:vAlign w:val="center"/>
          </w:tcPr>
          <w:p w14:paraId="55AFB010">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53DEB7AD">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7464AE79">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155742A">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0DFA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AE39565">
            <w:pPr>
              <w:widowControl/>
              <w:jc w:val="left"/>
              <w:rPr>
                <w:rFonts w:ascii="宋体" w:hAnsi="宋体" w:cs="宋体"/>
                <w:kern w:val="0"/>
                <w:szCs w:val="21"/>
                <w:lang w:bidi="ar"/>
              </w:rPr>
            </w:pPr>
          </w:p>
        </w:tc>
        <w:tc>
          <w:tcPr>
            <w:tcW w:w="862" w:type="dxa"/>
            <w:noWrap w:val="0"/>
            <w:vAlign w:val="center"/>
          </w:tcPr>
          <w:p w14:paraId="1DB88803">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353D1E1E">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3F2443B2">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C7B07CE">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8BC3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21BE6353">
            <w:pPr>
              <w:widowControl/>
              <w:jc w:val="left"/>
              <w:rPr>
                <w:rFonts w:ascii="宋体" w:hAnsi="宋体" w:cs="宋体"/>
                <w:kern w:val="0"/>
                <w:szCs w:val="21"/>
                <w:lang w:bidi="ar"/>
              </w:rPr>
            </w:pPr>
          </w:p>
        </w:tc>
        <w:tc>
          <w:tcPr>
            <w:tcW w:w="862" w:type="dxa"/>
            <w:noWrap w:val="0"/>
            <w:vAlign w:val="center"/>
          </w:tcPr>
          <w:p w14:paraId="0F5C7CD3">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2C6E2CC9">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064015E4">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E8A4B7D">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7A732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0DEA6AAD">
            <w:pPr>
              <w:widowControl/>
              <w:jc w:val="left"/>
              <w:rPr>
                <w:rFonts w:ascii="宋体" w:hAnsi="宋体" w:cs="宋体"/>
                <w:kern w:val="0"/>
                <w:szCs w:val="21"/>
                <w:lang w:bidi="ar"/>
              </w:rPr>
            </w:pPr>
          </w:p>
        </w:tc>
        <w:tc>
          <w:tcPr>
            <w:tcW w:w="862" w:type="dxa"/>
            <w:noWrap w:val="0"/>
            <w:vAlign w:val="center"/>
          </w:tcPr>
          <w:p w14:paraId="051FA050">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735493AE">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749F8010">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FF7625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0589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1B8F6368">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359E54FA">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36D2072E">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5B13E13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3C4482B">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1E4A7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07004337">
            <w:pPr>
              <w:spacing w:line="360" w:lineRule="exact"/>
              <w:rPr>
                <w:rFonts w:ascii="宋体" w:hAnsi="宋体" w:cs="宋体"/>
                <w:szCs w:val="21"/>
              </w:rPr>
            </w:pPr>
          </w:p>
        </w:tc>
        <w:tc>
          <w:tcPr>
            <w:tcW w:w="862" w:type="dxa"/>
            <w:noWrap w:val="0"/>
            <w:vAlign w:val="center"/>
          </w:tcPr>
          <w:p w14:paraId="02B953AC">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1B54C874">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651213B6">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5FCFBD4F">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69DE2036">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6A41C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FBF1B8E">
            <w:pPr>
              <w:spacing w:line="360" w:lineRule="exact"/>
              <w:rPr>
                <w:rFonts w:ascii="宋体" w:hAnsi="宋体" w:cs="宋体"/>
                <w:szCs w:val="21"/>
              </w:rPr>
            </w:pPr>
          </w:p>
        </w:tc>
        <w:tc>
          <w:tcPr>
            <w:tcW w:w="862" w:type="dxa"/>
            <w:noWrap w:val="0"/>
            <w:vAlign w:val="center"/>
          </w:tcPr>
          <w:p w14:paraId="400FAA7E">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4A292C5D">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0E956BB2">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75C11C6B">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6B2D967D">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7E14F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1CB4B98">
            <w:pPr>
              <w:spacing w:line="360" w:lineRule="exact"/>
              <w:rPr>
                <w:rFonts w:ascii="宋体" w:hAnsi="宋体" w:cs="宋体"/>
                <w:szCs w:val="21"/>
              </w:rPr>
            </w:pPr>
          </w:p>
        </w:tc>
        <w:tc>
          <w:tcPr>
            <w:tcW w:w="862" w:type="dxa"/>
            <w:noWrap w:val="0"/>
            <w:vAlign w:val="center"/>
          </w:tcPr>
          <w:p w14:paraId="50593908">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1483B8F2">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3580FB1A">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6441E627">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047E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23541DF8">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7A452BE3">
            <w:pPr>
              <w:pStyle w:val="2"/>
              <w:jc w:val="center"/>
              <w:rPr>
                <w:rFonts w:ascii="宋体" w:hAnsi="宋体" w:cs="宋体"/>
                <w:szCs w:val="21"/>
              </w:rPr>
            </w:pPr>
            <w:r>
              <w:rPr>
                <w:rFonts w:ascii="宋体" w:hAnsi="宋体" w:cs="宋体"/>
                <w:szCs w:val="21"/>
              </w:rPr>
              <w:t>11</w:t>
            </w:r>
          </w:p>
        </w:tc>
        <w:tc>
          <w:tcPr>
            <w:tcW w:w="3319" w:type="dxa"/>
            <w:noWrap w:val="0"/>
            <w:vAlign w:val="center"/>
          </w:tcPr>
          <w:p w14:paraId="1C8DC58E">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2A9BF3E1">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69AB194A">
            <w:pPr>
              <w:spacing w:line="360" w:lineRule="exact"/>
              <w:rPr>
                <w:rFonts w:ascii="宋体" w:hAnsi="宋体" w:cs="宋体"/>
                <w:szCs w:val="21"/>
              </w:rPr>
            </w:pPr>
            <w:r>
              <w:rPr>
                <w:rFonts w:hint="eastAsia" w:ascii="宋体" w:hAnsi="宋体" w:cs="宋体"/>
                <w:szCs w:val="21"/>
              </w:rPr>
              <w:t>暂停配送资格，并扣除履约保证金4000元。</w:t>
            </w:r>
          </w:p>
        </w:tc>
      </w:tr>
      <w:tr w14:paraId="69B13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034F2D92">
            <w:pPr>
              <w:spacing w:line="360" w:lineRule="exact"/>
              <w:rPr>
                <w:rFonts w:ascii="宋体" w:hAnsi="宋体" w:cs="宋体"/>
                <w:szCs w:val="21"/>
              </w:rPr>
            </w:pPr>
          </w:p>
        </w:tc>
        <w:tc>
          <w:tcPr>
            <w:tcW w:w="862" w:type="dxa"/>
            <w:noWrap w:val="0"/>
            <w:vAlign w:val="center"/>
          </w:tcPr>
          <w:p w14:paraId="447FD7E7">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0FDD97AC">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4A1F1782">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4D0A8353">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83ABE07">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51616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67EDEEA9">
            <w:pPr>
              <w:spacing w:line="360" w:lineRule="exact"/>
              <w:rPr>
                <w:rFonts w:ascii="宋体" w:hAnsi="宋体" w:cs="宋体"/>
                <w:szCs w:val="21"/>
              </w:rPr>
            </w:pPr>
          </w:p>
        </w:tc>
        <w:tc>
          <w:tcPr>
            <w:tcW w:w="862" w:type="dxa"/>
            <w:noWrap w:val="0"/>
            <w:vAlign w:val="center"/>
          </w:tcPr>
          <w:p w14:paraId="53FDC66A">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21C47CA4">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4E1BB15E">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79F8769F">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465FDED">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4A15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6279328A">
            <w:pPr>
              <w:spacing w:line="360" w:lineRule="exact"/>
              <w:rPr>
                <w:rFonts w:ascii="宋体" w:hAnsi="宋体" w:cs="宋体"/>
                <w:szCs w:val="21"/>
              </w:rPr>
            </w:pPr>
          </w:p>
        </w:tc>
        <w:tc>
          <w:tcPr>
            <w:tcW w:w="862" w:type="dxa"/>
            <w:noWrap w:val="0"/>
            <w:vAlign w:val="center"/>
          </w:tcPr>
          <w:p w14:paraId="107BFF97">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725E8515">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4FA1FC41">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14242FCD">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1C06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2306F14B">
            <w:pPr>
              <w:spacing w:line="360" w:lineRule="exact"/>
              <w:rPr>
                <w:b/>
                <w:bCs/>
                <w:szCs w:val="21"/>
              </w:rPr>
            </w:pPr>
            <w:r>
              <w:rPr>
                <w:rFonts w:hint="eastAsia"/>
                <w:b/>
                <w:bCs/>
                <w:szCs w:val="21"/>
              </w:rPr>
              <w:t>一、责任追究机制</w:t>
            </w:r>
          </w:p>
          <w:p w14:paraId="49374212">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49D1E910">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3DB4CA23">
            <w:pPr>
              <w:spacing w:line="360" w:lineRule="exact"/>
              <w:rPr>
                <w:szCs w:val="21"/>
              </w:rPr>
            </w:pPr>
            <w:r>
              <w:rPr>
                <w:rFonts w:hint="eastAsia"/>
                <w:szCs w:val="21"/>
              </w:rPr>
              <w:t>（1）私自更换包装、供应食材与中标规格/品牌/产地不一致；</w:t>
            </w:r>
          </w:p>
          <w:p w14:paraId="27D65A0D">
            <w:pPr>
              <w:spacing w:line="360" w:lineRule="exact"/>
              <w:rPr>
                <w:szCs w:val="21"/>
              </w:rPr>
            </w:pPr>
            <w:r>
              <w:rPr>
                <w:rFonts w:hint="eastAsia"/>
                <w:szCs w:val="21"/>
              </w:rPr>
              <w:t>（2）未按规定使用符合卫生要求的专用运输车辆；</w:t>
            </w:r>
          </w:p>
          <w:p w14:paraId="5F51F2CB">
            <w:pPr>
              <w:spacing w:line="360" w:lineRule="exact"/>
              <w:rPr>
                <w:szCs w:val="21"/>
              </w:rPr>
            </w:pPr>
            <w:r>
              <w:rPr>
                <w:rFonts w:hint="eastAsia"/>
                <w:szCs w:val="21"/>
              </w:rPr>
              <w:t>（3）不符合本项目招标文件第五章第三条标准要求的；</w:t>
            </w:r>
          </w:p>
          <w:p w14:paraId="6C91F27F">
            <w:pPr>
              <w:spacing w:line="360" w:lineRule="exact"/>
              <w:rPr>
                <w:szCs w:val="21"/>
              </w:rPr>
            </w:pPr>
            <w:r>
              <w:rPr>
                <w:rFonts w:hint="eastAsia"/>
                <w:szCs w:val="21"/>
              </w:rPr>
              <w:t>（4）负面清单中规定暂停配送资格的。</w:t>
            </w:r>
          </w:p>
          <w:p w14:paraId="392B7EE7">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72A32FF3">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52A80033">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1521941C">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07B7C9E1">
            <w:pPr>
              <w:spacing w:line="360" w:lineRule="exact"/>
              <w:rPr>
                <w:szCs w:val="21"/>
              </w:rPr>
            </w:pPr>
            <w:r>
              <w:rPr>
                <w:rFonts w:hint="eastAsia"/>
                <w:szCs w:val="21"/>
              </w:rPr>
              <w:t>（3）食材运输过程中与有毒有害物资混装；</w:t>
            </w:r>
          </w:p>
          <w:p w14:paraId="6677D5EF">
            <w:pPr>
              <w:spacing w:line="360" w:lineRule="exact"/>
              <w:rPr>
                <w:szCs w:val="21"/>
              </w:rPr>
            </w:pPr>
            <w:r>
              <w:rPr>
                <w:rFonts w:hint="eastAsia"/>
                <w:szCs w:val="21"/>
              </w:rPr>
              <w:t>（4）提供假冒伪劣产品、走私物品，或伪造、变造检验报告及相关资质证明；</w:t>
            </w:r>
          </w:p>
          <w:p w14:paraId="119BAA1D">
            <w:pPr>
              <w:spacing w:line="360" w:lineRule="exact"/>
              <w:rPr>
                <w:szCs w:val="21"/>
              </w:rPr>
            </w:pPr>
            <w:r>
              <w:rPr>
                <w:rFonts w:hint="eastAsia"/>
                <w:szCs w:val="21"/>
              </w:rPr>
              <w:t>（5）存在围标、串标、商业贿赂等恶意扰乱市场秩序的行为；</w:t>
            </w:r>
          </w:p>
          <w:p w14:paraId="106D7C90">
            <w:pPr>
              <w:spacing w:line="360" w:lineRule="exact"/>
              <w:rPr>
                <w:szCs w:val="21"/>
              </w:rPr>
            </w:pPr>
            <w:r>
              <w:rPr>
                <w:rFonts w:hint="eastAsia"/>
                <w:szCs w:val="21"/>
              </w:rPr>
              <w:t>（6）因劳资纠纷引发群体性事件，严重影响校园秩序或学校声誉的；</w:t>
            </w:r>
          </w:p>
          <w:p w14:paraId="733AC2E2">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15476988">
            <w:pPr>
              <w:spacing w:line="360" w:lineRule="exact"/>
              <w:rPr>
                <w:b/>
                <w:bCs/>
                <w:szCs w:val="21"/>
              </w:rPr>
            </w:pPr>
            <w:r>
              <w:rPr>
                <w:rFonts w:hint="eastAsia"/>
                <w:b/>
                <w:bCs/>
                <w:szCs w:val="21"/>
              </w:rPr>
              <w:t>二、违约金的扣除</w:t>
            </w:r>
          </w:p>
          <w:p w14:paraId="57515D91">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0730F2EE">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32CC7811">
      <w:pPr>
        <w:rPr>
          <w:rFonts w:hint="eastAsia"/>
        </w:rPr>
      </w:pPr>
    </w:p>
    <w:p w14:paraId="2A2E3FFD">
      <w:pPr>
        <w:rPr>
          <w:rFonts w:hint="eastAsia"/>
          <w:b/>
          <w:bCs/>
          <w:sz w:val="24"/>
        </w:rPr>
      </w:pPr>
      <w:r>
        <w:rPr>
          <w:rFonts w:hint="eastAsia"/>
          <w:b/>
          <w:bCs/>
          <w:sz w:val="24"/>
        </w:rPr>
        <w:t>03包（面粉）：</w:t>
      </w:r>
    </w:p>
    <w:p w14:paraId="41302D2E">
      <w:pPr>
        <w:spacing w:line="360" w:lineRule="exact"/>
        <w:ind w:firstLine="422" w:firstLineChars="200"/>
        <w:rPr>
          <w:b/>
          <w:bCs/>
        </w:rPr>
      </w:pPr>
      <w:r>
        <w:rPr>
          <w:rFonts w:hint="eastAsia"/>
          <w:b/>
          <w:bCs/>
        </w:rPr>
        <w:t>1.索证索票相关要求</w:t>
      </w:r>
    </w:p>
    <w:p w14:paraId="7B59CD23">
      <w:pPr>
        <w:spacing w:line="360" w:lineRule="exact"/>
        <w:ind w:firstLine="420" w:firstLineChars="200"/>
      </w:pPr>
      <w:r>
        <w:rPr>
          <w:rFonts w:hint="eastAsia"/>
        </w:rPr>
        <w:t>采购人与中标人签订合同之时，各中标人须提供营业执照、食品生产许可证或食品经营许可证（若涉及相关业务）、检测或检验检疫报告（若涉及相关业务）、税务登记证（若已更换为三证合一的营业执照，则无需提供）、本项目管理人员名单、配送人员名单以及法定代表人身份证原件，以供采购人进行审验，并留存复印件存档以备查核。若中标人为经销商，还须提供中标相关产品的生产厂家营业执照、《食品生产许可证》。上述资质文件及检验报告须处于有效期内，若在合同履行期间发生更换，应在有效期满之前进行更换，更换后3日内将最新版本提交至采购人存档。</w:t>
      </w:r>
    </w:p>
    <w:p w14:paraId="0A03C6CE">
      <w:pPr>
        <w:spacing w:line="360" w:lineRule="exact"/>
        <w:ind w:firstLine="422" w:firstLineChars="200"/>
      </w:pPr>
      <w:r>
        <w:rPr>
          <w:rFonts w:hint="eastAsia"/>
          <w:b/>
          <w:bCs/>
        </w:rPr>
        <w:t>2.验收标准</w:t>
      </w:r>
    </w:p>
    <w:tbl>
      <w:tblPr>
        <w:tblStyle w:val="5"/>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4"/>
        <w:gridCol w:w="1105"/>
        <w:gridCol w:w="1527"/>
        <w:gridCol w:w="2932"/>
        <w:gridCol w:w="2602"/>
      </w:tblGrid>
      <w:tr w14:paraId="5EB3A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14" w:type="dxa"/>
            <w:noWrap w:val="0"/>
            <w:vAlign w:val="center"/>
          </w:tcPr>
          <w:p w14:paraId="2C6DCEA6">
            <w:pPr>
              <w:pStyle w:val="9"/>
              <w:spacing w:line="360" w:lineRule="exact"/>
              <w:jc w:val="center"/>
              <w:rPr>
                <w:rFonts w:hint="eastAsia" w:ascii="宋体" w:hAnsi="宋体" w:cs="宋体"/>
                <w:b/>
                <w:bCs/>
              </w:rPr>
            </w:pPr>
            <w:r>
              <w:rPr>
                <w:rFonts w:hint="eastAsia" w:ascii="宋体" w:hAnsi="宋体" w:cs="宋体"/>
                <w:b/>
                <w:bCs/>
              </w:rPr>
              <w:t>序号</w:t>
            </w:r>
          </w:p>
        </w:tc>
        <w:tc>
          <w:tcPr>
            <w:tcW w:w="1105" w:type="dxa"/>
            <w:noWrap w:val="0"/>
            <w:vAlign w:val="center"/>
          </w:tcPr>
          <w:p w14:paraId="78EB6641">
            <w:pPr>
              <w:pStyle w:val="9"/>
              <w:spacing w:line="360" w:lineRule="exact"/>
              <w:jc w:val="center"/>
              <w:rPr>
                <w:rFonts w:hint="eastAsia" w:ascii="宋体" w:hAnsi="宋体" w:cs="宋体"/>
                <w:b/>
                <w:bCs/>
              </w:rPr>
            </w:pPr>
            <w:r>
              <w:rPr>
                <w:rFonts w:hint="eastAsia" w:ascii="宋体" w:hAnsi="宋体" w:cs="宋体"/>
                <w:b/>
              </w:rPr>
              <w:t>物资名称</w:t>
            </w:r>
          </w:p>
        </w:tc>
        <w:tc>
          <w:tcPr>
            <w:tcW w:w="1527" w:type="dxa"/>
            <w:noWrap w:val="0"/>
            <w:vAlign w:val="center"/>
          </w:tcPr>
          <w:p w14:paraId="0AE7B34C">
            <w:pPr>
              <w:pStyle w:val="9"/>
              <w:spacing w:line="360" w:lineRule="exact"/>
              <w:jc w:val="center"/>
              <w:rPr>
                <w:rFonts w:hint="eastAsia" w:ascii="宋体" w:hAnsi="宋体" w:cs="宋体"/>
                <w:b/>
                <w:bCs/>
              </w:rPr>
            </w:pPr>
            <w:r>
              <w:rPr>
                <w:rFonts w:hint="eastAsia" w:ascii="宋体" w:hAnsi="宋体" w:cs="宋体"/>
                <w:b/>
                <w:bCs/>
              </w:rPr>
              <w:t>需检证件</w:t>
            </w:r>
          </w:p>
        </w:tc>
        <w:tc>
          <w:tcPr>
            <w:tcW w:w="2932" w:type="dxa"/>
            <w:noWrap w:val="0"/>
            <w:vAlign w:val="center"/>
          </w:tcPr>
          <w:p w14:paraId="6B5BA893">
            <w:pPr>
              <w:pStyle w:val="9"/>
              <w:spacing w:line="360" w:lineRule="exact"/>
              <w:jc w:val="center"/>
              <w:rPr>
                <w:rFonts w:hint="eastAsia" w:ascii="宋体" w:hAnsi="宋体" w:cs="宋体"/>
                <w:b/>
                <w:bCs/>
              </w:rPr>
            </w:pPr>
            <w:r>
              <w:rPr>
                <w:rFonts w:hint="eastAsia" w:ascii="宋体" w:hAnsi="宋体" w:cs="宋体"/>
                <w:b/>
                <w:bCs/>
              </w:rPr>
              <w:t>检验标准</w:t>
            </w:r>
          </w:p>
        </w:tc>
        <w:tc>
          <w:tcPr>
            <w:tcW w:w="2602" w:type="dxa"/>
            <w:noWrap w:val="0"/>
            <w:vAlign w:val="center"/>
          </w:tcPr>
          <w:p w14:paraId="330F14B0">
            <w:pPr>
              <w:pStyle w:val="9"/>
              <w:spacing w:line="360" w:lineRule="exact"/>
              <w:jc w:val="center"/>
              <w:rPr>
                <w:rFonts w:hint="eastAsia" w:ascii="宋体" w:hAnsi="宋体" w:cs="宋体"/>
                <w:b/>
                <w:bCs/>
              </w:rPr>
            </w:pPr>
            <w:r>
              <w:rPr>
                <w:rFonts w:hint="eastAsia" w:ascii="宋体" w:hAnsi="宋体" w:cs="宋体"/>
                <w:b/>
                <w:bCs/>
              </w:rPr>
              <w:t>不合格判定</w:t>
            </w:r>
          </w:p>
        </w:tc>
      </w:tr>
      <w:tr w14:paraId="767AC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76FE93CD">
            <w:pPr>
              <w:pStyle w:val="9"/>
              <w:spacing w:line="360" w:lineRule="exact"/>
              <w:jc w:val="center"/>
              <w:rPr>
                <w:rFonts w:hint="eastAsia" w:ascii="宋体" w:hAnsi="宋体" w:cs="宋体"/>
              </w:rPr>
            </w:pPr>
            <w:r>
              <w:rPr>
                <w:rFonts w:hint="eastAsia" w:ascii="宋体" w:hAnsi="宋体" w:cs="宋体"/>
              </w:rPr>
              <w:t>1</w:t>
            </w:r>
          </w:p>
        </w:tc>
        <w:tc>
          <w:tcPr>
            <w:tcW w:w="1105" w:type="dxa"/>
            <w:noWrap w:val="0"/>
            <w:vAlign w:val="center"/>
          </w:tcPr>
          <w:p w14:paraId="0037456D">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面粉</w:t>
            </w:r>
          </w:p>
          <w:p w14:paraId="5AC1E5C9">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（精制粉）</w:t>
            </w:r>
          </w:p>
        </w:tc>
        <w:tc>
          <w:tcPr>
            <w:tcW w:w="1527" w:type="dxa"/>
            <w:noWrap w:val="0"/>
            <w:vAlign w:val="center"/>
          </w:tcPr>
          <w:p w14:paraId="40C2B39B">
            <w:pPr>
              <w:pStyle w:val="9"/>
              <w:spacing w:line="360" w:lineRule="exact"/>
              <w:jc w:val="center"/>
              <w:rPr>
                <w:rFonts w:hint="eastAsia" w:ascii="宋体" w:hAnsi="宋体" w:cs="宋体"/>
              </w:rPr>
            </w:pPr>
            <w:r>
              <w:rPr>
                <w:rFonts w:hint="eastAsia" w:ascii="宋体" w:hAnsi="宋体" w:cs="宋体"/>
              </w:rPr>
              <w:t>合格证、生产日期、生产厂家、品牌、型号、批次自检报告</w:t>
            </w:r>
          </w:p>
        </w:tc>
        <w:tc>
          <w:tcPr>
            <w:tcW w:w="2932" w:type="dxa"/>
            <w:vMerge w:val="restart"/>
            <w:noWrap w:val="0"/>
            <w:vAlign w:val="center"/>
          </w:tcPr>
          <w:p w14:paraId="2F8F0B3D">
            <w:pPr>
              <w:pStyle w:val="9"/>
              <w:spacing w:line="360" w:lineRule="exact"/>
              <w:rPr>
                <w:rFonts w:hint="eastAsia" w:ascii="宋体" w:hAnsi="宋体" w:cs="宋体"/>
              </w:rPr>
            </w:pPr>
            <w:r>
              <w:rPr>
                <w:rFonts w:hint="eastAsia" w:ascii="宋体" w:hAnsi="宋体" w:cs="宋体"/>
              </w:rPr>
              <w:t>颜色与光泽：米白色，色泽均匀，具有自然光泽</w:t>
            </w:r>
            <w:r>
              <w:rPr>
                <w:rFonts w:hint="eastAsia" w:ascii="宋体" w:hAnsi="宋体" w:cs="宋体"/>
                <w:shd w:val="clear" w:color="auto" w:fill="FFFFFF"/>
              </w:rPr>
              <w:t>，无灰暗或发黄现象</w:t>
            </w:r>
            <w:r>
              <w:rPr>
                <w:rFonts w:hint="eastAsia" w:ascii="宋体" w:hAnsi="宋体" w:cs="宋体"/>
              </w:rPr>
              <w:t>。</w:t>
            </w:r>
          </w:p>
          <w:p w14:paraId="53C2006B">
            <w:pPr>
              <w:pStyle w:val="9"/>
              <w:spacing w:line="360" w:lineRule="exact"/>
              <w:rPr>
                <w:rFonts w:hint="eastAsia" w:ascii="宋体" w:hAnsi="宋体" w:cs="宋体"/>
              </w:rPr>
            </w:pPr>
            <w:r>
              <w:rPr>
                <w:rFonts w:hint="eastAsia" w:ascii="宋体" w:hAnsi="宋体" w:cs="宋体"/>
              </w:rPr>
              <w:t>质感：质感细腻，无受潮现象，松散无结块，无肉眼可见杂质。</w:t>
            </w:r>
          </w:p>
          <w:p w14:paraId="116E95BB">
            <w:pPr>
              <w:pStyle w:val="9"/>
              <w:spacing w:line="360" w:lineRule="exact"/>
              <w:rPr>
                <w:rFonts w:hint="eastAsia" w:ascii="宋体" w:hAnsi="宋体" w:cs="宋体"/>
              </w:rPr>
            </w:pPr>
            <w:r>
              <w:rPr>
                <w:rFonts w:hint="eastAsia" w:ascii="宋体" w:hAnsi="宋体" w:cs="宋体"/>
              </w:rPr>
              <w:t>气味与滋味：具有面粉的正常气味，无霉味、酸味、苦味等异味。</w:t>
            </w:r>
            <w:r>
              <w:rPr>
                <w:rFonts w:hint="eastAsia" w:ascii="宋体" w:hAnsi="宋体" w:cs="宋体"/>
                <w:shd w:val="clear" w:color="auto" w:fill="FFFFFF"/>
              </w:rPr>
              <w:t>熟制后口感松软，无酸味或苦味。</w:t>
            </w:r>
          </w:p>
          <w:p w14:paraId="35C4C328">
            <w:pPr>
              <w:pStyle w:val="9"/>
              <w:spacing w:line="360" w:lineRule="exact"/>
              <w:rPr>
                <w:rFonts w:hint="eastAsia" w:ascii="宋体" w:hAnsi="宋体" w:cs="宋体"/>
              </w:rPr>
            </w:pPr>
            <w:r>
              <w:rPr>
                <w:rFonts w:hint="eastAsia" w:ascii="宋体" w:hAnsi="宋体" w:cs="宋体"/>
              </w:rPr>
              <w:t>包装：无破损、无渗漏，标签清晰，注明产品名称、生产日期、保质期、生产厂家等信息。</w:t>
            </w:r>
          </w:p>
        </w:tc>
        <w:tc>
          <w:tcPr>
            <w:tcW w:w="2602" w:type="dxa"/>
            <w:vMerge w:val="restart"/>
            <w:noWrap w:val="0"/>
            <w:vAlign w:val="center"/>
          </w:tcPr>
          <w:p w14:paraId="5B52DF56">
            <w:pPr>
              <w:pStyle w:val="9"/>
              <w:spacing w:line="360" w:lineRule="exact"/>
              <w:rPr>
                <w:rFonts w:hint="eastAsia" w:ascii="宋体" w:hAnsi="宋体" w:cs="宋体"/>
              </w:rPr>
            </w:pPr>
            <w:r>
              <w:rPr>
                <w:rFonts w:hint="eastAsia" w:ascii="宋体" w:hAnsi="宋体" w:cs="宋体"/>
              </w:rPr>
              <w:t>颜色与光泽：颜色不均匀，存在明显色差，存在</w:t>
            </w:r>
            <w:r>
              <w:rPr>
                <w:rFonts w:hint="eastAsia" w:ascii="宋体" w:hAnsi="宋体" w:cs="宋体"/>
                <w:shd w:val="clear" w:color="auto" w:fill="FFFFFF"/>
              </w:rPr>
              <w:t>灰暗或发黄现象</w:t>
            </w:r>
            <w:r>
              <w:rPr>
                <w:rFonts w:hint="eastAsia" w:ascii="宋体" w:hAnsi="宋体" w:cs="宋体"/>
              </w:rPr>
              <w:t>。</w:t>
            </w:r>
          </w:p>
          <w:p w14:paraId="647578B2">
            <w:pPr>
              <w:pStyle w:val="9"/>
              <w:spacing w:line="360" w:lineRule="exact"/>
              <w:rPr>
                <w:rFonts w:hint="eastAsia" w:ascii="宋体" w:hAnsi="宋体" w:cs="宋体"/>
              </w:rPr>
            </w:pPr>
            <w:r>
              <w:rPr>
                <w:rFonts w:hint="eastAsia" w:ascii="宋体" w:hAnsi="宋体" w:cs="宋体"/>
              </w:rPr>
              <w:t>质感：质感粗糙，存在受潮现象或结块，有杂质。</w:t>
            </w:r>
          </w:p>
          <w:p w14:paraId="412DC380">
            <w:pPr>
              <w:pStyle w:val="9"/>
              <w:spacing w:line="360" w:lineRule="exact"/>
              <w:rPr>
                <w:rFonts w:hint="eastAsia" w:ascii="宋体" w:hAnsi="宋体" w:cs="宋体"/>
              </w:rPr>
            </w:pPr>
            <w:r>
              <w:rPr>
                <w:rFonts w:hint="eastAsia" w:ascii="宋体" w:hAnsi="宋体" w:cs="宋体"/>
              </w:rPr>
              <w:t>气味与滋味：存在异味，如霉味、酸味、苦味等，或滋味异常。</w:t>
            </w:r>
          </w:p>
          <w:p w14:paraId="113687D6">
            <w:pPr>
              <w:pStyle w:val="9"/>
              <w:spacing w:line="360" w:lineRule="exact"/>
              <w:rPr>
                <w:rFonts w:hint="eastAsia" w:ascii="宋体" w:hAnsi="宋体" w:cs="宋体"/>
              </w:rPr>
            </w:pPr>
            <w:r>
              <w:rPr>
                <w:rFonts w:hint="eastAsia" w:ascii="宋体" w:hAnsi="宋体" w:cs="宋体"/>
              </w:rPr>
              <w:t>包装：破损、渗漏，标签不清晰、缺失或未注明产品名称、生产日期、保质期、生产厂家等信息。</w:t>
            </w:r>
          </w:p>
        </w:tc>
      </w:tr>
      <w:tr w14:paraId="677EA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31FA57E3">
            <w:pPr>
              <w:pStyle w:val="9"/>
              <w:spacing w:line="360" w:lineRule="exact"/>
              <w:jc w:val="center"/>
              <w:rPr>
                <w:rFonts w:hint="eastAsia" w:ascii="宋体" w:hAnsi="宋体" w:cs="宋体"/>
              </w:rPr>
            </w:pPr>
            <w:r>
              <w:rPr>
                <w:rFonts w:hint="eastAsia" w:ascii="宋体" w:hAnsi="宋体" w:cs="宋体"/>
              </w:rPr>
              <w:t>2</w:t>
            </w:r>
          </w:p>
        </w:tc>
        <w:tc>
          <w:tcPr>
            <w:tcW w:w="1105" w:type="dxa"/>
            <w:noWrap w:val="0"/>
            <w:vAlign w:val="center"/>
          </w:tcPr>
          <w:p w14:paraId="4460C98B">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高筋小麦面粉</w:t>
            </w:r>
          </w:p>
          <w:p w14:paraId="7B5DF0A3">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（一等）</w:t>
            </w:r>
          </w:p>
        </w:tc>
        <w:tc>
          <w:tcPr>
            <w:tcW w:w="1527" w:type="dxa"/>
            <w:noWrap w:val="0"/>
            <w:vAlign w:val="center"/>
          </w:tcPr>
          <w:p w14:paraId="5550BA30">
            <w:pPr>
              <w:pStyle w:val="9"/>
              <w:spacing w:line="360" w:lineRule="exact"/>
              <w:jc w:val="center"/>
              <w:rPr>
                <w:rFonts w:hint="eastAsia" w:ascii="宋体" w:hAnsi="宋体" w:cs="宋体"/>
              </w:rPr>
            </w:pPr>
            <w:r>
              <w:rPr>
                <w:rFonts w:hint="eastAsia" w:ascii="宋体" w:hAnsi="宋体" w:cs="宋体"/>
              </w:rPr>
              <w:t>合格证、生产日期、生产厂家、品牌、型号、批次自检报告</w:t>
            </w:r>
          </w:p>
        </w:tc>
        <w:tc>
          <w:tcPr>
            <w:tcW w:w="2932" w:type="dxa"/>
            <w:vMerge w:val="continue"/>
            <w:noWrap w:val="0"/>
            <w:vAlign w:val="center"/>
          </w:tcPr>
          <w:p w14:paraId="6C556104">
            <w:pPr>
              <w:pStyle w:val="9"/>
              <w:spacing w:line="360" w:lineRule="exact"/>
              <w:rPr>
                <w:rFonts w:hint="eastAsia" w:ascii="宋体" w:hAnsi="宋体" w:cs="宋体"/>
              </w:rPr>
            </w:pPr>
          </w:p>
        </w:tc>
        <w:tc>
          <w:tcPr>
            <w:tcW w:w="2602" w:type="dxa"/>
            <w:vMerge w:val="continue"/>
            <w:noWrap w:val="0"/>
            <w:vAlign w:val="center"/>
          </w:tcPr>
          <w:p w14:paraId="6D08B52F">
            <w:pPr>
              <w:pStyle w:val="9"/>
              <w:spacing w:line="360" w:lineRule="exact"/>
              <w:rPr>
                <w:rFonts w:hint="eastAsia" w:ascii="宋体" w:hAnsi="宋体" w:cs="宋体"/>
              </w:rPr>
            </w:pPr>
          </w:p>
        </w:tc>
      </w:tr>
      <w:tr w14:paraId="51C7A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7210451D">
            <w:pPr>
              <w:pStyle w:val="9"/>
              <w:spacing w:line="360" w:lineRule="exact"/>
              <w:jc w:val="center"/>
              <w:rPr>
                <w:rFonts w:hint="eastAsia" w:ascii="宋体" w:hAnsi="宋体" w:cs="宋体"/>
              </w:rPr>
            </w:pPr>
            <w:r>
              <w:rPr>
                <w:rFonts w:hint="eastAsia" w:ascii="宋体" w:hAnsi="宋体" w:cs="宋体"/>
              </w:rPr>
              <w:t>3</w:t>
            </w:r>
          </w:p>
        </w:tc>
        <w:tc>
          <w:tcPr>
            <w:tcW w:w="1105" w:type="dxa"/>
            <w:noWrap w:val="0"/>
            <w:vAlign w:val="center"/>
          </w:tcPr>
          <w:p w14:paraId="3FC0ADAF">
            <w:pPr>
              <w:widowControl/>
              <w:spacing w:line="360" w:lineRule="exact"/>
              <w:jc w:val="center"/>
              <w:textAlignment w:val="center"/>
              <w:rPr>
                <w:rFonts w:hint="eastAsia" w:ascii="宋体" w:hAnsi="宋体" w:cs="宋体"/>
                <w:kern w:val="0"/>
                <w:szCs w:val="21"/>
                <w:lang w:bidi="ar"/>
              </w:rPr>
            </w:pPr>
            <w:r>
              <w:rPr>
                <w:rFonts w:hint="eastAsia" w:ascii="宋体" w:hAnsi="宋体" w:cs="宋体"/>
                <w:kern w:val="0"/>
                <w:szCs w:val="21"/>
                <w:lang w:bidi="ar"/>
              </w:rPr>
              <w:t>高级包点粉</w:t>
            </w:r>
          </w:p>
        </w:tc>
        <w:tc>
          <w:tcPr>
            <w:tcW w:w="1527" w:type="dxa"/>
            <w:noWrap w:val="0"/>
            <w:vAlign w:val="center"/>
          </w:tcPr>
          <w:p w14:paraId="754C407F">
            <w:pPr>
              <w:pStyle w:val="9"/>
              <w:spacing w:line="360" w:lineRule="exact"/>
              <w:jc w:val="center"/>
              <w:rPr>
                <w:rFonts w:hint="eastAsia" w:ascii="宋体" w:hAnsi="宋体" w:cs="宋体"/>
              </w:rPr>
            </w:pPr>
            <w:r>
              <w:rPr>
                <w:rFonts w:hint="eastAsia" w:ascii="宋体" w:hAnsi="宋体" w:cs="宋体"/>
              </w:rPr>
              <w:t>合格证、生产日期、生产厂家、品牌、型号、批次自检报告</w:t>
            </w:r>
          </w:p>
        </w:tc>
        <w:tc>
          <w:tcPr>
            <w:tcW w:w="2932" w:type="dxa"/>
            <w:noWrap w:val="0"/>
            <w:vAlign w:val="center"/>
          </w:tcPr>
          <w:p w14:paraId="072A2ADA">
            <w:pPr>
              <w:pStyle w:val="9"/>
              <w:spacing w:line="360" w:lineRule="exact"/>
              <w:rPr>
                <w:rFonts w:hint="eastAsia" w:ascii="宋体" w:hAnsi="宋体" w:cs="宋体"/>
              </w:rPr>
            </w:pPr>
            <w:r>
              <w:rPr>
                <w:rFonts w:hint="eastAsia" w:ascii="宋体" w:hAnsi="宋体" w:cs="宋体"/>
              </w:rPr>
              <w:t>颜色与光泽：米白色，色泽均匀，具有自然光泽</w:t>
            </w:r>
            <w:r>
              <w:rPr>
                <w:rFonts w:hint="eastAsia" w:ascii="宋体" w:hAnsi="宋体" w:cs="宋体"/>
                <w:shd w:val="clear" w:color="auto" w:fill="FFFFFF"/>
              </w:rPr>
              <w:t>，无灰暗或发黄现象。</w:t>
            </w:r>
          </w:p>
          <w:p w14:paraId="51326AD1">
            <w:pPr>
              <w:pStyle w:val="9"/>
              <w:spacing w:line="360" w:lineRule="exact"/>
              <w:rPr>
                <w:rFonts w:hint="eastAsia" w:ascii="宋体" w:hAnsi="宋体" w:cs="宋体"/>
              </w:rPr>
            </w:pPr>
            <w:r>
              <w:rPr>
                <w:rFonts w:hint="eastAsia" w:ascii="宋体" w:hAnsi="宋体" w:cs="宋体"/>
              </w:rPr>
              <w:t>质感：质感细腻，无受潮现象，松散无结块，无肉眼可见杂质。</w:t>
            </w:r>
          </w:p>
          <w:p w14:paraId="6644459B">
            <w:pPr>
              <w:pStyle w:val="9"/>
              <w:spacing w:line="360" w:lineRule="exact"/>
              <w:rPr>
                <w:rFonts w:hint="eastAsia" w:ascii="宋体" w:hAnsi="宋体" w:cs="宋体"/>
              </w:rPr>
            </w:pPr>
            <w:r>
              <w:rPr>
                <w:rFonts w:hint="eastAsia" w:ascii="宋体" w:hAnsi="宋体" w:cs="宋体"/>
              </w:rPr>
              <w:t>气味与滋味：具有面粉的正常气味，无霉味、酸味、苦味等异味。</w:t>
            </w:r>
            <w:r>
              <w:rPr>
                <w:rFonts w:hint="eastAsia" w:ascii="宋体" w:hAnsi="宋体" w:cs="宋体"/>
                <w:shd w:val="clear" w:color="auto" w:fill="FFFFFF"/>
              </w:rPr>
              <w:t>熟制后口感松软，无酸味或苦味。</w:t>
            </w:r>
          </w:p>
          <w:p w14:paraId="0F7F116D">
            <w:pPr>
              <w:pStyle w:val="9"/>
              <w:spacing w:line="360" w:lineRule="exact"/>
              <w:rPr>
                <w:rFonts w:hint="eastAsia" w:ascii="宋体" w:hAnsi="宋体" w:cs="宋体"/>
                <w:shd w:val="clear" w:color="auto" w:fill="FFFFFF"/>
              </w:rPr>
            </w:pPr>
            <w:r>
              <w:rPr>
                <w:rFonts w:hint="eastAsia" w:ascii="宋体" w:hAnsi="宋体" w:cs="宋体"/>
              </w:rPr>
              <w:t>包装：无破损、无渗漏，标签清晰，注明产品名称、生产日期、保质期、生产厂家等信息。</w:t>
            </w:r>
            <w:r>
              <w:rPr>
                <w:rFonts w:hint="eastAsia" w:ascii="宋体" w:hAnsi="宋体" w:cs="宋体"/>
                <w:shd w:val="clear" w:color="auto" w:fill="FFFFFF"/>
              </w:rPr>
              <w:t>包装标识清晰标注“高级包点粉”或适用面点类型。</w:t>
            </w:r>
          </w:p>
        </w:tc>
        <w:tc>
          <w:tcPr>
            <w:tcW w:w="2602" w:type="dxa"/>
            <w:vMerge w:val="continue"/>
            <w:noWrap w:val="0"/>
            <w:vAlign w:val="center"/>
          </w:tcPr>
          <w:p w14:paraId="7B4B2C0C">
            <w:pPr>
              <w:pStyle w:val="9"/>
              <w:spacing w:line="360" w:lineRule="exact"/>
              <w:rPr>
                <w:rFonts w:hint="eastAsia" w:ascii="宋体" w:hAnsi="宋体" w:cs="宋体"/>
              </w:rPr>
            </w:pPr>
          </w:p>
        </w:tc>
      </w:tr>
      <w:tr w14:paraId="7A6B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4" w:type="dxa"/>
            <w:noWrap w:val="0"/>
            <w:vAlign w:val="center"/>
          </w:tcPr>
          <w:p w14:paraId="727DC315">
            <w:pPr>
              <w:pStyle w:val="9"/>
              <w:spacing w:line="360" w:lineRule="exact"/>
              <w:jc w:val="center"/>
              <w:rPr>
                <w:rFonts w:hint="eastAsia" w:ascii="宋体" w:hAnsi="宋体" w:cs="宋体"/>
              </w:rPr>
            </w:pPr>
            <w:r>
              <w:rPr>
                <w:rFonts w:hint="eastAsia" w:ascii="宋体" w:hAnsi="宋体" w:cs="宋体"/>
              </w:rPr>
              <w:t>4</w:t>
            </w:r>
          </w:p>
        </w:tc>
        <w:tc>
          <w:tcPr>
            <w:tcW w:w="1105" w:type="dxa"/>
            <w:noWrap w:val="0"/>
            <w:vAlign w:val="center"/>
          </w:tcPr>
          <w:p w14:paraId="19BA701D">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拉面粉</w:t>
            </w:r>
          </w:p>
        </w:tc>
        <w:tc>
          <w:tcPr>
            <w:tcW w:w="1527" w:type="dxa"/>
            <w:noWrap w:val="0"/>
            <w:vAlign w:val="center"/>
          </w:tcPr>
          <w:p w14:paraId="052F4B92">
            <w:pPr>
              <w:pStyle w:val="9"/>
              <w:spacing w:line="360" w:lineRule="exact"/>
              <w:jc w:val="center"/>
              <w:rPr>
                <w:rFonts w:hint="eastAsia" w:ascii="宋体" w:hAnsi="宋体" w:cs="宋体"/>
              </w:rPr>
            </w:pPr>
            <w:r>
              <w:rPr>
                <w:rFonts w:hint="eastAsia" w:ascii="宋体" w:hAnsi="宋体" w:cs="宋体"/>
              </w:rPr>
              <w:t>合格证、生产日期、生产厂家、品牌、型号、批次自检报告</w:t>
            </w:r>
          </w:p>
        </w:tc>
        <w:tc>
          <w:tcPr>
            <w:tcW w:w="2932" w:type="dxa"/>
            <w:noWrap w:val="0"/>
            <w:vAlign w:val="center"/>
          </w:tcPr>
          <w:p w14:paraId="07C0353A">
            <w:pPr>
              <w:pStyle w:val="9"/>
              <w:spacing w:line="360" w:lineRule="exact"/>
              <w:rPr>
                <w:rFonts w:hint="eastAsia" w:ascii="宋体" w:hAnsi="宋体" w:cs="宋体"/>
              </w:rPr>
            </w:pPr>
            <w:r>
              <w:rPr>
                <w:rFonts w:hint="eastAsia" w:ascii="宋体" w:hAnsi="宋体" w:cs="宋体"/>
              </w:rPr>
              <w:t>颜色与光泽：米白色，色泽均匀，具有自然光泽</w:t>
            </w:r>
            <w:r>
              <w:rPr>
                <w:rFonts w:hint="eastAsia" w:ascii="宋体" w:hAnsi="宋体" w:cs="宋体"/>
                <w:shd w:val="clear" w:color="auto" w:fill="FFFFFF"/>
              </w:rPr>
              <w:t>，无灰暗或发黄现象。</w:t>
            </w:r>
          </w:p>
          <w:p w14:paraId="574AC445">
            <w:pPr>
              <w:pStyle w:val="9"/>
              <w:spacing w:line="360" w:lineRule="exact"/>
              <w:rPr>
                <w:rFonts w:hint="eastAsia" w:ascii="宋体" w:hAnsi="宋体" w:cs="宋体"/>
              </w:rPr>
            </w:pPr>
            <w:r>
              <w:rPr>
                <w:rFonts w:hint="eastAsia" w:ascii="宋体" w:hAnsi="宋体" w:cs="宋体"/>
              </w:rPr>
              <w:t>质感：质感细腻，无受潮现象，松散无结块，无肉眼可见杂质。</w:t>
            </w:r>
          </w:p>
          <w:p w14:paraId="11AF3D21">
            <w:pPr>
              <w:pStyle w:val="9"/>
              <w:spacing w:line="360" w:lineRule="exact"/>
              <w:rPr>
                <w:rFonts w:hint="eastAsia" w:ascii="宋体" w:hAnsi="宋体" w:cs="宋体"/>
              </w:rPr>
            </w:pPr>
            <w:r>
              <w:rPr>
                <w:rFonts w:hint="eastAsia" w:ascii="宋体" w:hAnsi="宋体" w:cs="宋体"/>
              </w:rPr>
              <w:t>气味与滋味：具有面粉的正常气味，无霉味、酸味、苦味等异味。</w:t>
            </w:r>
            <w:r>
              <w:rPr>
                <w:rFonts w:hint="eastAsia" w:ascii="宋体" w:hAnsi="宋体" w:cs="宋体"/>
                <w:shd w:val="clear" w:color="auto" w:fill="FFFFFF"/>
              </w:rPr>
              <w:t>熟制后面筋韧性强</w:t>
            </w:r>
            <w:r>
              <w:rPr>
                <w:rFonts w:hint="eastAsia" w:ascii="宋体" w:hAnsi="宋体" w:cs="宋体"/>
              </w:rPr>
              <w:t>、拉伸不易断、久煮不浑汤</w:t>
            </w:r>
            <w:r>
              <w:rPr>
                <w:rFonts w:hint="eastAsia" w:ascii="宋体" w:hAnsi="宋体" w:cs="宋体"/>
                <w:shd w:val="clear" w:color="auto" w:fill="FFFFFF"/>
              </w:rPr>
              <w:t>。</w:t>
            </w:r>
          </w:p>
          <w:p w14:paraId="47EDB5C5">
            <w:pPr>
              <w:pStyle w:val="9"/>
              <w:spacing w:line="360" w:lineRule="exact"/>
              <w:rPr>
                <w:rFonts w:hint="eastAsia" w:ascii="宋体" w:hAnsi="宋体" w:cs="宋体"/>
                <w:shd w:val="clear" w:color="auto" w:fill="FFFFFF"/>
              </w:rPr>
            </w:pPr>
            <w:r>
              <w:rPr>
                <w:rFonts w:hint="eastAsia" w:ascii="宋体" w:hAnsi="宋体" w:cs="宋体"/>
              </w:rPr>
              <w:t>包装：无破损、无渗漏，标签清晰，注明产品名称、生产日期、保质期、生产厂家等信息。</w:t>
            </w:r>
          </w:p>
        </w:tc>
        <w:tc>
          <w:tcPr>
            <w:tcW w:w="2602" w:type="dxa"/>
            <w:vMerge w:val="continue"/>
            <w:noWrap w:val="0"/>
            <w:vAlign w:val="center"/>
          </w:tcPr>
          <w:p w14:paraId="37A9B8F1">
            <w:pPr>
              <w:pStyle w:val="9"/>
              <w:spacing w:line="360" w:lineRule="exact"/>
              <w:rPr>
                <w:rFonts w:hint="eastAsia" w:ascii="宋体" w:hAnsi="宋体" w:cs="宋体"/>
              </w:rPr>
            </w:pPr>
          </w:p>
        </w:tc>
      </w:tr>
      <w:tr w14:paraId="1421D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80" w:type="dxa"/>
            <w:gridSpan w:val="5"/>
            <w:noWrap w:val="0"/>
            <w:vAlign w:val="center"/>
          </w:tcPr>
          <w:p w14:paraId="6820106D">
            <w:pPr>
              <w:spacing w:line="360" w:lineRule="exact"/>
              <w:jc w:val="left"/>
              <w:rPr>
                <w:rFonts w:hint="eastAsia" w:ascii="宋体" w:hAnsi="宋体" w:cs="宋体"/>
                <w:bCs/>
                <w:szCs w:val="21"/>
              </w:rPr>
            </w:pPr>
            <w:r>
              <w:rPr>
                <w:rFonts w:hint="eastAsia" w:ascii="宋体" w:hAnsi="宋体" w:cs="宋体"/>
                <w:bCs/>
                <w:szCs w:val="21"/>
              </w:rPr>
              <w:t>1.产品标准：符合招标文件第五章第三条包件03面粉的标准要求。</w:t>
            </w:r>
          </w:p>
          <w:p w14:paraId="0175878A">
            <w:pPr>
              <w:spacing w:line="360" w:lineRule="exact"/>
              <w:jc w:val="left"/>
              <w:rPr>
                <w:rFonts w:hint="eastAsia" w:ascii="宋体" w:hAnsi="宋体" w:cs="宋体"/>
                <w:bCs/>
                <w:szCs w:val="21"/>
              </w:rPr>
            </w:pPr>
            <w:r>
              <w:rPr>
                <w:rFonts w:hint="eastAsia" w:ascii="宋体" w:hAnsi="宋体" w:cs="宋体"/>
                <w:bCs/>
                <w:szCs w:val="21"/>
              </w:rPr>
              <w:t xml:space="preserve">2.检测报告：面粉须为非转基因原料生产，供应商中标后在首次供货时须提供本年内该品类具备中国计量认证（CMA）资质的第三方检测机构出具的针对本次投标产品的检测报告复印件，检测内容须包含呕吐毒素、黄曲霉毒素B₁、铅、镉的检查结果。 </w:t>
            </w:r>
          </w:p>
          <w:p w14:paraId="7D85AB8A">
            <w:pPr>
              <w:spacing w:line="360" w:lineRule="exact"/>
              <w:jc w:val="left"/>
              <w:rPr>
                <w:rFonts w:ascii="宋体" w:hAnsi="宋体" w:cs="宋体"/>
                <w:bCs/>
                <w:szCs w:val="21"/>
              </w:rPr>
            </w:pPr>
            <w:r>
              <w:rPr>
                <w:rFonts w:hint="eastAsia"/>
                <w:szCs w:val="21"/>
              </w:rPr>
              <w:t>3.保质期：交货时须明确标注生产日期和保质期，每批货送达采购人指定地点时，剩余有效期不得少于总保质期的8</w:t>
            </w:r>
            <w:r>
              <w:rPr>
                <w:szCs w:val="21"/>
              </w:rPr>
              <w:t>0</w:t>
            </w:r>
            <w:r>
              <w:rPr>
                <w:rFonts w:hint="eastAsia"/>
                <w:szCs w:val="21"/>
              </w:rPr>
              <w:t>%。</w:t>
            </w:r>
          </w:p>
          <w:p w14:paraId="264349DF">
            <w:pPr>
              <w:spacing w:line="360" w:lineRule="exact"/>
              <w:jc w:val="left"/>
              <w:rPr>
                <w:rFonts w:hint="eastAsia" w:ascii="宋体" w:hAnsi="宋体" w:cs="宋体"/>
                <w:bCs/>
                <w:szCs w:val="21"/>
              </w:rPr>
            </w:pPr>
            <w:r>
              <w:rPr>
                <w:rFonts w:hint="eastAsia" w:ascii="宋体" w:hAnsi="宋体" w:cs="宋体"/>
                <w:bCs/>
                <w:szCs w:val="21"/>
              </w:rPr>
              <w:t xml:space="preserve">4.包装要求：用纤维袋或塑料袋定量包装（若有变更规格由双方协商确定，以便于运输储存使用为原则）。包装标识清楚，包装执行标准符合GB/T 17109-2008《粮食销售包装》。 </w:t>
            </w:r>
          </w:p>
          <w:p w14:paraId="6E35B1FD">
            <w:pPr>
              <w:spacing w:line="360" w:lineRule="exact"/>
              <w:jc w:val="left"/>
              <w:rPr>
                <w:rFonts w:hint="eastAsia" w:ascii="宋体" w:hAnsi="宋体" w:cs="宋体"/>
                <w:bCs/>
                <w:szCs w:val="21"/>
              </w:rPr>
            </w:pPr>
            <w:r>
              <w:rPr>
                <w:rFonts w:hint="eastAsia" w:ascii="宋体" w:hAnsi="宋体" w:cs="宋体"/>
                <w:bCs/>
                <w:szCs w:val="21"/>
              </w:rPr>
              <w:t xml:space="preserve">5.批次检测：交货时，每批货均须提供生产厂家出具的《出厂检验合格证（报告）》复印件。须包含该具体生产批号面粉的检测结果，检测内容须包含呕吐毒素、黄曲霉毒素B₁、铅、镉的检查结果。 </w:t>
            </w:r>
          </w:p>
          <w:p w14:paraId="685D24DC">
            <w:pPr>
              <w:spacing w:line="360" w:lineRule="exact"/>
              <w:jc w:val="left"/>
              <w:rPr>
                <w:rFonts w:hint="eastAsia" w:ascii="宋体" w:hAnsi="宋体" w:cs="宋体"/>
                <w:bCs/>
                <w:szCs w:val="21"/>
              </w:rPr>
            </w:pPr>
            <w:r>
              <w:rPr>
                <w:rFonts w:hint="eastAsia" w:ascii="宋体" w:hAnsi="宋体" w:cs="宋体"/>
                <w:bCs/>
                <w:szCs w:val="21"/>
              </w:rPr>
              <w:t>6.车辆要求：须使用符合卫生要求的专用运输车辆。</w:t>
            </w:r>
          </w:p>
        </w:tc>
      </w:tr>
    </w:tbl>
    <w:p w14:paraId="434DE259">
      <w:pPr>
        <w:spacing w:line="360" w:lineRule="exact"/>
        <w:ind w:firstLine="420" w:firstLineChars="200"/>
      </w:pPr>
      <w:r>
        <w:rPr>
          <w:rFonts w:hint="eastAsia"/>
        </w:rPr>
        <w:t>说明：本项目要求中所涉及的国家、地方或行业强制性标准如有更新，自新标准实施之日起，按新标准执行。</w:t>
      </w:r>
    </w:p>
    <w:p w14:paraId="2226E44C">
      <w:pPr>
        <w:spacing w:line="360" w:lineRule="exact"/>
        <w:ind w:firstLine="422" w:firstLineChars="200"/>
        <w:rPr>
          <w:b/>
          <w:bCs/>
        </w:rPr>
      </w:pPr>
      <w:r>
        <w:rPr>
          <w:rFonts w:hint="eastAsia"/>
          <w:b/>
          <w:bCs/>
        </w:rPr>
        <w:t>3.考核机制及合同履约负面清单</w:t>
      </w:r>
    </w:p>
    <w:p w14:paraId="03445D21">
      <w:pPr>
        <w:spacing w:line="360" w:lineRule="exact"/>
        <w:ind w:firstLine="420" w:firstLineChars="200"/>
      </w:pPr>
      <w:r>
        <w:rPr>
          <w:rFonts w:hint="eastAsia"/>
        </w:rPr>
        <w:t>（1）考核机制</w:t>
      </w:r>
    </w:p>
    <w:p w14:paraId="667F415B">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6733ACD2">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25564D13">
      <w:pPr>
        <w:spacing w:line="360" w:lineRule="exact"/>
        <w:ind w:firstLine="420" w:firstLineChars="200"/>
      </w:pPr>
      <w:r>
        <w:rPr>
          <w:rFonts w:hint="eastAsia"/>
        </w:rPr>
        <w:t>（2）合同履约负面清单</w:t>
      </w:r>
    </w:p>
    <w:p w14:paraId="5BFBC1F4">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62298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1676597C">
            <w:pPr>
              <w:spacing w:line="360" w:lineRule="exact"/>
              <w:jc w:val="center"/>
              <w:rPr>
                <w:b/>
                <w:bCs/>
                <w:szCs w:val="21"/>
              </w:rPr>
            </w:pPr>
            <w:r>
              <w:rPr>
                <w:rFonts w:hint="eastAsia"/>
                <w:b/>
                <w:bCs/>
                <w:szCs w:val="21"/>
              </w:rPr>
              <w:t>西南交通大学后勤保障部饮食服务中心物资供应商负面清单</w:t>
            </w:r>
          </w:p>
        </w:tc>
      </w:tr>
      <w:tr w14:paraId="4E630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074E89B4">
            <w:pPr>
              <w:spacing w:line="360" w:lineRule="exact"/>
              <w:jc w:val="center"/>
              <w:rPr>
                <w:b/>
                <w:bCs/>
                <w:szCs w:val="21"/>
              </w:rPr>
            </w:pPr>
            <w:r>
              <w:rPr>
                <w:rFonts w:hint="eastAsia"/>
                <w:b/>
                <w:bCs/>
                <w:szCs w:val="21"/>
              </w:rPr>
              <w:t>风险等级</w:t>
            </w:r>
          </w:p>
        </w:tc>
        <w:tc>
          <w:tcPr>
            <w:tcW w:w="862" w:type="dxa"/>
            <w:noWrap w:val="0"/>
            <w:vAlign w:val="center"/>
          </w:tcPr>
          <w:p w14:paraId="2F9498E1">
            <w:pPr>
              <w:spacing w:line="360" w:lineRule="exact"/>
              <w:jc w:val="center"/>
              <w:rPr>
                <w:b/>
                <w:bCs/>
                <w:szCs w:val="21"/>
              </w:rPr>
            </w:pPr>
            <w:r>
              <w:rPr>
                <w:rFonts w:hint="eastAsia"/>
                <w:b/>
                <w:bCs/>
                <w:szCs w:val="21"/>
              </w:rPr>
              <w:t>序号</w:t>
            </w:r>
          </w:p>
        </w:tc>
        <w:tc>
          <w:tcPr>
            <w:tcW w:w="3319" w:type="dxa"/>
            <w:noWrap w:val="0"/>
            <w:vAlign w:val="center"/>
          </w:tcPr>
          <w:p w14:paraId="500010A5">
            <w:pPr>
              <w:spacing w:line="360" w:lineRule="exact"/>
              <w:jc w:val="center"/>
              <w:rPr>
                <w:b/>
                <w:bCs/>
                <w:szCs w:val="21"/>
              </w:rPr>
            </w:pPr>
            <w:r>
              <w:rPr>
                <w:rFonts w:hint="eastAsia"/>
                <w:b/>
                <w:bCs/>
                <w:szCs w:val="21"/>
              </w:rPr>
              <w:t>负面行为描述</w:t>
            </w:r>
          </w:p>
        </w:tc>
        <w:tc>
          <w:tcPr>
            <w:tcW w:w="1106" w:type="dxa"/>
            <w:noWrap w:val="0"/>
            <w:vAlign w:val="center"/>
          </w:tcPr>
          <w:p w14:paraId="2A0C77FE">
            <w:pPr>
              <w:spacing w:line="360" w:lineRule="exact"/>
              <w:jc w:val="center"/>
              <w:rPr>
                <w:b/>
                <w:bCs/>
                <w:szCs w:val="21"/>
              </w:rPr>
            </w:pPr>
            <w:r>
              <w:rPr>
                <w:rFonts w:hint="eastAsia"/>
                <w:b/>
                <w:bCs/>
                <w:szCs w:val="21"/>
              </w:rPr>
              <w:t>单次扣分</w:t>
            </w:r>
          </w:p>
        </w:tc>
        <w:tc>
          <w:tcPr>
            <w:tcW w:w="2243" w:type="dxa"/>
            <w:noWrap w:val="0"/>
            <w:vAlign w:val="center"/>
          </w:tcPr>
          <w:p w14:paraId="6D4F0D74">
            <w:pPr>
              <w:spacing w:line="360" w:lineRule="exact"/>
              <w:jc w:val="center"/>
              <w:rPr>
                <w:b/>
                <w:bCs/>
                <w:szCs w:val="21"/>
              </w:rPr>
            </w:pPr>
            <w:r>
              <w:rPr>
                <w:rFonts w:hint="eastAsia"/>
                <w:b/>
                <w:bCs/>
                <w:szCs w:val="21"/>
              </w:rPr>
              <w:t>责任追究</w:t>
            </w:r>
          </w:p>
        </w:tc>
      </w:tr>
      <w:tr w14:paraId="5B3DA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2D1ACBE6">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5095BEB8">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392769DD">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2655842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6E6E2F3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4B29B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55757CF6">
            <w:pPr>
              <w:widowControl/>
              <w:jc w:val="left"/>
              <w:rPr>
                <w:rFonts w:ascii="宋体" w:hAnsi="宋体" w:cs="宋体"/>
                <w:kern w:val="0"/>
                <w:szCs w:val="21"/>
                <w:lang w:bidi="ar"/>
              </w:rPr>
            </w:pPr>
          </w:p>
        </w:tc>
        <w:tc>
          <w:tcPr>
            <w:tcW w:w="862" w:type="dxa"/>
            <w:noWrap w:val="0"/>
            <w:vAlign w:val="center"/>
          </w:tcPr>
          <w:p w14:paraId="54E564FE">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72518889">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5738B0AA">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2AAE41A">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68F9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238CF72">
            <w:pPr>
              <w:widowControl/>
              <w:jc w:val="left"/>
              <w:rPr>
                <w:rFonts w:ascii="宋体" w:hAnsi="宋体" w:cs="宋体"/>
                <w:kern w:val="0"/>
                <w:szCs w:val="21"/>
                <w:lang w:bidi="ar"/>
              </w:rPr>
            </w:pPr>
          </w:p>
        </w:tc>
        <w:tc>
          <w:tcPr>
            <w:tcW w:w="862" w:type="dxa"/>
            <w:noWrap w:val="0"/>
            <w:vAlign w:val="center"/>
          </w:tcPr>
          <w:p w14:paraId="1A952F0A">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036516E9">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151286D3">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99F4973">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41CE2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62BEB2DA">
            <w:pPr>
              <w:widowControl/>
              <w:jc w:val="left"/>
              <w:rPr>
                <w:rFonts w:ascii="宋体" w:hAnsi="宋体" w:cs="宋体"/>
                <w:kern w:val="0"/>
                <w:szCs w:val="21"/>
                <w:lang w:bidi="ar"/>
              </w:rPr>
            </w:pPr>
          </w:p>
        </w:tc>
        <w:tc>
          <w:tcPr>
            <w:tcW w:w="862" w:type="dxa"/>
            <w:noWrap w:val="0"/>
            <w:vAlign w:val="center"/>
          </w:tcPr>
          <w:p w14:paraId="04AF57F8">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12D17E2B">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0FBE9F30">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465F84E8">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631D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B34AAB5">
            <w:pPr>
              <w:widowControl/>
              <w:jc w:val="left"/>
              <w:rPr>
                <w:rFonts w:ascii="宋体" w:hAnsi="宋体" w:cs="宋体"/>
                <w:kern w:val="0"/>
                <w:szCs w:val="21"/>
                <w:lang w:bidi="ar"/>
              </w:rPr>
            </w:pPr>
          </w:p>
        </w:tc>
        <w:tc>
          <w:tcPr>
            <w:tcW w:w="862" w:type="dxa"/>
            <w:noWrap w:val="0"/>
            <w:vAlign w:val="center"/>
          </w:tcPr>
          <w:p w14:paraId="6853DC4D">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158E8033">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5AD4C212">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97B095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0E624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2114F37A">
            <w:pPr>
              <w:widowControl/>
              <w:jc w:val="left"/>
              <w:rPr>
                <w:rFonts w:ascii="宋体" w:hAnsi="宋体" w:cs="宋体"/>
                <w:kern w:val="0"/>
                <w:szCs w:val="21"/>
                <w:lang w:bidi="ar"/>
              </w:rPr>
            </w:pPr>
          </w:p>
        </w:tc>
        <w:tc>
          <w:tcPr>
            <w:tcW w:w="862" w:type="dxa"/>
            <w:noWrap w:val="0"/>
            <w:vAlign w:val="center"/>
          </w:tcPr>
          <w:p w14:paraId="3B8FBC17">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193F51C8">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481172C1">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A95B232">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BA9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14443903">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2FC18C15">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7CE5FF32">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3B41D927">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7238B45">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0B53C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155CF8E0">
            <w:pPr>
              <w:spacing w:line="360" w:lineRule="exact"/>
              <w:rPr>
                <w:rFonts w:ascii="宋体" w:hAnsi="宋体" w:cs="宋体"/>
                <w:szCs w:val="21"/>
              </w:rPr>
            </w:pPr>
          </w:p>
        </w:tc>
        <w:tc>
          <w:tcPr>
            <w:tcW w:w="862" w:type="dxa"/>
            <w:noWrap w:val="0"/>
            <w:vAlign w:val="center"/>
          </w:tcPr>
          <w:p w14:paraId="0D844F18">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7BBB2299">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730AF2B6">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5A30F7B">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4AF2659A">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74660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4AFD7982">
            <w:pPr>
              <w:spacing w:line="360" w:lineRule="exact"/>
              <w:rPr>
                <w:rFonts w:ascii="宋体" w:hAnsi="宋体" w:cs="宋体"/>
                <w:szCs w:val="21"/>
              </w:rPr>
            </w:pPr>
          </w:p>
        </w:tc>
        <w:tc>
          <w:tcPr>
            <w:tcW w:w="862" w:type="dxa"/>
            <w:noWrap w:val="0"/>
            <w:vAlign w:val="center"/>
          </w:tcPr>
          <w:p w14:paraId="1C5CAC0E">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6FBBAE81">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10C00DB4">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5B78226D">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06A3D31A">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1CDC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145677E2">
            <w:pPr>
              <w:spacing w:line="360" w:lineRule="exact"/>
              <w:rPr>
                <w:rFonts w:ascii="宋体" w:hAnsi="宋体" w:cs="宋体"/>
                <w:szCs w:val="21"/>
              </w:rPr>
            </w:pPr>
          </w:p>
        </w:tc>
        <w:tc>
          <w:tcPr>
            <w:tcW w:w="862" w:type="dxa"/>
            <w:noWrap w:val="0"/>
            <w:vAlign w:val="center"/>
          </w:tcPr>
          <w:p w14:paraId="5572B590">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31E1A7AF">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4AE144A8">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1E376137">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4796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4BF0C642">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3A837BCB">
            <w:pPr>
              <w:pStyle w:val="2"/>
              <w:jc w:val="center"/>
              <w:rPr>
                <w:rFonts w:ascii="宋体" w:hAnsi="宋体" w:cs="宋体"/>
                <w:szCs w:val="21"/>
              </w:rPr>
            </w:pPr>
            <w:r>
              <w:rPr>
                <w:rFonts w:ascii="宋体" w:hAnsi="宋体" w:cs="宋体"/>
                <w:szCs w:val="21"/>
              </w:rPr>
              <w:t>11</w:t>
            </w:r>
          </w:p>
        </w:tc>
        <w:tc>
          <w:tcPr>
            <w:tcW w:w="3319" w:type="dxa"/>
            <w:noWrap w:val="0"/>
            <w:vAlign w:val="center"/>
          </w:tcPr>
          <w:p w14:paraId="3FEA8D7F">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08D667F7">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14C8B675">
            <w:pPr>
              <w:spacing w:line="360" w:lineRule="exact"/>
              <w:rPr>
                <w:rFonts w:ascii="宋体" w:hAnsi="宋体" w:cs="宋体"/>
                <w:szCs w:val="21"/>
              </w:rPr>
            </w:pPr>
            <w:r>
              <w:rPr>
                <w:rFonts w:hint="eastAsia" w:ascii="宋体" w:hAnsi="宋体" w:cs="宋体"/>
                <w:szCs w:val="21"/>
              </w:rPr>
              <w:t>暂停配送资格，并扣除履约保证金4000元。</w:t>
            </w:r>
          </w:p>
        </w:tc>
      </w:tr>
      <w:tr w14:paraId="403B0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6C0E8FAE">
            <w:pPr>
              <w:spacing w:line="360" w:lineRule="exact"/>
              <w:rPr>
                <w:rFonts w:ascii="宋体" w:hAnsi="宋体" w:cs="宋体"/>
                <w:szCs w:val="21"/>
              </w:rPr>
            </w:pPr>
          </w:p>
        </w:tc>
        <w:tc>
          <w:tcPr>
            <w:tcW w:w="862" w:type="dxa"/>
            <w:noWrap w:val="0"/>
            <w:vAlign w:val="center"/>
          </w:tcPr>
          <w:p w14:paraId="77B31382">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0C5F8FD2">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1EBAA700">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69F84D14">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0B8B3F2C">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6C8ED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3EF7E1C0">
            <w:pPr>
              <w:spacing w:line="360" w:lineRule="exact"/>
              <w:rPr>
                <w:rFonts w:ascii="宋体" w:hAnsi="宋体" w:cs="宋体"/>
                <w:szCs w:val="21"/>
              </w:rPr>
            </w:pPr>
          </w:p>
        </w:tc>
        <w:tc>
          <w:tcPr>
            <w:tcW w:w="862" w:type="dxa"/>
            <w:noWrap w:val="0"/>
            <w:vAlign w:val="center"/>
          </w:tcPr>
          <w:p w14:paraId="65476416">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23733CB5">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345A840C">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4E8AF9F3">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7C8569EC">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70E84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16D779C1">
            <w:pPr>
              <w:spacing w:line="360" w:lineRule="exact"/>
              <w:rPr>
                <w:rFonts w:ascii="宋体" w:hAnsi="宋体" w:cs="宋体"/>
                <w:szCs w:val="21"/>
              </w:rPr>
            </w:pPr>
          </w:p>
        </w:tc>
        <w:tc>
          <w:tcPr>
            <w:tcW w:w="862" w:type="dxa"/>
            <w:noWrap w:val="0"/>
            <w:vAlign w:val="center"/>
          </w:tcPr>
          <w:p w14:paraId="6B7BA746">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67AD3422">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4FBE45F6">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6B005D20">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51D4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73054266">
            <w:pPr>
              <w:spacing w:line="360" w:lineRule="exact"/>
              <w:rPr>
                <w:b/>
                <w:bCs/>
                <w:szCs w:val="21"/>
              </w:rPr>
            </w:pPr>
            <w:r>
              <w:rPr>
                <w:rFonts w:hint="eastAsia"/>
                <w:b/>
                <w:bCs/>
                <w:szCs w:val="21"/>
              </w:rPr>
              <w:t>一、责任追究机制</w:t>
            </w:r>
          </w:p>
          <w:p w14:paraId="2D68331B">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7AAEAB74">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5529C94D">
            <w:pPr>
              <w:spacing w:line="360" w:lineRule="exact"/>
              <w:rPr>
                <w:szCs w:val="21"/>
              </w:rPr>
            </w:pPr>
            <w:r>
              <w:rPr>
                <w:rFonts w:hint="eastAsia"/>
                <w:szCs w:val="21"/>
              </w:rPr>
              <w:t>（1）私自更换包装、供应食材与中标规格/品牌/产地不一致；</w:t>
            </w:r>
          </w:p>
          <w:p w14:paraId="149736CD">
            <w:pPr>
              <w:spacing w:line="360" w:lineRule="exact"/>
              <w:rPr>
                <w:szCs w:val="21"/>
              </w:rPr>
            </w:pPr>
            <w:r>
              <w:rPr>
                <w:rFonts w:hint="eastAsia"/>
                <w:szCs w:val="21"/>
              </w:rPr>
              <w:t>（2）未按规定使用符合卫生要求的专用运输车辆；</w:t>
            </w:r>
          </w:p>
          <w:p w14:paraId="3FBFF03F">
            <w:pPr>
              <w:spacing w:line="360" w:lineRule="exact"/>
              <w:rPr>
                <w:szCs w:val="21"/>
              </w:rPr>
            </w:pPr>
            <w:r>
              <w:rPr>
                <w:rFonts w:hint="eastAsia"/>
                <w:szCs w:val="21"/>
              </w:rPr>
              <w:t>（3）不符合本项目招标文件第五章第三条标准要求的；</w:t>
            </w:r>
          </w:p>
          <w:p w14:paraId="6A73484E">
            <w:pPr>
              <w:spacing w:line="360" w:lineRule="exact"/>
              <w:rPr>
                <w:szCs w:val="21"/>
              </w:rPr>
            </w:pPr>
            <w:r>
              <w:rPr>
                <w:rFonts w:hint="eastAsia"/>
                <w:szCs w:val="21"/>
              </w:rPr>
              <w:t>（4）负面清单中规定暂停配送资格的。</w:t>
            </w:r>
          </w:p>
          <w:p w14:paraId="013E97C7">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019222C9">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3E97B727">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39D479EF">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22DE5910">
            <w:pPr>
              <w:spacing w:line="360" w:lineRule="exact"/>
              <w:rPr>
                <w:szCs w:val="21"/>
              </w:rPr>
            </w:pPr>
            <w:r>
              <w:rPr>
                <w:rFonts w:hint="eastAsia"/>
                <w:szCs w:val="21"/>
              </w:rPr>
              <w:t>（3）食材运输过程中与有毒有害物资混装；</w:t>
            </w:r>
          </w:p>
          <w:p w14:paraId="0750B8B3">
            <w:pPr>
              <w:spacing w:line="360" w:lineRule="exact"/>
              <w:rPr>
                <w:szCs w:val="21"/>
              </w:rPr>
            </w:pPr>
            <w:r>
              <w:rPr>
                <w:rFonts w:hint="eastAsia"/>
                <w:szCs w:val="21"/>
              </w:rPr>
              <w:t>（4）提供假冒伪劣产品、走私物品，或伪造、变造检验报告及相关资质证明；</w:t>
            </w:r>
          </w:p>
          <w:p w14:paraId="3F2C4DA1">
            <w:pPr>
              <w:spacing w:line="360" w:lineRule="exact"/>
              <w:rPr>
                <w:szCs w:val="21"/>
              </w:rPr>
            </w:pPr>
            <w:r>
              <w:rPr>
                <w:rFonts w:hint="eastAsia"/>
                <w:szCs w:val="21"/>
              </w:rPr>
              <w:t>（5）存在围标、串标、商业贿赂等恶意扰乱市场秩序的行为；</w:t>
            </w:r>
          </w:p>
          <w:p w14:paraId="23CFEE76">
            <w:pPr>
              <w:spacing w:line="360" w:lineRule="exact"/>
              <w:rPr>
                <w:szCs w:val="21"/>
              </w:rPr>
            </w:pPr>
            <w:r>
              <w:rPr>
                <w:rFonts w:hint="eastAsia"/>
                <w:szCs w:val="21"/>
              </w:rPr>
              <w:t>（6）因劳资纠纷引发群体性事件，严重影响校园秩序或学校声誉的；</w:t>
            </w:r>
          </w:p>
          <w:p w14:paraId="303A198B">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4BE636CB">
            <w:pPr>
              <w:spacing w:line="360" w:lineRule="exact"/>
              <w:rPr>
                <w:b/>
                <w:bCs/>
                <w:szCs w:val="21"/>
              </w:rPr>
            </w:pPr>
            <w:r>
              <w:rPr>
                <w:rFonts w:hint="eastAsia"/>
                <w:b/>
                <w:bCs/>
                <w:szCs w:val="21"/>
              </w:rPr>
              <w:t>二、违约金的扣除</w:t>
            </w:r>
          </w:p>
          <w:p w14:paraId="66D53193">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0060971B">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38EF605D"/>
    <w:p w14:paraId="64B05555">
      <w:pPr>
        <w:rPr>
          <w:rFonts w:hint="eastAsia"/>
          <w:b/>
          <w:bCs/>
          <w:sz w:val="24"/>
        </w:rPr>
      </w:pPr>
      <w:r>
        <w:rPr>
          <w:rFonts w:hint="eastAsia"/>
          <w:b/>
          <w:bCs/>
          <w:sz w:val="24"/>
        </w:rPr>
        <w:t>04包（蛋类）：</w:t>
      </w:r>
    </w:p>
    <w:p w14:paraId="4EEC94C7">
      <w:pPr>
        <w:spacing w:line="360" w:lineRule="exact"/>
        <w:ind w:firstLine="422" w:firstLineChars="200"/>
        <w:rPr>
          <w:b/>
          <w:bCs/>
        </w:rPr>
      </w:pPr>
      <w:r>
        <w:rPr>
          <w:rFonts w:hint="eastAsia"/>
          <w:b/>
          <w:bCs/>
        </w:rPr>
        <w:t>1.索证索票相关要求</w:t>
      </w:r>
    </w:p>
    <w:p w14:paraId="29892ABE">
      <w:pPr>
        <w:spacing w:line="360" w:lineRule="exact"/>
        <w:ind w:firstLine="420" w:firstLineChars="200"/>
      </w:pPr>
      <w:r>
        <w:rPr>
          <w:rFonts w:hint="eastAsia"/>
        </w:rPr>
        <w:t>采购人与中标人签订合同之时，各中标人须提供营业执照、食品生产许可证或食品经营许可证（若涉及相关业务）、动物防疫条件合格证（若涉及相关业务）、检测或检验检疫报告（若涉及相关业务）、税务登记证（若已更换为三证合一的营业执照，则无需提供）、本项目管理人员名单、配送人员名单以及法定代表人身份证原件，以供采购人进行审验，并留存复印件存档以备查核。若中标人为经销商，还需提供中标相关产品的生产厂家营业执照、《食品生产许可证》《动物防疫条件合格证》。上述资质文件及检验报告须处于有效期内，若在合同履行期间发生更换，应在有效期满之前进行更换，更换后3日内将最新版本提交至采购人存档。</w:t>
      </w:r>
    </w:p>
    <w:p w14:paraId="7F3622A8">
      <w:pPr>
        <w:spacing w:line="360" w:lineRule="exact"/>
        <w:ind w:firstLine="422" w:firstLineChars="200"/>
        <w:rPr>
          <w:b/>
          <w:bCs/>
        </w:rPr>
      </w:pPr>
      <w:r>
        <w:rPr>
          <w:rFonts w:hint="eastAsia"/>
          <w:b/>
          <w:bCs/>
        </w:rPr>
        <w:t>2.验收标准</w:t>
      </w:r>
    </w:p>
    <w:tbl>
      <w:tblPr>
        <w:tblStyle w:val="5"/>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7"/>
        <w:gridCol w:w="1118"/>
        <w:gridCol w:w="1514"/>
        <w:gridCol w:w="2932"/>
        <w:gridCol w:w="2591"/>
      </w:tblGrid>
      <w:tr w14:paraId="695FB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noWrap w:val="0"/>
            <w:vAlign w:val="center"/>
          </w:tcPr>
          <w:p w14:paraId="18760AD0">
            <w:pPr>
              <w:pStyle w:val="9"/>
              <w:spacing w:line="360" w:lineRule="exact"/>
              <w:jc w:val="center"/>
              <w:rPr>
                <w:rFonts w:hint="eastAsia" w:ascii="宋体" w:hAnsi="宋体" w:cs="宋体"/>
                <w:b/>
              </w:rPr>
            </w:pPr>
            <w:r>
              <w:rPr>
                <w:rFonts w:hint="eastAsia" w:ascii="宋体" w:hAnsi="宋体" w:cs="宋体"/>
                <w:b/>
                <w:bCs/>
              </w:rPr>
              <w:t>序号</w:t>
            </w:r>
          </w:p>
        </w:tc>
        <w:tc>
          <w:tcPr>
            <w:tcW w:w="1118" w:type="dxa"/>
            <w:noWrap w:val="0"/>
            <w:vAlign w:val="center"/>
          </w:tcPr>
          <w:p w14:paraId="7BFE7DCB">
            <w:pPr>
              <w:pStyle w:val="9"/>
              <w:spacing w:line="360" w:lineRule="exact"/>
              <w:jc w:val="center"/>
              <w:rPr>
                <w:rFonts w:hint="eastAsia" w:ascii="宋体" w:hAnsi="宋体" w:cs="宋体"/>
                <w:b/>
              </w:rPr>
            </w:pPr>
            <w:r>
              <w:rPr>
                <w:rFonts w:hint="eastAsia" w:ascii="宋体" w:hAnsi="宋体" w:cs="宋体"/>
                <w:b/>
              </w:rPr>
              <w:t>物资名称</w:t>
            </w:r>
          </w:p>
        </w:tc>
        <w:tc>
          <w:tcPr>
            <w:tcW w:w="1514" w:type="dxa"/>
            <w:noWrap w:val="0"/>
            <w:vAlign w:val="center"/>
          </w:tcPr>
          <w:p w14:paraId="3E30711E">
            <w:pPr>
              <w:pStyle w:val="9"/>
              <w:spacing w:line="360" w:lineRule="exact"/>
              <w:jc w:val="center"/>
              <w:rPr>
                <w:rFonts w:hint="eastAsia" w:ascii="宋体" w:hAnsi="宋体" w:cs="宋体"/>
                <w:b/>
              </w:rPr>
            </w:pPr>
            <w:r>
              <w:rPr>
                <w:rFonts w:hint="eastAsia" w:ascii="宋体" w:hAnsi="宋体" w:cs="宋体"/>
                <w:b/>
                <w:bCs/>
              </w:rPr>
              <w:t>需检证件</w:t>
            </w:r>
          </w:p>
        </w:tc>
        <w:tc>
          <w:tcPr>
            <w:tcW w:w="2932" w:type="dxa"/>
            <w:noWrap w:val="0"/>
            <w:vAlign w:val="center"/>
          </w:tcPr>
          <w:p w14:paraId="460B20F5">
            <w:pPr>
              <w:pStyle w:val="9"/>
              <w:spacing w:line="360" w:lineRule="exact"/>
              <w:jc w:val="center"/>
              <w:rPr>
                <w:rFonts w:hint="eastAsia" w:ascii="宋体" w:hAnsi="宋体" w:cs="宋体"/>
                <w:b/>
                <w:bCs/>
              </w:rPr>
            </w:pPr>
            <w:r>
              <w:rPr>
                <w:rFonts w:hint="eastAsia" w:ascii="宋体" w:hAnsi="宋体" w:cs="宋体"/>
                <w:b/>
                <w:bCs/>
              </w:rPr>
              <w:t>检验标准</w:t>
            </w:r>
          </w:p>
        </w:tc>
        <w:tc>
          <w:tcPr>
            <w:tcW w:w="2591" w:type="dxa"/>
            <w:noWrap w:val="0"/>
            <w:vAlign w:val="center"/>
          </w:tcPr>
          <w:p w14:paraId="65CCE28A">
            <w:pPr>
              <w:pStyle w:val="9"/>
              <w:spacing w:line="360" w:lineRule="exact"/>
              <w:jc w:val="center"/>
              <w:rPr>
                <w:rFonts w:hint="eastAsia" w:ascii="宋体" w:hAnsi="宋体" w:cs="宋体"/>
                <w:b/>
              </w:rPr>
            </w:pPr>
            <w:r>
              <w:rPr>
                <w:rFonts w:hint="eastAsia" w:ascii="宋体" w:hAnsi="宋体" w:cs="宋体"/>
                <w:b/>
                <w:bCs/>
              </w:rPr>
              <w:t>不合格判定</w:t>
            </w:r>
          </w:p>
        </w:tc>
      </w:tr>
      <w:tr w14:paraId="0D35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noWrap w:val="0"/>
            <w:vAlign w:val="center"/>
          </w:tcPr>
          <w:p w14:paraId="5D151C05">
            <w:pPr>
              <w:spacing w:line="360" w:lineRule="exact"/>
              <w:jc w:val="center"/>
              <w:rPr>
                <w:rFonts w:hint="eastAsia" w:ascii="宋体" w:hAnsi="宋体" w:cs="宋体"/>
                <w:b/>
                <w:szCs w:val="21"/>
              </w:rPr>
            </w:pPr>
            <w:r>
              <w:rPr>
                <w:rFonts w:hint="eastAsia" w:ascii="宋体" w:hAnsi="宋体" w:cs="宋体"/>
                <w:szCs w:val="21"/>
              </w:rPr>
              <w:t>1</w:t>
            </w:r>
          </w:p>
        </w:tc>
        <w:tc>
          <w:tcPr>
            <w:tcW w:w="1118" w:type="dxa"/>
            <w:noWrap w:val="0"/>
            <w:vAlign w:val="center"/>
          </w:tcPr>
          <w:p w14:paraId="205C3D4C">
            <w:pPr>
              <w:widowControl/>
              <w:spacing w:line="360" w:lineRule="exact"/>
              <w:jc w:val="center"/>
              <w:textAlignment w:val="center"/>
              <w:rPr>
                <w:rFonts w:hint="eastAsia" w:ascii="宋体" w:hAnsi="宋体" w:cs="宋体"/>
                <w:b/>
                <w:szCs w:val="21"/>
              </w:rPr>
            </w:pPr>
            <w:r>
              <w:rPr>
                <w:rFonts w:hint="eastAsia" w:ascii="宋体" w:hAnsi="宋体" w:cs="宋体"/>
                <w:kern w:val="0"/>
                <w:szCs w:val="21"/>
                <w:lang w:bidi="ar"/>
              </w:rPr>
              <w:t>鸡蛋（黄壳）</w:t>
            </w:r>
          </w:p>
        </w:tc>
        <w:tc>
          <w:tcPr>
            <w:tcW w:w="1514" w:type="dxa"/>
            <w:noWrap w:val="0"/>
            <w:vAlign w:val="center"/>
          </w:tcPr>
          <w:p w14:paraId="2FF2A267">
            <w:pPr>
              <w:widowControl/>
              <w:spacing w:line="360" w:lineRule="exact"/>
              <w:jc w:val="center"/>
              <w:rPr>
                <w:rFonts w:hint="eastAsia" w:ascii="宋体" w:hAnsi="宋体" w:cs="宋体"/>
                <w:b/>
                <w:szCs w:val="21"/>
              </w:rPr>
            </w:pPr>
            <w:r>
              <w:rPr>
                <w:rFonts w:hint="eastAsia" w:ascii="Segoe UI" w:hAnsi="Segoe UI" w:cs="Segoe UI"/>
                <w:szCs w:val="21"/>
                <w:shd w:val="clear" w:color="auto" w:fill="FFFFFF"/>
              </w:rPr>
              <w:t>出厂自检报告</w:t>
            </w:r>
          </w:p>
        </w:tc>
        <w:tc>
          <w:tcPr>
            <w:tcW w:w="2932" w:type="dxa"/>
            <w:noWrap w:val="0"/>
            <w:vAlign w:val="center"/>
          </w:tcPr>
          <w:p w14:paraId="1DFD7955">
            <w:pPr>
              <w:widowControl/>
              <w:spacing w:line="360" w:lineRule="exact"/>
              <w:rPr>
                <w:rFonts w:hint="eastAsia" w:ascii="宋体" w:hAnsi="宋体" w:cs="宋体"/>
                <w:szCs w:val="21"/>
              </w:rPr>
            </w:pPr>
            <w:r>
              <w:rPr>
                <w:rFonts w:hint="eastAsia" w:ascii="宋体" w:hAnsi="宋体" w:cs="宋体"/>
                <w:szCs w:val="21"/>
              </w:rPr>
              <w:t>质量：蛋壳须清洁完整，无裂纹、无破损，表面无污物。蛋壳颜色自然且均匀，呈黄色。蛋黄呈黄色或橙黄色，无血块、无杂质、无散黄。蛋白清晰透明，无气泡、无异物。</w:t>
            </w:r>
          </w:p>
          <w:p w14:paraId="3AE1A127">
            <w:pPr>
              <w:widowControl/>
              <w:spacing w:line="360" w:lineRule="exact"/>
              <w:rPr>
                <w:rFonts w:hint="eastAsia" w:ascii="宋体" w:hAnsi="宋体" w:cs="宋体"/>
                <w:szCs w:val="21"/>
              </w:rPr>
            </w:pPr>
            <w:r>
              <w:rPr>
                <w:rFonts w:hint="eastAsia" w:ascii="宋体" w:hAnsi="宋体" w:cs="宋体"/>
                <w:szCs w:val="21"/>
              </w:rPr>
              <w:t>蛋重与尺寸：一斤鸡蛋不超过7～8个。</w:t>
            </w:r>
          </w:p>
          <w:p w14:paraId="5506591D">
            <w:pPr>
              <w:widowControl/>
              <w:spacing w:line="360" w:lineRule="exact"/>
              <w:rPr>
                <w:rFonts w:hint="eastAsia" w:ascii="宋体" w:hAnsi="宋体" w:cs="宋体"/>
                <w:szCs w:val="21"/>
              </w:rPr>
            </w:pPr>
            <w:r>
              <w:rPr>
                <w:rFonts w:hint="eastAsia" w:ascii="宋体" w:hAnsi="宋体" w:cs="宋体"/>
                <w:szCs w:val="21"/>
              </w:rPr>
              <w:t>气味：无异味，无刺鼻感，打开后蛋液气味纯净，无酸味、无臭味、无霉腐味。</w:t>
            </w:r>
          </w:p>
          <w:p w14:paraId="667972FA">
            <w:pPr>
              <w:widowControl/>
              <w:spacing w:line="360" w:lineRule="exact"/>
            </w:pPr>
            <w:r>
              <w:rPr>
                <w:rFonts w:hint="eastAsia" w:ascii="宋体" w:hAnsi="宋体" w:cs="宋体"/>
                <w:szCs w:val="21"/>
              </w:rPr>
              <w:t>包装：使用食品级塑料蛋格，蛋格尺寸适配单枚鸡蛋、无开裂、无缺格，蛋格干净无污渍、霉点、塑料异味。</w:t>
            </w:r>
          </w:p>
        </w:tc>
        <w:tc>
          <w:tcPr>
            <w:tcW w:w="2591" w:type="dxa"/>
            <w:noWrap w:val="0"/>
            <w:vAlign w:val="center"/>
          </w:tcPr>
          <w:p w14:paraId="40B14900">
            <w:pPr>
              <w:widowControl/>
              <w:spacing w:line="360" w:lineRule="exact"/>
              <w:rPr>
                <w:rFonts w:ascii="宋体" w:hAnsi="宋体" w:cs="宋体"/>
                <w:szCs w:val="21"/>
              </w:rPr>
            </w:pPr>
            <w:r>
              <w:rPr>
                <w:rFonts w:hint="eastAsia" w:ascii="宋体" w:hAnsi="宋体" w:cs="宋体"/>
                <w:szCs w:val="21"/>
              </w:rPr>
              <w:t>质量：蛋壳存在裂痕、破损、污物。蛋壳颜色异常。蛋黄颜色异常，有血块、杂质、散黄。蛋白浑浊，有气泡、异物。</w:t>
            </w:r>
          </w:p>
          <w:p w14:paraId="334953AC">
            <w:pPr>
              <w:widowControl/>
              <w:spacing w:line="360" w:lineRule="exact"/>
              <w:rPr>
                <w:rFonts w:hint="eastAsia" w:ascii="宋体" w:hAnsi="宋体" w:cs="宋体"/>
                <w:szCs w:val="21"/>
              </w:rPr>
            </w:pPr>
            <w:r>
              <w:rPr>
                <w:rFonts w:hint="eastAsia" w:ascii="宋体" w:hAnsi="宋体" w:cs="宋体"/>
                <w:szCs w:val="21"/>
              </w:rPr>
              <w:t>蛋重与尺寸：形状不规则，明显偏离正常卵圆形；或者尺寸超出标准范围（重量不符合规定的净重范围）。</w:t>
            </w:r>
          </w:p>
          <w:p w14:paraId="5141DB21">
            <w:pPr>
              <w:widowControl/>
              <w:spacing w:line="360" w:lineRule="exact"/>
              <w:rPr>
                <w:rFonts w:hint="eastAsia" w:ascii="宋体" w:hAnsi="宋体" w:cs="宋体"/>
                <w:b/>
                <w:szCs w:val="21"/>
              </w:rPr>
            </w:pPr>
            <w:r>
              <w:rPr>
                <w:rFonts w:hint="eastAsia" w:ascii="宋体" w:hAnsi="宋体" w:cs="宋体"/>
                <w:szCs w:val="21"/>
              </w:rPr>
              <w:t>气味：有异味、有刺鼻感。包装：蛋格破损、污染，无法有效保护鸡蛋。</w:t>
            </w:r>
          </w:p>
        </w:tc>
      </w:tr>
      <w:tr w14:paraId="0F864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noWrap w:val="0"/>
            <w:vAlign w:val="center"/>
          </w:tcPr>
          <w:p w14:paraId="306C2FC2">
            <w:pPr>
              <w:spacing w:line="360" w:lineRule="exact"/>
              <w:jc w:val="center"/>
              <w:rPr>
                <w:rFonts w:hint="eastAsia" w:ascii="宋体" w:hAnsi="宋体" w:cs="宋体"/>
                <w:b/>
                <w:szCs w:val="21"/>
              </w:rPr>
            </w:pPr>
            <w:r>
              <w:rPr>
                <w:rFonts w:hint="eastAsia" w:ascii="宋体" w:hAnsi="宋体" w:cs="宋体"/>
                <w:szCs w:val="21"/>
              </w:rPr>
              <w:t>2</w:t>
            </w:r>
          </w:p>
        </w:tc>
        <w:tc>
          <w:tcPr>
            <w:tcW w:w="1118" w:type="dxa"/>
            <w:noWrap w:val="0"/>
            <w:vAlign w:val="center"/>
          </w:tcPr>
          <w:p w14:paraId="0E81766B">
            <w:pPr>
              <w:widowControl/>
              <w:spacing w:line="360" w:lineRule="exact"/>
              <w:jc w:val="center"/>
              <w:textAlignment w:val="center"/>
              <w:rPr>
                <w:rFonts w:hint="eastAsia" w:ascii="宋体" w:hAnsi="宋体" w:cs="宋体"/>
                <w:b/>
                <w:szCs w:val="21"/>
              </w:rPr>
            </w:pPr>
            <w:r>
              <w:rPr>
                <w:rFonts w:hint="eastAsia" w:ascii="宋体" w:hAnsi="宋体" w:cs="宋体"/>
                <w:kern w:val="0"/>
                <w:szCs w:val="21"/>
                <w:lang w:bidi="ar"/>
              </w:rPr>
              <w:t>鸡蛋（白壳）</w:t>
            </w:r>
          </w:p>
        </w:tc>
        <w:tc>
          <w:tcPr>
            <w:tcW w:w="1514" w:type="dxa"/>
            <w:noWrap w:val="0"/>
            <w:vAlign w:val="center"/>
          </w:tcPr>
          <w:p w14:paraId="11D8A408">
            <w:pPr>
              <w:widowControl/>
              <w:spacing w:line="360" w:lineRule="exact"/>
              <w:jc w:val="center"/>
              <w:rPr>
                <w:rFonts w:hint="eastAsia" w:ascii="宋体" w:hAnsi="宋体" w:cs="宋体"/>
                <w:b/>
                <w:szCs w:val="21"/>
              </w:rPr>
            </w:pPr>
            <w:r>
              <w:rPr>
                <w:rFonts w:hint="eastAsia" w:ascii="Segoe UI" w:hAnsi="Segoe UI" w:cs="Segoe UI"/>
                <w:szCs w:val="21"/>
                <w:shd w:val="clear" w:color="auto" w:fill="FFFFFF"/>
              </w:rPr>
              <w:t>出厂自检报告</w:t>
            </w:r>
          </w:p>
        </w:tc>
        <w:tc>
          <w:tcPr>
            <w:tcW w:w="2932" w:type="dxa"/>
            <w:noWrap w:val="0"/>
            <w:vAlign w:val="center"/>
          </w:tcPr>
          <w:p w14:paraId="45E314F3">
            <w:pPr>
              <w:widowControl/>
              <w:spacing w:line="360" w:lineRule="exact"/>
              <w:rPr>
                <w:rFonts w:hint="eastAsia" w:ascii="宋体" w:hAnsi="宋体" w:cs="宋体"/>
                <w:szCs w:val="21"/>
              </w:rPr>
            </w:pPr>
            <w:r>
              <w:rPr>
                <w:rFonts w:hint="eastAsia" w:ascii="宋体" w:hAnsi="宋体" w:cs="宋体"/>
                <w:szCs w:val="21"/>
              </w:rPr>
              <w:t>质量：蛋壳须清洁完整，无裂纹、无破损，表面无污物。蛋壳颜色自然且均匀，呈白色。蛋黄呈黄色或橙黄色，无血块、无杂质、无散黄。蛋白清晰透明，无气泡、无异物。</w:t>
            </w:r>
          </w:p>
          <w:p w14:paraId="01122FDB">
            <w:pPr>
              <w:widowControl/>
              <w:spacing w:line="360" w:lineRule="exact"/>
              <w:rPr>
                <w:rFonts w:hint="eastAsia"/>
              </w:rPr>
            </w:pPr>
            <w:r>
              <w:rPr>
                <w:rFonts w:hint="eastAsia" w:ascii="宋体" w:hAnsi="宋体" w:cs="宋体"/>
                <w:szCs w:val="21"/>
              </w:rPr>
              <w:t>蛋重与尺寸：一斤鸡蛋不超过7～8个。</w:t>
            </w:r>
          </w:p>
          <w:p w14:paraId="7FC81415">
            <w:pPr>
              <w:widowControl/>
              <w:spacing w:line="360" w:lineRule="exact"/>
              <w:rPr>
                <w:rFonts w:hint="eastAsia" w:ascii="宋体" w:hAnsi="宋体" w:cs="宋体"/>
                <w:szCs w:val="21"/>
              </w:rPr>
            </w:pPr>
            <w:r>
              <w:rPr>
                <w:rFonts w:hint="eastAsia" w:ascii="宋体" w:hAnsi="宋体" w:cs="宋体"/>
                <w:szCs w:val="21"/>
              </w:rPr>
              <w:t>气味：无异味，无刺鼻感，打开后蛋液气味纯净，无酸味、无臭味、无霉腐味。</w:t>
            </w:r>
          </w:p>
          <w:p w14:paraId="6A551B12">
            <w:pPr>
              <w:widowControl/>
              <w:spacing w:line="360" w:lineRule="exact"/>
              <w:rPr>
                <w:rFonts w:hint="eastAsia" w:ascii="宋体" w:hAnsi="宋体" w:cs="宋体"/>
                <w:b/>
                <w:szCs w:val="21"/>
              </w:rPr>
            </w:pPr>
            <w:r>
              <w:rPr>
                <w:rFonts w:hint="eastAsia" w:ascii="宋体" w:hAnsi="宋体" w:cs="宋体"/>
                <w:szCs w:val="21"/>
              </w:rPr>
              <w:t>包装：使用食品级塑料蛋格，蛋格尺寸适配单枚鸡蛋、无开裂、无缺格，蛋格干净无污渍、霉点、塑料异味。</w:t>
            </w:r>
          </w:p>
        </w:tc>
        <w:tc>
          <w:tcPr>
            <w:tcW w:w="2591" w:type="dxa"/>
            <w:noWrap w:val="0"/>
            <w:vAlign w:val="center"/>
          </w:tcPr>
          <w:p w14:paraId="28822A48">
            <w:pPr>
              <w:widowControl/>
              <w:spacing w:line="360" w:lineRule="exact"/>
              <w:rPr>
                <w:rFonts w:ascii="宋体" w:hAnsi="宋体" w:cs="宋体"/>
                <w:szCs w:val="21"/>
              </w:rPr>
            </w:pPr>
            <w:r>
              <w:rPr>
                <w:rFonts w:hint="eastAsia" w:ascii="宋体" w:hAnsi="宋体" w:cs="宋体"/>
                <w:szCs w:val="21"/>
              </w:rPr>
              <w:t>质量：蛋壳存在裂痕、破损、污物。蛋壳颜色异常。蛋黄颜色异常，有血块、杂质、散黄。蛋白浑浊，有气泡、异物。</w:t>
            </w:r>
          </w:p>
          <w:p w14:paraId="41ED43A8">
            <w:pPr>
              <w:widowControl/>
              <w:spacing w:line="360" w:lineRule="exact"/>
              <w:rPr>
                <w:rFonts w:hint="eastAsia" w:ascii="宋体" w:hAnsi="宋体" w:cs="宋体"/>
                <w:szCs w:val="21"/>
              </w:rPr>
            </w:pPr>
            <w:r>
              <w:rPr>
                <w:rFonts w:hint="eastAsia" w:ascii="宋体" w:hAnsi="宋体" w:cs="宋体"/>
                <w:szCs w:val="21"/>
              </w:rPr>
              <w:t>蛋重与尺寸：形状不规则，明显偏离正常卵圆形；或者尺寸超出标准范围（重量不符合规定的净重范围）。</w:t>
            </w:r>
          </w:p>
          <w:p w14:paraId="7DDDC2C0">
            <w:pPr>
              <w:widowControl/>
              <w:spacing w:line="360" w:lineRule="exact"/>
              <w:rPr>
                <w:rFonts w:hint="eastAsia" w:ascii="宋体" w:hAnsi="宋体" w:cs="宋体"/>
                <w:b/>
                <w:szCs w:val="21"/>
              </w:rPr>
            </w:pPr>
            <w:r>
              <w:rPr>
                <w:rFonts w:hint="eastAsia" w:ascii="宋体" w:hAnsi="宋体" w:cs="宋体"/>
                <w:szCs w:val="21"/>
              </w:rPr>
              <w:t>气味：有异味、有刺鼻感。包装：蛋格破损、污染，无法有效保护鸡蛋。</w:t>
            </w:r>
          </w:p>
        </w:tc>
      </w:tr>
      <w:tr w14:paraId="2259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noWrap w:val="0"/>
            <w:vAlign w:val="center"/>
          </w:tcPr>
          <w:p w14:paraId="6C32DDC4">
            <w:pPr>
              <w:spacing w:line="360" w:lineRule="exact"/>
              <w:jc w:val="center"/>
              <w:rPr>
                <w:rFonts w:hint="eastAsia" w:ascii="宋体" w:hAnsi="宋体" w:cs="宋体"/>
                <w:szCs w:val="21"/>
              </w:rPr>
            </w:pPr>
            <w:r>
              <w:rPr>
                <w:rFonts w:hint="eastAsia" w:ascii="宋体" w:hAnsi="宋体" w:cs="宋体"/>
                <w:szCs w:val="21"/>
              </w:rPr>
              <w:t>3</w:t>
            </w:r>
          </w:p>
        </w:tc>
        <w:tc>
          <w:tcPr>
            <w:tcW w:w="1118" w:type="dxa"/>
            <w:noWrap w:val="0"/>
            <w:vAlign w:val="center"/>
          </w:tcPr>
          <w:p w14:paraId="012374F5">
            <w:pPr>
              <w:widowControl/>
              <w:spacing w:line="360" w:lineRule="exact"/>
              <w:jc w:val="center"/>
              <w:textAlignment w:val="center"/>
              <w:rPr>
                <w:rFonts w:hint="eastAsia" w:ascii="宋体" w:hAnsi="宋体" w:cs="宋体"/>
                <w:szCs w:val="21"/>
              </w:rPr>
            </w:pPr>
            <w:r>
              <w:rPr>
                <w:rFonts w:hint="eastAsia" w:ascii="宋体" w:hAnsi="宋体" w:cs="宋体"/>
                <w:kern w:val="0"/>
                <w:szCs w:val="21"/>
                <w:lang w:bidi="ar"/>
              </w:rPr>
              <w:t>鹌鹑蛋（去壳）</w:t>
            </w:r>
          </w:p>
        </w:tc>
        <w:tc>
          <w:tcPr>
            <w:tcW w:w="1514" w:type="dxa"/>
            <w:noWrap w:val="0"/>
            <w:vAlign w:val="center"/>
          </w:tcPr>
          <w:p w14:paraId="181259C3">
            <w:pPr>
              <w:widowControl/>
              <w:spacing w:line="360" w:lineRule="exact"/>
              <w:jc w:val="center"/>
              <w:rPr>
                <w:rFonts w:hint="eastAsia" w:ascii="宋体" w:hAnsi="宋体" w:cs="宋体"/>
                <w:b/>
                <w:szCs w:val="21"/>
              </w:rPr>
            </w:pPr>
            <w:r>
              <w:rPr>
                <w:rFonts w:hint="eastAsia" w:ascii="Segoe UI" w:hAnsi="Segoe UI" w:cs="Segoe UI"/>
                <w:szCs w:val="21"/>
                <w:shd w:val="clear" w:color="auto" w:fill="FFFFFF"/>
              </w:rPr>
              <w:t>出厂自检报告</w:t>
            </w:r>
          </w:p>
        </w:tc>
        <w:tc>
          <w:tcPr>
            <w:tcW w:w="2932" w:type="dxa"/>
            <w:noWrap w:val="0"/>
            <w:vAlign w:val="center"/>
          </w:tcPr>
          <w:p w14:paraId="6DC0A40E">
            <w:pPr>
              <w:widowControl/>
              <w:spacing w:line="360" w:lineRule="exact"/>
              <w:rPr>
                <w:rFonts w:hint="eastAsia" w:ascii="宋体" w:hAnsi="宋体" w:cs="宋体"/>
                <w:szCs w:val="21"/>
              </w:rPr>
            </w:pPr>
            <w:r>
              <w:rPr>
                <w:rFonts w:hint="eastAsia" w:ascii="宋体" w:hAnsi="宋体" w:cs="宋体"/>
                <w:szCs w:val="21"/>
              </w:rPr>
              <w:t>加工要求：鲜鹌鹑蛋经煮制、去壳、清洗、杀菌等工艺制成的非即食或即食蛋制品。</w:t>
            </w:r>
          </w:p>
          <w:p w14:paraId="7D4CFF6D">
            <w:pPr>
              <w:widowControl/>
              <w:spacing w:line="360" w:lineRule="exact"/>
              <w:rPr>
                <w:rFonts w:hint="eastAsia" w:ascii="宋体" w:hAnsi="宋体" w:cs="宋体"/>
                <w:szCs w:val="21"/>
                <w:shd w:val="clear" w:color="auto" w:fill="FFFFFF"/>
              </w:rPr>
            </w:pPr>
            <w:r>
              <w:rPr>
                <w:rFonts w:hint="eastAsia" w:ascii="宋体" w:hAnsi="宋体" w:cs="宋体"/>
                <w:szCs w:val="21"/>
              </w:rPr>
              <w:t>外观：</w:t>
            </w:r>
            <w:r>
              <w:rPr>
                <w:rFonts w:hint="eastAsia" w:ascii="宋体" w:hAnsi="宋体" w:cs="宋体"/>
                <w:szCs w:val="21"/>
                <w:shd w:val="clear" w:color="auto" w:fill="FFFFFF"/>
              </w:rPr>
              <w:t>去壳后应为完整蛋形态（整蛋），无异物，无霉变</w:t>
            </w:r>
            <w:r>
              <w:rPr>
                <w:rFonts w:hint="eastAsia" w:ascii="宋体" w:hAnsi="宋体" w:cs="宋体"/>
                <w:szCs w:val="21"/>
              </w:rPr>
              <w:t>，</w:t>
            </w:r>
            <w:r>
              <w:rPr>
                <w:rFonts w:hint="eastAsia" w:ascii="宋体" w:hAnsi="宋体" w:cs="宋体"/>
                <w:szCs w:val="21"/>
                <w:shd w:val="clear" w:color="auto" w:fill="FFFFFF"/>
              </w:rPr>
              <w:t>具有蛋制品正常的色泽，蛋白呈白色稍透明。</w:t>
            </w:r>
          </w:p>
          <w:p w14:paraId="5D258731">
            <w:pPr>
              <w:widowControl/>
              <w:spacing w:line="360" w:lineRule="exact"/>
              <w:rPr>
                <w:rFonts w:hint="eastAsia" w:ascii="宋体" w:hAnsi="宋体" w:cs="宋体"/>
                <w:szCs w:val="21"/>
                <w:shd w:val="clear" w:color="auto" w:fill="FFFFFF"/>
              </w:rPr>
            </w:pPr>
            <w:r>
              <w:rPr>
                <w:rStyle w:val="7"/>
                <w:rFonts w:hint="eastAsia" w:ascii="宋体" w:hAnsi="宋体" w:cs="宋体"/>
                <w:b w:val="0"/>
                <w:szCs w:val="21"/>
                <w:shd w:val="clear" w:color="auto" w:fill="FFFFFF"/>
              </w:rPr>
              <w:t>气味：</w:t>
            </w:r>
            <w:r>
              <w:rPr>
                <w:rFonts w:hint="eastAsia" w:ascii="宋体" w:hAnsi="宋体" w:cs="宋体"/>
                <w:szCs w:val="21"/>
              </w:rPr>
              <w:t>无异味，无刺鼻感，无酸味、无臭味、无霉腐味。</w:t>
            </w:r>
            <w:r>
              <w:rPr>
                <w:rFonts w:hint="eastAsia" w:ascii="宋体" w:hAnsi="宋体" w:cs="宋体"/>
                <w:szCs w:val="21"/>
                <w:shd w:val="clear" w:color="auto" w:fill="FFFFFF"/>
              </w:rPr>
              <w:br w:type="textWrapping"/>
            </w:r>
            <w:r>
              <w:rPr>
                <w:rFonts w:hint="eastAsia" w:ascii="宋体" w:hAnsi="宋体" w:cs="宋体"/>
                <w:szCs w:val="21"/>
              </w:rPr>
              <w:t>包装：</w:t>
            </w:r>
            <w:r>
              <w:rPr>
                <w:rFonts w:hint="eastAsia" w:ascii="宋体" w:hAnsi="宋体" w:cs="宋体"/>
              </w:rPr>
              <w:t>无破损、无渗漏，标签清晰，注明产品名称、生产日期、保质期、生产厂家等信息。</w:t>
            </w:r>
          </w:p>
        </w:tc>
        <w:tc>
          <w:tcPr>
            <w:tcW w:w="2591" w:type="dxa"/>
            <w:noWrap w:val="0"/>
            <w:vAlign w:val="center"/>
          </w:tcPr>
          <w:p w14:paraId="5A53AE01">
            <w:pPr>
              <w:widowControl/>
              <w:spacing w:line="360" w:lineRule="exact"/>
              <w:rPr>
                <w:rFonts w:hint="eastAsia" w:ascii="宋体" w:hAnsi="宋体" w:cs="宋体"/>
                <w:szCs w:val="21"/>
              </w:rPr>
            </w:pPr>
            <w:r>
              <w:rPr>
                <w:rFonts w:hint="eastAsia" w:ascii="宋体" w:hAnsi="宋体" w:cs="宋体"/>
                <w:szCs w:val="21"/>
              </w:rPr>
              <w:t>加工要求：未按要求加工制作。</w:t>
            </w:r>
          </w:p>
          <w:p w14:paraId="0EE4FDE8">
            <w:pPr>
              <w:widowControl/>
              <w:spacing w:line="360" w:lineRule="exact"/>
              <w:rPr>
                <w:rFonts w:hint="eastAsia" w:ascii="宋体" w:hAnsi="宋体" w:cs="宋体"/>
                <w:szCs w:val="21"/>
              </w:rPr>
            </w:pPr>
            <w:r>
              <w:rPr>
                <w:rFonts w:hint="eastAsia" w:ascii="宋体" w:hAnsi="宋体" w:cs="宋体"/>
                <w:szCs w:val="21"/>
              </w:rPr>
              <w:t>外观：蛋形不完整，存在开裂现象，蛋白表面有附着物，如蛋壳、蛋皮等。肉眼可见的霉变、颜色发黄发灰。</w:t>
            </w:r>
          </w:p>
          <w:p w14:paraId="1E9B9D5D">
            <w:pPr>
              <w:widowControl/>
              <w:spacing w:line="360" w:lineRule="exact"/>
              <w:rPr>
                <w:rFonts w:hint="eastAsia" w:ascii="宋体" w:hAnsi="宋体" w:cs="宋体"/>
                <w:szCs w:val="21"/>
              </w:rPr>
            </w:pPr>
            <w:r>
              <w:rPr>
                <w:rFonts w:hint="eastAsia" w:ascii="宋体" w:hAnsi="宋体" w:cs="宋体"/>
                <w:szCs w:val="21"/>
              </w:rPr>
              <w:t>气味：有异味、刺鼻感。</w:t>
            </w:r>
          </w:p>
          <w:p w14:paraId="6F6A98EB">
            <w:pPr>
              <w:widowControl/>
              <w:spacing w:line="360" w:lineRule="exact"/>
              <w:rPr>
                <w:rFonts w:hint="eastAsia" w:ascii="宋体" w:hAnsi="宋体" w:cs="宋体"/>
                <w:b/>
                <w:szCs w:val="21"/>
              </w:rPr>
            </w:pPr>
            <w:r>
              <w:rPr>
                <w:rFonts w:hint="eastAsia" w:ascii="宋体" w:hAnsi="宋体" w:cs="宋体"/>
                <w:szCs w:val="21"/>
              </w:rPr>
              <w:t>包装：包装破损、渗漏，</w:t>
            </w:r>
            <w:r>
              <w:rPr>
                <w:rFonts w:hint="eastAsia" w:ascii="宋体" w:hAnsi="宋体" w:cs="宋体"/>
              </w:rPr>
              <w:t>标签不清晰，未注明产品名称、生产日期、保质期、生产厂家等信息</w:t>
            </w:r>
            <w:r>
              <w:rPr>
                <w:rFonts w:hint="eastAsia" w:ascii="宋体" w:hAnsi="宋体" w:cs="宋体"/>
                <w:szCs w:val="21"/>
              </w:rPr>
              <w:t>。</w:t>
            </w:r>
          </w:p>
        </w:tc>
      </w:tr>
      <w:tr w14:paraId="1C343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7" w:type="dxa"/>
            <w:noWrap w:val="0"/>
            <w:vAlign w:val="center"/>
          </w:tcPr>
          <w:p w14:paraId="5FF387C0">
            <w:pPr>
              <w:spacing w:line="360" w:lineRule="exact"/>
              <w:jc w:val="center"/>
              <w:rPr>
                <w:rFonts w:hint="eastAsia" w:ascii="宋体" w:hAnsi="宋体" w:cs="宋体"/>
                <w:b/>
                <w:szCs w:val="21"/>
              </w:rPr>
            </w:pPr>
            <w:r>
              <w:rPr>
                <w:rFonts w:hint="eastAsia" w:ascii="宋体" w:hAnsi="宋体" w:cs="宋体"/>
                <w:szCs w:val="21"/>
              </w:rPr>
              <w:t>4</w:t>
            </w:r>
          </w:p>
        </w:tc>
        <w:tc>
          <w:tcPr>
            <w:tcW w:w="1118" w:type="dxa"/>
            <w:noWrap w:val="0"/>
            <w:vAlign w:val="center"/>
          </w:tcPr>
          <w:p w14:paraId="70B8FC15">
            <w:pPr>
              <w:widowControl/>
              <w:spacing w:line="360" w:lineRule="exact"/>
              <w:jc w:val="center"/>
              <w:textAlignment w:val="center"/>
              <w:rPr>
                <w:rFonts w:hint="eastAsia" w:ascii="宋体" w:hAnsi="宋体" w:cs="宋体"/>
                <w:b/>
                <w:szCs w:val="21"/>
              </w:rPr>
            </w:pPr>
            <w:r>
              <w:rPr>
                <w:rFonts w:hint="eastAsia" w:ascii="宋体" w:hAnsi="宋体" w:cs="宋体"/>
                <w:kern w:val="0"/>
                <w:szCs w:val="21"/>
                <w:lang w:bidi="ar"/>
              </w:rPr>
              <w:t>鹌鹑蛋（带壳）</w:t>
            </w:r>
          </w:p>
        </w:tc>
        <w:tc>
          <w:tcPr>
            <w:tcW w:w="1514" w:type="dxa"/>
            <w:noWrap w:val="0"/>
            <w:vAlign w:val="center"/>
          </w:tcPr>
          <w:p w14:paraId="2BBB27B2">
            <w:pPr>
              <w:widowControl/>
              <w:spacing w:line="360" w:lineRule="exact"/>
              <w:jc w:val="center"/>
              <w:rPr>
                <w:rFonts w:hint="eastAsia" w:ascii="宋体" w:hAnsi="宋体" w:cs="宋体"/>
                <w:b/>
                <w:szCs w:val="21"/>
              </w:rPr>
            </w:pPr>
            <w:r>
              <w:rPr>
                <w:rFonts w:hint="eastAsia" w:ascii="Segoe UI" w:hAnsi="Segoe UI" w:cs="Segoe UI"/>
                <w:szCs w:val="21"/>
                <w:shd w:val="clear" w:color="auto" w:fill="FFFFFF"/>
              </w:rPr>
              <w:t>出厂自检报告</w:t>
            </w:r>
          </w:p>
        </w:tc>
        <w:tc>
          <w:tcPr>
            <w:tcW w:w="2932" w:type="dxa"/>
            <w:noWrap w:val="0"/>
            <w:vAlign w:val="center"/>
          </w:tcPr>
          <w:p w14:paraId="35E57971">
            <w:pPr>
              <w:widowControl/>
              <w:spacing w:line="360" w:lineRule="exact"/>
              <w:rPr>
                <w:rFonts w:hint="eastAsia" w:ascii="宋体" w:hAnsi="宋体" w:cs="宋体"/>
                <w:szCs w:val="21"/>
              </w:rPr>
            </w:pPr>
            <w:r>
              <w:rPr>
                <w:rFonts w:hint="eastAsia" w:ascii="宋体" w:hAnsi="宋体" w:cs="宋体"/>
                <w:szCs w:val="21"/>
              </w:rPr>
              <w:t>质量：蛋壳清洁完整，无裂纹、无破损，表面无污物。蛋壳颜色自然。蛋黄呈黄色或橙黄色，无血块、无杂质、无散黄。蛋白清晰透明，无气泡、无异物。</w:t>
            </w:r>
          </w:p>
          <w:p w14:paraId="6A86B787">
            <w:pPr>
              <w:widowControl/>
              <w:spacing w:line="360" w:lineRule="exact"/>
              <w:rPr>
                <w:rFonts w:hint="eastAsia"/>
              </w:rPr>
            </w:pPr>
            <w:r>
              <w:rPr>
                <w:rFonts w:hint="eastAsia" w:ascii="宋体" w:hAnsi="宋体" w:cs="宋体"/>
                <w:szCs w:val="21"/>
              </w:rPr>
              <w:t>蛋重与尺寸：重量应在一克至两克之间（此范围可能因实际标准有所差异，需根据具体情况判断），直径应在3.5厘米至4厘米之间，高度应在2厘米至2.5厘米之间。</w:t>
            </w:r>
          </w:p>
          <w:p w14:paraId="7259D2C6">
            <w:pPr>
              <w:widowControl/>
              <w:spacing w:line="360" w:lineRule="exact"/>
              <w:rPr>
                <w:rFonts w:hint="eastAsia" w:ascii="宋体" w:hAnsi="宋体" w:cs="宋体"/>
                <w:szCs w:val="21"/>
              </w:rPr>
            </w:pPr>
            <w:r>
              <w:rPr>
                <w:rFonts w:hint="eastAsia" w:ascii="宋体" w:hAnsi="宋体" w:cs="宋体"/>
                <w:szCs w:val="21"/>
              </w:rPr>
              <w:t>气味：无异味，无刺鼻感，打开后蛋液气味纯净，无酸味、无臭味、无霉腐味。</w:t>
            </w:r>
          </w:p>
          <w:p w14:paraId="28A62863">
            <w:pPr>
              <w:widowControl/>
              <w:spacing w:line="360" w:lineRule="exact"/>
              <w:rPr>
                <w:rFonts w:hint="eastAsia"/>
              </w:rPr>
            </w:pPr>
            <w:r>
              <w:rPr>
                <w:rFonts w:hint="eastAsia" w:ascii="宋体" w:hAnsi="宋体" w:cs="宋体"/>
                <w:szCs w:val="21"/>
              </w:rPr>
              <w:t>包装：使用食品级塑料蛋格，蛋格尺寸适配单枚鹌鹑蛋、无开裂、无缺格，蛋格干净无污渍、霉点、塑料异味。</w:t>
            </w:r>
          </w:p>
        </w:tc>
        <w:tc>
          <w:tcPr>
            <w:tcW w:w="2591" w:type="dxa"/>
            <w:noWrap w:val="0"/>
            <w:vAlign w:val="center"/>
          </w:tcPr>
          <w:p w14:paraId="5473A055">
            <w:pPr>
              <w:widowControl/>
              <w:spacing w:line="360" w:lineRule="exact"/>
              <w:rPr>
                <w:rFonts w:ascii="宋体" w:hAnsi="宋体" w:cs="宋体"/>
                <w:szCs w:val="21"/>
              </w:rPr>
            </w:pPr>
            <w:r>
              <w:rPr>
                <w:rFonts w:hint="eastAsia" w:ascii="宋体" w:hAnsi="宋体" w:cs="宋体"/>
                <w:szCs w:val="21"/>
              </w:rPr>
              <w:t>质量：蛋壳存在裂痕、破损、污物。蛋壳颜色异常。蛋黄颜色异常，有血块、杂质、散黄。蛋白浑浊，有气泡、异物。</w:t>
            </w:r>
          </w:p>
          <w:p w14:paraId="684DB576">
            <w:pPr>
              <w:widowControl/>
              <w:spacing w:line="360" w:lineRule="exact"/>
              <w:rPr>
                <w:rFonts w:hint="eastAsia" w:ascii="宋体" w:hAnsi="宋体" w:cs="宋体"/>
                <w:szCs w:val="21"/>
              </w:rPr>
            </w:pPr>
            <w:r>
              <w:rPr>
                <w:rFonts w:hint="eastAsia" w:ascii="宋体" w:hAnsi="宋体" w:cs="宋体"/>
                <w:szCs w:val="21"/>
              </w:rPr>
              <w:t>蛋重与尺寸：形状不规则，明显偏离正常卵圆形；或者尺寸超出标准范围（重量不符合规定的净重范围）。</w:t>
            </w:r>
          </w:p>
          <w:p w14:paraId="03CCEF13">
            <w:pPr>
              <w:widowControl/>
              <w:spacing w:line="360" w:lineRule="exact"/>
              <w:rPr>
                <w:rFonts w:hint="eastAsia" w:ascii="宋体" w:hAnsi="宋体" w:cs="宋体"/>
                <w:b/>
                <w:szCs w:val="21"/>
              </w:rPr>
            </w:pPr>
            <w:r>
              <w:rPr>
                <w:rFonts w:hint="eastAsia" w:ascii="宋体" w:hAnsi="宋体" w:cs="宋体"/>
                <w:szCs w:val="21"/>
              </w:rPr>
              <w:t>气味：有异味、有刺鼻感。包装：蛋格破损、污染，无法有效保护鸡蛋。</w:t>
            </w:r>
          </w:p>
        </w:tc>
      </w:tr>
      <w:tr w14:paraId="35630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92" w:type="dxa"/>
            <w:gridSpan w:val="5"/>
            <w:noWrap w:val="0"/>
            <w:vAlign w:val="center"/>
          </w:tcPr>
          <w:p w14:paraId="2D06865C">
            <w:pPr>
              <w:spacing w:line="360" w:lineRule="exact"/>
              <w:jc w:val="left"/>
              <w:rPr>
                <w:rFonts w:hint="eastAsia" w:ascii="宋体" w:hAnsi="宋体" w:cs="宋体"/>
                <w:bCs/>
                <w:szCs w:val="21"/>
              </w:rPr>
            </w:pPr>
            <w:r>
              <w:rPr>
                <w:rFonts w:hint="eastAsia" w:ascii="宋体" w:hAnsi="宋体" w:cs="宋体"/>
                <w:bCs/>
                <w:szCs w:val="21"/>
              </w:rPr>
              <w:t>1.产品标准：</w:t>
            </w:r>
            <w:r>
              <w:rPr>
                <w:rFonts w:hint="eastAsia"/>
                <w:szCs w:val="21"/>
              </w:rPr>
              <w:t>符合招标文件第五章第三条包件04蛋类的</w:t>
            </w:r>
            <w:r>
              <w:rPr>
                <w:rFonts w:hint="eastAsia"/>
              </w:rPr>
              <w:t>标准要求</w:t>
            </w:r>
            <w:r>
              <w:rPr>
                <w:rFonts w:hint="eastAsia" w:ascii="宋体" w:hAnsi="宋体" w:cs="宋体"/>
                <w:bCs/>
                <w:szCs w:val="21"/>
              </w:rPr>
              <w:t xml:space="preserve">。 </w:t>
            </w:r>
          </w:p>
          <w:p w14:paraId="1B93344C">
            <w:pPr>
              <w:spacing w:line="360" w:lineRule="exact"/>
              <w:jc w:val="left"/>
              <w:rPr>
                <w:rFonts w:hint="eastAsia" w:ascii="宋体" w:hAnsi="宋体" w:cs="宋体"/>
                <w:bCs/>
                <w:szCs w:val="21"/>
              </w:rPr>
            </w:pPr>
            <w:r>
              <w:rPr>
                <w:rFonts w:hint="eastAsia" w:ascii="宋体" w:hAnsi="宋体" w:cs="宋体"/>
                <w:bCs/>
                <w:szCs w:val="21"/>
              </w:rPr>
              <w:t xml:space="preserve">2.检测报告：供应商中标后在首次供货时须提供本年内该品类具备中国计量认证（CMA）资质的第三方检测机构出具的针对本次投标产品的检测报告复印件，报告必须包含针对产品的关键安全项目：兽药残留；重金属残留：铅（Pb）、镉（Cd）；致病菌（沙门氏菌）。 </w:t>
            </w:r>
          </w:p>
          <w:p w14:paraId="13535B88">
            <w:pPr>
              <w:spacing w:line="360" w:lineRule="exact"/>
              <w:jc w:val="left"/>
              <w:rPr>
                <w:rFonts w:ascii="宋体" w:hAnsi="宋体" w:cs="宋体"/>
                <w:bCs/>
                <w:szCs w:val="21"/>
              </w:rPr>
            </w:pPr>
            <w:r>
              <w:rPr>
                <w:rFonts w:hint="eastAsia" w:ascii="宋体" w:hAnsi="宋体" w:cs="宋体"/>
                <w:bCs/>
                <w:szCs w:val="21"/>
              </w:rPr>
              <w:t>3.批次检测：每批货送达采购人指定地点时，保证鸡蛋、鹌鹑蛋新鲜无损坏，定期提供检验报告。</w:t>
            </w:r>
          </w:p>
          <w:p w14:paraId="62C98228">
            <w:pPr>
              <w:spacing w:line="360" w:lineRule="exact"/>
              <w:jc w:val="left"/>
              <w:rPr>
                <w:rFonts w:hint="eastAsia" w:ascii="宋体" w:hAnsi="宋体" w:cs="宋体"/>
                <w:bCs/>
                <w:szCs w:val="21"/>
              </w:rPr>
            </w:pPr>
            <w:r>
              <w:rPr>
                <w:rFonts w:hint="eastAsia"/>
                <w:szCs w:val="21"/>
              </w:rPr>
              <w:t>4.保质期：交货时须明确标注生产日期和保质期，每批货送达采购人指定地点时，剩余有效期不得少于总保质期的8</w:t>
            </w:r>
            <w:r>
              <w:rPr>
                <w:szCs w:val="21"/>
              </w:rPr>
              <w:t>0</w:t>
            </w:r>
            <w:r>
              <w:rPr>
                <w:rFonts w:hint="eastAsia"/>
                <w:szCs w:val="21"/>
              </w:rPr>
              <w:t>%。</w:t>
            </w:r>
            <w:r>
              <w:rPr>
                <w:rFonts w:hint="eastAsia" w:ascii="宋体" w:hAnsi="宋体" w:cs="宋体"/>
                <w:bCs/>
                <w:szCs w:val="21"/>
              </w:rPr>
              <w:t xml:space="preserve"> </w:t>
            </w:r>
          </w:p>
          <w:p w14:paraId="74A24720">
            <w:pPr>
              <w:widowControl/>
              <w:spacing w:line="360" w:lineRule="exact"/>
              <w:jc w:val="left"/>
              <w:rPr>
                <w:rFonts w:hint="eastAsia" w:ascii="宋体" w:hAnsi="宋体" w:cs="宋体"/>
                <w:b/>
                <w:szCs w:val="21"/>
              </w:rPr>
            </w:pPr>
            <w:r>
              <w:rPr>
                <w:rFonts w:hint="eastAsia" w:ascii="宋体" w:hAnsi="宋体" w:cs="宋体"/>
                <w:bCs/>
                <w:szCs w:val="21"/>
              </w:rPr>
              <w:t>5.运输工具：须使用符合卫生要求的专用运输车辆，根据产品特性保持适宜的温度。</w:t>
            </w:r>
          </w:p>
        </w:tc>
      </w:tr>
    </w:tbl>
    <w:p w14:paraId="083934F0">
      <w:pPr>
        <w:spacing w:line="360" w:lineRule="exact"/>
        <w:ind w:firstLine="420" w:firstLineChars="200"/>
      </w:pPr>
      <w:r>
        <w:rPr>
          <w:rFonts w:hint="eastAsia"/>
        </w:rPr>
        <w:t>说明：本项目要求中所涉及的国家、地方或行业强制性标准如有更新，自新标准实施之日起，按新标准执行。</w:t>
      </w:r>
    </w:p>
    <w:p w14:paraId="03C85AEB">
      <w:pPr>
        <w:spacing w:line="360" w:lineRule="exact"/>
        <w:ind w:firstLine="422" w:firstLineChars="200"/>
        <w:rPr>
          <w:b/>
          <w:bCs/>
        </w:rPr>
      </w:pPr>
      <w:r>
        <w:rPr>
          <w:rFonts w:hint="eastAsia"/>
          <w:b/>
          <w:bCs/>
        </w:rPr>
        <w:t>3.考核机制及合同履约负面清单</w:t>
      </w:r>
    </w:p>
    <w:p w14:paraId="64A0558C">
      <w:pPr>
        <w:spacing w:line="360" w:lineRule="exact"/>
        <w:ind w:firstLine="420" w:firstLineChars="200"/>
      </w:pPr>
      <w:r>
        <w:rPr>
          <w:rFonts w:hint="eastAsia"/>
        </w:rPr>
        <w:t>（1）考核机制</w:t>
      </w:r>
    </w:p>
    <w:p w14:paraId="1AF242EF">
      <w:pPr>
        <w:spacing w:line="360" w:lineRule="exact"/>
        <w:ind w:firstLine="420" w:firstLineChars="200"/>
      </w:pPr>
      <w:r>
        <w:rPr>
          <w:rFonts w:hint="eastAsia"/>
        </w:rPr>
        <w:t>①建立责任追究制度及退出机制。采购人将深入学校食堂和中标人单位，对食堂食品原材料配送工作进行督查。对中标人提供不合格产品、不能满足采购方配送要求、中标人将本项目转包或分包，被采购人发现情况属实的、不按要求配送，影响采购方的正常运行、导致食品安全问题以及严重影响学生正常就餐的，采购人视具体情况有权采取减少配送量、取消配送资格（暂停供货）甚至解除合同的方式对供应商进行处罚，造成责任事故的将追究其法律责任。</w:t>
      </w:r>
    </w:p>
    <w:p w14:paraId="74B48967">
      <w:pPr>
        <w:spacing w:line="360" w:lineRule="exact"/>
        <w:ind w:firstLine="420" w:firstLineChars="200"/>
      </w:pPr>
      <w:r>
        <w:rPr>
          <w:rFonts w:hint="eastAsia"/>
        </w:rPr>
        <w:t>②实行优胜劣汰机制，在学校食堂食材供货过程中，中标人须配合采购人建立日常管理考核机制和定期回访制度，若发现供应商不守信用、以次充好或其他违规行为，由采购人提出警告，情节严重的，采购人立即终止其供货合同。</w:t>
      </w:r>
    </w:p>
    <w:p w14:paraId="2052568D">
      <w:pPr>
        <w:spacing w:line="360" w:lineRule="exact"/>
        <w:ind w:firstLine="420" w:firstLineChars="200"/>
      </w:pPr>
      <w:r>
        <w:rPr>
          <w:rFonts w:hint="eastAsia"/>
        </w:rPr>
        <w:t>（2）合同履约负面清单</w:t>
      </w:r>
    </w:p>
    <w:p w14:paraId="4776EA23">
      <w:pPr>
        <w:spacing w:line="360" w:lineRule="exact"/>
        <w:ind w:firstLine="420" w:firstLineChars="200"/>
      </w:pPr>
      <w:r>
        <w:rPr>
          <w:rFonts w:hint="eastAsia"/>
        </w:rPr>
        <w:t>为规范供应商履约行为，细化违规处置标准，采购人制定《西南交通大学后勤保障部饮食服务中心物资供应商负面清单》，按违规风险等级划分为一般、较重、严重三类，明确负面行为、单次扣分、违约金处罚标准及处罚机制，具体如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3"/>
        <w:gridCol w:w="853"/>
        <w:gridCol w:w="3266"/>
        <w:gridCol w:w="1091"/>
        <w:gridCol w:w="2209"/>
      </w:tblGrid>
      <w:tr w14:paraId="07E3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034D0134">
            <w:pPr>
              <w:spacing w:line="360" w:lineRule="exact"/>
              <w:jc w:val="center"/>
              <w:rPr>
                <w:b/>
                <w:bCs/>
                <w:szCs w:val="21"/>
              </w:rPr>
            </w:pPr>
            <w:r>
              <w:rPr>
                <w:rFonts w:hint="eastAsia"/>
                <w:b/>
                <w:bCs/>
                <w:szCs w:val="21"/>
              </w:rPr>
              <w:t>西南交通大学后勤保障部饮食服务中心物资供应商负面清单</w:t>
            </w:r>
          </w:p>
        </w:tc>
      </w:tr>
      <w:tr w14:paraId="3BED4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noWrap w:val="0"/>
            <w:vAlign w:val="center"/>
          </w:tcPr>
          <w:p w14:paraId="4CA3FBD4">
            <w:pPr>
              <w:spacing w:line="360" w:lineRule="exact"/>
              <w:jc w:val="center"/>
              <w:rPr>
                <w:b/>
                <w:bCs/>
                <w:szCs w:val="21"/>
              </w:rPr>
            </w:pPr>
            <w:r>
              <w:rPr>
                <w:rFonts w:hint="eastAsia"/>
                <w:b/>
                <w:bCs/>
                <w:szCs w:val="21"/>
              </w:rPr>
              <w:t>风险等级</w:t>
            </w:r>
          </w:p>
        </w:tc>
        <w:tc>
          <w:tcPr>
            <w:tcW w:w="862" w:type="dxa"/>
            <w:noWrap w:val="0"/>
            <w:vAlign w:val="center"/>
          </w:tcPr>
          <w:p w14:paraId="60B53F90">
            <w:pPr>
              <w:spacing w:line="360" w:lineRule="exact"/>
              <w:jc w:val="center"/>
              <w:rPr>
                <w:b/>
                <w:bCs/>
                <w:szCs w:val="21"/>
              </w:rPr>
            </w:pPr>
            <w:r>
              <w:rPr>
                <w:rFonts w:hint="eastAsia"/>
                <w:b/>
                <w:bCs/>
                <w:szCs w:val="21"/>
              </w:rPr>
              <w:t>序号</w:t>
            </w:r>
          </w:p>
        </w:tc>
        <w:tc>
          <w:tcPr>
            <w:tcW w:w="3319" w:type="dxa"/>
            <w:noWrap w:val="0"/>
            <w:vAlign w:val="center"/>
          </w:tcPr>
          <w:p w14:paraId="0FC74C93">
            <w:pPr>
              <w:spacing w:line="360" w:lineRule="exact"/>
              <w:jc w:val="center"/>
              <w:rPr>
                <w:b/>
                <w:bCs/>
                <w:szCs w:val="21"/>
              </w:rPr>
            </w:pPr>
            <w:r>
              <w:rPr>
                <w:rFonts w:hint="eastAsia"/>
                <w:b/>
                <w:bCs/>
                <w:szCs w:val="21"/>
              </w:rPr>
              <w:t>负面行为描述</w:t>
            </w:r>
          </w:p>
        </w:tc>
        <w:tc>
          <w:tcPr>
            <w:tcW w:w="1106" w:type="dxa"/>
            <w:noWrap w:val="0"/>
            <w:vAlign w:val="center"/>
          </w:tcPr>
          <w:p w14:paraId="1C925B38">
            <w:pPr>
              <w:spacing w:line="360" w:lineRule="exact"/>
              <w:jc w:val="center"/>
              <w:rPr>
                <w:b/>
                <w:bCs/>
                <w:szCs w:val="21"/>
              </w:rPr>
            </w:pPr>
            <w:r>
              <w:rPr>
                <w:rFonts w:hint="eastAsia"/>
                <w:b/>
                <w:bCs/>
                <w:szCs w:val="21"/>
              </w:rPr>
              <w:t>单次扣分</w:t>
            </w:r>
          </w:p>
        </w:tc>
        <w:tc>
          <w:tcPr>
            <w:tcW w:w="2243" w:type="dxa"/>
            <w:noWrap w:val="0"/>
            <w:vAlign w:val="center"/>
          </w:tcPr>
          <w:p w14:paraId="6A52502C">
            <w:pPr>
              <w:spacing w:line="360" w:lineRule="exact"/>
              <w:jc w:val="center"/>
              <w:rPr>
                <w:b/>
                <w:bCs/>
                <w:szCs w:val="21"/>
              </w:rPr>
            </w:pPr>
            <w:r>
              <w:rPr>
                <w:rFonts w:hint="eastAsia"/>
                <w:b/>
                <w:bCs/>
                <w:szCs w:val="21"/>
              </w:rPr>
              <w:t>责任追究</w:t>
            </w:r>
          </w:p>
        </w:tc>
      </w:tr>
      <w:tr w14:paraId="75FDE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34BD9C74">
            <w:pPr>
              <w:widowControl/>
              <w:jc w:val="center"/>
              <w:rPr>
                <w:rFonts w:ascii="黑体" w:hAnsi="黑体" w:eastAsia="黑体" w:cs="宋体"/>
                <w:b/>
                <w:bCs/>
                <w:kern w:val="0"/>
                <w:szCs w:val="21"/>
                <w:lang w:bidi="ar"/>
              </w:rPr>
            </w:pPr>
            <w:r>
              <w:rPr>
                <w:rFonts w:hint="eastAsia" w:ascii="黑体" w:hAnsi="黑体" w:eastAsia="黑体" w:cs="宋体"/>
                <w:b/>
                <w:bCs/>
                <w:kern w:val="0"/>
                <w:szCs w:val="21"/>
                <w:lang w:bidi="ar"/>
              </w:rPr>
              <w:t>一般</w:t>
            </w:r>
          </w:p>
        </w:tc>
        <w:tc>
          <w:tcPr>
            <w:tcW w:w="862" w:type="dxa"/>
            <w:noWrap w:val="0"/>
            <w:vAlign w:val="center"/>
          </w:tcPr>
          <w:p w14:paraId="649C48F6">
            <w:pPr>
              <w:spacing w:line="360" w:lineRule="exact"/>
              <w:jc w:val="center"/>
              <w:rPr>
                <w:rFonts w:ascii="宋体" w:hAnsi="宋体" w:cs="宋体"/>
                <w:szCs w:val="21"/>
              </w:rPr>
            </w:pPr>
            <w:r>
              <w:rPr>
                <w:rFonts w:hint="eastAsia" w:ascii="宋体" w:hAnsi="宋体" w:cs="宋体"/>
                <w:szCs w:val="21"/>
              </w:rPr>
              <w:t>1</w:t>
            </w:r>
          </w:p>
        </w:tc>
        <w:tc>
          <w:tcPr>
            <w:tcW w:w="3319" w:type="dxa"/>
            <w:noWrap w:val="0"/>
            <w:vAlign w:val="center"/>
          </w:tcPr>
          <w:p w14:paraId="678B433E">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szCs w:val="21"/>
              </w:rPr>
              <w:t>：</w:t>
            </w:r>
            <w:r>
              <w:rPr>
                <w:rFonts w:hint="eastAsia" w:ascii="宋体" w:hAnsi="宋体" w:cs="宋体"/>
                <w:kern w:val="0"/>
                <w:szCs w:val="21"/>
                <w:lang w:bidi="ar"/>
              </w:rPr>
              <w:t>供应商未按时提交或更新相关证票证明，但所有证票仍在有效期内且不影响正常供货，逾期不超过5个工作日。</w:t>
            </w:r>
          </w:p>
        </w:tc>
        <w:tc>
          <w:tcPr>
            <w:tcW w:w="1106" w:type="dxa"/>
            <w:noWrap w:val="0"/>
            <w:vAlign w:val="center"/>
          </w:tcPr>
          <w:p w14:paraId="39FB3C0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160D961E">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3BFE4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3" w:hRule="atLeast"/>
          <w:jc w:val="center"/>
        </w:trPr>
        <w:tc>
          <w:tcPr>
            <w:tcW w:w="1118" w:type="dxa"/>
            <w:vMerge w:val="continue"/>
            <w:noWrap w:val="0"/>
            <w:vAlign w:val="center"/>
          </w:tcPr>
          <w:p w14:paraId="4BE31E37">
            <w:pPr>
              <w:widowControl/>
              <w:jc w:val="left"/>
              <w:rPr>
                <w:rFonts w:ascii="宋体" w:hAnsi="宋体" w:cs="宋体"/>
                <w:kern w:val="0"/>
                <w:szCs w:val="21"/>
                <w:lang w:bidi="ar"/>
              </w:rPr>
            </w:pPr>
          </w:p>
        </w:tc>
        <w:tc>
          <w:tcPr>
            <w:tcW w:w="862" w:type="dxa"/>
            <w:noWrap w:val="0"/>
            <w:vAlign w:val="center"/>
          </w:tcPr>
          <w:p w14:paraId="604AECEF">
            <w:pPr>
              <w:spacing w:line="360" w:lineRule="exact"/>
              <w:jc w:val="center"/>
              <w:rPr>
                <w:rFonts w:ascii="宋体" w:hAnsi="宋体" w:cs="宋体"/>
                <w:szCs w:val="21"/>
              </w:rPr>
            </w:pPr>
            <w:r>
              <w:rPr>
                <w:rFonts w:hint="eastAsia" w:ascii="宋体" w:hAnsi="宋体" w:cs="宋体"/>
                <w:szCs w:val="21"/>
              </w:rPr>
              <w:t>2</w:t>
            </w:r>
          </w:p>
        </w:tc>
        <w:tc>
          <w:tcPr>
            <w:tcW w:w="3319" w:type="dxa"/>
            <w:noWrap w:val="0"/>
            <w:vAlign w:val="center"/>
          </w:tcPr>
          <w:p w14:paraId="7807279A">
            <w:pPr>
              <w:widowControl/>
              <w:jc w:val="left"/>
              <w:rPr>
                <w:rFonts w:ascii="宋体" w:hAnsi="宋体" w:cs="宋体"/>
                <w:kern w:val="0"/>
                <w:szCs w:val="21"/>
                <w:lang w:bidi="ar"/>
              </w:rPr>
            </w:pPr>
            <w:r>
              <w:rPr>
                <w:rFonts w:hint="eastAsia" w:ascii="黑体" w:hAnsi="黑体" w:eastAsia="黑体" w:cs="宋体"/>
                <w:b/>
                <w:bCs/>
                <w:szCs w:val="21"/>
              </w:rPr>
              <w:t>抽检结果：</w:t>
            </w:r>
            <w:r>
              <w:rPr>
                <w:rFonts w:hint="eastAsia" w:ascii="宋体" w:hAnsi="宋体" w:cs="宋体"/>
                <w:kern w:val="0"/>
                <w:szCs w:val="21"/>
                <w:lang w:bidi="ar"/>
              </w:rPr>
              <w:t>供应商提供的食材在采购人自检中被发现轻微不达标，但未造成不良影响的。</w:t>
            </w:r>
          </w:p>
        </w:tc>
        <w:tc>
          <w:tcPr>
            <w:tcW w:w="1106" w:type="dxa"/>
            <w:noWrap w:val="0"/>
            <w:vAlign w:val="center"/>
          </w:tcPr>
          <w:p w14:paraId="686DD4AE">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8488398">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6F42D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3A474FAC">
            <w:pPr>
              <w:widowControl/>
              <w:jc w:val="left"/>
              <w:rPr>
                <w:rFonts w:ascii="宋体" w:hAnsi="宋体" w:cs="宋体"/>
                <w:kern w:val="0"/>
                <w:szCs w:val="21"/>
                <w:lang w:bidi="ar"/>
              </w:rPr>
            </w:pPr>
          </w:p>
        </w:tc>
        <w:tc>
          <w:tcPr>
            <w:tcW w:w="862" w:type="dxa"/>
            <w:noWrap w:val="0"/>
            <w:vAlign w:val="center"/>
          </w:tcPr>
          <w:p w14:paraId="537B5003">
            <w:pPr>
              <w:spacing w:line="360" w:lineRule="exact"/>
              <w:jc w:val="center"/>
              <w:rPr>
                <w:rFonts w:ascii="宋体" w:hAnsi="宋体" w:cs="宋体"/>
                <w:szCs w:val="21"/>
              </w:rPr>
            </w:pPr>
            <w:r>
              <w:rPr>
                <w:rFonts w:hint="eastAsia" w:ascii="宋体" w:hAnsi="宋体" w:cs="宋体"/>
                <w:szCs w:val="21"/>
              </w:rPr>
              <w:t>3</w:t>
            </w:r>
          </w:p>
        </w:tc>
        <w:tc>
          <w:tcPr>
            <w:tcW w:w="3319" w:type="dxa"/>
            <w:noWrap w:val="0"/>
            <w:vAlign w:val="center"/>
          </w:tcPr>
          <w:p w14:paraId="7FDAF380">
            <w:pPr>
              <w:widowControl/>
              <w:jc w:val="left"/>
              <w:rPr>
                <w:rFonts w:ascii="宋体" w:hAnsi="宋体" w:cs="宋体"/>
                <w:kern w:val="0"/>
                <w:szCs w:val="21"/>
                <w:lang w:bidi="ar"/>
              </w:rPr>
            </w:pPr>
            <w:r>
              <w:rPr>
                <w:rFonts w:hint="eastAsia" w:ascii="黑体" w:hAnsi="黑体" w:eastAsia="黑体" w:cs="宋体"/>
                <w:b/>
                <w:bCs/>
                <w:szCs w:val="21"/>
              </w:rPr>
              <w:t>供货质量：</w:t>
            </w:r>
            <w:r>
              <w:rPr>
                <w:rFonts w:hint="eastAsia" w:ascii="宋体" w:hAnsi="宋体" w:cs="宋体"/>
                <w:kern w:val="0"/>
                <w:szCs w:val="21"/>
                <w:lang w:bidi="ar"/>
              </w:rPr>
              <w:t>供应商提供的食材质量轻微不符合标准，但及时换货，不影响正常生产工作的。</w:t>
            </w:r>
          </w:p>
        </w:tc>
        <w:tc>
          <w:tcPr>
            <w:tcW w:w="1106" w:type="dxa"/>
            <w:noWrap w:val="0"/>
            <w:vAlign w:val="center"/>
          </w:tcPr>
          <w:p w14:paraId="7B299A0E">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9ABD21E">
            <w:pPr>
              <w:widowControl/>
              <w:jc w:val="left"/>
              <w:rPr>
                <w:rFonts w:ascii="宋体" w:hAnsi="宋体" w:cs="宋体"/>
                <w:kern w:val="0"/>
                <w:szCs w:val="21"/>
                <w:lang w:bidi="ar"/>
              </w:rPr>
            </w:pPr>
            <w:r>
              <w:rPr>
                <w:rFonts w:hint="eastAsia" w:ascii="宋体" w:hAnsi="宋体" w:cs="宋体"/>
                <w:kern w:val="0"/>
                <w:szCs w:val="21"/>
                <w:lang w:bidi="ar"/>
              </w:rPr>
              <w:t>扣除该批次货款的10%（当10%不足500元时，按500元计）作为违约金。</w:t>
            </w:r>
          </w:p>
        </w:tc>
      </w:tr>
      <w:tr w14:paraId="759EE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3E57BFE3">
            <w:pPr>
              <w:widowControl/>
              <w:jc w:val="left"/>
              <w:rPr>
                <w:rFonts w:ascii="宋体" w:hAnsi="宋体" w:cs="宋体"/>
                <w:kern w:val="0"/>
                <w:szCs w:val="21"/>
                <w:lang w:bidi="ar"/>
              </w:rPr>
            </w:pPr>
          </w:p>
        </w:tc>
        <w:tc>
          <w:tcPr>
            <w:tcW w:w="862" w:type="dxa"/>
            <w:noWrap w:val="0"/>
            <w:vAlign w:val="center"/>
          </w:tcPr>
          <w:p w14:paraId="23C7876E">
            <w:pPr>
              <w:spacing w:line="360" w:lineRule="exact"/>
              <w:jc w:val="center"/>
              <w:rPr>
                <w:rFonts w:ascii="宋体" w:hAnsi="宋体" w:cs="宋体"/>
                <w:szCs w:val="21"/>
              </w:rPr>
            </w:pPr>
            <w:r>
              <w:rPr>
                <w:rFonts w:hint="eastAsia" w:ascii="宋体" w:hAnsi="宋体" w:cs="宋体"/>
                <w:szCs w:val="21"/>
              </w:rPr>
              <w:t>4</w:t>
            </w:r>
          </w:p>
        </w:tc>
        <w:tc>
          <w:tcPr>
            <w:tcW w:w="3319" w:type="dxa"/>
            <w:noWrap w:val="0"/>
            <w:vAlign w:val="center"/>
          </w:tcPr>
          <w:p w14:paraId="77ACEA19">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供应商未按时配送食材，但延误时间不超过1小时，且未对采购人造成重大影响。</w:t>
            </w:r>
          </w:p>
        </w:tc>
        <w:tc>
          <w:tcPr>
            <w:tcW w:w="1106" w:type="dxa"/>
            <w:noWrap w:val="0"/>
            <w:vAlign w:val="center"/>
          </w:tcPr>
          <w:p w14:paraId="4A23F4E3">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0F0F3E20">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66EA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0AC1D60D">
            <w:pPr>
              <w:widowControl/>
              <w:jc w:val="left"/>
              <w:rPr>
                <w:rFonts w:ascii="宋体" w:hAnsi="宋体" w:cs="宋体"/>
                <w:kern w:val="0"/>
                <w:szCs w:val="21"/>
                <w:lang w:bidi="ar"/>
              </w:rPr>
            </w:pPr>
          </w:p>
        </w:tc>
        <w:tc>
          <w:tcPr>
            <w:tcW w:w="862" w:type="dxa"/>
            <w:noWrap w:val="0"/>
            <w:vAlign w:val="center"/>
          </w:tcPr>
          <w:p w14:paraId="374654D3">
            <w:pPr>
              <w:spacing w:line="360" w:lineRule="exact"/>
              <w:jc w:val="center"/>
              <w:rPr>
                <w:rFonts w:ascii="宋体" w:hAnsi="宋体" w:cs="宋体"/>
                <w:szCs w:val="21"/>
              </w:rPr>
            </w:pPr>
            <w:r>
              <w:rPr>
                <w:rFonts w:hint="eastAsia" w:ascii="宋体" w:hAnsi="宋体" w:cs="宋体"/>
                <w:szCs w:val="21"/>
              </w:rPr>
              <w:t>5</w:t>
            </w:r>
          </w:p>
        </w:tc>
        <w:tc>
          <w:tcPr>
            <w:tcW w:w="3319" w:type="dxa"/>
            <w:noWrap w:val="0"/>
            <w:vAlign w:val="center"/>
          </w:tcPr>
          <w:p w14:paraId="1B04E72C">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供应商配送数量与采购计划量存在轻微偏差（短缺比例≤5%），且未影响食堂正常生产，并能及时补足。</w:t>
            </w:r>
          </w:p>
        </w:tc>
        <w:tc>
          <w:tcPr>
            <w:tcW w:w="1106" w:type="dxa"/>
            <w:noWrap w:val="0"/>
            <w:vAlign w:val="center"/>
          </w:tcPr>
          <w:p w14:paraId="24A5269B">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21FF09C1">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15E0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E696DA3">
            <w:pPr>
              <w:widowControl/>
              <w:jc w:val="left"/>
              <w:rPr>
                <w:rFonts w:ascii="宋体" w:hAnsi="宋体" w:cs="宋体"/>
                <w:kern w:val="0"/>
                <w:szCs w:val="21"/>
                <w:lang w:bidi="ar"/>
              </w:rPr>
            </w:pPr>
          </w:p>
        </w:tc>
        <w:tc>
          <w:tcPr>
            <w:tcW w:w="862" w:type="dxa"/>
            <w:noWrap w:val="0"/>
            <w:vAlign w:val="center"/>
          </w:tcPr>
          <w:p w14:paraId="67D5E05C">
            <w:pPr>
              <w:spacing w:line="360" w:lineRule="exact"/>
              <w:jc w:val="center"/>
              <w:rPr>
                <w:rFonts w:ascii="宋体" w:hAnsi="宋体" w:cs="宋体"/>
                <w:szCs w:val="21"/>
              </w:rPr>
            </w:pPr>
            <w:r>
              <w:rPr>
                <w:rFonts w:hint="eastAsia" w:ascii="宋体" w:hAnsi="宋体" w:cs="宋体"/>
                <w:szCs w:val="21"/>
              </w:rPr>
              <w:t>6</w:t>
            </w:r>
          </w:p>
        </w:tc>
        <w:tc>
          <w:tcPr>
            <w:tcW w:w="3319" w:type="dxa"/>
            <w:noWrap w:val="0"/>
            <w:vAlign w:val="center"/>
          </w:tcPr>
          <w:p w14:paraId="4B4952B4">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在应急情况下，供应商未能及时响应或提供必要协助，但未造成严重后果。</w:t>
            </w:r>
          </w:p>
        </w:tc>
        <w:tc>
          <w:tcPr>
            <w:tcW w:w="1106" w:type="dxa"/>
            <w:noWrap w:val="0"/>
            <w:vAlign w:val="center"/>
          </w:tcPr>
          <w:p w14:paraId="4C2854AF">
            <w:pPr>
              <w:spacing w:line="360" w:lineRule="exact"/>
              <w:jc w:val="center"/>
              <w:rPr>
                <w:rFonts w:ascii="宋体" w:hAnsi="宋体" w:cs="宋体"/>
                <w:szCs w:val="21"/>
              </w:rPr>
            </w:pPr>
            <w:r>
              <w:rPr>
                <w:rFonts w:hint="eastAsia" w:ascii="宋体" w:hAnsi="宋体" w:cs="宋体"/>
                <w:szCs w:val="21"/>
              </w:rPr>
              <w:t>2分</w:t>
            </w:r>
          </w:p>
        </w:tc>
        <w:tc>
          <w:tcPr>
            <w:tcW w:w="2243" w:type="dxa"/>
            <w:noWrap w:val="0"/>
            <w:vAlign w:val="center"/>
          </w:tcPr>
          <w:p w14:paraId="3E7809F9">
            <w:pPr>
              <w:widowControl/>
              <w:jc w:val="left"/>
              <w:rPr>
                <w:rFonts w:ascii="宋体" w:hAnsi="宋体" w:cs="宋体"/>
                <w:kern w:val="0"/>
                <w:szCs w:val="21"/>
                <w:lang w:bidi="ar"/>
              </w:rPr>
            </w:pPr>
            <w:r>
              <w:rPr>
                <w:rFonts w:hint="eastAsia" w:ascii="宋体" w:hAnsi="宋体" w:cs="宋体"/>
                <w:kern w:val="0"/>
                <w:szCs w:val="21"/>
                <w:lang w:bidi="ar"/>
              </w:rPr>
              <w:t>扣除履约保证金500元。</w:t>
            </w:r>
          </w:p>
        </w:tc>
      </w:tr>
      <w:tr w14:paraId="274E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restart"/>
            <w:noWrap w:val="0"/>
            <w:vAlign w:val="center"/>
          </w:tcPr>
          <w:p w14:paraId="4CC5A650">
            <w:pPr>
              <w:widowControl/>
              <w:jc w:val="center"/>
              <w:rPr>
                <w:rFonts w:ascii="宋体" w:hAnsi="宋体" w:cs="宋体"/>
                <w:kern w:val="0"/>
                <w:szCs w:val="21"/>
                <w:lang w:bidi="ar"/>
              </w:rPr>
            </w:pPr>
            <w:r>
              <w:rPr>
                <w:rFonts w:hint="eastAsia" w:ascii="黑体" w:hAnsi="黑体" w:eastAsia="黑体" w:cs="宋体"/>
                <w:b/>
                <w:bCs/>
                <w:kern w:val="0"/>
                <w:szCs w:val="21"/>
                <w:lang w:bidi="ar"/>
              </w:rPr>
              <w:t>较重</w:t>
            </w:r>
          </w:p>
        </w:tc>
        <w:tc>
          <w:tcPr>
            <w:tcW w:w="862" w:type="dxa"/>
            <w:noWrap w:val="0"/>
            <w:vAlign w:val="center"/>
          </w:tcPr>
          <w:p w14:paraId="6C41D40B">
            <w:pPr>
              <w:spacing w:line="360" w:lineRule="exact"/>
              <w:jc w:val="center"/>
              <w:rPr>
                <w:rFonts w:ascii="宋体" w:hAnsi="宋体" w:cs="宋体"/>
                <w:szCs w:val="21"/>
              </w:rPr>
            </w:pPr>
            <w:r>
              <w:rPr>
                <w:rFonts w:hint="eastAsia" w:ascii="宋体" w:hAnsi="宋体" w:cs="宋体"/>
                <w:szCs w:val="21"/>
              </w:rPr>
              <w:t>7</w:t>
            </w:r>
          </w:p>
        </w:tc>
        <w:tc>
          <w:tcPr>
            <w:tcW w:w="3319" w:type="dxa"/>
            <w:noWrap w:val="0"/>
            <w:vAlign w:val="center"/>
          </w:tcPr>
          <w:p w14:paraId="11110BF7">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供应商提交的证票证明过期或无效，导致配送受到一定影响，且过期或无效时间在5至15个工作日之间。</w:t>
            </w:r>
          </w:p>
        </w:tc>
        <w:tc>
          <w:tcPr>
            <w:tcW w:w="1106" w:type="dxa"/>
            <w:noWrap w:val="0"/>
            <w:vAlign w:val="center"/>
          </w:tcPr>
          <w:p w14:paraId="13CFDC15">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133ED7D5">
            <w:pPr>
              <w:widowControl/>
              <w:jc w:val="left"/>
              <w:rPr>
                <w:rFonts w:ascii="宋体" w:hAnsi="宋体" w:cs="宋体"/>
                <w:kern w:val="0"/>
                <w:szCs w:val="21"/>
                <w:lang w:bidi="ar"/>
              </w:rPr>
            </w:pPr>
            <w:r>
              <w:rPr>
                <w:rFonts w:hint="eastAsia" w:ascii="宋体" w:hAnsi="宋体" w:cs="宋体"/>
                <w:kern w:val="0"/>
                <w:szCs w:val="21"/>
                <w:lang w:bidi="ar"/>
              </w:rPr>
              <w:t>扣除履约保证金1000元。</w:t>
            </w:r>
          </w:p>
        </w:tc>
      </w:tr>
      <w:tr w14:paraId="36939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5" w:hRule="atLeast"/>
          <w:jc w:val="center"/>
        </w:trPr>
        <w:tc>
          <w:tcPr>
            <w:tcW w:w="1118" w:type="dxa"/>
            <w:vMerge w:val="continue"/>
            <w:noWrap w:val="0"/>
            <w:vAlign w:val="center"/>
          </w:tcPr>
          <w:p w14:paraId="2D4ACDB7">
            <w:pPr>
              <w:spacing w:line="360" w:lineRule="exact"/>
              <w:rPr>
                <w:rFonts w:ascii="宋体" w:hAnsi="宋体" w:cs="宋体"/>
                <w:szCs w:val="21"/>
              </w:rPr>
            </w:pPr>
          </w:p>
        </w:tc>
        <w:tc>
          <w:tcPr>
            <w:tcW w:w="862" w:type="dxa"/>
            <w:noWrap w:val="0"/>
            <w:vAlign w:val="center"/>
          </w:tcPr>
          <w:p w14:paraId="33BF169D">
            <w:pPr>
              <w:spacing w:line="360" w:lineRule="exact"/>
              <w:jc w:val="center"/>
              <w:rPr>
                <w:rFonts w:ascii="宋体" w:hAnsi="宋体" w:cs="宋体"/>
                <w:szCs w:val="21"/>
              </w:rPr>
            </w:pPr>
            <w:r>
              <w:rPr>
                <w:rFonts w:ascii="宋体" w:hAnsi="宋体" w:cs="宋体"/>
                <w:szCs w:val="21"/>
              </w:rPr>
              <w:t>8</w:t>
            </w:r>
          </w:p>
        </w:tc>
        <w:tc>
          <w:tcPr>
            <w:tcW w:w="3319" w:type="dxa"/>
            <w:noWrap w:val="0"/>
            <w:vAlign w:val="center"/>
          </w:tcPr>
          <w:p w14:paraId="6638F884">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供应商配送食材延误时间在1至2小时之间，或同一配送周期内累计延误</w:t>
            </w:r>
            <w:r>
              <w:rPr>
                <w:rFonts w:ascii="宋体" w:hAnsi="宋体" w:cs="宋体"/>
                <w:kern w:val="0"/>
                <w:szCs w:val="21"/>
                <w:lang w:bidi="ar"/>
              </w:rPr>
              <w:t>2</w:t>
            </w:r>
            <w:r>
              <w:rPr>
                <w:rFonts w:hint="eastAsia" w:ascii="宋体" w:hAnsi="宋体" w:cs="宋体"/>
                <w:kern w:val="0"/>
                <w:szCs w:val="21"/>
                <w:lang w:bidi="ar"/>
              </w:rPr>
              <w:t>次（每次延误均不超过2小时）</w:t>
            </w:r>
          </w:p>
        </w:tc>
        <w:tc>
          <w:tcPr>
            <w:tcW w:w="1106" w:type="dxa"/>
            <w:noWrap w:val="0"/>
            <w:vAlign w:val="center"/>
          </w:tcPr>
          <w:p w14:paraId="0B753F56">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10A01365">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74C32711">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1C50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4601CCBB">
            <w:pPr>
              <w:spacing w:line="360" w:lineRule="exact"/>
              <w:rPr>
                <w:rFonts w:ascii="宋体" w:hAnsi="宋体" w:cs="宋体"/>
                <w:szCs w:val="21"/>
              </w:rPr>
            </w:pPr>
          </w:p>
        </w:tc>
        <w:tc>
          <w:tcPr>
            <w:tcW w:w="862" w:type="dxa"/>
            <w:noWrap w:val="0"/>
            <w:vAlign w:val="center"/>
          </w:tcPr>
          <w:p w14:paraId="275EF3D2">
            <w:pPr>
              <w:spacing w:line="360" w:lineRule="exact"/>
              <w:jc w:val="center"/>
              <w:rPr>
                <w:rFonts w:ascii="宋体" w:hAnsi="宋体" w:cs="宋体"/>
                <w:szCs w:val="21"/>
              </w:rPr>
            </w:pPr>
            <w:r>
              <w:rPr>
                <w:rFonts w:ascii="宋体" w:hAnsi="宋体" w:cs="宋体"/>
                <w:szCs w:val="21"/>
              </w:rPr>
              <w:t>9</w:t>
            </w:r>
          </w:p>
        </w:tc>
        <w:tc>
          <w:tcPr>
            <w:tcW w:w="3319" w:type="dxa"/>
            <w:noWrap w:val="0"/>
            <w:vAlign w:val="center"/>
          </w:tcPr>
          <w:p w14:paraId="312E2137">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配送数量短缺比例在5%至10%之间，或同一配送周期内累计短缺</w:t>
            </w:r>
            <w:r>
              <w:rPr>
                <w:rFonts w:ascii="宋体" w:hAnsi="宋体" w:cs="宋体"/>
                <w:kern w:val="0"/>
                <w:szCs w:val="21"/>
                <w:lang w:bidi="ar"/>
              </w:rPr>
              <w:t>2</w:t>
            </w:r>
            <w:r>
              <w:rPr>
                <w:rFonts w:hint="eastAsia" w:ascii="宋体" w:hAnsi="宋体" w:cs="宋体"/>
                <w:kern w:val="0"/>
                <w:szCs w:val="21"/>
                <w:lang w:bidi="ar"/>
              </w:rPr>
              <w:t>次（每次短缺比例均≤10%）</w:t>
            </w:r>
          </w:p>
        </w:tc>
        <w:tc>
          <w:tcPr>
            <w:tcW w:w="1106" w:type="dxa"/>
            <w:noWrap w:val="0"/>
            <w:vAlign w:val="center"/>
          </w:tcPr>
          <w:p w14:paraId="7E973366">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2AA6EEE6">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E5C2814">
            <w:pPr>
              <w:widowControl/>
              <w:jc w:val="left"/>
              <w:rPr>
                <w:rFonts w:ascii="宋体" w:hAnsi="宋体" w:cs="宋体"/>
                <w:kern w:val="0"/>
                <w:szCs w:val="21"/>
                <w:lang w:bidi="ar"/>
              </w:rPr>
            </w:pPr>
            <w:r>
              <w:rPr>
                <w:rFonts w:hint="eastAsia" w:ascii="宋体" w:hAnsi="宋体" w:cs="宋体"/>
                <w:kern w:val="0"/>
                <w:szCs w:val="21"/>
                <w:lang w:bidi="ar"/>
              </w:rPr>
              <w:t>2.扣除供应商该批次货款的10%（当10%不足1000元时，按1000元计）作为违约金。</w:t>
            </w:r>
          </w:p>
        </w:tc>
      </w:tr>
      <w:tr w14:paraId="29422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18" w:type="dxa"/>
            <w:vMerge w:val="continue"/>
            <w:noWrap w:val="0"/>
            <w:vAlign w:val="center"/>
          </w:tcPr>
          <w:p w14:paraId="7D492D33">
            <w:pPr>
              <w:spacing w:line="360" w:lineRule="exact"/>
              <w:rPr>
                <w:rFonts w:ascii="宋体" w:hAnsi="宋体" w:cs="宋体"/>
                <w:szCs w:val="21"/>
              </w:rPr>
            </w:pPr>
          </w:p>
        </w:tc>
        <w:tc>
          <w:tcPr>
            <w:tcW w:w="862" w:type="dxa"/>
            <w:noWrap w:val="0"/>
            <w:vAlign w:val="center"/>
          </w:tcPr>
          <w:p w14:paraId="06FB38EC">
            <w:pPr>
              <w:spacing w:line="360" w:lineRule="exact"/>
              <w:jc w:val="center"/>
              <w:rPr>
                <w:rFonts w:ascii="宋体" w:hAnsi="宋体" w:cs="宋体"/>
                <w:szCs w:val="21"/>
              </w:rPr>
            </w:pPr>
            <w:r>
              <w:rPr>
                <w:rFonts w:ascii="宋体" w:hAnsi="宋体" w:cs="宋体"/>
                <w:szCs w:val="21"/>
              </w:rPr>
              <w:t>10</w:t>
            </w:r>
          </w:p>
        </w:tc>
        <w:tc>
          <w:tcPr>
            <w:tcW w:w="3319" w:type="dxa"/>
            <w:noWrap w:val="0"/>
            <w:vAlign w:val="center"/>
          </w:tcPr>
          <w:p w14:paraId="23A75E65">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 xml:space="preserve">在应急情况下，供应商响应迟缓或提供的协助不足，导致采购人受到一定影响。 </w:t>
            </w:r>
          </w:p>
        </w:tc>
        <w:tc>
          <w:tcPr>
            <w:tcW w:w="1106" w:type="dxa"/>
            <w:noWrap w:val="0"/>
            <w:vAlign w:val="center"/>
          </w:tcPr>
          <w:p w14:paraId="14059EB3">
            <w:pPr>
              <w:spacing w:line="360" w:lineRule="exact"/>
              <w:jc w:val="center"/>
              <w:rPr>
                <w:rFonts w:ascii="宋体" w:hAnsi="宋体" w:cs="宋体"/>
                <w:szCs w:val="21"/>
              </w:rPr>
            </w:pPr>
            <w:r>
              <w:rPr>
                <w:rFonts w:hint="eastAsia" w:ascii="宋体" w:hAnsi="宋体" w:cs="宋体"/>
                <w:szCs w:val="21"/>
              </w:rPr>
              <w:t>4分</w:t>
            </w:r>
          </w:p>
        </w:tc>
        <w:tc>
          <w:tcPr>
            <w:tcW w:w="2243" w:type="dxa"/>
            <w:noWrap w:val="0"/>
            <w:vAlign w:val="center"/>
          </w:tcPr>
          <w:p w14:paraId="1F370666">
            <w:pPr>
              <w:widowControl/>
              <w:jc w:val="left"/>
              <w:rPr>
                <w:rFonts w:ascii="宋体" w:hAnsi="宋体" w:cs="宋体"/>
                <w:kern w:val="0"/>
                <w:szCs w:val="21"/>
                <w:lang w:bidi="ar"/>
              </w:rPr>
            </w:pPr>
            <w:r>
              <w:rPr>
                <w:rFonts w:hint="eastAsia" w:ascii="宋体" w:hAnsi="宋体" w:cs="宋体"/>
                <w:kern w:val="0"/>
                <w:szCs w:val="21"/>
                <w:lang w:bidi="ar"/>
              </w:rPr>
              <w:t>从当期货款中扣除1000元。</w:t>
            </w:r>
          </w:p>
        </w:tc>
      </w:tr>
      <w:tr w14:paraId="60E9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restart"/>
            <w:noWrap w:val="0"/>
            <w:vAlign w:val="center"/>
          </w:tcPr>
          <w:p w14:paraId="01D92610">
            <w:pPr>
              <w:widowControl/>
              <w:jc w:val="center"/>
              <w:rPr>
                <w:rFonts w:ascii="宋体" w:hAnsi="宋体" w:cs="宋体"/>
                <w:szCs w:val="21"/>
              </w:rPr>
            </w:pPr>
            <w:r>
              <w:rPr>
                <w:rFonts w:hint="eastAsia" w:ascii="黑体" w:hAnsi="黑体" w:eastAsia="黑体" w:cs="宋体"/>
                <w:b/>
                <w:bCs/>
                <w:kern w:val="0"/>
                <w:szCs w:val="21"/>
                <w:lang w:bidi="ar"/>
              </w:rPr>
              <w:t>严重</w:t>
            </w:r>
          </w:p>
        </w:tc>
        <w:tc>
          <w:tcPr>
            <w:tcW w:w="862" w:type="dxa"/>
            <w:noWrap w:val="0"/>
            <w:vAlign w:val="center"/>
          </w:tcPr>
          <w:p w14:paraId="052C0490">
            <w:pPr>
              <w:pStyle w:val="2"/>
              <w:jc w:val="center"/>
              <w:rPr>
                <w:rFonts w:ascii="宋体" w:hAnsi="宋体" w:cs="宋体"/>
                <w:szCs w:val="21"/>
              </w:rPr>
            </w:pPr>
            <w:r>
              <w:rPr>
                <w:rFonts w:ascii="宋体" w:hAnsi="宋体" w:cs="宋体"/>
                <w:szCs w:val="21"/>
              </w:rPr>
              <w:t>11</w:t>
            </w:r>
          </w:p>
        </w:tc>
        <w:tc>
          <w:tcPr>
            <w:tcW w:w="3319" w:type="dxa"/>
            <w:noWrap w:val="0"/>
            <w:vAlign w:val="center"/>
          </w:tcPr>
          <w:p w14:paraId="696056C4">
            <w:pPr>
              <w:widowControl/>
              <w:jc w:val="left"/>
              <w:rPr>
                <w:rFonts w:ascii="宋体" w:hAnsi="宋体" w:cs="宋体"/>
                <w:szCs w:val="21"/>
              </w:rPr>
            </w:pPr>
            <w:r>
              <w:rPr>
                <w:rFonts w:hint="eastAsia" w:ascii="黑体" w:hAnsi="黑体" w:eastAsia="黑体" w:cs="宋体"/>
                <w:b/>
                <w:bCs/>
                <w:szCs w:val="21"/>
              </w:rPr>
              <w:t>索证索票：</w:t>
            </w:r>
            <w:r>
              <w:rPr>
                <w:rFonts w:hint="eastAsia" w:ascii="宋体" w:hAnsi="宋体" w:cs="宋体"/>
                <w:kern w:val="0"/>
                <w:szCs w:val="21"/>
                <w:lang w:bidi="ar"/>
              </w:rPr>
              <w:t>供应商未按时提交食品安全法要求的强制证票资料等影响配送，或者超过15个工作日未提交或更新证票证明，且配送质量受到严重影响。</w:t>
            </w:r>
          </w:p>
        </w:tc>
        <w:tc>
          <w:tcPr>
            <w:tcW w:w="1106" w:type="dxa"/>
            <w:noWrap w:val="0"/>
            <w:vAlign w:val="center"/>
          </w:tcPr>
          <w:p w14:paraId="47DFD0C5">
            <w:pPr>
              <w:spacing w:line="360" w:lineRule="exact"/>
              <w:jc w:val="center"/>
              <w:rPr>
                <w:rFonts w:ascii="宋体" w:hAnsi="宋体" w:cs="宋体"/>
                <w:szCs w:val="21"/>
              </w:rPr>
            </w:pPr>
            <w:r>
              <w:rPr>
                <w:rFonts w:hint="eastAsia" w:ascii="宋体" w:hAnsi="宋体" w:cs="宋体"/>
                <w:szCs w:val="21"/>
              </w:rPr>
              <w:t>12分</w:t>
            </w:r>
          </w:p>
        </w:tc>
        <w:tc>
          <w:tcPr>
            <w:tcW w:w="2243" w:type="dxa"/>
            <w:noWrap w:val="0"/>
            <w:vAlign w:val="center"/>
          </w:tcPr>
          <w:p w14:paraId="57D7AFF9">
            <w:pPr>
              <w:spacing w:line="360" w:lineRule="exact"/>
              <w:rPr>
                <w:rFonts w:ascii="宋体" w:hAnsi="宋体" w:cs="宋体"/>
                <w:szCs w:val="21"/>
              </w:rPr>
            </w:pPr>
            <w:r>
              <w:rPr>
                <w:rFonts w:hint="eastAsia" w:ascii="宋体" w:hAnsi="宋体" w:cs="宋体"/>
                <w:szCs w:val="21"/>
              </w:rPr>
              <w:t>暂停配送资格，并扣除履约保证金4000元。</w:t>
            </w:r>
          </w:p>
        </w:tc>
      </w:tr>
      <w:tr w14:paraId="21A79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19A591BD">
            <w:pPr>
              <w:spacing w:line="360" w:lineRule="exact"/>
              <w:rPr>
                <w:rFonts w:ascii="宋体" w:hAnsi="宋体" w:cs="宋体"/>
                <w:szCs w:val="21"/>
              </w:rPr>
            </w:pPr>
          </w:p>
        </w:tc>
        <w:tc>
          <w:tcPr>
            <w:tcW w:w="862" w:type="dxa"/>
            <w:noWrap w:val="0"/>
            <w:vAlign w:val="center"/>
          </w:tcPr>
          <w:p w14:paraId="116C6752">
            <w:pPr>
              <w:spacing w:line="360" w:lineRule="exact"/>
              <w:jc w:val="center"/>
              <w:rPr>
                <w:rFonts w:ascii="宋体" w:hAnsi="宋体" w:cs="宋体"/>
                <w:szCs w:val="21"/>
              </w:rPr>
            </w:pPr>
            <w:r>
              <w:rPr>
                <w:rFonts w:ascii="宋体" w:hAnsi="宋体" w:cs="宋体"/>
                <w:szCs w:val="21"/>
              </w:rPr>
              <w:t>12</w:t>
            </w:r>
          </w:p>
        </w:tc>
        <w:tc>
          <w:tcPr>
            <w:tcW w:w="3319" w:type="dxa"/>
            <w:noWrap w:val="0"/>
            <w:vAlign w:val="center"/>
          </w:tcPr>
          <w:p w14:paraId="5D195A11">
            <w:pPr>
              <w:widowControl/>
              <w:jc w:val="left"/>
              <w:rPr>
                <w:rFonts w:ascii="宋体" w:hAnsi="宋体" w:cs="宋体"/>
                <w:kern w:val="0"/>
                <w:szCs w:val="21"/>
                <w:lang w:bidi="ar"/>
              </w:rPr>
            </w:pPr>
            <w:r>
              <w:rPr>
                <w:rFonts w:hint="eastAsia" w:ascii="黑体" w:hAnsi="黑体" w:eastAsia="黑体" w:cs="宋体"/>
                <w:b/>
                <w:bCs/>
                <w:szCs w:val="21"/>
              </w:rPr>
              <w:t>配送及时性：</w:t>
            </w:r>
            <w:r>
              <w:rPr>
                <w:rFonts w:hint="eastAsia" w:ascii="宋体" w:hAnsi="宋体" w:cs="宋体"/>
                <w:kern w:val="0"/>
                <w:szCs w:val="21"/>
                <w:lang w:bidi="ar"/>
              </w:rPr>
              <w:t>供应商配送食材延误时间超过2小时，或同一配送周期内累计延误3次以上（含3次），或因延误导致食堂餐食供应受阻。</w:t>
            </w:r>
          </w:p>
        </w:tc>
        <w:tc>
          <w:tcPr>
            <w:tcW w:w="1106" w:type="dxa"/>
            <w:noWrap w:val="0"/>
            <w:vAlign w:val="center"/>
          </w:tcPr>
          <w:p w14:paraId="49D62777">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19648779">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39CC0163">
            <w:pPr>
              <w:widowControl/>
              <w:jc w:val="left"/>
              <w:rPr>
                <w:rFonts w:ascii="宋体" w:hAnsi="宋体" w:cs="宋体"/>
                <w:kern w:val="0"/>
                <w:szCs w:val="21"/>
                <w:lang w:bidi="ar"/>
              </w:rPr>
            </w:pPr>
            <w:r>
              <w:rPr>
                <w:rFonts w:hint="eastAsia" w:ascii="宋体" w:hAnsi="宋体" w:cs="宋体"/>
                <w:kern w:val="0"/>
                <w:szCs w:val="21"/>
                <w:lang w:bidi="ar"/>
              </w:rPr>
              <w:t>2.扣除供应商该批次货款的20%（当20%不足4000元时，按4000元计）作为违约金。</w:t>
            </w:r>
          </w:p>
        </w:tc>
      </w:tr>
      <w:tr w14:paraId="363CD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4F7FD585">
            <w:pPr>
              <w:spacing w:line="360" w:lineRule="exact"/>
              <w:rPr>
                <w:rFonts w:ascii="宋体" w:hAnsi="宋体" w:cs="宋体"/>
                <w:szCs w:val="21"/>
              </w:rPr>
            </w:pPr>
          </w:p>
        </w:tc>
        <w:tc>
          <w:tcPr>
            <w:tcW w:w="862" w:type="dxa"/>
            <w:noWrap w:val="0"/>
            <w:vAlign w:val="center"/>
          </w:tcPr>
          <w:p w14:paraId="356481B9">
            <w:pPr>
              <w:spacing w:line="360" w:lineRule="exact"/>
              <w:jc w:val="center"/>
              <w:rPr>
                <w:rFonts w:ascii="宋体" w:hAnsi="宋体" w:cs="宋体"/>
                <w:szCs w:val="21"/>
              </w:rPr>
            </w:pPr>
            <w:r>
              <w:rPr>
                <w:rFonts w:ascii="宋体" w:hAnsi="宋体" w:cs="宋体"/>
                <w:szCs w:val="21"/>
              </w:rPr>
              <w:t>13</w:t>
            </w:r>
          </w:p>
        </w:tc>
        <w:tc>
          <w:tcPr>
            <w:tcW w:w="3319" w:type="dxa"/>
            <w:noWrap w:val="0"/>
            <w:vAlign w:val="center"/>
          </w:tcPr>
          <w:p w14:paraId="35B98D7E">
            <w:pPr>
              <w:widowControl/>
              <w:jc w:val="left"/>
              <w:rPr>
                <w:rFonts w:ascii="宋体" w:hAnsi="宋体" w:cs="宋体"/>
                <w:kern w:val="0"/>
                <w:szCs w:val="21"/>
                <w:lang w:bidi="ar"/>
              </w:rPr>
            </w:pPr>
            <w:r>
              <w:rPr>
                <w:rFonts w:hint="eastAsia" w:ascii="黑体" w:hAnsi="黑体" w:eastAsia="黑体" w:cs="宋体"/>
                <w:b/>
                <w:bCs/>
                <w:szCs w:val="21"/>
              </w:rPr>
              <w:t>配送数量：</w:t>
            </w:r>
            <w:r>
              <w:rPr>
                <w:rFonts w:hint="eastAsia" w:ascii="宋体" w:hAnsi="宋体" w:cs="宋体"/>
                <w:kern w:val="0"/>
                <w:szCs w:val="21"/>
                <w:lang w:bidi="ar"/>
              </w:rPr>
              <w:t>配送数量短缺比例超过10%，或同一配送周期内累计短缺3次以上（含3次），且单次短缺比例均超过 5%，或因短缺导致食堂供应中断。</w:t>
            </w:r>
          </w:p>
        </w:tc>
        <w:tc>
          <w:tcPr>
            <w:tcW w:w="1106" w:type="dxa"/>
            <w:noWrap w:val="0"/>
            <w:vAlign w:val="center"/>
          </w:tcPr>
          <w:p w14:paraId="2064DBCA">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1CAC5698">
            <w:pPr>
              <w:widowControl/>
              <w:jc w:val="left"/>
              <w:rPr>
                <w:rFonts w:ascii="宋体" w:hAnsi="宋体" w:cs="宋体"/>
                <w:kern w:val="0"/>
                <w:szCs w:val="21"/>
                <w:lang w:bidi="ar"/>
              </w:rPr>
            </w:pPr>
            <w:r>
              <w:rPr>
                <w:rFonts w:hint="eastAsia" w:ascii="宋体" w:hAnsi="宋体" w:cs="宋体"/>
                <w:kern w:val="0"/>
                <w:szCs w:val="21"/>
                <w:lang w:bidi="ar"/>
              </w:rPr>
              <w:t>1.由采购人组织应急购买，产生的差价及额外费用由供应商全额承担，费用从当月货款中抵扣；</w:t>
            </w:r>
          </w:p>
          <w:p w14:paraId="4BD9E465">
            <w:pPr>
              <w:widowControl/>
              <w:jc w:val="left"/>
              <w:rPr>
                <w:rFonts w:ascii="宋体" w:hAnsi="宋体" w:cs="宋体"/>
                <w:kern w:val="0"/>
                <w:szCs w:val="21"/>
                <w:lang w:bidi="ar"/>
              </w:rPr>
            </w:pPr>
            <w:r>
              <w:rPr>
                <w:rFonts w:hint="eastAsia" w:ascii="宋体" w:hAnsi="宋体" w:cs="宋体"/>
                <w:kern w:val="0"/>
                <w:szCs w:val="21"/>
                <w:lang w:bidi="ar"/>
              </w:rPr>
              <w:t>2.</w:t>
            </w:r>
            <w:r>
              <w:rPr>
                <w:rFonts w:hint="eastAsia" w:ascii="宋体" w:hAnsi="宋体" w:cs="宋体"/>
                <w:szCs w:val="21"/>
              </w:rPr>
              <w:t>并扣除履约保证金4000元。</w:t>
            </w:r>
          </w:p>
        </w:tc>
      </w:tr>
      <w:tr w14:paraId="1FE49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1118" w:type="dxa"/>
            <w:vMerge w:val="continue"/>
            <w:noWrap w:val="0"/>
            <w:vAlign w:val="center"/>
          </w:tcPr>
          <w:p w14:paraId="62827B87">
            <w:pPr>
              <w:spacing w:line="360" w:lineRule="exact"/>
              <w:rPr>
                <w:rFonts w:ascii="宋体" w:hAnsi="宋体" w:cs="宋体"/>
                <w:szCs w:val="21"/>
              </w:rPr>
            </w:pPr>
          </w:p>
        </w:tc>
        <w:tc>
          <w:tcPr>
            <w:tcW w:w="862" w:type="dxa"/>
            <w:noWrap w:val="0"/>
            <w:vAlign w:val="center"/>
          </w:tcPr>
          <w:p w14:paraId="7949FCE5">
            <w:pPr>
              <w:spacing w:line="360" w:lineRule="exact"/>
              <w:jc w:val="center"/>
              <w:rPr>
                <w:rFonts w:ascii="宋体" w:hAnsi="宋体" w:cs="宋体"/>
                <w:szCs w:val="21"/>
              </w:rPr>
            </w:pPr>
            <w:r>
              <w:rPr>
                <w:rFonts w:ascii="宋体" w:hAnsi="宋体" w:cs="宋体"/>
                <w:szCs w:val="21"/>
              </w:rPr>
              <w:t>14</w:t>
            </w:r>
          </w:p>
        </w:tc>
        <w:tc>
          <w:tcPr>
            <w:tcW w:w="3319" w:type="dxa"/>
            <w:noWrap w:val="0"/>
            <w:vAlign w:val="center"/>
          </w:tcPr>
          <w:p w14:paraId="2C31CB48">
            <w:pPr>
              <w:widowControl/>
              <w:jc w:val="left"/>
              <w:rPr>
                <w:rFonts w:ascii="宋体" w:hAnsi="宋体" w:cs="宋体"/>
                <w:kern w:val="0"/>
                <w:szCs w:val="21"/>
                <w:lang w:bidi="ar"/>
              </w:rPr>
            </w:pPr>
            <w:r>
              <w:rPr>
                <w:rFonts w:hint="eastAsia" w:ascii="黑体" w:hAnsi="黑体" w:eastAsia="黑体" w:cs="宋体"/>
                <w:b/>
                <w:bCs/>
                <w:szCs w:val="21"/>
              </w:rPr>
              <w:t>应急保障：</w:t>
            </w:r>
            <w:r>
              <w:rPr>
                <w:rFonts w:hint="eastAsia" w:ascii="宋体" w:hAnsi="宋体" w:cs="宋体"/>
                <w:kern w:val="0"/>
                <w:szCs w:val="21"/>
                <w:lang w:bidi="ar"/>
              </w:rPr>
              <w:t>在应急情况下，供应商未能提供必要协助或故意推诿责任，导致采购人受到重大损失。</w:t>
            </w:r>
          </w:p>
        </w:tc>
        <w:tc>
          <w:tcPr>
            <w:tcW w:w="1106" w:type="dxa"/>
            <w:noWrap w:val="0"/>
            <w:vAlign w:val="center"/>
          </w:tcPr>
          <w:p w14:paraId="66226E21">
            <w:pPr>
              <w:spacing w:line="360" w:lineRule="exact"/>
              <w:jc w:val="center"/>
              <w:rPr>
                <w:rFonts w:ascii="宋体" w:hAnsi="宋体" w:cs="宋体"/>
                <w:szCs w:val="21"/>
              </w:rPr>
            </w:pPr>
            <w:r>
              <w:rPr>
                <w:rFonts w:hint="eastAsia" w:ascii="宋体" w:hAnsi="宋体" w:cs="宋体"/>
                <w:szCs w:val="21"/>
              </w:rPr>
              <w:t>6分</w:t>
            </w:r>
          </w:p>
        </w:tc>
        <w:tc>
          <w:tcPr>
            <w:tcW w:w="2243" w:type="dxa"/>
            <w:noWrap w:val="0"/>
            <w:vAlign w:val="center"/>
          </w:tcPr>
          <w:p w14:paraId="0483D093">
            <w:pPr>
              <w:widowControl/>
              <w:jc w:val="left"/>
              <w:rPr>
                <w:rFonts w:ascii="宋体" w:hAnsi="宋体" w:cs="宋体"/>
                <w:kern w:val="0"/>
                <w:szCs w:val="21"/>
                <w:lang w:bidi="ar"/>
              </w:rPr>
            </w:pPr>
            <w:r>
              <w:rPr>
                <w:rFonts w:hint="eastAsia" w:ascii="宋体" w:hAnsi="宋体" w:cs="宋体"/>
                <w:kern w:val="0"/>
                <w:szCs w:val="21"/>
                <w:lang w:bidi="ar"/>
              </w:rPr>
              <w:t>从当期货款中扣除2000元。</w:t>
            </w:r>
          </w:p>
        </w:tc>
      </w:tr>
      <w:tr w14:paraId="59C55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8648" w:type="dxa"/>
            <w:gridSpan w:val="5"/>
            <w:noWrap w:val="0"/>
            <w:vAlign w:val="center"/>
          </w:tcPr>
          <w:p w14:paraId="38EB3B43">
            <w:pPr>
              <w:spacing w:line="360" w:lineRule="exact"/>
              <w:rPr>
                <w:b/>
                <w:bCs/>
                <w:szCs w:val="21"/>
              </w:rPr>
            </w:pPr>
            <w:r>
              <w:rPr>
                <w:rFonts w:hint="eastAsia"/>
                <w:b/>
                <w:bCs/>
                <w:szCs w:val="21"/>
              </w:rPr>
              <w:t>一、责任追究机制</w:t>
            </w:r>
          </w:p>
          <w:p w14:paraId="551EF2DF">
            <w:pPr>
              <w:spacing w:line="360" w:lineRule="exact"/>
              <w:rPr>
                <w:szCs w:val="21"/>
              </w:rPr>
            </w:pPr>
            <w:r>
              <w:rPr>
                <w:rFonts w:hint="eastAsia" w:ascii="黑体" w:hAnsi="黑体" w:eastAsia="黑体" w:cs="宋体"/>
                <w:b/>
                <w:bCs/>
                <w:szCs w:val="21"/>
              </w:rPr>
              <w:t>1.履约预警：</w:t>
            </w:r>
            <w:r>
              <w:rPr>
                <w:rFonts w:hint="eastAsia"/>
                <w:szCs w:val="21"/>
              </w:rPr>
              <w:t>累计扣分达8分，采购人向供应商发出书面警告，并约谈其法定代表人，供应商须向采购人提交书面说明，同时扣除供应商履约保证金10%作为违约处理。</w:t>
            </w:r>
          </w:p>
          <w:p w14:paraId="130C96E5">
            <w:pPr>
              <w:spacing w:line="360" w:lineRule="exact"/>
              <w:rPr>
                <w:szCs w:val="21"/>
              </w:rPr>
            </w:pPr>
            <w:r>
              <w:rPr>
                <w:rFonts w:hint="eastAsia" w:ascii="黑体" w:hAnsi="黑体" w:eastAsia="黑体" w:cs="宋体"/>
                <w:b/>
                <w:bCs/>
                <w:szCs w:val="21"/>
              </w:rPr>
              <w:t>2.暂停配送资格</w:t>
            </w:r>
            <w:r>
              <w:rPr>
                <w:rFonts w:hint="eastAsia"/>
                <w:szCs w:val="21"/>
              </w:rPr>
              <w:t>：累计扣分达12分，或出现下列情形之一的，采购人有权暂停供应商的周期配送资格，同时扣除供应商履约保证金20%作为违约处理，并按照中标（成交）候选人名单排序，确定下一中标（成交）候选人为成交供应商：</w:t>
            </w:r>
          </w:p>
          <w:p w14:paraId="3C011208">
            <w:pPr>
              <w:spacing w:line="360" w:lineRule="exact"/>
              <w:rPr>
                <w:szCs w:val="21"/>
              </w:rPr>
            </w:pPr>
            <w:r>
              <w:rPr>
                <w:rFonts w:hint="eastAsia"/>
                <w:szCs w:val="21"/>
              </w:rPr>
              <w:t>（1）私自更换包装、供应食材与中标规格/品牌/产地不一致；</w:t>
            </w:r>
          </w:p>
          <w:p w14:paraId="360F9479">
            <w:pPr>
              <w:spacing w:line="360" w:lineRule="exact"/>
              <w:rPr>
                <w:szCs w:val="21"/>
              </w:rPr>
            </w:pPr>
            <w:r>
              <w:rPr>
                <w:rFonts w:hint="eastAsia"/>
                <w:szCs w:val="21"/>
              </w:rPr>
              <w:t>（2）未按规定使用</w:t>
            </w:r>
            <w:r>
              <w:rPr>
                <w:rFonts w:hint="eastAsia" w:ascii="宋体" w:hAnsi="宋体" w:cs="宋体"/>
                <w:bCs/>
                <w:szCs w:val="21"/>
              </w:rPr>
              <w:t>符合卫生要求的专用运输车辆，根据产品特性保持适宜的温度</w:t>
            </w:r>
            <w:r>
              <w:rPr>
                <w:rFonts w:hint="eastAsia"/>
                <w:szCs w:val="21"/>
              </w:rPr>
              <w:t>；</w:t>
            </w:r>
          </w:p>
          <w:p w14:paraId="1A98FE76">
            <w:pPr>
              <w:spacing w:line="360" w:lineRule="exact"/>
              <w:rPr>
                <w:szCs w:val="21"/>
              </w:rPr>
            </w:pPr>
            <w:r>
              <w:rPr>
                <w:rFonts w:hint="eastAsia"/>
                <w:szCs w:val="21"/>
              </w:rPr>
              <w:t>（3）不符合本项目招标文件第五章第三条标准要求的；</w:t>
            </w:r>
          </w:p>
          <w:p w14:paraId="6FF0B21B">
            <w:pPr>
              <w:spacing w:line="360" w:lineRule="exact"/>
              <w:rPr>
                <w:szCs w:val="21"/>
              </w:rPr>
            </w:pPr>
            <w:r>
              <w:rPr>
                <w:rFonts w:hint="eastAsia"/>
                <w:szCs w:val="21"/>
              </w:rPr>
              <w:t>（4）负面清单中规定暂停配送资格的。</w:t>
            </w:r>
          </w:p>
          <w:p w14:paraId="2ADCB3D0">
            <w:pPr>
              <w:spacing w:line="360" w:lineRule="exact"/>
              <w:rPr>
                <w:szCs w:val="21"/>
              </w:rPr>
            </w:pPr>
            <w:r>
              <w:rPr>
                <w:rFonts w:hint="eastAsia"/>
                <w:szCs w:val="21"/>
              </w:rPr>
              <w:t>自暂停决定作出之日起至采购人与新成交供应商签订配送合同并正式履行之日止，原供应商仍须按原合同约定的价格继续提供食材配送服务，确保食堂正常供应。过渡期内产生的食材费用，按原合同价格据实结算。原供应商拒绝继续配送或因此造成食堂断供的，采购人有权不予退还履约保证金，并追究其违约责任。因供应商变更产生的一切差价及其他损失由原供应商承担。</w:t>
            </w:r>
          </w:p>
          <w:p w14:paraId="42DFFF2C">
            <w:pPr>
              <w:spacing w:line="360" w:lineRule="exact"/>
              <w:rPr>
                <w:szCs w:val="21"/>
              </w:rPr>
            </w:pPr>
            <w:r>
              <w:rPr>
                <w:rFonts w:hint="eastAsia" w:ascii="黑体" w:hAnsi="黑体" w:eastAsia="黑体" w:cs="宋体"/>
                <w:b/>
                <w:bCs/>
                <w:szCs w:val="21"/>
              </w:rPr>
              <w:t>3.终止合同：</w:t>
            </w:r>
            <w:r>
              <w:rPr>
                <w:rFonts w:hint="eastAsia"/>
                <w:szCs w:val="21"/>
              </w:rPr>
              <w:t>出现下列情形之一的，采购人有权单方解除合同，不予退还履约保证金：</w:t>
            </w:r>
          </w:p>
          <w:p w14:paraId="5D3641F7">
            <w:pPr>
              <w:spacing w:line="360" w:lineRule="exact"/>
              <w:rPr>
                <w:szCs w:val="21"/>
              </w:rPr>
            </w:pPr>
            <w:r>
              <w:rPr>
                <w:rFonts w:hint="eastAsia"/>
                <w:szCs w:val="21"/>
              </w:rPr>
              <w:t>（</w:t>
            </w:r>
            <w:r>
              <w:rPr>
                <w:szCs w:val="21"/>
              </w:rPr>
              <w:t>1</w:t>
            </w:r>
            <w:r>
              <w:rPr>
                <w:rFonts w:hint="eastAsia"/>
                <w:szCs w:val="21"/>
              </w:rPr>
              <w:t>）发生食品安全事故（具体情形依据《中华人民共和国食品安全法》界定）</w:t>
            </w:r>
          </w:p>
          <w:p w14:paraId="42BB32E4">
            <w:pPr>
              <w:spacing w:line="360" w:lineRule="exact"/>
              <w:rPr>
                <w:szCs w:val="21"/>
              </w:rPr>
            </w:pPr>
            <w:r>
              <w:rPr>
                <w:rFonts w:hint="eastAsia"/>
                <w:szCs w:val="21"/>
              </w:rPr>
              <w:t>（</w:t>
            </w:r>
            <w:r>
              <w:rPr>
                <w:szCs w:val="21"/>
              </w:rPr>
              <w:t>2</w:t>
            </w:r>
            <w:r>
              <w:rPr>
                <w:rFonts w:hint="eastAsia"/>
                <w:szCs w:val="21"/>
              </w:rPr>
              <w:t>）食材腐败、霉变（直观感官判定，或由国家认可具有检测资质的第三方检测机构出具的检测报告判定，所涉及的检测费用由供应商承担）</w:t>
            </w:r>
          </w:p>
          <w:p w14:paraId="3192CA62">
            <w:pPr>
              <w:spacing w:line="360" w:lineRule="exact"/>
              <w:rPr>
                <w:szCs w:val="21"/>
              </w:rPr>
            </w:pPr>
            <w:r>
              <w:rPr>
                <w:rFonts w:hint="eastAsia"/>
                <w:szCs w:val="21"/>
              </w:rPr>
              <w:t>（3）食材运输过程中与有毒有害物资混装；</w:t>
            </w:r>
          </w:p>
          <w:p w14:paraId="34CD7558">
            <w:pPr>
              <w:spacing w:line="360" w:lineRule="exact"/>
              <w:rPr>
                <w:szCs w:val="21"/>
              </w:rPr>
            </w:pPr>
            <w:r>
              <w:rPr>
                <w:rFonts w:hint="eastAsia"/>
                <w:szCs w:val="21"/>
              </w:rPr>
              <w:t>（4）提供假冒伪劣产品、走私物品，或伪造、变造检验报告及相关资质证明；</w:t>
            </w:r>
          </w:p>
          <w:p w14:paraId="3031251F">
            <w:pPr>
              <w:spacing w:line="360" w:lineRule="exact"/>
              <w:rPr>
                <w:szCs w:val="21"/>
              </w:rPr>
            </w:pPr>
            <w:r>
              <w:rPr>
                <w:rFonts w:hint="eastAsia"/>
                <w:szCs w:val="21"/>
              </w:rPr>
              <w:t>（5）存在围标、串标、商业贿赂等恶意扰乱市场秩序的行为；</w:t>
            </w:r>
          </w:p>
          <w:p w14:paraId="58C1DF56">
            <w:pPr>
              <w:spacing w:line="360" w:lineRule="exact"/>
              <w:rPr>
                <w:szCs w:val="21"/>
              </w:rPr>
            </w:pPr>
            <w:r>
              <w:rPr>
                <w:rFonts w:hint="eastAsia"/>
                <w:szCs w:val="21"/>
              </w:rPr>
              <w:t>（6）因劳资纠纷引发群体性事件，严重影响校园秩序或学校声誉的；</w:t>
            </w:r>
          </w:p>
          <w:p w14:paraId="2F5646A6">
            <w:pPr>
              <w:spacing w:line="360" w:lineRule="exact"/>
              <w:rPr>
                <w:szCs w:val="21"/>
              </w:rPr>
            </w:pPr>
            <w:r>
              <w:rPr>
                <w:rFonts w:hint="eastAsia"/>
                <w:szCs w:val="21"/>
              </w:rPr>
              <w:t>（7）供应商提供的食材在国家行政监督体系的检验检查中被发现不达标，或经采购人/第三方检测不符合合同约定标准或食品安全国家标准，或因质量问题一年内发生退换货达3次，并由此给采购人造成严重后果的（本项所称“不达标”“不符合标准”“质量问题”，均指涉及食品安全的关键指标，如农残、兽残、重金属、致病菌、非法添加物、冷链断裂、异物混入等，不含标签瑕疵、净含量不足、外观轻微损伤等一般质量瑕疵；本项所称“严重后果”，包括但不限于以下情形：造成食堂食材断供；引发较大负面舆情；导致采购人人身伤亡或财产损失等情形）</w:t>
            </w:r>
          </w:p>
          <w:p w14:paraId="22CCC0D4">
            <w:pPr>
              <w:spacing w:line="360" w:lineRule="exact"/>
              <w:rPr>
                <w:b/>
                <w:bCs/>
                <w:szCs w:val="21"/>
              </w:rPr>
            </w:pPr>
            <w:r>
              <w:rPr>
                <w:rFonts w:hint="eastAsia"/>
                <w:b/>
                <w:bCs/>
                <w:szCs w:val="21"/>
              </w:rPr>
              <w:t>二、违约金的扣除</w:t>
            </w:r>
          </w:p>
          <w:p w14:paraId="74E73606">
            <w:pPr>
              <w:spacing w:line="360" w:lineRule="exact"/>
              <w:rPr>
                <w:szCs w:val="21"/>
              </w:rPr>
            </w:pPr>
            <w:r>
              <w:rPr>
                <w:rFonts w:hint="eastAsia"/>
                <w:szCs w:val="21"/>
              </w:rPr>
              <w:t>1.上述违约金（扣款）及损失赔偿，采购人有权直接从当期或后续应付货款中扣除。若货款不足以抵扣，供应商应在收到通知后5个工作日内补足。</w:t>
            </w:r>
          </w:p>
          <w:p w14:paraId="6109EB06">
            <w:pPr>
              <w:spacing w:line="360" w:lineRule="exact"/>
              <w:rPr>
                <w:szCs w:val="21"/>
              </w:rPr>
            </w:pPr>
            <w:r>
              <w:rPr>
                <w:rFonts w:hint="eastAsia"/>
                <w:szCs w:val="21"/>
              </w:rPr>
              <w:t>2.供应商缴纳违约金并不能免除其继续履行合同的义务，亦不能免除因其违约行为给采购人造成损失（包括但不限于检测费、医疗费、律师费等）的赔偿责任与法律责任。</w:t>
            </w:r>
          </w:p>
        </w:tc>
      </w:tr>
    </w:tbl>
    <w:p w14:paraId="5383D321"/>
    <w:p w14:paraId="5EC4A588">
      <w:pPr>
        <w:pStyle w:val="4"/>
        <w:rPr>
          <w:rFonts w:hint="eastAsia"/>
        </w:rPr>
      </w:pPr>
      <w:bookmarkStart w:id="16" w:name="_Toc28122"/>
      <w:bookmarkStart w:id="17" w:name="_Toc230177040"/>
      <w:r>
        <w:rPr>
          <w:rFonts w:hint="eastAsia"/>
        </w:rPr>
        <w:t>八、商务要求（01包、02包、03包、04包均适用）（以下要求须在“项目要求应答表”中进行应答）</w:t>
      </w:r>
      <w:bookmarkEnd w:id="16"/>
      <w:bookmarkEnd w:id="17"/>
    </w:p>
    <w:p w14:paraId="4BF486FF">
      <w:pPr>
        <w:keepNext/>
        <w:spacing w:line="360" w:lineRule="auto"/>
        <w:ind w:left="482" w:hanging="482" w:hangingChars="200"/>
        <w:rPr>
          <w:rFonts w:hint="eastAsia" w:ascii="宋体" w:hAnsi="宋体" w:cs="宋体"/>
          <w:b/>
          <w:kern w:val="0"/>
          <w:sz w:val="24"/>
        </w:rPr>
      </w:pPr>
      <w:r>
        <w:rPr>
          <w:rFonts w:hint="eastAsia" w:ascii="宋体" w:hAnsi="宋体" w:cs="宋体"/>
          <w:b/>
          <w:kern w:val="0"/>
          <w:sz w:val="24"/>
        </w:rPr>
        <w:t>（一）项目履约时间、地点：</w:t>
      </w:r>
    </w:p>
    <w:p w14:paraId="04ED18CB">
      <w:pPr>
        <w:keepNext/>
        <w:spacing w:line="360" w:lineRule="auto"/>
        <w:ind w:firstLine="420"/>
        <w:rPr>
          <w:rFonts w:hint="eastAsia" w:ascii="宋体" w:hAnsi="宋体" w:cs="宋体"/>
          <w:kern w:val="0"/>
          <w:szCs w:val="21"/>
        </w:rPr>
      </w:pPr>
      <w:r>
        <w:rPr>
          <w:rFonts w:hint="eastAsia" w:ascii="宋体" w:hAnsi="宋体" w:cs="宋体"/>
          <w:kern w:val="0"/>
          <w:szCs w:val="21"/>
        </w:rPr>
        <w:t>1、项目履约时间：</w:t>
      </w:r>
      <w:r>
        <w:rPr>
          <w:rFonts w:hint="eastAsia" w:ascii="宋体" w:hAnsi="宋体" w:cs="宋体"/>
          <w:bCs/>
          <w:szCs w:val="21"/>
        </w:rPr>
        <w:t>合同签订后一年</w:t>
      </w:r>
    </w:p>
    <w:p w14:paraId="3D0FE537">
      <w:pPr>
        <w:keepNext/>
        <w:spacing w:line="360" w:lineRule="auto"/>
        <w:ind w:firstLine="420"/>
        <w:rPr>
          <w:rFonts w:hint="eastAsia" w:ascii="宋体" w:hAnsi="宋体" w:cs="宋体"/>
          <w:bCs/>
          <w:szCs w:val="21"/>
        </w:rPr>
      </w:pPr>
      <w:r>
        <w:rPr>
          <w:rFonts w:hint="eastAsia" w:ascii="宋体" w:hAnsi="宋体" w:cs="宋体"/>
          <w:kern w:val="0"/>
          <w:szCs w:val="21"/>
        </w:rPr>
        <w:t>2、项目履约地点：</w:t>
      </w:r>
      <w:r>
        <w:rPr>
          <w:rFonts w:hint="eastAsia" w:ascii="宋体" w:hAnsi="宋体" w:cs="宋体"/>
          <w:bCs/>
          <w:szCs w:val="21"/>
        </w:rPr>
        <w:t>西南交通大学犀浦、九里校区各食堂</w:t>
      </w:r>
    </w:p>
    <w:p w14:paraId="775ECE6D">
      <w:pPr>
        <w:keepNext/>
        <w:spacing w:line="360" w:lineRule="auto"/>
        <w:rPr>
          <w:rFonts w:hint="eastAsia" w:ascii="宋体" w:hAnsi="宋体" w:cs="宋体"/>
          <w:bCs/>
          <w:sz w:val="24"/>
        </w:rPr>
      </w:pPr>
    </w:p>
    <w:p w14:paraId="1F796188">
      <w:pPr>
        <w:keepNext/>
        <w:spacing w:line="360" w:lineRule="auto"/>
        <w:rPr>
          <w:rFonts w:hint="eastAsia" w:ascii="宋体" w:hAnsi="宋体" w:cs="宋体"/>
          <w:bCs/>
          <w:sz w:val="24"/>
        </w:rPr>
      </w:pPr>
      <w:r>
        <w:rPr>
          <w:rFonts w:hint="eastAsia" w:ascii="宋体" w:hAnsi="宋体" w:cs="宋体"/>
          <w:b/>
          <w:kern w:val="0"/>
          <w:sz w:val="24"/>
        </w:rPr>
        <w:t>（二）</w:t>
      </w:r>
      <w:r>
        <w:rPr>
          <w:rFonts w:hint="eastAsia" w:ascii="宋体" w:hAnsi="宋体" w:cs="宋体"/>
          <w:b/>
          <w:sz w:val="24"/>
        </w:rPr>
        <w:t>付款方式：</w:t>
      </w:r>
    </w:p>
    <w:p w14:paraId="22D044B4">
      <w:pPr>
        <w:keepNext/>
        <w:spacing w:line="360" w:lineRule="auto"/>
        <w:ind w:left="420" w:leftChars="200"/>
        <w:rPr>
          <w:rFonts w:hint="eastAsia" w:ascii="宋体" w:hAnsi="宋体" w:cs="宋体"/>
          <w:kern w:val="0"/>
          <w:szCs w:val="21"/>
        </w:rPr>
      </w:pPr>
      <w:r>
        <w:rPr>
          <w:rFonts w:hint="eastAsia" w:ascii="宋体" w:hAnsi="宋体" w:cs="宋体"/>
          <w:kern w:val="0"/>
          <w:szCs w:val="21"/>
        </w:rPr>
        <w:t>1、本项目执行价格以中标和比价单价为准，据实结算（预估数量仅用于提供报价参考）。</w:t>
      </w:r>
    </w:p>
    <w:p w14:paraId="665B64F1">
      <w:pPr>
        <w:keepNext/>
        <w:spacing w:line="360" w:lineRule="auto"/>
        <w:ind w:left="420" w:leftChars="200"/>
        <w:rPr>
          <w:rFonts w:hint="eastAsia" w:ascii="宋体" w:hAnsi="宋体" w:cs="宋体"/>
          <w:kern w:val="0"/>
          <w:szCs w:val="21"/>
        </w:rPr>
      </w:pPr>
      <w:r>
        <w:rPr>
          <w:rFonts w:hint="eastAsia" w:ascii="宋体" w:hAnsi="宋体" w:cs="宋体"/>
          <w:kern w:val="0"/>
          <w:szCs w:val="21"/>
        </w:rPr>
        <w:t>2、结算周期为每月18日结账一次（寒暑假或其他特殊情况结账时间调整另行通知）。</w:t>
      </w:r>
    </w:p>
    <w:p w14:paraId="2F9DAD15">
      <w:r>
        <w:rPr>
          <w:rFonts w:hint="eastAsia" w:ascii="宋体" w:hAnsi="宋体" w:cs="宋体"/>
          <w:kern w:val="0"/>
          <w:szCs w:val="21"/>
        </w:rPr>
        <w:t>3、乙方供货应向甲方提供送货清单，由甲方签字确认。经甲方签字的送货清单和经甲乙双方签字的验收单作为甲乙双方结算的凭证依据。经甲乙双方的财务会计对账，确认款项准确无误后，由乙方开具增值税普通发票。甲方在收到发票后的七个工作日内，以转账方式将货款汇入乙方指定的银行账户。</w:t>
      </w:r>
      <w:bookmarkStart w:id="18" w:name="_GoBack"/>
      <w:bookmarkEnd w:id="18"/>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0A27A2"/>
    <w:rsid w:val="620A27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widowControl w:val="0"/>
      <w:spacing w:before="340" w:after="330" w:line="578" w:lineRule="auto"/>
      <w:outlineLvl w:val="0"/>
    </w:pPr>
    <w:rPr>
      <w:b/>
      <w:bCs/>
      <w:kern w:val="44"/>
      <w:sz w:val="44"/>
      <w:szCs w:val="44"/>
    </w:rPr>
  </w:style>
  <w:style w:type="paragraph" w:styleId="4">
    <w:name w:val="heading 3"/>
    <w:basedOn w:val="1"/>
    <w:next w:val="1"/>
    <w:qFormat/>
    <w:uiPriority w:val="0"/>
    <w:pPr>
      <w:keepNext/>
      <w:keepLines/>
      <w:widowControl w:val="0"/>
      <w:spacing w:before="260" w:after="260" w:line="416" w:lineRule="auto"/>
      <w:outlineLvl w:val="2"/>
    </w:pPr>
    <w:rPr>
      <w:rFonts w:ascii="Times New Roman" w:hAnsi="Times New Roman" w:eastAsia="宋体"/>
      <w:b/>
      <w:bCs/>
      <w:sz w:val="24"/>
      <w:szCs w:val="32"/>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character" w:styleId="7">
    <w:name w:val="Strong"/>
    <w:qFormat/>
    <w:uiPriority w:val="22"/>
    <w:rPr>
      <w:b/>
      <w:bCs/>
    </w:rPr>
  </w:style>
  <w:style w:type="paragraph" w:customStyle="1" w:styleId="8">
    <w:name w:val="样式1"/>
    <w:basedOn w:val="3"/>
    <w:qFormat/>
    <w:uiPriority w:val="0"/>
    <w:pPr>
      <w:spacing w:before="120" w:after="120"/>
      <w:jc w:val="center"/>
    </w:pPr>
    <w:rPr>
      <w:sz w:val="32"/>
      <w:szCs w:val="32"/>
    </w:rPr>
  </w:style>
  <w:style w:type="paragraph" w:customStyle="1" w:styleId="9">
    <w:name w:val="正文（绿盟科技）"/>
    <w:qFormat/>
    <w:uiPriority w:val="0"/>
    <w:pPr>
      <w:spacing w:line="300" w:lineRule="auto"/>
    </w:pPr>
    <w:rPr>
      <w:rFonts w:ascii="Arial" w:hAnsi="Arial" w:eastAsia="宋体" w:cs="黑体"/>
      <w:sz w:val="21"/>
      <w:szCs w:val="21"/>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航空工业</Company>
  <Pages>32</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2026-06-02T08:55:00Z</dcterms:created>
  <dc:creator>Athena</dc:creator>
  <cp:lastModifiedBy>Athena</cp:lastModifiedBy>
  <dcterms:modified xsi:type="dcterms:W3CDTF">2026-06-02T08:56:10Z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760B2C893E054585AC3F52C8A7A975BA_11</vt:lpwstr>
  </property>
  <property fmtid="{D5CDD505-2E9C-101B-9397-08002B2CF9AE}" pid="4" name="KSOTemplateDocerSaveRecord">
    <vt:lpwstr>eyJoZGlkIjoiODJkYTYxYTkxMDJjOTFjNWEyZTRhMDAzMTMyNTRiNDMiLCJ1c2VySWQiOiIzNzAyNzk5MDEifQ==</vt:lpwstr>
  </property>
</Properties>
</file>