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版本号：241011002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白泥镇2024年甜橙标准化示范果园项目(二次)</w:t>
      </w:r>
    </w:p>
    <w:p>
      <w:pPr>
        <w:pStyle w:val="null3"/>
        <w:jc w:val="center"/>
        <w:outlineLvl w:val="2"/>
      </w:pPr>
      <w:r>
        <w:rPr>
          <w:b/>
          <w:sz w:val="28"/>
        </w:rPr>
        <w:t>采购项目编号：</w:t>
      </w:r>
      <w:r>
        <w:rPr>
          <w:b/>
          <w:sz w:val="28"/>
        </w:rPr>
        <w:t>N5105252024000244</w:t>
      </w:r>
    </w:p>
    <w:p>
      <w:pPr>
        <w:pStyle w:val="null3"/>
        <w:jc w:val="left"/>
        <w:outlineLvl w:val="2"/>
      </w:pPr>
      <w:r>
        <w:rPr>
          <w:b/>
          <w:sz w:val="28"/>
        </w:rPr>
        <w:t>古蔺县白泥镇人民政府</w:t>
      </w:r>
    </w:p>
    <w:p>
      <w:pPr>
        <w:pStyle w:val="null3"/>
        <w:jc w:val="center"/>
        <w:outlineLvl w:val="2"/>
      </w:pPr>
      <w:r>
        <w:rPr>
          <w:b/>
          <w:sz w:val="28"/>
        </w:rPr>
        <w:t>四川广群工程项目管理有限公司</w:t>
      </w:r>
      <w:r>
        <w:rPr>
          <w:b/>
          <w:sz w:val="28"/>
        </w:rPr>
        <w:t>共同编制</w:t>
      </w:r>
    </w:p>
    <w:p>
      <w:pPr>
        <w:pStyle w:val="null3"/>
        <w:jc w:val="center"/>
      </w:pPr>
      <w:r>
        <w:rPr/>
        <w:t>2024年10月10日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四川广群工程项目管理有限公司</w:t>
      </w:r>
      <w:r>
        <w:rPr/>
        <w:t xml:space="preserve"> （以下简称“代理机构”）受 </w:t>
      </w:r>
      <w:r>
        <w:rPr/>
        <w:t>古蔺县白泥镇人民政府</w:t>
      </w:r>
      <w:r>
        <w:rPr/>
        <w:t xml:space="preserve"> 委托，拟对 </w:t>
      </w:r>
      <w:r>
        <w:rPr/>
        <w:t>白泥镇2024年甜橙标准化示范果园项目(二次)</w:t>
      </w:r>
      <w:r>
        <w:rPr/>
        <w:t xml:space="preserve"> 采用公开招标方式进行采购，兹邀请符合本次招标要求的供应商参加投标。本项目为四川省</w:t>
      </w:r>
      <w:r>
        <w:rPr/>
        <w:t>泸州市古蔺县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N5105252024000244</w:t>
      </w:r>
    </w:p>
    <w:p>
      <w:pPr>
        <w:pStyle w:val="null3"/>
        <w:jc w:val="left"/>
        <w:outlineLvl w:val="2"/>
      </w:pPr>
      <w:r>
        <w:rPr>
          <w:b/>
          <w:sz w:val="28"/>
        </w:rPr>
        <w:t>1.2.采购项目名称</w:t>
      </w:r>
      <w:r>
        <w:rPr>
          <w:b/>
          <w:sz w:val="28"/>
        </w:rPr>
        <w:t xml:space="preserve">： </w:t>
      </w:r>
      <w:r>
        <w:rPr>
          <w:b/>
          <w:sz w:val="28"/>
        </w:rPr>
        <w:t>白泥镇2024年甜橙标准化示范果园项目(二次)</w:t>
      </w:r>
    </w:p>
    <w:p>
      <w:pPr>
        <w:pStyle w:val="null3"/>
        <w:jc w:val="left"/>
        <w:outlineLvl w:val="2"/>
      </w:pPr>
      <w:r>
        <w:rPr>
          <w:b/>
          <w:sz w:val="28"/>
        </w:rPr>
        <w:t>1.3.招标项目简介</w:t>
      </w:r>
    </w:p>
    <w:p>
      <w:pPr>
        <w:pStyle w:val="null3"/>
        <w:ind w:firstLine="480"/>
        <w:jc w:val="left"/>
      </w:pPr>
      <w:r>
        <w:rPr/>
        <w:t>在白泥村9组腾飞园甜橙专业合作社实施50亩、白泥村11组实施100亩，顺河村10组及11组实施100亩、菜板村1组及4组建设标准化果园150亩。采购施用有机肥、高钾复合肥、平衡肥等，购买黄板、诱蝇球等，采购防治红黄蜘蛛、粉虱、蚜虫等病虫药物</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1、①投标人所投农药产品须具有农药三证，即农药生产许可证、农药标准证、农药登记证（描述：提供《农药生产许可证》、《农药标准证》和《农药登记证》证书复印件）。 ② 投标人须提供所投产品（肥料）的《肥料登记证》或备案证明材料（按规定免于登记的产品除外）（描述：①投标人所投农药产品须具有农药三证，即农药生产许可证、农药标准证、农药登记证（描述：提供《农药生产许可证》、《农药标准证》和《农药登记证》证书复印件）。 ②投标人须提供所投产品（肥料）的《肥料登记证》或备案证明材料（按规定免于登记的产品除外））</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古蔺县白泥镇人民政府</w:t>
      </w:r>
    </w:p>
    <w:p>
      <w:pPr>
        <w:pStyle w:val="null3"/>
        <w:ind w:firstLine="480"/>
        <w:jc w:val="left"/>
      </w:pPr>
      <w:r>
        <w:rPr/>
        <w:t xml:space="preserve"> 地址： </w:t>
      </w:r>
      <w:r>
        <w:rPr/>
        <w:t>四川省泸州市古蔺县白泥镇白泥村</w:t>
      </w:r>
    </w:p>
    <w:p>
      <w:pPr>
        <w:pStyle w:val="null3"/>
        <w:jc w:val="left"/>
      </w:pPr>
      <w:r>
        <w:rPr/>
        <w:t xml:space="preserve"> 邮编： </w:t>
      </w:r>
      <w:r>
        <w:rPr/>
        <w:t>646500</w:t>
      </w:r>
    </w:p>
    <w:p>
      <w:pPr>
        <w:pStyle w:val="null3"/>
        <w:jc w:val="left"/>
      </w:pPr>
      <w:r>
        <w:rPr/>
        <w:t xml:space="preserve"> 联系人： </w:t>
      </w:r>
      <w:r>
        <w:rPr/>
        <w:t>王宗保</w:t>
      </w:r>
    </w:p>
    <w:p>
      <w:pPr>
        <w:pStyle w:val="null3"/>
        <w:jc w:val="left"/>
      </w:pPr>
      <w:r>
        <w:rPr/>
        <w:t xml:space="preserve"> 联系电话： </w:t>
      </w:r>
      <w:r>
        <w:rPr/>
        <w:t>13890418499</w:t>
      </w:r>
    </w:p>
    <w:p>
      <w:pPr>
        <w:pStyle w:val="null3"/>
        <w:ind w:firstLine="480"/>
        <w:jc w:val="left"/>
      </w:pPr>
      <w:r>
        <w:rPr>
          <w:b/>
        </w:rPr>
        <w:t>代理机构</w:t>
      </w:r>
      <w:r>
        <w:rPr>
          <w:b/>
        </w:rPr>
        <w:t xml:space="preserve">： </w:t>
      </w:r>
      <w:r>
        <w:rPr>
          <w:b/>
        </w:rPr>
        <w:t>四川广群工程项目管理有限公司</w:t>
      </w:r>
    </w:p>
    <w:p>
      <w:pPr>
        <w:pStyle w:val="null3"/>
        <w:ind w:firstLine="480"/>
        <w:jc w:val="left"/>
      </w:pPr>
      <w:r>
        <w:rPr/>
        <w:t xml:space="preserve"> 地址： </w:t>
      </w:r>
      <w:r>
        <w:rPr/>
        <w:t>泸州市古蔺县彰德街道迎宾大道1188号附12号</w:t>
      </w:r>
    </w:p>
    <w:p>
      <w:pPr>
        <w:pStyle w:val="null3"/>
        <w:jc w:val="left"/>
      </w:pPr>
      <w:r>
        <w:rPr/>
        <w:t xml:space="preserve"> 邮编： </w:t>
      </w:r>
      <w:r>
        <w:rPr/>
        <w:t>646500</w:t>
      </w:r>
    </w:p>
    <w:p>
      <w:pPr>
        <w:pStyle w:val="null3"/>
        <w:jc w:val="left"/>
      </w:pPr>
      <w:r>
        <w:rPr/>
        <w:t xml:space="preserve"> 联系人： </w:t>
      </w:r>
      <w:r>
        <w:rPr/>
        <w:t>淮女士</w:t>
      </w:r>
    </w:p>
    <w:p>
      <w:pPr>
        <w:pStyle w:val="null3"/>
        <w:jc w:val="left"/>
      </w:pPr>
      <w:r>
        <w:rPr/>
        <w:t xml:space="preserve"> 联系电话： </w:t>
      </w:r>
      <w:r>
        <w:rPr/>
        <w:t>17360576371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采购包1：340,000.00元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代理服务费收费标准：本项目招标代理费以预算价参照《招标代理服务收费管理暂行办法》（计价格【2020】1980号）收费标准计算。</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古蔺县白泥镇人民政府</w:t>
      </w:r>
      <w:r>
        <w:rPr/>
        <w:t xml:space="preserve"> 和 </w:t>
      </w:r>
      <w:r>
        <w:rPr/>
        <w:t>四川广群工程项目管理有限公司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古蔺县白泥镇人民政府</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四川广群工程项目管理有限公司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严格按照政府采购相关法律法规、《财政部关于进一步加强政府采购需求和履约验收管理的指导意见》（财库〔2016〕205 号）及泸州市有关规定进行验收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按采购文件要求及响应文件响应内容进行技术验收</w:t>
      </w:r>
    </w:p>
    <w:p>
      <w:pPr>
        <w:pStyle w:val="null3"/>
        <w:ind w:firstLine="480"/>
        <w:jc w:val="left"/>
      </w:pPr>
      <w:r>
        <w:rPr/>
        <w:t>十、商务履约验收内容：</w:t>
      </w:r>
    </w:p>
    <w:p>
      <w:pPr>
        <w:pStyle w:val="null3"/>
        <w:ind w:firstLine="480"/>
        <w:jc w:val="left"/>
      </w:pPr>
      <w:r>
        <w:rPr/>
        <w:t>采购包1：</w:t>
      </w:r>
      <w:r>
        <w:rPr/>
        <w:t>按响应文件响应商务内容验收</w:t>
      </w:r>
    </w:p>
    <w:p>
      <w:pPr>
        <w:pStyle w:val="null3"/>
        <w:ind w:firstLine="480"/>
        <w:jc w:val="left"/>
      </w:pPr>
      <w:r>
        <w:rPr/>
        <w:t>十一、履约验收标准：</w:t>
      </w:r>
    </w:p>
    <w:p>
      <w:pPr>
        <w:pStyle w:val="null3"/>
        <w:ind w:firstLine="480"/>
        <w:jc w:val="left"/>
      </w:pPr>
      <w:r>
        <w:rPr/>
        <w:t>采购包1：</w:t>
      </w:r>
      <w:r>
        <w:rPr/>
        <w:t>严格按照政府采购相关法律法规、《财政部关于进一步加强政府采购需求和履约验收管理的指导意见》（财库〔2016〕205 号）及泸州市有关规定进行验收</w:t>
      </w:r>
    </w:p>
    <w:p>
      <w:pPr>
        <w:pStyle w:val="null3"/>
        <w:ind w:firstLine="480"/>
        <w:jc w:val="left"/>
      </w:pPr>
      <w:r>
        <w:rPr/>
        <w:t>十二、履约验收其他事项：</w:t>
      </w:r>
    </w:p>
    <w:p>
      <w:pPr>
        <w:pStyle w:val="null3"/>
        <w:ind w:firstLine="480"/>
        <w:jc w:val="left"/>
      </w:pPr>
      <w:r>
        <w:rPr/>
        <w:t>采购包1：</w:t>
      </w:r>
      <w:r>
        <w:rPr/>
        <w:t>履约验收各条款间有不一致时，按较高标准进行。</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古蔺县白泥镇人民政府</w:t>
      </w:r>
      <w:r>
        <w:rPr/>
        <w:t xml:space="preserve"> 负责答复；投标人对除采购需求外的招标文件的询问、质疑由 </w:t>
      </w:r>
      <w:r>
        <w:rPr/>
        <w:t>四川广群工程项目管理有限公司</w:t>
      </w:r>
      <w:r>
        <w:rPr/>
        <w:t xml:space="preserve"> 负责答复；投标人对采购过程、采购结果的询问、质疑由 </w:t>
      </w:r>
      <w:r>
        <w:rPr/>
        <w:t>四川广群工程项目管理有限公司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联系人：代女士</w:t>
      </w:r>
    </w:p>
    <w:p>
      <w:pPr>
        <w:pStyle w:val="null3"/>
        <w:jc w:val="left"/>
      </w:pPr>
      <w:r>
        <w:rPr/>
        <w:t>联系电话：0830-6591900</w:t>
      </w:r>
    </w:p>
    <w:p>
      <w:pPr>
        <w:pStyle w:val="null3"/>
        <w:jc w:val="left"/>
      </w:pPr>
      <w:r>
        <w:rPr/>
        <w:t>地址：（泸州市古蔺县彰德街道迎宾大道1188号附12号）</w:t>
      </w:r>
    </w:p>
    <w:p>
      <w:pPr>
        <w:pStyle w:val="null3"/>
        <w:jc w:val="left"/>
      </w:pPr>
      <w:r>
        <w:rPr/>
        <w:t>邮编：646500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340,000.00</w:t>
      </w:r>
    </w:p>
    <w:p>
      <w:pPr>
        <w:pStyle w:val="null3"/>
        <w:jc w:val="left"/>
      </w:pPr>
      <w:r>
        <w:rPr/>
        <w:t>采购包最高限价（元）: 340,000.00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化学肥料</w:t>
            </w:r>
          </w:p>
        </w:tc>
        <w:tc>
          <w:tcPr>
            <w:tcW w:type="dxa" w:w="821"/>
          </w:tcPr>
          <w:p>
            <w:pPr>
              <w:pStyle w:val="null3"/>
              <w:jc w:val="left"/>
            </w:pPr>
            <w:r>
              <w:rPr/>
              <w:t>白泥镇 2024 年甜橙标准化示范果园项目</w:t>
            </w:r>
          </w:p>
        </w:tc>
        <w:tc>
          <w:tcPr>
            <w:tcW w:type="dxa" w:w="821"/>
          </w:tcPr>
          <w:p>
            <w:pPr>
              <w:pStyle w:val="null3"/>
              <w:jc w:val="right"/>
            </w:pPr>
            <w:r>
              <w:rPr/>
              <w:t>92.10（吨）</w:t>
            </w:r>
          </w:p>
        </w:tc>
        <w:tc>
          <w:tcPr>
            <w:tcW w:type="dxa" w:w="821"/>
          </w:tcPr>
          <w:p>
            <w:pPr>
              <w:pStyle w:val="null3"/>
              <w:jc w:val="right"/>
            </w:pPr>
            <w:r>
              <w:rPr/>
              <w:t>340,000.00</w:t>
            </w:r>
          </w:p>
        </w:tc>
        <w:tc>
          <w:tcPr>
            <w:tcW w:type="dxa" w:w="821"/>
          </w:tcPr>
          <w:p>
            <w:pPr>
              <w:pStyle w:val="null3"/>
              <w:jc w:val="left"/>
            </w:pPr>
            <w:r>
              <w:rPr/>
              <w:t>农、林、牧、渔业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白泥镇 2024 年甜橙标准化示范果园项目</w:t>
            </w:r>
          </w:p>
        </w:tc>
        <w:tc>
          <w:tcPr>
            <w:tcW w:type="dxa" w:w="977"/>
          </w:tcPr>
          <w:p>
            <w:pPr>
              <w:pStyle w:val="null3"/>
              <w:jc w:val="left"/>
            </w:pPr>
            <w:r>
              <w:rPr/>
              <w:t>吨</w:t>
            </w:r>
          </w:p>
        </w:tc>
        <w:tc>
          <w:tcPr>
            <w:tcW w:type="dxa" w:w="977"/>
          </w:tcPr>
          <w:p>
            <w:pPr>
              <w:pStyle w:val="null3"/>
              <w:jc w:val="left"/>
            </w:pPr>
            <w:r>
              <w:rPr/>
              <w:t>元</w:t>
            </w:r>
          </w:p>
        </w:tc>
        <w:tc>
          <w:tcPr>
            <w:tcW w:type="dxa" w:w="1466"/>
          </w:tcPr>
          <w:p>
            <w:pPr>
              <w:pStyle w:val="null3"/>
              <w:jc w:val="right"/>
            </w:pPr>
            <w:r>
              <w:rPr/>
              <w:t>不设定</w:t>
            </w:r>
          </w:p>
        </w:tc>
        <w:tc>
          <w:tcPr>
            <w:tcW w:type="dxa" w:w="977"/>
          </w:tcPr>
          <w:p>
            <w:pPr>
              <w:pStyle w:val="null3"/>
              <w:jc w:val="left"/>
            </w:pPr>
            <w:r>
              <w:rPr/>
              <w:t>单价</w:t>
            </w:r>
          </w:p>
        </w:tc>
        <w:tc>
          <w:tcPr>
            <w:tcW w:type="dxa" w:w="1466"/>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化学肥料</w:t>
            </w:r>
          </w:p>
        </w:tc>
        <w:tc>
          <w:tcPr>
            <w:tcW w:type="dxa" w:w="2492"/>
          </w:tcPr>
          <w:p>
            <w:pPr>
              <w:pStyle w:val="null3"/>
              <w:jc w:val="left"/>
            </w:pPr>
            <w:r>
              <w:rPr/>
              <w:t>白泥镇 2024 年甜橙标准化示范果园项目</w:t>
            </w:r>
          </w:p>
        </w:tc>
        <w:tc>
          <w:tcPr>
            <w:tcW w:type="dxa" w:w="2492"/>
          </w:tcPr>
          <w:p>
            <w:pPr>
              <w:pStyle w:val="null3"/>
              <w:jc w:val="left"/>
            </w:pPr>
            <w:r>
              <w:rPr/>
              <w:t>生物有机菌肥颗粒（884）</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标的名称：白泥镇 2024 年甜橙标准化示范果园项目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平衡肥</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平衡肥</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9.7</w:t>
                  </w:r>
                  <w:r>
                    <w:rPr>
                      <w:rFonts w:ascii="宋体" w:hAnsi="宋体" w:cs="宋体" w:eastAsia="宋体"/>
                      <w:sz w:val="28"/>
                    </w:rPr>
                    <w:t>吨</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8"/>
                    </w:rPr>
                    <w:t>1.</w:t>
                  </w:r>
                  <w:r>
                    <w:rPr>
                      <w:rFonts w:ascii="宋体" w:hAnsi="宋体" w:cs="宋体" w:eastAsia="宋体"/>
                      <w:sz w:val="24"/>
                    </w:rPr>
                    <w:t>平衡肥符合</w:t>
                  </w:r>
                  <w:r>
                    <w:rPr>
                      <w:rFonts w:ascii="宋体" w:hAnsi="宋体" w:cs="宋体" w:eastAsia="宋体"/>
                      <w:sz w:val="24"/>
                    </w:rPr>
                    <w:t>GB/T15063-2020国家标准。</w:t>
                  </w:r>
                </w:p>
                <w:p>
                  <w:pPr>
                    <w:pStyle w:val="null3"/>
                    <w:jc w:val="both"/>
                  </w:pPr>
                  <w:r>
                    <w:rPr>
                      <w:rFonts w:ascii="宋体" w:hAnsi="宋体" w:cs="宋体" w:eastAsia="宋体"/>
                      <w:sz w:val="24"/>
                    </w:rPr>
                    <w:t>2.氮磷钾总养分</w:t>
                  </w:r>
                  <w:r>
                    <w:rPr>
                      <w:rFonts w:ascii="宋体" w:hAnsi="宋体" w:cs="宋体" w:eastAsia="宋体"/>
                      <w:sz w:val="24"/>
                    </w:rPr>
                    <w:t>≧45.</w:t>
                  </w:r>
                </w:p>
                <w:p>
                  <w:pPr>
                    <w:pStyle w:val="null3"/>
                    <w:jc w:val="both"/>
                  </w:pPr>
                  <w:r>
                    <w:rPr>
                      <w:rFonts w:ascii="宋体" w:hAnsi="宋体" w:cs="宋体" w:eastAsia="宋体"/>
                      <w:sz w:val="24"/>
                    </w:rPr>
                    <w:t>3.氮磷钾配方比例：</w:t>
                  </w:r>
                  <w:r>
                    <w:rPr>
                      <w:rFonts w:ascii="宋体" w:hAnsi="宋体" w:cs="宋体" w:eastAsia="宋体"/>
                      <w:sz w:val="24"/>
                    </w:rPr>
                    <w:t>15-15-15</w:t>
                  </w:r>
                </w:p>
                <w:p>
                  <w:pPr>
                    <w:pStyle w:val="null3"/>
                    <w:jc w:val="both"/>
                  </w:pPr>
                  <w:r>
                    <w:rPr>
                      <w:rFonts w:ascii="宋体" w:hAnsi="宋体" w:cs="宋体" w:eastAsia="宋体"/>
                      <w:sz w:val="24"/>
                    </w:rPr>
                    <w:t>4.包装规格：25kg/袋</w:t>
                  </w:r>
                </w:p>
              </w:tc>
            </w:tr>
          </w:tbl>
          <w:p/>
        </w:tc>
      </w:tr>
      <w:tr>
        <w:tc>
          <w:tcPr>
            <w:tcW w:type="dxa" w:w="831"/>
          </w:tcPr>
          <w:p>
            <w:pPr>
              <w:pStyle w:val="null3"/>
              <w:jc w:val="left"/>
            </w:pPr>
            <w:r>
              <w:rPr/>
              <w:t>2</w:t>
            </w:r>
          </w:p>
        </w:tc>
        <w:tc>
          <w:tcPr>
            <w:tcW w:type="dxa" w:w="1246"/>
          </w:tcPr>
          <w:p>
            <w:pPr>
              <w:pStyle w:val="null3"/>
              <w:jc w:val="left"/>
            </w:pPr>
            <w:r>
              <w:rPr/>
              <w:t>★</w:t>
            </w:r>
          </w:p>
        </w:tc>
        <w:tc>
          <w:tcPr>
            <w:tcW w:type="dxa" w:w="2492"/>
          </w:tcPr>
          <w:p>
            <w:pPr>
              <w:pStyle w:val="null3"/>
              <w:jc w:val="left"/>
            </w:pPr>
            <w:r>
              <w:rPr/>
              <w:t>黄板</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636"/>
              <w:gridCol w:w="493"/>
              <w:gridCol w:w="2386"/>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2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黄板</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8"/>
                    </w:rPr>
                    <w:t>16000</w:t>
                  </w:r>
                  <w:r>
                    <w:rPr>
                      <w:rFonts w:ascii="宋体" w:hAnsi="宋体" w:cs="宋体" w:eastAsia="宋体"/>
                      <w:color w:val="000000"/>
                      <w:sz w:val="28"/>
                    </w:rPr>
                    <w:t>张</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1.符合 GB/24689.4-2009《植物保护机械诱虫板》国家标准。（提供国家农机具质量监督检验中心出具的检测报告)</w:t>
                  </w:r>
                </w:p>
                <w:p>
                  <w:pPr>
                    <w:pStyle w:val="null3"/>
                    <w:jc w:val="left"/>
                  </w:pPr>
                  <w:r>
                    <w:rPr>
                      <w:rFonts w:ascii="宋体" w:hAnsi="宋体" w:cs="宋体" w:eastAsia="宋体"/>
                      <w:sz w:val="24"/>
                    </w:rPr>
                    <w:t>2.基板材质：采用PP板材质，应具有一定强度、硬度、耐湿性。</w:t>
                  </w:r>
                </w:p>
                <w:p>
                  <w:pPr>
                    <w:pStyle w:val="null3"/>
                    <w:jc w:val="left"/>
                  </w:pPr>
                  <w:r>
                    <w:rPr>
                      <w:rFonts w:ascii="宋体" w:hAnsi="宋体" w:cs="宋体" w:eastAsia="宋体"/>
                      <w:sz w:val="24"/>
                    </w:rPr>
                    <w:t>3.基板厚度：0.3±0.02mm。</w:t>
                  </w:r>
                </w:p>
                <w:p>
                  <w:pPr>
                    <w:pStyle w:val="null3"/>
                    <w:jc w:val="left"/>
                  </w:pPr>
                  <w:r>
                    <w:rPr>
                      <w:rFonts w:ascii="宋体" w:hAnsi="宋体" w:cs="宋体" w:eastAsia="宋体"/>
                      <w:sz w:val="24"/>
                    </w:rPr>
                    <w:t>4.</w:t>
                  </w:r>
                  <w:r>
                    <w:rPr>
                      <w:rFonts w:ascii="宋体" w:hAnsi="宋体" w:cs="宋体" w:eastAsia="宋体"/>
                      <w:sz w:val="24"/>
                    </w:rPr>
                    <w:t>产品规格：</w:t>
                  </w:r>
                  <w:r>
                    <w:rPr>
                      <w:rFonts w:ascii="宋体" w:hAnsi="宋体" w:cs="宋体" w:eastAsia="宋体"/>
                      <w:sz w:val="24"/>
                    </w:rPr>
                    <w:t>200mm×250mm。</w:t>
                  </w:r>
                </w:p>
                <w:p>
                  <w:pPr>
                    <w:pStyle w:val="null3"/>
                    <w:jc w:val="left"/>
                  </w:pPr>
                  <w:r>
                    <w:rPr>
                      <w:rFonts w:ascii="宋体" w:hAnsi="宋体" w:cs="宋体" w:eastAsia="宋体"/>
                      <w:sz w:val="24"/>
                    </w:rPr>
                    <w:t>5.使用温度:-15℃至55℃。</w:t>
                  </w:r>
                </w:p>
                <w:p>
                  <w:pPr>
                    <w:pStyle w:val="null3"/>
                    <w:jc w:val="left"/>
                  </w:pPr>
                  <w:r>
                    <w:rPr>
                      <w:rFonts w:ascii="宋体" w:hAnsi="宋体" w:cs="宋体" w:eastAsia="宋体"/>
                      <w:sz w:val="24"/>
                    </w:rPr>
                    <w:t>6.胶体：无色透明粘状半固体，10℃～70℃环境中基板无明显变化，胶体不流淌不硬化。遇水不溶解。</w:t>
                  </w:r>
                </w:p>
                <w:p>
                  <w:pPr>
                    <w:pStyle w:val="null3"/>
                    <w:jc w:val="left"/>
                  </w:pPr>
                  <w:r>
                    <w:rPr>
                      <w:rFonts w:ascii="宋体" w:hAnsi="宋体" w:cs="宋体" w:eastAsia="宋体"/>
                      <w:sz w:val="24"/>
                    </w:rPr>
                    <w:t>7.基板双面涂胶，胶层应均匀一致，单面胶层厚度为：0.03—0.05mm,在拆分中无脱胶现象。（提供国家农机具质量监督检验中心出具的检测报告)</w:t>
                  </w:r>
                </w:p>
                <w:p>
                  <w:pPr>
                    <w:pStyle w:val="null3"/>
                    <w:jc w:val="left"/>
                  </w:pPr>
                  <w:r>
                    <w:rPr>
                      <w:rFonts w:ascii="宋体" w:hAnsi="宋体" w:cs="宋体" w:eastAsia="宋体"/>
                      <w:sz w:val="24"/>
                    </w:rPr>
                    <w:t>8.具有悬挂孔，表面平整光滑，便于悬挂和清洗。</w:t>
                  </w:r>
                </w:p>
                <w:p>
                  <w:pPr>
                    <w:pStyle w:val="null3"/>
                    <w:jc w:val="left"/>
                  </w:pPr>
                  <w:r>
                    <w:rPr>
                      <w:rFonts w:ascii="宋体" w:hAnsi="宋体" w:cs="宋体" w:eastAsia="宋体"/>
                      <w:sz w:val="24"/>
                    </w:rPr>
                    <w:t>9.双面覆纸：采用易降解的格拉锌纸。</w:t>
                  </w:r>
                </w:p>
                <w:p>
                  <w:pPr>
                    <w:pStyle w:val="null3"/>
                    <w:jc w:val="left"/>
                  </w:pPr>
                  <w:r>
                    <w:rPr>
                      <w:rFonts w:ascii="宋体" w:hAnsi="宋体" w:cs="宋体" w:eastAsia="宋体"/>
                      <w:sz w:val="24"/>
                    </w:rPr>
                    <w:t>10.粘虫胶化学性能稳定，无毒、无公害，胶体粘接力：大于 6 .8×10-4N/mm2，抗日晒雨淋防水性能好、粘度高，持久耐用有效期 3 个月以上。</w:t>
                  </w:r>
                </w:p>
                <w:p>
                  <w:pPr>
                    <w:pStyle w:val="null3"/>
                    <w:jc w:val="left"/>
                  </w:pPr>
                  <w:r>
                    <w:rPr>
                      <w:rFonts w:ascii="宋体" w:hAnsi="宋体" w:cs="宋体" w:eastAsia="宋体"/>
                      <w:sz w:val="24"/>
                    </w:rPr>
                    <w:t>11.包装：50 张一包，500 张一箱，含说明书、合格证，配置不少于 1000 根防锈扎带，包装箱外要至少有二条梱扎带。</w:t>
                  </w:r>
                </w:p>
                <w:p>
                  <w:pPr>
                    <w:pStyle w:val="null3"/>
                    <w:jc w:val="left"/>
                  </w:pPr>
                  <w:r>
                    <w:rPr>
                      <w:rFonts w:ascii="宋体" w:hAnsi="宋体" w:cs="宋体" w:eastAsia="宋体"/>
                      <w:sz w:val="24"/>
                    </w:rPr>
                    <w:t>12.投标人提供粘虫板（诱虫板）具有省级或省级以上农业主管部门或者科研院校出具试验报告。</w:t>
                  </w:r>
                </w:p>
              </w:tc>
            </w:tr>
          </w:tbl>
          <w:p/>
        </w:tc>
      </w:tr>
      <w:tr>
        <w:tc>
          <w:tcPr>
            <w:tcW w:type="dxa" w:w="831"/>
          </w:tcPr>
          <w:p>
            <w:pPr>
              <w:pStyle w:val="null3"/>
              <w:jc w:val="left"/>
            </w:pPr>
            <w:r>
              <w:rPr/>
              <w:t>3</w:t>
            </w:r>
          </w:p>
        </w:tc>
        <w:tc>
          <w:tcPr>
            <w:tcW w:type="dxa" w:w="1246"/>
          </w:tcPr>
          <w:p>
            <w:pPr>
              <w:pStyle w:val="null3"/>
              <w:jc w:val="left"/>
            </w:pPr>
            <w:r>
              <w:rPr/>
              <w:t>★</w:t>
            </w:r>
          </w:p>
        </w:tc>
        <w:tc>
          <w:tcPr>
            <w:tcW w:type="dxa" w:w="2492"/>
          </w:tcPr>
          <w:p>
            <w:pPr>
              <w:pStyle w:val="null3"/>
              <w:jc w:val="left"/>
            </w:pPr>
            <w:r>
              <w:rPr/>
              <w:t>诱蝇球</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诱蝇球</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8"/>
                    </w:rPr>
                    <w:t>8000</w:t>
                  </w:r>
                  <w:r>
                    <w:rPr>
                      <w:rFonts w:ascii="宋体" w:hAnsi="宋体" w:cs="宋体" w:eastAsia="宋体"/>
                      <w:color w:val="000000"/>
                      <w:sz w:val="28"/>
                    </w:rPr>
                    <w:t>个</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1.球形诱捕器材料为PE塑料，外面包裹离型纸，球体具备一定的强度，悬挂使用时捏球体不轻易发生明显凹陷;</w:t>
                  </w:r>
                </w:p>
                <w:p>
                  <w:pPr>
                    <w:pStyle w:val="null3"/>
                    <w:jc w:val="both"/>
                  </w:pPr>
                  <w:r>
                    <w:rPr>
                      <w:rFonts w:ascii="宋体" w:hAnsi="宋体" w:cs="宋体" w:eastAsia="宋体"/>
                      <w:sz w:val="24"/>
                    </w:rPr>
                    <w:t>2.球形诱捕器颜色为青果天然绿色</w:t>
                  </w:r>
                  <w:r>
                    <w:rPr>
                      <w:rFonts w:ascii="宋体" w:hAnsi="宋体" w:cs="宋体" w:eastAsia="宋体"/>
                      <w:sz w:val="24"/>
                    </w:rPr>
                    <w:t>.</w:t>
                  </w:r>
                </w:p>
                <w:p>
                  <w:pPr>
                    <w:pStyle w:val="null3"/>
                    <w:jc w:val="both"/>
                  </w:pPr>
                  <w:r>
                    <w:rPr>
                      <w:rFonts w:ascii="宋体" w:hAnsi="宋体" w:cs="宋体" w:eastAsia="宋体"/>
                      <w:sz w:val="24"/>
                    </w:rPr>
                    <w:t>3.球体直径尺寸:7.0</w:t>
                  </w:r>
                  <w:r>
                    <w:rPr>
                      <w:rFonts w:ascii="宋体" w:hAnsi="宋体" w:cs="宋体" w:eastAsia="宋体"/>
                      <w:sz w:val="24"/>
                    </w:rPr>
                    <w:t>±</w:t>
                  </w:r>
                  <w:r>
                    <w:rPr>
                      <w:rFonts w:ascii="宋体" w:hAnsi="宋体" w:cs="宋体" w:eastAsia="宋体"/>
                      <w:sz w:val="24"/>
                    </w:rPr>
                    <w:t>0.1cm;(提供第三方检测机构出具的带CMA或CNAS标识的检验报告复印件)</w:t>
                  </w:r>
                </w:p>
                <w:p>
                  <w:pPr>
                    <w:pStyle w:val="null3"/>
                    <w:jc w:val="both"/>
                  </w:pPr>
                  <w:r>
                    <w:rPr>
                      <w:rFonts w:ascii="宋体" w:hAnsi="宋体" w:cs="宋体" w:eastAsia="宋体"/>
                      <w:sz w:val="24"/>
                    </w:rPr>
                    <w:t>4.球体表面均匀涂抹高效粘虫胶胶体不流淌，遇水不溶解，耐酸碱，无毒无腐蚀性，化学性能稳定;</w:t>
                  </w:r>
                </w:p>
                <w:p>
                  <w:pPr>
                    <w:pStyle w:val="null3"/>
                    <w:jc w:val="both"/>
                  </w:pPr>
                  <w:r>
                    <w:rPr>
                      <w:rFonts w:ascii="宋体" w:hAnsi="宋体" w:cs="宋体" w:eastAsia="宋体"/>
                      <w:sz w:val="24"/>
                    </w:rPr>
                    <w:t>5.胶</w:t>
                  </w:r>
                  <w:r>
                    <w:rPr>
                      <w:rFonts w:ascii="宋体" w:hAnsi="宋体" w:cs="宋体" w:eastAsia="宋体"/>
                      <w:sz w:val="24"/>
                    </w:rPr>
                    <w:t>体重量</w:t>
                  </w:r>
                  <w:r>
                    <w:rPr>
                      <w:rFonts w:ascii="宋体" w:hAnsi="宋体" w:cs="宋体" w:eastAsia="宋体"/>
                      <w:sz w:val="24"/>
                    </w:rPr>
                    <w:t>≥</w:t>
                  </w:r>
                  <w:r>
                    <w:rPr>
                      <w:rFonts w:ascii="宋体" w:hAnsi="宋体" w:cs="宋体" w:eastAsia="宋体"/>
                      <w:sz w:val="24"/>
                    </w:rPr>
                    <w:t>13</w:t>
                  </w:r>
                  <w:r>
                    <w:rPr>
                      <w:rFonts w:ascii="宋体" w:hAnsi="宋体" w:cs="宋体" w:eastAsia="宋体"/>
                      <w:sz w:val="24"/>
                    </w:rPr>
                    <w:t>g，胶体粘接力≥6.8X10</w:t>
                  </w:r>
                  <w:r>
                    <w:rPr>
                      <w:rFonts w:ascii="宋体" w:hAnsi="宋体" w:cs="宋体" w:eastAsia="宋体"/>
                      <w:sz w:val="24"/>
                      <w:vertAlign w:val="superscript"/>
                    </w:rPr>
                    <w:t>-4</w:t>
                  </w:r>
                  <w:r>
                    <w:rPr>
                      <w:rFonts w:ascii="宋体" w:hAnsi="宋体" w:cs="宋体" w:eastAsia="宋体"/>
                      <w:sz w:val="24"/>
                      <w:vertAlign w:val="superscript"/>
                    </w:rPr>
                    <w:t>N/mm</w:t>
                  </w:r>
                  <w:r>
                    <w:rPr>
                      <w:rFonts w:ascii="宋体" w:hAnsi="宋体" w:cs="宋体" w:eastAsia="宋体"/>
                      <w:sz w:val="24"/>
                      <w:vertAlign w:val="superscript"/>
                    </w:rPr>
                    <w:t>²</w:t>
                  </w:r>
                  <w:r>
                    <w:rPr>
                      <w:rFonts w:ascii="宋体" w:hAnsi="宋体" w:cs="宋体" w:eastAsia="宋体"/>
                      <w:sz w:val="24"/>
                    </w:rPr>
                    <w:t>;(提供第三方检测机构出具的带 CMA或CNAS标识的检验报告复印件)</w:t>
                  </w:r>
                </w:p>
                <w:p>
                  <w:pPr>
                    <w:pStyle w:val="null3"/>
                    <w:jc w:val="both"/>
                  </w:pPr>
                  <w:r>
                    <w:rPr>
                      <w:rFonts w:ascii="宋体" w:hAnsi="宋体" w:cs="宋体" w:eastAsia="宋体"/>
                      <w:sz w:val="24"/>
                    </w:rPr>
                    <w:t>6.球体采用吹塑、注塑整体成型工艺，具有根据枝条直径大小直接悬挂的挂钩，挂钩数量≥2个，同时具有特殊情况下用挂绳或铁丝是挂的悬挂孔;(现场提供样品进行佐证)</w:t>
                  </w:r>
                </w:p>
                <w:p>
                  <w:pPr>
                    <w:pStyle w:val="null3"/>
                    <w:jc w:val="both"/>
                  </w:pPr>
                  <w:r>
                    <w:rPr>
                      <w:rFonts w:ascii="宋体" w:hAnsi="宋体" w:cs="宋体" w:eastAsia="宋体"/>
                      <w:sz w:val="24"/>
                    </w:rPr>
                    <w:t>7.离型纸面积≥250mmX250mm，在温度0-50°C包裹胶体层的离型纸均可撕开;(提供第三方检测机构出具的带CMA或CNAS标识的检验报告复印件)</w:t>
                  </w:r>
                </w:p>
              </w:tc>
            </w:tr>
          </w:tbl>
          <w:p/>
        </w:tc>
      </w:tr>
      <w:tr>
        <w:tc>
          <w:tcPr>
            <w:tcW w:type="dxa" w:w="831"/>
          </w:tcPr>
          <w:p>
            <w:pPr>
              <w:pStyle w:val="null3"/>
              <w:jc w:val="left"/>
            </w:pPr>
            <w:r>
              <w:rPr/>
              <w:t>4</w:t>
            </w:r>
          </w:p>
        </w:tc>
        <w:tc>
          <w:tcPr>
            <w:tcW w:type="dxa" w:w="1246"/>
          </w:tcPr>
          <w:p>
            <w:pPr>
              <w:pStyle w:val="null3"/>
              <w:jc w:val="left"/>
            </w:pPr>
            <w:r>
              <w:rPr/>
              <w:t>★</w:t>
            </w:r>
          </w:p>
        </w:tc>
        <w:tc>
          <w:tcPr>
            <w:tcW w:type="dxa" w:w="2492"/>
          </w:tcPr>
          <w:p>
            <w:pPr>
              <w:pStyle w:val="null3"/>
              <w:jc w:val="left"/>
            </w:pPr>
            <w:r>
              <w:rPr/>
              <w:t>高钾复合肥</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高钾复合肥</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2.4</w:t>
                  </w:r>
                  <w:r>
                    <w:rPr>
                      <w:rFonts w:ascii="宋体" w:hAnsi="宋体" w:cs="宋体" w:eastAsia="宋体"/>
                      <w:sz w:val="28"/>
                    </w:rPr>
                    <w:t>吨</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1.复合肥符合GB/T15063-2020国家标准。</w:t>
                  </w:r>
                </w:p>
                <w:p>
                  <w:pPr>
                    <w:pStyle w:val="null3"/>
                    <w:jc w:val="both"/>
                  </w:pPr>
                  <w:r>
                    <w:rPr>
                      <w:rFonts w:ascii="宋体" w:hAnsi="宋体" w:cs="宋体" w:eastAsia="宋体"/>
                      <w:sz w:val="24"/>
                    </w:rPr>
                    <w:t>2.氮磷钾总养分≧45。</w:t>
                  </w:r>
                </w:p>
                <w:p>
                  <w:pPr>
                    <w:pStyle w:val="null3"/>
                    <w:jc w:val="both"/>
                  </w:pPr>
                  <w:r>
                    <w:rPr>
                      <w:rFonts w:ascii="宋体" w:hAnsi="宋体" w:cs="宋体" w:eastAsia="宋体"/>
                      <w:sz w:val="24"/>
                    </w:rPr>
                    <w:t>3.氮磷钾配方比例：15-5-25。</w:t>
                  </w:r>
                </w:p>
                <w:p>
                  <w:pPr>
                    <w:pStyle w:val="null3"/>
                    <w:jc w:val="both"/>
                  </w:pPr>
                  <w:r>
                    <w:rPr>
                      <w:rFonts w:ascii="宋体" w:hAnsi="宋体" w:cs="宋体" w:eastAsia="宋体"/>
                      <w:sz w:val="24"/>
                    </w:rPr>
                    <w:t>4.包装规格：25kg/袋</w:t>
                  </w:r>
                </w:p>
              </w:tc>
            </w:tr>
          </w:tbl>
          <w:p/>
        </w:tc>
      </w:tr>
      <w:tr>
        <w:tc>
          <w:tcPr>
            <w:tcW w:type="dxa" w:w="831"/>
          </w:tcPr>
          <w:p>
            <w:pPr>
              <w:pStyle w:val="null3"/>
              <w:jc w:val="left"/>
            </w:pPr>
            <w:r>
              <w:rPr/>
              <w:t>5</w:t>
            </w:r>
          </w:p>
        </w:tc>
        <w:tc>
          <w:tcPr>
            <w:tcW w:type="dxa" w:w="1246"/>
          </w:tcPr>
          <w:p>
            <w:pPr>
              <w:pStyle w:val="null3"/>
              <w:jc w:val="left"/>
            </w:pPr>
            <w:r>
              <w:rPr/>
              <w:t>★</w:t>
            </w:r>
          </w:p>
        </w:tc>
        <w:tc>
          <w:tcPr>
            <w:tcW w:type="dxa" w:w="2492"/>
          </w:tcPr>
          <w:p>
            <w:pPr>
              <w:pStyle w:val="null3"/>
              <w:jc w:val="left"/>
            </w:pPr>
            <w:r>
              <w:rPr/>
              <w:t>生物有机菌肥颗粒（884）</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544"/>
              <w:gridCol w:w="328"/>
              <w:gridCol w:w="2649"/>
            </w:tblGrid>
            <w:tr>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2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9"/>
                    </w:rPr>
                    <w:t>生物有机菌肥颗粒（884）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80</w:t>
                  </w:r>
                  <w:r>
                    <w:rPr>
                      <w:rFonts w:ascii="宋体" w:hAnsi="宋体" w:cs="宋体" w:eastAsia="宋体"/>
                      <w:sz w:val="28"/>
                    </w:rPr>
                    <w:t>吨</w:t>
                  </w:r>
                </w:p>
              </w:tc>
              <w:tc>
                <w:tcPr>
                  <w:tcW w:type="dxa" w:w="2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1.</w:t>
                  </w:r>
                  <w:r>
                    <w:rPr>
                      <w:rFonts w:ascii="宋体" w:hAnsi="宋体" w:cs="宋体" w:eastAsia="宋体"/>
                      <w:color w:val="000000"/>
                      <w:sz w:val="24"/>
                    </w:rPr>
                    <w:t>执行标准：</w:t>
                  </w:r>
                  <w:r>
                    <w:rPr>
                      <w:rFonts w:ascii="宋体" w:hAnsi="宋体" w:cs="宋体" w:eastAsia="宋体"/>
                      <w:color w:val="000000"/>
                      <w:sz w:val="24"/>
                    </w:rPr>
                    <w:t>NY884-2012。</w:t>
                  </w:r>
                </w:p>
                <w:p>
                  <w:pPr>
                    <w:pStyle w:val="null3"/>
                    <w:jc w:val="left"/>
                  </w:pPr>
                  <w:r>
                    <w:rPr>
                      <w:rFonts w:ascii="&quot;times new roman&quot;" w:hAnsi="&quot;times new roman&quot;" w:cs="&quot;times new roman&quot;" w:eastAsia="&quot;times new roman&quot;"/>
                      <w:sz w:val="19"/>
                    </w:rPr>
                    <w:t>2.</w:t>
                  </w:r>
                  <w:r>
                    <w:rPr>
                      <w:rFonts w:ascii="宋体" w:hAnsi="宋体" w:cs="宋体" w:eastAsia="宋体"/>
                      <w:sz w:val="24"/>
                    </w:rPr>
                    <w:t>有机质的质量分数</w:t>
                  </w:r>
                  <w:r>
                    <w:rPr>
                      <w:rFonts w:ascii="宋体" w:hAnsi="宋体" w:cs="宋体" w:eastAsia="宋体"/>
                      <w:sz w:val="24"/>
                    </w:rPr>
                    <w:t>(以烘干基计)≥</w:t>
                  </w:r>
                  <w:r>
                    <w:rPr>
                      <w:rFonts w:ascii="宋体" w:hAnsi="宋体" w:cs="宋体" w:eastAsia="宋体"/>
                      <w:sz w:val="24"/>
                    </w:rPr>
                    <w:t>40</w:t>
                  </w:r>
                  <w:r>
                    <w:rPr>
                      <w:rFonts w:ascii="宋体" w:hAnsi="宋体" w:cs="宋体" w:eastAsia="宋体"/>
                      <w:sz w:val="24"/>
                    </w:rPr>
                    <w:t>%。</w:t>
                  </w:r>
                </w:p>
                <w:p>
                  <w:pPr>
                    <w:pStyle w:val="null3"/>
                    <w:jc w:val="left"/>
                  </w:pPr>
                  <w:r>
                    <w:rPr>
                      <w:rFonts w:ascii="&quot;times new roman&quot;" w:hAnsi="&quot;times new roman&quot;" w:cs="&quot;times new roman&quot;" w:eastAsia="&quot;times new roman&quot;"/>
                      <w:sz w:val="19"/>
                    </w:rPr>
                    <w:t>3.</w:t>
                  </w:r>
                  <w:r>
                    <w:rPr>
                      <w:rFonts w:ascii="宋体" w:hAnsi="宋体" w:cs="宋体" w:eastAsia="宋体"/>
                      <w:color w:val="000000"/>
                      <w:sz w:val="24"/>
                    </w:rPr>
                    <w:t>有效活性菌</w:t>
                  </w:r>
                  <w:r>
                    <w:rPr>
                      <w:rFonts w:ascii="宋体" w:hAnsi="宋体" w:cs="宋体" w:eastAsia="宋体"/>
                      <w:color w:val="000000"/>
                      <w:sz w:val="24"/>
                    </w:rPr>
                    <w:t>≥</w:t>
                  </w:r>
                  <w:r>
                    <w:rPr>
                      <w:rFonts w:ascii="宋体" w:hAnsi="宋体" w:cs="宋体" w:eastAsia="宋体"/>
                      <w:color w:val="000000"/>
                      <w:sz w:val="24"/>
                    </w:rPr>
                    <w:t>0.50%亿/g</w:t>
                  </w:r>
                  <w:r>
                    <w:rPr>
                      <w:rFonts w:ascii="宋体" w:hAnsi="宋体" w:cs="宋体" w:eastAsia="宋体"/>
                      <w:color w:val="000000"/>
                      <w:sz w:val="24"/>
                    </w:rPr>
                    <w:t>。</w:t>
                  </w:r>
                </w:p>
                <w:p>
                  <w:pPr>
                    <w:pStyle w:val="null3"/>
                    <w:jc w:val="left"/>
                  </w:pPr>
                  <w:r>
                    <w:rPr>
                      <w:rFonts w:ascii="&quot;times new roman&quot;" w:hAnsi="&quot;times new roman&quot;" w:cs="&quot;times new roman&quot;" w:eastAsia="&quot;times new roman&quot;"/>
                      <w:sz w:val="19"/>
                    </w:rPr>
                    <w:t>4.</w:t>
                  </w:r>
                  <w:r>
                    <w:rPr>
                      <w:rFonts w:ascii="宋体" w:hAnsi="宋体" w:cs="宋体" w:eastAsia="宋体"/>
                      <w:sz w:val="24"/>
                    </w:rPr>
                    <w:t>水分</w:t>
                  </w:r>
                  <w:r>
                    <w:rPr>
                      <w:rFonts w:ascii="宋体" w:hAnsi="宋体" w:cs="宋体" w:eastAsia="宋体"/>
                      <w:sz w:val="24"/>
                    </w:rPr>
                    <w:t>(鲜样)的质量分数≤30%。</w:t>
                  </w:r>
                </w:p>
                <w:p>
                  <w:pPr>
                    <w:pStyle w:val="null3"/>
                    <w:jc w:val="left"/>
                  </w:pPr>
                  <w:r>
                    <w:rPr>
                      <w:rFonts w:ascii="&quot;times new roman&quot;" w:hAnsi="&quot;times new roman&quot;" w:cs="&quot;times new roman&quot;" w:eastAsia="&quot;times new roman&quot;"/>
                      <w:sz w:val="19"/>
                    </w:rPr>
                    <w:t>5.</w:t>
                  </w:r>
                  <w:r>
                    <w:rPr>
                      <w:rFonts w:ascii="宋体" w:hAnsi="宋体" w:cs="宋体" w:eastAsia="宋体"/>
                      <w:sz w:val="24"/>
                    </w:rPr>
                    <w:t>酸碱度</w:t>
                  </w:r>
                  <w:r>
                    <w:rPr>
                      <w:rFonts w:ascii="宋体" w:hAnsi="宋体" w:cs="宋体" w:eastAsia="宋体"/>
                      <w:sz w:val="24"/>
                    </w:rPr>
                    <w:t>(pH) 5.5-8.5区间。</w:t>
                  </w:r>
                </w:p>
                <w:p>
                  <w:pPr>
                    <w:pStyle w:val="null3"/>
                    <w:jc w:val="left"/>
                  </w:pPr>
                  <w:r>
                    <w:rPr>
                      <w:rFonts w:ascii="&quot;times new roman&quot;" w:hAnsi="&quot;times new roman&quot;" w:cs="&quot;times new roman&quot;" w:eastAsia="&quot;times new roman&quot;"/>
                      <w:sz w:val="19"/>
                    </w:rPr>
                    <w:t>6.</w:t>
                  </w:r>
                  <w:r>
                    <w:rPr>
                      <w:rFonts w:ascii="宋体" w:hAnsi="宋体" w:cs="宋体" w:eastAsia="宋体"/>
                      <w:sz w:val="24"/>
                    </w:rPr>
                    <w:t>重金属限量指标</w:t>
                  </w:r>
                </w:p>
                <w:p>
                  <w:pPr>
                    <w:pStyle w:val="null3"/>
                    <w:jc w:val="left"/>
                  </w:pPr>
                  <w:r>
                    <w:rPr>
                      <w:rFonts w:ascii="&quot;times new roman&quot;" w:hAnsi="&quot;times new roman&quot;" w:cs="&quot;times new roman&quot;" w:eastAsia="&quot;times new roman&quot;"/>
                      <w:sz w:val="19"/>
                    </w:rPr>
                    <w:t>（1）</w:t>
                  </w:r>
                  <w:r>
                    <w:rPr>
                      <w:rFonts w:ascii="宋体" w:hAnsi="宋体" w:cs="宋体" w:eastAsia="宋体"/>
                      <w:sz w:val="24"/>
                    </w:rPr>
                    <w:t>总砷</w:t>
                  </w:r>
                  <w:r>
                    <w:rPr>
                      <w:rFonts w:ascii="宋体" w:hAnsi="宋体" w:cs="宋体" w:eastAsia="宋体"/>
                      <w:sz w:val="24"/>
                    </w:rPr>
                    <w:t>(As)(以烘干基计)≤</w:t>
                  </w:r>
                  <w:r>
                    <w:rPr>
                      <w:rFonts w:ascii="宋体" w:hAnsi="宋体" w:cs="宋体" w:eastAsia="宋体"/>
                      <w:sz w:val="24"/>
                    </w:rPr>
                    <w:t>1</w:t>
                  </w:r>
                  <w:r>
                    <w:rPr>
                      <w:rFonts w:ascii="宋体" w:hAnsi="宋体" w:cs="宋体" w:eastAsia="宋体"/>
                      <w:sz w:val="24"/>
                    </w:rPr>
                    <w:t>5mg/kg</w:t>
                  </w:r>
                </w:p>
                <w:p>
                  <w:pPr>
                    <w:pStyle w:val="null3"/>
                    <w:jc w:val="left"/>
                  </w:pPr>
                  <w:r>
                    <w:rPr>
                      <w:rFonts w:ascii="&quot;times new roman&quot;" w:hAnsi="&quot;times new roman&quot;" w:cs="&quot;times new roman&quot;" w:eastAsia="&quot;times new roman&quot;"/>
                      <w:sz w:val="19"/>
                    </w:rPr>
                    <w:t>（2）</w:t>
                  </w:r>
                  <w:r>
                    <w:rPr>
                      <w:rFonts w:ascii="宋体" w:hAnsi="宋体" w:cs="宋体" w:eastAsia="宋体"/>
                      <w:sz w:val="24"/>
                    </w:rPr>
                    <w:t>总铅</w:t>
                  </w:r>
                  <w:r>
                    <w:rPr>
                      <w:rFonts w:ascii="宋体" w:hAnsi="宋体" w:cs="宋体" w:eastAsia="宋体"/>
                      <w:sz w:val="24"/>
                    </w:rPr>
                    <w:t>(Pb)(以烘干基计)≤</w:t>
                  </w:r>
                  <w:r>
                    <w:rPr>
                      <w:rFonts w:ascii="宋体" w:hAnsi="宋体" w:cs="宋体" w:eastAsia="宋体"/>
                      <w:sz w:val="24"/>
                    </w:rPr>
                    <w:t>50</w:t>
                  </w:r>
                  <w:r>
                    <w:rPr>
                      <w:rFonts w:ascii="宋体" w:hAnsi="宋体" w:cs="宋体" w:eastAsia="宋体"/>
                      <w:sz w:val="24"/>
                    </w:rPr>
                    <w:t>mg/kg</w:t>
                  </w:r>
                </w:p>
                <w:p>
                  <w:pPr>
                    <w:pStyle w:val="null3"/>
                    <w:jc w:val="left"/>
                  </w:pPr>
                  <w:r>
                    <w:rPr>
                      <w:rFonts w:ascii="&quot;times new roman&quot;" w:hAnsi="&quot;times new roman&quot;" w:cs="&quot;times new roman&quot;" w:eastAsia="&quot;times new roman&quot;"/>
                      <w:sz w:val="19"/>
                    </w:rPr>
                    <w:t>（3）</w:t>
                  </w:r>
                  <w:r>
                    <w:rPr>
                      <w:rFonts w:ascii="宋体" w:hAnsi="宋体" w:cs="宋体" w:eastAsia="宋体"/>
                      <w:sz w:val="24"/>
                    </w:rPr>
                    <w:t>总镉</w:t>
                  </w:r>
                  <w:r>
                    <w:rPr>
                      <w:rFonts w:ascii="宋体" w:hAnsi="宋体" w:cs="宋体" w:eastAsia="宋体"/>
                      <w:sz w:val="24"/>
                    </w:rPr>
                    <w:t>(Cd)(以烘干基计)≤3mg/kg</w:t>
                  </w:r>
                </w:p>
                <w:p>
                  <w:pPr>
                    <w:pStyle w:val="null3"/>
                    <w:jc w:val="left"/>
                  </w:pPr>
                  <w:r>
                    <w:rPr>
                      <w:rFonts w:ascii="&quot;times new roman&quot;" w:hAnsi="&quot;times new roman&quot;" w:cs="&quot;times new roman&quot;" w:eastAsia="&quot;times new roman&quot;"/>
                      <w:sz w:val="19"/>
                    </w:rPr>
                    <w:t>（4）</w:t>
                  </w:r>
                  <w:r>
                    <w:rPr>
                      <w:rFonts w:ascii="宋体" w:hAnsi="宋体" w:cs="宋体" w:eastAsia="宋体"/>
                      <w:sz w:val="24"/>
                    </w:rPr>
                    <w:t>总铬</w:t>
                  </w:r>
                  <w:r>
                    <w:rPr>
                      <w:rFonts w:ascii="宋体" w:hAnsi="宋体" w:cs="宋体" w:eastAsia="宋体"/>
                      <w:sz w:val="24"/>
                    </w:rPr>
                    <w:t>(Cr)(以烘干基计)≤</w:t>
                  </w:r>
                  <w:r>
                    <w:rPr>
                      <w:rFonts w:ascii="宋体" w:hAnsi="宋体" w:cs="宋体" w:eastAsia="宋体"/>
                      <w:sz w:val="24"/>
                    </w:rPr>
                    <w:t>1</w:t>
                  </w:r>
                  <w:r>
                    <w:rPr>
                      <w:rFonts w:ascii="宋体" w:hAnsi="宋体" w:cs="宋体" w:eastAsia="宋体"/>
                      <w:sz w:val="24"/>
                    </w:rPr>
                    <w:t>50mg/kg</w:t>
                  </w:r>
                </w:p>
                <w:p>
                  <w:pPr>
                    <w:pStyle w:val="null3"/>
                    <w:jc w:val="left"/>
                  </w:pPr>
                  <w:r>
                    <w:rPr>
                      <w:rFonts w:ascii="&quot;times new roman&quot;" w:hAnsi="&quot;times new roman&quot;" w:cs="&quot;times new roman&quot;" w:eastAsia="&quot;times new roman&quot;"/>
                      <w:sz w:val="19"/>
                    </w:rPr>
                    <w:t>（5）</w:t>
                  </w:r>
                  <w:r>
                    <w:rPr>
                      <w:rFonts w:ascii="宋体" w:hAnsi="宋体" w:cs="宋体" w:eastAsia="宋体"/>
                      <w:sz w:val="24"/>
                    </w:rPr>
                    <w:t>总汞</w:t>
                  </w:r>
                  <w:r>
                    <w:rPr>
                      <w:rFonts w:ascii="宋体" w:hAnsi="宋体" w:cs="宋体" w:eastAsia="宋体"/>
                      <w:sz w:val="24"/>
                    </w:rPr>
                    <w:t>(Hg)(以烘干基计)≤</w:t>
                  </w:r>
                  <w:r>
                    <w:rPr>
                      <w:rFonts w:ascii="宋体" w:hAnsi="宋体" w:cs="宋体" w:eastAsia="宋体"/>
                      <w:sz w:val="24"/>
                    </w:rPr>
                    <w:t>2</w:t>
                  </w:r>
                  <w:r>
                    <w:rPr>
                      <w:rFonts w:ascii="宋体" w:hAnsi="宋体" w:cs="宋体" w:eastAsia="宋体"/>
                      <w:sz w:val="24"/>
                    </w:rPr>
                    <w:t>mg/kg</w:t>
                  </w:r>
                </w:p>
                <w:p>
                  <w:pPr>
                    <w:pStyle w:val="null3"/>
                    <w:jc w:val="left"/>
                  </w:pPr>
                  <w:r>
                    <w:rPr>
                      <w:rFonts w:ascii="宋体" w:hAnsi="宋体" w:cs="宋体" w:eastAsia="宋体"/>
                      <w:sz w:val="24"/>
                    </w:rPr>
                    <w:t>7.无害化指标:粪大肠菌群数≤</w:t>
                  </w:r>
                  <w:r>
                    <w:rPr>
                      <w:rFonts w:ascii="宋体" w:hAnsi="宋体" w:cs="宋体" w:eastAsia="宋体"/>
                      <w:sz w:val="24"/>
                    </w:rPr>
                    <w:t>100</w:t>
                  </w:r>
                  <w:r>
                    <w:rPr>
                      <w:rFonts w:ascii="宋体" w:hAnsi="宋体" w:cs="宋体" w:eastAsia="宋体"/>
                      <w:sz w:val="24"/>
                    </w:rPr>
                    <w:t>个</w:t>
                  </w:r>
                  <w:r>
                    <w:rPr>
                      <w:rFonts w:ascii="宋体" w:hAnsi="宋体" w:cs="宋体" w:eastAsia="宋体"/>
                      <w:sz w:val="24"/>
                    </w:rPr>
                    <w:t>/g，蛔虫卵死亡率≥9</w:t>
                  </w:r>
                  <w:r>
                    <w:rPr>
                      <w:rFonts w:ascii="宋体" w:hAnsi="宋体" w:cs="宋体" w:eastAsia="宋体"/>
                      <w:sz w:val="24"/>
                    </w:rPr>
                    <w:t>5</w:t>
                  </w:r>
                  <w:r>
                    <w:rPr>
                      <w:rFonts w:ascii="宋体" w:hAnsi="宋体" w:cs="宋体" w:eastAsia="宋体"/>
                      <w:sz w:val="24"/>
                    </w:rPr>
                    <w:t>%。</w:t>
                  </w:r>
                </w:p>
                <w:p>
                  <w:pPr>
                    <w:pStyle w:val="null3"/>
                    <w:jc w:val="left"/>
                  </w:pPr>
                  <w:r>
                    <w:rPr>
                      <w:rFonts w:ascii="宋体" w:hAnsi="宋体" w:cs="宋体" w:eastAsia="宋体"/>
                      <w:sz w:val="24"/>
                    </w:rPr>
                    <w:t>8.包装规格:25kg或40kg/袋;产品形状:</w:t>
                  </w:r>
                  <w:r>
                    <w:rPr>
                      <w:rFonts w:ascii="宋体" w:hAnsi="宋体" w:cs="宋体" w:eastAsia="宋体"/>
                      <w:sz w:val="24"/>
                    </w:rPr>
                    <w:t>颗粒</w:t>
                  </w:r>
                  <w:r>
                    <w:rPr>
                      <w:rFonts w:ascii="宋体" w:hAnsi="宋体" w:cs="宋体" w:eastAsia="宋体"/>
                      <w:sz w:val="24"/>
                    </w:rPr>
                    <w:t>。</w:t>
                  </w:r>
                </w:p>
                <w:p>
                  <w:pPr>
                    <w:pStyle w:val="null3"/>
                    <w:jc w:val="left"/>
                  </w:pPr>
                  <w:r>
                    <w:rPr>
                      <w:rFonts w:ascii="宋体" w:hAnsi="宋体" w:cs="宋体" w:eastAsia="宋体"/>
                      <w:sz w:val="24"/>
                    </w:rPr>
                    <w:t>9.外观颜色为褐色或灰褐色，</w:t>
                  </w:r>
                  <w:r>
                    <w:rPr>
                      <w:rFonts w:ascii="宋体" w:hAnsi="宋体" w:cs="宋体" w:eastAsia="宋体"/>
                      <w:sz w:val="24"/>
                    </w:rPr>
                    <w:t>颗粒</w:t>
                  </w:r>
                  <w:r>
                    <w:rPr>
                      <w:rFonts w:ascii="宋体" w:hAnsi="宋体" w:cs="宋体" w:eastAsia="宋体"/>
                      <w:sz w:val="24"/>
                    </w:rPr>
                    <w:t>，无</w:t>
                  </w:r>
                  <w:r>
                    <w:rPr>
                      <w:rFonts w:ascii="宋体" w:hAnsi="宋体" w:cs="宋体" w:eastAsia="宋体"/>
                      <w:sz w:val="24"/>
                    </w:rPr>
                    <w:t>明显</w:t>
                  </w:r>
                  <w:r>
                    <w:rPr>
                      <w:rFonts w:ascii="宋体" w:hAnsi="宋体" w:cs="宋体" w:eastAsia="宋体"/>
                      <w:sz w:val="24"/>
                    </w:rPr>
                    <w:t>机械杂质</w:t>
                  </w:r>
                  <w:r>
                    <w:rPr>
                      <w:rFonts w:ascii="宋体" w:hAnsi="宋体" w:cs="宋体" w:eastAsia="宋体"/>
                      <w:sz w:val="24"/>
                    </w:rPr>
                    <w:t>，</w:t>
                  </w:r>
                  <w:r>
                    <w:rPr>
                      <w:rFonts w:ascii="宋体" w:hAnsi="宋体" w:cs="宋体" w:eastAsia="宋体"/>
                      <w:sz w:val="24"/>
                    </w:rPr>
                    <w:t>大小均匀，无腐败味。</w:t>
                  </w:r>
                </w:p>
              </w:tc>
            </w:tr>
          </w:tbl>
          <w:p/>
        </w:tc>
      </w:tr>
      <w:tr>
        <w:tc>
          <w:tcPr>
            <w:tcW w:type="dxa" w:w="831"/>
          </w:tcPr>
          <w:p>
            <w:pPr>
              <w:pStyle w:val="null3"/>
              <w:jc w:val="left"/>
            </w:pPr>
            <w:r>
              <w:rPr/>
              <w:t>6</w:t>
            </w:r>
          </w:p>
        </w:tc>
        <w:tc>
          <w:tcPr>
            <w:tcW w:type="dxa" w:w="1246"/>
          </w:tcPr>
          <w:p>
            <w:pPr>
              <w:pStyle w:val="null3"/>
              <w:jc w:val="left"/>
            </w:pPr>
            <w:r>
              <w:rPr/>
              <w:t>★</w:t>
            </w:r>
          </w:p>
        </w:tc>
        <w:tc>
          <w:tcPr>
            <w:tcW w:type="dxa" w:w="2492"/>
          </w:tcPr>
          <w:p>
            <w:pPr>
              <w:pStyle w:val="null3"/>
              <w:jc w:val="left"/>
            </w:pPr>
            <w:r>
              <w:rPr/>
              <w:t>噻虫嗪10g每袋</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8"/>
                    </w:rPr>
                    <w:t>噻虫嗪</w:t>
                  </w:r>
                  <w:r>
                    <w:rPr>
                      <w:rFonts w:ascii="calibri" w:hAnsi="calibri" w:cs="calibri" w:eastAsia="calibri"/>
                      <w:color w:val="000000"/>
                      <w:sz w:val="28"/>
                    </w:rPr>
                    <w:t>10g</w:t>
                  </w:r>
                  <w:r>
                    <w:rPr>
                      <w:rFonts w:ascii="宋体" w:hAnsi="宋体" w:cs="宋体" w:eastAsia="宋体"/>
                      <w:color w:val="000000"/>
                      <w:sz w:val="28"/>
                    </w:rPr>
                    <w:t>每袋</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color w:val="000000"/>
                      <w:sz w:val="28"/>
                    </w:rPr>
                    <w:t>1600</w:t>
                  </w:r>
                  <w:r>
                    <w:rPr>
                      <w:rFonts w:ascii="宋体" w:hAnsi="宋体" w:cs="宋体" w:eastAsia="宋体"/>
                      <w:color w:val="000000"/>
                      <w:sz w:val="28"/>
                    </w:rPr>
                    <w:t>袋</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1.药剂成分及含量：总含量</w:t>
                  </w:r>
                  <w:r>
                    <w:rPr>
                      <w:rFonts w:ascii="宋体" w:hAnsi="宋体" w:cs="宋体" w:eastAsia="宋体"/>
                      <w:sz w:val="24"/>
                    </w:rPr>
                    <w:t>≧30%，（噻虫嗪≧30%）</w:t>
                  </w:r>
                </w:p>
                <w:p>
                  <w:pPr>
                    <w:pStyle w:val="null3"/>
                    <w:jc w:val="both"/>
                  </w:pPr>
                  <w:r>
                    <w:rPr>
                      <w:rFonts w:ascii="宋体" w:hAnsi="宋体" w:cs="宋体" w:eastAsia="宋体"/>
                      <w:sz w:val="24"/>
                    </w:rPr>
                    <w:t>2.药剂剂型：悬浮剂</w:t>
                  </w:r>
                </w:p>
              </w:tc>
            </w:tr>
          </w:tbl>
          <w:p/>
        </w:tc>
      </w:tr>
      <w:tr>
        <w:tc>
          <w:tcPr>
            <w:tcW w:type="dxa" w:w="831"/>
          </w:tcPr>
          <w:p>
            <w:pPr>
              <w:pStyle w:val="null3"/>
              <w:jc w:val="left"/>
            </w:pPr>
            <w:r>
              <w:rPr/>
              <w:t>7</w:t>
            </w:r>
          </w:p>
        </w:tc>
        <w:tc>
          <w:tcPr>
            <w:tcW w:type="dxa" w:w="1246"/>
          </w:tcPr>
          <w:p>
            <w:pPr>
              <w:pStyle w:val="null3"/>
              <w:jc w:val="left"/>
            </w:pPr>
            <w:r>
              <w:rPr/>
              <w:t>★</w:t>
            </w:r>
          </w:p>
        </w:tc>
        <w:tc>
          <w:tcPr>
            <w:tcW w:type="dxa" w:w="2492"/>
          </w:tcPr>
          <w:p>
            <w:pPr>
              <w:pStyle w:val="null3"/>
              <w:jc w:val="left"/>
            </w:pPr>
            <w:r>
              <w:rPr/>
              <w:t>溴氰•吡虫啉20g每袋</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溴氰</w:t>
                  </w:r>
                  <w:r>
                    <w:rPr>
                      <w:rFonts w:ascii="宋体" w:hAnsi="宋体" w:cs="宋体" w:eastAsia="宋体"/>
                      <w:sz w:val="28"/>
                    </w:rPr>
                    <w:t>•</w:t>
                  </w:r>
                  <w:r>
                    <w:rPr>
                      <w:rFonts w:ascii="宋体" w:hAnsi="宋体" w:cs="宋体" w:eastAsia="宋体"/>
                      <w:sz w:val="28"/>
                    </w:rPr>
                    <w:t>吡虫啉</w:t>
                  </w:r>
                  <w:r>
                    <w:rPr>
                      <w:rFonts w:ascii="calibri" w:hAnsi="calibri" w:cs="calibri" w:eastAsia="calibri"/>
                      <w:sz w:val="28"/>
                    </w:rPr>
                    <w:t>20g</w:t>
                  </w:r>
                  <w:r>
                    <w:rPr>
                      <w:rFonts w:ascii="宋体" w:hAnsi="宋体" w:cs="宋体" w:eastAsia="宋体"/>
                      <w:sz w:val="28"/>
                    </w:rPr>
                    <w:t>每袋</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1600</w:t>
                  </w:r>
                  <w:r>
                    <w:rPr>
                      <w:rFonts w:ascii="宋体" w:hAnsi="宋体" w:cs="宋体" w:eastAsia="宋体"/>
                      <w:sz w:val="28"/>
                    </w:rPr>
                    <w:t>袋</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1.药剂成分及含量：总含量≧20%，（溴氰菊酯≧2%、吡虫啉≧18%）</w:t>
                  </w:r>
                </w:p>
                <w:p>
                  <w:pPr>
                    <w:pStyle w:val="null3"/>
                    <w:jc w:val="both"/>
                  </w:pPr>
                  <w:r>
                    <w:rPr>
                      <w:rFonts w:ascii="宋体" w:hAnsi="宋体" w:cs="宋体" w:eastAsia="宋体"/>
                      <w:sz w:val="24"/>
                    </w:rPr>
                    <w:t>2.药剂剂型：悬浮剂</w:t>
                  </w:r>
                </w:p>
              </w:tc>
            </w:tr>
          </w:tbl>
          <w:p/>
        </w:tc>
      </w:tr>
      <w:tr>
        <w:tc>
          <w:tcPr>
            <w:tcW w:type="dxa" w:w="831"/>
          </w:tcPr>
          <w:p>
            <w:pPr>
              <w:pStyle w:val="null3"/>
              <w:jc w:val="left"/>
            </w:pPr>
            <w:r>
              <w:rPr/>
              <w:t>8</w:t>
            </w:r>
          </w:p>
        </w:tc>
        <w:tc>
          <w:tcPr>
            <w:tcW w:type="dxa" w:w="1246"/>
          </w:tcPr>
          <w:p>
            <w:pPr>
              <w:pStyle w:val="null3"/>
              <w:jc w:val="left"/>
            </w:pPr>
            <w:r>
              <w:rPr/>
              <w:t>★</w:t>
            </w:r>
          </w:p>
        </w:tc>
        <w:tc>
          <w:tcPr>
            <w:tcW w:type="dxa" w:w="2492"/>
          </w:tcPr>
          <w:p>
            <w:pPr>
              <w:pStyle w:val="null3"/>
              <w:jc w:val="left"/>
            </w:pPr>
            <w:r>
              <w:rPr/>
              <w:t>唑醚•戊唑醇20g每袋</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唑醚</w:t>
                  </w:r>
                  <w:r>
                    <w:rPr>
                      <w:rFonts w:ascii="宋体" w:hAnsi="宋体" w:cs="宋体" w:eastAsia="宋体"/>
                      <w:sz w:val="28"/>
                    </w:rPr>
                    <w:t>•</w:t>
                  </w:r>
                  <w:r>
                    <w:rPr>
                      <w:rFonts w:ascii="宋体" w:hAnsi="宋体" w:cs="宋体" w:eastAsia="宋体"/>
                      <w:sz w:val="28"/>
                    </w:rPr>
                    <w:t>戊唑醇</w:t>
                  </w:r>
                  <w:r>
                    <w:rPr>
                      <w:rFonts w:ascii="calibri" w:hAnsi="calibri" w:cs="calibri" w:eastAsia="calibri"/>
                      <w:sz w:val="28"/>
                    </w:rPr>
                    <w:t>20g</w:t>
                  </w:r>
                  <w:r>
                    <w:rPr>
                      <w:rFonts w:ascii="宋体" w:hAnsi="宋体" w:cs="宋体" w:eastAsia="宋体"/>
                      <w:sz w:val="28"/>
                    </w:rPr>
                    <w:t>每袋</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1600</w:t>
                  </w:r>
                  <w:r>
                    <w:rPr>
                      <w:rFonts w:ascii="宋体" w:hAnsi="宋体" w:cs="宋体" w:eastAsia="宋体"/>
                      <w:sz w:val="28"/>
                    </w:rPr>
                    <w:t>袋</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quot;times new roman&quot;" w:hAnsi="&quot;times new roman&quot;" w:cs="&quot;times new roman&quot;" w:eastAsia="&quot;times new roman&quot;"/>
                      <w:sz w:val="19"/>
                    </w:rPr>
                    <w:t>1.</w:t>
                  </w:r>
                  <w:r>
                    <w:rPr>
                      <w:rFonts w:ascii="宋体" w:hAnsi="宋体" w:cs="宋体" w:eastAsia="宋体"/>
                      <w:sz w:val="24"/>
                    </w:rPr>
                    <w:t>药剂成分及含量：总含量</w:t>
                  </w:r>
                  <w:r>
                    <w:rPr>
                      <w:rFonts w:ascii="宋体" w:hAnsi="宋体" w:cs="宋体" w:eastAsia="宋体"/>
                      <w:sz w:val="24"/>
                    </w:rPr>
                    <w:t>≧30%，（吡唑醚菌酯≧10%、戊唑醇≧20%）</w:t>
                  </w:r>
                </w:p>
                <w:p>
                  <w:pPr>
                    <w:pStyle w:val="null3"/>
                    <w:jc w:val="both"/>
                  </w:pPr>
                  <w:r>
                    <w:rPr>
                      <w:rFonts w:ascii="&quot;times new roman&quot;" w:hAnsi="&quot;times new roman&quot;" w:cs="&quot;times new roman&quot;" w:eastAsia="&quot;times new roman&quot;"/>
                      <w:sz w:val="19"/>
                    </w:rPr>
                    <w:t>2.</w:t>
                  </w:r>
                  <w:r>
                    <w:rPr>
                      <w:rFonts w:ascii="宋体" w:hAnsi="宋体" w:cs="宋体" w:eastAsia="宋体"/>
                      <w:sz w:val="24"/>
                    </w:rPr>
                    <w:t>药剂剂型：悬浮剂</w:t>
                  </w:r>
                </w:p>
              </w:tc>
            </w:tr>
          </w:tbl>
          <w:p/>
        </w:tc>
      </w:tr>
      <w:tr>
        <w:tc>
          <w:tcPr>
            <w:tcW w:type="dxa" w:w="831"/>
          </w:tcPr>
          <w:p>
            <w:pPr>
              <w:pStyle w:val="null3"/>
              <w:jc w:val="left"/>
            </w:pPr>
            <w:r>
              <w:rPr/>
              <w:t>9</w:t>
            </w:r>
          </w:p>
        </w:tc>
        <w:tc>
          <w:tcPr>
            <w:tcW w:type="dxa" w:w="1246"/>
          </w:tcPr>
          <w:p>
            <w:pPr>
              <w:pStyle w:val="null3"/>
              <w:jc w:val="left"/>
            </w:pPr>
            <w:r>
              <w:rPr/>
              <w:t>★</w:t>
            </w:r>
          </w:p>
        </w:tc>
        <w:tc>
          <w:tcPr>
            <w:tcW w:type="dxa" w:w="2492"/>
          </w:tcPr>
          <w:p>
            <w:pPr>
              <w:pStyle w:val="null3"/>
              <w:jc w:val="left"/>
            </w:pPr>
            <w:r>
              <w:rPr/>
              <w:t>螺虫乙酯10g每袋</w:t>
            </w:r>
          </w:p>
        </w:tc>
        <w:tc>
          <w:tcPr>
            <w:tcW w:type="dxa" w:w="3738"/>
          </w:tcPr>
          <w:tbl>
            <w:tblPr>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螺虫乙酯</w:t>
                  </w:r>
                  <w:r>
                    <w:rPr>
                      <w:rFonts w:ascii="calibri" w:hAnsi="calibri" w:cs="calibri" w:eastAsia="calibri"/>
                      <w:sz w:val="28"/>
                    </w:rPr>
                    <w:t>10g</w:t>
                  </w:r>
                  <w:r>
                    <w:rPr>
                      <w:rFonts w:ascii="宋体" w:hAnsi="宋体" w:cs="宋体" w:eastAsia="宋体"/>
                      <w:sz w:val="28"/>
                    </w:rPr>
                    <w:t>每袋</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1600</w:t>
                  </w:r>
                  <w:r>
                    <w:rPr>
                      <w:rFonts w:ascii="宋体" w:hAnsi="宋体" w:cs="宋体" w:eastAsia="宋体"/>
                      <w:sz w:val="28"/>
                    </w:rPr>
                    <w:t>袋</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1.药剂成分及含量：总含量≧22.4%，（螺虫乙酯≧22.4%）</w:t>
                  </w:r>
                </w:p>
                <w:p>
                  <w:pPr>
                    <w:pStyle w:val="null3"/>
                    <w:jc w:val="both"/>
                  </w:pPr>
                  <w:r>
                    <w:rPr>
                      <w:rFonts w:ascii="宋体" w:hAnsi="宋体" w:cs="宋体" w:eastAsia="宋体"/>
                      <w:sz w:val="24"/>
                    </w:rPr>
                    <w:t>2.药剂剂型：悬浮剂</w:t>
                  </w:r>
                </w:p>
              </w:tc>
            </w:tr>
          </w:tbl>
          <w:p/>
        </w:tc>
      </w:tr>
      <w:tr>
        <w:tc>
          <w:tcPr>
            <w:tcW w:type="dxa" w:w="831"/>
          </w:tcPr>
          <w:p>
            <w:pPr>
              <w:pStyle w:val="null3"/>
              <w:jc w:val="left"/>
            </w:pPr>
            <w:r>
              <w:rPr/>
              <w:t>10</w:t>
            </w:r>
          </w:p>
        </w:tc>
        <w:tc>
          <w:tcPr>
            <w:tcW w:type="dxa" w:w="1246"/>
          </w:tcPr>
          <w:p>
            <w:pPr>
              <w:pStyle w:val="null3"/>
              <w:jc w:val="left"/>
            </w:pPr>
            <w:r>
              <w:rPr/>
              <w:t>★</w:t>
            </w:r>
          </w:p>
        </w:tc>
        <w:tc>
          <w:tcPr>
            <w:tcW w:type="dxa" w:w="2492"/>
          </w:tcPr>
          <w:p>
            <w:pPr>
              <w:pStyle w:val="null3"/>
              <w:jc w:val="left"/>
            </w:pPr>
            <w:r>
              <w:rPr/>
              <w:t>联肼•乙螨唑20g每袋</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906"/>
              <w:gridCol w:w="906"/>
              <w:gridCol w:w="1710"/>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产品名称</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数量</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36"/>
                    </w:rPr>
                    <w:t>参数</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8"/>
                    </w:rPr>
                    <w:t>联肼</w:t>
                  </w:r>
                  <w:r>
                    <w:rPr>
                      <w:rFonts w:ascii="宋体" w:hAnsi="宋体" w:cs="宋体" w:eastAsia="宋体"/>
                      <w:sz w:val="28"/>
                    </w:rPr>
                    <w:t>•</w:t>
                  </w:r>
                  <w:r>
                    <w:rPr>
                      <w:rFonts w:ascii="宋体" w:hAnsi="宋体" w:cs="宋体" w:eastAsia="宋体"/>
                      <w:sz w:val="28"/>
                    </w:rPr>
                    <w:t>乙螨唑</w:t>
                  </w:r>
                  <w:r>
                    <w:rPr>
                      <w:rFonts w:ascii="calibri" w:hAnsi="calibri" w:cs="calibri" w:eastAsia="calibri"/>
                      <w:sz w:val="28"/>
                    </w:rPr>
                    <w:t>20g</w:t>
                  </w:r>
                  <w:r>
                    <w:rPr>
                      <w:rFonts w:ascii="宋体" w:hAnsi="宋体" w:cs="宋体" w:eastAsia="宋体"/>
                      <w:sz w:val="28"/>
                    </w:rPr>
                    <w:t>每袋</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8"/>
                    </w:rPr>
                    <w:t>1600</w:t>
                  </w:r>
                  <w:r>
                    <w:rPr>
                      <w:rFonts w:ascii="宋体" w:hAnsi="宋体" w:cs="宋体" w:eastAsia="宋体"/>
                      <w:sz w:val="28"/>
                    </w:rPr>
                    <w:t>袋</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quot;times new roman&quot;" w:hAnsi="&quot;times new roman&quot;" w:cs="&quot;times new roman&quot;" w:eastAsia="&quot;times new roman&quot;"/>
                      <w:sz w:val="19"/>
                    </w:rPr>
                    <w:t xml:space="preserve"> 1.</w:t>
                  </w:r>
                  <w:r>
                    <w:rPr>
                      <w:rFonts w:ascii="宋体" w:hAnsi="宋体" w:cs="宋体" w:eastAsia="宋体"/>
                      <w:sz w:val="24"/>
                    </w:rPr>
                    <w:t>药剂成分及含量：总含量</w:t>
                  </w:r>
                  <w:r>
                    <w:rPr>
                      <w:rFonts w:ascii="宋体" w:hAnsi="宋体" w:cs="宋体" w:eastAsia="宋体"/>
                      <w:sz w:val="24"/>
                    </w:rPr>
                    <w:t>≧45%，（联苯菊酯≧22.5%、乙螨唑≧2.5%）</w:t>
                  </w:r>
                </w:p>
                <w:p>
                  <w:pPr>
                    <w:pStyle w:val="null3"/>
                    <w:jc w:val="both"/>
                  </w:pPr>
                  <w:r>
                    <w:rPr>
                      <w:rFonts w:ascii="宋体" w:hAnsi="宋体" w:cs="宋体" w:eastAsia="宋体"/>
                      <w:sz w:val="24"/>
                    </w:rPr>
                    <w:t>2.</w:t>
                  </w:r>
                  <w:r>
                    <w:rPr>
                      <w:rFonts w:ascii="宋体" w:hAnsi="宋体" w:cs="宋体" w:eastAsia="宋体"/>
                      <w:sz w:val="24"/>
                    </w:rPr>
                    <w:t>药剂剂型：悬浮剂</w:t>
                  </w:r>
                </w:p>
              </w:tc>
            </w:tr>
          </w:tbl>
          <w:p>
            <w:pPr>
              <w:pStyle w:val="null3"/>
              <w:jc w:val="left"/>
            </w:pPr>
            <w:r>
              <w:rPr/>
              <w:t xml:space="preserve"> </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古蔺县白泥镇</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1、项目完成且验收合格后支付至中标金额的97%，1年后划拨剩余3% ，达到付款条件起 10 日内，支付合同总金额的 100.00%。，达到付款条件起10日内，据实情况说明为按实计算</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严格按照政府采购相关法律法规、《财政部关于进一步加强政府采购需求和履约验收管理的指导意见》（财库〔2016〕205 号）及泸州市有关规定进行验收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不涉及保修</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按照合同约定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项目实施方案：根据供应商针对本项目采购需求提供的实施方案方案至少包含①人员配置、②货源组织、③包装运输、④送货方式、⑤退货换货机制、⑥项目应急预案、⑦关键节点把控、⑧技术支持、⑨质量控制措施、⑩进度计划。2、项目售后方案：①售后服务机构或售后服务网点、②售后服务设备配置、③售后服务人员配置、④质量跟踪计划、⑤培训计划及方案、⑥售后服务及响应时间、⑦应急处理方案等</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投标人需在使用投标(响应)客户端编制投标文件时，按要求填写《投标（响应）函》完成承诺并进行电子签章。</w:t>
            </w:r>
          </w:p>
        </w:tc>
        <w:tc>
          <w:tcPr>
            <w:tcW w:type="dxa" w:w="1910"/>
          </w:tcPr>
          <w:p>
            <w:pPr>
              <w:pStyle w:val="null3"/>
              <w:jc w:val="left"/>
            </w:pPr>
            <w:r>
              <w:rPr/>
              <w:t>投标人应提交的相关证明材料 报价明细表 中小企业声明函 残疾人福利性单位声明函 投标文件封面 投标（响应）函 监狱企业的证明文件</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可提供2023年度经审计的财务报告复印件（包含审计报告和审计报告中所涉及的财务报表和报表附注）和财务会计制度；②也可提供2023年度供应商内部的财务报表复印件（至少包含资产负债表）和财务会计制度；③也可提供截至响应文件递交截止日一年内银行出具的资信证明（复印件）；④供应商注册时间截至响应文件递交截止日不足一年的，也可提供加盖工商备案主管部门印章的公司章程复印件。（供应商需在项目电子化交易系统中按要求上传相应证明文件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①投标人所投农药产品须具有农药三证，即农药生产许可证、农药标准证、农药登记证（描述：提供《农药生产许可证》、《农药标准证》和《农药登记证》证书复印件）。 ② 投标人须提供所投产品（肥料）的《肥料登记证》或备案证明材料（按规定免于登记的产品除外）</w:t>
            </w:r>
          </w:p>
        </w:tc>
        <w:tc>
          <w:tcPr>
            <w:tcW w:type="dxa" w:w="3322"/>
          </w:tcPr>
          <w:p>
            <w:pPr>
              <w:pStyle w:val="null3"/>
              <w:jc w:val="left"/>
            </w:pPr>
            <w:r>
              <w:rPr/>
              <w:t>①投标人所投农药产品须具有农药三证，即农药生产许可证、农药标准证、农药登记证（描述：提供《农药生产许可证》、《农药标准证》和《农药登记证》证书复印件）。 ②投标人须提供所投产品（肥料）的《肥料登记证》或备案证明材料（按规定免于登记的产品除外）</w:t>
            </w:r>
          </w:p>
        </w:tc>
        <w:tc>
          <w:tcPr>
            <w:tcW w:type="dxa" w:w="1910"/>
          </w:tcPr>
          <w:p>
            <w:pPr>
              <w:pStyle w:val="null3"/>
              <w:jc w:val="left"/>
            </w:pPr>
            <w:r>
              <w:rPr/>
              <w:t>投标人应提交的相关证明材料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技术参数及要求</w:t>
            </w:r>
          </w:p>
        </w:tc>
        <w:tc>
          <w:tcPr>
            <w:tcW w:type="dxa" w:w="2575"/>
          </w:tcPr>
          <w:p>
            <w:pPr>
              <w:pStyle w:val="null3"/>
              <w:jc w:val="left"/>
            </w:pPr>
            <w:r>
              <w:rPr/>
              <w:t>技术参数及要求符合招标文件最低要求，没有负偏离得46分。每有1条负偏离扣1分（共46条），技术分扣完为止。 注：提供检验报告/合格证/审定公告/产品彩页资料/产品使用说明书等能证明其参数的证明材料（提供证明材料的扫描件），未提供或提供的证明材料不能证明其满足要求的按负偏离处理。</w:t>
            </w:r>
          </w:p>
        </w:tc>
        <w:tc>
          <w:tcPr>
            <w:tcW w:type="dxa" w:w="831"/>
          </w:tcPr>
          <w:p>
            <w:pPr>
              <w:pStyle w:val="null3"/>
              <w:jc w:val="center"/>
            </w:pPr>
            <w:r>
              <w:rPr/>
              <w:t>46.00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对投标人提供的项目实施方案进行评审，包括：①人员配置、②货源组织、③包装运输、④送货方式、⑤退货换货机制、⑥项目应急预案、⑦关键节点把控、⑧技术支持、⑨质量控制措施、⑩进度计划。内容满足招标文件要求的得10分。每有一项缺失扣1分，每项内容有错误的一处扣0.5分，扣完为止。 注：错误是指方案中存在项目名称错误、地点区域错误、内容与本项目无关、阐述内容仅罗列了上述要点、没有进行相应的说明，方案内容仅有框架或标题，引用的标准错误或与本项目无关等任意一种情形等。</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售后服务</w:t>
            </w:r>
          </w:p>
        </w:tc>
        <w:tc>
          <w:tcPr>
            <w:tcW w:type="dxa" w:w="2575"/>
          </w:tcPr>
          <w:p>
            <w:pPr>
              <w:pStyle w:val="null3"/>
              <w:jc w:val="left"/>
            </w:pPr>
            <w:r>
              <w:rPr/>
              <w:t>对投标人针对本项目提供的售后服务方案进行评审，包括：①售后服务机构或售后服务网点、②售后服务设备配置、③售后服务人员配置、④质量跟踪计划、⑤培训计划及方案、⑥售后服务及响应时间、⑦应急处理方案等。内容满足招标文件要求的得7分。每有一项缺失扣1分，每项内容有错误的一处扣0.5分，扣完为止。 注：错误是指方案中存在项目名称错误、地点区域错误、内容与本项目无关、阐述内容仅罗列了上述要点、没有进行相应的说明，方案内容仅有框架或标题，引用的标准错误或与本项目无关等任意一种情形等。</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供应商2021年1月1日以来具有一个已完成类似项目业绩的得2.5分，在此基础上每增加1个加1.5分，最多得7分。（提供合同或中标（成交）通知书扫描件）</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白泥镇 2024 年甜橙标准化示范果园项目</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