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版本号：N511703202600003020260605002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达川中心城区生活垃圾分类收转运和分拣、压缩处理中心建设项目(二次)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N5117032026000030</w:t>
      </w:r>
    </w:p>
    <w:p>
      <w:pPr>
        <w:pStyle w:val="null3"/>
        <w:jc w:val="left"/>
        <w:outlineLvl w:val="2"/>
      </w:pPr>
      <w:r>
        <w:rPr>
          <w:rFonts w:ascii="仿宋_GB2312" w:hAnsi="仿宋_GB2312" w:cs="仿宋_GB2312" w:eastAsia="仿宋_GB2312"/>
          <w:sz w:val="28"/>
          <w:b/>
        </w:rPr>
        <w:t>达州市达川区环境卫生管理处</w:t>
      </w:r>
    </w:p>
    <w:p>
      <w:pPr>
        <w:pStyle w:val="null3"/>
        <w:jc w:val="center"/>
        <w:outlineLvl w:val="2"/>
      </w:pPr>
      <w:r>
        <w:rPr>
          <w:rFonts w:ascii="仿宋_GB2312" w:hAnsi="仿宋_GB2312" w:cs="仿宋_GB2312" w:eastAsia="仿宋_GB2312"/>
          <w:sz w:val="28"/>
          <w:b/>
        </w:rPr>
        <w:t>四川锦鑫川荣工程咨询有限公司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四川锦鑫川荣工程咨询有限公司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达州市达川区环境卫生管理处</w:t>
      </w:r>
      <w:r>
        <w:rPr>
          <w:rFonts w:ascii="仿宋_GB2312" w:hAnsi="仿宋_GB2312" w:cs="仿宋_GB2312" w:eastAsia="仿宋_GB2312"/>
        </w:rPr>
        <w:t xml:space="preserve"> 委托，拟对 </w:t>
      </w:r>
      <w:r>
        <w:rPr>
          <w:rFonts w:ascii="仿宋_GB2312" w:hAnsi="仿宋_GB2312" w:cs="仿宋_GB2312" w:eastAsia="仿宋_GB2312"/>
        </w:rPr>
        <w:t>达川中心城区生活垃圾分类收转运和分拣、压缩处理中心建设项目(二次)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达州市达川区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N5117032026000030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达川中心城区生活垃圾分类收转运和分拣、压缩处理中心建设项目(二次)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拟采购达川中心城区生活垃圾分类收转运和分拣、压缩处理中心设备一批。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jc w:val="left"/>
      </w:pPr>
      <w:r>
        <w:rPr>
          <w:rFonts w:ascii="仿宋_GB2312" w:hAnsi="仿宋_GB2312" w:cs="仿宋_GB2312" w:eastAsia="仿宋_GB2312"/>
        </w:rPr>
        <w:t>采购包3：无。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达州市达川区环境卫生管理处</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四川省达州市达川区爱心巷55号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18582229470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四川锦鑫川荣工程咨询有限公司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成都市锦江区通宝街238号3楼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俸先生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028-84163545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采购包1：12,542,000.00元</w:t>
            </w:r>
          </w:p>
          <w:p>
            <w:pPr>
              <w:pStyle w:val="null3"/>
              <w:jc w:val="left"/>
            </w:pPr>
            <w:r>
              <w:rPr>
                <w:rFonts w:ascii="仿宋_GB2312" w:hAnsi="仿宋_GB2312" w:cs="仿宋_GB2312" w:eastAsia="仿宋_GB2312"/>
              </w:rPr>
              <w:t>采购包2：4,820,000.00元</w:t>
            </w:r>
          </w:p>
          <w:p>
            <w:pPr>
              <w:pStyle w:val="null3"/>
              <w:jc w:val="left"/>
            </w:pPr>
            <w:r>
              <w:rPr>
                <w:rFonts w:ascii="仿宋_GB2312" w:hAnsi="仿宋_GB2312" w:cs="仿宋_GB2312" w:eastAsia="仿宋_GB2312"/>
              </w:rPr>
              <w:t>采购包3：1,418,600.00元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代理服务费收费标准：根据成本加合理利润原则，代理服务费由成交供应商支付。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达州市达川区环境卫生管理处</w:t>
      </w:r>
      <w:r>
        <w:rPr>
          <w:rFonts w:ascii="仿宋_GB2312" w:hAnsi="仿宋_GB2312" w:cs="仿宋_GB2312" w:eastAsia="仿宋_GB2312"/>
        </w:rPr>
        <w:t xml:space="preserve"> 和 </w:t>
      </w:r>
      <w:r>
        <w:rPr>
          <w:rFonts w:ascii="仿宋_GB2312" w:hAnsi="仿宋_GB2312" w:cs="仿宋_GB2312" w:eastAsia="仿宋_GB2312"/>
        </w:rPr>
        <w:t>四川锦鑫川荣工程咨询有限公司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达州市达川区环境卫生管理处</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四川锦鑫川荣工程咨询有限公司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按照技术需求进行验收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按照技术需求进行验收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按照技术需求进行验收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按照商务需求进行验收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按照商务要求进行验收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按照商务需求进行验收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严格按照政府采购相关法律法规以及《财政部关于进一步加强政府采购需求和履约验收管理的指导意见》(财库[2016]205号）的要求进行验收。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严格按照政府采购相关法律法规以及《财政部关于进一步加强政府采购需求和履约验收管理的指导意见》(财库[2016]205号）的要求进行验收。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达州市达川区环境卫生管理处</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四川锦鑫川荣工程咨询有限公司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四川锦鑫川荣工程咨询有限公司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联系电话：18582229470</w:t>
      </w:r>
    </w:p>
    <w:p>
      <w:pPr>
        <w:pStyle w:val="null3"/>
        <w:jc w:val="left"/>
      </w:pPr>
      <w:r>
        <w:rPr>
          <w:rFonts w:ascii="仿宋_GB2312" w:hAnsi="仿宋_GB2312" w:cs="仿宋_GB2312" w:eastAsia="仿宋_GB2312"/>
        </w:rPr>
        <w:t>地址：四川省达州市达川区爱心巷55号</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联系人：俸先生</w:t>
      </w:r>
    </w:p>
    <w:p>
      <w:pPr>
        <w:pStyle w:val="null3"/>
        <w:jc w:val="left"/>
      </w:pPr>
      <w:r>
        <w:rPr>
          <w:rFonts w:ascii="仿宋_GB2312" w:hAnsi="仿宋_GB2312" w:cs="仿宋_GB2312" w:eastAsia="仿宋_GB2312"/>
        </w:rPr>
        <w:t>联系电话：028-84163545</w:t>
      </w:r>
    </w:p>
    <w:p>
      <w:pPr>
        <w:pStyle w:val="null3"/>
        <w:jc w:val="left"/>
      </w:pPr>
      <w:r>
        <w:rPr>
          <w:rFonts w:ascii="仿宋_GB2312" w:hAnsi="仿宋_GB2312" w:cs="仿宋_GB2312" w:eastAsia="仿宋_GB2312"/>
        </w:rPr>
        <w:t>地址：成都市锦江区通宝街238号3楼</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12,542,000.00</w:t>
      </w:r>
    </w:p>
    <w:p>
      <w:pPr>
        <w:pStyle w:val="null3"/>
        <w:jc w:val="left"/>
      </w:pPr>
      <w:r>
        <w:rPr>
          <w:rFonts w:ascii="仿宋_GB2312" w:hAnsi="仿宋_GB2312" w:cs="仿宋_GB2312" w:eastAsia="仿宋_GB2312"/>
        </w:rPr>
        <w:t>采购包最高限价（元）: 12,542,000.00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A02360300 固体废弃物处理设备</w:t>
            </w:r>
          </w:p>
        </w:tc>
        <w:tc>
          <w:tcPr>
            <w:tcW w:type="dxa" w:w="821"/>
          </w:tcPr>
          <w:p>
            <w:pPr>
              <w:pStyle w:val="null3"/>
              <w:jc w:val="left"/>
            </w:pPr>
            <w:r>
              <w:rPr>
                <w:rFonts w:ascii="仿宋_GB2312" w:hAnsi="仿宋_GB2312" w:cs="仿宋_GB2312" w:eastAsia="仿宋_GB2312"/>
              </w:rPr>
              <w:t>达川中心城区生活垃圾分类收转运和分拣、压缩处理中心建设项目</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12,542,000.00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4,820,000.00</w:t>
      </w:r>
    </w:p>
    <w:p>
      <w:pPr>
        <w:pStyle w:val="null3"/>
        <w:jc w:val="left"/>
      </w:pPr>
      <w:r>
        <w:rPr>
          <w:rFonts w:ascii="仿宋_GB2312" w:hAnsi="仿宋_GB2312" w:cs="仿宋_GB2312" w:eastAsia="仿宋_GB2312"/>
        </w:rPr>
        <w:t>采购包最高限价（元）: 4,820,000.00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A02360300 固体废弃物处理设备</w:t>
            </w:r>
          </w:p>
        </w:tc>
        <w:tc>
          <w:tcPr>
            <w:tcW w:type="dxa" w:w="821"/>
          </w:tcPr>
          <w:p>
            <w:pPr>
              <w:pStyle w:val="null3"/>
              <w:jc w:val="left"/>
            </w:pPr>
            <w:r>
              <w:rPr>
                <w:rFonts w:ascii="仿宋_GB2312" w:hAnsi="仿宋_GB2312" w:cs="仿宋_GB2312" w:eastAsia="仿宋_GB2312"/>
              </w:rPr>
              <w:t>达川中心城区生活垃圾分类收转运和分拣、压缩处理中心建设项目</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4,820,000.00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1,418,600.00</w:t>
      </w:r>
    </w:p>
    <w:p>
      <w:pPr>
        <w:pStyle w:val="null3"/>
        <w:jc w:val="left"/>
      </w:pPr>
      <w:r>
        <w:rPr>
          <w:rFonts w:ascii="仿宋_GB2312" w:hAnsi="仿宋_GB2312" w:cs="仿宋_GB2312" w:eastAsia="仿宋_GB2312"/>
        </w:rPr>
        <w:t>采购包最高限价（元）: 1,418,600.00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A02360300 固体废弃物处理设备</w:t>
            </w:r>
          </w:p>
        </w:tc>
        <w:tc>
          <w:tcPr>
            <w:tcW w:type="dxa" w:w="821"/>
          </w:tcPr>
          <w:p>
            <w:pPr>
              <w:pStyle w:val="null3"/>
              <w:jc w:val="left"/>
            </w:pPr>
            <w:r>
              <w:rPr>
                <w:rFonts w:ascii="仿宋_GB2312" w:hAnsi="仿宋_GB2312" w:cs="仿宋_GB2312" w:eastAsia="仿宋_GB2312"/>
              </w:rPr>
              <w:t>达川中心城区生活垃圾分类收转运和分拣、压缩处理中心建设项目</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1,418,600.00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pPr>
      <w:r>
        <w:rPr>
          <w:rFonts w:ascii="仿宋_GB2312" w:hAnsi="仿宋_GB2312" w:cs="仿宋_GB2312" w:eastAsia="仿宋_GB2312"/>
        </w:rPr>
        <w:t>采购包2：是</w:t>
      </w:r>
    </w:p>
    <w:p>
      <w:pPr>
        <w:pStyle w:val="null3"/>
        <w:jc w:val="left"/>
      </w:pPr>
      <w:r>
        <w:rPr>
          <w:rFonts w:ascii="仿宋_GB2312" w:hAnsi="仿宋_GB2312" w:cs="仿宋_GB2312" w:eastAsia="仿宋_GB2312"/>
        </w:rPr>
        <w:t>采购包3：是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达川中心城区生活垃圾分类收转运和分拣、压缩处理中心建设项目</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12,542,000.00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达川中心城区生活垃圾分类收转运和分拣、压缩处理中心建设项目</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4,820,000.00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达川中心城区生活垃圾分类收转运和分拣、压缩处理中心建设项目</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1,418,600.00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A02360300 固体废弃物处理设备</w:t>
            </w:r>
          </w:p>
        </w:tc>
        <w:tc>
          <w:tcPr>
            <w:tcW w:type="dxa" w:w="2492"/>
          </w:tcPr>
          <w:p>
            <w:pPr>
              <w:pStyle w:val="null3"/>
              <w:jc w:val="left"/>
            </w:pPr>
            <w:r>
              <w:rPr>
                <w:rFonts w:ascii="仿宋_GB2312" w:hAnsi="仿宋_GB2312" w:cs="仿宋_GB2312" w:eastAsia="仿宋_GB2312"/>
              </w:rPr>
              <w:t>达川中心城区生活垃圾分类收转运和分拣、压缩处理中心建设项目</w:t>
            </w:r>
          </w:p>
        </w:tc>
        <w:tc>
          <w:tcPr>
            <w:tcW w:type="dxa" w:w="2492"/>
          </w:tcPr>
          <w:p>
            <w:pPr>
              <w:pStyle w:val="null3"/>
              <w:jc w:val="left"/>
            </w:pPr>
            <w:r>
              <w:rPr>
                <w:rFonts w:ascii="仿宋_GB2312" w:hAnsi="仿宋_GB2312" w:cs="仿宋_GB2312" w:eastAsia="仿宋_GB2312"/>
              </w:rPr>
              <w:t>智能过磅无人值守管理系统</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A02360300 固体废弃物处理设备</w:t>
            </w:r>
          </w:p>
        </w:tc>
        <w:tc>
          <w:tcPr>
            <w:tcW w:type="dxa" w:w="2492"/>
          </w:tcPr>
          <w:p>
            <w:pPr>
              <w:pStyle w:val="null3"/>
              <w:jc w:val="left"/>
            </w:pPr>
            <w:r>
              <w:rPr>
                <w:rFonts w:ascii="仿宋_GB2312" w:hAnsi="仿宋_GB2312" w:cs="仿宋_GB2312" w:eastAsia="仿宋_GB2312"/>
              </w:rPr>
              <w:t>达川中心城区生活垃圾分类收转运和分拣、压缩处理中心建设项目</w:t>
            </w:r>
          </w:p>
        </w:tc>
        <w:tc>
          <w:tcPr>
            <w:tcW w:type="dxa" w:w="2492"/>
          </w:tcPr>
          <w:p>
            <w:pPr>
              <w:pStyle w:val="null3"/>
              <w:jc w:val="left"/>
            </w:pPr>
            <w:r>
              <w:rPr>
                <w:rFonts w:ascii="仿宋_GB2312" w:hAnsi="仿宋_GB2312" w:cs="仿宋_GB2312" w:eastAsia="仿宋_GB2312"/>
              </w:rPr>
              <w:t>新能源垃圾车</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A02360300 固体废弃物处理设备</w:t>
            </w:r>
          </w:p>
        </w:tc>
        <w:tc>
          <w:tcPr>
            <w:tcW w:type="dxa" w:w="2492"/>
          </w:tcPr>
          <w:p>
            <w:pPr>
              <w:pStyle w:val="null3"/>
              <w:jc w:val="left"/>
            </w:pPr>
            <w:r>
              <w:rPr>
                <w:rFonts w:ascii="仿宋_GB2312" w:hAnsi="仿宋_GB2312" w:cs="仿宋_GB2312" w:eastAsia="仿宋_GB2312"/>
              </w:rPr>
              <w:t>达川中心城区生活垃圾分类收转运和分拣、压缩处理中心建设项目</w:t>
            </w:r>
          </w:p>
        </w:tc>
        <w:tc>
          <w:tcPr>
            <w:tcW w:type="dxa" w:w="2492"/>
          </w:tcPr>
          <w:p>
            <w:pPr>
              <w:pStyle w:val="null3"/>
              <w:jc w:val="left"/>
            </w:pPr>
            <w:r>
              <w:rPr>
                <w:rFonts w:ascii="仿宋_GB2312" w:hAnsi="仿宋_GB2312" w:cs="仿宋_GB2312" w:eastAsia="仿宋_GB2312"/>
              </w:rPr>
              <w:t>240升四分类亭</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A02360300 固体废弃物处理设备</w:t>
            </w:r>
          </w:p>
        </w:tc>
        <w:tc>
          <w:tcPr>
            <w:tcW w:type="dxa" w:w="2492"/>
          </w:tcPr>
          <w:p>
            <w:pPr>
              <w:pStyle w:val="null3"/>
              <w:jc w:val="left"/>
            </w:pPr>
            <w:r>
              <w:rPr>
                <w:rFonts w:ascii="仿宋_GB2312" w:hAnsi="仿宋_GB2312" w:cs="仿宋_GB2312" w:eastAsia="仿宋_GB2312"/>
              </w:rPr>
              <w:t>达川中心城区生活垃圾分类收转运和分拣、压缩处理中心建设项目</w:t>
            </w:r>
          </w:p>
        </w:tc>
        <w:tc>
          <w:tcPr>
            <w:tcW w:type="dxa" w:w="2492"/>
          </w:tcPr>
          <w:p>
            <w:pPr>
              <w:pStyle w:val="null3"/>
              <w:jc w:val="left"/>
            </w:pPr>
            <w:r>
              <w:rPr>
                <w:rFonts w:ascii="仿宋_GB2312" w:hAnsi="仿宋_GB2312" w:cs="仿宋_GB2312" w:eastAsia="仿宋_GB2312"/>
              </w:rPr>
              <w:t>液晶显示器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标的名称：达川中心城区生活垃圾分类收转运和分拣、压缩处理中心建设项目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技术参数及要求</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64"/>
              <w:gridCol w:w="522"/>
              <w:gridCol w:w="4329"/>
              <w:gridCol w:w="381"/>
              <w:gridCol w:w="481"/>
              <w:gridCol w:w="389"/>
              <w:gridCol w:w="497"/>
            </w:tblGrid>
            <w:tr>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标的</w:t>
                  </w:r>
                  <w:r>
                    <w:rPr>
                      <w:rFonts w:ascii="仿宋_GB2312" w:hAnsi="仿宋_GB2312" w:cs="仿宋_GB2312" w:eastAsia="仿宋_GB2312"/>
                      <w:sz w:val="24"/>
                    </w:rPr>
                    <w:t>名称</w:t>
                  </w:r>
                </w:p>
              </w:tc>
              <w:tc>
                <w:tcPr>
                  <w:tcW w:type="dxa" w:w="4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技术参数与性能指标</w:t>
                  </w:r>
                </w:p>
              </w:tc>
              <w:tc>
                <w:tcPr>
                  <w:tcW w:type="dxa" w:w="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c>
                <w:tcPr>
                  <w:tcW w:type="dxa" w:w="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所属行业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△泡沫冷压机</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1、处理量：≥120kg/h；</w:t>
                  </w:r>
                  <w:r>
                    <w:br/>
                  </w:r>
                  <w:r>
                    <w:rPr>
                      <w:rFonts w:ascii="仿宋_GB2312" w:hAnsi="仿宋_GB2312" w:cs="仿宋_GB2312" w:eastAsia="仿宋_GB2312"/>
                      <w:sz w:val="20"/>
                    </w:rPr>
                    <w:t>▲</w:t>
                  </w:r>
                  <w:r>
                    <w:rPr>
                      <w:rFonts w:ascii="仿宋_GB2312" w:hAnsi="仿宋_GB2312" w:cs="仿宋_GB2312" w:eastAsia="仿宋_GB2312"/>
                      <w:sz w:val="22"/>
                    </w:rPr>
                    <w:t>2、压缩比：</w:t>
                  </w:r>
                  <w:r>
                    <w:rPr>
                      <w:rFonts w:ascii="仿宋_GB2312" w:hAnsi="仿宋_GB2312" w:cs="仿宋_GB2312" w:eastAsia="仿宋_GB2312"/>
                      <w:sz w:val="22"/>
                    </w:rPr>
                    <w:t>≥</w:t>
                  </w:r>
                  <w:r>
                    <w:rPr>
                      <w:rFonts w:ascii="仿宋_GB2312" w:hAnsi="仿宋_GB2312" w:cs="仿宋_GB2312" w:eastAsia="仿宋_GB2312"/>
                      <w:sz w:val="22"/>
                    </w:rPr>
                    <w:t>40:1</w:t>
                  </w:r>
                  <w:r>
                    <w:rPr>
                      <w:rFonts w:ascii="仿宋_GB2312" w:hAnsi="仿宋_GB2312" w:cs="仿宋_GB2312" w:eastAsia="仿宋_GB2312"/>
                      <w:sz w:val="22"/>
                    </w:rPr>
                    <w:t>（</w:t>
                  </w:r>
                  <w:r>
                    <w:rPr>
                      <w:rFonts w:ascii="仿宋_GB2312" w:hAnsi="仿宋_GB2312" w:cs="仿宋_GB2312" w:eastAsia="仿宋_GB2312"/>
                      <w:sz w:val="22"/>
                    </w:rPr>
                    <w:t xml:space="preserve">EPS 泡沫）或 </w:t>
                  </w:r>
                  <w:r>
                    <w:rPr>
                      <w:rFonts w:ascii="仿宋_GB2312" w:hAnsi="仿宋_GB2312" w:cs="仿宋_GB2312" w:eastAsia="仿宋_GB2312"/>
                      <w:sz w:val="22"/>
                    </w:rPr>
                    <w:t>≥</w:t>
                  </w:r>
                  <w:r>
                    <w:rPr>
                      <w:rFonts w:ascii="仿宋_GB2312" w:hAnsi="仿宋_GB2312" w:cs="仿宋_GB2312" w:eastAsia="仿宋_GB2312"/>
                      <w:sz w:val="22"/>
                    </w:rPr>
                    <w:t>16:1</w:t>
                  </w:r>
                  <w:r>
                    <w:rPr>
                      <w:rFonts w:ascii="仿宋_GB2312" w:hAnsi="仿宋_GB2312" w:cs="仿宋_GB2312" w:eastAsia="仿宋_GB2312"/>
                      <w:sz w:val="22"/>
                    </w:rPr>
                    <w:t xml:space="preserve"> </w:t>
                  </w:r>
                  <w:r>
                    <w:rPr>
                      <w:rFonts w:ascii="仿宋_GB2312" w:hAnsi="仿宋_GB2312" w:cs="仿宋_GB2312" w:eastAsia="仿宋_GB2312"/>
                      <w:sz w:val="22"/>
                    </w:rPr>
                    <w:t>（聚氨酯泡沫）；</w:t>
                  </w:r>
                  <w:r>
                    <w:br/>
                  </w:r>
                  <w:r>
                    <w:rPr>
                      <w:rFonts w:ascii="仿宋_GB2312" w:hAnsi="仿宋_GB2312" w:cs="仿宋_GB2312" w:eastAsia="仿宋_GB2312"/>
                      <w:sz w:val="22"/>
                    </w:rPr>
                    <w:t>3、挤压形式：螺杆+液压</w:t>
                  </w:r>
                  <w:r>
                    <w:rPr>
                      <w:rFonts w:ascii="仿宋_GB2312" w:hAnsi="仿宋_GB2312" w:cs="仿宋_GB2312" w:eastAsia="仿宋_GB2312"/>
                      <w:sz w:val="22"/>
                    </w:rPr>
                    <w:t>，</w:t>
                  </w:r>
                  <w:r>
                    <w:rPr>
                      <w:rFonts w:ascii="仿宋_GB2312" w:hAnsi="仿宋_GB2312" w:cs="仿宋_GB2312" w:eastAsia="仿宋_GB2312"/>
                      <w:sz w:val="22"/>
                    </w:rPr>
                    <w:t>行程调节范围：</w:t>
                  </w:r>
                  <w:r>
                    <w:rPr>
                      <w:rFonts w:ascii="仿宋_GB2312" w:hAnsi="仿宋_GB2312" w:cs="仿宋_GB2312" w:eastAsia="仿宋_GB2312"/>
                      <w:sz w:val="22"/>
                    </w:rPr>
                    <w:t>0-800mm；</w:t>
                  </w:r>
                  <w:r>
                    <w:br/>
                  </w:r>
                  <w:r>
                    <w:rPr>
                      <w:rFonts w:ascii="仿宋_GB2312" w:hAnsi="仿宋_GB2312" w:cs="仿宋_GB2312" w:eastAsia="仿宋_GB2312"/>
                      <w:sz w:val="22"/>
                    </w:rPr>
                    <w:t>4、储料仓形式：钢板焊接；</w:t>
                  </w:r>
                  <w:r>
                    <w:br/>
                  </w:r>
                  <w:r>
                    <w:rPr>
                      <w:rFonts w:ascii="仿宋_GB2312" w:hAnsi="仿宋_GB2312" w:cs="仿宋_GB2312" w:eastAsia="仿宋_GB2312"/>
                      <w:sz w:val="22"/>
                    </w:rPr>
                    <w:t>5、包块尺寸：250*250mm（±5%）</w:t>
                  </w:r>
                  <w:r>
                    <w:rPr>
                      <w:rFonts w:ascii="仿宋_GB2312" w:hAnsi="仿宋_GB2312" w:cs="仿宋_GB2312" w:eastAsia="仿宋_GB2312"/>
                      <w:sz w:val="22"/>
                    </w:rPr>
                    <w:t>；</w:t>
                  </w:r>
                  <w:r>
                    <w:br/>
                  </w:r>
                  <w:r>
                    <w:rPr>
                      <w:rFonts w:ascii="仿宋_GB2312" w:hAnsi="仿宋_GB2312" w:cs="仿宋_GB2312" w:eastAsia="仿宋_GB2312"/>
                      <w:sz w:val="22"/>
                    </w:rPr>
                    <w:t>6、采用螺旋推进压缩机构，通过撕碎破碎、压实成型等工序，将泡沫塑料（如 EPS、EPP、聚氨酯等）冷压成方形块状。无需加热，直接依靠机械压力实现减容，压缩比可达 30-40 倍（EPS 泡沫）或 10-16 倍（聚氨酯泡沫）。</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环保节能：冷压过程无需加热，避免热</w:t>
                  </w:r>
                  <w:r>
                    <w:rPr>
                      <w:rFonts w:ascii="仿宋_GB2312" w:hAnsi="仿宋_GB2312" w:cs="仿宋_GB2312" w:eastAsia="仿宋_GB2312"/>
                      <w:sz w:val="22"/>
                    </w:rPr>
                    <w:t>熔</w:t>
                  </w:r>
                  <w:r>
                    <w:rPr>
                      <w:rFonts w:ascii="仿宋_GB2312" w:hAnsi="仿宋_GB2312" w:cs="仿宋_GB2312" w:eastAsia="仿宋_GB2312"/>
                      <w:sz w:val="22"/>
                    </w:rPr>
                    <w:t>产生的废气排放，且噪音低、无异味，符合环保要求。压缩后的泡沫可加工为装饰材料，实现闭环回收。操作便捷：自动化程度高，只需投料即可完成破碎、压缩、成型全流程。液压机型可通过调节压力参数适应不同物料，维护成本低。</w:t>
                  </w:r>
                  <w:r>
                    <w:br/>
                  </w:r>
                  <w:r>
                    <w:rPr>
                      <w:rFonts w:ascii="仿宋_GB2312" w:hAnsi="仿宋_GB2312" w:cs="仿宋_GB2312" w:eastAsia="仿宋_GB2312"/>
                      <w:sz w:val="22"/>
                    </w:rPr>
                    <w:t>8</w:t>
                  </w:r>
                  <w:r>
                    <w:rPr>
                      <w:rFonts w:ascii="仿宋_GB2312" w:hAnsi="仿宋_GB2312" w:cs="仿宋_GB2312" w:eastAsia="仿宋_GB2312"/>
                      <w:sz w:val="22"/>
                    </w:rPr>
                    <w:t>、外形尺寸：</w:t>
                  </w:r>
                  <w:r>
                    <w:rPr>
                      <w:rFonts w:ascii="仿宋_GB2312" w:hAnsi="仿宋_GB2312" w:cs="仿宋_GB2312" w:eastAsia="仿宋_GB2312"/>
                      <w:sz w:val="22"/>
                    </w:rPr>
                    <w:t>2400mm*1300mm*1200mm（±5%）</w:t>
                  </w:r>
                  <w:r>
                    <w:br/>
                  </w:r>
                  <w:r>
                    <w:rPr>
                      <w:rFonts w:ascii="仿宋_GB2312" w:hAnsi="仿宋_GB2312" w:cs="仿宋_GB2312" w:eastAsia="仿宋_GB2312"/>
                      <w:sz w:val="22"/>
                    </w:rPr>
                    <w:t>9</w:t>
                  </w:r>
                  <w:r>
                    <w:rPr>
                      <w:rFonts w:ascii="仿宋_GB2312" w:hAnsi="仿宋_GB2312" w:cs="仿宋_GB2312" w:eastAsia="仿宋_GB2312"/>
                      <w:sz w:val="22"/>
                    </w:rPr>
                    <w:t>、电机功率：</w:t>
                  </w:r>
                  <w:r>
                    <w:rPr>
                      <w:rFonts w:ascii="仿宋_GB2312" w:hAnsi="仿宋_GB2312" w:cs="仿宋_GB2312" w:eastAsia="仿宋_GB2312"/>
                      <w:sz w:val="22"/>
                    </w:rPr>
                    <w:t>≥</w:t>
                  </w:r>
                  <w:r>
                    <w:rPr>
                      <w:rFonts w:ascii="仿宋_GB2312" w:hAnsi="仿宋_GB2312" w:cs="仿宋_GB2312" w:eastAsia="仿宋_GB2312"/>
                      <w:sz w:val="22"/>
                    </w:rPr>
                    <w:t>15kw</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立式打包机</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1、公称推力≥100t；</w:t>
                  </w:r>
                  <w:r>
                    <w:br/>
                  </w:r>
                  <w:r>
                    <w:rPr>
                      <w:rFonts w:ascii="仿宋_GB2312" w:hAnsi="仿宋_GB2312" w:cs="仿宋_GB2312" w:eastAsia="仿宋_GB2312"/>
                      <w:sz w:val="22"/>
                    </w:rPr>
                    <w:t>2、包块尺寸：1100×1100×（0-850）mm（±5%）</w:t>
                  </w:r>
                  <w:r>
                    <w:rPr>
                      <w:rFonts w:ascii="仿宋_GB2312" w:hAnsi="仿宋_GB2312" w:cs="仿宋_GB2312" w:eastAsia="仿宋_GB2312"/>
                      <w:sz w:val="22"/>
                    </w:rPr>
                    <w:t>；</w:t>
                  </w:r>
                  <w:r>
                    <w:br/>
                  </w:r>
                  <w:r>
                    <w:rPr>
                      <w:rFonts w:ascii="仿宋_GB2312" w:hAnsi="仿宋_GB2312" w:cs="仿宋_GB2312" w:eastAsia="仿宋_GB2312"/>
                      <w:sz w:val="22"/>
                    </w:rPr>
                    <w:t>3、每小时打包数：8-10个；</w:t>
                  </w:r>
                </w:p>
                <w:p>
                  <w:pPr>
                    <w:pStyle w:val="null3"/>
                    <w:jc w:val="left"/>
                  </w:pPr>
                  <w:r>
                    <w:rPr>
                      <w:rFonts w:ascii="仿宋_GB2312" w:hAnsi="仿宋_GB2312" w:cs="仿宋_GB2312" w:eastAsia="仿宋_GB2312"/>
                      <w:sz w:val="22"/>
                    </w:rPr>
                    <w:t>4、驱动功率：≥22KW；</w:t>
                  </w:r>
                  <w:r>
                    <w:br/>
                  </w:r>
                  <w:r>
                    <w:rPr>
                      <w:rFonts w:ascii="仿宋_GB2312" w:hAnsi="仿宋_GB2312" w:cs="仿宋_GB2312" w:eastAsia="仿宋_GB2312"/>
                      <w:sz w:val="22"/>
                    </w:rPr>
                    <w:t>5、包块密度：≥300kg/m³</w:t>
                  </w:r>
                  <w:r>
                    <w:br/>
                  </w:r>
                  <w:r>
                    <w:rPr>
                      <w:rFonts w:ascii="仿宋_GB2312" w:hAnsi="仿宋_GB2312" w:cs="仿宋_GB2312" w:eastAsia="仿宋_GB2312"/>
                      <w:sz w:val="22"/>
                    </w:rPr>
                    <w:t>6、供电电源：三相，380V，50Hz</w:t>
                  </w:r>
                  <w:r>
                    <w:br/>
                  </w:r>
                  <w:r>
                    <w:rPr>
                      <w:rFonts w:ascii="仿宋_GB2312" w:hAnsi="仿宋_GB2312" w:cs="仿宋_GB2312" w:eastAsia="仿宋_GB2312"/>
                      <w:sz w:val="22"/>
                    </w:rPr>
                    <w:t>7、可压缩废纸、纸箱、PET 塑料瓶、废金属（如易拉罐、铝屑）、纺织品（旧衣物、布料边角料）、农业废弃物（秸秆、牧草）等松散物料。</w:t>
                  </w:r>
                  <w:r>
                    <w:br/>
                  </w:r>
                  <w:r>
                    <w:rPr>
                      <w:rFonts w:ascii="仿宋_GB2312" w:hAnsi="仿宋_GB2312" w:cs="仿宋_GB2312" w:eastAsia="仿宋_GB2312"/>
                      <w:sz w:val="22"/>
                    </w:rPr>
                    <w:t>8、尺寸：</w:t>
                  </w:r>
                  <w:r>
                    <w:rPr>
                      <w:rFonts w:ascii="仿宋_GB2312" w:hAnsi="仿宋_GB2312" w:cs="仿宋_GB2312" w:eastAsia="仿宋_GB2312"/>
                      <w:sz w:val="22"/>
                    </w:rPr>
                    <w:t>≤</w:t>
                  </w:r>
                  <w:r>
                    <w:rPr>
                      <w:rFonts w:ascii="仿宋_GB2312" w:hAnsi="仿宋_GB2312" w:cs="仿宋_GB2312" w:eastAsia="仿宋_GB2312"/>
                      <w:sz w:val="22"/>
                    </w:rPr>
                    <w:t>1800mm*1500mm*2900mm</w:t>
                  </w:r>
                  <w:r>
                    <w:rPr>
                      <w:rFonts w:ascii="仿宋_GB2312" w:hAnsi="仿宋_GB2312" w:cs="仿宋_GB2312" w:eastAsia="仿宋_GB2312"/>
                      <w:sz w:val="22"/>
                    </w:rPr>
                    <w:t>。</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轻型链板输送机</w:t>
                  </w:r>
                  <w:r>
                    <w:rPr>
                      <w:rFonts w:ascii="仿宋_GB2312" w:hAnsi="仿宋_GB2312" w:cs="仿宋_GB2312" w:eastAsia="仿宋_GB2312"/>
                      <w:sz w:val="22"/>
                    </w:rPr>
                    <w:t>1</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1、组成模块：自动控制系统、传输系统、动力系统、润滑系统及机架；</w:t>
                  </w:r>
                </w:p>
                <w:p>
                  <w:pPr>
                    <w:pStyle w:val="null3"/>
                    <w:jc w:val="left"/>
                  </w:pPr>
                  <w:r>
                    <w:rPr>
                      <w:rFonts w:ascii="仿宋_GB2312" w:hAnsi="仿宋_GB2312" w:cs="仿宋_GB2312" w:eastAsia="仿宋_GB2312"/>
                      <w:sz w:val="22"/>
                    </w:rPr>
                    <w:t>2、输送能力：≥15t/h；</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有效输送宽度：</w:t>
                  </w:r>
                  <w:r>
                    <w:rPr>
                      <w:rFonts w:ascii="仿宋_GB2312" w:hAnsi="仿宋_GB2312" w:cs="仿宋_GB2312" w:eastAsia="仿宋_GB2312"/>
                      <w:sz w:val="22"/>
                    </w:rPr>
                    <w:t>≥1800mm；</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输送载荷：</w:t>
                  </w:r>
                  <w:r>
                    <w:rPr>
                      <w:rFonts w:ascii="仿宋_GB2312" w:hAnsi="仿宋_GB2312" w:cs="仿宋_GB2312" w:eastAsia="仿宋_GB2312"/>
                      <w:sz w:val="22"/>
                    </w:rPr>
                    <w:t>≥200kg/㎡；</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、链板材质：镀锌板式链板；</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、链板厚度：</w:t>
                  </w:r>
                  <w:r>
                    <w:rPr>
                      <w:rFonts w:ascii="仿宋_GB2312" w:hAnsi="仿宋_GB2312" w:cs="仿宋_GB2312" w:eastAsia="仿宋_GB2312"/>
                      <w:sz w:val="22"/>
                    </w:rPr>
                    <w:t>≥4mm；</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、有效输送长度：</w:t>
                  </w:r>
                  <w:r>
                    <w:rPr>
                      <w:rFonts w:ascii="仿宋_GB2312" w:hAnsi="仿宋_GB2312" w:cs="仿宋_GB2312" w:eastAsia="仿宋_GB2312"/>
                      <w:sz w:val="22"/>
                    </w:rPr>
                    <w:t>≥9000mm</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、结构紧凑、运行平稳的自动化输送设备，主要用于轻载荷物料的高效传输，支持变频调速、电磁调速等，可根据生产节奏动态调整速度。</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尺寸：</w:t>
                  </w:r>
                  <w:r>
                    <w:rPr>
                      <w:rFonts w:ascii="仿宋_GB2312" w:hAnsi="仿宋_GB2312" w:cs="仿宋_GB2312" w:eastAsia="仿宋_GB2312"/>
                      <w:sz w:val="22"/>
                    </w:rPr>
                    <w:t>≤</w:t>
                  </w:r>
                  <w:r>
                    <w:rPr>
                      <w:rFonts w:ascii="仿宋_GB2312" w:hAnsi="仿宋_GB2312" w:cs="仿宋_GB2312" w:eastAsia="仿宋_GB2312"/>
                      <w:sz w:val="22"/>
                    </w:rPr>
                    <w:t>10000mm*2400mm*460mm</w:t>
                  </w:r>
                  <w:r>
                    <w:rPr>
                      <w:rFonts w:ascii="仿宋_GB2312" w:hAnsi="仿宋_GB2312" w:cs="仿宋_GB2312" w:eastAsia="仿宋_GB2312"/>
                      <w:sz w:val="22"/>
                    </w:rPr>
                    <w:t>。</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半自动打包机</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1、压力：≥160t；</w:t>
                  </w:r>
                  <w:r>
                    <w:br/>
                  </w:r>
                  <w:r>
                    <w:rPr>
                      <w:rFonts w:ascii="仿宋_GB2312" w:hAnsi="仿宋_GB2312" w:cs="仿宋_GB2312" w:eastAsia="仿宋_GB2312"/>
                      <w:sz w:val="22"/>
                    </w:rPr>
                    <w:t>2、捆扎方式：手动捆扎；</w:t>
                  </w:r>
                  <w:r>
                    <w:br/>
                  </w:r>
                  <w:r>
                    <w:rPr>
                      <w:rFonts w:ascii="仿宋_GB2312" w:hAnsi="仿宋_GB2312" w:cs="仿宋_GB2312" w:eastAsia="仿宋_GB2312"/>
                      <w:sz w:val="22"/>
                    </w:rPr>
                    <w:t>3、捆扎道数：≥7道；</w:t>
                  </w:r>
                  <w:r>
                    <w:br/>
                  </w:r>
                  <w:r>
                    <w:rPr>
                      <w:rFonts w:ascii="仿宋_GB2312" w:hAnsi="仿宋_GB2312" w:cs="仿宋_GB2312" w:eastAsia="仿宋_GB2312"/>
                      <w:sz w:val="22"/>
                    </w:rPr>
                    <w:t>4、打包尺寸：W1120*H1300（mm）（±5%）；</w:t>
                  </w:r>
                  <w:r>
                    <w:br/>
                  </w:r>
                  <w:r>
                    <w:rPr>
                      <w:rFonts w:ascii="仿宋_GB2312" w:hAnsi="仿宋_GB2312" w:cs="仿宋_GB2312" w:eastAsia="仿宋_GB2312"/>
                      <w:sz w:val="22"/>
                    </w:rPr>
                    <w:t>5、供电电源：380V 50Hz；</w:t>
                  </w:r>
                  <w:r>
                    <w:br/>
                  </w:r>
                  <w:r>
                    <w:rPr>
                      <w:rFonts w:ascii="仿宋_GB2312" w:hAnsi="仿宋_GB2312" w:cs="仿宋_GB2312" w:eastAsia="仿宋_GB2312"/>
                      <w:sz w:val="22"/>
                    </w:rPr>
                    <w:t>6、主机功率：≥45KW；</w:t>
                  </w:r>
                  <w:r>
                    <w:br/>
                  </w:r>
                  <w:r>
                    <w:rPr>
                      <w:rFonts w:ascii="仿宋_GB2312" w:hAnsi="仿宋_GB2312" w:cs="仿宋_GB2312" w:eastAsia="仿宋_GB2312"/>
                      <w:sz w:val="22"/>
                    </w:rPr>
                    <w:t>7、半自动打包机是需要人工辅助完成部分操作、机器完成核心捆扎的打包设备，核心特点是兼顾效率与灵活性，无需复杂调试，员工经过简单培训即可上手，维护难度也较低。捆扎速度更快，且捆扎力度均匀，包装质量更稳定。</w:t>
                  </w:r>
                  <w:r>
                    <w:br/>
                  </w:r>
                  <w:r>
                    <w:rPr>
                      <w:rFonts w:ascii="仿宋_GB2312" w:hAnsi="仿宋_GB2312" w:cs="仿宋_GB2312" w:eastAsia="仿宋_GB2312"/>
                      <w:sz w:val="22"/>
                    </w:rPr>
                    <w:t>8、</w:t>
                  </w:r>
                  <w:r>
                    <w:rPr>
                      <w:rFonts w:ascii="仿宋_GB2312" w:hAnsi="仿宋_GB2312" w:cs="仿宋_GB2312" w:eastAsia="仿宋_GB2312"/>
                      <w:sz w:val="22"/>
                    </w:rPr>
                    <w:t>尺寸：</w:t>
                  </w:r>
                  <w:r>
                    <w:rPr>
                      <w:rFonts w:ascii="仿宋_GB2312" w:hAnsi="仿宋_GB2312" w:cs="仿宋_GB2312" w:eastAsia="仿宋_GB2312"/>
                      <w:sz w:val="22"/>
                    </w:rPr>
                    <w:t>≤</w:t>
                  </w:r>
                  <w:r>
                    <w:rPr>
                      <w:rFonts w:ascii="仿宋_GB2312" w:hAnsi="仿宋_GB2312" w:cs="仿宋_GB2312" w:eastAsia="仿宋_GB2312"/>
                      <w:sz w:val="22"/>
                    </w:rPr>
                    <w:t>8800mm*1850mm*2650mm</w:t>
                  </w:r>
                  <w:r>
                    <w:rPr>
                      <w:rFonts w:ascii="仿宋_GB2312" w:hAnsi="仿宋_GB2312" w:cs="仿宋_GB2312" w:eastAsia="仿宋_GB2312"/>
                      <w:sz w:val="22"/>
                    </w:rPr>
                    <w:t>。</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轻型链板输送机</w:t>
                  </w:r>
                  <w:r>
                    <w:rPr>
                      <w:rFonts w:ascii="仿宋_GB2312" w:hAnsi="仿宋_GB2312" w:cs="仿宋_GB2312" w:eastAsia="仿宋_GB2312"/>
                      <w:sz w:val="22"/>
                    </w:rPr>
                    <w:t>2</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、输送能力：</w:t>
                  </w:r>
                  <w:r>
                    <w:rPr>
                      <w:rFonts w:ascii="仿宋_GB2312" w:hAnsi="仿宋_GB2312" w:cs="仿宋_GB2312" w:eastAsia="仿宋_GB2312"/>
                      <w:sz w:val="22"/>
                    </w:rPr>
                    <w:t>≥5t/h；</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有效输送宽度：</w:t>
                  </w:r>
                  <w:r>
                    <w:rPr>
                      <w:rFonts w:ascii="仿宋_GB2312" w:hAnsi="仿宋_GB2312" w:cs="仿宋_GB2312" w:eastAsia="仿宋_GB2312"/>
                      <w:sz w:val="22"/>
                    </w:rPr>
                    <w:t>≥1000mm；</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输送载荷：</w:t>
                  </w:r>
                  <w:r>
                    <w:rPr>
                      <w:rFonts w:ascii="仿宋_GB2312" w:hAnsi="仿宋_GB2312" w:cs="仿宋_GB2312" w:eastAsia="仿宋_GB2312"/>
                      <w:sz w:val="22"/>
                    </w:rPr>
                    <w:t>≥200kg/㎡；</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、链板材质：镀锌板式链板；</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、链板厚度：</w:t>
                  </w:r>
                  <w:r>
                    <w:rPr>
                      <w:rFonts w:ascii="仿宋_GB2312" w:hAnsi="仿宋_GB2312" w:cs="仿宋_GB2312" w:eastAsia="仿宋_GB2312"/>
                      <w:sz w:val="22"/>
                    </w:rPr>
                    <w:t>≥4mm；</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、有效输送长度：</w:t>
                  </w:r>
                  <w:r>
                    <w:rPr>
                      <w:rFonts w:ascii="仿宋_GB2312" w:hAnsi="仿宋_GB2312" w:cs="仿宋_GB2312" w:eastAsia="仿宋_GB2312"/>
                      <w:sz w:val="22"/>
                    </w:rPr>
                    <w:t>9000mm</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、结构紧凑、运行平稳的自动化输送设备，主要用于轻载荷物料的高效传输，支持变频调速、电磁调速等，可根据生产节奏动态调整速度。</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尺寸：</w:t>
                  </w:r>
                  <w:r>
                    <w:rPr>
                      <w:rFonts w:ascii="仿宋_GB2312" w:hAnsi="仿宋_GB2312" w:cs="仿宋_GB2312" w:eastAsia="仿宋_GB2312"/>
                      <w:sz w:val="22"/>
                    </w:rPr>
                    <w:t>≤</w:t>
                  </w:r>
                  <w:r>
                    <w:rPr>
                      <w:rFonts w:ascii="仿宋_GB2312" w:hAnsi="仿宋_GB2312" w:cs="仿宋_GB2312" w:eastAsia="仿宋_GB2312"/>
                      <w:sz w:val="22"/>
                    </w:rPr>
                    <w:t>10000mm*1600mm*460mm</w:t>
                  </w:r>
                  <w:r>
                    <w:rPr>
                      <w:rFonts w:ascii="仿宋_GB2312" w:hAnsi="仿宋_GB2312" w:cs="仿宋_GB2312" w:eastAsia="仿宋_GB2312"/>
                      <w:sz w:val="22"/>
                    </w:rPr>
                    <w:t>。</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皮带输送机</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1、输送能力：≥2t/h；</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输送机速度</w:t>
                  </w:r>
                  <w:r>
                    <w:rPr>
                      <w:rFonts w:ascii="仿宋_GB2312" w:hAnsi="仿宋_GB2312" w:cs="仿宋_GB2312" w:eastAsia="仿宋_GB2312"/>
                      <w:sz w:val="22"/>
                    </w:rPr>
                    <w:t>调节范围</w:t>
                  </w:r>
                  <w:r>
                    <w:rPr>
                      <w:rFonts w:ascii="仿宋_GB2312" w:hAnsi="仿宋_GB2312" w:cs="仿宋_GB2312" w:eastAsia="仿宋_GB2312"/>
                      <w:sz w:val="22"/>
                    </w:rPr>
                    <w:t>：</w:t>
                  </w:r>
                  <w:r>
                    <w:rPr>
                      <w:rFonts w:ascii="仿宋_GB2312" w:hAnsi="仿宋_GB2312" w:cs="仿宋_GB2312" w:eastAsia="仿宋_GB2312"/>
                      <w:sz w:val="22"/>
                    </w:rPr>
                    <w:t>20-60m/min；</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、有效宽度：</w:t>
                  </w:r>
                  <w:r>
                    <w:rPr>
                      <w:rFonts w:ascii="仿宋_GB2312" w:hAnsi="仿宋_GB2312" w:cs="仿宋_GB2312" w:eastAsia="仿宋_GB2312"/>
                      <w:sz w:val="22"/>
                    </w:rPr>
                    <w:t>≥8</w:t>
                  </w:r>
                  <w:r>
                    <w:rPr>
                      <w:rFonts w:ascii="仿宋_GB2312" w:hAnsi="仿宋_GB2312" w:cs="仿宋_GB2312" w:eastAsia="仿宋_GB2312"/>
                      <w:sz w:val="22"/>
                    </w:rPr>
                    <w:t>00</w:t>
                  </w:r>
                  <w:r>
                    <w:rPr>
                      <w:rFonts w:ascii="仿宋_GB2312" w:hAnsi="仿宋_GB2312" w:cs="仿宋_GB2312" w:eastAsia="仿宋_GB2312"/>
                      <w:sz w:val="22"/>
                    </w:rPr>
                    <w:t>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、有效输送长度：</w:t>
                  </w:r>
                  <w:r>
                    <w:rPr>
                      <w:rFonts w:ascii="仿宋_GB2312" w:hAnsi="仿宋_GB2312" w:cs="仿宋_GB2312" w:eastAsia="仿宋_GB2312"/>
                      <w:sz w:val="22"/>
                    </w:rPr>
                    <w:t>≥40000mm；</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、输送角度：</w:t>
                  </w:r>
                  <w:r>
                    <w:rPr>
                      <w:rFonts w:ascii="仿宋_GB2312" w:hAnsi="仿宋_GB2312" w:cs="仿宋_GB2312" w:eastAsia="仿宋_GB2312"/>
                      <w:sz w:val="22"/>
                    </w:rPr>
                    <w:t>≤20°；</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、供电电源：</w:t>
                  </w:r>
                  <w:r>
                    <w:rPr>
                      <w:rFonts w:ascii="仿宋_GB2312" w:hAnsi="仿宋_GB2312" w:cs="仿宋_GB2312" w:eastAsia="仿宋_GB2312"/>
                      <w:sz w:val="22"/>
                    </w:rPr>
                    <w:t>380V 50Hz</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、皮带输送机是一种以连续方式运输物料的高效设备</w:t>
                  </w:r>
                  <w:r>
                    <w:rPr>
                      <w:rFonts w:ascii="仿宋_GB2312" w:hAnsi="仿宋_GB2312" w:cs="仿宋_GB2312" w:eastAsia="仿宋_GB2312"/>
                      <w:sz w:val="22"/>
                    </w:rPr>
                    <w:t>。</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△智能星盘筛</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1、组成模块：自动控制系统、星爪系统、盘筛系统，润滑系统及机架；</w:t>
                  </w:r>
                </w:p>
                <w:p>
                  <w:pPr>
                    <w:pStyle w:val="null3"/>
                    <w:jc w:val="left"/>
                  </w:pPr>
                  <w:r>
                    <w:rPr>
                      <w:rFonts w:ascii="仿宋_GB2312" w:hAnsi="仿宋_GB2312" w:cs="仿宋_GB2312" w:eastAsia="仿宋_GB2312"/>
                      <w:sz w:val="20"/>
                    </w:rPr>
                    <w:t>▲</w:t>
                  </w:r>
                  <w:r>
                    <w:rPr>
                      <w:rFonts w:ascii="仿宋_GB2312" w:hAnsi="仿宋_GB2312" w:cs="仿宋_GB2312" w:eastAsia="仿宋_GB2312"/>
                      <w:sz w:val="22"/>
                    </w:rPr>
                    <w:t>2、处理量：≥2t/h；工作宽度：≥1500mm；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2"/>
                    </w:rPr>
                    <w:t>3、工作长度：≥5000mm；</w:t>
                  </w:r>
                </w:p>
                <w:p>
                  <w:pPr>
                    <w:pStyle w:val="null3"/>
                    <w:jc w:val="left"/>
                  </w:pPr>
                  <w:r>
                    <w:rPr>
                      <w:rFonts w:ascii="仿宋_GB2312" w:hAnsi="仿宋_GB2312" w:cs="仿宋_GB2312" w:eastAsia="仿宋_GB2312"/>
                      <w:sz w:val="22"/>
                    </w:rPr>
                    <w:t>4、功率：≥15KW；</w:t>
                  </w:r>
                </w:p>
                <w:p>
                  <w:pPr>
                    <w:pStyle w:val="null3"/>
                    <w:jc w:val="left"/>
                  </w:pPr>
                  <w:r>
                    <w:rPr>
                      <w:rFonts w:ascii="仿宋_GB2312" w:hAnsi="仿宋_GB2312" w:cs="仿宋_GB2312" w:eastAsia="仿宋_GB2312"/>
                      <w:sz w:val="22"/>
                    </w:rPr>
                    <w:t>5、供电电源：三相，380V，50Hz；</w:t>
                  </w:r>
                </w:p>
                <w:p>
                  <w:pPr>
                    <w:pStyle w:val="null3"/>
                    <w:jc w:val="left"/>
                  </w:pPr>
                  <w:r>
                    <w:rPr>
                      <w:rFonts w:ascii="仿宋_GB2312" w:hAnsi="仿宋_GB2312" w:cs="仿宋_GB2312" w:eastAsia="仿宋_GB2312"/>
                      <w:sz w:val="22"/>
                    </w:rPr>
                    <w:t>6、由多个星盘轴组件组成，轴上安装带有拨爪的星盘主体。相邻星盘之间的间距可调节，通过旋转运动将物料分为小块料（通过间隙）和大块料（留在筛面上）。有效分离混合垃圾中的可回收物（塑料、金属）、有机物和惰性物质，提升后续处理效率。</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△永磁自卸式除铁器</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1、组成模块：自动控制系统、磁芯系统、卸铁皮带系统、驱动系统、润滑系统及机架；</w:t>
                  </w:r>
                </w:p>
                <w:p>
                  <w:pPr>
                    <w:pStyle w:val="null3"/>
                    <w:jc w:val="left"/>
                  </w:pPr>
                  <w:r>
                    <w:rPr>
                      <w:rFonts w:ascii="仿宋_GB2312" w:hAnsi="仿宋_GB2312" w:cs="仿宋_GB2312" w:eastAsia="仿宋_GB2312"/>
                      <w:sz w:val="22"/>
                    </w:rPr>
                    <w:t>2、磁场强度：≥70mT；</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额定吊高：</w:t>
                  </w:r>
                  <w:r>
                    <w:rPr>
                      <w:rFonts w:ascii="仿宋_GB2312" w:hAnsi="仿宋_GB2312" w:cs="仿宋_GB2312" w:eastAsia="仿宋_GB2312"/>
                      <w:sz w:val="22"/>
                    </w:rPr>
                    <w:t>≥300mm；</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、适用最大带速：</w:t>
                  </w:r>
                  <w:r>
                    <w:rPr>
                      <w:rFonts w:ascii="仿宋_GB2312" w:hAnsi="仿宋_GB2312" w:cs="仿宋_GB2312" w:eastAsia="仿宋_GB2312"/>
                      <w:sz w:val="22"/>
                    </w:rPr>
                    <w:t>≥2.5m/s；</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、驱动功率：</w:t>
                  </w:r>
                  <w:r>
                    <w:rPr>
                      <w:rFonts w:ascii="仿宋_GB2312" w:hAnsi="仿宋_GB2312" w:cs="仿宋_GB2312" w:eastAsia="仿宋_GB2312"/>
                      <w:sz w:val="22"/>
                    </w:rPr>
                    <w:t>≥3KW；</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、适应带宽：</w:t>
                  </w:r>
                  <w:r>
                    <w:rPr>
                      <w:rFonts w:ascii="仿宋_GB2312" w:hAnsi="仿宋_GB2312" w:cs="仿宋_GB2312" w:eastAsia="仿宋_GB2312"/>
                      <w:sz w:val="22"/>
                    </w:rPr>
                    <w:t>≥1000mm；</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、供电电源：三相，</w:t>
                  </w:r>
                  <w:r>
                    <w:rPr>
                      <w:rFonts w:ascii="仿宋_GB2312" w:hAnsi="仿宋_GB2312" w:cs="仿宋_GB2312" w:eastAsia="仿宋_GB2312"/>
                      <w:sz w:val="22"/>
                    </w:rPr>
                    <w:t>380V，50Hz</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、永强磁场吸附并自动清除物料中的铁磁性杂质</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、吸附的铁杂质随旋转磁筒或弃铁皮带运行至无磁区，通过耐磨刮板（如聚四氟乙烯材质）自动刮落至收集箱，全程无需停机，实现</w:t>
                  </w:r>
                  <w:r>
                    <w:rPr>
                      <w:rFonts w:ascii="仿宋_GB2312" w:hAnsi="仿宋_GB2312" w:cs="仿宋_GB2312" w:eastAsia="仿宋_GB2312"/>
                      <w:sz w:val="22"/>
                    </w:rPr>
                    <w:t>24 小时连续作业。</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△涡电流分选机</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1、组成模块：自动控制系统、分料调节系统、驱动传输系统、润滑系统及机架、分箱；</w:t>
                  </w:r>
                </w:p>
                <w:p>
                  <w:pPr>
                    <w:pStyle w:val="null3"/>
                    <w:jc w:val="left"/>
                  </w:pPr>
                  <w:r>
                    <w:rPr>
                      <w:rFonts w:ascii="仿宋_GB2312" w:hAnsi="仿宋_GB2312" w:cs="仿宋_GB2312" w:eastAsia="仿宋_GB2312"/>
                      <w:sz w:val="20"/>
                    </w:rPr>
                    <w:t>▲</w:t>
                  </w:r>
                  <w:r>
                    <w:rPr>
                      <w:rFonts w:ascii="仿宋_GB2312" w:hAnsi="仿宋_GB2312" w:cs="仿宋_GB2312" w:eastAsia="仿宋_GB2312"/>
                      <w:sz w:val="22"/>
                    </w:rPr>
                    <w:t>2、工作宽度：≥1150mm；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2"/>
                    </w:rPr>
                    <w:t>3、</w:t>
                  </w:r>
                  <w:r>
                    <w:rPr>
                      <w:rFonts w:ascii="仿宋_GB2312" w:hAnsi="仿宋_GB2312" w:cs="仿宋_GB2312" w:eastAsia="仿宋_GB2312"/>
                      <w:sz w:val="22"/>
                    </w:rPr>
                    <w:t>工作长度：</w:t>
                  </w:r>
                  <w:r>
                    <w:rPr>
                      <w:rFonts w:ascii="仿宋_GB2312" w:hAnsi="仿宋_GB2312" w:cs="仿宋_GB2312" w:eastAsia="仿宋_GB2312"/>
                      <w:sz w:val="22"/>
                    </w:rPr>
                    <w:t>≥2500mm；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2"/>
                    </w:rPr>
                    <w:t>4</w:t>
                  </w:r>
                  <w:r>
                    <w:rPr>
                      <w:rFonts w:ascii="仿宋_GB2312" w:hAnsi="仿宋_GB2312" w:cs="仿宋_GB2312" w:eastAsia="仿宋_GB2312"/>
                      <w:sz w:val="22"/>
                    </w:rPr>
                    <w:t>、识别率：</w:t>
                  </w:r>
                  <w:r>
                    <w:rPr>
                      <w:rFonts w:ascii="仿宋_GB2312" w:hAnsi="仿宋_GB2312" w:cs="仿宋_GB2312" w:eastAsia="仿宋_GB2312"/>
                      <w:sz w:val="22"/>
                    </w:rPr>
                    <w:t>≥90%；</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、总功率：</w:t>
                  </w:r>
                  <w:r>
                    <w:rPr>
                      <w:rFonts w:ascii="仿宋_GB2312" w:hAnsi="仿宋_GB2312" w:cs="仿宋_GB2312" w:eastAsia="仿宋_GB2312"/>
                      <w:sz w:val="22"/>
                    </w:rPr>
                    <w:t>≥11KW；</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、供电电源：三相，</w:t>
                  </w:r>
                  <w:r>
                    <w:rPr>
                      <w:rFonts w:ascii="仿宋_GB2312" w:hAnsi="仿宋_GB2312" w:cs="仿宋_GB2312" w:eastAsia="仿宋_GB2312"/>
                      <w:sz w:val="22"/>
                    </w:rPr>
                    <w:t>380V，50Hz；</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、高频交变磁场分离</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尺寸：</w:t>
                  </w:r>
                  <w:r>
                    <w:rPr>
                      <w:rFonts w:ascii="仿宋_GB2312" w:hAnsi="仿宋_GB2312" w:cs="仿宋_GB2312" w:eastAsia="仿宋_GB2312"/>
                      <w:sz w:val="22"/>
                    </w:rPr>
                    <w:t>≤</w:t>
                  </w:r>
                  <w:r>
                    <w:rPr>
                      <w:rFonts w:ascii="仿宋_GB2312" w:hAnsi="仿宋_GB2312" w:cs="仿宋_GB2312" w:eastAsia="仿宋_GB2312"/>
                      <w:sz w:val="22"/>
                    </w:rPr>
                    <w:t>2945mm×2609mm×1515mm（±5%）</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智能分拣机器人</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1、组成模块：自动控制系统、自动扫描识别系统、分拣执行系统、驱动传输系统、润滑系统及机架；</w:t>
                  </w:r>
                </w:p>
                <w:p>
                  <w:pPr>
                    <w:pStyle w:val="null3"/>
                    <w:jc w:val="left"/>
                  </w:pPr>
                  <w:r>
                    <w:rPr>
                      <w:rFonts w:ascii="仿宋_GB2312" w:hAnsi="仿宋_GB2312" w:cs="仿宋_GB2312" w:eastAsia="仿宋_GB2312"/>
                      <w:sz w:val="20"/>
                    </w:rPr>
                    <w:t>▲</w:t>
                  </w:r>
                  <w:r>
                    <w:rPr>
                      <w:rFonts w:ascii="仿宋_GB2312" w:hAnsi="仿宋_GB2312" w:cs="仿宋_GB2312" w:eastAsia="仿宋_GB2312"/>
                      <w:sz w:val="22"/>
                    </w:rPr>
                    <w:t>2、抓取速度：≥4000次/小时；工作方式：吸取式；</w:t>
                  </w:r>
                </w:p>
                <w:p>
                  <w:pPr>
                    <w:pStyle w:val="null3"/>
                    <w:jc w:val="left"/>
                  </w:pPr>
                  <w:r>
                    <w:rPr>
                      <w:rFonts w:ascii="仿宋_GB2312" w:hAnsi="仿宋_GB2312" w:cs="仿宋_GB2312" w:eastAsia="仿宋_GB2312"/>
                      <w:sz w:val="20"/>
                    </w:rPr>
                    <w:t>▲</w:t>
                  </w:r>
                  <w:r>
                    <w:rPr>
                      <w:rFonts w:ascii="仿宋_GB2312" w:hAnsi="仿宋_GB2312" w:cs="仿宋_GB2312" w:eastAsia="仿宋_GB2312"/>
                      <w:sz w:val="22"/>
                    </w:rPr>
                    <w:t>3、工作范围：≥1600mm；</w:t>
                  </w:r>
                </w:p>
                <w:p>
                  <w:pPr>
                    <w:pStyle w:val="null3"/>
                    <w:jc w:val="left"/>
                  </w:pPr>
                  <w:r>
                    <w:rPr>
                      <w:rFonts w:ascii="仿宋_GB2312" w:hAnsi="仿宋_GB2312" w:cs="仿宋_GB2312" w:eastAsia="仿宋_GB2312"/>
                      <w:sz w:val="22"/>
                    </w:rPr>
                    <w:t>4、总功率：≥12KW；</w:t>
                  </w:r>
                </w:p>
                <w:p>
                  <w:pPr>
                    <w:pStyle w:val="null3"/>
                    <w:jc w:val="left"/>
                  </w:pPr>
                  <w:r>
                    <w:rPr>
                      <w:rFonts w:ascii="仿宋_GB2312" w:hAnsi="仿宋_GB2312" w:cs="仿宋_GB2312" w:eastAsia="仿宋_GB2312"/>
                      <w:sz w:val="22"/>
                    </w:rPr>
                    <w:t>5、供电电源：三相，380V，50Hz；</w:t>
                  </w:r>
                </w:p>
                <w:p>
                  <w:pPr>
                    <w:pStyle w:val="null3"/>
                    <w:jc w:val="left"/>
                  </w:pPr>
                  <w:r>
                    <w:rPr>
                      <w:rFonts w:ascii="仿宋_GB2312" w:hAnsi="仿宋_GB2312" w:cs="仿宋_GB2312" w:eastAsia="仿宋_GB2312"/>
                      <w:sz w:val="22"/>
                    </w:rPr>
                    <w:t>6、机器人通过激光 SLAM、视觉 SLAM 与 IMU（惯性测量单元）融合技术，构建三维环境地图并实时定位，可精准识别塑料、金属等材质，回收率</w:t>
                  </w:r>
                  <w:r>
                    <w:rPr>
                      <w:rFonts w:ascii="仿宋_GB2312" w:hAnsi="仿宋_GB2312" w:cs="仿宋_GB2312" w:eastAsia="仿宋_GB2312"/>
                      <w:sz w:val="22"/>
                    </w:rPr>
                    <w:t>≥</w:t>
                  </w:r>
                  <w:r>
                    <w:rPr>
                      <w:rFonts w:ascii="仿宋_GB2312" w:hAnsi="仿宋_GB2312" w:cs="仿宋_GB2312" w:eastAsia="仿宋_GB2312"/>
                      <w:sz w:val="22"/>
                    </w:rPr>
                    <w:t>95%</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尺寸：</w:t>
                  </w:r>
                  <w:r>
                    <w:rPr>
                      <w:rFonts w:ascii="仿宋_GB2312" w:hAnsi="仿宋_GB2312" w:cs="仿宋_GB2312" w:eastAsia="仿宋_GB2312"/>
                      <w:sz w:val="22"/>
                    </w:rPr>
                    <w:t>≤</w:t>
                  </w:r>
                  <w:r>
                    <w:rPr>
                      <w:rFonts w:ascii="仿宋_GB2312" w:hAnsi="仿宋_GB2312" w:cs="仿宋_GB2312" w:eastAsia="仿宋_GB2312"/>
                      <w:sz w:val="22"/>
                    </w:rPr>
                    <w:t>3300mm*2600mm*2700mm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2"/>
                    </w:rPr>
                    <w:t>8、处理量：≥3t/h</w:t>
                  </w:r>
                </w:p>
                <w:p>
                  <w:pPr>
                    <w:pStyle w:val="null3"/>
                    <w:jc w:val="left"/>
                  </w:pPr>
                  <w:r>
                    <w:rPr>
                      <w:rFonts w:ascii="仿宋_GB2312" w:hAnsi="仿宋_GB2312" w:cs="仿宋_GB2312" w:eastAsia="仿宋_GB2312"/>
                      <w:sz w:val="20"/>
                    </w:rPr>
                    <w:t>▲</w:t>
                  </w:r>
                  <w:r>
                    <w:rPr>
                      <w:rFonts w:ascii="仿宋_GB2312" w:hAnsi="仿宋_GB2312" w:cs="仿宋_GB2312" w:eastAsia="仿宋_GB2312"/>
                      <w:sz w:val="22"/>
                    </w:rPr>
                    <w:t>9、最大分拣重量：≥0.5KG</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人工分拣平台</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1、投料口：≥4个；</w:t>
                  </w:r>
                  <w:r>
                    <w:br/>
                  </w:r>
                  <w:r>
                    <w:rPr>
                      <w:rFonts w:ascii="仿宋_GB2312" w:hAnsi="仿宋_GB2312" w:cs="仿宋_GB2312" w:eastAsia="仿宋_GB2312"/>
                      <w:sz w:val="22"/>
                    </w:rPr>
                    <w:t>2、投料口尺寸：≥400*400mm；</w:t>
                  </w:r>
                  <w:r>
                    <w:br/>
                  </w:r>
                  <w:r>
                    <w:rPr>
                      <w:rFonts w:ascii="仿宋_GB2312" w:hAnsi="仿宋_GB2312" w:cs="仿宋_GB2312" w:eastAsia="仿宋_GB2312"/>
                      <w:sz w:val="22"/>
                    </w:rPr>
                    <w:t>3、适应皮带带宽：1000mm（±5%）</w:t>
                  </w:r>
                  <w:r>
                    <w:rPr>
                      <w:rFonts w:ascii="仿宋_GB2312" w:hAnsi="仿宋_GB2312" w:cs="仿宋_GB2312" w:eastAsia="仿宋_GB2312"/>
                      <w:sz w:val="22"/>
                    </w:rPr>
                    <w:t>；</w:t>
                  </w:r>
                  <w:r>
                    <w:br/>
                  </w:r>
                  <w:r>
                    <w:rPr>
                      <w:rFonts w:ascii="仿宋_GB2312" w:hAnsi="仿宋_GB2312" w:cs="仿宋_GB2312" w:eastAsia="仿宋_GB2312"/>
                      <w:sz w:val="22"/>
                    </w:rPr>
                    <w:t>4、平台材质：花纹板；</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视频监控显示系统</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摄像监控点分别布置在各进料口、出料口、人工分拣房、关键处理设备等重要部位。通过摄像机采集监控图像并以视频信号的模式被汇聚主控制室视频监控显示器，以实现对建筑装修垃圾资源化利用车间的实时监控和录像。控制室设置</w:t>
                  </w:r>
                  <w:r>
                    <w:rPr>
                      <w:rFonts w:ascii="仿宋_GB2312" w:hAnsi="仿宋_GB2312" w:cs="仿宋_GB2312" w:eastAsia="仿宋_GB2312"/>
                      <w:sz w:val="22"/>
                    </w:rPr>
                    <w:t>70寸显示器1套，配套大屏控制器、解码器、电脑桌等，可任意分割或组合显示现场视频监控画面，也可同时显示控制系统监控画面。</w:t>
                  </w:r>
                  <w:r>
                    <w:br/>
                  </w:r>
                  <w:r>
                    <w:rPr>
                      <w:rFonts w:ascii="仿宋_GB2312" w:hAnsi="仿宋_GB2312" w:cs="仿宋_GB2312" w:eastAsia="仿宋_GB2312"/>
                      <w:sz w:val="22"/>
                    </w:rPr>
                    <w:t>2、</w:t>
                  </w:r>
                  <w:r>
                    <w:rPr>
                      <w:rFonts w:ascii="仿宋_GB2312" w:hAnsi="仿宋_GB2312" w:cs="仿宋_GB2312" w:eastAsia="仿宋_GB2312"/>
                      <w:sz w:val="22"/>
                    </w:rPr>
                    <w:t>实现功能</w:t>
                  </w:r>
                  <w:r>
                    <w:rPr>
                      <w:rFonts w:ascii="仿宋_GB2312" w:hAnsi="仿宋_GB2312" w:cs="仿宋_GB2312" w:eastAsia="仿宋_GB2312"/>
                      <w:sz w:val="22"/>
                    </w:rPr>
                    <w:t>：</w:t>
                  </w:r>
                  <w:r>
                    <w:br/>
                  </w:r>
                  <w:r>
                    <w:rPr>
                      <w:rFonts w:ascii="仿宋_GB2312" w:hAnsi="仿宋_GB2312" w:cs="仿宋_GB2312" w:eastAsia="仿宋_GB2312"/>
                      <w:sz w:val="22"/>
                    </w:rPr>
                    <w:t>①</w:t>
                  </w:r>
                  <w:r>
                    <w:rPr>
                      <w:rFonts w:ascii="仿宋_GB2312" w:hAnsi="仿宋_GB2312" w:cs="仿宋_GB2312" w:eastAsia="仿宋_GB2312"/>
                      <w:sz w:val="22"/>
                    </w:rPr>
                    <w:t>摄像监控点分别布置在各进料口、出料口、关键处理设备等重要部位，实现对其</w:t>
                  </w:r>
                  <w:r>
                    <w:rPr>
                      <w:rFonts w:ascii="仿宋_GB2312" w:hAnsi="仿宋_GB2312" w:cs="仿宋_GB2312" w:eastAsia="仿宋_GB2312"/>
                      <w:sz w:val="22"/>
                    </w:rPr>
                    <w:t>24小时实时视频监控及录像；</w:t>
                  </w:r>
                  <w:r>
                    <w:br/>
                  </w:r>
                  <w:r>
                    <w:rPr>
                      <w:rFonts w:ascii="仿宋_GB2312" w:hAnsi="仿宋_GB2312" w:cs="仿宋_GB2312" w:eastAsia="仿宋_GB2312"/>
                      <w:sz w:val="22"/>
                    </w:rPr>
                    <w:t>②</w:t>
                  </w:r>
                  <w:r>
                    <w:rPr>
                      <w:rFonts w:ascii="仿宋_GB2312" w:hAnsi="仿宋_GB2312" w:cs="仿宋_GB2312" w:eastAsia="仿宋_GB2312"/>
                      <w:sz w:val="22"/>
                    </w:rPr>
                    <w:t>可查询及播放视频录像文件并可将录像文件导出；</w:t>
                  </w:r>
                  <w:r>
                    <w:br/>
                  </w:r>
                  <w:r>
                    <w:rPr>
                      <w:rFonts w:ascii="仿宋_GB2312" w:hAnsi="仿宋_GB2312" w:cs="仿宋_GB2312" w:eastAsia="仿宋_GB2312"/>
                      <w:sz w:val="22"/>
                    </w:rPr>
                    <w:t>③</w:t>
                  </w:r>
                  <w:r>
                    <w:rPr>
                      <w:rFonts w:ascii="仿宋_GB2312" w:hAnsi="仿宋_GB2312" w:cs="仿宋_GB2312" w:eastAsia="仿宋_GB2312"/>
                      <w:sz w:val="22"/>
                    </w:rPr>
                    <w:t>可在中控室显示器显示及切换输出到大屏幕上显示。</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△智能过磅</w:t>
                  </w:r>
                  <w:r>
                    <w:rPr>
                      <w:rFonts w:ascii="仿宋_GB2312" w:hAnsi="仿宋_GB2312" w:cs="仿宋_GB2312" w:eastAsia="仿宋_GB2312"/>
                      <w:sz w:val="22"/>
                    </w:rPr>
                    <w:t>无人值守</w:t>
                  </w:r>
                  <w:r>
                    <w:rPr>
                      <w:rFonts w:ascii="仿宋_GB2312" w:hAnsi="仿宋_GB2312" w:cs="仿宋_GB2312" w:eastAsia="仿宋_GB2312"/>
                      <w:sz w:val="22"/>
                    </w:rPr>
                    <w:t>管理系统</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1、电子汽车衡规格：≥50T</w:t>
                  </w:r>
                  <w:r>
                    <w:rPr>
                      <w:rFonts w:ascii="仿宋_GB2312" w:hAnsi="仿宋_GB2312" w:cs="仿宋_GB2312" w:eastAsia="仿宋_GB2312"/>
                      <w:sz w:val="22"/>
                    </w:rPr>
                    <w:t>，</w:t>
                  </w:r>
                  <w:r>
                    <w:rPr>
                      <w:rFonts w:ascii="仿宋_GB2312" w:hAnsi="仿宋_GB2312" w:cs="仿宋_GB2312" w:eastAsia="仿宋_GB2312"/>
                      <w:sz w:val="22"/>
                    </w:rPr>
                    <w:t>车辆尺寸不超过</w:t>
                  </w:r>
                  <w:r>
                    <w:rPr>
                      <w:rFonts w:ascii="仿宋_GB2312" w:hAnsi="仿宋_GB2312" w:cs="仿宋_GB2312" w:eastAsia="仿宋_GB2312"/>
                      <w:sz w:val="22"/>
                    </w:rPr>
                    <w:t>3×12m；</w:t>
                  </w:r>
                  <w:r>
                    <w:br/>
                  </w:r>
                  <w:r>
                    <w:rPr>
                      <w:rFonts w:ascii="仿宋_GB2312" w:hAnsi="仿宋_GB2312" w:cs="仿宋_GB2312" w:eastAsia="仿宋_GB2312"/>
                      <w:sz w:val="22"/>
                    </w:rPr>
                    <w:t>2、计算机系统含显示器、工控机、打印机</w:t>
                  </w:r>
                  <w:r>
                    <w:rPr>
                      <w:rFonts w:ascii="仿宋_GB2312" w:hAnsi="仿宋_GB2312" w:cs="仿宋_GB2312" w:eastAsia="仿宋_GB2312"/>
                      <w:sz w:val="22"/>
                    </w:rPr>
                    <w:t>、</w:t>
                  </w:r>
                  <w:r>
                    <w:rPr>
                      <w:rFonts w:ascii="仿宋_GB2312" w:hAnsi="仿宋_GB2312" w:cs="仿宋_GB2312" w:eastAsia="仿宋_GB2312"/>
                      <w:sz w:val="22"/>
                    </w:rPr>
                    <w:t>管理系统（包含：控制、显示输出、打印输出）</w:t>
                  </w:r>
                  <w:r>
                    <w:rPr>
                      <w:rFonts w:ascii="仿宋_GB2312" w:hAnsi="仿宋_GB2312" w:cs="仿宋_GB2312" w:eastAsia="仿宋_GB2312"/>
                      <w:sz w:val="22"/>
                    </w:rPr>
                    <w:t>；</w:t>
                  </w:r>
                  <w:r>
                    <w:br/>
                  </w:r>
                  <w:r>
                    <w:rPr>
                      <w:rFonts w:ascii="仿宋_GB2312" w:hAnsi="仿宋_GB2312" w:cs="仿宋_GB2312" w:eastAsia="仿宋_GB2312"/>
                      <w:sz w:val="22"/>
                    </w:rPr>
                    <w:t>3、交通信号指示含红绿灯(DC12 低压)、立杆；</w:t>
                  </w:r>
                  <w:r>
                    <w:br/>
                  </w:r>
                  <w:r>
                    <w:rPr>
                      <w:rFonts w:ascii="仿宋_GB2312" w:hAnsi="仿宋_GB2312" w:cs="仿宋_GB2312" w:eastAsia="仿宋_GB2312"/>
                      <w:sz w:val="22"/>
                    </w:rPr>
                    <w:t>4、车辆定位系统-含红外光栅；</w:t>
                  </w:r>
                  <w:r>
                    <w:br/>
                  </w:r>
                  <w:r>
                    <w:rPr>
                      <w:rFonts w:ascii="仿宋_GB2312" w:hAnsi="仿宋_GB2312" w:cs="仿宋_GB2312" w:eastAsia="仿宋_GB2312"/>
                      <w:sz w:val="22"/>
                    </w:rPr>
                    <w:t>5、车辆监控系统-含摄像机、硬盘录像机、交换机、UPS、PLC 及控制框等；</w:t>
                  </w:r>
                  <w:r>
                    <w:br/>
                  </w:r>
                  <w:r>
                    <w:rPr>
                      <w:rFonts w:ascii="仿宋_GB2312" w:hAnsi="仿宋_GB2312" w:cs="仿宋_GB2312" w:eastAsia="仿宋_GB2312"/>
                      <w:sz w:val="22"/>
                    </w:rPr>
                    <w:t>6、称重管理系统。</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空间喷雾除臭系统</w:t>
                  </w:r>
                  <w:r>
                    <w:rPr>
                      <w:rFonts w:ascii="仿宋_GB2312" w:hAnsi="仿宋_GB2312" w:cs="仿宋_GB2312" w:eastAsia="仿宋_GB2312"/>
                      <w:sz w:val="22"/>
                    </w:rPr>
                    <w:t>1</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1、雾化器数量：≥8套</w:t>
                  </w:r>
                  <w:r>
                    <w:rPr>
                      <w:rFonts w:ascii="仿宋_GB2312" w:hAnsi="仿宋_GB2312" w:cs="仿宋_GB2312" w:eastAsia="仿宋_GB2312"/>
                      <w:sz w:val="22"/>
                    </w:rPr>
                    <w:t>；</w:t>
                  </w:r>
                  <w:r>
                    <w:br/>
                  </w:r>
                  <w:r>
                    <w:rPr>
                      <w:rFonts w:ascii="仿宋_GB2312" w:hAnsi="仿宋_GB2312" w:cs="仿宋_GB2312" w:eastAsia="仿宋_GB2312"/>
                      <w:sz w:val="22"/>
                    </w:rPr>
                    <w:t>2、喷射半径：＞1m</w:t>
                  </w:r>
                  <w:r>
                    <w:rPr>
                      <w:rFonts w:ascii="仿宋_GB2312" w:hAnsi="仿宋_GB2312" w:cs="仿宋_GB2312" w:eastAsia="仿宋_GB2312"/>
                      <w:sz w:val="22"/>
                    </w:rPr>
                    <w:t>；</w:t>
                  </w:r>
                  <w:r>
                    <w:br/>
                  </w:r>
                  <w:r>
                    <w:rPr>
                      <w:rFonts w:ascii="仿宋_GB2312" w:hAnsi="仿宋_GB2312" w:cs="仿宋_GB2312" w:eastAsia="仿宋_GB2312"/>
                      <w:sz w:val="22"/>
                    </w:rPr>
                    <w:t>3、组成模块：自动控制系统、供液系统、消杀系统、雾化系统以及相关的管道管路、配件等</w:t>
                  </w:r>
                  <w:r>
                    <w:rPr>
                      <w:rFonts w:ascii="仿宋_GB2312" w:hAnsi="仿宋_GB2312" w:cs="仿宋_GB2312" w:eastAsia="仿宋_GB2312"/>
                      <w:sz w:val="22"/>
                    </w:rPr>
                    <w:t>；</w:t>
                  </w:r>
                  <w:r>
                    <w:br/>
                  </w:r>
                  <w:r>
                    <w:rPr>
                      <w:rFonts w:ascii="仿宋_GB2312" w:hAnsi="仿宋_GB2312" w:cs="仿宋_GB2312" w:eastAsia="仿宋_GB2312"/>
                      <w:sz w:val="22"/>
                    </w:rPr>
                    <w:t>4、系统通过高压泵将除臭剂转化为5-15 微米的超细微雾滴（仅为头发丝直径的 1/50），极大增加与异味分子的接触面积。主动捕捉并分解异味分子</w:t>
                  </w:r>
                  <w:r>
                    <w:rPr>
                      <w:rFonts w:ascii="仿宋_GB2312" w:hAnsi="仿宋_GB2312" w:cs="仿宋_GB2312" w:eastAsia="仿宋_GB2312"/>
                      <w:sz w:val="22"/>
                    </w:rPr>
                    <w:t>；</w:t>
                  </w:r>
                  <w:r>
                    <w:br/>
                  </w:r>
                  <w:r>
                    <w:rPr>
                      <w:rFonts w:ascii="仿宋_GB2312" w:hAnsi="仿宋_GB2312" w:cs="仿宋_GB2312" w:eastAsia="仿宋_GB2312"/>
                      <w:sz w:val="22"/>
                    </w:rPr>
                    <w:t>5、处理范围有效空间≥36000立方。</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钢结构</w:t>
                  </w:r>
                  <w:r>
                    <w:rPr>
                      <w:rFonts w:ascii="仿宋_GB2312" w:hAnsi="仿宋_GB2312" w:cs="仿宋_GB2312" w:eastAsia="仿宋_GB2312"/>
                      <w:sz w:val="22"/>
                    </w:rPr>
                    <w:t>1</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1、采用国标板材及型材，满足设计及规范要求，达到工艺使用需求；含星盘筛钢结构、智能分拣机械人钢结构、磁选机钢结构，涡电流钢结构、各输送带支腿、溜槽等、楼梯，建筑面积2600平方。</w:t>
                  </w:r>
                  <w:r>
                    <w:br/>
                  </w:r>
                  <w:r>
                    <w:rPr>
                      <w:rFonts w:ascii="仿宋_GB2312" w:hAnsi="仿宋_GB2312" w:cs="仿宋_GB2312" w:eastAsia="仿宋_GB2312"/>
                      <w:sz w:val="22"/>
                    </w:rPr>
                    <w:t>2、主设备钢结构,采用140H钢150方管，地脚板厚度不低于15mm。</w:t>
                  </w:r>
                  <w:r>
                    <w:br/>
                  </w:r>
                  <w:r>
                    <w:rPr>
                      <w:rFonts w:ascii="仿宋_GB2312" w:hAnsi="仿宋_GB2312" w:cs="仿宋_GB2312" w:eastAsia="仿宋_GB2312"/>
                      <w:sz w:val="22"/>
                    </w:rPr>
                    <w:t>3、溜槽采用Q235B钢材，厚度≥4mm。</w:t>
                  </w:r>
                  <w:r>
                    <w:br/>
                  </w:r>
                  <w:r>
                    <w:rPr>
                      <w:rFonts w:ascii="仿宋_GB2312" w:hAnsi="仿宋_GB2312" w:cs="仿宋_GB2312" w:eastAsia="仿宋_GB2312"/>
                      <w:sz w:val="22"/>
                    </w:rPr>
                    <w:t>4、走道及检修平台采用10#槽钢，配厚度≥4mm花纹板焊接 制作，维护通道宽度为0.8m（±5%）。</w:t>
                  </w:r>
                  <w:r>
                    <w:br/>
                  </w:r>
                  <w:r>
                    <w:rPr>
                      <w:rFonts w:ascii="仿宋_GB2312" w:hAnsi="仿宋_GB2312" w:cs="仿宋_GB2312" w:eastAsia="仿宋_GB2312"/>
                      <w:sz w:val="22"/>
                    </w:rPr>
                    <w:t>5、扶手栏杆采用40*40的方钢管</w:t>
                  </w:r>
                  <w:r>
                    <w:rPr>
                      <w:rFonts w:ascii="仿宋_GB2312" w:hAnsi="仿宋_GB2312" w:cs="仿宋_GB2312" w:eastAsia="仿宋_GB2312"/>
                      <w:sz w:val="22"/>
                    </w:rPr>
                    <w:t>。</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具体详见设计图</w:t>
                  </w: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轻型链板输送机</w:t>
                  </w:r>
                  <w:r>
                    <w:rPr>
                      <w:rFonts w:ascii="仿宋_GB2312" w:hAnsi="仿宋_GB2312" w:cs="仿宋_GB2312" w:eastAsia="仿宋_GB2312"/>
                      <w:sz w:val="22"/>
                    </w:rPr>
                    <w:t>1</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、输送能力：</w:t>
                  </w:r>
                  <w:r>
                    <w:rPr>
                      <w:rFonts w:ascii="仿宋_GB2312" w:hAnsi="仿宋_GB2312" w:cs="仿宋_GB2312" w:eastAsia="仿宋_GB2312"/>
                      <w:sz w:val="22"/>
                    </w:rPr>
                    <w:t>≥15t/h；</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有效输送宽度：</w:t>
                  </w:r>
                  <w:r>
                    <w:rPr>
                      <w:rFonts w:ascii="仿宋_GB2312" w:hAnsi="仿宋_GB2312" w:cs="仿宋_GB2312" w:eastAsia="仿宋_GB2312"/>
                      <w:sz w:val="22"/>
                    </w:rPr>
                    <w:t>≥1400mm；</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输送载荷：</w:t>
                  </w:r>
                  <w:r>
                    <w:rPr>
                      <w:rFonts w:ascii="仿宋_GB2312" w:hAnsi="仿宋_GB2312" w:cs="仿宋_GB2312" w:eastAsia="仿宋_GB2312"/>
                      <w:sz w:val="22"/>
                    </w:rPr>
                    <w:t>≥200kg/㎡；</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、链板材质：镀锌板式链板；</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、链板厚度：</w:t>
                  </w:r>
                  <w:r>
                    <w:rPr>
                      <w:rFonts w:ascii="仿宋_GB2312" w:hAnsi="仿宋_GB2312" w:cs="仿宋_GB2312" w:eastAsia="仿宋_GB2312"/>
                      <w:sz w:val="22"/>
                    </w:rPr>
                    <w:t>≥4mm；</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、有效输送长度；</w:t>
                  </w:r>
                  <w:r>
                    <w:rPr>
                      <w:rFonts w:ascii="仿宋_GB2312" w:hAnsi="仿宋_GB2312" w:cs="仿宋_GB2312" w:eastAsia="仿宋_GB2312"/>
                      <w:sz w:val="22"/>
                    </w:rPr>
                    <w:t>13000mm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、结构紧凑、运行平稳的自动化输送设备，主要用于轻载荷物料的高效传输，支持变频调速、电磁调速等，可根据生产节奏动态调整速度</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尺寸：</w:t>
                  </w:r>
                  <w:r>
                    <w:rPr>
                      <w:rFonts w:ascii="仿宋_GB2312" w:hAnsi="仿宋_GB2312" w:cs="仿宋_GB2312" w:eastAsia="仿宋_GB2312"/>
                      <w:sz w:val="22"/>
                    </w:rPr>
                    <w:t>≤</w:t>
                  </w:r>
                  <w:r>
                    <w:rPr>
                      <w:rFonts w:ascii="仿宋_GB2312" w:hAnsi="仿宋_GB2312" w:cs="仿宋_GB2312" w:eastAsia="仿宋_GB2312"/>
                      <w:sz w:val="22"/>
                    </w:rPr>
                    <w:t>10000mm*1600mm*460mm</w:t>
                  </w:r>
                  <w:r>
                    <w:rPr>
                      <w:rFonts w:ascii="仿宋_GB2312" w:hAnsi="仿宋_GB2312" w:cs="仿宋_GB2312" w:eastAsia="仿宋_GB2312"/>
                      <w:sz w:val="22"/>
                    </w:rPr>
                    <w:t>。</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轻型链板输送机</w:t>
                  </w:r>
                  <w:r>
                    <w:rPr>
                      <w:rFonts w:ascii="仿宋_GB2312" w:hAnsi="仿宋_GB2312" w:cs="仿宋_GB2312" w:eastAsia="仿宋_GB2312"/>
                      <w:sz w:val="22"/>
                    </w:rPr>
                    <w:t>2</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1、输送能力：≥5t/h；</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有效输送宽度：</w:t>
                  </w:r>
                  <w:r>
                    <w:rPr>
                      <w:rFonts w:ascii="仿宋_GB2312" w:hAnsi="仿宋_GB2312" w:cs="仿宋_GB2312" w:eastAsia="仿宋_GB2312"/>
                      <w:sz w:val="22"/>
                    </w:rPr>
                    <w:t>≥1000mm；</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输送载荷：</w:t>
                  </w:r>
                  <w:r>
                    <w:rPr>
                      <w:rFonts w:ascii="仿宋_GB2312" w:hAnsi="仿宋_GB2312" w:cs="仿宋_GB2312" w:eastAsia="仿宋_GB2312"/>
                      <w:sz w:val="22"/>
                    </w:rPr>
                    <w:t>≥200kg/㎡；</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、链板材质：镀锌板式链板；</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、链板厚度：</w:t>
                  </w:r>
                  <w:r>
                    <w:rPr>
                      <w:rFonts w:ascii="仿宋_GB2312" w:hAnsi="仿宋_GB2312" w:cs="仿宋_GB2312" w:eastAsia="仿宋_GB2312"/>
                      <w:sz w:val="22"/>
                    </w:rPr>
                    <w:t>≥4mm；</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、有效输送长度：</w:t>
                  </w:r>
                  <w:r>
                    <w:rPr>
                      <w:rFonts w:ascii="仿宋_GB2312" w:hAnsi="仿宋_GB2312" w:cs="仿宋_GB2312" w:eastAsia="仿宋_GB2312"/>
                      <w:sz w:val="22"/>
                    </w:rPr>
                    <w:t>9000mm</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、结构紧凑、运行平稳的自动化输送设备，主要用于轻载荷物料的高效传输，支持变频调速、电磁调速等，可根据生产节奏动态调整速度。</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尺寸：</w:t>
                  </w:r>
                  <w:r>
                    <w:rPr>
                      <w:rFonts w:ascii="仿宋_GB2312" w:hAnsi="仿宋_GB2312" w:cs="仿宋_GB2312" w:eastAsia="仿宋_GB2312"/>
                      <w:sz w:val="22"/>
                    </w:rPr>
                    <w:t>≤</w:t>
                  </w:r>
                  <w:r>
                    <w:rPr>
                      <w:rFonts w:ascii="仿宋_GB2312" w:hAnsi="仿宋_GB2312" w:cs="仿宋_GB2312" w:eastAsia="仿宋_GB2312"/>
                      <w:sz w:val="22"/>
                    </w:rPr>
                    <w:t>10000mm*1600mm*460mm</w:t>
                  </w:r>
                  <w:r>
                    <w:rPr>
                      <w:rFonts w:ascii="仿宋_GB2312" w:hAnsi="仿宋_GB2312" w:cs="仿宋_GB2312" w:eastAsia="仿宋_GB2312"/>
                      <w:sz w:val="22"/>
                    </w:rPr>
                    <w:t>。</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空间喷雾除臭系统</w:t>
                  </w:r>
                  <w:r>
                    <w:rPr>
                      <w:rFonts w:ascii="仿宋_GB2312" w:hAnsi="仿宋_GB2312" w:cs="仿宋_GB2312" w:eastAsia="仿宋_GB2312"/>
                      <w:sz w:val="22"/>
                    </w:rPr>
                    <w:t>2</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1、雾化器数量：≥8套</w:t>
                  </w:r>
                  <w:r>
                    <w:rPr>
                      <w:rFonts w:ascii="仿宋_GB2312" w:hAnsi="仿宋_GB2312" w:cs="仿宋_GB2312" w:eastAsia="仿宋_GB2312"/>
                      <w:sz w:val="22"/>
                    </w:rPr>
                    <w:t>；</w:t>
                  </w:r>
                  <w:r>
                    <w:br/>
                  </w:r>
                  <w:r>
                    <w:rPr>
                      <w:rFonts w:ascii="仿宋_GB2312" w:hAnsi="仿宋_GB2312" w:cs="仿宋_GB2312" w:eastAsia="仿宋_GB2312"/>
                      <w:sz w:val="22"/>
                    </w:rPr>
                    <w:t>2、喷射半径：＞1m</w:t>
                  </w:r>
                  <w:r>
                    <w:rPr>
                      <w:rFonts w:ascii="仿宋_GB2312" w:hAnsi="仿宋_GB2312" w:cs="仿宋_GB2312" w:eastAsia="仿宋_GB2312"/>
                      <w:sz w:val="22"/>
                    </w:rPr>
                    <w:t>；</w:t>
                  </w:r>
                  <w:r>
                    <w:br/>
                  </w:r>
                  <w:r>
                    <w:rPr>
                      <w:rFonts w:ascii="仿宋_GB2312" w:hAnsi="仿宋_GB2312" w:cs="仿宋_GB2312" w:eastAsia="仿宋_GB2312"/>
                      <w:sz w:val="22"/>
                    </w:rPr>
                    <w:t>3、组成模块：自动控制系统、供液系统、消杀系统、雾化系统以及相关的管道管路、配件等</w:t>
                  </w:r>
                  <w:r>
                    <w:rPr>
                      <w:rFonts w:ascii="仿宋_GB2312" w:hAnsi="仿宋_GB2312" w:cs="仿宋_GB2312" w:eastAsia="仿宋_GB2312"/>
                      <w:sz w:val="22"/>
                    </w:rPr>
                    <w:t>；</w:t>
                  </w:r>
                  <w:r>
                    <w:br/>
                  </w:r>
                  <w:r>
                    <w:rPr>
                      <w:rFonts w:ascii="仿宋_GB2312" w:hAnsi="仿宋_GB2312" w:cs="仿宋_GB2312" w:eastAsia="仿宋_GB2312"/>
                      <w:sz w:val="22"/>
                    </w:rPr>
                    <w:t>4、系统通过高压泵将除臭剂转化为5-15 微米的超细微雾滴（仅为头发丝直径的 1/50），极大增加与异味分子的接触面积。主动捕捉并分解异味分子</w:t>
                  </w:r>
                  <w:r>
                    <w:rPr>
                      <w:rFonts w:ascii="仿宋_GB2312" w:hAnsi="仿宋_GB2312" w:cs="仿宋_GB2312" w:eastAsia="仿宋_GB2312"/>
                      <w:sz w:val="22"/>
                    </w:rPr>
                    <w:t>；</w:t>
                  </w:r>
                  <w:r>
                    <w:br/>
                  </w:r>
                  <w:r>
                    <w:rPr>
                      <w:rFonts w:ascii="仿宋_GB2312" w:hAnsi="仿宋_GB2312" w:cs="仿宋_GB2312" w:eastAsia="仿宋_GB2312"/>
                      <w:sz w:val="22"/>
                    </w:rPr>
                    <w:t>5、处理范围有效空间≥20000立方。</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钢结构</w:t>
                  </w:r>
                  <w:r>
                    <w:rPr>
                      <w:rFonts w:ascii="仿宋_GB2312" w:hAnsi="仿宋_GB2312" w:cs="仿宋_GB2312" w:eastAsia="仿宋_GB2312"/>
                      <w:sz w:val="22"/>
                    </w:rPr>
                    <w:t>2</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1、采用国标板材及型材，满足设计及规范要求，达到工艺使用需求；含星盘筛钢结构、智能分拣机械人钢结构、磁选机钢结构，涡电流钢结构、各输送带支腿、溜槽等、楼梯</w:t>
                  </w:r>
                  <w:r>
                    <w:rPr>
                      <w:rFonts w:ascii="仿宋_GB2312" w:hAnsi="仿宋_GB2312" w:cs="仿宋_GB2312" w:eastAsia="仿宋_GB2312"/>
                      <w:sz w:val="22"/>
                    </w:rPr>
                    <w:t>，建筑面积</w:t>
                  </w:r>
                  <w:r>
                    <w:rPr>
                      <w:rFonts w:ascii="仿宋_GB2312" w:hAnsi="仿宋_GB2312" w:cs="仿宋_GB2312" w:eastAsia="仿宋_GB2312"/>
                      <w:sz w:val="22"/>
                    </w:rPr>
                    <w:t>1100平方</w:t>
                  </w:r>
                  <w:r>
                    <w:rPr>
                      <w:rFonts w:ascii="仿宋_GB2312" w:hAnsi="仿宋_GB2312" w:cs="仿宋_GB2312" w:eastAsia="仿宋_GB2312"/>
                      <w:sz w:val="22"/>
                    </w:rPr>
                    <w:t>。</w:t>
                  </w:r>
                  <w:r>
                    <w:br/>
                  </w:r>
                  <w:r>
                    <w:rPr>
                      <w:rFonts w:ascii="仿宋_GB2312" w:hAnsi="仿宋_GB2312" w:cs="仿宋_GB2312" w:eastAsia="仿宋_GB2312"/>
                      <w:sz w:val="22"/>
                    </w:rPr>
                    <w:t>2、主设备钢结构,采用140H钢150方管，地脚板厚度不低于15mm。</w:t>
                  </w:r>
                  <w:r>
                    <w:br/>
                  </w:r>
                  <w:r>
                    <w:rPr>
                      <w:rFonts w:ascii="仿宋_GB2312" w:hAnsi="仿宋_GB2312" w:cs="仿宋_GB2312" w:eastAsia="仿宋_GB2312"/>
                      <w:sz w:val="22"/>
                    </w:rPr>
                    <w:t>3、溜槽采用Q235B钢材，厚度≥4mm。</w:t>
                  </w:r>
                  <w:r>
                    <w:br/>
                  </w:r>
                  <w:r>
                    <w:rPr>
                      <w:rFonts w:ascii="仿宋_GB2312" w:hAnsi="仿宋_GB2312" w:cs="仿宋_GB2312" w:eastAsia="仿宋_GB2312"/>
                      <w:sz w:val="22"/>
                    </w:rPr>
                    <w:t>4、走道及检修平台采用10#槽钢，配厚度不低于4mm花纹板焊接 制作，维护通道宽度为0.8m（±5%）。</w:t>
                  </w:r>
                  <w:r>
                    <w:br/>
                  </w:r>
                  <w:r>
                    <w:rPr>
                      <w:rFonts w:ascii="仿宋_GB2312" w:hAnsi="仿宋_GB2312" w:cs="仿宋_GB2312" w:eastAsia="仿宋_GB2312"/>
                      <w:sz w:val="22"/>
                    </w:rPr>
                    <w:t>5、扶手栏杆采用40*40的方钢管</w:t>
                  </w:r>
                  <w:r>
                    <w:rPr>
                      <w:rFonts w:ascii="仿宋_GB2312" w:hAnsi="仿宋_GB2312" w:cs="仿宋_GB2312" w:eastAsia="仿宋_GB2312"/>
                      <w:sz w:val="22"/>
                    </w:rPr>
                    <w:t>。</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具体详见设计图</w:t>
                  </w: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电动叉车</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1、额定载荷 ：≥1.5t；</w:t>
                  </w:r>
                  <w:r>
                    <w:br/>
                  </w:r>
                  <w:r>
                    <w:rPr>
                      <w:rFonts w:ascii="仿宋_GB2312" w:hAnsi="仿宋_GB2312" w:cs="仿宋_GB2312" w:eastAsia="仿宋_GB2312"/>
                      <w:sz w:val="22"/>
                    </w:rPr>
                    <w:t>2、蓄电池电压/容量：80V/280Ah；连续工作时间4-6小时；</w:t>
                  </w:r>
                  <w:r>
                    <w:br/>
                  </w:r>
                  <w:r>
                    <w:rPr>
                      <w:rFonts w:ascii="仿宋_GB2312" w:hAnsi="仿宋_GB2312" w:cs="仿宋_GB2312" w:eastAsia="仿宋_GB2312"/>
                      <w:sz w:val="22"/>
                    </w:rPr>
                    <w:t>3、自由起升高度：155mm（±5%）；</w:t>
                  </w:r>
                  <w:r>
                    <w:br/>
                  </w:r>
                  <w:r>
                    <w:rPr>
                      <w:rFonts w:ascii="仿宋_GB2312" w:hAnsi="仿宋_GB2312" w:cs="仿宋_GB2312" w:eastAsia="仿宋_GB2312"/>
                      <w:sz w:val="22"/>
                    </w:rPr>
                    <w:t>4、起升高度：3000mm（±5%）；</w:t>
                  </w:r>
                  <w:r>
                    <w:br/>
                  </w:r>
                  <w:r>
                    <w:rPr>
                      <w:rFonts w:ascii="仿宋_GB2312" w:hAnsi="仿宋_GB2312" w:cs="仿宋_GB2312" w:eastAsia="仿宋_GB2312"/>
                      <w:sz w:val="22"/>
                    </w:rPr>
                    <w:t>5、离地间隙：110mm（±5%）；</w:t>
                  </w:r>
                  <w:r>
                    <w:br/>
                  </w:r>
                  <w:r>
                    <w:rPr>
                      <w:rFonts w:ascii="仿宋_GB2312" w:hAnsi="仿宋_GB2312" w:cs="仿宋_GB2312" w:eastAsia="仿宋_GB2312"/>
                      <w:sz w:val="22"/>
                    </w:rPr>
                    <w:t>6、轴距：1400mm（±5%）；</w:t>
                  </w:r>
                  <w:r>
                    <w:br/>
                  </w:r>
                  <w:r>
                    <w:rPr>
                      <w:rFonts w:ascii="仿宋_GB2312" w:hAnsi="仿宋_GB2312" w:cs="仿宋_GB2312" w:eastAsia="仿宋_GB2312"/>
                      <w:sz w:val="22"/>
                    </w:rPr>
                    <w:t>7、全宽：1170mm（±5%）；</w:t>
                  </w:r>
                  <w:r>
                    <w:br/>
                  </w:r>
                  <w:r>
                    <w:rPr>
                      <w:rFonts w:ascii="仿宋_GB2312" w:hAnsi="仿宋_GB2312" w:cs="仿宋_GB2312" w:eastAsia="仿宋_GB2312"/>
                      <w:sz w:val="22"/>
                    </w:rPr>
                    <w:t>8、轮胎类型：充气胎；</w:t>
                  </w:r>
                  <w:r>
                    <w:br/>
                  </w:r>
                  <w:r>
                    <w:rPr>
                      <w:rFonts w:ascii="仿宋_GB2312" w:hAnsi="仿宋_GB2312" w:cs="仿宋_GB2312" w:eastAsia="仿宋_GB2312"/>
                      <w:sz w:val="22"/>
                    </w:rPr>
                    <w:t>9、配置：带废料夹和翻斗；</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辆</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柴油叉车</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1、起升重量:≥3000kg；</w:t>
                  </w:r>
                  <w:r>
                    <w:br/>
                  </w:r>
                  <w:r>
                    <w:rPr>
                      <w:rFonts w:ascii="仿宋_GB2312" w:hAnsi="仿宋_GB2312" w:cs="仿宋_GB2312" w:eastAsia="仿宋_GB2312"/>
                      <w:sz w:val="22"/>
                    </w:rPr>
                    <w:t>2、动力方式：柴油；</w:t>
                  </w:r>
                  <w:r>
                    <w:br/>
                  </w:r>
                  <w:r>
                    <w:rPr>
                      <w:rFonts w:ascii="仿宋_GB2312" w:hAnsi="仿宋_GB2312" w:cs="仿宋_GB2312" w:eastAsia="仿宋_GB2312"/>
                      <w:sz w:val="22"/>
                    </w:rPr>
                    <w:t>3、起升高度（标准）：3000mm（±5%）;</w:t>
                  </w:r>
                  <w:r>
                    <w:br/>
                  </w:r>
                  <w:r>
                    <w:rPr>
                      <w:rFonts w:ascii="仿宋_GB2312" w:hAnsi="仿宋_GB2312" w:cs="仿宋_GB2312" w:eastAsia="仿宋_GB2312"/>
                      <w:sz w:val="22"/>
                    </w:rPr>
                    <w:t>4、自由起升高度：155mm（±5%）；</w:t>
                  </w:r>
                  <w:r>
                    <w:br/>
                  </w:r>
                  <w:r>
                    <w:rPr>
                      <w:rFonts w:ascii="仿宋_GB2312" w:hAnsi="仿宋_GB2312" w:cs="仿宋_GB2312" w:eastAsia="仿宋_GB2312"/>
                      <w:sz w:val="22"/>
                    </w:rPr>
                    <w:t>5、最小离地间隙：135mm;</w:t>
                  </w:r>
                  <w:r>
                    <w:br/>
                  </w:r>
                  <w:r>
                    <w:rPr>
                      <w:rFonts w:ascii="仿宋_GB2312" w:hAnsi="仿宋_GB2312" w:cs="仿宋_GB2312" w:eastAsia="仿宋_GB2312"/>
                      <w:sz w:val="22"/>
                    </w:rPr>
                    <w:t>6、轴距：1750mm（±5%）;</w:t>
                  </w:r>
                  <w:r>
                    <w:br/>
                  </w:r>
                  <w:r>
                    <w:rPr>
                      <w:rFonts w:ascii="仿宋_GB2312" w:hAnsi="仿宋_GB2312" w:cs="仿宋_GB2312" w:eastAsia="仿宋_GB2312"/>
                      <w:sz w:val="22"/>
                    </w:rPr>
                    <w:t>7、全宽：1225mm（±5%）；</w:t>
                  </w:r>
                  <w:r>
                    <w:br/>
                  </w:r>
                  <w:r>
                    <w:rPr>
                      <w:rFonts w:ascii="仿宋_GB2312" w:hAnsi="仿宋_GB2312" w:cs="仿宋_GB2312" w:eastAsia="仿宋_GB2312"/>
                      <w:sz w:val="22"/>
                    </w:rPr>
                    <w:t>8、轮胎类型（前/后）：充气胎（标准）</w:t>
                  </w:r>
                  <w:r>
                    <w:br/>
                  </w:r>
                  <w:r>
                    <w:rPr>
                      <w:rFonts w:ascii="仿宋_GB2312" w:hAnsi="仿宋_GB2312" w:cs="仿宋_GB2312" w:eastAsia="仿宋_GB2312"/>
                      <w:sz w:val="22"/>
                    </w:rPr>
                    <w:t>9、燃油箱容积：70L（±5%）；</w:t>
                  </w:r>
                  <w:r>
                    <w:br/>
                  </w:r>
                  <w:r>
                    <w:rPr>
                      <w:rFonts w:ascii="仿宋_GB2312" w:hAnsi="仿宋_GB2312" w:cs="仿宋_GB2312" w:eastAsia="仿宋_GB2312"/>
                      <w:sz w:val="22"/>
                    </w:rPr>
                    <w:t>10、排放标准：国IV；</w:t>
                  </w:r>
                  <w:r>
                    <w:br/>
                  </w:r>
                  <w:r>
                    <w:rPr>
                      <w:rFonts w:ascii="仿宋_GB2312" w:hAnsi="仿宋_GB2312" w:cs="仿宋_GB2312" w:eastAsia="仿宋_GB2312"/>
                      <w:sz w:val="22"/>
                    </w:rPr>
                    <w:t>11、配置：带废料夹和翻斗</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辆</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50柴油铲车</w:t>
                  </w:r>
                </w:p>
              </w:tc>
              <w:tc>
                <w:tcPr>
                  <w:tcW w:type="dxa" w:w="4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1、额定载重量:5300 kg（±5%）；</w:t>
                  </w:r>
                  <w:r>
                    <w:br/>
                  </w:r>
                  <w:r>
                    <w:rPr>
                      <w:rFonts w:ascii="仿宋_GB2312" w:hAnsi="仿宋_GB2312" w:cs="仿宋_GB2312" w:eastAsia="仿宋_GB2312"/>
                      <w:sz w:val="22"/>
                    </w:rPr>
                    <w:t>2、工作质量:17100kg（±5%）；</w:t>
                  </w:r>
                  <w:r>
                    <w:br/>
                  </w:r>
                  <w:r>
                    <w:rPr>
                      <w:rFonts w:ascii="仿宋_GB2312" w:hAnsi="仿宋_GB2312" w:cs="仿宋_GB2312" w:eastAsia="仿宋_GB2312"/>
                      <w:sz w:val="22"/>
                    </w:rPr>
                    <w:t>3、额定功率:170kW（±5%）；</w:t>
                  </w:r>
                  <w:r>
                    <w:br/>
                  </w:r>
                  <w:r>
                    <w:rPr>
                      <w:rFonts w:ascii="仿宋_GB2312" w:hAnsi="仿宋_GB2312" w:cs="仿宋_GB2312" w:eastAsia="仿宋_GB2312"/>
                      <w:sz w:val="22"/>
                    </w:rPr>
                    <w:t>4、铲斗容量：2.7-5.0m³；</w:t>
                  </w:r>
                  <w:r>
                    <w:br/>
                  </w:r>
                  <w:r>
                    <w:rPr>
                      <w:rFonts w:ascii="仿宋_GB2312" w:hAnsi="仿宋_GB2312" w:cs="仿宋_GB2312" w:eastAsia="仿宋_GB2312"/>
                      <w:sz w:val="22"/>
                    </w:rPr>
                    <w:t>5、卸载高度：3480 mm（±5%）；</w:t>
                  </w:r>
                  <w:r>
                    <w:br/>
                  </w:r>
                  <w:r>
                    <w:rPr>
                      <w:rFonts w:ascii="仿宋_GB2312" w:hAnsi="仿宋_GB2312" w:cs="仿宋_GB2312" w:eastAsia="仿宋_GB2312"/>
                      <w:sz w:val="22"/>
                    </w:rPr>
                    <w:t>6、最大掘起力：175kN；</w:t>
                  </w:r>
                  <w:r>
                    <w:br/>
                  </w:r>
                  <w:r>
                    <w:rPr>
                      <w:rFonts w:ascii="仿宋_GB2312" w:hAnsi="仿宋_GB2312" w:cs="仿宋_GB2312" w:eastAsia="仿宋_GB2312"/>
                      <w:sz w:val="22"/>
                    </w:rPr>
                    <w:t>7、排量：8.9L（±5%）；</w:t>
                  </w:r>
                  <w:r>
                    <w:br/>
                  </w:r>
                  <w:r>
                    <w:rPr>
                      <w:rFonts w:ascii="仿宋_GB2312" w:hAnsi="仿宋_GB2312" w:cs="仿宋_GB2312" w:eastAsia="仿宋_GB2312"/>
                      <w:sz w:val="22"/>
                    </w:rPr>
                    <w:t>8</w:t>
                  </w:r>
                  <w:r>
                    <w:rPr>
                      <w:rFonts w:ascii="仿宋_GB2312" w:hAnsi="仿宋_GB2312" w:cs="仿宋_GB2312" w:eastAsia="仿宋_GB2312"/>
                      <w:sz w:val="22"/>
                    </w:rPr>
                    <w:t>、柴油箱容量：</w:t>
                  </w:r>
                  <w:r>
                    <w:rPr>
                      <w:rFonts w:ascii="仿宋_GB2312" w:hAnsi="仿宋_GB2312" w:cs="仿宋_GB2312" w:eastAsia="仿宋_GB2312"/>
                      <w:sz w:val="22"/>
                    </w:rPr>
                    <w:t>280L（±5%）；</w:t>
                  </w:r>
                  <w:r>
                    <w:br/>
                  </w:r>
                  <w:r>
                    <w:rPr>
                      <w:rFonts w:ascii="仿宋_GB2312" w:hAnsi="仿宋_GB2312" w:cs="仿宋_GB2312" w:eastAsia="仿宋_GB2312"/>
                      <w:sz w:val="22"/>
                    </w:rPr>
                    <w:t>9</w:t>
                  </w:r>
                  <w:r>
                    <w:rPr>
                      <w:rFonts w:ascii="仿宋_GB2312" w:hAnsi="仿宋_GB2312" w:cs="仿宋_GB2312" w:eastAsia="仿宋_GB2312"/>
                      <w:sz w:val="22"/>
                    </w:rPr>
                    <w:t>、工作液压系统形式：定量合流；</w:t>
                  </w:r>
                  <w:r>
                    <w:br/>
                  </w:r>
                  <w:r>
                    <w:rPr>
                      <w:rFonts w:ascii="仿宋_GB2312" w:hAnsi="仿宋_GB2312" w:cs="仿宋_GB2312" w:eastAsia="仿宋_GB2312"/>
                      <w:sz w:val="22"/>
                    </w:rPr>
                    <w:t>1</w:t>
                  </w:r>
                  <w:r>
                    <w:rPr>
                      <w:rFonts w:ascii="仿宋_GB2312" w:hAnsi="仿宋_GB2312" w:cs="仿宋_GB2312" w:eastAsia="仿宋_GB2312"/>
                      <w:sz w:val="22"/>
                    </w:rPr>
                    <w:t>0</w:t>
                  </w:r>
                  <w:r>
                    <w:rPr>
                      <w:rFonts w:ascii="仿宋_GB2312" w:hAnsi="仿宋_GB2312" w:cs="仿宋_GB2312" w:eastAsia="仿宋_GB2312"/>
                      <w:sz w:val="22"/>
                    </w:rPr>
                    <w:t>、转向液压系统形式：同轴流量放大；</w:t>
                  </w:r>
                  <w:r>
                    <w:br/>
                  </w: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、排放标准：国四；</w:t>
                  </w:r>
                </w:p>
              </w:tc>
              <w:tc>
                <w:tcPr>
                  <w:tcW w:type="dxa" w:w="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辆</w:t>
                  </w:r>
                </w:p>
              </w:tc>
              <w:tc>
                <w:tcPr>
                  <w:tcW w:type="dxa" w:w="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bl>
          <w:p>
            <w:pPr>
              <w:pStyle w:val="null3"/>
              <w:spacing w:before="105" w:after="105"/>
              <w:jc w:val="left"/>
            </w:pPr>
            <w:r>
              <w:rPr>
                <w:rFonts w:ascii="仿宋_GB2312" w:hAnsi="仿宋_GB2312" w:cs="仿宋_GB2312" w:eastAsia="仿宋_GB2312"/>
                <w:sz w:val="24"/>
              </w:rPr>
              <w:t>注：</w:t>
            </w:r>
            <w:r>
              <w:rPr>
                <w:rFonts w:ascii="仿宋_GB2312" w:hAnsi="仿宋_GB2312" w:cs="仿宋_GB2312" w:eastAsia="仿宋_GB2312"/>
                <w:sz w:val="24"/>
              </w:rPr>
              <w:t>1、</w:t>
            </w:r>
            <w:r>
              <w:rPr>
                <w:rFonts w:ascii="仿宋_GB2312" w:hAnsi="仿宋_GB2312" w:cs="仿宋_GB2312" w:eastAsia="仿宋_GB2312"/>
                <w:sz w:val="24"/>
              </w:rPr>
              <w:t>由于系统</w:t>
            </w:r>
            <w:r>
              <w:rPr>
                <w:rFonts w:ascii="仿宋_GB2312" w:hAnsi="仿宋_GB2312" w:cs="仿宋_GB2312" w:eastAsia="仿宋_GB2312"/>
                <w:sz w:val="24"/>
              </w:rPr>
              <w:t>固化</w:t>
            </w:r>
            <w:r>
              <w:rPr>
                <w:rFonts w:ascii="仿宋_GB2312" w:hAnsi="仿宋_GB2312" w:cs="仿宋_GB2312" w:eastAsia="仿宋_GB2312"/>
                <w:sz w:val="24"/>
              </w:rPr>
              <w:t>原因，中小企业声明函填写以本项⽬</w:t>
            </w:r>
            <w:r>
              <w:rPr>
                <w:rFonts w:ascii="仿宋_GB2312" w:hAnsi="仿宋_GB2312" w:cs="仿宋_GB2312" w:eastAsia="仿宋_GB2312"/>
                <w:sz w:val="24"/>
              </w:rPr>
              <w:t>“第三章 技术、服务及其他要求 3.2、技术要求”中的标的名称为准，否则中小企业声明函无效。</w:t>
            </w:r>
          </w:p>
          <w:p>
            <w:pPr>
              <w:pStyle w:val="null3"/>
              <w:spacing w:before="105" w:after="105"/>
              <w:jc w:val="left"/>
            </w:pPr>
            <w:r>
              <w:rPr>
                <w:rFonts w:ascii="仿宋_GB2312" w:hAnsi="仿宋_GB2312" w:cs="仿宋_GB2312" w:eastAsia="仿宋_GB2312"/>
                <w:sz w:val="24"/>
              </w:rPr>
              <w:t>2、以上标注“▲”的技术参数为重要技术参数，需提供第三方检测机构出具的带CMA标识的检测报告复印件并加盖投标人电子章或提供承诺函承诺中标后签订合同前提供第三方检验检测机构出具的带CMA认证标识的检验检测报告复印件供采购人查验</w:t>
            </w:r>
            <w:r>
              <w:rPr>
                <w:rFonts w:ascii="仿宋_GB2312" w:hAnsi="仿宋_GB2312" w:cs="仿宋_GB2312" w:eastAsia="仿宋_GB2312"/>
                <w:sz w:val="24"/>
              </w:rPr>
              <w:t>。</w:t>
            </w:r>
            <w:r>
              <w:rPr>
                <w:rFonts w:ascii="仿宋_GB2312" w:hAnsi="仿宋_GB2312" w:cs="仿宋_GB2312" w:eastAsia="仿宋_GB2312"/>
                <w:sz w:val="24"/>
              </w:rPr>
              <w:t>检验检测报告涉嫌虚假的，采购人有权取消其中标资格，并报同级财政部门依法处理。</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标的名称：达川中心城区生活垃圾分类收转运和分拣、压缩处理中心建设项目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技术参数及要求</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565"/>
              <w:gridCol w:w="592"/>
              <w:gridCol w:w="3555"/>
              <w:gridCol w:w="574"/>
              <w:gridCol w:w="565"/>
              <w:gridCol w:w="539"/>
              <w:gridCol w:w="565"/>
            </w:tblGrid>
            <w:tr>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标的名称</w:t>
                  </w:r>
                </w:p>
              </w:tc>
              <w:tc>
                <w:tcPr>
                  <w:tcW w:type="dxa" w:w="3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技术参数与性能指标</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5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c>
                <w:tcPr>
                  <w:tcW w:type="dxa" w:w="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所属行业</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柴油垃圾车</w:t>
                  </w:r>
                </w:p>
              </w:tc>
              <w:tc>
                <w:tcPr>
                  <w:tcW w:type="dxa" w:w="3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1．★燃油类型及排放标准：柴油、国Ⅵ；</w:t>
                  </w:r>
                </w:p>
                <w:p>
                  <w:pPr>
                    <w:pStyle w:val="null3"/>
                    <w:jc w:val="left"/>
                  </w:pPr>
                  <w:r>
                    <w:rPr>
                      <w:rFonts w:ascii="仿宋_GB2312" w:hAnsi="仿宋_GB2312" w:cs="仿宋_GB2312" w:eastAsia="仿宋_GB2312"/>
                      <w:sz w:val="20"/>
                    </w:rPr>
                    <w:t>2．总质量（Kg）：≤4500；</w:t>
                  </w:r>
                </w:p>
                <w:p>
                  <w:pPr>
                    <w:pStyle w:val="null3"/>
                    <w:jc w:val="left"/>
                  </w:pPr>
                  <w:r>
                    <w:rPr>
                      <w:rFonts w:ascii="仿宋_GB2312" w:hAnsi="仿宋_GB2312" w:cs="仿宋_GB2312" w:eastAsia="仿宋_GB2312"/>
                      <w:sz w:val="20"/>
                    </w:rPr>
                    <w:t>3．★额定载重（Kg）：≥750；</w:t>
                  </w:r>
                </w:p>
                <w:p>
                  <w:pPr>
                    <w:pStyle w:val="null3"/>
                    <w:jc w:val="left"/>
                  </w:pPr>
                  <w:r>
                    <w:rPr>
                      <w:rFonts w:ascii="仿宋_GB2312" w:hAnsi="仿宋_GB2312" w:cs="仿宋_GB2312" w:eastAsia="仿宋_GB2312"/>
                      <w:sz w:val="20"/>
                    </w:rPr>
                    <w:t>4．★外形尺寸（mm）：≤5200×1800×2400；</w:t>
                  </w:r>
                </w:p>
                <w:p>
                  <w:pPr>
                    <w:pStyle w:val="null3"/>
                    <w:jc w:val="left"/>
                  </w:pPr>
                  <w:r>
                    <w:rPr>
                      <w:rFonts w:ascii="仿宋_GB2312" w:hAnsi="仿宋_GB2312" w:cs="仿宋_GB2312" w:eastAsia="仿宋_GB2312"/>
                      <w:sz w:val="20"/>
                    </w:rPr>
                    <w:t>5．★发动机额定功率（Kw）：≥70；</w:t>
                  </w:r>
                </w:p>
                <w:p>
                  <w:pPr>
                    <w:pStyle w:val="null3"/>
                    <w:jc w:val="left"/>
                  </w:pPr>
                  <w:r>
                    <w:rPr>
                      <w:rFonts w:ascii="仿宋_GB2312" w:hAnsi="仿宋_GB2312" w:cs="仿宋_GB2312" w:eastAsia="仿宋_GB2312"/>
                      <w:sz w:val="20"/>
                    </w:rPr>
                    <w:t>6．★轴距（mm）：≥2850；</w:t>
                  </w:r>
                </w:p>
                <w:p>
                  <w:pPr>
                    <w:pStyle w:val="null3"/>
                    <w:jc w:val="left"/>
                  </w:pPr>
                  <w:r>
                    <w:rPr>
                      <w:rFonts w:ascii="仿宋_GB2312" w:hAnsi="仿宋_GB2312" w:cs="仿宋_GB2312" w:eastAsia="仿宋_GB2312"/>
                      <w:sz w:val="20"/>
                    </w:rPr>
                    <w:t>7．★接近/离去角（°）：≥20/15；</w:t>
                  </w:r>
                </w:p>
                <w:p>
                  <w:pPr>
                    <w:pStyle w:val="null3"/>
                    <w:jc w:val="left"/>
                  </w:pPr>
                  <w:r>
                    <w:rPr>
                      <w:rFonts w:ascii="仿宋_GB2312" w:hAnsi="仿宋_GB2312" w:cs="仿宋_GB2312" w:eastAsia="仿宋_GB2312"/>
                      <w:sz w:val="20"/>
                    </w:rPr>
                    <w:t>8．★前/后悬（mm）：≤1000/1500；</w:t>
                  </w:r>
                </w:p>
                <w:p>
                  <w:pPr>
                    <w:pStyle w:val="null3"/>
                    <w:jc w:val="left"/>
                  </w:pPr>
                  <w:r>
                    <w:rPr>
                      <w:rFonts w:ascii="仿宋_GB2312" w:hAnsi="仿宋_GB2312" w:cs="仿宋_GB2312" w:eastAsia="仿宋_GB2312"/>
                      <w:sz w:val="20"/>
                    </w:rPr>
                    <w:t>9．★货厢</w:t>
                  </w:r>
                  <w:r>
                    <w:rPr>
                      <w:rFonts w:ascii="仿宋_GB2312" w:hAnsi="仿宋_GB2312" w:cs="仿宋_GB2312" w:eastAsia="仿宋_GB2312"/>
                      <w:sz w:val="20"/>
                    </w:rPr>
                    <w:t>尺寸（</w:t>
                  </w:r>
                  <w:r>
                    <w:rPr>
                      <w:rFonts w:ascii="仿宋_GB2312" w:hAnsi="仿宋_GB2312" w:cs="仿宋_GB2312" w:eastAsia="仿宋_GB2312"/>
                      <w:sz w:val="20"/>
                    </w:rPr>
                    <w:t>mm）：≥3000×1500×1100；</w:t>
                  </w:r>
                </w:p>
                <w:p>
                  <w:pPr>
                    <w:pStyle w:val="null3"/>
                    <w:jc w:val="left"/>
                  </w:pPr>
                  <w:r>
                    <w:rPr>
                      <w:rFonts w:ascii="仿宋_GB2312" w:hAnsi="仿宋_GB2312" w:cs="仿宋_GB2312" w:eastAsia="仿宋_GB2312"/>
                      <w:sz w:val="20"/>
                    </w:rPr>
                    <w:t>10．垃圾箱容积（m³）：≥4.5；</w:t>
                  </w:r>
                </w:p>
                <w:p>
                  <w:pPr>
                    <w:pStyle w:val="null3"/>
                    <w:jc w:val="left"/>
                  </w:pPr>
                  <w:r>
                    <w:rPr>
                      <w:rFonts w:ascii="仿宋_GB2312" w:hAnsi="仿宋_GB2312" w:cs="仿宋_GB2312" w:eastAsia="仿宋_GB2312"/>
                      <w:sz w:val="20"/>
                    </w:rPr>
                    <w:t>11．卸料角（°）：≥45；</w:t>
                  </w:r>
                </w:p>
                <w:p>
                  <w:pPr>
                    <w:pStyle w:val="null3"/>
                    <w:jc w:val="left"/>
                  </w:pPr>
                  <w:r>
                    <w:rPr>
                      <w:rFonts w:ascii="仿宋_GB2312" w:hAnsi="仿宋_GB2312" w:cs="仿宋_GB2312" w:eastAsia="仿宋_GB2312"/>
                      <w:sz w:val="20"/>
                    </w:rPr>
                    <w:t>12．压缩循环时间（s）：≤18；</w:t>
                  </w:r>
                </w:p>
                <w:p>
                  <w:pPr>
                    <w:pStyle w:val="null3"/>
                    <w:jc w:val="left"/>
                  </w:pPr>
                  <w:r>
                    <w:rPr>
                      <w:rFonts w:ascii="仿宋_GB2312" w:hAnsi="仿宋_GB2312" w:cs="仿宋_GB2312" w:eastAsia="仿宋_GB2312"/>
                      <w:sz w:val="20"/>
                    </w:rPr>
                    <w:t>13．上料循环时间（s）：≤18；</w:t>
                  </w:r>
                </w:p>
                <w:p>
                  <w:pPr>
                    <w:pStyle w:val="null3"/>
                    <w:jc w:val="left"/>
                  </w:pPr>
                  <w:r>
                    <w:rPr>
                      <w:rFonts w:ascii="仿宋_GB2312" w:hAnsi="仿宋_GB2312" w:cs="仿宋_GB2312" w:eastAsia="仿宋_GB2312"/>
                      <w:sz w:val="20"/>
                    </w:rPr>
                    <w:t>14．卸料循环时间（s）：≤45；</w:t>
                  </w:r>
                </w:p>
                <w:p>
                  <w:pPr>
                    <w:pStyle w:val="null3"/>
                    <w:jc w:val="left"/>
                  </w:pPr>
                  <w:r>
                    <w:rPr>
                      <w:rFonts w:ascii="仿宋_GB2312" w:hAnsi="仿宋_GB2312" w:cs="仿宋_GB2312" w:eastAsia="仿宋_GB2312"/>
                      <w:sz w:val="20"/>
                    </w:rPr>
                    <w:t>15．▲箱体材质</w:t>
                  </w:r>
                  <w:r>
                    <w:rPr>
                      <w:rFonts w:ascii="仿宋_GB2312" w:hAnsi="仿宋_GB2312" w:cs="仿宋_GB2312" w:eastAsia="仿宋_GB2312"/>
                      <w:sz w:val="20"/>
                    </w:rPr>
                    <w:t>采用</w:t>
                  </w:r>
                  <w:r>
                    <w:rPr>
                      <w:rFonts w:ascii="仿宋_GB2312" w:hAnsi="仿宋_GB2312" w:cs="仿宋_GB2312" w:eastAsia="仿宋_GB2312"/>
                      <w:sz w:val="20"/>
                    </w:rPr>
                    <w:t>Q355B或以上等级的合金结构钢材质，底板及侧板厚度2.5mm以上；</w:t>
                  </w:r>
                </w:p>
                <w:p>
                  <w:pPr>
                    <w:pStyle w:val="null3"/>
                    <w:jc w:val="left"/>
                  </w:pPr>
                  <w:r>
                    <w:rPr>
                      <w:rFonts w:ascii="仿宋_GB2312" w:hAnsi="仿宋_GB2312" w:cs="仿宋_GB2312" w:eastAsia="仿宋_GB2312"/>
                      <w:sz w:val="20"/>
                    </w:rPr>
                    <w:t>16．作业机构采用超耐磨轴承，寿命提升3倍，大大降低维护成本；</w:t>
                  </w:r>
                </w:p>
                <w:p>
                  <w:pPr>
                    <w:pStyle w:val="null3"/>
                    <w:jc w:val="left"/>
                  </w:pPr>
                  <w:r>
                    <w:rPr>
                      <w:rFonts w:ascii="仿宋_GB2312" w:hAnsi="仿宋_GB2312" w:cs="仿宋_GB2312" w:eastAsia="仿宋_GB2312"/>
                      <w:sz w:val="20"/>
                    </w:rPr>
                    <w:t>17．★标配峰鸣器报警系统、垃圾箱安全撑杆、操作盒停止按钮、电气控制互锁逻辑、双液压卸料支腿等功能装置；</w:t>
                  </w:r>
                </w:p>
                <w:p>
                  <w:pPr>
                    <w:pStyle w:val="null3"/>
                    <w:jc w:val="left"/>
                  </w:pPr>
                  <w:r>
                    <w:rPr>
                      <w:rFonts w:ascii="仿宋_GB2312" w:hAnsi="仿宋_GB2312" w:cs="仿宋_GB2312" w:eastAsia="仿宋_GB2312"/>
                      <w:sz w:val="20"/>
                    </w:rPr>
                    <w:t>18．★双刮板、双滑板油缸，采用50mm直径32mm杆径以上大腔油缸驱动压填；上料方式为后方，卸料方式为后倾翻卸料；配有120L、240L垃圾桶提升机构。</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辆</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△新能源垃圾车</w:t>
                  </w:r>
                </w:p>
              </w:tc>
              <w:tc>
                <w:tcPr>
                  <w:tcW w:type="dxa" w:w="3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1．★燃油类型及排放标准：纯电动；</w:t>
                  </w:r>
                </w:p>
                <w:p>
                  <w:pPr>
                    <w:pStyle w:val="null3"/>
                    <w:jc w:val="left"/>
                  </w:pPr>
                  <w:r>
                    <w:rPr>
                      <w:rFonts w:ascii="仿宋_GB2312" w:hAnsi="仿宋_GB2312" w:cs="仿宋_GB2312" w:eastAsia="仿宋_GB2312"/>
                      <w:sz w:val="20"/>
                    </w:rPr>
                    <w:t>2．总质量（Kg）：≤4500；</w:t>
                  </w:r>
                </w:p>
                <w:p>
                  <w:pPr>
                    <w:pStyle w:val="null3"/>
                    <w:jc w:val="left"/>
                  </w:pPr>
                  <w:r>
                    <w:rPr>
                      <w:rFonts w:ascii="仿宋_GB2312" w:hAnsi="仿宋_GB2312" w:cs="仿宋_GB2312" w:eastAsia="仿宋_GB2312"/>
                      <w:sz w:val="20"/>
                    </w:rPr>
                    <w:t>3．★额定载重（Kg）：≥900；</w:t>
                  </w:r>
                </w:p>
                <w:p>
                  <w:pPr>
                    <w:pStyle w:val="null3"/>
                    <w:jc w:val="left"/>
                  </w:pPr>
                  <w:r>
                    <w:rPr>
                      <w:rFonts w:ascii="仿宋_GB2312" w:hAnsi="仿宋_GB2312" w:cs="仿宋_GB2312" w:eastAsia="仿宋_GB2312"/>
                      <w:sz w:val="20"/>
                    </w:rPr>
                    <w:t>4．★外形尺寸（mm）：≤6000×1950×2500；</w:t>
                  </w:r>
                </w:p>
                <w:p>
                  <w:pPr>
                    <w:pStyle w:val="null3"/>
                    <w:jc w:val="left"/>
                  </w:pPr>
                  <w:r>
                    <w:rPr>
                      <w:rFonts w:ascii="仿宋_GB2312" w:hAnsi="仿宋_GB2312" w:cs="仿宋_GB2312" w:eastAsia="仿宋_GB2312"/>
                      <w:sz w:val="20"/>
                    </w:rPr>
                    <w:t>5．▲电机额定/峰值功率（Kw）：≥50/100；</w:t>
                  </w:r>
                </w:p>
                <w:p>
                  <w:pPr>
                    <w:pStyle w:val="null3"/>
                    <w:jc w:val="left"/>
                  </w:pPr>
                  <w:r>
                    <w:rPr>
                      <w:rFonts w:ascii="仿宋_GB2312" w:hAnsi="仿宋_GB2312" w:cs="仿宋_GB2312" w:eastAsia="仿宋_GB2312"/>
                      <w:sz w:val="20"/>
                    </w:rPr>
                    <w:t>6．★轴距（mm）：≥2800；</w:t>
                  </w:r>
                </w:p>
                <w:p>
                  <w:pPr>
                    <w:pStyle w:val="null3"/>
                    <w:jc w:val="left"/>
                  </w:pPr>
                  <w:r>
                    <w:rPr>
                      <w:rFonts w:ascii="仿宋_GB2312" w:hAnsi="仿宋_GB2312" w:cs="仿宋_GB2312" w:eastAsia="仿宋_GB2312"/>
                      <w:sz w:val="20"/>
                    </w:rPr>
                    <w:t>7．▲接近/离去角（°）：≥20/18；</w:t>
                  </w:r>
                </w:p>
                <w:p>
                  <w:pPr>
                    <w:pStyle w:val="null3"/>
                    <w:jc w:val="left"/>
                  </w:pPr>
                  <w:r>
                    <w:rPr>
                      <w:rFonts w:ascii="仿宋_GB2312" w:hAnsi="仿宋_GB2312" w:cs="仿宋_GB2312" w:eastAsia="仿宋_GB2312"/>
                      <w:sz w:val="20"/>
                    </w:rPr>
                    <w:t>8．前/后悬（mm）：≤1190/1300；</w:t>
                  </w:r>
                </w:p>
                <w:p>
                  <w:pPr>
                    <w:pStyle w:val="null3"/>
                    <w:jc w:val="left"/>
                  </w:pPr>
                  <w:r>
                    <w:rPr>
                      <w:rFonts w:ascii="仿宋_GB2312" w:hAnsi="仿宋_GB2312" w:cs="仿宋_GB2312" w:eastAsia="仿宋_GB2312"/>
                      <w:sz w:val="20"/>
                    </w:rPr>
                    <w:t>9．★货厢</w:t>
                  </w:r>
                  <w:r>
                    <w:rPr>
                      <w:rFonts w:ascii="仿宋_GB2312" w:hAnsi="仿宋_GB2312" w:cs="仿宋_GB2312" w:eastAsia="仿宋_GB2312"/>
                      <w:sz w:val="20"/>
                    </w:rPr>
                    <w:t>尺寸（</w:t>
                  </w:r>
                  <w:r>
                    <w:rPr>
                      <w:rFonts w:ascii="仿宋_GB2312" w:hAnsi="仿宋_GB2312" w:cs="仿宋_GB2312" w:eastAsia="仿宋_GB2312"/>
                      <w:sz w:val="20"/>
                    </w:rPr>
                    <w:t>mm）：≥3000×1600×1250；</w:t>
                  </w:r>
                </w:p>
                <w:p>
                  <w:pPr>
                    <w:pStyle w:val="null3"/>
                    <w:jc w:val="left"/>
                  </w:pPr>
                  <w:r>
                    <w:rPr>
                      <w:rFonts w:ascii="仿宋_GB2312" w:hAnsi="仿宋_GB2312" w:cs="仿宋_GB2312" w:eastAsia="仿宋_GB2312"/>
                      <w:sz w:val="20"/>
                    </w:rPr>
                    <w:t>10．垃圾箱容积（m³）：≥5；</w:t>
                  </w:r>
                </w:p>
                <w:p>
                  <w:pPr>
                    <w:pStyle w:val="null3"/>
                    <w:jc w:val="left"/>
                  </w:pPr>
                  <w:r>
                    <w:rPr>
                      <w:rFonts w:ascii="仿宋_GB2312" w:hAnsi="仿宋_GB2312" w:cs="仿宋_GB2312" w:eastAsia="仿宋_GB2312"/>
                      <w:sz w:val="20"/>
                    </w:rPr>
                    <w:t>11．卸料角（°）：≥45；</w:t>
                  </w:r>
                </w:p>
                <w:p>
                  <w:pPr>
                    <w:pStyle w:val="null3"/>
                    <w:jc w:val="left"/>
                  </w:pPr>
                  <w:r>
                    <w:rPr>
                      <w:rFonts w:ascii="仿宋_GB2312" w:hAnsi="仿宋_GB2312" w:cs="仿宋_GB2312" w:eastAsia="仿宋_GB2312"/>
                      <w:sz w:val="20"/>
                    </w:rPr>
                    <w:t>12．压缩循环时间（s）：≤18；</w:t>
                  </w:r>
                </w:p>
                <w:p>
                  <w:pPr>
                    <w:pStyle w:val="null3"/>
                    <w:jc w:val="left"/>
                  </w:pPr>
                  <w:r>
                    <w:rPr>
                      <w:rFonts w:ascii="仿宋_GB2312" w:hAnsi="仿宋_GB2312" w:cs="仿宋_GB2312" w:eastAsia="仿宋_GB2312"/>
                      <w:sz w:val="20"/>
                    </w:rPr>
                    <w:t>13．上料循环时间（s）：≤18；</w:t>
                  </w:r>
                </w:p>
                <w:p>
                  <w:pPr>
                    <w:pStyle w:val="null3"/>
                    <w:jc w:val="left"/>
                  </w:pPr>
                  <w:r>
                    <w:rPr>
                      <w:rFonts w:ascii="仿宋_GB2312" w:hAnsi="仿宋_GB2312" w:cs="仿宋_GB2312" w:eastAsia="仿宋_GB2312"/>
                      <w:sz w:val="20"/>
                    </w:rPr>
                    <w:t>14．卸料循环时间（s）：≤45；</w:t>
                  </w:r>
                </w:p>
                <w:p>
                  <w:pPr>
                    <w:pStyle w:val="null3"/>
                    <w:jc w:val="left"/>
                  </w:pPr>
                  <w:r>
                    <w:rPr>
                      <w:rFonts w:ascii="仿宋_GB2312" w:hAnsi="仿宋_GB2312" w:cs="仿宋_GB2312" w:eastAsia="仿宋_GB2312"/>
                      <w:sz w:val="20"/>
                    </w:rPr>
                    <w:t>15．▲等速法纯</w:t>
                  </w:r>
                  <w:r>
                    <w:rPr>
                      <w:rFonts w:ascii="仿宋_GB2312" w:hAnsi="仿宋_GB2312" w:cs="仿宋_GB2312" w:eastAsia="仿宋_GB2312"/>
                      <w:sz w:val="20"/>
                    </w:rPr>
                    <w:t>电动续航里程（</w:t>
                  </w:r>
                  <w:r>
                    <w:rPr>
                      <w:rFonts w:ascii="仿宋_GB2312" w:hAnsi="仿宋_GB2312" w:cs="仿宋_GB2312" w:eastAsia="仿宋_GB2312"/>
                      <w:sz w:val="20"/>
                    </w:rPr>
                    <w:t>km）：≥390；</w:t>
                  </w:r>
                </w:p>
                <w:p>
                  <w:pPr>
                    <w:pStyle w:val="null3"/>
                    <w:jc w:val="left"/>
                  </w:pPr>
                  <w:r>
                    <w:rPr>
                      <w:rFonts w:ascii="仿宋_GB2312" w:hAnsi="仿宋_GB2312" w:cs="仿宋_GB2312" w:eastAsia="仿宋_GB2312"/>
                      <w:sz w:val="20"/>
                    </w:rPr>
                    <w:t>16．▲箱体材质采用Q355B或以上等级的合金结构钢材质，底板及侧板厚度2.5mm以上；</w:t>
                  </w:r>
                </w:p>
                <w:p>
                  <w:pPr>
                    <w:pStyle w:val="null3"/>
                    <w:jc w:val="left"/>
                  </w:pPr>
                  <w:r>
                    <w:rPr>
                      <w:rFonts w:ascii="仿宋_GB2312" w:hAnsi="仿宋_GB2312" w:cs="仿宋_GB2312" w:eastAsia="仿宋_GB2312"/>
                      <w:sz w:val="20"/>
                    </w:rPr>
                    <w:t>17．作业机构采用超耐磨轴承，寿命提升3倍，大大降低维护成本；</w:t>
                  </w:r>
                </w:p>
                <w:p>
                  <w:pPr>
                    <w:pStyle w:val="null3"/>
                    <w:jc w:val="left"/>
                  </w:pPr>
                  <w:r>
                    <w:rPr>
                      <w:rFonts w:ascii="仿宋_GB2312" w:hAnsi="仿宋_GB2312" w:cs="仿宋_GB2312" w:eastAsia="仿宋_GB2312"/>
                      <w:sz w:val="20"/>
                    </w:rPr>
                    <w:t>18．★电量不低于55kWh；提供不少于8年或40万公里的三电质保；（须提供承诺函，格式自拟。）</w:t>
                  </w:r>
                </w:p>
                <w:p>
                  <w:pPr>
                    <w:pStyle w:val="null3"/>
                    <w:jc w:val="left"/>
                  </w:pPr>
                  <w:r>
                    <w:rPr>
                      <w:rFonts w:ascii="仿宋_GB2312" w:hAnsi="仿宋_GB2312" w:cs="仿宋_GB2312" w:eastAsia="仿宋_GB2312"/>
                      <w:sz w:val="20"/>
                    </w:rPr>
                    <w:t>19．▲压填机构滑板油缸具有双活塞杆，可以实现对垃圾箱进行遮盖达到全部封闭效果，完全避免垃圾洒落；（提供实物图片说明全密闭效果）</w:t>
                  </w:r>
                </w:p>
                <w:p>
                  <w:pPr>
                    <w:pStyle w:val="null3"/>
                    <w:jc w:val="left"/>
                  </w:pPr>
                  <w:r>
                    <w:rPr>
                      <w:rFonts w:ascii="仿宋_GB2312" w:hAnsi="仿宋_GB2312" w:cs="仿宋_GB2312" w:eastAsia="仿宋_GB2312"/>
                      <w:sz w:val="20"/>
                    </w:rPr>
                    <w:t>20．★标配峰鸣器报警系统、垃圾箱安全撑杆、操作盒停止按钮、电气控制互锁逻辑、双液压卸料支腿等功能装置；</w:t>
                  </w:r>
                </w:p>
                <w:p>
                  <w:pPr>
                    <w:pStyle w:val="null3"/>
                    <w:jc w:val="left"/>
                  </w:pPr>
                  <w:r>
                    <w:rPr>
                      <w:rFonts w:ascii="仿宋_GB2312" w:hAnsi="仿宋_GB2312" w:cs="仿宋_GB2312" w:eastAsia="仿宋_GB2312"/>
                      <w:sz w:val="20"/>
                    </w:rPr>
                    <w:t>21．★双刮板、双滑板油缸，采用50mm直径32mm杆径以上大腔油缸驱动压填；上料方式为后方，卸料方式为后倾翻卸料；配有120L、240L垃圾桶提升机构。</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辆</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对接车</w:t>
                  </w:r>
                </w:p>
              </w:tc>
              <w:tc>
                <w:tcPr>
                  <w:tcW w:type="dxa" w:w="3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1．★燃油类型及排放标准：柴油、国Ⅵ；</w:t>
                  </w:r>
                </w:p>
                <w:p>
                  <w:pPr>
                    <w:pStyle w:val="null3"/>
                    <w:jc w:val="left"/>
                  </w:pPr>
                  <w:r>
                    <w:rPr>
                      <w:rFonts w:ascii="仿宋_GB2312" w:hAnsi="仿宋_GB2312" w:cs="仿宋_GB2312" w:eastAsia="仿宋_GB2312"/>
                      <w:sz w:val="20"/>
                    </w:rPr>
                    <w:t>2．★额定载重（Kg）：≥9000；</w:t>
                  </w:r>
                </w:p>
                <w:p>
                  <w:pPr>
                    <w:pStyle w:val="null3"/>
                    <w:jc w:val="left"/>
                  </w:pPr>
                  <w:r>
                    <w:rPr>
                      <w:rFonts w:ascii="仿宋_GB2312" w:hAnsi="仿宋_GB2312" w:cs="仿宋_GB2312" w:eastAsia="仿宋_GB2312"/>
                      <w:sz w:val="20"/>
                    </w:rPr>
                    <w:t>3．★外形尺寸（mm）：≤7000×2550×3150；</w:t>
                  </w:r>
                </w:p>
                <w:p>
                  <w:pPr>
                    <w:pStyle w:val="null3"/>
                    <w:jc w:val="left"/>
                  </w:pPr>
                  <w:r>
                    <w:rPr>
                      <w:rFonts w:ascii="仿宋_GB2312" w:hAnsi="仿宋_GB2312" w:cs="仿宋_GB2312" w:eastAsia="仿宋_GB2312"/>
                      <w:sz w:val="20"/>
                    </w:rPr>
                    <w:t>4．★发动机额定功率（Kw）：≥</w:t>
                  </w:r>
                  <w:r>
                    <w:rPr>
                      <w:rFonts w:ascii="仿宋_GB2312" w:hAnsi="仿宋_GB2312" w:cs="仿宋_GB2312" w:eastAsia="仿宋_GB2312"/>
                      <w:sz w:val="20"/>
                    </w:rPr>
                    <w:t>170</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5．★轴距（mm）：≥3900；</w:t>
                  </w:r>
                </w:p>
                <w:p>
                  <w:pPr>
                    <w:pStyle w:val="null3"/>
                    <w:jc w:val="left"/>
                  </w:pPr>
                  <w:r>
                    <w:rPr>
                      <w:rFonts w:ascii="仿宋_GB2312" w:hAnsi="仿宋_GB2312" w:cs="仿宋_GB2312" w:eastAsia="仿宋_GB2312"/>
                      <w:sz w:val="20"/>
                    </w:rPr>
                    <w:t>6．★接近/离去角（°）：≥16/18；</w:t>
                  </w:r>
                </w:p>
                <w:p>
                  <w:pPr>
                    <w:pStyle w:val="null3"/>
                    <w:jc w:val="left"/>
                  </w:pPr>
                  <w:r>
                    <w:rPr>
                      <w:rFonts w:ascii="仿宋_GB2312" w:hAnsi="仿宋_GB2312" w:cs="仿宋_GB2312" w:eastAsia="仿宋_GB2312"/>
                      <w:sz w:val="20"/>
                    </w:rPr>
                    <w:t>7．前/后悬（mm）：≤1450/2000；</w:t>
                  </w:r>
                </w:p>
                <w:p>
                  <w:pPr>
                    <w:pStyle w:val="null3"/>
                    <w:jc w:val="left"/>
                  </w:pPr>
                  <w:r>
                    <w:rPr>
                      <w:rFonts w:ascii="仿宋_GB2312" w:hAnsi="仿宋_GB2312" w:cs="仿宋_GB2312" w:eastAsia="仿宋_GB2312"/>
                      <w:sz w:val="20"/>
                    </w:rPr>
                    <w:t>8．★货厢尺寸（mm）：4300×2200×1700（±100）；</w:t>
                  </w:r>
                </w:p>
                <w:p>
                  <w:pPr>
                    <w:pStyle w:val="null3"/>
                    <w:jc w:val="left"/>
                  </w:pPr>
                  <w:r>
                    <w:rPr>
                      <w:rFonts w:ascii="仿宋_GB2312" w:hAnsi="仿宋_GB2312" w:cs="仿宋_GB2312" w:eastAsia="仿宋_GB2312"/>
                      <w:sz w:val="20"/>
                    </w:rPr>
                    <w:t>9．垃圾箱容积（m³）：≥16；</w:t>
                  </w:r>
                </w:p>
                <w:p>
                  <w:pPr>
                    <w:pStyle w:val="null3"/>
                    <w:jc w:val="left"/>
                  </w:pPr>
                  <w:r>
                    <w:rPr>
                      <w:rFonts w:ascii="仿宋_GB2312" w:hAnsi="仿宋_GB2312" w:cs="仿宋_GB2312" w:eastAsia="仿宋_GB2312"/>
                      <w:sz w:val="20"/>
                    </w:rPr>
                    <w:t>10．★箱</w:t>
                  </w:r>
                  <w:r>
                    <w:rPr>
                      <w:rFonts w:ascii="仿宋_GB2312" w:hAnsi="仿宋_GB2312" w:cs="仿宋_GB2312" w:eastAsia="仿宋_GB2312"/>
                      <w:sz w:val="20"/>
                    </w:rPr>
                    <w:t>体采用</w:t>
                  </w:r>
                  <w:r>
                    <w:rPr>
                      <w:rFonts w:ascii="仿宋_GB2312" w:hAnsi="仿宋_GB2312" w:cs="仿宋_GB2312" w:eastAsia="仿宋_GB2312"/>
                      <w:sz w:val="20"/>
                    </w:rPr>
                    <w:t>Q355B或以上等级的合金结构钢，具有较高的强度和优秀的耐腐蚀性能；</w:t>
                  </w:r>
                </w:p>
                <w:p>
                  <w:pPr>
                    <w:pStyle w:val="null3"/>
                    <w:jc w:val="left"/>
                  </w:pPr>
                  <w:r>
                    <w:rPr>
                      <w:rFonts w:ascii="仿宋_GB2312" w:hAnsi="仿宋_GB2312" w:cs="仿宋_GB2312" w:eastAsia="仿宋_GB2312"/>
                      <w:sz w:val="20"/>
                    </w:rPr>
                    <w:t>11．经试验，卸料机构能保证60秒内将垃圾箱内的垃圾卸净，动作平稳，无卡滞现象；</w:t>
                  </w:r>
                </w:p>
                <w:p>
                  <w:pPr>
                    <w:pStyle w:val="null3"/>
                    <w:jc w:val="left"/>
                  </w:pPr>
                  <w:r>
                    <w:rPr>
                      <w:rFonts w:ascii="仿宋_GB2312" w:hAnsi="仿宋_GB2312" w:cs="仿宋_GB2312" w:eastAsia="仿宋_GB2312"/>
                      <w:sz w:val="20"/>
                    </w:rPr>
                    <w:t>12．采用全封闭垃圾箱、液压驱动后门，采用Y型后门举升臂避免复杂连杆机构，后门与后门举升臂支架采用焊接一体式设计，垃圾箱与后门接合面用特制的橡胶密封条密封，完全遮盖住垃圾箱进料口；</w:t>
                  </w:r>
                </w:p>
                <w:p>
                  <w:pPr>
                    <w:pStyle w:val="null3"/>
                    <w:jc w:val="left"/>
                  </w:pPr>
                  <w:r>
                    <w:rPr>
                      <w:rFonts w:ascii="仿宋_GB2312" w:hAnsi="仿宋_GB2312" w:cs="仿宋_GB2312" w:eastAsia="仿宋_GB2312"/>
                      <w:sz w:val="20"/>
                    </w:rPr>
                    <w:t>13．垃圾箱后门开关采用液压缸控制，后门油缸回</w:t>
                  </w:r>
                  <w:r>
                    <w:rPr>
                      <w:rFonts w:ascii="仿宋_GB2312" w:hAnsi="仿宋_GB2312" w:cs="仿宋_GB2312" w:eastAsia="仿宋_GB2312"/>
                      <w:sz w:val="20"/>
                    </w:rPr>
                    <w:t>路加有双向液压锁，且无杆腔回路装有阻尼塞，用来保持后门的动作平稳；</w:t>
                  </w:r>
                </w:p>
                <w:p>
                  <w:pPr>
                    <w:pStyle w:val="null3"/>
                    <w:jc w:val="left"/>
                  </w:pPr>
                  <w:r>
                    <w:rPr>
                      <w:rFonts w:ascii="仿宋_GB2312" w:hAnsi="仿宋_GB2312" w:cs="仿宋_GB2312" w:eastAsia="仿宋_GB2312"/>
                      <w:sz w:val="20"/>
                    </w:rPr>
                    <w:t>14．采用电气液联合控制,电气系统是从底盘电源取电，通过开关、继电器的控制来实现了垃圾箱的升降和后门开关；操作人员可在驾驶室内完成后门的开闭和垃圾箱倾翻。车辆作业由两处操作装置实现，一处在驾驶室内的操作盒，另一处在驾驶室外的操作手柄；</w:t>
                  </w:r>
                </w:p>
                <w:p>
                  <w:pPr>
                    <w:pStyle w:val="null3"/>
                    <w:jc w:val="left"/>
                  </w:pPr>
                  <w:r>
                    <w:rPr>
                      <w:rFonts w:ascii="仿宋_GB2312" w:hAnsi="仿宋_GB2312" w:cs="仿宋_GB2312" w:eastAsia="仿宋_GB2312"/>
                      <w:sz w:val="20"/>
                    </w:rPr>
                    <w:t>15．配备作业报警提示音、垃圾箱安全撑杆。且举升油缸的液压回路中设有平衡阀，消除垃圾箱因管道爆裂突然落下带来的恶性事故隐患；</w:t>
                  </w:r>
                </w:p>
                <w:p>
                  <w:pPr>
                    <w:pStyle w:val="null3"/>
                    <w:jc w:val="left"/>
                  </w:pPr>
                  <w:r>
                    <w:rPr>
                      <w:rFonts w:ascii="仿宋_GB2312" w:hAnsi="仿宋_GB2312" w:cs="仿宋_GB2312" w:eastAsia="仿宋_GB2312"/>
                      <w:sz w:val="20"/>
                    </w:rPr>
                    <w:t>16．★车厢底部有污水箱用于储存垃圾污水,水箱容积不小于80L；</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辆</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bl>
          <w:p>
            <w:pPr>
              <w:pStyle w:val="null3"/>
              <w:jc w:val="both"/>
            </w:pPr>
            <w:r>
              <w:rPr>
                <w:rFonts w:ascii="仿宋_GB2312" w:hAnsi="仿宋_GB2312" w:cs="仿宋_GB2312" w:eastAsia="仿宋_GB2312"/>
                <w:sz w:val="24"/>
                <w:b/>
              </w:rPr>
              <w:t>注：</w:t>
            </w:r>
            <w:r>
              <w:rPr>
                <w:rFonts w:ascii="仿宋_GB2312" w:hAnsi="仿宋_GB2312" w:cs="仿宋_GB2312" w:eastAsia="仿宋_GB2312"/>
                <w:sz w:val="24"/>
              </w:rPr>
              <w:t>1、</w:t>
            </w:r>
            <w:r>
              <w:rPr>
                <w:rFonts w:ascii="仿宋_GB2312" w:hAnsi="仿宋_GB2312" w:cs="仿宋_GB2312" w:eastAsia="仿宋_GB2312"/>
                <w:sz w:val="22"/>
              </w:rPr>
              <w:t>柴油垃圾车（技术参数第</w:t>
            </w:r>
            <w:r>
              <w:rPr>
                <w:rFonts w:ascii="仿宋_GB2312" w:hAnsi="仿宋_GB2312" w:cs="仿宋_GB2312" w:eastAsia="仿宋_GB2312"/>
                <w:sz w:val="22"/>
              </w:rPr>
              <w:t>10、12、13、14项）、</w:t>
            </w:r>
            <w:r>
              <w:rPr>
                <w:rFonts w:ascii="仿宋_GB2312" w:hAnsi="仿宋_GB2312" w:cs="仿宋_GB2312" w:eastAsia="仿宋_GB2312"/>
                <w:sz w:val="22"/>
              </w:rPr>
              <w:t>新能源垃圾车</w:t>
            </w:r>
            <w:r>
              <w:rPr>
                <w:rFonts w:ascii="仿宋_GB2312" w:hAnsi="仿宋_GB2312" w:cs="仿宋_GB2312" w:eastAsia="仿宋_GB2312"/>
                <w:sz w:val="22"/>
              </w:rPr>
              <w:t>（技术参数第</w:t>
            </w:r>
            <w:r>
              <w:rPr>
                <w:rFonts w:ascii="仿宋_GB2312" w:hAnsi="仿宋_GB2312" w:cs="仿宋_GB2312" w:eastAsia="仿宋_GB2312"/>
                <w:sz w:val="22"/>
              </w:rPr>
              <w:t>10、12、13、14项）</w:t>
            </w:r>
            <w:r>
              <w:rPr>
                <w:rFonts w:ascii="仿宋_GB2312" w:hAnsi="仿宋_GB2312" w:cs="仿宋_GB2312" w:eastAsia="仿宋_GB2312"/>
                <w:sz w:val="22"/>
              </w:rPr>
              <w:t>、</w:t>
            </w:r>
            <w:r>
              <w:rPr>
                <w:rFonts w:ascii="仿宋_GB2312" w:hAnsi="仿宋_GB2312" w:cs="仿宋_GB2312" w:eastAsia="仿宋_GB2312"/>
                <w:sz w:val="22"/>
              </w:rPr>
              <w:t>对接车</w:t>
            </w:r>
            <w:r>
              <w:rPr>
                <w:rFonts w:ascii="仿宋_GB2312" w:hAnsi="仿宋_GB2312" w:cs="仿宋_GB2312" w:eastAsia="仿宋_GB2312"/>
                <w:sz w:val="22"/>
              </w:rPr>
              <w:t>（</w:t>
            </w:r>
            <w:r>
              <w:rPr>
                <w:rFonts w:ascii="仿宋_GB2312" w:hAnsi="仿宋_GB2312" w:cs="仿宋_GB2312" w:eastAsia="仿宋_GB2312"/>
                <w:sz w:val="22"/>
              </w:rPr>
              <w:t>技术参数</w:t>
            </w:r>
            <w:r>
              <w:rPr>
                <w:rFonts w:ascii="仿宋_GB2312" w:hAnsi="仿宋_GB2312" w:cs="仿宋_GB2312" w:eastAsia="仿宋_GB2312"/>
                <w:sz w:val="22"/>
              </w:rPr>
              <w:t>第</w:t>
            </w:r>
            <w:r>
              <w:rPr>
                <w:rFonts w:ascii="仿宋_GB2312" w:hAnsi="仿宋_GB2312" w:cs="仿宋_GB2312" w:eastAsia="仿宋_GB2312"/>
                <w:sz w:val="22"/>
              </w:rPr>
              <w:t>11项</w:t>
            </w:r>
            <w:r>
              <w:rPr>
                <w:rFonts w:ascii="仿宋_GB2312" w:hAnsi="仿宋_GB2312" w:cs="仿宋_GB2312" w:eastAsia="仿宋_GB2312"/>
                <w:sz w:val="22"/>
              </w:rPr>
              <w:t>），需</w:t>
            </w:r>
            <w:r>
              <w:rPr>
                <w:rFonts w:ascii="仿宋_GB2312" w:hAnsi="仿宋_GB2312" w:cs="仿宋_GB2312" w:eastAsia="仿宋_GB2312"/>
                <w:sz w:val="22"/>
              </w:rPr>
              <w:t>提供第三方检测机构出具的带</w:t>
            </w:r>
            <w:r>
              <w:rPr>
                <w:rFonts w:ascii="仿宋_GB2312" w:hAnsi="仿宋_GB2312" w:cs="仿宋_GB2312" w:eastAsia="仿宋_GB2312"/>
                <w:sz w:val="22"/>
              </w:rPr>
              <w:t xml:space="preserve">CMA标识的检测报告复印件并加盖投标人电子章或提供承诺函承诺中标后签订合同前提供第三方检验检测机构出具的带CMA认证标识的检验检测报告复印件供采购人查验。检验检测报告涉嫌虚假的，采购人有权取消其中标资格，并报同级财政部门依法处理。  </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、由于系统</w:t>
            </w:r>
            <w:r>
              <w:rPr>
                <w:rFonts w:ascii="仿宋_GB2312" w:hAnsi="仿宋_GB2312" w:cs="仿宋_GB2312" w:eastAsia="仿宋_GB2312"/>
                <w:sz w:val="22"/>
              </w:rPr>
              <w:t>固化</w:t>
            </w:r>
            <w:r>
              <w:rPr>
                <w:rFonts w:ascii="仿宋_GB2312" w:hAnsi="仿宋_GB2312" w:cs="仿宋_GB2312" w:eastAsia="仿宋_GB2312"/>
                <w:sz w:val="22"/>
              </w:rPr>
              <w:t>原因，中小企业声明函填写以本项⽬</w:t>
            </w:r>
            <w:r>
              <w:rPr>
                <w:rFonts w:ascii="仿宋_GB2312" w:hAnsi="仿宋_GB2312" w:cs="仿宋_GB2312" w:eastAsia="仿宋_GB2312"/>
                <w:sz w:val="22"/>
              </w:rPr>
              <w:t>“第三章 技术、服务及其他要求 3.2、技术要求”中的标的名称为准，否则中小企业声明函无效。</w:t>
            </w:r>
          </w:p>
          <w:p>
            <w:pPr>
              <w:pStyle w:val="null3"/>
              <w:jc w:val="both"/>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标的名称：达川中心城区生活垃圾分类收转运和分拣、压缩处理中心建设项目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技术参数及要求</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68"/>
              <w:gridCol w:w="602"/>
              <w:gridCol w:w="4533"/>
              <w:gridCol w:w="386"/>
              <w:gridCol w:w="339"/>
              <w:gridCol w:w="356"/>
              <w:gridCol w:w="397"/>
            </w:tblGrid>
            <w:tr>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标的</w:t>
                  </w:r>
                  <w:r>
                    <w:rPr>
                      <w:rFonts w:ascii="仿宋_GB2312" w:hAnsi="仿宋_GB2312" w:cs="仿宋_GB2312" w:eastAsia="仿宋_GB2312"/>
                      <w:sz w:val="24"/>
                    </w:rPr>
                    <w:t>名称</w:t>
                  </w:r>
                </w:p>
              </w:tc>
              <w:tc>
                <w:tcPr>
                  <w:tcW w:type="dxa" w:w="4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技术参数与性能指标</w:t>
                  </w:r>
                </w:p>
              </w:tc>
              <w:tc>
                <w:tcPr>
                  <w:tcW w:type="dxa" w:w="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所属行业</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240升四分类亭</w:t>
                  </w:r>
                </w:p>
              </w:tc>
              <w:tc>
                <w:tcPr>
                  <w:tcW w:type="dxa" w:w="4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一、基本规格</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、整体尺寸</w:t>
                  </w:r>
                  <w:r>
                    <w:rPr>
                      <w:rFonts w:ascii="仿宋_GB2312" w:hAnsi="仿宋_GB2312" w:cs="仿宋_GB2312" w:eastAsia="仿宋_GB2312"/>
                      <w:sz w:val="22"/>
                    </w:rPr>
                    <w:t>（长</w:t>
                  </w:r>
                  <w:r>
                    <w:rPr>
                      <w:rFonts w:ascii="仿宋_GB2312" w:hAnsi="仿宋_GB2312" w:cs="仿宋_GB2312" w:eastAsia="仿宋_GB2312"/>
                      <w:sz w:val="22"/>
                    </w:rPr>
                    <w:t>×宽×高）</w:t>
                  </w:r>
                  <w:r>
                    <w:rPr>
                      <w:rFonts w:ascii="仿宋_GB2312" w:hAnsi="仿宋_GB2312" w:cs="仿宋_GB2312" w:eastAsia="仿宋_GB2312"/>
                      <w:sz w:val="22"/>
                    </w:rPr>
                    <w:t>：</w:t>
                  </w:r>
                  <w:r>
                    <w:rPr>
                      <w:rFonts w:ascii="仿宋_GB2312" w:hAnsi="仿宋_GB2312" w:cs="仿宋_GB2312" w:eastAsia="仿宋_GB2312"/>
                      <w:sz w:val="22"/>
                    </w:rPr>
                    <w:t>3200×1500×2500mm（±10mm）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每个</w:t>
                  </w:r>
                  <w:r>
                    <w:rPr>
                      <w:rFonts w:ascii="仿宋_GB2312" w:hAnsi="仿宋_GB2312" w:cs="仿宋_GB2312" w:eastAsia="仿宋_GB2312"/>
                      <w:sz w:val="22"/>
                    </w:rPr>
                    <w:t>240升四分</w:t>
                  </w:r>
                  <w:r>
                    <w:rPr>
                      <w:rFonts w:ascii="仿宋_GB2312" w:hAnsi="仿宋_GB2312" w:cs="仿宋_GB2312" w:eastAsia="仿宋_GB2312"/>
                      <w:sz w:val="22"/>
                    </w:rPr>
                    <w:t>类亭</w:t>
                  </w:r>
                  <w:r>
                    <w:rPr>
                      <w:rFonts w:ascii="仿宋_GB2312" w:hAnsi="仿宋_GB2312" w:cs="仿宋_GB2312" w:eastAsia="仿宋_GB2312"/>
                      <w:sz w:val="22"/>
                    </w:rPr>
                    <w:t>须配置</w:t>
                  </w:r>
                  <w:r>
                    <w:rPr>
                      <w:rFonts w:ascii="仿宋_GB2312" w:hAnsi="仿宋_GB2312" w:cs="仿宋_GB2312" w:eastAsia="仿宋_GB2312"/>
                      <w:sz w:val="22"/>
                    </w:rPr>
                    <w:t>4个240L分类塑料垃圾桶（可回收物1个、有害垃圾1个、厨余垃圾1个、其他垃圾1个）。</w:t>
                  </w:r>
                </w:p>
                <w:p>
                  <w:pPr>
                    <w:pStyle w:val="null3"/>
                    <w:jc w:val="left"/>
                  </w:pPr>
                  <w:r>
                    <w:rPr>
                      <w:rFonts w:ascii="仿宋_GB2312" w:hAnsi="仿宋_GB2312" w:cs="仿宋_GB2312" w:eastAsia="仿宋_GB2312"/>
                      <w:sz w:val="22"/>
                      <w:b/>
                    </w:rPr>
                    <w:t>二、材质</w:t>
                  </w:r>
                </w:p>
                <w:p>
                  <w:pPr>
                    <w:pStyle w:val="null3"/>
                    <w:jc w:val="left"/>
                  </w:pPr>
                  <w:r>
                    <w:rPr>
                      <w:rFonts w:ascii="仿宋_GB2312" w:hAnsi="仿宋_GB2312" w:cs="仿宋_GB2312" w:eastAsia="仿宋_GB2312"/>
                      <w:sz w:val="22"/>
                    </w:rPr>
                    <w:t>★1、主体框架：前后框架主管采用国标80×80mm热镀锌方管，壁厚2.0mm，框架高度≥2350mm。</w:t>
                  </w:r>
                </w:p>
                <w:p>
                  <w:pPr>
                    <w:pStyle w:val="null3"/>
                    <w:jc w:val="left"/>
                  </w:pPr>
                  <w:r>
                    <w:rPr>
                      <w:rFonts w:ascii="仿宋_GB2312" w:hAnsi="仿宋_GB2312" w:cs="仿宋_GB2312" w:eastAsia="仿宋_GB2312"/>
                      <w:sz w:val="22"/>
                    </w:rPr>
                    <w:t>★2、顶盖板材：顶盖使用厚度1.2mm厚度镀锌钢板，顶盖高度≥150mm（±10mm）。</w:t>
                  </w:r>
                </w:p>
                <w:p>
                  <w:pPr>
                    <w:pStyle w:val="null3"/>
                    <w:jc w:val="left"/>
                  </w:pPr>
                  <w:r>
                    <w:rPr>
                      <w:rFonts w:ascii="仿宋_GB2312" w:hAnsi="仿宋_GB2312" w:cs="仿宋_GB2312" w:eastAsia="仿宋_GB2312"/>
                      <w:sz w:val="22"/>
                    </w:rPr>
                    <w:t>★3、辅助管材：配套40×40mm、30×30mm热镀锌管，统一厚度2.0mm；</w:t>
                  </w:r>
                </w:p>
                <w:p>
                  <w:pPr>
                    <w:pStyle w:val="null3"/>
                    <w:jc w:val="left"/>
                  </w:pPr>
                  <w:r>
                    <w:rPr>
                      <w:rFonts w:ascii="仿宋_GB2312" w:hAnsi="仿宋_GB2312" w:cs="仿宋_GB2312" w:eastAsia="仿宋_GB2312"/>
                      <w:sz w:val="22"/>
                    </w:rPr>
                    <w:t>★4、围护板材：上面部分侧板与背板使用1.8mm厚镀锌钢板，下面部分侧板与背板使用40*40镀锌管造型，镀锌管间距小于60mm，设计比例协调美观。</w:t>
                  </w:r>
                </w:p>
                <w:p>
                  <w:pPr>
                    <w:pStyle w:val="null3"/>
                    <w:jc w:val="left"/>
                  </w:pPr>
                  <w:r>
                    <w:rPr>
                      <w:rFonts w:ascii="仿宋_GB2312" w:hAnsi="仿宋_GB2312" w:cs="仿宋_GB2312" w:eastAsia="仿宋_GB2312"/>
                      <w:sz w:val="22"/>
                      <w:b/>
                    </w:rPr>
                    <w:t>三、</w:t>
                  </w:r>
                  <w:r>
                    <w:rPr>
                      <w:rFonts w:ascii="仿宋_GB2312" w:hAnsi="仿宋_GB2312" w:cs="仿宋_GB2312" w:eastAsia="仿宋_GB2312"/>
                      <w:sz w:val="22"/>
                      <w:b/>
                    </w:rPr>
                    <w:t>表面处理</w:t>
                  </w:r>
                </w:p>
                <w:p>
                  <w:pPr>
                    <w:pStyle w:val="null3"/>
                    <w:jc w:val="left"/>
                  </w:pPr>
                  <w:r>
                    <w:rPr>
                      <w:rFonts w:ascii="仿宋_GB2312" w:hAnsi="仿宋_GB2312" w:cs="仿宋_GB2312" w:eastAsia="仿宋_GB2312"/>
                      <w:sz w:val="22"/>
                    </w:rPr>
                    <w:t>1、所有表面经除油、除锈、除尘等处理后，采用户外粉末静电喷涂技术，经热高温固性处理，使涂层不易脱落，耐高温耐划伤，外观光滑平整，无波纹、划痕、黑点、杂质、色泽均匀，且闭合部位无明显变形；产品颜色可根据采购人要求定制。</w:t>
                  </w:r>
                </w:p>
                <w:p>
                  <w:pPr>
                    <w:pStyle w:val="null3"/>
                    <w:jc w:val="left"/>
                  </w:pPr>
                  <w:r>
                    <w:rPr>
                      <w:rFonts w:ascii="仿宋_GB2312" w:hAnsi="仿宋_GB2312" w:cs="仿宋_GB2312" w:eastAsia="仿宋_GB2312"/>
                      <w:sz w:val="22"/>
                    </w:rPr>
                    <w:t>2、特性：表面漆色均匀，附着力强，富有光泽，有较高的户外适应性，保证户外长期使用不脱漆掉色，抗紫外线及耐酸蚀性强。</w:t>
                  </w:r>
                </w:p>
                <w:p>
                  <w:pPr>
                    <w:pStyle w:val="null3"/>
                    <w:jc w:val="left"/>
                  </w:pPr>
                  <w:r>
                    <w:rPr>
                      <w:rFonts w:ascii="仿宋_GB2312" w:hAnsi="仿宋_GB2312" w:cs="仿宋_GB2312" w:eastAsia="仿宋_GB2312"/>
                      <w:sz w:val="22"/>
                      <w:b/>
                    </w:rPr>
                    <w:t>四、垃圾桶</w:t>
                  </w:r>
                </w:p>
                <w:p>
                  <w:pPr>
                    <w:pStyle w:val="null3"/>
                    <w:jc w:val="left"/>
                  </w:pPr>
                  <w:r>
                    <w:rPr>
                      <w:rFonts w:ascii="仿宋_GB2312" w:hAnsi="仿宋_GB2312" w:cs="仿宋_GB2312" w:eastAsia="仿宋_GB2312"/>
                      <w:sz w:val="22"/>
                    </w:rPr>
                    <w:t>▲1、规格尺寸：L730mm×W580mm×H1090mm(±5mm)。</w:t>
                  </w:r>
                </w:p>
                <w:p>
                  <w:pPr>
                    <w:pStyle w:val="null3"/>
                    <w:jc w:val="left"/>
                  </w:pPr>
                  <w:r>
                    <w:rPr>
                      <w:rFonts w:ascii="仿宋_GB2312" w:hAnsi="仿宋_GB2312" w:cs="仿宋_GB2312" w:eastAsia="仿宋_GB2312"/>
                      <w:sz w:val="22"/>
                    </w:rPr>
                    <w:t>2、型号：容积240升（±3%）；</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材质：</w:t>
                  </w:r>
                  <w:r>
                    <w:rPr>
                      <w:rFonts w:ascii="仿宋_GB2312" w:hAnsi="仿宋_GB2312" w:cs="仿宋_GB2312" w:eastAsia="仿宋_GB2312"/>
                      <w:sz w:val="22"/>
                    </w:rPr>
                    <w:t>HDPE加厚挂车专用款，桶身及桶盖采用全新高密度聚乙烯（HDPE），经一次性注塑工艺成型；材料中注入防紫外线原料占3%，颜料色素占5%。</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、桶体内部有刻度标识（从</w:t>
                  </w:r>
                  <w:r>
                    <w:rPr>
                      <w:rFonts w:ascii="仿宋_GB2312" w:hAnsi="仿宋_GB2312" w:cs="仿宋_GB2312" w:eastAsia="仿宋_GB2312"/>
                      <w:sz w:val="22"/>
                    </w:rPr>
                    <w:t>60L起，10L/刻度）。</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、厚度：桶身厚度</w:t>
                  </w:r>
                  <w:r>
                    <w:rPr>
                      <w:rFonts w:ascii="仿宋_GB2312" w:hAnsi="仿宋_GB2312" w:cs="仿宋_GB2312" w:eastAsia="仿宋_GB2312"/>
                      <w:sz w:val="22"/>
                    </w:rPr>
                    <w:t>≥4mm、桶盖厚度≥2.5mm；整体重量：≥13kg。</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、桶体密闭有盖，桶体两侧正中沿口处设计有不少于</w:t>
                  </w:r>
                  <w:r>
                    <w:rPr>
                      <w:rFonts w:ascii="仿宋_GB2312" w:hAnsi="仿宋_GB2312" w:cs="仿宋_GB2312" w:eastAsia="仿宋_GB2312"/>
                      <w:sz w:val="22"/>
                    </w:rPr>
                    <w:t>5条竖向加强筋，长度不小于100mm,厚度不小于5mm。</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、桶盖插销采用长条插销设计，保证桶盖与桶身连接后因其独特的止退功能而不脱落。</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、桶盖与桶体由三条铰链连接，连接处牢固。把手由八条加强筋与桶身连接。</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9</w:t>
                  </w:r>
                  <w:r>
                    <w:rPr>
                      <w:rFonts w:ascii="仿宋_GB2312" w:hAnsi="仿宋_GB2312" w:cs="仿宋_GB2312" w:eastAsia="仿宋_GB2312"/>
                      <w:sz w:val="22"/>
                    </w:rPr>
                    <w:t>、桶身正面及反面凹凸加强筋设计，两侧平面设计，方便印刷宣传标语，桶底配有</w:t>
                  </w:r>
                  <w:r>
                    <w:rPr>
                      <w:rFonts w:ascii="仿宋_GB2312" w:hAnsi="仿宋_GB2312" w:cs="仿宋_GB2312" w:eastAsia="仿宋_GB2312"/>
                      <w:sz w:val="22"/>
                    </w:rPr>
                    <w:t>≥36个ABS耐磨钉。</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、轮轴与桶体连接方式：直接插入，桶体底部两侧轮轴插入处轮轴支撑点共计不少于</w:t>
                  </w:r>
                  <w:r>
                    <w:rPr>
                      <w:rFonts w:ascii="仿宋_GB2312" w:hAnsi="仿宋_GB2312" w:cs="仿宋_GB2312" w:eastAsia="仿宋_GB2312"/>
                      <w:sz w:val="22"/>
                    </w:rPr>
                    <w:t>6个，支撑点厚度不低于6mm。轮轴的外表面采用镀锌进行防锈处理，轮轴采用弹簧扣防盗设计。</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、滚轮采用橡胶实心轮，轮子直径</w:t>
                  </w:r>
                  <w:r>
                    <w:rPr>
                      <w:rFonts w:ascii="仿宋_GB2312" w:hAnsi="仿宋_GB2312" w:cs="仿宋_GB2312" w:eastAsia="仿宋_GB2312"/>
                      <w:sz w:val="22"/>
                    </w:rPr>
                    <w:t>200±5mm，每轮承载能力≥80kg。</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、产品外观：表面光滑平整，无波纹、无黑点、无气泡和裂纹。</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、产品具有抗腐蚀性和抗冻耐热特性，正常使用温度：</w:t>
                  </w:r>
                  <w:r>
                    <w:rPr>
                      <w:rFonts w:ascii="仿宋_GB2312" w:hAnsi="仿宋_GB2312" w:cs="仿宋_GB2312" w:eastAsia="仿宋_GB2312"/>
                      <w:sz w:val="22"/>
                    </w:rPr>
                    <w:t>-30℃~+65℃，不变形，不开裂。</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4</w:t>
                  </w:r>
                  <w:r>
                    <w:rPr>
                      <w:rFonts w:ascii="仿宋_GB2312" w:hAnsi="仿宋_GB2312" w:cs="仿宋_GB2312" w:eastAsia="仿宋_GB2312"/>
                      <w:sz w:val="22"/>
                    </w:rPr>
                    <w:t>、生活垃圾分类标志图形符号要求：分类标识应符合《城市生活垃圾分类标志》（</w:t>
                  </w:r>
                  <w:r>
                    <w:rPr>
                      <w:rFonts w:ascii="仿宋_GB2312" w:hAnsi="仿宋_GB2312" w:cs="仿宋_GB2312" w:eastAsia="仿宋_GB2312"/>
                      <w:sz w:val="22"/>
                    </w:rPr>
                    <w:t>GB/T 19095-2019）要求。</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5</w:t>
                  </w:r>
                  <w:r>
                    <w:rPr>
                      <w:rFonts w:ascii="仿宋_GB2312" w:hAnsi="仿宋_GB2312" w:cs="仿宋_GB2312" w:eastAsia="仿宋_GB2312"/>
                      <w:sz w:val="22"/>
                    </w:rPr>
                    <w:t>、产品符合中华人民共和国城镇建设行业</w:t>
                  </w:r>
                  <w:r>
                    <w:rPr>
                      <w:rFonts w:ascii="仿宋_GB2312" w:hAnsi="仿宋_GB2312" w:cs="仿宋_GB2312" w:eastAsia="仿宋_GB2312"/>
                      <w:sz w:val="22"/>
                    </w:rPr>
                    <w:t>CJ/T</w:t>
                  </w:r>
                  <w:r>
                    <w:rPr>
                      <w:rFonts w:ascii="仿宋_GB2312" w:hAnsi="仿宋_GB2312" w:cs="仿宋_GB2312" w:eastAsia="仿宋_GB2312"/>
                      <w:sz w:val="19"/>
                    </w:rPr>
                    <w:t xml:space="preserve"> </w:t>
                  </w:r>
                  <w:r>
                    <w:rPr>
                      <w:rFonts w:ascii="仿宋_GB2312" w:hAnsi="仿宋_GB2312" w:cs="仿宋_GB2312" w:eastAsia="仿宋_GB2312"/>
                      <w:sz w:val="22"/>
                    </w:rPr>
                    <w:t>280-2020《塑料垃圾桶通用技术条件》标准要求。</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6</w:t>
                  </w:r>
                  <w:r>
                    <w:rPr>
                      <w:rFonts w:ascii="仿宋_GB2312" w:hAnsi="仿宋_GB2312" w:cs="仿宋_GB2312" w:eastAsia="仿宋_GB2312"/>
                      <w:sz w:val="22"/>
                    </w:rPr>
                    <w:t>、配套说明：该产品满足与采购人所在地环卫挂桶车的配套使用且使用方便、灵活，具有较好的配套适用性。</w:t>
                  </w:r>
                </w:p>
                <w:p>
                  <w:pPr>
                    <w:pStyle w:val="null3"/>
                    <w:jc w:val="left"/>
                  </w:pPr>
                  <w:r>
                    <w:rPr>
                      <w:rFonts w:ascii="仿宋_GB2312" w:hAnsi="仿宋_GB2312" w:cs="仿宋_GB2312" w:eastAsia="仿宋_GB2312"/>
                      <w:sz w:val="22"/>
                      <w:b/>
                    </w:rPr>
                    <w:t>五、</w:t>
                  </w:r>
                  <w:r>
                    <w:rPr>
                      <w:rFonts w:ascii="仿宋_GB2312" w:hAnsi="仿宋_GB2312" w:cs="仿宋_GB2312" w:eastAsia="仿宋_GB2312"/>
                      <w:sz w:val="22"/>
                      <w:b/>
                    </w:rPr>
                    <w:t>结构设计</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顶部采用</w:t>
                  </w:r>
                  <w:r>
                    <w:rPr>
                      <w:rFonts w:ascii="仿宋_GB2312" w:hAnsi="仿宋_GB2312" w:cs="仿宋_GB2312" w:eastAsia="仿宋_GB2312"/>
                      <w:sz w:val="22"/>
                    </w:rPr>
                    <w:t>1.5°前高后低排水坡，确保雨水/杂物自然滑落</w:t>
                  </w:r>
                  <w:r>
                    <w:rPr>
                      <w:rFonts w:ascii="仿宋_GB2312" w:hAnsi="仿宋_GB2312" w:cs="仿宋_GB2312" w:eastAsia="仿宋_GB2312"/>
                      <w:sz w:val="22"/>
                    </w:rPr>
                    <w:t>，</w:t>
                  </w:r>
                  <w:r>
                    <w:rPr>
                      <w:rFonts w:ascii="仿宋_GB2312" w:hAnsi="仿宋_GB2312" w:cs="仿宋_GB2312" w:eastAsia="仿宋_GB2312"/>
                      <w:sz w:val="22"/>
                    </w:rPr>
                    <w:t>避免雨水腐蚀顶板。</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焊接工艺：全结构激光切割</w:t>
                  </w:r>
                  <w:r>
                    <w:rPr>
                      <w:rFonts w:ascii="仿宋_GB2312" w:hAnsi="仿宋_GB2312" w:cs="仿宋_GB2312" w:eastAsia="仿宋_GB2312"/>
                      <w:sz w:val="22"/>
                    </w:rPr>
                    <w:t>+满焊成型，</w:t>
                  </w:r>
                  <w:r>
                    <w:rPr>
                      <w:rFonts w:ascii="仿宋_GB2312" w:hAnsi="仿宋_GB2312" w:cs="仿宋_GB2312" w:eastAsia="仿宋_GB2312"/>
                      <w:sz w:val="22"/>
                    </w:rPr>
                    <w:t>焊接牢固可靠，</w:t>
                  </w:r>
                  <w:r>
                    <w:rPr>
                      <w:rFonts w:ascii="仿宋_GB2312" w:hAnsi="仿宋_GB2312" w:cs="仿宋_GB2312" w:eastAsia="仿宋_GB2312"/>
                      <w:sz w:val="22"/>
                    </w:rPr>
                    <w:t>焊点打磨平整</w:t>
                  </w:r>
                  <w:r>
                    <w:rPr>
                      <w:rFonts w:ascii="仿宋_GB2312" w:hAnsi="仿宋_GB2312" w:cs="仿宋_GB2312" w:eastAsia="仿宋_GB2312"/>
                      <w:sz w:val="22"/>
                    </w:rPr>
                    <w:t>光滑，无明显凹凸和</w:t>
                  </w:r>
                  <w:r>
                    <w:rPr>
                      <w:rFonts w:ascii="仿宋_GB2312" w:hAnsi="仿宋_GB2312" w:cs="仿宋_GB2312" w:eastAsia="仿宋_GB2312"/>
                      <w:sz w:val="22"/>
                    </w:rPr>
                    <w:t>毛刺</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六、</w:t>
                  </w:r>
                  <w:r>
                    <w:rPr>
                      <w:rFonts w:ascii="仿宋_GB2312" w:hAnsi="仿宋_GB2312" w:cs="仿宋_GB2312" w:eastAsia="仿宋_GB2312"/>
                      <w:sz w:val="22"/>
                      <w:b/>
                    </w:rPr>
                    <w:t>安装固定</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基础固定：</w:t>
                  </w:r>
                  <w:r>
                    <w:rPr>
                      <w:rFonts w:ascii="仿宋_GB2312" w:hAnsi="仿宋_GB2312" w:cs="仿宋_GB2312" w:eastAsia="仿宋_GB2312"/>
                      <w:sz w:val="22"/>
                    </w:rPr>
                    <w:t>采用膨胀螺栓</w:t>
                  </w:r>
                  <w:r>
                    <w:rPr>
                      <w:rFonts w:ascii="仿宋_GB2312" w:hAnsi="仿宋_GB2312" w:cs="仿宋_GB2312" w:eastAsia="仿宋_GB2312"/>
                      <w:sz w:val="22"/>
                    </w:rPr>
                    <w:t>连接</w:t>
                  </w:r>
                  <w:r>
                    <w:rPr>
                      <w:rFonts w:ascii="仿宋_GB2312" w:hAnsi="仿宋_GB2312" w:cs="仿宋_GB2312" w:eastAsia="仿宋_GB2312"/>
                      <w:sz w:val="22"/>
                    </w:rPr>
                    <w:t>固定，</w:t>
                  </w:r>
                  <w:r>
                    <w:rPr>
                      <w:rFonts w:ascii="仿宋_GB2312" w:hAnsi="仿宋_GB2312" w:cs="仿宋_GB2312" w:eastAsia="仿宋_GB2312"/>
                      <w:sz w:val="22"/>
                    </w:rPr>
                    <w:t>四分</w:t>
                  </w:r>
                  <w:r>
                    <w:rPr>
                      <w:rFonts w:ascii="仿宋_GB2312" w:hAnsi="仿宋_GB2312" w:cs="仿宋_GB2312" w:eastAsia="仿宋_GB2312"/>
                      <w:sz w:val="22"/>
                    </w:rPr>
                    <w:t>类亭</w:t>
                  </w:r>
                  <w:r>
                    <w:rPr>
                      <w:rFonts w:ascii="仿宋_GB2312" w:hAnsi="仿宋_GB2312" w:cs="仿宋_GB2312" w:eastAsia="仿宋_GB2312"/>
                      <w:sz w:val="22"/>
                    </w:rPr>
                    <w:t>四角每一立柱均须连接固定</w:t>
                  </w:r>
                  <w:r>
                    <w:rPr>
                      <w:rFonts w:ascii="仿宋_GB2312" w:hAnsi="仿宋_GB2312" w:cs="仿宋_GB2312" w:eastAsia="仿宋_GB2312"/>
                      <w:sz w:val="22"/>
                    </w:rPr>
                    <w:t>镀锌安装板</w:t>
                  </w:r>
                  <w:r>
                    <w:rPr>
                      <w:rFonts w:ascii="仿宋_GB2312" w:hAnsi="仿宋_GB2312" w:cs="仿宋_GB2312" w:eastAsia="仿宋_GB2312"/>
                      <w:sz w:val="22"/>
                    </w:rPr>
                    <w:t>并加装四枚膨胀螺丝以稳固。</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承力部件：</w:t>
                  </w:r>
                  <w:r>
                    <w:rPr>
                      <w:rFonts w:ascii="仿宋_GB2312" w:hAnsi="仿宋_GB2312" w:cs="仿宋_GB2312" w:eastAsia="仿宋_GB2312"/>
                      <w:sz w:val="22"/>
                    </w:rPr>
                    <w:t>采用</w:t>
                  </w:r>
                  <w:r>
                    <w:rPr>
                      <w:rFonts w:ascii="仿宋_GB2312" w:hAnsi="仿宋_GB2312" w:cs="仿宋_GB2312" w:eastAsia="仿宋_GB2312"/>
                      <w:sz w:val="22"/>
                    </w:rPr>
                    <w:t>100×100×5mm镀锌安装板</w:t>
                  </w:r>
                  <w:r>
                    <w:rPr>
                      <w:rFonts w:ascii="仿宋_GB2312" w:hAnsi="仿宋_GB2312" w:cs="仿宋_GB2312" w:eastAsia="仿宋_GB2312"/>
                      <w:sz w:val="22"/>
                    </w:rPr>
                    <w:t>，每个</w:t>
                  </w:r>
                  <w:r>
                    <w:rPr>
                      <w:rFonts w:ascii="仿宋_GB2312" w:hAnsi="仿宋_GB2312" w:cs="仿宋_GB2312" w:eastAsia="仿宋_GB2312"/>
                      <w:sz w:val="22"/>
                    </w:rPr>
                    <w:t>镀锌安装</w:t>
                  </w:r>
                  <w:r>
                    <w:rPr>
                      <w:rFonts w:ascii="仿宋_GB2312" w:hAnsi="仿宋_GB2312" w:cs="仿宋_GB2312" w:eastAsia="仿宋_GB2312"/>
                      <w:sz w:val="22"/>
                    </w:rPr>
                    <w:t>板</w:t>
                  </w:r>
                  <w:r>
                    <w:rPr>
                      <w:rFonts w:ascii="仿宋_GB2312" w:hAnsi="仿宋_GB2312" w:cs="仿宋_GB2312" w:eastAsia="仿宋_GB2312"/>
                      <w:sz w:val="22"/>
                    </w:rPr>
                    <w:t>与混凝土地面采用</w:t>
                  </w:r>
                  <w:r>
                    <w:rPr>
                      <w:rFonts w:ascii="仿宋_GB2312" w:hAnsi="仿宋_GB2312" w:cs="仿宋_GB2312" w:eastAsia="仿宋_GB2312"/>
                      <w:sz w:val="22"/>
                    </w:rPr>
                    <w:t>4颗直径不小于10mm的镀锌地脚膨胀螺栓进行</w:t>
                  </w:r>
                  <w:r>
                    <w:rPr>
                      <w:rFonts w:ascii="仿宋_GB2312" w:hAnsi="仿宋_GB2312" w:cs="仿宋_GB2312" w:eastAsia="仿宋_GB2312"/>
                      <w:sz w:val="22"/>
                    </w:rPr>
                    <w:t>紧密连接</w:t>
                  </w:r>
                  <w:r>
                    <w:rPr>
                      <w:rFonts w:ascii="仿宋_GB2312" w:hAnsi="仿宋_GB2312" w:cs="仿宋_GB2312" w:eastAsia="仿宋_GB2312"/>
                      <w:sz w:val="22"/>
                    </w:rPr>
                    <w:t>，抗风效能达到</w:t>
                  </w:r>
                  <w:r>
                    <w:rPr>
                      <w:rFonts w:ascii="仿宋_GB2312" w:hAnsi="仿宋_GB2312" w:cs="仿宋_GB2312" w:eastAsia="仿宋_GB2312"/>
                      <w:sz w:val="22"/>
                    </w:rPr>
                    <w:t>8级以上强风，</w:t>
                  </w:r>
                  <w:r>
                    <w:rPr>
                      <w:rFonts w:ascii="仿宋_GB2312" w:hAnsi="仿宋_GB2312" w:cs="仿宋_GB2312" w:eastAsia="仿宋_GB2312"/>
                      <w:sz w:val="22"/>
                    </w:rPr>
                    <w:t>保证结构及使用安全</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七、</w:t>
                  </w:r>
                  <w:r>
                    <w:rPr>
                      <w:rFonts w:ascii="仿宋_GB2312" w:hAnsi="仿宋_GB2312" w:cs="仿宋_GB2312" w:eastAsia="仿宋_GB2312"/>
                      <w:sz w:val="22"/>
                      <w:b/>
                    </w:rPr>
                    <w:t>宣传系统</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标识贴膜：侧板贴画</w:t>
                  </w:r>
                  <w:r>
                    <w:rPr>
                      <w:rFonts w:ascii="仿宋_GB2312" w:hAnsi="仿宋_GB2312" w:cs="仿宋_GB2312" w:eastAsia="仿宋_GB2312"/>
                      <w:sz w:val="22"/>
                    </w:rPr>
                    <w:t>和</w:t>
                  </w:r>
                  <w:r>
                    <w:rPr>
                      <w:rFonts w:ascii="仿宋_GB2312" w:hAnsi="仿宋_GB2312" w:cs="仿宋_GB2312" w:eastAsia="仿宋_GB2312"/>
                      <w:sz w:val="22"/>
                    </w:rPr>
                    <w:t>背板贴画</w:t>
                  </w:r>
                  <w:r>
                    <w:rPr>
                      <w:rFonts w:ascii="仿宋_GB2312" w:hAnsi="仿宋_GB2312" w:cs="仿宋_GB2312" w:eastAsia="仿宋_GB2312"/>
                      <w:sz w:val="22"/>
                    </w:rPr>
                    <w:t>均采用户外高清车贴制作并覆膜处理</w:t>
                  </w:r>
                  <w:r>
                    <w:rPr>
                      <w:rFonts w:ascii="仿宋_GB2312" w:hAnsi="仿宋_GB2312" w:cs="仿宋_GB2312" w:eastAsia="仿宋_GB2312"/>
                      <w:sz w:val="22"/>
                    </w:rPr>
                    <w:t>，内容</w:t>
                  </w:r>
                  <w:r>
                    <w:rPr>
                      <w:rFonts w:ascii="仿宋_GB2312" w:hAnsi="仿宋_GB2312" w:cs="仿宋_GB2312" w:eastAsia="仿宋_GB2312"/>
                      <w:sz w:val="22"/>
                    </w:rPr>
                    <w:t>根据采购人要求定制。</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保色期限：</w:t>
                  </w:r>
                  <w:r>
                    <w:rPr>
                      <w:rFonts w:ascii="仿宋_GB2312" w:hAnsi="仿宋_GB2312" w:cs="仿宋_GB2312" w:eastAsia="仿宋_GB2312"/>
                      <w:sz w:val="22"/>
                    </w:rPr>
                    <w:t>3年内无明显褪色</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宣传背板：</w:t>
                  </w:r>
                  <w:r>
                    <w:rPr>
                      <w:rFonts w:ascii="仿宋_GB2312" w:hAnsi="仿宋_GB2312" w:cs="仿宋_GB2312" w:eastAsia="仿宋_GB2312"/>
                      <w:sz w:val="22"/>
                    </w:rPr>
                    <w:t>采用</w:t>
                  </w:r>
                  <w:r>
                    <w:rPr>
                      <w:rFonts w:ascii="仿宋_GB2312" w:hAnsi="仿宋_GB2312" w:cs="仿宋_GB2312" w:eastAsia="仿宋_GB2312"/>
                      <w:sz w:val="22"/>
                    </w:rPr>
                    <w:t>10mm厚PVC发泡板</w:t>
                  </w:r>
                  <w:r>
                    <w:rPr>
                      <w:rFonts w:ascii="仿宋_GB2312" w:hAnsi="仿宋_GB2312" w:cs="仿宋_GB2312" w:eastAsia="仿宋_GB2312"/>
                      <w:sz w:val="22"/>
                    </w:rPr>
                    <w:t>；</w:t>
                  </w:r>
                  <w:r>
                    <w:rPr>
                      <w:rFonts w:ascii="仿宋_GB2312" w:hAnsi="仿宋_GB2312" w:cs="仿宋_GB2312" w:eastAsia="仿宋_GB2312"/>
                      <w:sz w:val="22"/>
                    </w:rPr>
                    <w:t>工艺：</w:t>
                  </w:r>
                  <w:r>
                    <w:rPr>
                      <w:rFonts w:ascii="仿宋_GB2312" w:hAnsi="仿宋_GB2312" w:cs="仿宋_GB2312" w:eastAsia="仿宋_GB2312"/>
                      <w:sz w:val="22"/>
                    </w:rPr>
                    <w:t>采用</w:t>
                  </w:r>
                  <w:r>
                    <w:rPr>
                      <w:rFonts w:ascii="仿宋_GB2312" w:hAnsi="仿宋_GB2312" w:cs="仿宋_GB2312" w:eastAsia="仿宋_GB2312"/>
                      <w:sz w:val="22"/>
                    </w:rPr>
                    <w:t>UV喷印技术</w:t>
                  </w:r>
                  <w:r>
                    <w:rPr>
                      <w:rFonts w:ascii="仿宋_GB2312" w:hAnsi="仿宋_GB2312" w:cs="仿宋_GB2312" w:eastAsia="仿宋_GB2312"/>
                      <w:sz w:val="19"/>
                    </w:rPr>
                    <w:t>。</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特性：高密度结构，具备防火防水功能</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b/>
                    </w:rPr>
                    <w:t>八、地坪</w:t>
                  </w:r>
                </w:p>
                <w:p>
                  <w:pPr>
                    <w:pStyle w:val="null3"/>
                    <w:jc w:val="both"/>
                  </w:pPr>
                  <w:r>
                    <w:rPr>
                      <w:rFonts w:ascii="仿宋_GB2312" w:hAnsi="仿宋_GB2312" w:cs="仿宋_GB2312" w:eastAsia="仿宋_GB2312"/>
                      <w:sz w:val="22"/>
                    </w:rPr>
                    <w:t>1、地面未硬化或硬化程度不足的应做地坪，地坪标准为C25混凝土，规格尺寸均需满足安装需求及使用需求，厚度≥15cm。地面硬化的面积应根据四分</w:t>
                  </w:r>
                  <w:r>
                    <w:rPr>
                      <w:rFonts w:ascii="仿宋_GB2312" w:hAnsi="仿宋_GB2312" w:cs="仿宋_GB2312" w:eastAsia="仿宋_GB2312"/>
                      <w:sz w:val="22"/>
                    </w:rPr>
                    <w:t>类亭</w:t>
                  </w:r>
                  <w:r>
                    <w:rPr>
                      <w:rFonts w:ascii="仿宋_GB2312" w:hAnsi="仿宋_GB2312" w:cs="仿宋_GB2312" w:eastAsia="仿宋_GB2312"/>
                      <w:sz w:val="22"/>
                    </w:rPr>
                    <w:t>大小及实际安装位置的场地情况确定施工（至少在四分</w:t>
                  </w:r>
                  <w:r>
                    <w:rPr>
                      <w:rFonts w:ascii="仿宋_GB2312" w:hAnsi="仿宋_GB2312" w:cs="仿宋_GB2312" w:eastAsia="仿宋_GB2312"/>
                      <w:sz w:val="22"/>
                    </w:rPr>
                    <w:t>类亭</w:t>
                  </w:r>
                  <w:r>
                    <w:rPr>
                      <w:rFonts w:ascii="仿宋_GB2312" w:hAnsi="仿宋_GB2312" w:cs="仿宋_GB2312" w:eastAsia="仿宋_GB2312"/>
                      <w:sz w:val="22"/>
                    </w:rPr>
                    <w:t>大小的基础上四周外延约半米）。背面和侧面有裸土的应砌挡土护沿，地坪与地面基本保持齐平，考虑排水性的情况下，最高不超过地面</w:t>
                  </w:r>
                  <w:r>
                    <w:rPr>
                      <w:rFonts w:ascii="仿宋_GB2312" w:hAnsi="仿宋_GB2312" w:cs="仿宋_GB2312" w:eastAsia="仿宋_GB2312"/>
                      <w:sz w:val="22"/>
                    </w:rPr>
                    <w:t>30mm。安装位置有地砖或其他平整地坪的不需要新建地坪，地坪1至3度坡度，便于排水。</w:t>
                  </w:r>
                </w:p>
                <w:p>
                  <w:pPr>
                    <w:pStyle w:val="null3"/>
                    <w:jc w:val="both"/>
                  </w:pPr>
                  <w:r>
                    <w:rPr>
                      <w:rFonts w:ascii="仿宋_GB2312" w:hAnsi="仿宋_GB2312" w:cs="仿宋_GB2312" w:eastAsia="仿宋_GB2312"/>
                      <w:sz w:val="22"/>
                    </w:rPr>
                    <w:t>2、四分</w:t>
                  </w:r>
                  <w:r>
                    <w:rPr>
                      <w:rFonts w:ascii="仿宋_GB2312" w:hAnsi="仿宋_GB2312" w:cs="仿宋_GB2312" w:eastAsia="仿宋_GB2312"/>
                      <w:sz w:val="22"/>
                    </w:rPr>
                    <w:t>类亭</w:t>
                  </w:r>
                  <w:r>
                    <w:rPr>
                      <w:rFonts w:ascii="仿宋_GB2312" w:hAnsi="仿宋_GB2312" w:cs="仿宋_GB2312" w:eastAsia="仿宋_GB2312"/>
                      <w:sz w:val="22"/>
                    </w:rPr>
                    <w:t>与道路的连接要求：四分</w:t>
                  </w:r>
                  <w:r>
                    <w:rPr>
                      <w:rFonts w:ascii="仿宋_GB2312" w:hAnsi="仿宋_GB2312" w:cs="仿宋_GB2312" w:eastAsia="仿宋_GB2312"/>
                      <w:sz w:val="22"/>
                    </w:rPr>
                    <w:t>类亭</w:t>
                  </w:r>
                  <w:r>
                    <w:rPr>
                      <w:rFonts w:ascii="仿宋_GB2312" w:hAnsi="仿宋_GB2312" w:cs="仿宋_GB2312" w:eastAsia="仿宋_GB2312"/>
                      <w:sz w:val="22"/>
                    </w:rPr>
                    <w:t>与道路的连接使用</w:t>
                  </w:r>
                  <w:r>
                    <w:rPr>
                      <w:rFonts w:ascii="仿宋_GB2312" w:hAnsi="仿宋_GB2312" w:cs="仿宋_GB2312" w:eastAsia="仿宋_GB2312"/>
                      <w:sz w:val="22"/>
                    </w:rPr>
                    <w:t>C30混凝土浇筑，厚度不少于15cm，宽度不小于2m,四分</w:t>
                  </w:r>
                  <w:r>
                    <w:rPr>
                      <w:rFonts w:ascii="仿宋_GB2312" w:hAnsi="仿宋_GB2312" w:cs="仿宋_GB2312" w:eastAsia="仿宋_GB2312"/>
                      <w:sz w:val="22"/>
                    </w:rPr>
                    <w:t>类亭</w:t>
                  </w:r>
                  <w:r>
                    <w:rPr>
                      <w:rFonts w:ascii="仿宋_GB2312" w:hAnsi="仿宋_GB2312" w:cs="仿宋_GB2312" w:eastAsia="仿宋_GB2312"/>
                      <w:sz w:val="22"/>
                    </w:rPr>
                    <w:t>与道路二者之间的的坡度不大于</w:t>
                  </w:r>
                  <w:r>
                    <w:rPr>
                      <w:rFonts w:ascii="仿宋_GB2312" w:hAnsi="仿宋_GB2312" w:cs="仿宋_GB2312" w:eastAsia="仿宋_GB2312"/>
                      <w:sz w:val="22"/>
                    </w:rPr>
                    <w:t>5%，四分</w:t>
                  </w:r>
                  <w:r>
                    <w:rPr>
                      <w:rFonts w:ascii="仿宋_GB2312" w:hAnsi="仿宋_GB2312" w:cs="仿宋_GB2312" w:eastAsia="仿宋_GB2312"/>
                      <w:sz w:val="22"/>
                    </w:rPr>
                    <w:t>类亭</w:t>
                  </w:r>
                  <w:r>
                    <w:rPr>
                      <w:rFonts w:ascii="仿宋_GB2312" w:hAnsi="仿宋_GB2312" w:cs="仿宋_GB2312" w:eastAsia="仿宋_GB2312"/>
                      <w:sz w:val="22"/>
                    </w:rPr>
                    <w:t>与道路边缘距离原则上不小于</w:t>
                  </w:r>
                  <w:r>
                    <w:rPr>
                      <w:rFonts w:ascii="仿宋_GB2312" w:hAnsi="仿宋_GB2312" w:cs="仿宋_GB2312" w:eastAsia="仿宋_GB2312"/>
                      <w:sz w:val="22"/>
                    </w:rPr>
                    <w:t>1.5m。</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bl>
          <w:p>
            <w:pPr>
              <w:pStyle w:val="null3"/>
              <w:jc w:val="both"/>
            </w:pPr>
            <w:r>
              <w:rPr>
                <w:rFonts w:ascii="仿宋_GB2312" w:hAnsi="仿宋_GB2312" w:cs="仿宋_GB2312" w:eastAsia="仿宋_GB2312"/>
                <w:sz w:val="24"/>
                <w:b/>
              </w:rPr>
              <w:t>注：</w:t>
            </w:r>
            <w:r>
              <w:rPr>
                <w:rFonts w:ascii="仿宋_GB2312" w:hAnsi="仿宋_GB2312" w:cs="仿宋_GB2312" w:eastAsia="仿宋_GB2312"/>
                <w:sz w:val="24"/>
              </w:rPr>
              <w:t>1、</w:t>
            </w:r>
            <w:r>
              <w:rPr>
                <w:rFonts w:ascii="仿宋_GB2312" w:hAnsi="仿宋_GB2312" w:cs="仿宋_GB2312" w:eastAsia="仿宋_GB2312"/>
                <w:sz w:val="24"/>
              </w:rPr>
              <w:t>标识要求：本项目设施设备涉及到垃圾分类标识的，须按照国家标准《生活垃圾分类标志》（</w:t>
            </w:r>
            <w:r>
              <w:rPr>
                <w:rFonts w:ascii="仿宋_GB2312" w:hAnsi="仿宋_GB2312" w:cs="仿宋_GB2312" w:eastAsia="仿宋_GB2312"/>
                <w:sz w:val="24"/>
              </w:rPr>
              <w:t>GB/T 19095-2019）和《四川省城市生活垃圾分类导则（试行）》的标准执行，若在执行中有最新的，以最新的国家行业标准执行。</w:t>
            </w:r>
          </w:p>
          <w:p>
            <w:pPr>
              <w:pStyle w:val="null3"/>
              <w:ind w:firstLine="480"/>
              <w:jc w:val="both"/>
            </w:pPr>
            <w:r>
              <w:rPr>
                <w:rFonts w:ascii="仿宋_GB2312" w:hAnsi="仿宋_GB2312" w:cs="仿宋_GB2312" w:eastAsia="仿宋_GB2312"/>
                <w:sz w:val="24"/>
              </w:rPr>
              <w:t>2、以上标注“▲”的技术参数为重要技术参数</w:t>
            </w:r>
            <w:r>
              <w:rPr>
                <w:rFonts w:ascii="仿宋_GB2312" w:hAnsi="仿宋_GB2312" w:cs="仿宋_GB2312" w:eastAsia="仿宋_GB2312"/>
                <w:sz w:val="24"/>
              </w:rPr>
              <w:t>，需提供第三方检测机构出具的带</w:t>
            </w:r>
            <w:r>
              <w:rPr>
                <w:rFonts w:ascii="仿宋_GB2312" w:hAnsi="仿宋_GB2312" w:cs="仿宋_GB2312" w:eastAsia="仿宋_GB2312"/>
                <w:sz w:val="24"/>
              </w:rPr>
              <w:t>CMA标识的检测报告复印件并加盖投标人电子章或提供承诺函承诺中标后签订合同前提供第三方检验检测机构出具的带CMA认证标识的检验检测报告复印件供采购人查验。检验检测报告涉嫌虚假的，采购人有权取消其中标资格，并报同级财政部门依法处理。</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由于系统固化原因，中小企业声明函填写以本项⽬</w:t>
            </w:r>
            <w:r>
              <w:rPr>
                <w:rFonts w:ascii="仿宋_GB2312" w:hAnsi="仿宋_GB2312" w:cs="仿宋_GB2312" w:eastAsia="仿宋_GB2312"/>
                <w:sz w:val="24"/>
              </w:rPr>
              <w:t>“第三章 技术、服务及其他要求 3.2、技术要求”中的标的名称为准，否则中小企业声明函无效。</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人员要求</w:t>
            </w:r>
          </w:p>
        </w:tc>
        <w:tc>
          <w:tcPr>
            <w:tcW w:type="dxa" w:w="5814"/>
          </w:tcPr>
          <w:p>
            <w:pPr>
              <w:pStyle w:val="null3"/>
              <w:jc w:val="left"/>
            </w:pPr>
            <w:r>
              <w:rPr>
                <w:rFonts w:ascii="仿宋_GB2312" w:hAnsi="仿宋_GB2312" w:cs="仿宋_GB2312" w:eastAsia="仿宋_GB2312"/>
                <w:sz w:val="24"/>
              </w:rPr>
              <w:t>1、拟派项目负责人具有市政公用工程专业二级及以上注册建造师证书，同时具有安全生产考核合格证书（安全B证）。</w:t>
            </w:r>
          </w:p>
          <w:p>
            <w:pPr>
              <w:pStyle w:val="null3"/>
              <w:jc w:val="left"/>
            </w:pPr>
            <w:r>
              <w:rPr>
                <w:rFonts w:ascii="仿宋_GB2312" w:hAnsi="仿宋_GB2312" w:cs="仿宋_GB2312" w:eastAsia="仿宋_GB2312"/>
                <w:sz w:val="24"/>
              </w:rPr>
              <w:t>2、拟派专职质量员具有住房和城乡建设领域施工现场专业人员（质量员）职业培训合格证证书。</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注：投标人需提供以上相关人员有效的身份证、有效的资格证书、在职证明材料，并加盖供应商电子签章。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其他技术服务要求</w:t>
            </w:r>
          </w:p>
        </w:tc>
        <w:tc>
          <w:tcPr>
            <w:tcW w:type="dxa" w:w="5814"/>
          </w:tcPr>
          <w:p>
            <w:pPr>
              <w:pStyle w:val="null3"/>
              <w:jc w:val="left"/>
            </w:pPr>
            <w:r>
              <w:rPr>
                <w:rFonts w:ascii="仿宋_GB2312" w:hAnsi="仿宋_GB2312" w:cs="仿宋_GB2312" w:eastAsia="仿宋_GB2312"/>
              </w:rPr>
              <w:t>投标产品须属于中华人民共和国工业和信息化部公告的《道路机动车辆生产企业及产品》目录内的产品。（提供中华人民共和国工业和信息化部发布的公告及目录截图）</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其他技术服务要求</w:t>
            </w:r>
          </w:p>
        </w:tc>
        <w:tc>
          <w:tcPr>
            <w:tcW w:type="dxa" w:w="5814"/>
          </w:tcPr>
          <w:p>
            <w:pPr>
              <w:pStyle w:val="null3"/>
              <w:ind w:firstLine="480"/>
              <w:jc w:val="left"/>
            </w:pPr>
            <w:r>
              <w:rPr>
                <w:rFonts w:ascii="仿宋_GB2312" w:hAnsi="仿宋_GB2312" w:cs="仿宋_GB2312" w:eastAsia="仿宋_GB2312"/>
                <w:sz w:val="24"/>
              </w:rPr>
              <w:t>1、投标人需提供1套的240升四分类亭产品外观效果图并加盖公章，未提供或不满足作无效响应。</w:t>
            </w:r>
          </w:p>
          <w:p>
            <w:pPr>
              <w:pStyle w:val="null3"/>
              <w:ind w:firstLine="480"/>
              <w:jc w:val="left"/>
            </w:pPr>
            <w:r>
              <w:rPr>
                <w:rFonts w:ascii="仿宋_GB2312" w:hAnsi="仿宋_GB2312" w:cs="仿宋_GB2312" w:eastAsia="仿宋_GB2312"/>
                <w:sz w:val="24"/>
              </w:rPr>
              <w:t>2、投标人需承诺：在中标后提交不低于2版的240升四分类亭深化设计稿（包含设计图纸和效果图），由采购人确认后进行供货和安装。（提供承诺函并加盖投标人电子签章，格式自拟）</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人员要求</w:t>
            </w:r>
          </w:p>
        </w:tc>
        <w:tc>
          <w:tcPr>
            <w:tcW w:type="dxa" w:w="5814"/>
          </w:tcPr>
          <w:p>
            <w:pPr>
              <w:pStyle w:val="null3"/>
              <w:jc w:val="left"/>
            </w:pPr>
            <w:r>
              <w:rPr>
                <w:rFonts w:ascii="仿宋_GB2312" w:hAnsi="仿宋_GB2312" w:cs="仿宋_GB2312" w:eastAsia="仿宋_GB2312"/>
                <w:sz w:val="24"/>
              </w:rPr>
              <w:t>1、拟派项目负责人具有市政公用工程专业二级及以上注册建造师证书，同时具有安全生产考核合格证书（安全B证）。</w:t>
            </w:r>
          </w:p>
          <w:p>
            <w:pPr>
              <w:pStyle w:val="null3"/>
              <w:jc w:val="left"/>
            </w:pPr>
            <w:r>
              <w:rPr>
                <w:rFonts w:ascii="仿宋_GB2312" w:hAnsi="仿宋_GB2312" w:cs="仿宋_GB2312" w:eastAsia="仿宋_GB2312"/>
                <w:sz w:val="24"/>
              </w:rPr>
              <w:t>2、拟派专职质量员具有住房和城乡建设领域施工现场专业人员（质量员）职业培训合格证证书。</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注：投标人需提供以上相关人员有效的身份证、有效的资格证书、在职证明材料，并加盖供应商电子签章。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1、合同生效后，招标人收到中标供应商开具的注明应付预付款金额的财务收据正本一份并经审核无误后，达到付款条件起28日内，支付合同总金额的30.00%</w:t>
            </w:r>
          </w:p>
          <w:p>
            <w:pPr>
              <w:pStyle w:val="null3"/>
              <w:jc w:val="left"/>
            </w:pPr>
            <w:r>
              <w:rPr>
                <w:rFonts w:ascii="仿宋_GB2312" w:hAnsi="仿宋_GB2312" w:cs="仿宋_GB2312" w:eastAsia="仿宋_GB2312"/>
              </w:rPr>
              <w:t>2、中标供应商发货并完成产品交付及验收后，达到付款条件起28日内，支付合同总金额的70.00%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由甲方组织，乙方配合进行：(1)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(2)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(3)如质量验收合格，双方签署质量验收报告。 2、乙方应将所提供货物的装箱清单、配件、随机工具、用户使用手册、原厂保修卡等资料交付给甲方；乙方不能完整交付货物及本款规定的单证和工具的，必须负责补齐，否则视为未按合同约定交货。 3、货物配送单位后 7 日内，甲方无故不进行验收工作并已使用货物的，视同已安装调试完成并验收合格。 4、如货物经乙方 3 次维修仍不能达到合同约定的质量标准，甲方有权退货，并视作乙方不能交付货物而须支付违约赔偿金给甲方，甲方还可依法追究乙方的违约责任。 5、车辆验收合格后，甲方应按照税务要求及时完成车辆的注册登记和车辆购置税缴纳，乙方予以协助。由于甲方原因导致机动车辆没有及时上牌产生的任何风险及购置税滞纳金，包括但不限于保险事故不予理赔，被国家机关罚款、扣留，无法上牌，无法继续运营等风险由甲方自行承担。 6、其他未尽事宜应严格按照财政部《关于进一步加强政府采购需求和履约验收管理的指导意见》财库〔2016〕205号的要求进行。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项目验收合格后所有货物质保至少1年（国家或行业有其他相关要求的除外），质保期内中标人应对设备进行维护（包含维修及更换零部件）；若因采购人人为因素导致的故障，所产生的费用由采购人承担。（投标时须单独提供承诺函） 2、中标人具有完善的技术支持与服务体系，专人负责与采购人联系退换货服务事宜，提供7×24小时的技术支持服务，配置专门固定的退换货服务电话。 3、在质保期内，除三包卡上注明的易损件外任何因质量缺陷而发生毁坏或不能进行正常工作时，投标人将为采购人维修以及更换配件，投标人在接到故障通知后，30分钟之内响应，在2小时之内到达故障现场。质保期满后，投标人对所提供的设备实行终身上门服务，对该设备的所有维修及配件更换费用不得高于市场价，并保证配件供应的及时性。</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1、违约责任：（1）采购人违约责任： ①采购人无正当理由拒绝接受货物，采购人向供应商偿付合同价的5％的违约金；②如因采购人原因导致变更、中止或者终止本合同的，采购人应当向供应商偿付合同价的5％，以此作为赔偿或者补偿。③采购人支付的违约金不足以弥补供应商损失的，还应按供应商经济损失尚未弥补的部分，支付赔偿金给采购人。（2）供应商违约责任：①供应商在合同签订后因自身原因不能提供货物，供应商向采购人支付合同价的5％的违约金。②供应商支付的违约金不足以弥补采购人损失的，还应按采购人经济损失尚未弥补的部分，支付赔偿金给采购人。 ③供应商提供的服务未通过验收的，供应商向采购人支付合同价的5％的违约金。 2、争议解决办法：（1）因货物的质量问题发生争议，由质量技术监督部门或其指定的质量鉴定机构进行质量鉴定。货物符合标准的，鉴定费由甲方承担；货物不符合质量标准的，鉴定费由乙方承担。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（2）合同履行期间,若双方发生争议，可协商或由有关部门调解解决，协商或调解不成的，由当事人依法维护其合法权益，并由合同履行地人民法院裁定。</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1、合同生效后，招标人收到中标供应商开具的注明应付预付款金额的财务收据正本一份并经审核无误后，达到付款条件起28日内，支付合同总金额的30.00%</w:t>
            </w:r>
          </w:p>
          <w:p>
            <w:pPr>
              <w:pStyle w:val="null3"/>
              <w:jc w:val="left"/>
            </w:pPr>
            <w:r>
              <w:rPr>
                <w:rFonts w:ascii="仿宋_GB2312" w:hAnsi="仿宋_GB2312" w:cs="仿宋_GB2312" w:eastAsia="仿宋_GB2312"/>
              </w:rPr>
              <w:t>2、中标供应商发货并完成产品交付及验收后，达到付款条件起28日内，支付合同总金额的70.00%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由甲方组织，乙方配合进行：(1)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(2)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(3)如质量验收合格，双方签署质量验收报告。 2、乙方应将所提供货物的装箱清单、配件、随机工具、用户使用手册、原厂保修卡等资料交付给甲方；乙方不能完整交付货物及本款规定的单证和工具的，必须负责补齐，否则视为未按合同约定交货。 3、货物配送单位后 7 日内，甲方无故不进行验收工作并已使用货物的，视同已安装调试完成并验收合格。 4、如货物经乙方 3 次维修仍不能达到合同约定的质量标准，甲方有权退货，并视作乙方不能交付货物而须支付违约赔偿金给甲方，甲方还可依法追究乙方的违约责任。 5、车辆验收合格后，甲方应按照税务要求及时完成车辆的注册登记和车辆购置税缴纳，乙方予以协助。由于甲方原因导致机动车辆没有及时上牌产生的任何风险及购置税滞纳金，包括但不限于保险事故不予理赔，被国家机关罚款、扣留，无法上牌，无法继续运营等风险由甲方自行承担。 6、其他未尽事宜应严格按照财政部《关于进一步加强政府采购需求和履约验收管理的指导意见》财库〔2016〕205号的要求进行。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1、质保期为收到产品之日起1年。质保期应满足国家三包政策要求。质保期内乙方为甲方提供非易损易耗件的整机保修。 2、投标货物为纯电动的车辆，三电系统（电池、电机和电控）质保期为至少8年或40万公里，先到为准。（供应商需单独承诺） 3、乙方应保证设备生产商和/或其售后服务商提供人工保修和含配件保修价格，提供优惠折扣。 4、零配件供应：投标人应保证设备停产后的备件供应，并以优惠的价格提供该设备所需的维修零配件。 5、培训：受训人员达到熟练掌握中标设备的操作规程与技能。</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1、违约责任：（1）采购人违约责任： ①采购人无正当理由拒绝接受货物，采购人向供应商偿付合同价的5％的违约金；②如因采购人原因导致变更、中止或者终止本合同的，采购人应当向供应商偿付合同价的5％，以此作为赔偿或者补偿。③采购人支付的违约金不足以弥补供应商损失的，还应按供应商经济损失尚未弥补的部分，支付赔偿金给采购人。（2）供应商违约责任：①供应商在合同签订后因自身原因不能提供货物，供应商向采购人支付合同价的5％的违约金。②供应商支付的违约金不足以弥补采购人损失的，还应按采购人经济损失尚未弥补的部分，支付赔偿金给采购人。 ③供应商提供的服务未通过验收的，供应商向采购人支付合同价的5％的违约金。 2、争议解决办法：（1）因货物的质量问题发生争议，由质量技术监督部门或其指定的质量鉴定机构进行质量鉴定。货物符合标准的，鉴定费由甲方承担；货物不符合质量标准的，鉴定费由乙方承担。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（2）合同履行期间,若双方发生争议，可协商或由有关部门调解解决，协商或调解不成的，由当事人依法维护其合法权益，并由合同履行地人民法院裁定。</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1、合同生效后，招标人收到中标供应商开具的注明应付预付款金额的财务收据正本一份并经审核无误后，达到付款条件起28日内，支付合同总金额的30.00%</w:t>
            </w:r>
          </w:p>
          <w:p>
            <w:pPr>
              <w:pStyle w:val="null3"/>
              <w:jc w:val="left"/>
            </w:pPr>
            <w:r>
              <w:rPr>
                <w:rFonts w:ascii="仿宋_GB2312" w:hAnsi="仿宋_GB2312" w:cs="仿宋_GB2312" w:eastAsia="仿宋_GB2312"/>
              </w:rPr>
              <w:t>2、中标供应商发货并完成产品交付及验收后，达到付款条件起28日内，支付合同总金额的70.00%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中华人民共和国政府采购法》《中华人民共和国政府采购法实施条例》（中华人民共和国国务院令第658号）以及《财政部关于进一步加强政府采购需求和履约验收管理的指导意见》（财库〔2016〕205号）等相关法律法规、规章及文件的规定，并结合本项目招标文件的要求和中标人的投标文件、政府采购合同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1年，在质保期内，中标人应安排维修人员在8小时内到达现场处理，并按质保要求承担修理调换的费用，同时对维护期后的年维护成本和涉及的相关服务内容应给予详细说明(可以包括一定的人力资源)；在质保期外，提供设备的更换、维修只收取成本费用，不收取人工技术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1、违约责任：（1）采购人违约责任： ①采购人无正当理由拒绝接受货物，采购人向供应商偿付合同价的5％的违约金；②如因采购人原因导致变更、中止或者终止本合同的，采购人应当向供应商偿付合同价的5％，以此作为赔偿或者补偿。③采购人支付的违约金不足以弥补供应商损失的，还应按供应商经济损失尚未弥补的部分，支付赔偿金给采购人。（2）供应商违约责任：①供应商在合同签订后因自身原因不能提供货物，供应商向采购人支付合同价的5％的违约金。②供应商支付的违约金不足以弥补采购人损失的，还应按采购人经济损失尚未弥补的部分，支付赔偿金给采购人。 ③供应商提供的服务未通过验收的，供应商向采购人支付合同价的5％的违约金。 2、争议解决办法：（1）因货物的质量问题发生争议，由质量技术监督部门或其指定的质量鉴定机构进行质量鉴定。货物符合标准的，鉴定费由甲方承担；货物不符合质量标准的，鉴定费由乙方承担。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（2）合同履行期间,若双方发生争议，可协商或由有关部门调解解决，协商或调解不成的，由当事人依法维护其合法权益，并由合同履行地人民法院裁定。</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 项目实施方案包括：①项目背景分析；②项目实施计划；③人员配备及分工；④实施计划方案（施工组织、货物安装、调试方法等）；⑤项目进度安排及保障措施（运输安排计划、配送计划，工作人员安全工作及责任）；⑥质量保证措施。 采购包2 售后服务方案包括：（1）售后服务体系；（2）售后人员配备；（3）故障响应修复时间及保障措施；（4）备品备件计划和质保期外服务计划。 项目供货及安装调试方案包括：（1）整体供货方案；（2）货物运输方案；（3）供货进度计划及保证措施； （4）设备安装计划、调试计划、设备交接。 产品质量保障方案包括：（1）生产、装配、涂装生产线情况；（2）质量管理体系；（3）质量保证措施；（4）质量缺陷控制。 采购包3 项目实施方案包括：①项目实施计划；②质量保证措施；③人员配备及分工；④实施计划方案（施工组织、货物安装、调试方法等）；⑤项目进度安排及保障措施（运输安排计划、配送计划，工作人员安全工作及责任）；⑥各环节的应急预案（运输、配送、产品质量、其他突发状况等应急预案）。 售后服务方案包括：①售后服务组织机构；②售后服务人员配置与计划；③售后服务响应时间和维修时间；④售后服务保障措施；⑤备品备件方案(易耗易损备品备件方案、换货方案、紧急供货方案、不合格产品处理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的证明材料。(供应商若为企业法人:提供“统一社会信用代码营业执照";②若为事业法人:提供“统一社会信用代码法人登记证书";③若为其他组织:提供“对应主管部门颁发的准许执业证明文件或营业执照”;④若为自然人:提供“身份证明材料”以上均提供复印件;⑤供应商属于银行、保险:石油石化、电力、电信、移动、联通、广电等有行业特殊情况的，可提供企业分支机构统一社会信用代码的营业执照(复印件)及其他企业分支机构证明文件，法定代表人签署和授权可由分支机构负责人签署和授权。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的证明材料(提供任意一项即可):①可提供2023或2024或2025年度经审计的财务报告(包含审计报告和审计报告中所涉及的财务报表和报表附注);②可提供2023或2024或2025年度供应商完整的全套财务报表(应当包括资产负债表、利润表、现金流量表);③可提供截至响应文件提交截止之日前一年内银行出具的资信证明;④供应商注册时间截至响应文件提交截止之日前不足一年的，也可提供在相关主管部门备案的公司章程等证明材料;⑤供应商也可提供公司内部健全的财务会计制度。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的证明材料。(供应商若为企业法人:提供“统一社会信用代码营业执照";②若为事业法人:提供“统一社会信用代码法人登记证书";③若为其他组织:提供“对应主管部门颁发的准许执业证明文件或营业执照”;④若为自然人:提供“身份证明材料”以上均提供复印件;⑤供应商属于银行、保险:石油石化、电力、电信、移动、联通、广电等有行业特殊情况的，可提供企业分支机构统一社会信用代码的营业执照(复印件)及其他企业分支机构证明文件，法定代表人签署和授权可由分支机构负责人签署和授权。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的证明材料(提供任意一项即可):①可提供2023或2024或2025年度经审计的财务报告(包含审计报告和审计报告中所涉及的财务报表和报表附注);②可提供2023或2024或2025年度供应商完整的全套财务报表(应当包括资产负债表、利润表、现金流量表);③可提供截至响应文件提交截止之日前一年内银行出具的资信证明;④供应商注册时间截至响应文件提交截止之日前不足一年的，也可提供在相关主管部门备案的公司章程等证明材料;⑤供应商也可提供公司内部健全的财务会计制度。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的证明材料。(供应商若为企业法人:提供“统一社会信用代码营业执照";②若为事业法人:提供“统一社会信用代码法人登记证书";③若为其他组织:提供“对应主管部门颁发的准许执业证明文件或营业执照”;④若为自然人:提供“身份证明材料”以上均提供复印件;⑤供应商属于银行、保险:石油石化、电力、电信、移动、联通、广电等有行业特殊情况的，可提供企业分支机构统一社会信用代码的营业执照(复印件)及其他企业分支机构证明文件，法定代表人签署和授权可由分支机构负责人签署和授权。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的证明材料(提供任意一项即可):①可提供2023或2024或2025年度经审计的财务报告(包含审计报告和审计报告中所涉及的财务报表和报表附注);②可提供2023或2024或2025年度供应商完整的全套财务报表(应当包括资产负债表、利润表、现金流量表);③可提供截至响应文件提交截止之日前一年内银行出具的资信证明;④供应商注册时间截至响应文件提交截止之日前不足一年的，也可提供在相关主管部门备案的公司章程等证明材料;⑤供应商也可提供公司内部健全的财务会计制度。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技术、服务及其他要求</w:t>
            </w:r>
          </w:p>
        </w:tc>
        <w:tc>
          <w:tcPr>
            <w:tcW w:type="dxa" w:w="3322"/>
          </w:tcPr>
          <w:p>
            <w:pPr>
              <w:pStyle w:val="null3"/>
              <w:jc w:val="left"/>
            </w:pPr>
            <w:r>
              <w:rPr>
                <w:rFonts w:ascii="仿宋_GB2312" w:hAnsi="仿宋_GB2312" w:cs="仿宋_GB2312" w:eastAsia="仿宋_GB2312"/>
              </w:rPr>
              <w:t>供应商对第三章技术、服务及其他要求列明的 实质性要求进行响应</w:t>
            </w:r>
          </w:p>
        </w:tc>
        <w:tc>
          <w:tcPr>
            <w:tcW w:type="dxa" w:w="1661"/>
          </w:tcPr>
          <w:p>
            <w:pPr>
              <w:pStyle w:val="null3"/>
              <w:jc w:val="left"/>
            </w:pPr>
            <w:r>
              <w:rPr>
                <w:rFonts w:ascii="仿宋_GB2312" w:hAnsi="仿宋_GB2312" w:cs="仿宋_GB2312" w:eastAsia="仿宋_GB2312"/>
              </w:rPr>
              <w:t>投标人应提交的相关证明材料,产品技术参数响应表,关于符合本国产品标准的声明函,服务应答表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技术、服务及其他要求</w:t>
            </w:r>
          </w:p>
        </w:tc>
        <w:tc>
          <w:tcPr>
            <w:tcW w:type="dxa" w:w="3322"/>
          </w:tcPr>
          <w:p>
            <w:pPr>
              <w:pStyle w:val="null3"/>
              <w:jc w:val="left"/>
            </w:pPr>
            <w:r>
              <w:rPr>
                <w:rFonts w:ascii="仿宋_GB2312" w:hAnsi="仿宋_GB2312" w:cs="仿宋_GB2312" w:eastAsia="仿宋_GB2312"/>
              </w:rPr>
              <w:t>供应商对第三章技术、服务及其他要求列明的 实质性要求进行响应</w:t>
            </w:r>
          </w:p>
        </w:tc>
        <w:tc>
          <w:tcPr>
            <w:tcW w:type="dxa" w:w="1661"/>
          </w:tcPr>
          <w:p>
            <w:pPr>
              <w:pStyle w:val="null3"/>
              <w:jc w:val="left"/>
            </w:pPr>
            <w:r>
              <w:rPr>
                <w:rFonts w:ascii="仿宋_GB2312" w:hAnsi="仿宋_GB2312" w:cs="仿宋_GB2312" w:eastAsia="仿宋_GB2312"/>
              </w:rPr>
              <w:t>投标人应提交的相关证明材料,产品技术参数响应表,关于符合本国产品标准的声明函,服务应答表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技术、服务及其他要求</w:t>
            </w:r>
          </w:p>
        </w:tc>
        <w:tc>
          <w:tcPr>
            <w:tcW w:type="dxa" w:w="3322"/>
          </w:tcPr>
          <w:p>
            <w:pPr>
              <w:pStyle w:val="null3"/>
              <w:jc w:val="left"/>
            </w:pPr>
            <w:r>
              <w:rPr>
                <w:rFonts w:ascii="仿宋_GB2312" w:hAnsi="仿宋_GB2312" w:cs="仿宋_GB2312" w:eastAsia="仿宋_GB2312"/>
              </w:rPr>
              <w:t>供应商对第三章技术、服务及其他要求列明的 实质性要求进行响应</w:t>
            </w:r>
          </w:p>
        </w:tc>
        <w:tc>
          <w:tcPr>
            <w:tcW w:type="dxa" w:w="1661"/>
          </w:tcPr>
          <w:p>
            <w:pPr>
              <w:pStyle w:val="null3"/>
              <w:jc w:val="left"/>
            </w:pPr>
            <w:r>
              <w:rPr>
                <w:rFonts w:ascii="仿宋_GB2312" w:hAnsi="仿宋_GB2312" w:cs="仿宋_GB2312" w:eastAsia="仿宋_GB2312"/>
              </w:rPr>
              <w:t>投标人应提交的相关证明材料,产品技术参数响应表,关于符合本国产品标准的声明函,服务应答表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技术服务响应情况</w:t>
            </w:r>
          </w:p>
        </w:tc>
        <w:tc>
          <w:tcPr>
            <w:tcW w:type="dxa" w:w="2575"/>
          </w:tcPr>
          <w:p>
            <w:pPr>
              <w:pStyle w:val="null3"/>
              <w:jc w:val="left"/>
            </w:pPr>
            <w:r>
              <w:rPr>
                <w:rFonts w:ascii="仿宋_GB2312" w:hAnsi="仿宋_GB2312" w:cs="仿宋_GB2312" w:eastAsia="仿宋_GB2312"/>
              </w:rPr>
              <w:t>技术服务响应情况完全满足招标文件“技术服务要求中技术参数”要求得10分，带▲参数（共10条）为重要参数，每有1项（条、目）不满足扣0.6分，其他技术参数要求（共150条）每有1项（条、目）不满足扣0.04分，扣完为止。 注：标注“▲”参数，提供第三方检测机构出具的带CMA标识的检测报告复印件并加盖投标人电子章或提供承诺函。</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提供的项目实施方案进行综合评审包含：①项目背景分析；②项目实施计划；③人员配备及分工；④实施计划方案（施工组织、货物安装、调试方法等）；⑤项目进度安排及保障措施（运输安排计划、配送计划，工作人员安全工作及责任）；⑥质量保证措施。共6项内容，对以上内容均有完整描述且能完全满足采购要求的得24分。每缺少一项扣4分，每有一项内容存在缺陷（缺陷是指：存在不适用项目实际情况的情形、凭空编造、方案中内容前后不一致、前后逻辑错误、前后矛盾、涉及的规范及标准错误、地点区域错误、内容缺失、不符合采购需求、标题与实际内容不相符合、方案不全面等）的扣2分，扣完为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综合评分所需资料.docx</w:t>
            </w:r>
          </w:p>
        </w:tc>
      </w:tr>
      <w:tr>
        <w:tc>
          <w:tcPr>
            <w:tcW w:type="dxa" w:w="831"/>
            <w:vMerge/>
          </w:tcPr>
          <w:p/>
        </w:tc>
        <w:tc>
          <w:tcPr>
            <w:tcW w:type="dxa" w:w="1661"/>
          </w:tcPr>
          <w:p>
            <w:pPr>
              <w:pStyle w:val="null3"/>
              <w:jc w:val="left"/>
            </w:pPr>
            <w:r>
              <w:rPr>
                <w:rFonts w:ascii="仿宋_GB2312" w:hAnsi="仿宋_GB2312" w:cs="仿宋_GB2312" w:eastAsia="仿宋_GB2312"/>
              </w:rPr>
              <w:t>应急服务方案</w:t>
            </w:r>
          </w:p>
        </w:tc>
        <w:tc>
          <w:tcPr>
            <w:tcW w:type="dxa" w:w="2575"/>
          </w:tcPr>
          <w:p>
            <w:pPr>
              <w:pStyle w:val="null3"/>
              <w:jc w:val="left"/>
            </w:pPr>
            <w:r>
              <w:rPr>
                <w:rFonts w:ascii="仿宋_GB2312" w:hAnsi="仿宋_GB2312" w:cs="仿宋_GB2312" w:eastAsia="仿宋_GB2312"/>
              </w:rPr>
              <w:t>根据供应商针对本项目提供的应急服务方案进行综合评审包含：①应急预案措施；②应急备货保障方案；③应急处置人员配备；④应急工作安排；⑤应急服务承诺。共5项内容，对以上内容均有完整描述且能完全满足采购要求的得10分。每缺少一项扣2分，每有一项内容存在缺陷（缺陷是指：存在不适用项目实际情况的情形、凭空编造、方案中内容前后不一致、前后逻辑错误、前后矛盾、涉及的规范及标准错误、地点区域错误、内容缺失、不符合采购需求、标题与实际内容不相符合、方案不全面等）的扣1分，扣完为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综合评分所需资料.docx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针对本项目提供的售后服务方案进行综合评审包含：①售后服务人员配置；②售后服务响应时间；③售后服务质量保障措施；④产品维保培训；⑤售后服务应急方案；⑥备件供应准备。共6项内容，对以上内容均有完整描述且能完全满足采购要求的得18分。每缺少一项扣3分，每有一项内容存在缺陷（缺陷是指：存在不适用项目实际情况的情形、凭空编造、方案中内容前后不一致、前后逻辑错误、前后矛盾、涉及的规范及标准错误、地点区域错误、内容缺失、不符合采购需求、标题与实际内容不相符合、方案不全面等）的扣1.5分，扣完为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综合评分所需资料.docx</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1、投标人所投产品具有垃圾运营管理平台软件（需提供软件著作权证明），得3分，不提供不得分。 2、投标人所投产品具有垃圾大数据监管分析平台软件（需提供软件著作权证明）得3分，不提供不得分。 （以上证明材料复印件加盖投标人电子章且证书须在有效期内）。</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综合评分所需资料.docx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技术服务响应情况</w:t>
            </w:r>
          </w:p>
        </w:tc>
        <w:tc>
          <w:tcPr>
            <w:tcW w:type="dxa" w:w="2575"/>
          </w:tcPr>
          <w:p>
            <w:pPr>
              <w:pStyle w:val="null3"/>
              <w:jc w:val="left"/>
            </w:pPr>
            <w:r>
              <w:rPr>
                <w:rFonts w:ascii="仿宋_GB2312" w:hAnsi="仿宋_GB2312" w:cs="仿宋_GB2312" w:eastAsia="仿宋_GB2312"/>
              </w:rPr>
              <w:t>技术服务响应情况完全满足招标文件“技术服务要求中技术参数”，带★参数（共27条）是实质性参数，不满足视为无效响应，带▲参数（共6条）为重要参数，每有1项（条、目）不满足扣3分，其他技术参数要求（共22条）每有1项（条、目）不满足扣0.5分，本项最多得29分。</w:t>
            </w:r>
          </w:p>
        </w:tc>
        <w:tc>
          <w:tcPr>
            <w:tcW w:type="dxa" w:w="831"/>
          </w:tcPr>
          <w:p>
            <w:pPr>
              <w:pStyle w:val="null3"/>
              <w:jc w:val="center"/>
            </w:pPr>
            <w:r>
              <w:rPr>
                <w:rFonts w:ascii="仿宋_GB2312" w:hAnsi="仿宋_GB2312" w:cs="仿宋_GB2312" w:eastAsia="仿宋_GB2312"/>
              </w:rPr>
              <w:t>29.0000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1.根据投标人针对本项目实际情况提供的售后服务方案进行综合评审，方案内容包含：（1）售后服务体系；（2）售后人员配备；（3）故障响应修复时间及保障措施；（4）备品备件计划和质保期外服务计划。上述4项内容完全满足采购需求的得8分，每缺一项扣2分；每有一处存在缺陷的扣1分，扣完为止。 2.根据投标人针对本项目实际情况提供的项目供货及安装调试方案进行综合评审，方案内容包含：（1）整体供货方案；（2）货物运输方案；（3）供货进度计划及保证措施； （4）设备安装计划、调试计划、设备交接。 上述4项内容完全满足采购需求的得8分，每缺一项扣2分；每有一处存在缺陷的扣1分，扣完为止。 3.根据投标人针对本项目实际情况提供的产品质量保障方案进行综合评审，内容包含：（1）生产、装配、涂装生产线情况；（2）质量管理体系；（3）质量保证措施；（4）质量缺陷控制。 上述4项内容完全满足采购需求的得8分，每缺一项扣2分；每有一处存在缺陷的扣1分，扣完为止。 （缺陷是指：存在不适用项目实际情况的情形、凭空编造、方案中内容前后不一致、前后逻辑错误、前后矛盾、涉及的规范及标准错误、地点区域错误、内容缺失、不符合采购需求、标题与实际内容不相符合、方案不全面等）</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综合评分所需资料.docx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供应商每有一个类似项目业绩的得2分，本项最高得4分。 注：提供合同复印件或中标（成交）通知书加盖供应商电子章。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综合评分所需资料.docx</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1.售后服务人员配置： 投标人拟派本项目售后服务团队中，需具有机械或环保专业类的下列人员：每提供一个具有高级工程师及以上职称的得1分，每提供一个具有中级工程师职称的得0.5分，每提供一个具有初级工程师职称的得0.25分，本项最多得4分。（注：同一人具有多种专业或同时具有中高级工程师的，均不重复计算，提供证书复印件，未提供不得分） 2.售后服务平台：投标人所投产品具有数字化售后服务平台，用户可通过移动端主动进入，该数字化售后服务平台功能包括：（1）故障报修；（2）维修进度跟踪；（3）服务评价功能，（4）网上采购配件；（5）巡检报告线上确认与查阅；（6）线上自动生成多项目巡检专项报告； 以上每提供1项得1.5分，最高得9分，不提供或不符合不得分。提供以上六项服务平台功能截图证明文件并加盖投标人公章，未提供不得分。</w:t>
            </w:r>
          </w:p>
        </w:tc>
        <w:tc>
          <w:tcPr>
            <w:tcW w:type="dxa" w:w="831"/>
          </w:tcPr>
          <w:p>
            <w:pPr>
              <w:pStyle w:val="null3"/>
              <w:jc w:val="center"/>
            </w:pPr>
            <w:r>
              <w:rPr>
                <w:rFonts w:ascii="仿宋_GB2312" w:hAnsi="仿宋_GB2312" w:cs="仿宋_GB2312" w:eastAsia="仿宋_GB2312"/>
              </w:rPr>
              <w:t>13.0000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综合评分所需资料.docx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技术服务响应情况</w:t>
            </w:r>
          </w:p>
        </w:tc>
        <w:tc>
          <w:tcPr>
            <w:tcW w:type="dxa" w:w="2575"/>
          </w:tcPr>
          <w:p>
            <w:pPr>
              <w:pStyle w:val="null3"/>
              <w:jc w:val="left"/>
            </w:pPr>
            <w:r>
              <w:rPr>
                <w:rFonts w:ascii="仿宋_GB2312" w:hAnsi="仿宋_GB2312" w:cs="仿宋_GB2312" w:eastAsia="仿宋_GB2312"/>
              </w:rPr>
              <w:t>技术服务响应情况完全满足招标文件“技术服务要求中技术参数”，带★参数（共6条）是实质性参数，不满足视为无效响应，带▲参数（共8条）为重要参数，每有1项（条、目）不满足扣1分，其他技术参数要求（共20条）每有1项（条、目）不满足扣0.3分，本项最多得14分。</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提供的项目实施方案进行综合评审包含：①项目实施计划；②质量保证措施；③人员配备及分工；④实施计划方案（施工组织、货物安装、调试方法等）；⑤项目进度安排及保障措施（运输安排计划、配送计划，工作人员安全工作及责任）；⑥各环节的应急预案（运输、配送、产品质量、其他突发状况等应急预案）。共6项内容，对以上内容均有完整描述且能完全满足采购要求的得30分。每缺少一项扣5分，每有一项内容存在缺陷（缺陷是指：存在不适用项目实际情况的情形、凭空编造、方案中内容前后不一致、前后逻辑错误、前后矛盾、涉及的规范及标准错误、地点区域错误、内容缺失、不符合采购需求、标题与实际内容不相符合、方案不全面等）的扣 2.5分，扣完为止。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综合评分所需资料.docx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针对本项目提供的售后服务方案进行综合评审包含：①售后服务组织机构；②售后服务人员配置与计划；③售后服务响应时间和维修时间；④售后服务保障措施；⑤备品备件方案(易耗易损备品备件方案、换货方案、紧急供货方案、不合格产品处理方案)。共5项内容，对以上内容均有完整描述且能完全满足采购要求的得20分。每缺少一项扣4分，每有一项内容存在缺陷（缺陷是指：存在不适用项目实际情况的情形、凭空编造、方案中内容前后不一致、前后逻辑错误、前后矛盾、涉及的规范及标准错误、地点区域错误、内容缺失、不符合采购需求、标题与实际内容不相符合、方案不全面等）的扣 2分，扣完为止。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综合评分所需资料.docx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投标人自2022年1月1日（含）至今每有一个类似项目业绩的得3分，本项最高得6分。 注：提供合同复印件或中标（成交）通知书加盖供应商电子章。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综合评分所需资料.docx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报价明细表,中小企业声明函,残疾人福利性单位声明函,报价表,监狱企业的证明文件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中小企业声明函,残疾人福利性单位声明函,报价明细表,报价表,监狱企业的证明文件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报价明细表,中小企业声明函,残疾人福利性单位声明函,报价表,监狱企业的证明文件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详见附件：综合评分所需资料.docx</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详见附件：综合评分所需资料.docx</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详见附件：综合评分所需资料.docx</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