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版本号：N510705202500007220250711001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西门子128排双源CT滑环单一来源采购项目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N5107052025000072</w:t>
      </w:r>
    </w:p>
    <w:p>
      <w:pPr>
        <w:pStyle w:val="null3"/>
        <w:jc w:val="left"/>
        <w:outlineLvl w:val="2"/>
      </w:pPr>
      <w:r>
        <w:rPr>
          <w:rFonts w:ascii="仿宋_GB2312" w:hAnsi="仿宋_GB2312" w:cs="仿宋_GB2312" w:eastAsia="仿宋_GB2312"/>
          <w:sz w:val="28"/>
          <w:b/>
        </w:rPr>
        <w:t>绵阳市安州区人民医院</w:t>
      </w:r>
    </w:p>
    <w:p>
      <w:pPr>
        <w:pStyle w:val="null3"/>
        <w:jc w:val="center"/>
        <w:outlineLvl w:val="2"/>
      </w:pPr>
      <w:r>
        <w:rPr>
          <w:rFonts w:ascii="仿宋_GB2312" w:hAnsi="仿宋_GB2312" w:cs="仿宋_GB2312" w:eastAsia="仿宋_GB2312"/>
          <w:sz w:val="28"/>
          <w:b/>
        </w:rPr>
        <w:t>绵阳市安州区政府采购中心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绵阳市安州区政府采购中心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绵阳市安州区人民医院</w:t>
      </w:r>
      <w:r>
        <w:rPr>
          <w:rFonts w:ascii="仿宋_GB2312" w:hAnsi="仿宋_GB2312" w:cs="仿宋_GB2312" w:eastAsia="仿宋_GB2312"/>
        </w:rPr>
        <w:t xml:space="preserve"> 委托，拟对 </w:t>
      </w:r>
      <w:r>
        <w:rPr>
          <w:rFonts w:ascii="仿宋_GB2312" w:hAnsi="仿宋_GB2312" w:cs="仿宋_GB2312" w:eastAsia="仿宋_GB2312"/>
        </w:rPr>
        <w:t>西门子128排双源CT滑环单一来源采购项目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绵阳市安州区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N5107052025000072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西门子128排双源CT滑环单一来源采购项目</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绵阳市安州区人民医院于2021年4月投入使用德国西门子128排双源CT一台，型号：SOMATOM Drive。现设备滑环出现故障，影响了科室的正常诊疗工作。为保证设备正常运行，拟申请单一来源采购与该设备相匹配的西门子128排双源CT滑环一个。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1、一、若报价产品及其配置产品为医疗设备的，报价产品及其配置产品须符合《医疗器械注册与备案管理办法》要求并提供中华人民共和国医疗器械注册证或备案凭证。 二、若报价产品及其配置产品为医疗设备的，供应商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三、如使用进口产品参加报价且非供应商自己生产的，需提供制造商家针对本项目的授权书（若非制造商直接授权，要求提供制造商与分销商或经销商或代理商的完整授权关系文件）。（描述：一、若报价产品及其配置产品为医疗设备的，报价产品及其配置产品须符合《医疗器械注册与备案管理办法》要求并提供中华人民共和国医疗器械注册证或备案凭证。二、若报价产品及其配置产品为医疗设备的，供应商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三、如使用进口产品参加报价且非供应商自己生产的，需提供制造商家针对本项目的授权书（若非制造商直接授权，要求提供制造商与分销商或经销商或代理商的完整授权关系文件）。供应商需在项目电子化交易系统中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绵阳市安州区人民医院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绵阳市安州区启明星大道129号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622651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陈海燕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15882861852</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绵阳市安州区政府采购中心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四川省绵阳市安州区绵阳市安州文化广场二楼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622651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0816-4338221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绵阳市安州区人民医院</w:t>
      </w:r>
      <w:r>
        <w:rPr>
          <w:rFonts w:ascii="仿宋_GB2312" w:hAnsi="仿宋_GB2312" w:cs="仿宋_GB2312" w:eastAsia="仿宋_GB2312"/>
        </w:rPr>
        <w:t xml:space="preserve"> 和 </w:t>
      </w:r>
      <w:r>
        <w:rPr>
          <w:rFonts w:ascii="仿宋_GB2312" w:hAnsi="仿宋_GB2312" w:cs="仿宋_GB2312" w:eastAsia="仿宋_GB2312"/>
        </w:rPr>
        <w:t>绵阳市安州区政府采购中心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绵阳市安州区人民医院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绵阳市安州区政府采购中心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三、供应商应当及时查看更正信息，并根据更正信息要求，下载更正后的采购文件，进行响应文件编制。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按采购文件及合同执行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按采购文件及合同执行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按采购文件及合同执行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货物必须符合或优于国家（行业）相关标准，以及本项目招标文件的质量要求和技术指标与出厂标准。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绵阳市安州区人民医院</w:t>
      </w:r>
      <w:r>
        <w:rPr>
          <w:rFonts w:ascii="仿宋_GB2312" w:hAnsi="仿宋_GB2312" w:cs="仿宋_GB2312" w:eastAsia="仿宋_GB2312"/>
        </w:rPr>
        <w:t xml:space="preserve">负责答复；供应商对除采购需求外的采购文件的询问、质疑由 </w:t>
      </w:r>
      <w:r>
        <w:rPr>
          <w:rFonts w:ascii="仿宋_GB2312" w:hAnsi="仿宋_GB2312" w:cs="仿宋_GB2312" w:eastAsia="仿宋_GB2312"/>
        </w:rPr>
        <w:t>绵阳市安州区政府采购中心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绵阳市安州区政府采购中心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联系人：陈海燕</w:t>
      </w:r>
    </w:p>
    <w:p>
      <w:pPr>
        <w:pStyle w:val="null3"/>
        <w:jc w:val="left"/>
      </w:pPr>
      <w:r>
        <w:rPr>
          <w:rFonts w:ascii="仿宋_GB2312" w:hAnsi="仿宋_GB2312" w:cs="仿宋_GB2312" w:eastAsia="仿宋_GB2312"/>
        </w:rPr>
        <w:t>联系电话：15882861852</w:t>
      </w:r>
    </w:p>
    <w:p>
      <w:pPr>
        <w:pStyle w:val="null3"/>
        <w:jc w:val="left"/>
      </w:pPr>
      <w:r>
        <w:rPr>
          <w:rFonts w:ascii="仿宋_GB2312" w:hAnsi="仿宋_GB2312" w:cs="仿宋_GB2312" w:eastAsia="仿宋_GB2312"/>
        </w:rPr>
        <w:t>地址：绵阳市安州区启明星大道129号</w:t>
      </w:r>
    </w:p>
    <w:p>
      <w:pPr>
        <w:pStyle w:val="null3"/>
        <w:jc w:val="left"/>
      </w:pPr>
      <w:r>
        <w:rPr>
          <w:rFonts w:ascii="仿宋_GB2312" w:hAnsi="仿宋_GB2312" w:cs="仿宋_GB2312" w:eastAsia="仿宋_GB2312"/>
        </w:rPr>
        <w:t>邮编：622651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联系人：雷欢</w:t>
      </w:r>
    </w:p>
    <w:p>
      <w:pPr>
        <w:pStyle w:val="null3"/>
        <w:jc w:val="left"/>
      </w:pPr>
      <w:r>
        <w:rPr>
          <w:rFonts w:ascii="仿宋_GB2312" w:hAnsi="仿宋_GB2312" w:cs="仿宋_GB2312" w:eastAsia="仿宋_GB2312"/>
        </w:rPr>
        <w:t>联系电话：0816-4338221</w:t>
      </w:r>
    </w:p>
    <w:p>
      <w:pPr>
        <w:pStyle w:val="null3"/>
        <w:jc w:val="left"/>
      </w:pPr>
      <w:r>
        <w:rPr>
          <w:rFonts w:ascii="仿宋_GB2312" w:hAnsi="仿宋_GB2312" w:cs="仿宋_GB2312" w:eastAsia="仿宋_GB2312"/>
        </w:rPr>
        <w:t>地址：绵阳市安州区花荄镇文化广场二楼</w:t>
      </w:r>
    </w:p>
    <w:p>
      <w:pPr>
        <w:pStyle w:val="null3"/>
        <w:jc w:val="left"/>
      </w:pPr>
      <w:r>
        <w:rPr>
          <w:rFonts w:ascii="仿宋_GB2312" w:hAnsi="仿宋_GB2312" w:cs="仿宋_GB2312" w:eastAsia="仿宋_GB2312"/>
        </w:rPr>
        <w:t>邮编：622651</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A02323500 医疗设备零部件</w:t>
            </w:r>
          </w:p>
        </w:tc>
        <w:tc>
          <w:tcPr>
            <w:tcW w:type="dxa" w:w="821"/>
          </w:tcPr>
          <w:p>
            <w:pPr>
              <w:pStyle w:val="null3"/>
              <w:jc w:val="left"/>
            </w:pPr>
            <w:r>
              <w:rPr>
                <w:rFonts w:ascii="仿宋_GB2312" w:hAnsi="仿宋_GB2312" w:cs="仿宋_GB2312" w:eastAsia="仿宋_GB2312"/>
              </w:rPr>
              <w:t>西门子128排双源CT滑环</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西门子128排双源CT滑环</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A02323500 医疗设备零部件</w:t>
            </w:r>
          </w:p>
        </w:tc>
        <w:tc>
          <w:tcPr>
            <w:tcW w:type="dxa" w:w="2492"/>
          </w:tcPr>
          <w:p>
            <w:pPr>
              <w:pStyle w:val="null3"/>
              <w:jc w:val="left"/>
            </w:pPr>
            <w:r>
              <w:rPr>
                <w:rFonts w:ascii="仿宋_GB2312" w:hAnsi="仿宋_GB2312" w:cs="仿宋_GB2312" w:eastAsia="仿宋_GB2312"/>
              </w:rPr>
              <w:t>西门子128排双源CT滑环</w:t>
            </w:r>
          </w:p>
        </w:tc>
        <w:tc>
          <w:tcPr>
            <w:tcW w:type="dxa" w:w="2492"/>
          </w:tcPr>
          <w:p>
            <w:pPr>
              <w:pStyle w:val="null3"/>
              <w:jc w:val="left"/>
            </w:pPr>
            <w:r>
              <w:rPr>
                <w:rFonts w:ascii="仿宋_GB2312" w:hAnsi="仿宋_GB2312" w:cs="仿宋_GB2312" w:eastAsia="仿宋_GB2312"/>
              </w:rPr>
              <w:t>西门子128排双源CT滑环</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A02323500 医疗设备零部件</w:t>
            </w:r>
          </w:p>
        </w:tc>
        <w:tc>
          <w:tcPr>
            <w:tcW w:type="dxa" w:w="2492"/>
          </w:tcPr>
          <w:p>
            <w:pPr>
              <w:pStyle w:val="null3"/>
              <w:jc w:val="left"/>
            </w:pPr>
            <w:r>
              <w:rPr>
                <w:rFonts w:ascii="仿宋_GB2312" w:hAnsi="仿宋_GB2312" w:cs="仿宋_GB2312" w:eastAsia="仿宋_GB2312"/>
              </w:rPr>
              <w:t>西门子128排双源CT滑环</w:t>
            </w:r>
          </w:p>
        </w:tc>
        <w:tc>
          <w:tcPr>
            <w:tcW w:type="dxa" w:w="2492"/>
          </w:tcPr>
          <w:p>
            <w:pPr>
              <w:pStyle w:val="null3"/>
              <w:jc w:val="left"/>
            </w:pPr>
            <w:r>
              <w:rPr>
                <w:rFonts w:ascii="仿宋_GB2312" w:hAnsi="仿宋_GB2312" w:cs="仿宋_GB2312" w:eastAsia="仿宋_GB2312"/>
              </w:rPr>
              <w:t>西门子128排双源CT滑环</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标的名称：西门子128排双源CT滑环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滑环要求适配医院西门子双源</w:t>
            </w:r>
            <w:r>
              <w:rPr>
                <w:rFonts w:ascii="仿宋_GB2312" w:hAnsi="仿宋_GB2312" w:cs="仿宋_GB2312" w:eastAsia="仿宋_GB2312"/>
                <w:sz w:val="24"/>
              </w:rPr>
              <w:t>CT</w:t>
            </w:r>
            <w:r>
              <w:rPr>
                <w:rFonts w:ascii="仿宋_GB2312" w:hAnsi="仿宋_GB2312" w:cs="仿宋_GB2312" w:eastAsia="仿宋_GB2312"/>
              </w:rPr>
              <w:t xml:space="preserve"> </w:t>
            </w:r>
            <w:r>
              <w:rPr>
                <w:rFonts w:ascii="仿宋_GB2312" w:hAnsi="仿宋_GB2312" w:cs="仿宋_GB2312" w:eastAsia="仿宋_GB2312"/>
                <w:sz w:val="24"/>
              </w:rPr>
              <w:t>型号为：</w:t>
            </w:r>
            <w:r>
              <w:rPr>
                <w:rFonts w:ascii="仿宋_GB2312" w:hAnsi="仿宋_GB2312" w:cs="仿宋_GB2312" w:eastAsia="仿宋_GB2312"/>
                <w:sz w:val="24"/>
              </w:rPr>
              <w:t>SOMATOM DRIVE，设备序列号：105424；</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提供原厂原包装滑环；</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滑环包含</w:t>
            </w:r>
            <w:r>
              <w:rPr>
                <w:rFonts w:ascii="仿宋_GB2312" w:hAnsi="仿宋_GB2312" w:cs="仿宋_GB2312" w:eastAsia="仿宋_GB2312"/>
                <w:sz w:val="24"/>
              </w:rPr>
              <w:t>9道一体成型滑道和耐压耐热绝缘基层；</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滑道材质为银钛合金；</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具备板型绝缘板材电刷，材质为银碳合金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每道滑环可匹配</w:t>
            </w:r>
            <w:r>
              <w:rPr>
                <w:rFonts w:ascii="仿宋_GB2312" w:hAnsi="仿宋_GB2312" w:cs="仿宋_GB2312" w:eastAsia="仿宋_GB2312"/>
                <w:sz w:val="24"/>
              </w:rPr>
              <w:t>2</w:t>
            </w:r>
            <w:r>
              <w:rPr>
                <w:rFonts w:ascii="仿宋_GB2312" w:hAnsi="仿宋_GB2312" w:cs="仿宋_GB2312" w:eastAsia="仿宋_GB2312"/>
                <w:sz w:val="24"/>
              </w:rPr>
              <w:t>根</w:t>
            </w:r>
            <w:r>
              <w:rPr>
                <w:rFonts w:ascii="仿宋_GB2312" w:hAnsi="仿宋_GB2312" w:cs="仿宋_GB2312" w:eastAsia="仿宋_GB2312"/>
                <w:sz w:val="24"/>
              </w:rPr>
              <w:t>电刷，共匹配</w:t>
            </w:r>
            <w:r>
              <w:rPr>
                <w:rFonts w:ascii="仿宋_GB2312" w:hAnsi="仿宋_GB2312" w:cs="仿宋_GB2312" w:eastAsia="仿宋_GB2312"/>
                <w:sz w:val="24"/>
              </w:rPr>
              <w:t>18根电刷；</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9道滑环分别传输A，B两组2000V高压交流电源A+，A-，GND地，B+，B-和400V交流 L1，L2，L3，N零线；</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外观为圆盘形；</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可固定于双源</w:t>
            </w:r>
            <w:r>
              <w:rPr>
                <w:rFonts w:ascii="仿宋_GB2312" w:hAnsi="仿宋_GB2312" w:cs="仿宋_GB2312" w:eastAsia="仿宋_GB2312"/>
                <w:sz w:val="24"/>
              </w:rPr>
              <w:t>CT机架，向双源CT旋转部分传输电源。</w:t>
            </w:r>
          </w:p>
          <w:p>
            <w:pPr>
              <w:pStyle w:val="null3"/>
              <w:jc w:val="left"/>
            </w:pPr>
            <w:r>
              <w:rPr>
                <w:rFonts w:ascii="仿宋_GB2312" w:hAnsi="仿宋_GB2312" w:cs="仿宋_GB2312" w:eastAsia="仿宋_GB2312"/>
                <w:sz w:val="24"/>
              </w:rPr>
              <w:t>以上均为实质性要求。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绵阳市安州区人民医院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1、合同生效后 ，达到付款条件起，达到付款条件起15日内，据实情况说明为支付合同总金额的10%</w:t>
            </w:r>
          </w:p>
          <w:p>
            <w:pPr>
              <w:pStyle w:val="null3"/>
              <w:jc w:val="left"/>
            </w:pPr>
            <w:r>
              <w:rPr>
                <w:rFonts w:ascii="仿宋_GB2312" w:hAnsi="仿宋_GB2312" w:cs="仿宋_GB2312" w:eastAsia="仿宋_GB2312"/>
              </w:rPr>
              <w:t>2、安装验收合格后 ，达到付款条件起，达到付款条件起30日内，据实情况说明为支付合同总金额85%</w:t>
            </w:r>
          </w:p>
          <w:p>
            <w:pPr>
              <w:pStyle w:val="null3"/>
              <w:jc w:val="left"/>
            </w:pPr>
            <w:r>
              <w:rPr>
                <w:rFonts w:ascii="仿宋_GB2312" w:hAnsi="仿宋_GB2312" w:cs="仿宋_GB2312" w:eastAsia="仿宋_GB2312"/>
              </w:rPr>
              <w:t>3、使用半年后 ，达到付款条件起，达到付款条件起30日内，据实情况说明为支付合同总金额的5%</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一、乙方交货期限为合同签订生效后的30日内,并按照医院安排完成安装及调试。(如由于采购人的原因造成合同延迟签订或验收的，时间顺延)。二、验收由甲方组织，乙方配合进行： (1) 货物在乙方安装调试完毕后5日内初步验收。初步验收合格后，进入10天试用期；试用期间发生一般性质量问题，修复后试用期相应顺延；试用期结束后10日内完成最终验收； (2)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 (3)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 (4) 如质量验收合格，双方签署质量验收报告。 三、货物安装完成后30日内，甲方无故不进行验收工作并已使用货物的，视同已安装调试完成并验收合格。 四、乙方应将所提供货物的装箱清单、配件、随机工具、用户使用手册、原厂保修卡、产品合格证、出厂检测报告等资料交付给甲方；乙方不能完整交付货物及本款规定的单证和工具的，必须负责补齐，否则视为未按合同约定交货。 五、如货物经乙方三次维修（或2次更换）仍不能达到合同约定的质量标准，甲方有权退货，并视作乙方不能交付货物而须支付违约赔偿金给甲方，甲方还可依法追究乙方的违约责任。 六、乙方与甲方应严格按照《绵阳市财政局关于进一步做好政府采购项目履约验收工作的通知》（绵财采〔2021〕15号）和采购文件的要求进行验收。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一、质保期内出现质量问题，乙方在接到通知后24小时内响应到场，72小时内完成维修或更换，并承担修理调换的费用；如货物经乙方二次维修（或1次更换）仍不能达到本合同约定的质量标准，视作乙方未能按时交货，甲方有权退货并追究乙方的违约责任。货到现场后由于甲方保管不当造成的问题，乙方亦应负责修复，但费用由甲方负担。 二、质保期为自该付费CT滑环安装之日起6个月。</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一、甲方违约责任 （1） 甲方无正当理由拒收货物的，甲方应偿付合同总价百分之一的违约金； （2） 甲方逾期支付货款的，除应及时付足货款外，应向乙方偿付欠款总额万分之一/天的违约金；逾期付款超过90天的，乙方有权终止合同； （3） 甲方偿付的违约金不足以弥补乙方损失的，还应按乙方损失尚未弥补的部分，支付赔偿金给乙方。 二、乙方违约责任 （1）乙方交付的货物质量不符合合同规定的，乙方应向甲方支付合同总价的百分之一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五/天的违约金；逾期交货超过60天，甲方有权终止合同，乙方则应按合同总价的百分之二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30天内无条件更换合格的货物，如逾期不能更换合格的货物，甲方有权终止本合同，乙方应另付合同总价的百分之二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二十向甲方支付违约金并赔偿因此给甲方造成的一切损失。 （5）乙方偿付的违约金不足以弥补甲方损失的，还应按甲方损失尚未弥补的部分，支付赔偿金给甲方。 三、争议解决办法 （1）因货物的质量问题发生争议，由质量技术监督部门或其指定的质量鉴定机构进行质量鉴定。货物符合标准的，鉴定费由甲方承担；货物不符合质量标准的，鉴定费由乙方承担。 （2）在执行本合同中发生的或与本合同有关的争端，双方应通过友好协商解决，经协商在10天内不能达成协议时，应提交甲方所在地人民法院诉讼解决。 （3）由此产生的诉讼费用、律师费应由败诉方负担。 （4）在诉讼期间，除正在进行争议的部分外，合同其他部分继续执行。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一、若报价产品及其配置产品为医疗设备的，报价产品及其配置产品须符合《医疗器械注册与备案管理办法》要求并提供中华人民共和国医疗器械注册证或备案凭证。 二、若报价产品及其配置产品为医疗设备的，供应商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三、如使用进口产品参加报价且非供应商自己生产的，需提供制造商家针对本项目的授权书（若非制造商直接授权，要求提供制造商与分销商或经销商或代理商的完整授权关系文件）。</w:t>
            </w:r>
          </w:p>
        </w:tc>
        <w:tc>
          <w:tcPr>
            <w:tcW w:type="dxa" w:w="3322"/>
          </w:tcPr>
          <w:p>
            <w:pPr>
              <w:pStyle w:val="null3"/>
              <w:jc w:val="left"/>
            </w:pPr>
            <w:r>
              <w:rPr>
                <w:rFonts w:ascii="仿宋_GB2312" w:hAnsi="仿宋_GB2312" w:cs="仿宋_GB2312" w:eastAsia="仿宋_GB2312"/>
              </w:rPr>
              <w:t>一、若报价产品及其配置产品为医疗设备的，报价产品及其配置产品须符合《医疗器械注册与备案管理办法》要求并提供中华人民共和国医疗器械注册证或备案凭证。二、若报价产品及其配置产品为医疗设备的，供应商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三、如使用进口产品参加报价且非供应商自己生产的，需提供制造商家针对本项目的授权书（若非制造商直接授权，要求提供制造商与分销商或经销商或代理商的完整授权关系文件）。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按照第三章相关要求进行评审</w:t>
            </w:r>
          </w:p>
        </w:tc>
        <w:tc>
          <w:tcPr>
            <w:tcW w:type="dxa" w:w="1910"/>
          </w:tcPr>
          <w:p>
            <w:pPr>
              <w:pStyle w:val="null3"/>
              <w:jc w:val="left"/>
            </w:pPr>
            <w:r>
              <w:rPr>
                <w:rFonts w:ascii="仿宋_GB2312" w:hAnsi="仿宋_GB2312" w:cs="仿宋_GB2312" w:eastAsia="仿宋_GB2312"/>
              </w:rPr>
              <w:t>产品技术参数响应表,服务应答表,报价表,项目实施方案</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详见附件：项目实施方案</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