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08674D">
      <w:pPr>
        <w:adjustRightInd w:val="0"/>
        <w:snapToGrid w:val="0"/>
        <w:spacing w:after="156" w:afterLines="50" w:line="360" w:lineRule="auto"/>
        <w:jc w:val="center"/>
        <w:outlineLvl w:val="0"/>
        <w:rPr>
          <w:rFonts w:hint="eastAsia" w:ascii="黑体" w:eastAsia="黑体"/>
          <w:b/>
          <w:kern w:val="44"/>
          <w:sz w:val="48"/>
          <w:szCs w:val="20"/>
        </w:rPr>
      </w:pPr>
      <w:r>
        <w:rPr>
          <w:rFonts w:hint="eastAsia" w:ascii="宋体" w:hAnsi="宋体"/>
          <w:b/>
          <w:sz w:val="30"/>
          <w:szCs w:val="30"/>
        </w:rPr>
        <w:t>采购需求</w:t>
      </w:r>
    </w:p>
    <w:p w14:paraId="691416F7">
      <w:pPr>
        <w:adjustRightInd w:val="0"/>
        <w:snapToGrid w:val="0"/>
        <w:spacing w:before="156" w:beforeLines="50" w:after="156" w:afterLines="50" w:line="360" w:lineRule="auto"/>
        <w:jc w:val="center"/>
        <w:rPr>
          <w:rFonts w:hint="eastAsia" w:ascii="宋体" w:hAnsi="宋体"/>
          <w:b/>
          <w:sz w:val="24"/>
        </w:rPr>
      </w:pPr>
    </w:p>
    <w:p w14:paraId="4A6409CD">
      <w:pPr>
        <w:adjustRightInd w:val="0"/>
        <w:snapToGrid w:val="0"/>
        <w:spacing w:before="156" w:beforeLines="50" w:after="156" w:afterLines="50" w:line="360" w:lineRule="auto"/>
        <w:jc w:val="center"/>
        <w:rPr>
          <w:rFonts w:hint="eastAsia" w:ascii="宋体" w:hAnsi="宋体"/>
          <w:b/>
          <w:sz w:val="28"/>
          <w:szCs w:val="28"/>
        </w:rPr>
      </w:pPr>
      <w:r>
        <w:rPr>
          <w:rFonts w:hint="eastAsia" w:ascii="宋体" w:hAnsi="宋体"/>
          <w:b/>
          <w:sz w:val="28"/>
          <w:szCs w:val="28"/>
        </w:rPr>
        <w:t>货物需求一览表</w:t>
      </w:r>
    </w:p>
    <w:p w14:paraId="26709A1A">
      <w:pPr>
        <w:rPr>
          <w:rFonts w:hint="eastAsia"/>
        </w:rPr>
      </w:pPr>
    </w:p>
    <w:tbl>
      <w:tblPr>
        <w:tblStyle w:val="5"/>
        <w:tblW w:w="86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072"/>
        <w:gridCol w:w="3737"/>
        <w:gridCol w:w="1784"/>
        <w:gridCol w:w="2078"/>
      </w:tblGrid>
      <w:tr w14:paraId="68129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73" w:hRule="atLeast"/>
          <w:jc w:val="center"/>
        </w:trPr>
        <w:tc>
          <w:tcPr>
            <w:tcW w:w="1072" w:type="dxa"/>
            <w:noWrap w:val="0"/>
            <w:vAlign w:val="center"/>
          </w:tcPr>
          <w:p w14:paraId="64641978">
            <w:pPr>
              <w:jc w:val="center"/>
              <w:rPr>
                <w:rFonts w:ascii="宋体" w:hAnsi="Bookman Old Style"/>
                <w:sz w:val="24"/>
              </w:rPr>
            </w:pPr>
            <w:r>
              <w:rPr>
                <w:rFonts w:hint="eastAsia" w:ascii="宋体" w:hAnsi="Bookman Old Style"/>
                <w:sz w:val="24"/>
              </w:rPr>
              <w:t>包号</w:t>
            </w:r>
          </w:p>
        </w:tc>
        <w:tc>
          <w:tcPr>
            <w:tcW w:w="3737" w:type="dxa"/>
            <w:noWrap w:val="0"/>
            <w:vAlign w:val="center"/>
          </w:tcPr>
          <w:p w14:paraId="2B129E96">
            <w:pPr>
              <w:jc w:val="center"/>
              <w:rPr>
                <w:rFonts w:ascii="宋体" w:hAnsi="Bookman Old Style"/>
                <w:sz w:val="24"/>
              </w:rPr>
            </w:pPr>
            <w:r>
              <w:rPr>
                <w:rFonts w:hint="eastAsia" w:ascii="宋体" w:hAnsi="Bookman Old Style"/>
                <w:sz w:val="24"/>
              </w:rPr>
              <w:t>货物名称</w:t>
            </w:r>
          </w:p>
        </w:tc>
        <w:tc>
          <w:tcPr>
            <w:tcW w:w="1784" w:type="dxa"/>
            <w:noWrap w:val="0"/>
            <w:vAlign w:val="center"/>
          </w:tcPr>
          <w:p w14:paraId="3F4C0911">
            <w:pPr>
              <w:jc w:val="center"/>
              <w:rPr>
                <w:rFonts w:ascii="宋体" w:hAnsi="Bookman Old Style"/>
                <w:sz w:val="24"/>
              </w:rPr>
            </w:pPr>
            <w:r>
              <w:rPr>
                <w:rFonts w:hint="eastAsia" w:ascii="宋体" w:hAnsi="Bookman Old Style"/>
                <w:sz w:val="24"/>
              </w:rPr>
              <w:t>数量</w:t>
            </w:r>
          </w:p>
        </w:tc>
        <w:tc>
          <w:tcPr>
            <w:tcW w:w="2078" w:type="dxa"/>
            <w:noWrap w:val="0"/>
            <w:vAlign w:val="center"/>
          </w:tcPr>
          <w:p w14:paraId="00C7E81F">
            <w:pPr>
              <w:jc w:val="center"/>
              <w:rPr>
                <w:rFonts w:ascii="宋体" w:hAnsi="Bookman Old Style"/>
                <w:sz w:val="24"/>
              </w:rPr>
            </w:pPr>
            <w:r>
              <w:rPr>
                <w:rFonts w:hint="eastAsia" w:ascii="宋体" w:hAnsi="Bookman Old Style"/>
                <w:sz w:val="24"/>
              </w:rPr>
              <w:t>是否接受进口</w:t>
            </w:r>
          </w:p>
        </w:tc>
      </w:tr>
      <w:tr w14:paraId="55450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072" w:type="dxa"/>
            <w:noWrap w:val="0"/>
            <w:vAlign w:val="center"/>
          </w:tcPr>
          <w:p w14:paraId="423F21B0">
            <w:pPr>
              <w:jc w:val="center"/>
              <w:rPr>
                <w:rFonts w:hint="eastAsia" w:ascii="宋体"/>
                <w:sz w:val="24"/>
              </w:rPr>
            </w:pPr>
            <w:r>
              <w:rPr>
                <w:rFonts w:hint="eastAsia" w:ascii="宋体"/>
                <w:sz w:val="24"/>
              </w:rPr>
              <w:t>1</w:t>
            </w:r>
          </w:p>
        </w:tc>
        <w:tc>
          <w:tcPr>
            <w:tcW w:w="3737" w:type="dxa"/>
            <w:noWrap w:val="0"/>
            <w:vAlign w:val="center"/>
          </w:tcPr>
          <w:p w14:paraId="3F4463CA">
            <w:pPr>
              <w:jc w:val="center"/>
              <w:rPr>
                <w:rFonts w:hint="eastAsia" w:ascii="Bookman Old Style" w:hAnsi="Bookman Old Style"/>
                <w:sz w:val="24"/>
              </w:rPr>
            </w:pPr>
            <w:r>
              <w:rPr>
                <w:rFonts w:hint="eastAsia" w:ascii="宋体" w:hAnsi="宋体" w:cs="宋体"/>
                <w:sz w:val="24"/>
              </w:rPr>
              <w:t>虚拟现实场景构建工具</w:t>
            </w:r>
          </w:p>
        </w:tc>
        <w:tc>
          <w:tcPr>
            <w:tcW w:w="1784" w:type="dxa"/>
            <w:noWrap w:val="0"/>
            <w:vAlign w:val="center"/>
          </w:tcPr>
          <w:p w14:paraId="54725C64">
            <w:pPr>
              <w:jc w:val="center"/>
              <w:rPr>
                <w:rFonts w:ascii="宋体" w:hAnsi="Bookman Old Style"/>
                <w:sz w:val="24"/>
              </w:rPr>
            </w:pPr>
            <w:r>
              <w:rPr>
                <w:rFonts w:hint="eastAsia" w:ascii="宋体" w:hAnsi="宋体" w:cs="宋体"/>
                <w:sz w:val="24"/>
              </w:rPr>
              <w:t>1套</w:t>
            </w:r>
          </w:p>
        </w:tc>
        <w:tc>
          <w:tcPr>
            <w:tcW w:w="2078" w:type="dxa"/>
            <w:noWrap w:val="0"/>
            <w:vAlign w:val="center"/>
          </w:tcPr>
          <w:p w14:paraId="49E3223A">
            <w:pPr>
              <w:jc w:val="center"/>
              <w:rPr>
                <w:rFonts w:hint="eastAsia" w:ascii="宋体" w:hAnsi="Bookman Old Style"/>
                <w:sz w:val="24"/>
              </w:rPr>
            </w:pPr>
            <w:r>
              <w:rPr>
                <w:rFonts w:hint="eastAsia" w:ascii="宋体" w:hAnsi="Bookman Old Style"/>
                <w:sz w:val="24"/>
              </w:rPr>
              <w:t>否</w:t>
            </w:r>
          </w:p>
        </w:tc>
      </w:tr>
    </w:tbl>
    <w:p w14:paraId="64B79391">
      <w:pPr>
        <w:adjustRightInd w:val="0"/>
        <w:snapToGrid w:val="0"/>
        <w:jc w:val="center"/>
        <w:rPr>
          <w:rFonts w:hint="eastAsia" w:ascii="宋体" w:hAnsi="宋体"/>
          <w:b/>
          <w:sz w:val="30"/>
          <w:szCs w:val="30"/>
        </w:rPr>
      </w:pPr>
    </w:p>
    <w:p w14:paraId="3B1FCA33">
      <w:pPr>
        <w:adjustRightInd w:val="0"/>
        <w:snapToGrid w:val="0"/>
        <w:jc w:val="center"/>
        <w:rPr>
          <w:rFonts w:hint="eastAsia" w:ascii="宋体" w:hAnsi="宋体"/>
          <w:b/>
          <w:sz w:val="30"/>
          <w:szCs w:val="30"/>
        </w:rPr>
      </w:pPr>
    </w:p>
    <w:p w14:paraId="320898FE">
      <w:pPr>
        <w:spacing w:line="360" w:lineRule="auto"/>
        <w:rPr>
          <w:rFonts w:hint="eastAsia"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03F23ED3">
      <w:pPr>
        <w:adjustRightInd w:val="0"/>
        <w:snapToGrid w:val="0"/>
        <w:spacing w:before="156" w:beforeLines="50" w:after="156" w:afterLines="50" w:line="360" w:lineRule="auto"/>
        <w:jc w:val="center"/>
      </w:pPr>
      <w:r>
        <w:rPr>
          <w:rFonts w:hint="eastAsia"/>
        </w:rPr>
        <w:br w:type="page"/>
      </w:r>
      <w:r>
        <w:rPr>
          <w:rFonts w:hint="eastAsia" w:ascii="宋体" w:hAnsi="宋体"/>
          <w:b/>
          <w:sz w:val="28"/>
          <w:szCs w:val="28"/>
        </w:rPr>
        <w:t>具体要求：</w:t>
      </w:r>
    </w:p>
    <w:p w14:paraId="6090A9F8">
      <w:pPr>
        <w:jc w:val="center"/>
        <w:rPr>
          <w:b/>
          <w:sz w:val="24"/>
        </w:rPr>
      </w:pPr>
      <w:r>
        <w:rPr>
          <w:rFonts w:hint="eastAsia"/>
          <w:b/>
          <w:sz w:val="24"/>
        </w:rPr>
        <w:t>设备名称：虚拟现实场景构建工具</w:t>
      </w:r>
    </w:p>
    <w:p w14:paraId="234FCF00"/>
    <w:p w14:paraId="4F799254">
      <w:pPr>
        <w:outlineLvl w:val="0"/>
        <w:rPr>
          <w:sz w:val="28"/>
          <w:szCs w:val="28"/>
        </w:rPr>
      </w:pPr>
      <w:r>
        <w:rPr>
          <w:rFonts w:hint="eastAsia"/>
          <w:b/>
          <w:bCs/>
          <w:sz w:val="28"/>
          <w:szCs w:val="28"/>
        </w:rPr>
        <w:t>（一）技术要求</w:t>
      </w:r>
    </w:p>
    <w:p w14:paraId="30C01B83">
      <w:pPr>
        <w:keepNext/>
        <w:keepLines/>
        <w:autoSpaceDE w:val="0"/>
        <w:autoSpaceDN w:val="0"/>
        <w:spacing w:line="360" w:lineRule="auto"/>
        <w:jc w:val="left"/>
        <w:outlineLvl w:val="0"/>
        <w:rPr>
          <w:rFonts w:ascii="宋体" w:hAnsi="宋体" w:cs="宋体"/>
          <w:b/>
          <w:kern w:val="44"/>
          <w:sz w:val="24"/>
        </w:rPr>
      </w:pPr>
      <w:r>
        <w:rPr>
          <w:rFonts w:hint="eastAsia" w:ascii="宋体" w:hAnsi="宋体" w:cs="宋体"/>
          <w:b/>
          <w:kern w:val="44"/>
          <w:sz w:val="24"/>
        </w:rPr>
        <w:t>1、设备用途说明：</w:t>
      </w:r>
    </w:p>
    <w:p w14:paraId="429ED695">
      <w:pPr>
        <w:spacing w:line="360" w:lineRule="auto"/>
        <w:ind w:firstLine="480" w:firstLineChars="200"/>
        <w:contextualSpacing/>
        <w:rPr>
          <w:rFonts w:hint="eastAsia"/>
          <w:kern w:val="0"/>
          <w:sz w:val="28"/>
          <w:szCs w:val="28"/>
        </w:rPr>
      </w:pPr>
      <w:r>
        <w:rPr>
          <w:rFonts w:hint="eastAsia" w:ascii="宋体" w:hAnsi="宋体"/>
          <w:kern w:val="0"/>
          <w:sz w:val="24"/>
        </w:rPr>
        <w:t>虚拟现实场景构建工具主要用于加载和渲染月球高程和影像数等探测数据，实现全月真实环境数据的接入和可视化，构建全月数字基础环境，并结合任务联合仿真过程，进行虚拟任务场景的交互式内容编辑和可视化展示。虚拟现实场景构建工具基于真实遥测数据构建的虚拟任务场景，通过接入实做模型，实现虚实融合任务场景构建，提供虚实融合任务场景构建能力和月面应用任务场景管理能力，支持月面任务联合仿真等应用场景。</w:t>
      </w:r>
    </w:p>
    <w:p w14:paraId="3CC25941">
      <w:pPr>
        <w:keepNext/>
        <w:keepLines/>
        <w:autoSpaceDE w:val="0"/>
        <w:autoSpaceDN w:val="0"/>
        <w:spacing w:line="360" w:lineRule="auto"/>
        <w:jc w:val="left"/>
        <w:outlineLvl w:val="0"/>
        <w:rPr>
          <w:rFonts w:ascii="宋体" w:hAnsi="宋体" w:cs="仿宋_GB2312"/>
          <w:b/>
          <w:kern w:val="0"/>
          <w:sz w:val="24"/>
        </w:rPr>
      </w:pPr>
      <w:r>
        <w:rPr>
          <w:rFonts w:hint="eastAsia" w:ascii="宋体" w:hAnsi="宋体" w:cs="宋体"/>
          <w:b/>
          <w:bCs/>
          <w:kern w:val="44"/>
          <w:sz w:val="24"/>
        </w:rPr>
        <w:t xml:space="preserve">2、技术要求及参数： </w:t>
      </w:r>
    </w:p>
    <w:p w14:paraId="640B94A0">
      <w:pPr>
        <w:keepNext/>
        <w:keepLines/>
        <w:autoSpaceDE w:val="0"/>
        <w:autoSpaceDN w:val="0"/>
        <w:spacing w:before="156" w:beforeLines="50" w:after="156" w:afterLines="50" w:line="360" w:lineRule="auto"/>
        <w:jc w:val="left"/>
        <w:outlineLvl w:val="1"/>
        <w:rPr>
          <w:rFonts w:hint="eastAsia" w:ascii="宋体"/>
          <w:b/>
          <w:bCs/>
          <w:kern w:val="0"/>
          <w:sz w:val="24"/>
          <w:szCs w:val="28"/>
        </w:rPr>
      </w:pPr>
      <w:r>
        <w:rPr>
          <w:rFonts w:hint="eastAsia" w:ascii="宋体"/>
          <w:b/>
          <w:bCs/>
          <w:kern w:val="0"/>
          <w:sz w:val="24"/>
          <w:szCs w:val="28"/>
        </w:rPr>
        <w:t>2.1 主要技术指标</w:t>
      </w:r>
    </w:p>
    <w:p w14:paraId="5CE5CE44">
      <w:pPr>
        <w:spacing w:line="360" w:lineRule="auto"/>
        <w:ind w:firstLine="240" w:firstLineChars="100"/>
        <w:rPr>
          <w:rFonts w:hint="eastAsia" w:ascii="宋体" w:hAnsi="宋体" w:cs="宋体"/>
          <w:sz w:val="24"/>
        </w:rPr>
      </w:pPr>
      <w:r>
        <w:rPr>
          <w:rFonts w:hint="eastAsia" w:ascii="宋体" w:hAnsi="宋体" w:cs="宋体"/>
          <w:sz w:val="24"/>
        </w:rPr>
        <w:t>★（1）支持月面应用任务虚拟场景构建，结合月面实际活动场景构建虚拟任务场景，实现高精度月面地形建模和动态加载，能够实时渲染复杂地形特征；</w:t>
      </w:r>
    </w:p>
    <w:p w14:paraId="7B09D2C2">
      <w:pPr>
        <w:spacing w:line="360" w:lineRule="auto"/>
        <w:ind w:firstLine="240" w:firstLineChars="100"/>
        <w:rPr>
          <w:rFonts w:hint="eastAsia" w:ascii="宋体" w:hAnsi="宋体" w:cs="宋体"/>
          <w:sz w:val="24"/>
        </w:rPr>
      </w:pPr>
      <w:r>
        <w:rPr>
          <w:rFonts w:hint="eastAsia" w:ascii="宋体" w:hAnsi="宋体" w:cs="宋体"/>
          <w:sz w:val="24"/>
        </w:rPr>
        <w:t>★（2）支持交互式内容编辑，提供任务场景的交互编辑界面，支持任务流程编辑、动态场景配置等功能；</w:t>
      </w:r>
    </w:p>
    <w:p w14:paraId="4F1ADB8F">
      <w:pPr>
        <w:spacing w:line="360" w:lineRule="auto"/>
        <w:ind w:firstLine="240" w:firstLineChars="100"/>
        <w:rPr>
          <w:rFonts w:hint="eastAsia" w:ascii="宋体" w:hAnsi="宋体" w:cs="宋体"/>
          <w:sz w:val="24"/>
        </w:rPr>
      </w:pPr>
      <w:r>
        <w:rPr>
          <w:rFonts w:hint="eastAsia" w:ascii="宋体" w:hAnsi="宋体" w:cs="宋体"/>
          <w:sz w:val="24"/>
        </w:rPr>
        <w:t>★（3）支持月面活动操作流程编辑与生成；</w:t>
      </w:r>
    </w:p>
    <w:p w14:paraId="07719345">
      <w:pPr>
        <w:spacing w:line="360" w:lineRule="auto"/>
        <w:ind w:firstLine="240" w:firstLineChars="100"/>
        <w:rPr>
          <w:rFonts w:hint="eastAsia" w:ascii="宋体" w:hAnsi="宋体" w:cs="宋体"/>
          <w:sz w:val="24"/>
        </w:rPr>
      </w:pPr>
      <w:r>
        <w:rPr>
          <w:rFonts w:hint="eastAsia" w:ascii="宋体" w:hAnsi="宋体" w:cs="宋体"/>
          <w:sz w:val="24"/>
        </w:rPr>
        <w:t>★（4）支持仿真及在轨数据的同步接入，实现虚实结合的任务仿真场景，基于在轨数据和实做模型，能够进行虚拟任务与真实任务的同步渲染和展示。</w:t>
      </w:r>
    </w:p>
    <w:p w14:paraId="45D70E16">
      <w:pPr>
        <w:keepNext/>
        <w:keepLines/>
        <w:autoSpaceDE w:val="0"/>
        <w:autoSpaceDN w:val="0"/>
        <w:spacing w:before="156" w:beforeLines="50" w:after="156" w:afterLines="50" w:line="360" w:lineRule="auto"/>
        <w:jc w:val="left"/>
        <w:outlineLvl w:val="1"/>
        <w:rPr>
          <w:rFonts w:hint="eastAsia" w:ascii="宋体"/>
          <w:b/>
          <w:bCs/>
          <w:kern w:val="0"/>
          <w:sz w:val="24"/>
          <w:szCs w:val="28"/>
        </w:rPr>
      </w:pPr>
      <w:r>
        <w:rPr>
          <w:rFonts w:hint="eastAsia" w:ascii="宋体"/>
          <w:b/>
          <w:bCs/>
          <w:kern w:val="0"/>
          <w:sz w:val="24"/>
          <w:szCs w:val="28"/>
        </w:rPr>
        <w:t>2.2 基础仿真管理模块</w:t>
      </w:r>
    </w:p>
    <w:p w14:paraId="0A88BF69">
      <w:pPr>
        <w:spacing w:line="360" w:lineRule="auto"/>
        <w:ind w:firstLine="480" w:firstLineChars="200"/>
        <w:rPr>
          <w:rFonts w:hint="eastAsia" w:ascii="宋体" w:hAnsi="宋体" w:cs="宋体"/>
          <w:sz w:val="24"/>
        </w:rPr>
      </w:pPr>
      <w:r>
        <w:rPr>
          <w:rFonts w:hint="eastAsia" w:ascii="宋体" w:hAnsi="宋体" w:cs="宋体"/>
          <w:sz w:val="24"/>
        </w:rPr>
        <w:t>（1）支持实做模型能够参数化兼容导入，模型导入后能够完美的保留和显示完整结构树，支持便捷导入CAD模型相关点、线、面等精确尺寸信息。</w:t>
      </w:r>
    </w:p>
    <w:p w14:paraId="12D2E26E">
      <w:pPr>
        <w:spacing w:line="360" w:lineRule="auto"/>
        <w:ind w:firstLine="480" w:firstLineChars="200"/>
        <w:rPr>
          <w:rFonts w:hint="eastAsia" w:ascii="宋体" w:hAnsi="宋体" w:cs="宋体"/>
          <w:sz w:val="24"/>
        </w:rPr>
      </w:pPr>
      <w:r>
        <w:rPr>
          <w:rFonts w:hint="eastAsia" w:ascii="宋体" w:hAnsi="宋体" w:cs="宋体"/>
          <w:sz w:val="24"/>
        </w:rPr>
        <w:t>（2）支持直接读取Catia、SolidWorks、Proe/Creo、UG主流CAD三维软件模型格式直接导入，无需格式转化，支持20亿三角形面数三维模型导入。</w:t>
      </w:r>
    </w:p>
    <w:p w14:paraId="50D8C721">
      <w:pPr>
        <w:spacing w:line="360" w:lineRule="auto"/>
        <w:ind w:firstLine="480" w:firstLineChars="200"/>
        <w:rPr>
          <w:rFonts w:hint="eastAsia" w:ascii="宋体" w:hAnsi="宋体" w:cs="宋体"/>
          <w:sz w:val="24"/>
        </w:rPr>
      </w:pPr>
      <w:r>
        <w:rPr>
          <w:rFonts w:hint="eastAsia" w:ascii="宋体" w:hAnsi="宋体" w:cs="宋体"/>
          <w:sz w:val="24"/>
        </w:rPr>
        <w:t>（3）支持Catia、SolidWorks、Proe/Creo、UG主流的CAD三维软件模型轻量化转换导入，轻量化导入后能够完整保留和显示完整结构树，导入后的模型几何无变形，不失真，保留CAD模型相关点、线、面等精确尺寸信息。</w:t>
      </w:r>
    </w:p>
    <w:p w14:paraId="04D1B00C">
      <w:pPr>
        <w:spacing w:line="360" w:lineRule="auto"/>
        <w:ind w:firstLine="480" w:firstLineChars="200"/>
        <w:rPr>
          <w:rFonts w:hint="eastAsia" w:ascii="宋体" w:hAnsi="宋体" w:cs="宋体"/>
          <w:sz w:val="24"/>
        </w:rPr>
      </w:pPr>
      <w:r>
        <w:rPr>
          <w:rFonts w:hint="eastAsia" w:ascii="宋体" w:hAnsi="宋体" w:cs="宋体"/>
          <w:sz w:val="24"/>
        </w:rPr>
        <w:t>（4）支持导入CAE后处理计算结果，如流线、流管、切片、等值面等，导入后的仿真数据完整、不丢失，并可在场景中进行查询。</w:t>
      </w:r>
    </w:p>
    <w:p w14:paraId="5A5A6118">
      <w:pPr>
        <w:spacing w:line="360" w:lineRule="auto"/>
        <w:ind w:firstLine="480" w:firstLineChars="200"/>
        <w:rPr>
          <w:rFonts w:hint="eastAsia" w:ascii="宋体" w:hAnsi="宋体" w:cs="宋体"/>
          <w:sz w:val="24"/>
        </w:rPr>
      </w:pPr>
      <w:r>
        <w:rPr>
          <w:rFonts w:hint="eastAsia" w:ascii="宋体" w:hAnsi="宋体" w:cs="宋体"/>
          <w:sz w:val="24"/>
        </w:rPr>
        <w:t>（5）支持文件内容管理、项目管理、工况管理、状态管理、视图操作、属性管理、灯光管理、结构树管理、选择、帮助等基础功能。</w:t>
      </w:r>
    </w:p>
    <w:p w14:paraId="4F535F73">
      <w:pPr>
        <w:spacing w:line="360" w:lineRule="auto"/>
        <w:ind w:firstLine="480" w:firstLineChars="200"/>
        <w:rPr>
          <w:rFonts w:hint="eastAsia" w:ascii="宋体" w:hAnsi="宋体" w:cs="宋体"/>
          <w:sz w:val="24"/>
        </w:rPr>
      </w:pPr>
      <w:r>
        <w:rPr>
          <w:rFonts w:hint="eastAsia" w:ascii="宋体" w:hAnsi="宋体" w:cs="宋体"/>
          <w:sz w:val="24"/>
        </w:rPr>
        <w:t>（6）提供三维场景的可视化窗口，窗口支持实时呈现，支持默认视图、左视图、右视图、前视图、后视图、俯视图、仰视图和摄像机视图等多种视图；支持同时存在多个视图，也支持任一视图的全屏显示。</w:t>
      </w:r>
    </w:p>
    <w:p w14:paraId="1EE137DA">
      <w:pPr>
        <w:keepNext/>
        <w:keepLines/>
        <w:autoSpaceDE w:val="0"/>
        <w:autoSpaceDN w:val="0"/>
        <w:spacing w:before="156" w:beforeLines="50" w:after="156" w:afterLines="50" w:line="360" w:lineRule="auto"/>
        <w:jc w:val="left"/>
        <w:outlineLvl w:val="1"/>
        <w:rPr>
          <w:rFonts w:hint="eastAsia" w:ascii="宋体"/>
          <w:b/>
          <w:bCs/>
          <w:kern w:val="0"/>
          <w:sz w:val="24"/>
          <w:szCs w:val="28"/>
        </w:rPr>
      </w:pPr>
      <w:r>
        <w:rPr>
          <w:rFonts w:hint="eastAsia" w:ascii="宋体"/>
          <w:b/>
          <w:bCs/>
          <w:kern w:val="0"/>
          <w:sz w:val="24"/>
          <w:szCs w:val="28"/>
        </w:rPr>
        <w:t>2.3 物理引擎仿真模块</w:t>
      </w:r>
    </w:p>
    <w:p w14:paraId="1206AAE3">
      <w:pPr>
        <w:spacing w:line="360" w:lineRule="auto"/>
        <w:ind w:firstLine="480" w:firstLineChars="200"/>
        <w:rPr>
          <w:rFonts w:hint="eastAsia" w:ascii="宋体" w:hAnsi="宋体" w:cs="宋体"/>
          <w:sz w:val="24"/>
        </w:rPr>
      </w:pPr>
      <w:r>
        <w:rPr>
          <w:rFonts w:hint="eastAsia" w:ascii="宋体" w:hAnsi="宋体" w:cs="宋体"/>
          <w:sz w:val="24"/>
        </w:rPr>
        <w:t>（1）软件提供物理基础仿真设置：支持重力加速度、交互移动控制力、阻尼系数设置。</w:t>
      </w:r>
    </w:p>
    <w:p w14:paraId="4E73F5B9">
      <w:pPr>
        <w:spacing w:line="360" w:lineRule="auto"/>
        <w:ind w:firstLine="480" w:firstLineChars="200"/>
        <w:rPr>
          <w:rFonts w:hint="eastAsia" w:ascii="宋体" w:hAnsi="宋体" w:cs="宋体"/>
          <w:sz w:val="24"/>
        </w:rPr>
      </w:pPr>
      <w:r>
        <w:rPr>
          <w:rFonts w:hint="eastAsia" w:ascii="宋体" w:hAnsi="宋体" w:cs="宋体"/>
          <w:sz w:val="24"/>
        </w:rPr>
        <w:t>（2）提供刚体编辑：支持静态刚体、动力学刚体、运动学刚体、移除刚体、碰撞监听。</w:t>
      </w:r>
    </w:p>
    <w:p w14:paraId="27177821">
      <w:pPr>
        <w:spacing w:line="360" w:lineRule="auto"/>
        <w:ind w:firstLine="480" w:firstLineChars="200"/>
        <w:rPr>
          <w:rFonts w:hint="eastAsia" w:ascii="宋体" w:hAnsi="宋体" w:cs="宋体"/>
          <w:sz w:val="24"/>
        </w:rPr>
      </w:pPr>
      <w:r>
        <w:rPr>
          <w:rFonts w:hint="eastAsia" w:ascii="宋体" w:hAnsi="宋体" w:cs="宋体"/>
          <w:sz w:val="24"/>
        </w:rPr>
        <w:t>（3）件提供刚体材料功能：支持摩擦、粗糙度、粘附力、粘附重叠、表面粘度系数、密度、杨氏模量、体积粘度系数、阻尼。</w:t>
      </w:r>
    </w:p>
    <w:p w14:paraId="3C6B6FA1">
      <w:pPr>
        <w:spacing w:line="360" w:lineRule="auto"/>
        <w:ind w:firstLine="480" w:firstLineChars="200"/>
        <w:rPr>
          <w:rFonts w:hint="eastAsia" w:ascii="宋体" w:hAnsi="宋体" w:cs="宋体"/>
          <w:sz w:val="24"/>
        </w:rPr>
      </w:pPr>
      <w:r>
        <w:rPr>
          <w:rFonts w:hint="eastAsia" w:ascii="宋体" w:hAnsi="宋体" w:cs="宋体"/>
          <w:sz w:val="24"/>
        </w:rPr>
        <w:t>（4）软件提供接触材料功能：支持摩擦模型、求解器类型、接触缩减模式、恢复系数、主摩擦系数、次摩擦系数、主面粘度系数、次面粘度系数、杨氏模量、阻尼、粘附力、粘附重叠、区域接触、弹性域长度。</w:t>
      </w:r>
    </w:p>
    <w:p w14:paraId="7660A6FC">
      <w:pPr>
        <w:spacing w:line="360" w:lineRule="auto"/>
        <w:ind w:firstLine="480" w:firstLineChars="200"/>
        <w:rPr>
          <w:rFonts w:hint="eastAsia" w:ascii="宋体" w:hAnsi="宋体" w:cs="宋体"/>
          <w:sz w:val="24"/>
        </w:rPr>
      </w:pPr>
      <w:r>
        <w:rPr>
          <w:rFonts w:hint="eastAsia" w:ascii="宋体" w:hAnsi="宋体" w:cs="宋体"/>
          <w:sz w:val="24"/>
        </w:rPr>
        <w:t>（5）软件提供约束编辑功能：支持约束力，支持约束时间，支持约束交互类型，支持约束对齐，支持旋转副、平面副、平移副、旋转固定副、球铰副、万向节、圆柱铰、固定副等约束类型。</w:t>
      </w:r>
    </w:p>
    <w:p w14:paraId="33007C78">
      <w:pPr>
        <w:spacing w:line="360" w:lineRule="auto"/>
        <w:ind w:firstLine="480" w:firstLineChars="200"/>
        <w:rPr>
          <w:rFonts w:hint="eastAsia" w:ascii="宋体" w:hAnsi="宋体" w:cs="宋体"/>
          <w:sz w:val="24"/>
        </w:rPr>
      </w:pPr>
      <w:r>
        <w:rPr>
          <w:rFonts w:hint="eastAsia" w:ascii="宋体" w:hAnsi="宋体" w:cs="宋体"/>
          <w:sz w:val="24"/>
        </w:rPr>
        <w:t>（6）软件提供刚体仿真分析：支持仿真结果分析显示、碰撞干涉检查、刚体碰撞组、刚体运动包络。</w:t>
      </w:r>
    </w:p>
    <w:p w14:paraId="456430E0">
      <w:pPr>
        <w:spacing w:line="360" w:lineRule="auto"/>
        <w:ind w:firstLine="480" w:firstLineChars="200"/>
        <w:rPr>
          <w:rFonts w:hint="eastAsia" w:ascii="宋体" w:hAnsi="宋体" w:cs="宋体"/>
          <w:sz w:val="24"/>
        </w:rPr>
      </w:pPr>
      <w:r>
        <w:rPr>
          <w:rFonts w:hint="eastAsia" w:ascii="宋体" w:hAnsi="宋体" w:cs="宋体"/>
          <w:sz w:val="24"/>
        </w:rPr>
        <w:t>（7）软件提供创建运动机构仿真功能，支持连杆运动、活塞运动、齿轮传动等运动机构仿真。</w:t>
      </w:r>
    </w:p>
    <w:p w14:paraId="3C699C5C">
      <w:pPr>
        <w:keepNext/>
        <w:keepLines/>
        <w:autoSpaceDE w:val="0"/>
        <w:autoSpaceDN w:val="0"/>
        <w:spacing w:before="156" w:beforeLines="50" w:after="156" w:afterLines="50" w:line="360" w:lineRule="auto"/>
        <w:jc w:val="left"/>
        <w:outlineLvl w:val="1"/>
        <w:rPr>
          <w:rFonts w:hint="eastAsia" w:ascii="宋体"/>
          <w:b/>
          <w:bCs/>
          <w:kern w:val="0"/>
          <w:sz w:val="24"/>
          <w:szCs w:val="28"/>
        </w:rPr>
      </w:pPr>
      <w:r>
        <w:rPr>
          <w:rFonts w:hint="eastAsia" w:ascii="宋体"/>
          <w:b/>
          <w:bCs/>
          <w:kern w:val="0"/>
          <w:sz w:val="24"/>
          <w:szCs w:val="28"/>
        </w:rPr>
        <w:t>2.4 可视化脚本模块</w:t>
      </w:r>
    </w:p>
    <w:p w14:paraId="7C0DFB24">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（1）支持交互式内容编辑，提供任务场景的交互编辑界面，支持任务流程编辑、动态场景配置等功能。</w:t>
      </w:r>
    </w:p>
    <w:p w14:paraId="5A498FB0">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（2）支持实际遥测数据的引入，实现虚实结合的任务仿真场景，基于实测数据和实做模型，能够进行虚拟任务与真实任务的同步渲染和展示。</w:t>
      </w:r>
    </w:p>
    <w:p w14:paraId="3454AF7E">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（3）支持使用可视化脚本创建工况、对象及行为逻辑，修改用户界面，调整输入控制等。支持使用节点、拖拽式调用以上内容，完成行为触发、逻辑控制等内容制作。</w:t>
      </w:r>
    </w:p>
    <w:p w14:paraId="186C0AF9">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（4）支持自定义UI界面编辑，可以通过通用控件、输入控件、面板控件、图片控件、文本控件、选项卡控件、曲线控件等完成用户自定义UI设计。支持自定义UI界面功能：</w:t>
      </w:r>
    </w:p>
    <w:p w14:paraId="0756096C">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（5）软件提供常见VR交互组件库：支持吸附、拖拽、注视、抓取、圆盘菜单、自定义VR菜单、自定义三维标签、选中高亮提示、附加菜单、第三视角交互等交互组件，快速创建多种交互方式。</w:t>
      </w:r>
    </w:p>
    <w:p w14:paraId="1C35F454">
      <w:pPr>
        <w:keepNext/>
        <w:keepLines/>
        <w:autoSpaceDE w:val="0"/>
        <w:autoSpaceDN w:val="0"/>
        <w:spacing w:before="156" w:beforeLines="50" w:after="156" w:afterLines="50" w:line="360" w:lineRule="auto"/>
        <w:jc w:val="left"/>
        <w:outlineLvl w:val="1"/>
        <w:rPr>
          <w:rFonts w:hint="eastAsia" w:ascii="宋体"/>
          <w:b/>
          <w:bCs/>
          <w:kern w:val="0"/>
          <w:sz w:val="24"/>
          <w:szCs w:val="28"/>
        </w:rPr>
      </w:pPr>
      <w:r>
        <w:rPr>
          <w:rFonts w:hint="eastAsia" w:ascii="宋体"/>
          <w:b/>
          <w:bCs/>
          <w:kern w:val="0"/>
          <w:sz w:val="24"/>
          <w:szCs w:val="28"/>
        </w:rPr>
        <w:t>2.5 月面虚拟场景编辑模块</w:t>
      </w:r>
    </w:p>
    <w:p w14:paraId="15FBBE09">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（1）支持月面应用任务虚拟场景构建，结合月面实际活动场景构建虚拟任务场景，实现高精度月面地形建模和动态加载，能够实时渲染复杂地形特征。</w:t>
      </w:r>
    </w:p>
    <w:p w14:paraId="24F47447">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（2）支持从典型月表</w:t>
      </w:r>
      <w:bookmarkStart w:id="2" w:name="_GoBack"/>
      <w:bookmarkEnd w:id="2"/>
      <w:r>
        <w:rPr>
          <w:rFonts w:hint="eastAsia" w:ascii="宋体" w:hAnsi="宋体" w:cs="宋体"/>
          <w:kern w:val="0"/>
          <w:sz w:val="24"/>
        </w:rPr>
        <w:t>环境生成工具中导入模拟地形，对任务环境进行可视化渲染和展示，支持任务联合仿真应用。</w:t>
      </w:r>
    </w:p>
    <w:p w14:paraId="39D9F861">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（3）支持对模型场景进行编辑，方便的创建和修改仿真场景，支持对三维模型或三维场景的位置和形状编辑。</w:t>
      </w:r>
    </w:p>
    <w:p w14:paraId="6AA6A1E4">
      <w:pPr>
        <w:adjustRightInd w:val="0"/>
        <w:spacing w:line="360" w:lineRule="auto"/>
        <w:ind w:firstLine="480" w:firstLineChars="200"/>
        <w:contextualSpacing/>
        <w:rPr>
          <w:rFonts w:ascii="宋体" w:hAnsi="宋体" w:cs="宋体"/>
          <w:kern w:val="0"/>
          <w:sz w:val="24"/>
        </w:rPr>
      </w:pPr>
      <w:r>
        <w:rPr>
          <w:rFonts w:hint="eastAsia" w:ascii="宋体" w:hAnsi="宋体" w:cs="宋体"/>
          <w:kern w:val="0"/>
          <w:sz w:val="24"/>
        </w:rPr>
        <w:t>（4）支持高动态范围光照渲染。基于真实星历模型，模拟太阳直射、散射、反射等复杂光照条件，实现月昼、月夜、日出日落的光照效果模拟，以及月球天际线、地球升起等效果模拟。</w:t>
      </w:r>
    </w:p>
    <w:p w14:paraId="59F00846">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（5）支持极端光照条件渲染。可在太阳低角入射、反射率低的月夜环境下保持细节可见性。</w:t>
      </w:r>
    </w:p>
    <w:p w14:paraId="4C6D4A35">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（6）支持实时阴影遮挡计算。在地形起伏、设备运动等场景中实时计算多光源阴影，支持半影模糊与阴影过渡。</w:t>
      </w:r>
    </w:p>
    <w:p w14:paraId="118C7A34">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（7）支持金属与复合材料反射特性渲染。对月面设备采用基于物理的渲染模型，模拟金属反射、磨损、积尘等表面变化。</w:t>
      </w:r>
    </w:p>
    <w:p w14:paraId="1616166C">
      <w:pPr>
        <w:keepNext/>
        <w:keepLines/>
        <w:autoSpaceDE w:val="0"/>
        <w:autoSpaceDN w:val="0"/>
        <w:spacing w:before="156" w:beforeLines="50" w:after="156" w:afterLines="50" w:line="360" w:lineRule="auto"/>
        <w:jc w:val="left"/>
        <w:outlineLvl w:val="1"/>
        <w:rPr>
          <w:rFonts w:hint="eastAsia" w:ascii="宋体"/>
          <w:b/>
          <w:bCs/>
          <w:kern w:val="0"/>
          <w:sz w:val="24"/>
          <w:szCs w:val="28"/>
        </w:rPr>
      </w:pPr>
      <w:bookmarkStart w:id="0" w:name="_Hlk181200647"/>
      <w:r>
        <w:rPr>
          <w:rFonts w:hint="eastAsia" w:ascii="宋体"/>
          <w:b/>
          <w:bCs/>
          <w:kern w:val="0"/>
          <w:sz w:val="24"/>
          <w:szCs w:val="28"/>
        </w:rPr>
        <w:t>2.6 月面活动流程动画编辑模块</w:t>
      </w:r>
    </w:p>
    <w:p w14:paraId="3F125E49">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（1）支持月面任务动画编辑，可进行月面任务执行过程的动画编辑，支持任务场景动画的实时编辑和播放控制。</w:t>
      </w:r>
    </w:p>
    <w:p w14:paraId="02CDBA04">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（2）能够提供动画编辑器，支持多轨道编辑器创建项目中的动画序列，支持轨道添加与删除，支持模型、音频、事件、相机剪切、镜头、时间膨胀、工况可视性、材质参数等序列动画轨道编辑。</w:t>
      </w:r>
    </w:p>
    <w:p w14:paraId="369D02E7">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（3）支持动画序列关键帧插值，能够指定动画单元初始和结尾状态的姿态和位置，以及两者之间的时间参数，通过运动姿态插值生成流程动画。</w:t>
      </w:r>
    </w:p>
    <w:p w14:paraId="7C693780">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（4）支持定义动画序列相关参数，主要包括各活动之间的时序关系和逻辑关系参数，可实现任务触发、任务延迟等功能，支持在演示流程中调用动画序列。</w:t>
      </w:r>
    </w:p>
    <w:bookmarkEnd w:id="0"/>
    <w:p w14:paraId="70E4EB9E">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（5）提供仿真动画播放管理工具条，对仿真播放进行管理控制，包括仿真动画不同速率播放、倒片、暂停等。</w:t>
      </w:r>
    </w:p>
    <w:p w14:paraId="7BE41B8F">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（6）仿真过程通过导出管理可以独立的视频格式输出，并能对输出时间段、输出视频分辨率等参数进行设置。</w:t>
      </w:r>
    </w:p>
    <w:p w14:paraId="538C9502">
      <w:pPr>
        <w:keepNext/>
        <w:keepLines/>
        <w:autoSpaceDE w:val="0"/>
        <w:autoSpaceDN w:val="0"/>
        <w:spacing w:before="156" w:beforeLines="50" w:after="156" w:afterLines="50" w:line="360" w:lineRule="auto"/>
        <w:jc w:val="left"/>
        <w:outlineLvl w:val="1"/>
        <w:rPr>
          <w:rFonts w:hint="eastAsia" w:ascii="宋体"/>
          <w:b/>
          <w:bCs/>
          <w:kern w:val="0"/>
          <w:sz w:val="24"/>
          <w:szCs w:val="28"/>
        </w:rPr>
      </w:pPr>
      <w:r>
        <w:rPr>
          <w:rFonts w:hint="eastAsia" w:ascii="宋体"/>
          <w:b/>
          <w:bCs/>
          <w:kern w:val="0"/>
          <w:sz w:val="24"/>
          <w:szCs w:val="28"/>
        </w:rPr>
        <w:t>2.7 月面任务仿真内容发布模块</w:t>
      </w:r>
    </w:p>
    <w:p w14:paraId="2A5836CA">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（1）可将编辑好的工程文件进行资源整理、场景构建、素材烘焙等操作，然后打包成为一个可独立于编辑环境的交互式内容应用以提供给其他用户使用。</w:t>
      </w:r>
    </w:p>
    <w:p w14:paraId="303FD253">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（2）支持虚拟现实外设接口，支持开源的VRPN函数库及自定义设备，支持多种位置跟踪系统与交互手柄等虚拟现实外设设备，</w:t>
      </w:r>
    </w:p>
    <w:p w14:paraId="1712E331">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（3）支持市场上主流的虚拟现实外设，如数据头盔（HTC VIVE、Oculus quest、Pico、Vajor等）。</w:t>
      </w:r>
    </w:p>
    <w:p w14:paraId="2DB763FE">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（4）支持市场上主流的动作捕捉系统（ART、Xsens、OptiTrack、诺亦腾等）。</w:t>
      </w:r>
    </w:p>
    <w:p w14:paraId="44615676">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（5）可通过动作捕捉系统、数据手套等虚拟现实外设实时驱动软件中的数字人体，实现人体动作同步；通过动作捕捉系统定位物体，实时驱动软件中对应的模型运动，实现模型的运动同步。</w:t>
      </w:r>
    </w:p>
    <w:p w14:paraId="79B9FC4B">
      <w:pPr>
        <w:adjustRightInd w:val="0"/>
        <w:spacing w:line="360" w:lineRule="auto"/>
        <w:ind w:firstLine="480" w:firstLineChars="200"/>
        <w:contextualSpacing/>
        <w:rPr>
          <w:rFonts w:hint="eastAsia" w:ascii="宋体" w:hAnsi="宋体" w:cs="宋体"/>
          <w:kern w:val="0"/>
          <w:sz w:val="24"/>
        </w:rPr>
      </w:pPr>
      <w:bookmarkStart w:id="1" w:name="_Hlk181200678"/>
      <w:r>
        <w:rPr>
          <w:rFonts w:hint="eastAsia" w:ascii="宋体" w:hAnsi="宋体" w:cs="宋体"/>
          <w:kern w:val="0"/>
          <w:sz w:val="24"/>
        </w:rPr>
        <w:t>（6）支持保持真实比例对虚拟现实场景漫游，实现沉浸式环境下使用交互设备进行漫游、标记、测量、场景切换等；支持抓取、行走、飞毯等多种漫游模式。</w:t>
      </w:r>
    </w:p>
    <w:bookmarkEnd w:id="1"/>
    <w:p w14:paraId="27146A77">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（7）支持实时云渲染，支持使用高性能计算机运行程序逻辑并渲染交互式内容，并将渲染内容流送到至轻量级访问设备，用户可在其他电脑和移动设备上远程实时交互可视化程序。</w:t>
      </w:r>
    </w:p>
    <w:p w14:paraId="2F7929A2">
      <w:pPr>
        <w:keepNext/>
        <w:keepLines/>
        <w:autoSpaceDE w:val="0"/>
        <w:autoSpaceDN w:val="0"/>
        <w:spacing w:before="156" w:beforeLines="50" w:after="156" w:afterLines="50" w:line="360" w:lineRule="auto"/>
        <w:jc w:val="left"/>
        <w:outlineLvl w:val="1"/>
        <w:rPr>
          <w:rFonts w:hint="eastAsia" w:ascii="宋体"/>
          <w:b/>
          <w:bCs/>
          <w:kern w:val="0"/>
          <w:sz w:val="24"/>
          <w:szCs w:val="28"/>
        </w:rPr>
      </w:pPr>
      <w:r>
        <w:rPr>
          <w:rFonts w:hint="eastAsia" w:ascii="宋体"/>
          <w:b/>
          <w:bCs/>
          <w:kern w:val="0"/>
          <w:sz w:val="24"/>
          <w:szCs w:val="28"/>
        </w:rPr>
        <w:t>2.8 多通道立体显示模块</w:t>
      </w:r>
    </w:p>
    <w:p w14:paraId="008E68DB">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（1）软件提供交互式立体播放器：支持CADWall、HoloSpace、CAVE、VR头盔交互式立体显示播放，支持多人、多机、多系统协同。支持通过多个图形服务器集群提高分辨率及渲染速度。</w:t>
      </w:r>
    </w:p>
    <w:p w14:paraId="5300DECA">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（2）支持项目工程文件发布后独立于编辑器沉浸式播放，同时支持项目工程无需打包发布即可沉浸式播放，实现交互编辑过程实时CAVE系统预览。</w:t>
      </w:r>
    </w:p>
    <w:p w14:paraId="67E4DC3A">
      <w:pPr>
        <w:adjustRightInd w:val="0"/>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（3）支持单通道立体显示、多通道立体显示，适应不同显示大屏、投影幕布等显示设备。</w:t>
      </w:r>
    </w:p>
    <w:p w14:paraId="02FB32A4">
      <w:pPr>
        <w:adjustRightInd w:val="0"/>
        <w:snapToGrid w:val="0"/>
        <w:spacing w:before="156" w:beforeLines="50" w:after="156" w:afterLines="50" w:line="360" w:lineRule="auto"/>
        <w:jc w:val="center"/>
        <w:rPr>
          <w:rFonts w:hint="eastAsia" w:ascii="宋体"/>
          <w:sz w:val="24"/>
        </w:rPr>
      </w:pPr>
    </w:p>
    <w:p w14:paraId="759255C1">
      <w:pPr>
        <w:pStyle w:val="7"/>
        <w:ind w:firstLine="240" w:firstLineChars="100"/>
        <w:rPr>
          <w:rFonts w:hint="eastAsia" w:ascii="宋体" w:hAnsi="宋体" w:cs="宋体"/>
          <w:sz w:val="24"/>
          <w:szCs w:val="24"/>
        </w:rPr>
      </w:pPr>
    </w:p>
    <w:p w14:paraId="62188FCF">
      <w:pPr>
        <w:pStyle w:val="7"/>
        <w:ind w:firstLine="240" w:firstLineChars="100"/>
        <w:rPr>
          <w:rFonts w:hint="eastAsia"/>
        </w:rPr>
      </w:pPr>
      <w:r>
        <w:rPr>
          <w:rFonts w:hint="eastAsia" w:ascii="宋体" w:hAnsi="宋体" w:cs="宋体"/>
          <w:sz w:val="24"/>
          <w:szCs w:val="24"/>
        </w:rPr>
        <w:br w:type="page"/>
      </w:r>
      <w:r>
        <w:rPr>
          <w:rFonts w:hint="eastAsia"/>
          <w:b/>
          <w:bCs/>
        </w:rPr>
        <w:t>（二）商务要求：</w:t>
      </w:r>
    </w:p>
    <w:p w14:paraId="0BDB2910">
      <w:pPr>
        <w:widowControl/>
        <w:snapToGrid w:val="0"/>
        <w:spacing w:line="360" w:lineRule="auto"/>
        <w:rPr>
          <w:rFonts w:ascii="宋体" w:hAnsi="宋体"/>
          <w:b/>
          <w:sz w:val="24"/>
        </w:rPr>
      </w:pPr>
      <w:r>
        <w:rPr>
          <w:rFonts w:hint="eastAsia" w:ascii="宋体" w:hAnsi="宋体"/>
          <w:b/>
          <w:sz w:val="24"/>
        </w:rPr>
        <w:t>1、</w:t>
      </w:r>
      <w:r>
        <w:rPr>
          <w:rFonts w:ascii="宋体" w:hAnsi="宋体"/>
          <w:b/>
          <w:sz w:val="24"/>
        </w:rPr>
        <w:t>技术服务条款：</w:t>
      </w:r>
    </w:p>
    <w:p w14:paraId="6F865B28">
      <w:pPr>
        <w:widowControl/>
        <w:spacing w:line="480" w:lineRule="auto"/>
        <w:rPr>
          <w:rFonts w:ascii="宋体" w:hAnsi="宋体"/>
          <w:b/>
          <w:bCs/>
          <w:sz w:val="24"/>
        </w:rPr>
      </w:pPr>
      <w:r>
        <w:rPr>
          <w:rFonts w:ascii="宋体" w:hAnsi="宋体"/>
          <w:b/>
          <w:bCs/>
          <w:sz w:val="24"/>
        </w:rPr>
        <w:t>售后服务要求：</w:t>
      </w:r>
    </w:p>
    <w:p w14:paraId="24B18213">
      <w:pPr>
        <w:widowControl/>
        <w:spacing w:line="360" w:lineRule="auto"/>
        <w:rPr>
          <w:rFonts w:hint="eastAsia" w:ascii="宋体" w:hAnsi="宋体"/>
          <w:sz w:val="24"/>
        </w:rPr>
      </w:pPr>
      <w:r>
        <w:rPr>
          <w:rFonts w:hint="eastAsia" w:ascii="宋体" w:hAnsi="宋体"/>
          <w:sz w:val="24"/>
        </w:rPr>
        <w:t>1）供应商应免费提供软件安装、调试与部署服务，并提供现场或远程方式的技术培训。培训内容应覆盖软件系统的安装部署、操作使用、系统配置、常见问题处理等方面，并可根据用户实际业务场景定制培训方案，确保用户熟练掌握软件使用及日常运维管理。供应商应提供7×24小时技术咨询热线服务。如电话或远程支持无法解决问题，须在5个工作日内安排技术人员现场处理；对于重大系统故障，应在2周内完成现场处理或升级修复。</w:t>
      </w:r>
    </w:p>
    <w:p w14:paraId="7133CA2E">
      <w:pPr>
        <w:widowControl/>
        <w:spacing w:line="360" w:lineRule="auto"/>
        <w:rPr>
          <w:rFonts w:hint="eastAsia" w:ascii="宋体" w:hAnsi="宋体"/>
          <w:sz w:val="24"/>
        </w:rPr>
      </w:pPr>
      <w:r>
        <w:rPr>
          <w:rFonts w:hint="eastAsia" w:ascii="宋体" w:hAnsi="宋体"/>
          <w:sz w:val="24"/>
        </w:rPr>
        <w:t>2）供应商应免费提供技术支持热线电话和电子邮件支持服务，确保用户在使用过程中遇到的问题能够及时获得响应与处理。</w:t>
      </w:r>
    </w:p>
    <w:p w14:paraId="31989D2B">
      <w:pPr>
        <w:widowControl/>
        <w:spacing w:line="360" w:lineRule="auto"/>
        <w:rPr>
          <w:rFonts w:hint="eastAsia" w:ascii="宋体" w:hAnsi="宋体"/>
          <w:sz w:val="24"/>
        </w:rPr>
      </w:pPr>
      <w:r>
        <w:rPr>
          <w:rFonts w:hint="eastAsia" w:ascii="宋体" w:hAnsi="宋体"/>
          <w:sz w:val="24"/>
        </w:rPr>
        <w:t>3）应提供自验收之日起不少于一年的免费维护服务，包括但不限于系统漏洞修复、故障排查、功能更新（在合同范围内）及版本升级建议。保质期内发生的系统运行异常或功能故障，供应商应承担全部修复责任，且不收取人工费。若软件因故障无法正常使用，相关内容在修复后可享受保修期顺延政策。质保期后，供应商应提供优惠价格的系统维护服务与扩展模块。</w:t>
      </w:r>
    </w:p>
    <w:p w14:paraId="01EE212F">
      <w:pPr>
        <w:widowControl/>
        <w:spacing w:line="480" w:lineRule="auto"/>
        <w:rPr>
          <w:rFonts w:hint="eastAsia" w:ascii="宋体" w:hAnsi="宋体"/>
          <w:b/>
          <w:bCs/>
          <w:sz w:val="24"/>
        </w:rPr>
      </w:pPr>
      <w:r>
        <w:rPr>
          <w:rFonts w:hint="eastAsia" w:ascii="宋体" w:hAnsi="宋体"/>
          <w:b/>
          <w:bCs/>
          <w:sz w:val="24"/>
        </w:rPr>
        <w:t>培训要求：</w:t>
      </w:r>
    </w:p>
    <w:p w14:paraId="78CADEED">
      <w:pPr>
        <w:tabs>
          <w:tab w:val="left" w:pos="0"/>
        </w:tabs>
        <w:spacing w:line="360" w:lineRule="auto"/>
        <w:ind w:firstLine="480" w:firstLineChars="200"/>
        <w:jc w:val="left"/>
        <w:rPr>
          <w:rFonts w:hint="eastAsia" w:ascii="宋体" w:hAnsi="宋体"/>
          <w:sz w:val="24"/>
        </w:rPr>
      </w:pPr>
      <w:r>
        <w:rPr>
          <w:rFonts w:hint="eastAsia" w:ascii="宋体" w:hAnsi="宋体"/>
          <w:sz w:val="24"/>
        </w:rPr>
        <w:t>供应商应免费提供软件系统的使用培训服务。培训内容应覆盖软件系统的安装部署、操作使用、系统配置、常见问题处理等方面。并可根据用户实际业务场景定制培训方案，确保业务使用人员熟练掌握软件使用及日常运维管理。</w:t>
      </w:r>
    </w:p>
    <w:p w14:paraId="6D3D4816">
      <w:pPr>
        <w:rPr>
          <w:rFonts w:hint="eastAsia"/>
        </w:rPr>
      </w:pPr>
    </w:p>
    <w:p w14:paraId="66412522">
      <w:pPr>
        <w:widowControl/>
        <w:snapToGrid w:val="0"/>
        <w:spacing w:line="360" w:lineRule="auto"/>
        <w:rPr>
          <w:rFonts w:hint="eastAsia" w:ascii="宋体" w:hAnsi="宋体"/>
          <w:b/>
          <w:sz w:val="24"/>
        </w:rPr>
      </w:pPr>
      <w:r>
        <w:rPr>
          <w:rFonts w:hint="eastAsia" w:ascii="宋体" w:hAnsi="宋体"/>
          <w:b/>
          <w:sz w:val="24"/>
        </w:rPr>
        <w:t>2、包装要求：</w:t>
      </w:r>
    </w:p>
    <w:p w14:paraId="476C4F27">
      <w:pPr>
        <w:tabs>
          <w:tab w:val="left" w:pos="0"/>
        </w:tabs>
        <w:spacing w:line="360" w:lineRule="auto"/>
        <w:ind w:firstLine="480" w:firstLineChars="200"/>
        <w:jc w:val="left"/>
        <w:rPr>
          <w:rFonts w:hint="eastAsia" w:ascii="宋体" w:hAnsi="宋体"/>
          <w:sz w:val="24"/>
        </w:rPr>
      </w:pPr>
      <w:r>
        <w:rPr>
          <w:rFonts w:hint="eastAsia" w:ascii="宋体" w:hAnsi="宋体"/>
          <w:sz w:val="24"/>
        </w:rPr>
        <w:t>软件产品应以完整、清晰的电子形式交付，包括但不限于：安装包、授权文件、操作手册及相关配置说明。交付应通过加密压缩包、光盘或其他安全方式进行，确保在传输过程中的完整性和保密性。</w:t>
      </w:r>
    </w:p>
    <w:p w14:paraId="306CF050">
      <w:pPr>
        <w:tabs>
          <w:tab w:val="left" w:pos="0"/>
        </w:tabs>
        <w:spacing w:line="360" w:lineRule="auto"/>
        <w:ind w:firstLine="480" w:firstLineChars="200"/>
        <w:jc w:val="left"/>
        <w:rPr>
          <w:rFonts w:hint="eastAsia" w:ascii="宋体" w:hAnsi="宋体"/>
          <w:sz w:val="24"/>
        </w:rPr>
      </w:pPr>
      <w:r>
        <w:rPr>
          <w:rFonts w:hint="eastAsia" w:ascii="宋体" w:hAnsi="宋体"/>
          <w:sz w:val="24"/>
        </w:rPr>
        <w:t>供应商应确保提供的软件版本为正式版且无恶意插件、病毒、后门，具备良好的安全性与稳定性。由于交付过程中的操作不当、文件不完整或系统配置错误等原因导致系统无法正常部署运行的，供应商应承担相应责任并及时修复。</w:t>
      </w:r>
    </w:p>
    <w:p w14:paraId="75CB6B52">
      <w:pPr>
        <w:rPr>
          <w:rFonts w:hint="eastAsia"/>
        </w:rPr>
      </w:pPr>
    </w:p>
    <w:p w14:paraId="67F3FFED">
      <w:pPr>
        <w:widowControl/>
        <w:spacing w:line="480" w:lineRule="auto"/>
        <w:rPr>
          <w:rFonts w:ascii="宋体" w:hAnsi="宋体"/>
          <w:sz w:val="24"/>
        </w:rPr>
      </w:pPr>
      <w:r>
        <w:rPr>
          <w:rFonts w:hint="eastAsia" w:ascii="宋体" w:hAnsi="宋体"/>
          <w:b/>
          <w:bCs/>
          <w:sz w:val="24"/>
        </w:rPr>
        <w:t>3、交货日期：</w:t>
      </w:r>
      <w:r>
        <w:rPr>
          <w:rFonts w:ascii="宋体" w:hAnsi="宋体"/>
          <w:sz w:val="24"/>
        </w:rPr>
        <w:t>合同签订后的</w:t>
      </w:r>
      <w:r>
        <w:rPr>
          <w:rFonts w:hint="eastAsia" w:ascii="宋体" w:hAnsi="宋体"/>
          <w:sz w:val="24"/>
        </w:rPr>
        <w:t>3</w:t>
      </w:r>
      <w:r>
        <w:rPr>
          <w:rFonts w:ascii="宋体" w:hAnsi="宋体"/>
          <w:sz w:val="24"/>
        </w:rPr>
        <w:t>个月</w:t>
      </w:r>
      <w:r>
        <w:rPr>
          <w:rFonts w:hint="eastAsia" w:ascii="宋体" w:hAnsi="宋体"/>
          <w:sz w:val="24"/>
        </w:rPr>
        <w:t>内</w:t>
      </w:r>
      <w:r>
        <w:rPr>
          <w:rFonts w:ascii="宋体" w:hAnsi="宋体"/>
          <w:sz w:val="24"/>
        </w:rPr>
        <w:t>交货；</w:t>
      </w:r>
    </w:p>
    <w:p w14:paraId="19F9BA9A">
      <w:pPr>
        <w:rPr>
          <w:rFonts w:hint="eastAsia"/>
        </w:rPr>
      </w:pPr>
    </w:p>
    <w:p w14:paraId="3D20F50D">
      <w:pPr>
        <w:widowControl/>
        <w:snapToGrid w:val="0"/>
        <w:spacing w:line="360" w:lineRule="auto"/>
        <w:rPr>
          <w:rFonts w:hint="eastAsia" w:ascii="宋体" w:hAnsi="宋体"/>
          <w:sz w:val="24"/>
        </w:rPr>
      </w:pPr>
      <w:r>
        <w:rPr>
          <w:rFonts w:hint="eastAsia" w:ascii="宋体" w:hAnsi="宋体"/>
          <w:b/>
          <w:bCs/>
          <w:sz w:val="24"/>
        </w:rPr>
        <w:t>4、交货地点：</w:t>
      </w:r>
      <w:r>
        <w:rPr>
          <w:rFonts w:hint="eastAsia" w:ascii="宋体" w:hAnsi="宋体"/>
          <w:sz w:val="24"/>
        </w:rPr>
        <w:t>北京市海淀区邓庄南路9号中国科学院空间应用工程与技术中心</w:t>
      </w:r>
    </w:p>
    <w:p w14:paraId="523A2055">
      <w:pPr>
        <w:rPr>
          <w:rFonts w:hint="eastAsia"/>
        </w:rPr>
      </w:pPr>
    </w:p>
    <w:p w14:paraId="2BF6EE1C">
      <w:pPr>
        <w:widowControl/>
        <w:snapToGrid w:val="0"/>
        <w:spacing w:line="360" w:lineRule="auto"/>
        <w:rPr>
          <w:rFonts w:ascii="宋体" w:hAnsi="宋体"/>
          <w:b/>
          <w:sz w:val="24"/>
        </w:rPr>
      </w:pPr>
      <w:r>
        <w:rPr>
          <w:rFonts w:hint="eastAsia" w:ascii="宋体" w:hAnsi="宋体"/>
          <w:b/>
          <w:sz w:val="24"/>
        </w:rPr>
        <w:t>5、</w:t>
      </w:r>
      <w:r>
        <w:rPr>
          <w:rFonts w:ascii="宋体" w:hAnsi="宋体"/>
          <w:b/>
          <w:sz w:val="24"/>
        </w:rPr>
        <w:t>验收标准：</w:t>
      </w:r>
    </w:p>
    <w:p w14:paraId="7BD59581">
      <w:pPr>
        <w:spacing w:line="360" w:lineRule="auto"/>
        <w:rPr>
          <w:rFonts w:hint="eastAsia" w:ascii="宋体" w:hAnsi="宋体"/>
          <w:sz w:val="24"/>
        </w:rPr>
      </w:pPr>
      <w:r>
        <w:rPr>
          <w:rFonts w:hint="eastAsia" w:ascii="宋体" w:hAnsi="宋体"/>
          <w:sz w:val="24"/>
        </w:rPr>
        <w:t>1）软件产品交付后，采购人将组织与供应商共同进行系统部署和现场验收测试。若供应商未能按时派人参与，采购人有权自行组织相关技术人员完成验收，验收结果以采购人出具的验收报告为最终依据。若验收过程中发现交付内容不完整、文件缺失或存在严重错误，采购人有权要求供应商在限定时间内完成补全与修复。</w:t>
      </w:r>
    </w:p>
    <w:p w14:paraId="23E7F6D7">
      <w:pPr>
        <w:spacing w:line="360" w:lineRule="auto"/>
        <w:rPr>
          <w:rFonts w:hint="eastAsia" w:ascii="宋体" w:hAnsi="宋体"/>
          <w:sz w:val="24"/>
        </w:rPr>
      </w:pPr>
      <w:r>
        <w:rPr>
          <w:rFonts w:hint="eastAsia" w:ascii="宋体" w:hAnsi="宋体"/>
          <w:sz w:val="24"/>
        </w:rPr>
        <w:t>2）供应商应在验收前提交完整的验收测试方案，并经采购人确认。验收测试应覆盖软件各项主要功能、性能指标、稳定性、兼容性、安全性等要求。供应商有义务对验收过程中采购人提出的技术问题给予及时解答，测试完成后由供应商与采购人共同签署验收报告。</w:t>
      </w:r>
    </w:p>
    <w:p w14:paraId="35468916">
      <w:pPr>
        <w:spacing w:line="360" w:lineRule="auto"/>
        <w:rPr>
          <w:rFonts w:hint="eastAsia" w:ascii="宋体" w:hAnsi="宋体"/>
          <w:sz w:val="24"/>
        </w:rPr>
      </w:pPr>
      <w:r>
        <w:rPr>
          <w:rFonts w:hint="eastAsia" w:ascii="宋体" w:hAnsi="宋体"/>
          <w:sz w:val="24"/>
        </w:rPr>
        <w:t>3）软件质保期自系统安装调试并最终验收合格之日起计算。质保期内，供应商应承担除采购人自行修改引起的问题及第三方系统接口变更外的故障修复责任。若系统出现异常、故障或无法满足合同约定功能指标，供应商须在合理时限内完成修复或提供功能替代方案，确保系统可用性与完整性，相关服务不得收取额外费用。</w:t>
      </w:r>
    </w:p>
    <w:p w14:paraId="1A76E012">
      <w:pPr>
        <w:spacing w:line="360" w:lineRule="auto"/>
        <w:rPr>
          <w:rFonts w:hint="eastAsia" w:ascii="宋体" w:hAnsi="宋体"/>
          <w:sz w:val="24"/>
        </w:rPr>
      </w:pPr>
      <w:r>
        <w:rPr>
          <w:rFonts w:hint="eastAsia" w:ascii="宋体" w:hAnsi="宋体"/>
          <w:sz w:val="24"/>
        </w:rPr>
        <w:t>4）软件功能指标及性能参数应以中标人提交的投标文件为准（该文件不得低于采购文件要求）。如采购人在验收或后期使用过程中发现供应商存在虚假应答、夸大功能、数据造假等情况，将认定为违约行为，采购人有权取消中标资格并追究供应商因违约行为带来的全部经济损失和相关法律责任。</w:t>
      </w:r>
    </w:p>
    <w:p w14:paraId="6E7EDF53">
      <w:pPr>
        <w:spacing w:line="360" w:lineRule="auto"/>
        <w:rPr>
          <w:rFonts w:ascii="宋体" w:hAnsi="宋体"/>
          <w:sz w:val="24"/>
        </w:rPr>
      </w:pPr>
      <w:r>
        <w:rPr>
          <w:rFonts w:hint="eastAsia" w:ascii="宋体" w:hAnsi="宋体"/>
          <w:sz w:val="24"/>
        </w:rPr>
        <w:t>5）软件最终验收应依据国家/行业标准、招标文件、合同及技术附件等相关内容进行。验收工作由采购人组织，中标供应商及相关技术人员共同参与，验收完成后须由采购人及供应商共同在验收报告上签字确认。</w:t>
      </w:r>
    </w:p>
    <w:p w14:paraId="05232035"/>
    <w:p w14:paraId="5B706E43">
      <w:pPr>
        <w:widowControl/>
        <w:snapToGrid w:val="0"/>
        <w:spacing w:line="360" w:lineRule="auto"/>
        <w:rPr>
          <w:rFonts w:hint="eastAsia" w:ascii="宋体" w:hAnsi="宋体" w:cs="宋体"/>
          <w:b/>
          <w:bCs/>
          <w:kern w:val="0"/>
          <w:sz w:val="24"/>
        </w:rPr>
      </w:pPr>
      <w:r>
        <w:rPr>
          <w:rFonts w:hint="eastAsia" w:ascii="宋体" w:hAnsi="宋体"/>
          <w:b/>
          <w:sz w:val="24"/>
        </w:rPr>
        <w:t>6、执行的相关标准：</w:t>
      </w:r>
      <w:r>
        <w:rPr>
          <w:rFonts w:hint="eastAsia" w:ascii="宋体" w:hAnsi="宋体" w:cs="宋体"/>
          <w:b/>
          <w:bCs/>
          <w:kern w:val="0"/>
          <w:sz w:val="24"/>
        </w:rPr>
        <w:t>无</w:t>
      </w:r>
    </w:p>
    <w:p w14:paraId="6C81FD3A">
      <w:pPr>
        <w:rPr>
          <w:rFonts w:hint="eastAsia"/>
        </w:rPr>
      </w:pPr>
    </w:p>
    <w:p w14:paraId="4D222A0D">
      <w:pPr>
        <w:widowControl/>
        <w:tabs>
          <w:tab w:val="left" w:pos="900"/>
        </w:tabs>
        <w:spacing w:line="360" w:lineRule="auto"/>
        <w:jc w:val="left"/>
        <w:rPr>
          <w:rFonts w:ascii="宋体" w:hAnsi="宋体" w:cs="宋体"/>
          <w:b/>
          <w:bCs/>
          <w:kern w:val="0"/>
          <w:sz w:val="24"/>
        </w:rPr>
      </w:pPr>
      <w:r>
        <w:rPr>
          <w:rFonts w:hint="eastAsia" w:ascii="宋体" w:hAnsi="宋体" w:cs="宋体"/>
          <w:b/>
          <w:bCs/>
          <w:kern w:val="0"/>
          <w:sz w:val="24"/>
        </w:rPr>
        <w:t>7、付款方式：</w:t>
      </w:r>
    </w:p>
    <w:p w14:paraId="642FCABD">
      <w:pPr>
        <w:spacing w:line="360" w:lineRule="auto"/>
        <w:ind w:firstLine="480" w:firstLineChars="200"/>
        <w:rPr>
          <w:rFonts w:hint="eastAsia" w:ascii="宋体" w:hAnsi="宋体"/>
          <w:sz w:val="24"/>
        </w:rPr>
      </w:pPr>
      <w:r>
        <w:rPr>
          <w:rFonts w:hint="eastAsia" w:ascii="宋体" w:hAnsi="宋体"/>
          <w:sz w:val="24"/>
        </w:rPr>
        <w:t>合同签订后付合同总额40%的预付款，设备通过验收并且双方签署验收报告后付合同总额50％的合同款，质保期结束后付合同总额10%的尾款。</w:t>
      </w:r>
    </w:p>
    <w:p w14:paraId="5B8D4F42">
      <w:pPr>
        <w:rPr>
          <w:rFonts w:hint="eastAsia"/>
        </w:rPr>
      </w:pPr>
    </w:p>
    <w:p w14:paraId="0F9EDEBF">
      <w:pPr>
        <w:widowControl/>
        <w:tabs>
          <w:tab w:val="left" w:pos="0"/>
        </w:tabs>
        <w:spacing w:line="360" w:lineRule="auto"/>
        <w:jc w:val="left"/>
        <w:rPr>
          <w:rFonts w:hint="eastAsia" w:ascii="宋体" w:hAnsi="宋体"/>
          <w:b/>
          <w:bCs/>
          <w:sz w:val="24"/>
        </w:rPr>
      </w:pPr>
      <w:r>
        <w:rPr>
          <w:rFonts w:hint="eastAsia" w:ascii="宋体" w:hAnsi="宋体" w:cs="宋体"/>
          <w:b/>
          <w:bCs/>
          <w:kern w:val="0"/>
          <w:sz w:val="24"/>
        </w:rPr>
        <w:t>8</w:t>
      </w:r>
      <w:r>
        <w:rPr>
          <w:rFonts w:hint="eastAsia" w:ascii="宋体" w:hAnsi="宋体"/>
          <w:b/>
          <w:bCs/>
          <w:sz w:val="24"/>
        </w:rPr>
        <w:t>、投标报价要求：</w:t>
      </w:r>
    </w:p>
    <w:p w14:paraId="46F6E703">
      <w:pPr>
        <w:widowControl/>
        <w:tabs>
          <w:tab w:val="left" w:pos="900"/>
        </w:tabs>
        <w:spacing w:line="360" w:lineRule="auto"/>
        <w:jc w:val="left"/>
        <w:rPr>
          <w:rFonts w:ascii="宋体" w:hAnsi="宋体" w:cs="仿宋_GB2312"/>
          <w:kern w:val="0"/>
          <w:sz w:val="24"/>
        </w:rPr>
      </w:pPr>
      <w:r>
        <w:rPr>
          <w:rFonts w:hint="eastAsia" w:ascii="宋体" w:hAnsi="宋体" w:cs="仿宋_GB2312"/>
          <w:kern w:val="0"/>
          <w:sz w:val="24"/>
        </w:rPr>
        <w:t>（</w:t>
      </w:r>
      <w:r>
        <w:rPr>
          <w:rFonts w:ascii="宋体" w:hAnsi="宋体" w:cs="仿宋_GB2312"/>
          <w:kern w:val="0"/>
          <w:sz w:val="24"/>
        </w:rPr>
        <w:t>1</w:t>
      </w:r>
      <w:r>
        <w:rPr>
          <w:rFonts w:hint="eastAsia" w:ascii="宋体" w:hAnsi="宋体" w:cs="仿宋_GB2312"/>
          <w:kern w:val="0"/>
          <w:sz w:val="24"/>
        </w:rPr>
        <w:t>）本项目不允许采购进口产品。</w:t>
      </w:r>
    </w:p>
    <w:p w14:paraId="5E8C82F2">
      <w:pPr>
        <w:widowControl/>
        <w:tabs>
          <w:tab w:val="left" w:pos="900"/>
        </w:tabs>
        <w:spacing w:line="360" w:lineRule="auto"/>
        <w:jc w:val="left"/>
        <w:rPr>
          <w:rFonts w:ascii="宋体" w:hAnsi="宋体" w:cs="仿宋_GB2312"/>
          <w:kern w:val="0"/>
          <w:sz w:val="24"/>
        </w:rPr>
      </w:pPr>
      <w:r>
        <w:rPr>
          <w:rFonts w:hint="eastAsia" w:ascii="宋体" w:hAnsi="宋体" w:cs="仿宋_GB2312"/>
          <w:kern w:val="0"/>
          <w:sz w:val="24"/>
        </w:rPr>
        <w:t>（2）国产产品与服务报项目现场交货人民币含税价。报价中需包括制造、装配和发运货物所使用的材料、部件及货物本身已支付或将支付的产品税、销售税和其它税费。采购人不再另行支付其他任何费用。</w:t>
      </w:r>
    </w:p>
    <w:p w14:paraId="7EA71DE0">
      <w:pPr>
        <w:pStyle w:val="4"/>
        <w:ind w:left="0" w:leftChars="0" w:firstLine="0" w:firstLineChars="0"/>
        <w:rPr>
          <w:rFonts w:ascii="宋体" w:hAnsi="宋体" w:cs="仿宋_GB2312"/>
          <w:kern w:val="0"/>
          <w:sz w:val="24"/>
        </w:rPr>
      </w:pPr>
      <w:r>
        <w:rPr>
          <w:rFonts w:hint="eastAsia" w:ascii="宋体" w:hAnsi="宋体" w:cs="仿宋_GB2312"/>
          <w:kern w:val="0"/>
          <w:sz w:val="24"/>
        </w:rPr>
        <w:t>（</w:t>
      </w:r>
      <w:r>
        <w:rPr>
          <w:rFonts w:ascii="宋体" w:hAnsi="宋体" w:cs="仿宋_GB2312"/>
          <w:kern w:val="0"/>
          <w:sz w:val="24"/>
        </w:rPr>
        <w:t>3</w:t>
      </w:r>
      <w:r>
        <w:rPr>
          <w:rFonts w:hint="eastAsia" w:ascii="宋体" w:hAnsi="宋体" w:cs="仿宋_GB2312"/>
          <w:kern w:val="0"/>
          <w:sz w:val="24"/>
        </w:rPr>
        <w:t>）上述价格的构成须按在分项报价表中格式要求详细列出。</w:t>
      </w:r>
    </w:p>
    <w:p w14:paraId="79F9267E">
      <w:pPr>
        <w:rPr>
          <w:rFonts w:hint="eastAsia"/>
        </w:rPr>
      </w:pPr>
    </w:p>
    <w:p w14:paraId="72BEB6FC">
      <w:pPr>
        <w:widowControl/>
        <w:tabs>
          <w:tab w:val="left" w:pos="900"/>
        </w:tabs>
        <w:spacing w:line="360" w:lineRule="auto"/>
        <w:jc w:val="left"/>
        <w:rPr>
          <w:rFonts w:ascii="宋体" w:hAnsi="宋体" w:cs="宋体"/>
          <w:b/>
          <w:bCs/>
          <w:kern w:val="0"/>
          <w:sz w:val="24"/>
          <w:u w:val="single"/>
        </w:rPr>
      </w:pPr>
      <w:r>
        <w:rPr>
          <w:rFonts w:hint="eastAsia" w:ascii="宋体" w:hAnsi="宋体" w:cs="宋体"/>
          <w:b/>
          <w:bCs/>
          <w:kern w:val="0"/>
          <w:sz w:val="24"/>
        </w:rPr>
        <w:t>9、是否允许采购进口产品：</w:t>
      </w:r>
      <w:r>
        <w:rPr>
          <w:rFonts w:hint="eastAsia" w:ascii="宋体" w:hAnsi="宋体" w:cs="宋体"/>
          <w:b/>
          <w:bCs/>
          <w:kern w:val="0"/>
          <w:sz w:val="24"/>
          <w:u w:val="single"/>
        </w:rPr>
        <w:t>否</w:t>
      </w:r>
    </w:p>
    <w:p w14:paraId="4C322FFA">
      <w:pPr>
        <w:rPr>
          <w:rFonts w:hint="eastAsia"/>
        </w:rPr>
      </w:pPr>
    </w:p>
    <w:p w14:paraId="6D88ABF7">
      <w:pPr>
        <w:widowControl/>
        <w:tabs>
          <w:tab w:val="left" w:pos="900"/>
        </w:tabs>
        <w:spacing w:line="360" w:lineRule="auto"/>
        <w:jc w:val="left"/>
        <w:rPr>
          <w:rFonts w:hint="eastAsia" w:ascii="宋体" w:hAnsi="宋体" w:cs="宋体"/>
          <w:b/>
          <w:bCs/>
          <w:kern w:val="0"/>
          <w:sz w:val="24"/>
        </w:rPr>
      </w:pPr>
      <w:r>
        <w:rPr>
          <w:rFonts w:hint="eastAsia" w:ascii="宋体" w:hAnsi="宋体" w:cs="宋体"/>
          <w:b/>
          <w:bCs/>
          <w:kern w:val="0"/>
          <w:sz w:val="24"/>
        </w:rPr>
        <w:t>10、预算金额：185万元人民币</w:t>
      </w:r>
    </w:p>
    <w:p w14:paraId="2578E088">
      <w:pPr>
        <w:widowControl/>
        <w:tabs>
          <w:tab w:val="left" w:pos="900"/>
        </w:tabs>
        <w:spacing w:line="360" w:lineRule="auto"/>
        <w:ind w:firstLine="482" w:firstLineChars="200"/>
        <w:jc w:val="left"/>
        <w:rPr>
          <w:rFonts w:hint="eastAsia" w:ascii="宋体" w:hAnsi="宋体" w:cs="宋体"/>
          <w:b/>
          <w:bCs/>
          <w:kern w:val="0"/>
          <w:sz w:val="24"/>
        </w:rPr>
      </w:pPr>
      <w:r>
        <w:rPr>
          <w:rFonts w:hint="eastAsia" w:ascii="宋体" w:hAnsi="宋体" w:cs="宋体"/>
          <w:b/>
          <w:bCs/>
          <w:kern w:val="0"/>
          <w:sz w:val="24"/>
          <w:lang w:val="en-US" w:eastAsia="zh-CN"/>
        </w:rPr>
        <w:t>最高限价</w:t>
      </w:r>
      <w:r>
        <w:rPr>
          <w:rFonts w:hint="eastAsia" w:ascii="宋体" w:hAnsi="宋体" w:cs="宋体"/>
          <w:b/>
          <w:bCs/>
          <w:kern w:val="0"/>
          <w:sz w:val="24"/>
        </w:rPr>
        <w:t>：18</w:t>
      </w:r>
      <w:r>
        <w:rPr>
          <w:rFonts w:hint="eastAsia" w:ascii="宋体" w:hAnsi="宋体" w:cs="宋体"/>
          <w:b/>
          <w:bCs/>
          <w:kern w:val="0"/>
          <w:sz w:val="24"/>
          <w:lang w:val="en-US" w:eastAsia="zh-CN"/>
        </w:rPr>
        <w:t>2</w:t>
      </w:r>
      <w:r>
        <w:rPr>
          <w:rFonts w:hint="eastAsia" w:ascii="宋体" w:hAnsi="宋体" w:cs="宋体"/>
          <w:b/>
          <w:bCs/>
          <w:kern w:val="0"/>
          <w:sz w:val="24"/>
        </w:rPr>
        <w:t>万元人民币</w:t>
      </w:r>
    </w:p>
    <w:p w14:paraId="2EC6C4B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 w:name="仿宋_GB2312">
    <w:altName w:val="仿宋"/>
    <w:panose1 w:val="02010609030101010101"/>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2E1B6C"/>
    <w:rsid w:val="1B2E1B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Indent"/>
    <w:basedOn w:val="1"/>
    <w:next w:val="3"/>
    <w:uiPriority w:val="0"/>
    <w:pPr>
      <w:spacing w:after="120"/>
      <w:ind w:left="420" w:leftChars="200"/>
    </w:pPr>
  </w:style>
  <w:style w:type="paragraph" w:styleId="3">
    <w:name w:val="envelope return"/>
    <w:basedOn w:val="1"/>
    <w:unhideWhenUsed/>
    <w:qFormat/>
    <w:uiPriority w:val="99"/>
    <w:pPr>
      <w:snapToGrid w:val="0"/>
    </w:pPr>
    <w:rPr>
      <w:rFonts w:ascii="Arial" w:hAnsi="Arial"/>
    </w:rPr>
  </w:style>
  <w:style w:type="paragraph" w:styleId="4">
    <w:name w:val="Body Text First Indent 2"/>
    <w:basedOn w:val="2"/>
    <w:unhideWhenUsed/>
    <w:qFormat/>
    <w:uiPriority w:val="99"/>
    <w:pPr>
      <w:ind w:left="420" w:firstLine="420" w:firstLineChars="200"/>
    </w:pPr>
  </w:style>
  <w:style w:type="paragraph" w:customStyle="1" w:styleId="7">
    <w:name w:val="报告正文"/>
    <w:basedOn w:val="1"/>
    <w:qFormat/>
    <w:uiPriority w:val="0"/>
    <w:pPr>
      <w:adjustRightInd w:val="0"/>
      <w:spacing w:line="360" w:lineRule="auto"/>
      <w:ind w:firstLine="200" w:firstLineChars="200"/>
      <w:contextualSpacing/>
    </w:pPr>
    <w:rPr>
      <w:kern w:val="0"/>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2025-11-25T10:28:00Z</dcterms:created>
  <dc:creator>逆夢</dc:creator>
  <cp:lastModifiedBy>逆夢</cp:lastModifiedBy>
  <dcterms:modified xsi:type="dcterms:W3CDTF">2025-11-25T10:28:25Z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9845F9ADDA104DECBD92D99CC4834705_11</vt:lpwstr>
  </property>
  <property fmtid="{D5CDD505-2E9C-101B-9397-08002B2CF9AE}" pid="4" name="KSOTemplateDocerSaveRecord">
    <vt:lpwstr>eyJoZGlkIjoiOGQzMzRmZmU4NGY3NGViMWYyOWQyY2M0ZjViZjdlNDciLCJ1c2VySWQiOiIyNDU1MjIwMzkifQ==</vt:lpwstr>
  </property>
</Properties>
</file>