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竞争性谈判文件</w:t>
      </w:r>
    </w:p>
    <w:p>
      <w:pPr>
        <w:pStyle w:val="null3"/>
        <w:jc w:val="center"/>
        <w:outlineLvl w:val="0"/>
      </w:pPr>
      <w:r>
        <w:rPr>
          <w:sz w:val="48"/>
          <w:b/>
        </w:rPr>
        <w:t>（货物类）</w:t>
      </w:r>
    </w:p>
    <w:p>
      <w:pPr>
        <w:pStyle w:val="null3"/>
        <w:jc w:val="center"/>
        <w:outlineLvl w:val="2"/>
      </w:pPr>
      <w:r>
        <w:rPr>
          <w:sz w:val="28"/>
          <w:b/>
        </w:rPr>
        <w:t>项目名称：</w:t>
      </w:r>
      <w:r>
        <w:rPr>
          <w:sz w:val="28"/>
          <w:b/>
        </w:rPr>
        <w:t>2024新教学楼其他办公设备</w:t>
      </w:r>
    </w:p>
    <w:p>
      <w:pPr>
        <w:pStyle w:val="null3"/>
        <w:jc w:val="center"/>
        <w:outlineLvl w:val="2"/>
      </w:pPr>
      <w:r>
        <w:rPr>
          <w:sz w:val="28"/>
          <w:b/>
        </w:rPr>
        <w:t>备案编号：</w:t>
      </w:r>
      <w:r>
        <w:rPr>
          <w:sz w:val="28"/>
          <w:b/>
        </w:rPr>
        <w:t>CGXM-2024-350103-00354[2024]00236</w:t>
      </w:r>
    </w:p>
    <w:p>
      <w:pPr>
        <w:pStyle w:val="null3"/>
        <w:jc w:val="center"/>
        <w:outlineLvl w:val="2"/>
      </w:pPr>
      <w:r>
        <w:rPr>
          <w:sz w:val="28"/>
          <w:b/>
        </w:rPr>
        <w:t>项目编号：</w:t>
      </w:r>
      <w:r>
        <w:rPr>
          <w:sz w:val="28"/>
          <w:b/>
        </w:rPr>
        <w:t>[350103]FJSHYZB[TP]2024002</w:t>
      </w:r>
    </w:p>
    <w:p>
      <w:pPr>
        <w:pStyle w:val="null3"/>
        <w:jc w:val="center"/>
        <w:outlineLvl w:val="2"/>
      </w:pPr>
      <w:r>
        <w:rPr>
          <w:sz w:val="28"/>
          <w:b/>
        </w:rPr>
        <w:t>采购人：</w:t>
      </w:r>
      <w:r>
        <w:rPr>
          <w:sz w:val="28"/>
          <w:b/>
        </w:rPr>
        <w:t>福建省福州第十四中学</w:t>
      </w:r>
    </w:p>
    <w:p>
      <w:pPr>
        <w:pStyle w:val="null3"/>
        <w:jc w:val="center"/>
        <w:outlineLvl w:val="2"/>
      </w:pPr>
      <w:r>
        <w:rPr>
          <w:sz w:val="28"/>
          <w:b/>
        </w:rPr>
        <w:t>代理机构：</w:t>
      </w:r>
      <w:r>
        <w:rPr>
          <w:sz w:val="28"/>
          <w:b/>
        </w:rPr>
        <w:t>福建省鸿远招标有限公司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采购公告/采购邀请书</w:t>
      </w:r>
    </w:p>
    <w:p>
      <w:pPr>
        <w:pStyle w:val="null3"/>
        <w:jc w:val="center"/>
      </w:pPr>
      <w:r>
        <w:rPr>
          <w:b/>
        </w:rPr>
        <w:t>竞争性谈判采购公告</w:t>
      </w:r>
    </w:p>
    <w:p>
      <w:pPr>
        <w:pStyle w:val="null3"/>
        <w:ind w:firstLine="960"/>
        <w:jc w:val="both"/>
      </w:pPr>
      <w:r>
        <w:rPr/>
        <w:t>福建省福州第十四中学</w:t>
      </w:r>
      <w:r>
        <w:rPr/>
        <w:t xml:space="preserve"> 已根据政府采购相关法律法规，经相应程序确定采用 竞争性谈判 方式组织 </w:t>
      </w:r>
      <w:r>
        <w:rPr/>
        <w:t>2024新教学楼其他办公设备</w:t>
      </w:r>
      <w:r>
        <w:rPr/>
        <w:t xml:space="preserve"> 项目（以下简称：“本项目”）的政府采购活动， </w:t>
      </w:r>
      <w:r>
        <w:rPr/>
        <w:t>现欢迎国内合格的供应商前来参加。</w:t>
      </w:r>
      <w:r>
        <w:rPr/>
        <w:t xml:space="preserve"> 本项目由采购人委托 </w:t>
      </w:r>
      <w:r>
        <w:rPr/>
        <w:t>福建省鸿远招标有限公司</w:t>
      </w:r>
      <w:r>
        <w:rPr/>
        <w:t xml:space="preserve"> 开展竞争性谈判活动。</w:t>
      </w:r>
    </w:p>
    <w:p>
      <w:pPr>
        <w:pStyle w:val="null3"/>
        <w:ind w:firstLine="480"/>
        <w:jc w:val="left"/>
        <w:outlineLvl w:val="2"/>
      </w:pPr>
      <w:r>
        <w:rPr>
          <w:sz w:val="28"/>
          <w:b/>
        </w:rPr>
        <w:t>1.项目名称</w:t>
      </w:r>
      <w:r>
        <w:rPr>
          <w:sz w:val="28"/>
          <w:b/>
        </w:rPr>
        <w:t xml:space="preserve">： </w:t>
      </w:r>
      <w:r>
        <w:rPr>
          <w:sz w:val="28"/>
          <w:b/>
        </w:rPr>
        <w:t>2024新教学楼其他办公设备</w:t>
      </w:r>
    </w:p>
    <w:p>
      <w:pPr>
        <w:pStyle w:val="null3"/>
        <w:ind w:firstLine="480"/>
        <w:jc w:val="left"/>
        <w:outlineLvl w:val="2"/>
      </w:pPr>
      <w:r>
        <w:rPr>
          <w:sz w:val="28"/>
          <w:b/>
        </w:rPr>
        <w:t>2.备案编号</w:t>
      </w:r>
      <w:r>
        <w:rPr>
          <w:sz w:val="28"/>
          <w:b/>
        </w:rPr>
        <w:t xml:space="preserve">： </w:t>
      </w:r>
      <w:r>
        <w:rPr>
          <w:sz w:val="28"/>
          <w:b/>
        </w:rPr>
        <w:t>CGXM-2024-350103-00354[2024]00236</w:t>
      </w:r>
    </w:p>
    <w:p>
      <w:pPr>
        <w:pStyle w:val="null3"/>
        <w:ind w:firstLine="480"/>
        <w:jc w:val="left"/>
        <w:outlineLvl w:val="2"/>
      </w:pPr>
      <w:r>
        <w:rPr>
          <w:sz w:val="28"/>
          <w:b/>
        </w:rPr>
        <w:t>3.项目编号</w:t>
      </w:r>
      <w:r>
        <w:rPr>
          <w:sz w:val="28"/>
          <w:b/>
        </w:rPr>
        <w:t xml:space="preserve">： </w:t>
      </w:r>
      <w:r>
        <w:rPr>
          <w:sz w:val="28"/>
          <w:b/>
        </w:rPr>
        <w:t>[350103]FJSHYZB[TP]2024002</w:t>
      </w:r>
    </w:p>
    <w:p>
      <w:pPr>
        <w:pStyle w:val="null3"/>
        <w:ind w:firstLine="480"/>
        <w:jc w:val="left"/>
        <w:outlineLvl w:val="2"/>
      </w:pPr>
      <w:r>
        <w:rPr>
          <w:sz w:val="28"/>
          <w:b/>
        </w:rPr>
        <w:t>4.采购内容及要求：</w:t>
      </w:r>
    </w:p>
    <w:p>
      <w:pPr>
        <w:pStyle w:val="null3"/>
        <w:ind w:firstLine="480"/>
        <w:jc w:val="both"/>
      </w:pPr>
      <w:r>
        <w:rPr/>
        <w:t>采购包1：</w:t>
      </w:r>
    </w:p>
    <w:p>
      <w:pPr>
        <w:pStyle w:val="null3"/>
        <w:jc w:val="both"/>
      </w:pPr>
      <w:r>
        <w:rPr/>
        <w:t>采购包预算金额（元）: 168,380.00</w:t>
      </w:r>
    </w:p>
    <w:p>
      <w:pPr>
        <w:pStyle w:val="null3"/>
        <w:jc w:val="both"/>
      </w:pPr>
      <w:r>
        <w:rPr/>
        <w:t>采购包最高限价（元）: 168,380.00</w:t>
      </w:r>
    </w:p>
    <w:p>
      <w:pPr>
        <w:pStyle w:val="null3"/>
        <w:jc w:val="both"/>
      </w:pPr>
      <w:r>
        <w:rPr/>
        <w:t>采购包保证金金额（元）: 1,683.00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both"/>
            </w:pPr>
            <w:r>
              <w:rPr/>
              <w:t>序号</w:t>
            </w:r>
          </w:p>
        </w:tc>
        <w:tc>
          <w:tcPr>
            <w:tcW w:type="dxa" w:w="1187"/>
          </w:tcPr>
          <w:p>
            <w:pPr>
              <w:pStyle w:val="null3"/>
              <w:jc w:val="both"/>
            </w:pPr>
            <w:r>
              <w:rPr/>
              <w:t>标的名称</w:t>
            </w:r>
          </w:p>
        </w:tc>
        <w:tc>
          <w:tcPr>
            <w:tcW w:type="dxa" w:w="1187"/>
          </w:tcPr>
          <w:p>
            <w:pPr>
              <w:pStyle w:val="null3"/>
              <w:jc w:val="both"/>
            </w:pPr>
            <w:r>
              <w:rPr/>
              <w:t>数量</w:t>
            </w:r>
          </w:p>
        </w:tc>
        <w:tc>
          <w:tcPr>
            <w:tcW w:type="dxa" w:w="1187"/>
          </w:tcPr>
          <w:p>
            <w:pPr>
              <w:pStyle w:val="null3"/>
              <w:jc w:val="both"/>
            </w:pPr>
            <w:r>
              <w:rPr/>
              <w:t>标的金额 （元）</w:t>
            </w:r>
          </w:p>
        </w:tc>
        <w:tc>
          <w:tcPr>
            <w:tcW w:type="dxa" w:w="1187"/>
          </w:tcPr>
          <w:p>
            <w:pPr>
              <w:pStyle w:val="null3"/>
              <w:jc w:val="both"/>
            </w:pPr>
            <w:r>
              <w:rPr/>
              <w:t>计量单位</w:t>
            </w:r>
          </w:p>
        </w:tc>
        <w:tc>
          <w:tcPr>
            <w:tcW w:type="dxa" w:w="1187"/>
          </w:tcPr>
          <w:p>
            <w:pPr>
              <w:pStyle w:val="null3"/>
              <w:jc w:val="both"/>
            </w:pPr>
            <w:r>
              <w:rPr/>
              <w:t>所属行业</w:t>
            </w:r>
          </w:p>
        </w:tc>
        <w:tc>
          <w:tcPr>
            <w:tcW w:type="dxa" w:w="1187"/>
          </w:tcPr>
          <w:p>
            <w:pPr>
              <w:pStyle w:val="null3"/>
              <w:jc w:val="both"/>
            </w:pPr>
            <w:r>
              <w:rPr/>
              <w:t>是否允许进口产品</w:t>
            </w:r>
          </w:p>
        </w:tc>
      </w:tr>
      <w:tr>
        <w:tc>
          <w:tcPr>
            <w:tcW w:type="dxa" w:w="1187"/>
          </w:tcPr>
          <w:p>
            <w:pPr>
              <w:pStyle w:val="null3"/>
              <w:jc w:val="both"/>
            </w:pPr>
            <w:r>
              <w:rPr/>
              <w:t>1</w:t>
            </w:r>
          </w:p>
        </w:tc>
        <w:tc>
          <w:tcPr>
            <w:tcW w:type="dxa" w:w="1187"/>
          </w:tcPr>
          <w:p>
            <w:pPr>
              <w:pStyle w:val="null3"/>
              <w:jc w:val="both"/>
            </w:pPr>
            <w:r>
              <w:rPr/>
              <w:t>教学办公需求</w:t>
            </w:r>
          </w:p>
        </w:tc>
        <w:tc>
          <w:tcPr>
            <w:tcW w:type="dxa" w:w="1187"/>
          </w:tcPr>
          <w:p>
            <w:pPr>
              <w:pStyle w:val="null3"/>
              <w:jc w:val="right"/>
            </w:pPr>
            <w:r>
              <w:rPr/>
              <w:t>1.00</w:t>
            </w:r>
          </w:p>
        </w:tc>
        <w:tc>
          <w:tcPr>
            <w:tcW w:type="dxa" w:w="1187"/>
          </w:tcPr>
          <w:p>
            <w:pPr>
              <w:pStyle w:val="null3"/>
              <w:jc w:val="right"/>
            </w:pPr>
            <w:r>
              <w:rPr/>
              <w:t>168,380.00</w:t>
            </w:r>
          </w:p>
        </w:tc>
        <w:tc>
          <w:tcPr>
            <w:tcW w:type="dxa" w:w="1187"/>
          </w:tcPr>
          <w:p>
            <w:pPr>
              <w:pStyle w:val="null3"/>
              <w:jc w:val="both"/>
            </w:pPr>
            <w:r>
              <w:rPr/>
              <w:t>批</w:t>
            </w:r>
          </w:p>
        </w:tc>
        <w:tc>
          <w:tcPr>
            <w:tcW w:type="dxa" w:w="1187"/>
          </w:tcPr>
          <w:p>
            <w:pPr>
              <w:pStyle w:val="null3"/>
              <w:jc w:val="both"/>
            </w:pPr>
            <w:r>
              <w:rPr/>
              <w:t>工业</w:t>
            </w:r>
          </w:p>
        </w:tc>
        <w:tc>
          <w:tcPr>
            <w:tcW w:type="dxa" w:w="1187"/>
          </w:tcPr>
          <w:p>
            <w:pPr>
              <w:pStyle w:val="null3"/>
              <w:jc w:val="both"/>
            </w:pPr>
            <w:r>
              <w:rPr/>
              <w:t>否</w:t>
            </w:r>
          </w:p>
        </w:tc>
      </w:tr>
    </w:tbl>
    <w:p>
      <w:pPr>
        <w:pStyle w:val="null3"/>
        <w:jc w:val="both"/>
      </w:pPr>
      <w:r>
        <w:rPr/>
        <w:t>采购包2：</w:t>
      </w:r>
    </w:p>
    <w:p>
      <w:pPr>
        <w:pStyle w:val="null3"/>
        <w:jc w:val="both"/>
      </w:pPr>
      <w:r>
        <w:rPr/>
        <w:t>采购包预算金额（元）: 180,000.00</w:t>
      </w:r>
    </w:p>
    <w:p>
      <w:pPr>
        <w:pStyle w:val="null3"/>
        <w:jc w:val="both"/>
      </w:pPr>
      <w:r>
        <w:rPr/>
        <w:t>采购包最高限价（元）: 180,000.00</w:t>
      </w:r>
    </w:p>
    <w:p>
      <w:pPr>
        <w:pStyle w:val="null3"/>
        <w:jc w:val="both"/>
      </w:pPr>
      <w:r>
        <w:rPr/>
        <w:t>采购包保证金金额（元）: 1,800.00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both"/>
            </w:pPr>
            <w:r>
              <w:rPr/>
              <w:t>序号</w:t>
            </w:r>
          </w:p>
        </w:tc>
        <w:tc>
          <w:tcPr>
            <w:tcW w:type="dxa" w:w="1187"/>
          </w:tcPr>
          <w:p>
            <w:pPr>
              <w:pStyle w:val="null3"/>
              <w:jc w:val="both"/>
            </w:pPr>
            <w:r>
              <w:rPr/>
              <w:t>标的名称</w:t>
            </w:r>
          </w:p>
        </w:tc>
        <w:tc>
          <w:tcPr>
            <w:tcW w:type="dxa" w:w="1187"/>
          </w:tcPr>
          <w:p>
            <w:pPr>
              <w:pStyle w:val="null3"/>
              <w:jc w:val="both"/>
            </w:pPr>
            <w:r>
              <w:rPr/>
              <w:t>数量</w:t>
            </w:r>
          </w:p>
        </w:tc>
        <w:tc>
          <w:tcPr>
            <w:tcW w:type="dxa" w:w="1187"/>
          </w:tcPr>
          <w:p>
            <w:pPr>
              <w:pStyle w:val="null3"/>
              <w:jc w:val="both"/>
            </w:pPr>
            <w:r>
              <w:rPr/>
              <w:t>标的金额 （元）</w:t>
            </w:r>
          </w:p>
        </w:tc>
        <w:tc>
          <w:tcPr>
            <w:tcW w:type="dxa" w:w="1187"/>
          </w:tcPr>
          <w:p>
            <w:pPr>
              <w:pStyle w:val="null3"/>
              <w:jc w:val="both"/>
            </w:pPr>
            <w:r>
              <w:rPr/>
              <w:t>计量单位</w:t>
            </w:r>
          </w:p>
        </w:tc>
        <w:tc>
          <w:tcPr>
            <w:tcW w:type="dxa" w:w="1187"/>
          </w:tcPr>
          <w:p>
            <w:pPr>
              <w:pStyle w:val="null3"/>
              <w:jc w:val="both"/>
            </w:pPr>
            <w:r>
              <w:rPr/>
              <w:t>所属行业</w:t>
            </w:r>
          </w:p>
        </w:tc>
        <w:tc>
          <w:tcPr>
            <w:tcW w:type="dxa" w:w="1187"/>
          </w:tcPr>
          <w:p>
            <w:pPr>
              <w:pStyle w:val="null3"/>
              <w:jc w:val="both"/>
            </w:pPr>
            <w:r>
              <w:rPr/>
              <w:t>是否允许进口产品</w:t>
            </w:r>
          </w:p>
        </w:tc>
      </w:tr>
      <w:tr>
        <w:tc>
          <w:tcPr>
            <w:tcW w:type="dxa" w:w="1187"/>
          </w:tcPr>
          <w:p>
            <w:pPr>
              <w:pStyle w:val="null3"/>
              <w:jc w:val="both"/>
            </w:pPr>
            <w:r>
              <w:rPr/>
              <w:t>1</w:t>
            </w:r>
          </w:p>
        </w:tc>
        <w:tc>
          <w:tcPr>
            <w:tcW w:type="dxa" w:w="1187"/>
          </w:tcPr>
          <w:p>
            <w:pPr>
              <w:pStyle w:val="null3"/>
              <w:jc w:val="both"/>
            </w:pPr>
            <w:r>
              <w:rPr/>
              <w:t>空调</w:t>
            </w:r>
          </w:p>
        </w:tc>
        <w:tc>
          <w:tcPr>
            <w:tcW w:type="dxa" w:w="1187"/>
          </w:tcPr>
          <w:p>
            <w:pPr>
              <w:pStyle w:val="null3"/>
              <w:jc w:val="right"/>
            </w:pPr>
            <w:r>
              <w:rPr/>
              <w:t>30.00</w:t>
            </w:r>
          </w:p>
        </w:tc>
        <w:tc>
          <w:tcPr>
            <w:tcW w:type="dxa" w:w="1187"/>
          </w:tcPr>
          <w:p>
            <w:pPr>
              <w:pStyle w:val="null3"/>
              <w:jc w:val="right"/>
            </w:pPr>
            <w:r>
              <w:rPr/>
              <w:t>180,000.00</w:t>
            </w:r>
          </w:p>
        </w:tc>
        <w:tc>
          <w:tcPr>
            <w:tcW w:type="dxa" w:w="1187"/>
          </w:tcPr>
          <w:p>
            <w:pPr>
              <w:pStyle w:val="null3"/>
              <w:jc w:val="both"/>
            </w:pPr>
            <w:r>
              <w:rPr/>
              <w:t>台</w:t>
            </w:r>
          </w:p>
        </w:tc>
        <w:tc>
          <w:tcPr>
            <w:tcW w:type="dxa" w:w="1187"/>
          </w:tcPr>
          <w:p>
            <w:pPr>
              <w:pStyle w:val="null3"/>
              <w:jc w:val="both"/>
            </w:pPr>
            <w:r>
              <w:rPr/>
              <w:t>工业</w:t>
            </w:r>
          </w:p>
        </w:tc>
        <w:tc>
          <w:tcPr>
            <w:tcW w:type="dxa" w:w="1187"/>
          </w:tcPr>
          <w:p>
            <w:pPr>
              <w:pStyle w:val="null3"/>
              <w:jc w:val="both"/>
            </w:pPr>
            <w:r>
              <w:rPr/>
              <w:t>否</w:t>
            </w:r>
          </w:p>
        </w:tc>
      </w:tr>
    </w:tbl>
    <w:p>
      <w:pPr>
        <w:pStyle w:val="null3"/>
        <w:jc w:val="both"/>
      </w:pPr>
      <w:r>
        <w:rPr/>
        <w:t>采购包3：</w:t>
      </w:r>
    </w:p>
    <w:p>
      <w:pPr>
        <w:pStyle w:val="null3"/>
        <w:jc w:val="both"/>
      </w:pPr>
      <w:r>
        <w:rPr/>
        <w:t>采购包预算金额（元）: 390,000.00</w:t>
      </w:r>
    </w:p>
    <w:p>
      <w:pPr>
        <w:pStyle w:val="null3"/>
        <w:jc w:val="both"/>
      </w:pPr>
      <w:r>
        <w:rPr/>
        <w:t>采购包最高限价（元）: 390,000.00</w:t>
      </w:r>
    </w:p>
    <w:p>
      <w:pPr>
        <w:pStyle w:val="null3"/>
        <w:jc w:val="both"/>
      </w:pPr>
      <w:r>
        <w:rPr/>
        <w:t>采购包保证金金额（元）: 3,900.00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both"/>
            </w:pPr>
            <w:r>
              <w:rPr/>
              <w:t>序号</w:t>
            </w:r>
          </w:p>
        </w:tc>
        <w:tc>
          <w:tcPr>
            <w:tcW w:type="dxa" w:w="1187"/>
          </w:tcPr>
          <w:p>
            <w:pPr>
              <w:pStyle w:val="null3"/>
              <w:jc w:val="both"/>
            </w:pPr>
            <w:r>
              <w:rPr/>
              <w:t>标的名称</w:t>
            </w:r>
          </w:p>
        </w:tc>
        <w:tc>
          <w:tcPr>
            <w:tcW w:type="dxa" w:w="1187"/>
          </w:tcPr>
          <w:p>
            <w:pPr>
              <w:pStyle w:val="null3"/>
              <w:jc w:val="both"/>
            </w:pPr>
            <w:r>
              <w:rPr/>
              <w:t>数量</w:t>
            </w:r>
          </w:p>
        </w:tc>
        <w:tc>
          <w:tcPr>
            <w:tcW w:type="dxa" w:w="1187"/>
          </w:tcPr>
          <w:p>
            <w:pPr>
              <w:pStyle w:val="null3"/>
              <w:jc w:val="both"/>
            </w:pPr>
            <w:r>
              <w:rPr/>
              <w:t>标的金额 （元）</w:t>
            </w:r>
          </w:p>
        </w:tc>
        <w:tc>
          <w:tcPr>
            <w:tcW w:type="dxa" w:w="1187"/>
          </w:tcPr>
          <w:p>
            <w:pPr>
              <w:pStyle w:val="null3"/>
              <w:jc w:val="both"/>
            </w:pPr>
            <w:r>
              <w:rPr/>
              <w:t>计量单位</w:t>
            </w:r>
          </w:p>
        </w:tc>
        <w:tc>
          <w:tcPr>
            <w:tcW w:type="dxa" w:w="1187"/>
          </w:tcPr>
          <w:p>
            <w:pPr>
              <w:pStyle w:val="null3"/>
              <w:jc w:val="both"/>
            </w:pPr>
            <w:r>
              <w:rPr/>
              <w:t>所属行业</w:t>
            </w:r>
          </w:p>
        </w:tc>
        <w:tc>
          <w:tcPr>
            <w:tcW w:type="dxa" w:w="1187"/>
          </w:tcPr>
          <w:p>
            <w:pPr>
              <w:pStyle w:val="null3"/>
              <w:jc w:val="both"/>
            </w:pPr>
            <w:r>
              <w:rPr/>
              <w:t>是否允许进口产品</w:t>
            </w:r>
          </w:p>
        </w:tc>
      </w:tr>
      <w:tr>
        <w:tc>
          <w:tcPr>
            <w:tcW w:type="dxa" w:w="1187"/>
          </w:tcPr>
          <w:p>
            <w:pPr>
              <w:pStyle w:val="null3"/>
              <w:jc w:val="both"/>
            </w:pPr>
            <w:r>
              <w:rPr/>
              <w:t>1</w:t>
            </w:r>
          </w:p>
        </w:tc>
        <w:tc>
          <w:tcPr>
            <w:tcW w:type="dxa" w:w="1187"/>
          </w:tcPr>
          <w:p>
            <w:pPr>
              <w:pStyle w:val="null3"/>
              <w:jc w:val="both"/>
            </w:pPr>
            <w:r>
              <w:rPr/>
              <w:t>触控一体机</w:t>
            </w:r>
          </w:p>
        </w:tc>
        <w:tc>
          <w:tcPr>
            <w:tcW w:type="dxa" w:w="1187"/>
          </w:tcPr>
          <w:p>
            <w:pPr>
              <w:pStyle w:val="null3"/>
              <w:jc w:val="right"/>
            </w:pPr>
            <w:r>
              <w:rPr/>
              <w:t>12.00</w:t>
            </w:r>
          </w:p>
        </w:tc>
        <w:tc>
          <w:tcPr>
            <w:tcW w:type="dxa" w:w="1187"/>
          </w:tcPr>
          <w:p>
            <w:pPr>
              <w:pStyle w:val="null3"/>
              <w:jc w:val="right"/>
            </w:pPr>
            <w:r>
              <w:rPr/>
              <w:t>390,000.00</w:t>
            </w:r>
          </w:p>
        </w:tc>
        <w:tc>
          <w:tcPr>
            <w:tcW w:type="dxa" w:w="1187"/>
          </w:tcPr>
          <w:p>
            <w:pPr>
              <w:pStyle w:val="null3"/>
              <w:jc w:val="both"/>
            </w:pPr>
            <w:r>
              <w:rPr/>
              <w:t>台</w:t>
            </w:r>
          </w:p>
        </w:tc>
        <w:tc>
          <w:tcPr>
            <w:tcW w:type="dxa" w:w="1187"/>
          </w:tcPr>
          <w:p>
            <w:pPr>
              <w:pStyle w:val="null3"/>
              <w:jc w:val="both"/>
            </w:pPr>
            <w:r>
              <w:rPr/>
              <w:t>工业</w:t>
            </w:r>
          </w:p>
        </w:tc>
        <w:tc>
          <w:tcPr>
            <w:tcW w:type="dxa" w:w="1187"/>
          </w:tcPr>
          <w:p>
            <w:pPr>
              <w:pStyle w:val="null3"/>
              <w:jc w:val="both"/>
            </w:pPr>
            <w:r>
              <w:rPr/>
              <w:t>否</w:t>
            </w:r>
          </w:p>
        </w:tc>
      </w:tr>
    </w:tbl>
    <w:p>
      <w:pPr>
        <w:pStyle w:val="null3"/>
        <w:ind w:firstLine="480"/>
        <w:jc w:val="left"/>
        <w:outlineLvl w:val="2"/>
      </w:pPr>
      <w:r>
        <w:rPr>
          <w:sz w:val="28"/>
          <w:b/>
        </w:rPr>
        <w:t>5.采购项目需要落实的政府采购政策：</w:t>
      </w:r>
    </w:p>
    <w:p>
      <w:pPr>
        <w:pStyle w:val="null3"/>
        <w:ind w:firstLine="480"/>
        <w:jc w:val="both"/>
      </w:pPr>
      <w:r>
        <w:rPr/>
        <w:t>进口产品：</w:t>
      </w:r>
      <w:r>
        <w:rPr/>
        <w:t>不适用于本项目</w:t>
      </w:r>
    </w:p>
    <w:p>
      <w:pPr>
        <w:pStyle w:val="null3"/>
        <w:ind w:firstLine="480"/>
        <w:jc w:val="both"/>
      </w:pPr>
      <w:r>
        <w:rPr/>
        <w:t>节能产品：</w:t>
      </w:r>
      <w:r>
        <w:rPr/>
        <w:t>适用于本项目，按照财库[2019]19号文所附品目清单执行。</w:t>
      </w:r>
    </w:p>
    <w:p>
      <w:pPr>
        <w:pStyle w:val="null3"/>
        <w:ind w:firstLine="480"/>
        <w:jc w:val="both"/>
      </w:pPr>
      <w:r>
        <w:rPr/>
        <w:t>环境标志产品：</w:t>
      </w:r>
      <w:r>
        <w:rPr/>
        <w:t>适用于本项目，按照财库[2019]18号文所附品目清单执行。</w:t>
      </w:r>
    </w:p>
    <w:p>
      <w:pPr>
        <w:pStyle w:val="null3"/>
        <w:ind w:firstLine="480"/>
        <w:jc w:val="both"/>
      </w:pPr>
      <w:r>
        <w:rPr/>
        <w:t>促进中小企业发展的相关政策：</w:t>
      </w:r>
    </w:p>
    <w:p>
      <w:pPr>
        <w:pStyle w:val="null3"/>
        <w:ind w:firstLine="480"/>
        <w:jc w:val="both"/>
      </w:pPr>
      <w:r>
        <w:rPr/>
        <w:t>采购包1：设置专门采购包</w:t>
      </w:r>
    </w:p>
    <w:p>
      <w:pPr>
        <w:pStyle w:val="null3"/>
        <w:jc w:val="both"/>
      </w:pPr>
      <w:r>
        <w:rPr/>
        <w:t>面向的企业规模：</w:t>
      </w:r>
      <w:r>
        <w:rPr/>
        <w:t>中小企业</w:t>
      </w:r>
    </w:p>
    <w:p>
      <w:pPr>
        <w:pStyle w:val="null3"/>
        <w:jc w:val="both"/>
      </w:pPr>
      <w:r>
        <w:rPr/>
        <w:t>预留形式：</w:t>
      </w:r>
      <w:r>
        <w:rPr/>
        <w:t>设置专门采购包</w:t>
      </w:r>
    </w:p>
    <w:p>
      <w:pPr>
        <w:pStyle w:val="null3"/>
        <w:jc w:val="both"/>
      </w:pPr>
      <w:r>
        <w:rPr/>
        <w:t>预留比例：</w:t>
      </w:r>
      <w:r>
        <w:rPr/>
        <w:t>100%</w:t>
      </w:r>
    </w:p>
    <w:p>
      <w:pPr>
        <w:pStyle w:val="null3"/>
        <w:jc w:val="both"/>
      </w:pPr>
      <w:r>
        <w:rPr/>
        <w:t>采购包2：不专门面向中小企业采购</w:t>
      </w:r>
    </w:p>
    <w:p>
      <w:pPr>
        <w:pStyle w:val="null3"/>
        <w:jc w:val="both"/>
      </w:pPr>
      <w:r>
        <w:rPr/>
        <w:t>采购包3：不专门面向中小企业采购</w:t>
      </w:r>
    </w:p>
    <w:p>
      <w:pPr>
        <w:pStyle w:val="null3"/>
        <w:ind w:firstLine="480"/>
        <w:jc w:val="left"/>
        <w:outlineLvl w:val="2"/>
      </w:pPr>
      <w:r>
        <w:rPr>
          <w:sz w:val="28"/>
          <w:b/>
        </w:rPr>
        <w:t>6.供应商的资格要求</w:t>
      </w:r>
    </w:p>
    <w:p>
      <w:pPr>
        <w:pStyle w:val="null3"/>
        <w:ind w:firstLine="960"/>
        <w:jc w:val="both"/>
      </w:pPr>
      <w:r>
        <w:rPr/>
        <w:t>6.1法定条件：符合《中华人民共和国政府采购法》第二十二条第一款规定的条件。</w:t>
      </w:r>
    </w:p>
    <w:p>
      <w:pPr>
        <w:pStyle w:val="null3"/>
        <w:ind w:firstLine="960"/>
        <w:jc w:val="both"/>
      </w:pPr>
      <w:r>
        <w:rPr/>
        <w:t>6.2特定条件：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关于资格中财务状况报告、依法缴纳税收证明材料、依法缴纳社会保障资金证明材料的补充说明说明</w:t>
            </w:r>
          </w:p>
        </w:tc>
        <w:tc>
          <w:tcPr>
            <w:tcW w:type="dxa" w:w="4614"/>
          </w:tcPr>
          <w:p>
            <w:pPr>
              <w:pStyle w:val="null3"/>
              <w:jc w:val="both"/>
            </w:pPr>
            <w:r>
              <w:rPr/>
              <w:t>根据《福州市财政局关于进一步推进政府采购领域优化营商环境工作的通知》的通知要求，2022年1月1日起，预算金额在500万元以内的政府采购项目推行供应商资格证明材料承诺制。供应商在投标（响应）时，按照规定提供相关承诺函（资格承诺函）的，无需再提交财务状况、缴纳税收和社保资金缴纳等证明材料。采购人有权在签订合同前要求成交供应商提供相关证明材料以核实成交供应商承诺事项的真实性。成交供应商应当遵循诚实守信的原则，不得作出虚假承诺，承诺不实的，属于提供虚假材料谋取中标、成交，依法追究相关的法律责任。</w:t>
            </w:r>
          </w:p>
        </w:tc>
      </w:tr>
      <w:tr>
        <w:tc>
          <w:tcPr>
            <w:tcW w:type="dxa" w:w="3692"/>
          </w:tcPr>
          <w:p>
            <w:pPr>
              <w:pStyle w:val="null3"/>
              <w:jc w:val="both"/>
            </w:pPr>
            <w:r>
              <w:rPr/>
              <w:t>本采购包属于专门面向中小企业采购。</w:t>
            </w:r>
          </w:p>
        </w:tc>
        <w:tc>
          <w:tcPr>
            <w:tcW w:type="dxa" w:w="4614"/>
          </w:tcPr>
          <w:p>
            <w:pPr>
              <w:pStyle w:val="null3"/>
              <w:jc w:val="both"/>
            </w:pPr>
            <w:r>
              <w:rPr/>
              <w:t>1.根据《财政部、工业和信息化部关于印发〈政府采购促进中小企业发展管理办法〉的通知》（财库〔2020〕46号）规定，本项目为货物类采购，采购标的所属行业为工业，只接受供应商所投产品的制造商为中小企业的前来报价，供应商须按照《中小企业声明函》中规定的内容填写完整（即标的名称为谈判文件中的【课桌椅（单人）、教师办公桌椅、文件柜】，行业名称即为谈判文件明确的采购标的对应的所属行业名称【工业】）若供应商未按上述要求填写的，则不予认定为中、小微企业，监狱企业及残疾人福利性单位均视同中小企业。2.监狱企业视同小型、微型企业，供应商为监狱企业的，可不提供中小企业声明函，但须提供由省级以上监狱管理局、戒毒管理局（含新疆生产建设兵团）出具的属于监狱企业的证明文件。3.残疾人福利性单位视同小型、微型企业，供应商为残疾人福利性单位的，可不提供中小企业声明函，但须提供的《残疾人福利性单位声明函》。</w:t>
            </w:r>
          </w:p>
        </w:tc>
      </w:tr>
    </w:tbl>
    <w:p>
      <w:pPr>
        <w:pStyle w:val="null3"/>
        <w:jc w:val="both"/>
      </w:pPr>
      <w:r>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关于资格中财务状况报告、依法缴纳税收证明材料、依法缴纳社会保障资金证明材料的补充说明说明</w:t>
            </w:r>
          </w:p>
        </w:tc>
        <w:tc>
          <w:tcPr>
            <w:tcW w:type="dxa" w:w="4614"/>
          </w:tcPr>
          <w:p>
            <w:pPr>
              <w:pStyle w:val="null3"/>
              <w:jc w:val="both"/>
            </w:pPr>
            <w:r>
              <w:rPr/>
              <w:t>根据《福州市财政局关于进一步推进政府采购领域优化营商环境工作的通知》的通知要求，2022年1月1日起，预算金额在500万元以内的政府采购项目推行供应商资格证明材料承诺制。供应商在投标（响应）时，按照规定提供相关承诺函（资格承诺函）的，无需再提交财务状况、缴纳税收和社保资金缴纳等证明材料。采购人有权在签订合同前要求成交供应商提供相关证明材料以核实成交供应商承诺事项的真实性。成交供应商应当遵循诚实守信的原则，不得作出虚假承诺，承诺不实的，属于提供虚假材料谋取中标、成交，依法追究相关的法律责任。</w:t>
            </w:r>
          </w:p>
        </w:tc>
      </w:tr>
    </w:tbl>
    <w:p>
      <w:pPr>
        <w:pStyle w:val="null3"/>
        <w:jc w:val="both"/>
      </w:pPr>
      <w:r>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关于资格中财务状况报告、依法缴纳税收证明材料、依法缴纳社会保障资金证明材料的补充说明说明</w:t>
            </w:r>
          </w:p>
        </w:tc>
        <w:tc>
          <w:tcPr>
            <w:tcW w:type="dxa" w:w="4614"/>
          </w:tcPr>
          <w:p>
            <w:pPr>
              <w:pStyle w:val="null3"/>
              <w:jc w:val="both"/>
            </w:pPr>
            <w:r>
              <w:rPr/>
              <w:t>根据《福州市财政局关于进一步推进政府采购领域优化营商环境工作的通知》的通知要求，2022年1月1日起，预算金额在500万元以内的政府采购项目推行供应商资格证明材料承诺制。供应商在投标（响应）时，按照规定提供相关承诺函（资格承诺函）的，无需再提交财务状况、缴纳税收和社保资金缴纳等证明材料。采购人有权在签订合同前要求成交供应商提供相关证明材料以核实成交供应商承诺事项的真实性。成交供应商应当遵循诚实守信的原则，不得作出虚假承诺，承诺不实的，属于提供虚假材料谋取中标、成交，依法追究相关的法律责任。</w:t>
            </w:r>
          </w:p>
        </w:tc>
      </w:tr>
    </w:tbl>
    <w:p>
      <w:pPr>
        <w:pStyle w:val="null3"/>
        <w:ind w:firstLine="960"/>
        <w:jc w:val="both"/>
      </w:pPr>
      <w:r>
        <w:rPr/>
        <w:t>6.3是否接受联合体形式的响应谈判：</w:t>
      </w:r>
    </w:p>
    <w:p>
      <w:pPr>
        <w:pStyle w:val="null3"/>
        <w:ind w:firstLine="480"/>
        <w:jc w:val="both"/>
      </w:pPr>
      <w:r>
        <w:rPr/>
        <w:t>采购包1：不接受</w:t>
      </w:r>
    </w:p>
    <w:p>
      <w:pPr>
        <w:pStyle w:val="null3"/>
        <w:jc w:val="both"/>
      </w:pPr>
      <w:r>
        <w:rPr/>
        <w:t>采购包2：不接受</w:t>
      </w:r>
    </w:p>
    <w:p>
      <w:pPr>
        <w:pStyle w:val="null3"/>
        <w:jc w:val="both"/>
      </w:pPr>
      <w:r>
        <w:rPr/>
        <w:t>采购包3：不接受</w:t>
      </w:r>
    </w:p>
    <w:p>
      <w:pPr>
        <w:pStyle w:val="null3"/>
        <w:jc w:val="both"/>
      </w:pPr>
      <w:r>
        <w:rPr>
          <w:b/>
        </w:rPr>
        <w:t>※根据上述资格要求，供应商响应文件中应提交的“资格证明文件”相关规定和资料要求，详见竞争性谈判须知前附表和谈判文件第五章。</w:t>
      </w:r>
    </w:p>
    <w:p>
      <w:pPr>
        <w:pStyle w:val="null3"/>
        <w:ind w:firstLine="480"/>
        <w:jc w:val="left"/>
        <w:outlineLvl w:val="2"/>
      </w:pPr>
      <w:r>
        <w:rPr>
          <w:sz w:val="28"/>
          <w:b/>
        </w:rPr>
        <w:t>7.竞争性谈判文件获取期限：</w:t>
      </w:r>
    </w:p>
    <w:p>
      <w:pPr>
        <w:pStyle w:val="null3"/>
        <w:ind w:firstLine="480"/>
        <w:jc w:val="left"/>
      </w:pPr>
      <w:r>
        <w:rPr/>
        <w:t>详见谈判公告或更正公告（若有），若不一致，以更正公告（若有）为准。</w:t>
      </w:r>
    </w:p>
    <w:p>
      <w:pPr>
        <w:pStyle w:val="null3"/>
        <w:ind w:firstLine="960"/>
        <w:jc w:val="both"/>
      </w:pPr>
      <w:r>
        <w:rPr/>
        <w:t>7.1如果采购过程中有发出更正公告，采购人将根据实际情况确定是否延长文件获取期限，则文件获取截止时间以更正公告中的约定为准。</w:t>
      </w:r>
    </w:p>
    <w:p>
      <w:pPr>
        <w:pStyle w:val="null3"/>
        <w:ind w:firstLine="960"/>
        <w:jc w:val="both"/>
      </w:pPr>
      <w:r>
        <w:rPr/>
        <w:t>7.2竞争性谈判文件获取期限内，供应商应通过福建省政府采购网上公开信息系统的注册账号（免费注册）并获取竞争性谈判文件(登陆福建省政府采购网上公开信息系统进行文件获取)，否则报价响应将被拒绝。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960"/>
        <w:jc w:val="both"/>
      </w:pPr>
      <w:r>
        <w:rPr/>
        <w:t>8.1采购文件的提供期限：详见谈判公告或更正公告（若有），若不一致，以更正公告（若有）为准。</w:t>
      </w:r>
    </w:p>
    <w:p>
      <w:pPr>
        <w:pStyle w:val="null3"/>
        <w:ind w:firstLine="960"/>
        <w:jc w:val="both"/>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详见谈判公告或更正公告（若有），若不一致，以更正公告（若有）为准。供应商应在此之前将密封的首次响应文件送达本章第11条载明的地点，逾期送达的或不符合规定的响应文件将被拒绝接收。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11.谈判时间及地点：</w:t>
      </w:r>
    </w:p>
    <w:p>
      <w:pPr>
        <w:pStyle w:val="null3"/>
        <w:ind w:firstLine="480"/>
        <w:jc w:val="left"/>
      </w:pPr>
      <w:r>
        <w:rPr/>
        <w:t>详见谈判公告或更正公告（若有），若不一致，以更正公告（若有）为准。</w:t>
      </w:r>
    </w:p>
    <w:p>
      <w:pPr>
        <w:pStyle w:val="null3"/>
        <w:ind w:firstLine="480"/>
        <w:jc w:val="left"/>
        <w:outlineLvl w:val="2"/>
      </w:pPr>
      <w:r>
        <w:rPr>
          <w:sz w:val="28"/>
          <w:b/>
        </w:rPr>
        <w:t>12.竞争性谈判公告期限：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福建省福州第十四中学</w:t>
      </w:r>
    </w:p>
    <w:p>
      <w:pPr>
        <w:pStyle w:val="null3"/>
        <w:ind w:firstLine="960"/>
        <w:jc w:val="left"/>
      </w:pPr>
      <w:r>
        <w:rPr/>
        <w:t xml:space="preserve"> 地址： </w:t>
      </w:r>
      <w:r>
        <w:rPr/>
        <w:t>福州市台江开智路4号</w:t>
      </w:r>
    </w:p>
    <w:p>
      <w:pPr>
        <w:pStyle w:val="null3"/>
        <w:jc w:val="left"/>
      </w:pPr>
      <w:r>
        <w:rPr/>
        <w:t xml:space="preserve"> 邮编： </w:t>
      </w:r>
      <w:r>
        <w:rPr/>
        <w:t>350004</w:t>
      </w:r>
    </w:p>
    <w:p>
      <w:pPr>
        <w:pStyle w:val="null3"/>
        <w:jc w:val="left"/>
      </w:pPr>
      <w:r>
        <w:rPr/>
        <w:t xml:space="preserve"> 联系人： </w:t>
      </w:r>
      <w:r>
        <w:rPr/>
        <w:t>赖凌宇</w:t>
      </w:r>
    </w:p>
    <w:p>
      <w:pPr>
        <w:pStyle w:val="null3"/>
        <w:jc w:val="left"/>
      </w:pPr>
      <w:r>
        <w:rPr/>
        <w:t xml:space="preserve"> 联系电话： </w:t>
      </w:r>
      <w:r>
        <w:rPr/>
        <w:t>18558641682</w:t>
      </w:r>
    </w:p>
    <w:p>
      <w:pPr>
        <w:pStyle w:val="null3"/>
        <w:ind w:firstLine="480"/>
        <w:jc w:val="left"/>
        <w:outlineLvl w:val="2"/>
      </w:pPr>
      <w:r>
        <w:rPr>
          <w:sz w:val="28"/>
          <w:b/>
        </w:rPr>
        <w:t>14.代理机构</w:t>
      </w:r>
      <w:r>
        <w:rPr>
          <w:sz w:val="28"/>
          <w:b/>
        </w:rPr>
        <w:t>：</w:t>
      </w:r>
      <w:r>
        <w:rPr>
          <w:sz w:val="28"/>
          <w:b/>
        </w:rPr>
        <w:t>福建省鸿远招标有限公司</w:t>
      </w:r>
    </w:p>
    <w:p>
      <w:pPr>
        <w:pStyle w:val="null3"/>
        <w:ind w:firstLine="960"/>
        <w:jc w:val="left"/>
      </w:pPr>
      <w:r>
        <w:rPr/>
        <w:t xml:space="preserve"> 地址： </w:t>
      </w:r>
      <w:r>
        <w:rPr/>
        <w:t>宁德市蕉城区蕉城南路40号锦绣茗苑1幢1907室</w:t>
      </w:r>
    </w:p>
    <w:p>
      <w:pPr>
        <w:pStyle w:val="null3"/>
        <w:jc w:val="left"/>
      </w:pPr>
      <w:r>
        <w:rPr/>
        <w:t xml:space="preserve"> 邮编： </w:t>
      </w:r>
      <w:r>
        <w:rPr/>
        <w:t>352100</w:t>
      </w:r>
    </w:p>
    <w:p>
      <w:pPr>
        <w:pStyle w:val="null3"/>
        <w:jc w:val="left"/>
      </w:pPr>
      <w:r>
        <w:rPr/>
        <w:t xml:space="preserve"> 联系人： </w:t>
      </w:r>
      <w:r>
        <w:rPr/>
        <w:t>叶浩、缪胧、小李</w:t>
      </w:r>
    </w:p>
    <w:p>
      <w:pPr>
        <w:pStyle w:val="null3"/>
        <w:jc w:val="left"/>
      </w:pPr>
      <w:r>
        <w:rPr/>
        <w:t xml:space="preserve"> 联系电话： </w:t>
      </w:r>
      <w:r>
        <w:rPr/>
        <w:t>0593-2916316</w:t>
      </w:r>
    </w:p>
    <w:p>
      <w:pPr>
        <w:pStyle w:val="null3"/>
        <w:ind w:firstLine="480"/>
        <w:jc w:val="left"/>
        <w:outlineLvl w:val="2"/>
      </w:pPr>
      <w:r>
        <w:rPr>
          <w:sz w:val="28"/>
          <w:b/>
        </w:rPr>
        <w:t>附1：提交谈判保证金的银行账户信息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福建省鸿远招标有限公司</w:t>
            </w:r>
          </w:p>
        </w:tc>
      </w:tr>
      <w:tr>
        <w:tc>
          <w:tcPr>
            <w:tcW w:type="dxa" w:w="8306"/>
          </w:tcPr>
          <w:p>
            <w:pPr>
              <w:pStyle w:val="null3"/>
              <w:jc w:val="left"/>
            </w:pPr>
            <w:r>
              <w:rPr/>
              <w:t>开户银行：由供应商在福建省政府采购网上公开信息系统获取竞争性谈判文件成功后根据系统的提示，自行选择要缴交的保证金托管银行。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1、请供应商务必认真核对账户信息，将谈判保证金款项汇入对应账户，并自行承担因款项汇错而产生的一切后果。 2、请供应商在转账或电汇的凭证上务必按照以下格式注明，以便核对：“（项目编号：***、采购包：***）的谈判保证金”。</w:t>
            </w:r>
          </w:p>
        </w:tc>
      </w:tr>
    </w:tbl>
    <w:p>
      <w:pPr>
        <w:pStyle w:val="null3"/>
      </w:pPr>
      <w:r>
        <w:rPr/>
        <w:t xml:space="preserve"> </w:t>
        <w:br/>
        <w:br w:type="page"/>
      </w:r>
    </w:p>
    <w:p>
      <w:pPr>
        <w:pStyle w:val="null3"/>
        <w:jc w:val="center"/>
        <w:outlineLvl w:val="1"/>
      </w:pPr>
      <w:r>
        <w:rPr>
          <w:sz w:val="36"/>
          <w:b/>
        </w:rPr>
        <w:t>第二章 竞争性谈判须知</w:t>
      </w:r>
    </w:p>
    <w:p>
      <w:pPr>
        <w:pStyle w:val="null3"/>
        <w:jc w:val="center"/>
        <w:outlineLvl w:val="2"/>
      </w:pPr>
      <w:r>
        <w:rPr>
          <w:sz w:val="28"/>
          <w:b/>
        </w:rPr>
        <w:t>第1节 竞争性谈判须知前附表（表1、表2）</w:t>
      </w:r>
    </w:p>
    <w:p>
      <w:pPr>
        <w:pStyle w:val="null3"/>
        <w:jc w:val="center"/>
      </w:pPr>
      <w:r>
        <w:rPr>
          <w:b/>
        </w:rPr>
        <w:t>一、竞争性谈判须知前附表1</w:t>
      </w:r>
    </w:p>
    <w:p>
      <w:pPr>
        <w:pStyle w:val="null3"/>
        <w:ind w:firstLine="480"/>
        <w:jc w:val="both"/>
      </w:pPr>
      <w:r>
        <w:rPr/>
        <w:t>竞争性谈判须知前附表是对竞争性谈判须知的补充和细化，二者如有矛盾，以前附表中的要求和规定为准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供应商的资格要求：见谈判文件第一章“采购公告/采购邀请书”</w:t>
            </w:r>
          </w:p>
          <w:p>
            <w:pPr>
              <w:pStyle w:val="null3"/>
              <w:jc w:val="left"/>
            </w:pPr>
            <w:r>
              <w:rPr/>
              <w:t xml:space="preserve"> 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谈判响应声明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谈判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采购包2：</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谈判响应声明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谈判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采购包3：</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谈判响应声明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谈判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谈判文件第五章对法定资格条件证明资料已有详细规定和要求，供应商按照第五章要求提供。确因国家政府采购新政策规定或项目特点不能适用的或者需要补充增加的，则在特定资格条件中提出具体要求，但不得违反政府采购法律法规。</w:t>
            </w:r>
          </w:p>
          <w:p>
            <w:pPr>
              <w:pStyle w:val="null3"/>
              <w:jc w:val="left"/>
            </w:pPr>
            <w:r>
              <w:rPr/>
              <w:t xml:space="preserve"> 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关于资格中财务状况报告、依法缴纳税收证明材料、依法缴纳社会保障资金证明材料的补充说明说明</w:t>
                  </w:r>
                </w:p>
              </w:tc>
              <w:tc>
                <w:tcPr>
                  <w:tcW w:type="dxa" w:w="1418"/>
                </w:tcPr>
                <w:p>
                  <w:pPr>
                    <w:pStyle w:val="null3"/>
                    <w:jc w:val="left"/>
                  </w:pPr>
                  <w:r>
                    <w:rPr/>
                    <w:t>根据《福州市财政局关于进一步推进政府采购领域优化营商环境工作的通知》的通知要求，2022年1月1日起，预算金额在500万元以内的政府采购项目推行供应商资格证明材料承诺制。供应商在投标（响应）时，按照规定提供相关承诺函（资格承诺函）的，无需再提交财务状况、缴纳税收和社保资金缴纳等证明材料。采购人有权在签订合同前要求成交供应商提供相关证明材料以核实成交供应商承诺事项的真实性。成交供应商应当遵循诚实守信的原则，不得作出虚假承诺，承诺不实的，属于提供虚假材料谋取中标、成交，依法追究相关的法律责任。</w:t>
                  </w:r>
                </w:p>
              </w:tc>
            </w:tr>
            <w:tr>
              <w:tc>
                <w:tcPr>
                  <w:tcW w:type="dxa" w:w="1135"/>
                </w:tcPr>
                <w:p>
                  <w:pPr>
                    <w:pStyle w:val="null3"/>
                    <w:jc w:val="left"/>
                  </w:pPr>
                  <w:r>
                    <w:rPr/>
                    <w:t>本采购包属于专门面向中小企业采购。</w:t>
                  </w:r>
                </w:p>
              </w:tc>
              <w:tc>
                <w:tcPr>
                  <w:tcW w:type="dxa" w:w="1418"/>
                </w:tcPr>
                <w:p>
                  <w:pPr>
                    <w:pStyle w:val="null3"/>
                    <w:jc w:val="left"/>
                  </w:pPr>
                  <w:r>
                    <w:rPr/>
                    <w:t>1.根据《财政部、工业和信息化部关于印发〈政府采购促进中小企业发展管理办法〉的通知》（财库〔2020〕46号）规定，本项目为货物类采购，采购标的所属行业为工业，只接受供应商所投产品的制造商为中小企业的前来报价，供应商须按照《中小企业声明函》中规定的内容填写完整（即标的名称为谈判文件中的【课桌椅（单人）、教师办公桌椅、文件柜】，行业名称即为谈判文件明确的采购标的对应的所属行业名称【工业】）若供应商未按上述要求填写的，则不予认定为中、小微企业，监狱企业及残疾人福利性单位均视同中小企业。2.监狱企业视同小型、微型企业，供应商为监狱企业的，可不提供中小企业声明函，但须提供由省级以上监狱管理局、戒毒管理局（含新疆生产建设兵团）出具的属于监狱企业的证明文件。3.残疾人福利性单位视同小型、微型企业，供应商为残疾人福利性单位的，可不提供中小企业声明函，但须提供的《残疾人福利性单位声明函》。</w:t>
                  </w:r>
                </w:p>
              </w:tc>
            </w:tr>
          </w:tbl>
          <w:p>
            <w:pPr>
              <w:pStyle w:val="null3"/>
              <w:jc w:val="left"/>
            </w:pPr>
            <w:r>
              <w:rPr/>
              <w:t>采购包2：</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关于资格中财务状况报告、依法缴纳税收证明材料、依法缴纳社会保障资金证明材料的补充说明说明</w:t>
                  </w:r>
                </w:p>
              </w:tc>
              <w:tc>
                <w:tcPr>
                  <w:tcW w:type="dxa" w:w="1418"/>
                </w:tcPr>
                <w:p>
                  <w:pPr>
                    <w:pStyle w:val="null3"/>
                    <w:jc w:val="left"/>
                  </w:pPr>
                  <w:r>
                    <w:rPr/>
                    <w:t>根据《福州市财政局关于进一步推进政府采购领域优化营商环境工作的通知》的通知要求，2022年1月1日起，预算金额在500万元以内的政府采购项目推行供应商资格证明材料承诺制。供应商在投标（响应）时，按照规定提供相关承诺函（资格承诺函）的，无需再提交财务状况、缴纳税收和社保资金缴纳等证明材料。采购人有权在签订合同前要求成交供应商提供相关证明材料以核实成交供应商承诺事项的真实性。成交供应商应当遵循诚实守信的原则，不得作出虚假承诺，承诺不实的，属于提供虚假材料谋取中标、成交，依法追究相关的法律责任。</w:t>
                  </w:r>
                </w:p>
              </w:tc>
            </w:tr>
          </w:tbl>
          <w:p>
            <w:pPr>
              <w:pStyle w:val="null3"/>
              <w:jc w:val="left"/>
            </w:pPr>
            <w:r>
              <w:rPr/>
              <w:t>采购包3：</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关于资格中财务状况报告、依法缴纳税收证明材料、依法缴纳社会保障资金证明材料的补充说明说明</w:t>
                  </w:r>
                </w:p>
              </w:tc>
              <w:tc>
                <w:tcPr>
                  <w:tcW w:type="dxa" w:w="1418"/>
                </w:tcPr>
                <w:p>
                  <w:pPr>
                    <w:pStyle w:val="null3"/>
                    <w:jc w:val="left"/>
                  </w:pPr>
                  <w:r>
                    <w:rPr/>
                    <w:t>根据《福州市财政局关于进一步推进政府采购领域优化营商环境工作的通知》的通知要求，2022年1月1日起，预算金额在500万元以内的政府采购项目推行供应商资格证明材料承诺制。供应商在投标（响应）时，按照规定提供相关承诺函（资格承诺函）的，无需再提交财务状况、缴纳税收和社保资金缴纳等证明材料。采购人有权在签订合同前要求成交供应商提供相关证明材料以核实成交供应商承诺事项的真实性。成交供应商应当遵循诚实守信的原则，不得作出虚假承诺，承诺不实的，属于提供虚假材料谋取中标、成交，依法追究相关的法律责任。</w:t>
                  </w:r>
                </w:p>
              </w:tc>
            </w:tr>
          </w:tbl>
          <w:p>
            <w:pPr>
              <w:pStyle w:val="null3"/>
              <w:jc w:val="left"/>
            </w:pPr>
            <w:r>
              <w:rPr/>
              <w:t xml:space="preserve"> （3）谈判保证金</w:t>
            </w:r>
          </w:p>
          <w:p>
            <w:pPr>
              <w:pStyle w:val="null3"/>
              <w:jc w:val="left"/>
            </w:pPr>
            <w:r>
              <w:rPr/>
              <w:t xml:space="preserve"> ※备注说明</w:t>
            </w:r>
          </w:p>
          <w:p>
            <w:pPr>
              <w:pStyle w:val="null3"/>
              <w:jc w:val="left"/>
            </w:pPr>
            <w:r>
              <w:rPr/>
              <w:t xml:space="preserve"> ①供应商应根据自身实际情况提供上述资格要求的证明材料，格式可参考谈判文件第五章提供。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是否接受联合体形式的响应谈判：详见第一章供应商的资格要求的6.3</w:t>
            </w:r>
          </w:p>
        </w:tc>
      </w:tr>
      <w:tr>
        <w:tc>
          <w:tcPr>
            <w:tcW w:type="dxa" w:w="2769"/>
          </w:tcPr>
          <w:p>
            <w:pPr>
              <w:pStyle w:val="null3"/>
              <w:jc w:val="left"/>
            </w:pPr>
            <w:r>
              <w:rPr/>
              <w:t>3</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4</w:t>
            </w:r>
          </w:p>
        </w:tc>
        <w:tc>
          <w:tcPr>
            <w:tcW w:type="dxa" w:w="2769"/>
          </w:tcPr>
          <w:p>
            <w:pPr>
              <w:pStyle w:val="null3"/>
              <w:jc w:val="left"/>
            </w:pPr>
            <w:r>
              <w:rPr/>
              <w:t>10.3.1</w:t>
            </w:r>
          </w:p>
        </w:tc>
        <w:tc>
          <w:tcPr>
            <w:tcW w:type="dxa" w:w="2769"/>
          </w:tcPr>
          <w:p>
            <w:pPr>
              <w:pStyle w:val="null3"/>
              <w:jc w:val="left"/>
            </w:pPr>
            <w:r>
              <w:rPr/>
              <w:t>谈判保证金退还的其它要求：</w:t>
            </w:r>
          </w:p>
          <w:p>
            <w:pPr>
              <w:pStyle w:val="null3"/>
              <w:jc w:val="left"/>
            </w:pPr>
            <w:r>
              <w:rPr/>
              <w:t>/</w:t>
            </w:r>
          </w:p>
        </w:tc>
      </w:tr>
      <w:tr>
        <w:tc>
          <w:tcPr>
            <w:tcW w:type="dxa" w:w="2769"/>
          </w:tcPr>
          <w:p>
            <w:pPr>
              <w:pStyle w:val="null3"/>
              <w:jc w:val="left"/>
            </w:pPr>
            <w:r>
              <w:rPr/>
              <w:t>5</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（2）电子响应文件：详见表2《关于电子竞争性谈判活动的专门规定》</w:t>
            </w:r>
          </w:p>
        </w:tc>
      </w:tr>
      <w:tr>
        <w:tc>
          <w:tcPr>
            <w:tcW w:type="dxa" w:w="2769"/>
          </w:tcPr>
          <w:p>
            <w:pPr>
              <w:pStyle w:val="null3"/>
              <w:jc w:val="left"/>
            </w:pPr>
            <w:r>
              <w:rPr/>
              <w:t>6</w:t>
            </w:r>
          </w:p>
        </w:tc>
        <w:tc>
          <w:tcPr>
            <w:tcW w:type="dxa" w:w="2769"/>
          </w:tcPr>
          <w:p>
            <w:pPr>
              <w:pStyle w:val="null3"/>
              <w:jc w:val="left"/>
            </w:pPr>
            <w:r>
              <w:rPr/>
              <w:t>14.4</w:t>
            </w:r>
          </w:p>
        </w:tc>
        <w:tc>
          <w:tcPr>
            <w:tcW w:type="dxa" w:w="2769"/>
          </w:tcPr>
          <w:p>
            <w:pPr>
              <w:pStyle w:val="null3"/>
              <w:jc w:val="left"/>
            </w:pPr>
            <w:r>
              <w:rPr/>
              <w:t>谈判过程中可能发生实质性变动的内容：</w:t>
            </w:r>
          </w:p>
          <w:p>
            <w:pPr>
              <w:pStyle w:val="null3"/>
              <w:jc w:val="left"/>
            </w:pPr>
            <w:r>
              <w:rPr/>
              <w:t>/</w:t>
            </w:r>
          </w:p>
        </w:tc>
      </w:tr>
      <w:tr>
        <w:tc>
          <w:tcPr>
            <w:tcW w:type="dxa" w:w="2769"/>
          </w:tcPr>
          <w:p>
            <w:pPr>
              <w:pStyle w:val="null3"/>
              <w:jc w:val="left"/>
            </w:pPr>
            <w:r>
              <w:rPr/>
              <w:t>7</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8</w:t>
            </w:r>
          </w:p>
        </w:tc>
        <w:tc>
          <w:tcPr>
            <w:tcW w:type="dxa" w:w="2769"/>
          </w:tcPr>
          <w:p>
            <w:pPr>
              <w:pStyle w:val="null3"/>
              <w:jc w:val="left"/>
            </w:pPr>
            <w:r>
              <w:rPr/>
              <w:t>23.1</w:t>
            </w:r>
          </w:p>
        </w:tc>
        <w:tc>
          <w:tcPr>
            <w:tcW w:type="dxa" w:w="2769"/>
          </w:tcPr>
          <w:p>
            <w:pPr>
              <w:pStyle w:val="null3"/>
              <w:jc w:val="left"/>
            </w:pPr>
            <w:r>
              <w:rPr/>
              <w:t xml:space="preserve">本项目监督管理部门： </w:t>
            </w:r>
            <w:r>
              <w:rPr/>
              <w:t>福州市台江区财政局</w:t>
            </w:r>
          </w:p>
        </w:tc>
      </w:tr>
      <w:tr>
        <w:tc>
          <w:tcPr>
            <w:tcW w:type="dxa" w:w="2769"/>
          </w:tcPr>
          <w:p>
            <w:pPr>
              <w:pStyle w:val="null3"/>
              <w:jc w:val="left"/>
            </w:pPr>
            <w:r>
              <w:rPr/>
              <w:t>9</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本项目各采购包招标代理服务费按照以下标准进行差额定率累进法计算：①成交金额在100万元人民币以内的：按成交金额的1.5%计取；招标代理服务费经计算不足5000元的按5000元收取。由成交供应商在领取成交通知书时向福建省鸿远招标有限公司一次性付清。</w:t>
            </w:r>
          </w:p>
          <w:p>
            <w:pPr>
              <w:pStyle w:val="null3"/>
              <w:jc w:val="left"/>
            </w:pPr>
            <w:r>
              <w:rPr/>
              <w:t xml:space="preserve"> (2)其他：</w:t>
            </w:r>
          </w:p>
          <w:p>
            <w:pPr>
              <w:pStyle w:val="null3"/>
              <w:jc w:val="left"/>
            </w:pPr>
            <w:r>
              <w:rPr/>
              <w:t>2.1根据闽财购函（2018）8号文件规定，本项目评审专家劳务报酬等费用由采购人支付。2.2质疑受理的其它要求：a.供应商应以纸质原件现场递交质疑函，需提供本项目报名成功的页面截图（体现报名时间），否则将不被认定为潜在供应商，其质疑将不予受理。b.在法定质疑期内供应商须一次性提出针对同一采购程序环节的质疑，若供应商多次对同一采购程序环节提出质疑的，采购代理机构将不予以受理。c.质疑书应按福建省政府采购网通知的政府采购供应商质疑函范本编制提供。d.接收质疑函的方式、联系部门、联系电话和通讯地址：①接收质疑函的方式：现场接收；②接收质疑函的联系部门：福建省鸿远招标有限公司；③接收质疑函的联系电话：0593-2916316；④接收质疑函的通讯地址：宁德市蕉城区蕉城南路40号锦绣名苑1幢1梯1907室。2.3其他落实政策：（1）小型、微型企业：适用于本项目，按照《政府采购促进中小企业发展管理办法》（财库[2020]46号）和《福建省财政厅关于进一步加大政府采购支持中小企业力度的通知》（闽财规〔2022〕13号）执行。（2）监狱企业，适用于本项目，按照《关于政府采购支持监狱企业发展有关问题的通知》（财库【2014】68号）执行。（3）促进残疾人就业 ，适用于本项目，按照《关于促进残疾人就业政府采购政策的通知》（财库〔2017〕141号）执行。（4）脱贫攻坚，适用于本项目，按照《财政部国务院扶贫办关于运用政府采购政策支持脱贫攻坚的通知》（财库[2019]27号）规定执行。（5）货物包装：按照财政部办公厅、生态环境部办公厅、国家邮政局办公室关于印发《商品包装政府采购需求标准（试行）》、《快递包装政府采购需求标准（试行）》的通知、＜快递包装政府采购需求标准（试行）&gt;的通知》执行。（6）落实《财政部关于在政府采购活动中落实平等对待内外资企业有关政策的通知》财库〔2021〕35号文件。(7）其他要求：①本项目允许远程开标解密，供应商应在响应文件解密环节开启后20分钟内使用CA数字证书进行响应文件的解密操作，逾期未解密的视为放弃投标；供应商可根据自身情况自行选择是否前往开标现场，但未达现场的供应商应确保自身设施、设备、网络环境状况良好，在开标时自行登录采购系统，线上观看开标流程，并按规定在开标时段对响应文件进行远程解密、远程签章，远程解密时若因供应商CA、自身设施设备、网络不畅等问题导致响应文件无法解密的，其相应后果由供应商自行承担，在操作过程中如有疑问请咨询400-161-2666。2.4本项目为竞争性谈判采购，参加谈判活动的供应商代表务必在接到系统通知进行二次报价，并在规定时间（60分钟）内，自行准备相关电脑设施设备进行二次报价，未在规定的时间进行二次报价的供应商视为放弃相应权利并完全认可谈判小组在谈判活动中公布的各项数据、意见和结论，且该供应商将被退出本项目谈判，其提交的响应文件和报价将被否决。若因供应商（供应商）CA、自身电脑设施设备、网络不畅等问题导致的无法在规定的时间二次报价的，其相应后果也由供应商（供应商）自行承担。2.5项目成交后，成交供应商应提供一套纸质响应文件作为代理机构存档使用。</w:t>
            </w:r>
          </w:p>
        </w:tc>
      </w:tr>
      <w:tr>
        <w:tc>
          <w:tcPr>
            <w:tcW w:type="dxa" w:w="2769"/>
          </w:tcPr>
          <w:p>
            <w:pPr>
              <w:pStyle w:val="null3"/>
              <w:jc w:val="left"/>
            </w:pPr>
            <w:r>
              <w:rPr/>
              <w:t>10</w:t>
            </w:r>
          </w:p>
        </w:tc>
        <w:tc>
          <w:tcPr>
            <w:tcW w:type="dxa" w:w="2769"/>
          </w:tcPr>
          <w:p/>
        </w:tc>
        <w:tc>
          <w:tcPr>
            <w:tcW w:type="dxa" w:w="2769"/>
          </w:tcPr>
          <w:p>
            <w:pPr>
              <w:pStyle w:val="null3"/>
              <w:jc w:val="left"/>
            </w:pPr>
            <w:r>
              <w:rPr/>
              <w:t>是否组织现场考察或召开开标前答疑会：</w:t>
            </w:r>
          </w:p>
          <w:p>
            <w:pPr>
              <w:pStyle w:val="null3"/>
              <w:jc w:val="left"/>
            </w:pPr>
            <w:r>
              <w:rPr/>
              <w:t>采购包1：不组织</w:t>
            </w:r>
          </w:p>
          <w:p>
            <w:pPr>
              <w:pStyle w:val="null3"/>
              <w:jc w:val="left"/>
            </w:pPr>
            <w:r>
              <w:rPr/>
              <w:t>采购包2：不组织</w:t>
            </w:r>
          </w:p>
          <w:p>
            <w:pPr>
              <w:pStyle w:val="null3"/>
              <w:jc w:val="left"/>
            </w:pPr>
            <w:r>
              <w:rPr/>
              <w:t>采购包3：不组织</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 xml:space="preserve">合同签订时限： </w:t>
            </w:r>
            <w:r>
              <w:rPr/>
              <w:t>自中标通知书发出之日起30个日历日内。</w:t>
            </w:r>
          </w:p>
        </w:tc>
      </w:tr>
    </w:tbl>
    <w:p>
      <w:pPr>
        <w:pStyle w:val="null3"/>
        <w:jc w:val="center"/>
      </w:pPr>
      <w:r>
        <w:rPr>
          <w:b/>
        </w:rPr>
        <w:t>二、竞争性谈判须知前附表2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t>关于电子竞争性谈判活动的专门规定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（1）电子竞争性谈判活动的专门规定适用于本项目。</w:t>
            </w:r>
          </w:p>
          <w:p>
            <w:pPr>
              <w:pStyle w:val="null3"/>
              <w:jc w:val="left"/>
            </w:pPr>
            <w:r>
              <w:rPr/>
              <w:t>（2）将谈判文件</w:t>
            </w:r>
          </w:p>
          <w:p>
            <w:pPr>
              <w:pStyle w:val="null3"/>
              <w:jc w:val="left"/>
            </w:pPr>
            <w:r>
              <w:rPr/>
              <w:t>内容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r>
              <w:rPr/>
              <w:t xml:space="preserve"> 的内容修正为下列内容：</w:t>
            </w:r>
          </w:p>
          <w:p>
            <w:pPr>
              <w:pStyle w:val="null3"/>
              <w:jc w:val="left"/>
            </w:pPr>
            <w:r>
              <w:rPr/>
              <w:t xml:space="preserve">删除该项内容1 </w:t>
            </w:r>
            <w:r>
              <w:rPr/>
              <w:t xml:space="preserve"> 后适用本项目的电子竞争性谈判活动。</w:t>
            </w:r>
          </w:p>
          <w:p>
            <w:pPr>
              <w:pStyle w:val="null3"/>
              <w:jc w:val="left"/>
            </w:pPr>
            <w:r>
              <w:rPr/>
              <w:t>（3）将下列内容增列为谈判文件的组成部分（以下简称：“增列内容”）适用本项目的电子竞争性谈判活动，若增列内容与谈判文件其他章节内容不一致，应以增列内容为准：</w:t>
            </w:r>
          </w:p>
          <w:p>
            <w:pPr>
              <w:pStyle w:val="null3"/>
              <w:jc w:val="left"/>
            </w:pPr>
            <w:r>
              <w:rPr/>
              <w:t>①电子竞争性谈判活动的具体操作流程以福建省政府采购网上公开信息系统设定的为准。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谈判小组的要求，在谈判过程中以纸质方式签署确认并提交的澄清或说明、解决方案、图纸图表以及最后报价等资料均为补充响应文件，谈判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⑤供应商应按照福建省政府采购网上公开信息系统要求的评审节点编制电子响应文件，否则谈判小组将按照不利于供应商的内容进行认定。</w:t>
            </w:r>
          </w:p>
          <w:p>
            <w:pPr>
              <w:pStyle w:val="null3"/>
              <w:jc w:val="left"/>
            </w:pPr>
            <w:r>
              <w:rPr/>
              <w:t>⑥关于证明材料或资料：</w:t>
            </w:r>
          </w:p>
          <w:p>
            <w:pPr>
              <w:pStyle w:val="null3"/>
              <w:jc w:val="left"/>
            </w:pPr>
            <w:r>
              <w:rPr/>
              <w:t>a.谈判文件要求原件的，供应商在响应文件中可提供复印件（含扫描件），但同时应准备好原件备查（未能在规定时间内提供原件核查的，将按不利于供应商进行评审）；竞争性谈判文件要求复印件的，供应商在响应文件中提供原件、复印件（含扫描件）皆可；竞争性谈判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谈判文件未要求供应商提供原件，供应商提供原件、复印件（含扫描件）均视为满足竞争性谈判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⑧谈判文件接受联合体方式且供应商为联合体的，供应商应以“联合体牵头方”完成电子响应的有关操作（包括但不限于：竞争性谈判文件的获取、提交谈判保证金、编制电子响应文件等）。</w:t>
            </w:r>
          </w:p>
          <w:p>
            <w:pPr>
              <w:pStyle w:val="null3"/>
              <w:jc w:val="left"/>
            </w:pPr>
            <w:r>
              <w:rPr/>
              <w:t>⑨参加谈判活动的供应商代表务必携带供应商的CA证书。供应商的CA证书应能正常、有效使用，否则产生不利后果由供应商承担责任。</w:t>
            </w:r>
          </w:p>
          <w:p>
            <w:pPr>
              <w:pStyle w:val="null3"/>
              <w:jc w:val="left"/>
            </w:pPr>
            <w:r>
              <w:rPr/>
              <w:t>⑩参加谈判活动的供应商代表应当在规定的谈判地点等待，并根据谈判小组的要求和安排配合相应谈判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谈判小组要求参加谈判的，均视同为该供应商自动放弃相应权利并完全认可谈判小组在谈判活动中公布的各项数据、意见和结论，且该供应商将被退出本项目谈判，其提交的响应文件和报价将被否决。供应商的上述行为后果由供应商自行承担且不影响谈判小组依法开展后续相应电子竞争性谈判活动。</w:t>
            </w:r>
          </w:p>
          <w:p>
            <w:pPr>
              <w:pStyle w:val="null3"/>
              <w:jc w:val="left"/>
            </w:pPr>
            <w:r>
              <w:rPr/>
              <w:t>有下列情形之一的，供应商的响应无效，其保证金不予退还或通过保函进行索赔：</w:t>
            </w:r>
          </w:p>
          <w:p>
            <w:pPr>
              <w:pStyle w:val="null3"/>
              <w:jc w:val="left"/>
            </w:pPr>
            <w:r>
              <w:rPr/>
              <w:t>b1不同供应商的电子响应文件具有相同内部识别码；</w:t>
            </w:r>
          </w:p>
          <w:p>
            <w:pPr>
              <w:pStyle w:val="null3"/>
              <w:jc w:val="left"/>
            </w:pPr>
            <w:r>
              <w:rPr/>
              <w:t>b2不同供应商的报价保证金从同一单位或个人的账户转出；</w:t>
            </w:r>
          </w:p>
          <w:p>
            <w:pPr>
              <w:pStyle w:val="null3"/>
              <w:jc w:val="left"/>
            </w:pPr>
            <w:r>
              <w:rPr/>
              <w:t>b3供应商的报价保证金同一合同项下有其他供应商提交的报价保证金。</w:t>
            </w:r>
          </w:p>
          <w:p>
            <w:pPr>
              <w:pStyle w:val="null3"/>
              <w:jc w:val="left"/>
            </w:pPr>
            <w:r>
              <w:rPr/>
              <w:t>(12)其他：</w:t>
            </w:r>
          </w:p>
          <w:p>
            <w:pPr>
              <w:pStyle w:val="null3"/>
              <w:jc w:val="left"/>
            </w:pPr>
            <w:r>
              <w:rPr/>
              <w:t>/</w:t>
            </w:r>
          </w:p>
          <w:p>
            <w:pPr>
              <w:pStyle w:val="null3"/>
              <w:jc w:val="left"/>
            </w:pPr>
            <w:r>
              <w:rPr/>
              <w:t>（与电子竞争性谈判活动有关的其他规定或补充内容可在此处填写）。</w:t>
            </w:r>
          </w:p>
        </w:tc>
      </w:tr>
    </w:tbl>
    <w:p>
      <w:pPr>
        <w:pStyle w:val="null3"/>
        <w:jc w:val="center"/>
        <w:outlineLvl w:val="2"/>
      </w:pPr>
      <w:r>
        <w:rPr>
          <w:sz w:val="28"/>
          <w:b/>
        </w:rPr>
        <w:t>专项附件： 评定成交的标准和方法</w:t>
      </w:r>
    </w:p>
    <w:p>
      <w:pPr>
        <w:pStyle w:val="null3"/>
        <w:jc w:val="center"/>
        <w:outlineLvl w:val="2"/>
      </w:pPr>
      <w:r>
        <w:rPr>
          <w:sz w:val="28"/>
          <w:b/>
        </w:rPr>
        <w:t>一、谈判小组</w:t>
      </w:r>
    </w:p>
    <w:p>
      <w:pPr>
        <w:pStyle w:val="null3"/>
        <w:ind w:firstLine="480"/>
        <w:jc w:val="both"/>
      </w:pPr>
      <w:r>
        <w:rPr/>
        <w:t>1.1采购人根据项目的特点依法组建谈判小组。</w:t>
      </w:r>
    </w:p>
    <w:p>
      <w:pPr>
        <w:pStyle w:val="null3"/>
        <w:ind w:firstLine="480"/>
        <w:jc w:val="both"/>
      </w:pPr>
      <w:r>
        <w:rPr/>
        <w:t>1.2谈判小组</w:t>
      </w:r>
    </w:p>
    <w:p>
      <w:pPr>
        <w:pStyle w:val="null3"/>
        <w:ind w:firstLine="480"/>
        <w:jc w:val="left"/>
      </w:pPr>
      <w:r>
        <w:rPr/>
        <w:t>由采购人代表和评审专家两部分共3人组成，</w:t>
      </w:r>
      <w:r>
        <w:rPr/>
        <w:t>其中由福建省政府采购评审专家库产生的评审专家2人，</w:t>
      </w:r>
      <w:r>
        <w:rPr/>
        <w:t>由采购人派出的采购人代表1人。</w:t>
      </w:r>
      <w:r>
        <w:rPr/>
        <w:t>达到公开招标数额标准的货物或者服务采购项目，或者达到招标规模标准的政府采购工程，竞争性谈判小组应当由5人或以上单数组成。</w:t>
      </w:r>
    </w:p>
    <w:p>
      <w:pPr>
        <w:pStyle w:val="null3"/>
        <w:ind w:firstLine="480"/>
        <w:jc w:val="both"/>
      </w:pPr>
      <w:r>
        <w:rPr/>
        <w:t>1.3谈判小组负责具体谈判和评审事务，并按照下列原则依法独立履行有关职责：</w:t>
      </w:r>
    </w:p>
    <w:p>
      <w:pPr>
        <w:pStyle w:val="null3"/>
        <w:ind w:firstLine="960"/>
        <w:jc w:val="both"/>
      </w:pPr>
      <w:r>
        <w:rPr/>
        <w:t>1.3.1评审应保护国家利益、社会公共利益和各方当事人合法权益，提高采购效益，保证项目质量。</w:t>
      </w:r>
    </w:p>
    <w:p>
      <w:pPr>
        <w:pStyle w:val="null3"/>
        <w:ind w:firstLine="960"/>
        <w:jc w:val="both"/>
      </w:pPr>
      <w:r>
        <w:rPr/>
        <w:t>1.3.2评审应遵循公平、公正、科学、严谨和择优原则。</w:t>
      </w:r>
    </w:p>
    <w:p>
      <w:pPr>
        <w:pStyle w:val="null3"/>
        <w:ind w:firstLine="960"/>
        <w:jc w:val="both"/>
      </w:pPr>
      <w:r>
        <w:rPr/>
        <w:t>1.3.3评审的依据是谈判文件和响应文件，谈判文件中没有规定的评审标准不得作为评审依据。</w:t>
      </w:r>
    </w:p>
    <w:p>
      <w:pPr>
        <w:pStyle w:val="null3"/>
        <w:ind w:firstLine="960"/>
        <w:jc w:val="both"/>
      </w:pPr>
      <w:r>
        <w:rPr/>
        <w:t>1.3.4谈判小组应按照谈判文件规定推荐成交候选供应商或根据采购人的授权确定成交供应商。</w:t>
      </w:r>
    </w:p>
    <w:p>
      <w:pPr>
        <w:pStyle w:val="null3"/>
        <w:ind w:firstLine="960"/>
        <w:jc w:val="both"/>
      </w:pPr>
      <w:r>
        <w:rPr/>
        <w:t>1.3.5评审应遵守下列评审纪律：</w:t>
      </w:r>
    </w:p>
    <w:p>
      <w:pPr>
        <w:pStyle w:val="null3"/>
        <w:ind w:firstLine="960"/>
        <w:jc w:val="both"/>
      </w:pPr>
      <w:r>
        <w:rPr/>
        <w:t>①评审情况不得私自外泄，有关信息由采购人或其委托的代理机构统一对外发布。</w:t>
      </w:r>
    </w:p>
    <w:p>
      <w:pPr>
        <w:pStyle w:val="null3"/>
        <w:ind w:firstLine="960"/>
        <w:jc w:val="both"/>
      </w:pPr>
      <w:r>
        <w:rPr/>
        <w:t>②对采购人或供应商提供的要求保密的资料，不得摘记翻印和外传。</w:t>
      </w:r>
    </w:p>
    <w:p>
      <w:pPr>
        <w:pStyle w:val="null3"/>
        <w:ind w:firstLine="960"/>
        <w:jc w:val="both"/>
      </w:pPr>
      <w:r>
        <w:rPr/>
        <w:t>③不得收受供应商或有关人员的任何礼物，不得串联鼓动其他人袒护某供应商。若与供应商存在利害关系，则应主动声明并回避。</w:t>
      </w:r>
    </w:p>
    <w:p>
      <w:pPr>
        <w:pStyle w:val="null3"/>
        <w:ind w:firstLine="960"/>
        <w:jc w:val="both"/>
      </w:pPr>
      <w:r>
        <w:rPr/>
        <w:t>④全体谈判小组成员应按照谈判文件规定进行评审，一切认定事项应查有实据且不得弄虚作假。</w:t>
      </w:r>
    </w:p>
    <w:p>
      <w:pPr>
        <w:pStyle w:val="null3"/>
        <w:ind w:firstLine="960"/>
        <w:jc w:val="both"/>
      </w:pPr>
      <w:r>
        <w:rPr/>
        <w:t>⑤评审中应充分发扬民主，推荐成交供应商候选人或根据采购人授权确定成交供应商后要服从评审报告。</w:t>
      </w:r>
    </w:p>
    <w:p>
      <w:pPr>
        <w:pStyle w:val="null3"/>
        <w:ind w:firstLine="960"/>
        <w:jc w:val="left"/>
      </w:pPr>
      <w:r>
        <w:rPr>
          <w:b/>
        </w:rPr>
        <w:t>※对违反评审纪律的评委，将取消其评委资格，对评审工作造成严重损失者将予以通报批评乃至追究法律责任。</w:t>
      </w:r>
    </w:p>
    <w:p>
      <w:pPr>
        <w:pStyle w:val="null3"/>
        <w:jc w:val="center"/>
        <w:outlineLvl w:val="2"/>
      </w:pPr>
      <w:r>
        <w:rPr>
          <w:sz w:val="28"/>
          <w:b/>
        </w:rPr>
        <w:t>二、谈判程序</w:t>
      </w:r>
    </w:p>
    <w:p>
      <w:pPr>
        <w:pStyle w:val="null3"/>
        <w:ind w:firstLine="480"/>
        <w:jc w:val="both"/>
      </w:pPr>
      <w:r>
        <w:rPr/>
        <w:t>2.1谈判程序按照谈判文件第二章第2节“竞争性谈判须知”第14条“谈判程序以及评定成交的标准”的相关条款规定执行。</w:t>
      </w:r>
    </w:p>
    <w:p>
      <w:pPr>
        <w:pStyle w:val="null3"/>
        <w:ind w:firstLine="480"/>
        <w:jc w:val="both"/>
      </w:pPr>
      <w:r>
        <w:rPr/>
        <w:t>2.2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left"/>
      </w:pPr>
      <w:r>
        <w:rPr/>
        <w:t>/</w:t>
      </w:r>
    </w:p>
    <w:p>
      <w:pPr>
        <w:pStyle w:val="null3"/>
        <w:ind w:firstLine="480"/>
        <w:jc w:val="both"/>
      </w:pPr>
      <w:r>
        <w:rPr/>
        <w:t>（谈判文件不能详细列明采购标的的技术、服务要求，需经谈判由供应商提供最终设计方案或解决方案的项目，则此文本框中用于填写推荐数量和投票细则等内容，由采购人根据谈判项目实际情况进行具体编制和明确规定）</w:t>
      </w:r>
    </w:p>
    <w:p>
      <w:pPr>
        <w:pStyle w:val="null3"/>
        <w:ind w:firstLine="480"/>
        <w:jc w:val="both"/>
      </w:pPr>
      <w:r>
        <w:rPr/>
        <w:t>2.3只有资格审查和实质性响应审查均合格且按规定提交最后报价的合格供应商才能参加评定成交的最后价格排序和成交候选人推荐。</w:t>
      </w:r>
    </w:p>
    <w:p>
      <w:pPr>
        <w:pStyle w:val="null3"/>
        <w:jc w:val="center"/>
        <w:outlineLvl w:val="2"/>
      </w:pPr>
      <w:r>
        <w:rPr>
          <w:sz w:val="28"/>
          <w:b/>
        </w:rPr>
        <w:t>三、最低评审价法和成交候选人推荐</w:t>
      </w:r>
    </w:p>
    <w:p>
      <w:pPr>
        <w:pStyle w:val="null3"/>
        <w:ind w:firstLine="480"/>
        <w:jc w:val="both"/>
      </w:pPr>
      <w:r>
        <w:rPr/>
        <w:t>3.1谈判小组将采用最低评审价法对提交最后报价的合格供应商的响应文件和最后报价进行评审，并推荐成交候选人。如果谈判项目有多个采购包，则按相应采购包分别进行，具体评审的标准和方法如下：</w:t>
      </w:r>
    </w:p>
    <w:p>
      <w:pPr>
        <w:pStyle w:val="null3"/>
        <w:ind w:firstLine="960"/>
        <w:jc w:val="both"/>
      </w:pPr>
      <w:r>
        <w:rPr/>
        <w:t>3.1.1根据财政部及福建省财政厅等有关政府采购文件规定执行价格评审优惠政策，价格扣除规则如下：</w:t>
      </w:r>
    </w:p>
    <w:p>
      <w:pPr>
        <w:pStyle w:val="null3"/>
        <w:jc w:val="left"/>
      </w:pPr>
      <w:r>
        <w:rPr/>
        <w:t>采购包1：最低评标价法</w:t>
      </w:r>
    </w:p>
    <w:p>
      <w:pPr>
        <w:pStyle w:val="null3"/>
        <w:jc w:val="left"/>
      </w:pPr>
      <w:r>
        <w:rPr/>
        <w:t>响应文件满足谈判文件全部实质性要求，且响应报价最低的供应商为成交候选供应商。</w:t>
      </w:r>
    </w:p>
    <w:p>
      <w:pPr>
        <w:pStyle w:val="null3"/>
        <w:jc w:val="left"/>
      </w:pPr>
      <w:r>
        <w:rPr/>
        <w:t>价格扣除的规则如下：</w:t>
      </w:r>
    </w:p>
    <w:p>
      <w:pPr>
        <w:pStyle w:val="null3"/>
        <w:jc w:val="left"/>
      </w:pPr>
      <w:r>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bl>
    <w:p>
      <w:pPr>
        <w:pStyle w:val="null3"/>
        <w:jc w:val="left"/>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left"/>
            </w:pPr>
            <w:r>
              <w:rPr/>
              <w:t xml:space="preserve"> 项目</w:t>
            </w:r>
          </w:p>
        </w:tc>
        <w:tc>
          <w:tcPr>
            <w:tcW w:type="dxa" w:w="1038"/>
          </w:tcPr>
          <w:p>
            <w:pPr>
              <w:pStyle w:val="null3"/>
              <w:jc w:val="left"/>
            </w:pPr>
            <w:r>
              <w:rPr/>
              <w:t xml:space="preserve"> 比例</w:t>
            </w:r>
          </w:p>
        </w:tc>
        <w:tc>
          <w:tcPr>
            <w:tcW w:type="dxa" w:w="5191"/>
          </w:tcPr>
          <w:p>
            <w:pPr>
              <w:pStyle w:val="null3"/>
              <w:jc w:val="left"/>
            </w:pPr>
            <w:r>
              <w:rPr/>
              <w:t xml:space="preserve"> 方法</w:t>
            </w:r>
          </w:p>
        </w:tc>
      </w:tr>
      <w:tr>
        <w:tc>
          <w:tcPr>
            <w:tcW w:type="dxa" w:w="2076"/>
          </w:tcPr>
          <w:p>
            <w:pPr>
              <w:pStyle w:val="null3"/>
              <w:jc w:val="left"/>
            </w:pPr>
            <w:r>
              <w:rPr/>
              <w:t>节能、环境标志产品</w:t>
            </w:r>
          </w:p>
        </w:tc>
        <w:tc>
          <w:tcPr>
            <w:tcW w:type="dxa" w:w="1038"/>
          </w:tcPr>
          <w:p>
            <w:pPr>
              <w:pStyle w:val="null3"/>
              <w:jc w:val="right"/>
            </w:pPr>
            <w:r>
              <w:rPr/>
              <w:t>10.0000%</w:t>
            </w:r>
          </w:p>
        </w:tc>
        <w:tc>
          <w:tcPr>
            <w:tcW w:type="dxa" w:w="5191"/>
          </w:tcPr>
          <w:p>
            <w:pPr>
              <w:pStyle w:val="null3"/>
              <w:jc w:val="left"/>
            </w:pPr>
            <w:r>
              <w:rPr/>
              <w:t>若同一合同包内有节能（非强制类产品）、环境标志产品的将给予该节能（非强制类产品）、环境标志产品每个单项报价10%的价格扣除。供应商在报价时必须对属于非强制性节能、环境标志产品清单内产品单独分项报价，并于响应中提供“属于节能、环境标志产品的情况”（详见谈判文件格式）及属于节能（非强制类产品）、环境标志产品的证明资料（国家确定的认证机构出具的、处于有效期之内的产品认证证书复印件）加盖供应商公章，未按要求提供则该产品不享受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合同包内的节能、环境标志产品部分价格扣除只对属于清单内的非强制类产品进行价格扣除，强制类产品不给予价格扣除；③若同一合同包内的节能（非强制类产品）、环境标志产品仅是构成报价产品的部件、组件或零件的（如服装、窗帘产品的棉、化纤 纺织等），则不给予价格扣除。同一品目中各认证证书不重复计算价格扣除。强制类节能产品不享受价格扣除。</w:t>
            </w:r>
          </w:p>
        </w:tc>
      </w:tr>
    </w:tbl>
    <w:p>
      <w:pPr>
        <w:pStyle w:val="null3"/>
        <w:jc w:val="left"/>
      </w:pPr>
      <w:r>
        <w:rPr/>
        <w:t>其他：无</w:t>
      </w:r>
    </w:p>
    <w:p>
      <w:pPr>
        <w:pStyle w:val="null3"/>
        <w:jc w:val="left"/>
      </w:pPr>
      <w:r>
        <w:rPr/>
        <w:t>※除落实政府采购政策需进行的价格扣除情形外，不能对供应商的报价进行任何调整。</w:t>
      </w:r>
    </w:p>
    <w:p>
      <w:pPr>
        <w:pStyle w:val="null3"/>
        <w:jc w:val="left"/>
      </w:pPr>
      <w:r>
        <w:rPr/>
        <w:t>（3）成交候选供应商排列规则顺序如下：</w:t>
      </w:r>
    </w:p>
    <w:p>
      <w:pPr>
        <w:pStyle w:val="null3"/>
        <w:jc w:val="left"/>
      </w:pPr>
      <w:r>
        <w:rPr/>
        <w:t>a.按照评审价（即价格扣除后的响应报价）由低到高顺序排列。</w:t>
      </w:r>
    </w:p>
    <w:p>
      <w:pPr>
        <w:pStyle w:val="null3"/>
        <w:jc w:val="left"/>
      </w:pPr>
      <w:r>
        <w:rPr/>
        <w:t>b.评审价相同的并列。</w:t>
      </w:r>
    </w:p>
    <w:p>
      <w:pPr>
        <w:pStyle w:val="null3"/>
        <w:jc w:val="left"/>
      </w:pPr>
      <w:r>
        <w:rPr/>
        <w:t>采购包2：最低评标价法</w:t>
      </w:r>
    </w:p>
    <w:p>
      <w:pPr>
        <w:pStyle w:val="null3"/>
        <w:jc w:val="left"/>
      </w:pPr>
      <w:r>
        <w:rPr/>
        <w:t>响应文件满足谈判文件全部实质性要求，且响应报价最低的供应商为成交候选供应商。</w:t>
      </w:r>
    </w:p>
    <w:p>
      <w:pPr>
        <w:pStyle w:val="null3"/>
        <w:jc w:val="left"/>
      </w:pPr>
      <w:r>
        <w:rPr/>
        <w:t>价格扣除的规则如下：</w:t>
      </w:r>
    </w:p>
    <w:p>
      <w:pPr>
        <w:pStyle w:val="null3"/>
        <w:jc w:val="left"/>
      </w:pPr>
      <w:r>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r>
        <w:tc>
          <w:tcPr>
            <w:tcW w:type="dxa" w:w="1661"/>
          </w:tcPr>
          <w:p>
            <w:pPr>
              <w:pStyle w:val="null3"/>
              <w:jc w:val="left"/>
            </w:pPr>
            <w:r>
              <w:rPr/>
              <w:t>小型、微型企业，监狱企业，残疾人福利性单位</w:t>
            </w:r>
          </w:p>
        </w:tc>
        <w:tc>
          <w:tcPr>
            <w:tcW w:type="dxa" w:w="1661"/>
          </w:tcPr>
          <w:p>
            <w:pPr>
              <w:pStyle w:val="null3"/>
              <w:jc w:val="left"/>
            </w:pPr>
            <w:r>
              <w:rPr/>
              <w:t>投标人或者联合体均为小型、微型企业</w:t>
            </w:r>
          </w:p>
        </w:tc>
        <w:tc>
          <w:tcPr>
            <w:tcW w:type="dxa" w:w="831"/>
          </w:tcPr>
          <w:p>
            <w:pPr>
              <w:pStyle w:val="null3"/>
              <w:jc w:val="right"/>
            </w:pPr>
            <w:r>
              <w:rPr/>
              <w:t>15.0000%</w:t>
            </w:r>
          </w:p>
        </w:tc>
        <w:tc>
          <w:tcPr>
            <w:tcW w:type="dxa" w:w="4153"/>
          </w:tcPr>
          <w:p>
            <w:pPr>
              <w:pStyle w:val="null3"/>
              <w:jc w:val="left"/>
            </w:pPr>
            <w:r>
              <w:rPr/>
              <w:t>一、根据财政部财库〔2020〕46号关于印发《政府采购促进中小企业发展管理办法》的通知和《福建省财政厅关于进一步加大政府采购支持中小企业力度的通知》（闽财规〔2022〕13号）执行，对小型和微型企业提供的货物或服务的价格给予15%（工程项目为3%）的扣除，用扣除后的价格参与价格部分的评审。（即所投全部产品或服务属于小型和微型企业产品或服务的，按其总报价的15%进行扣除，若供应商提供的货物既有中小企业制造货物，也有大型企业制造货物的，不享受中小企业扶持政策）。1.享受价格扣除的供应商应当同时符合以下条件：①符合《中小企业划分标准》中的小、微企业标准（工信部联企业〔2011〕300号）；②提供本企业制造的货物、承担的工程或者服务，或者提供其他小微企业制造的货物。 2.联合体是否享受该扶持政策的规定：（不接受联合体投标的项目不适用于此款规定）。①以联合体形式参加政府采购活动，联合体各方均为中小企业的，联合体视同中小企业。其中，联合体各方均为小微企业的，联合体视同小微企业。 ②接受大中型企业与小微企业组成联合体或者允许大中 型企业向一家或者多家小微企业分包的采购项目，对于联合协议或者分包意向协议约定小微企业的合同份额占到合同总金额 30%以上的，对于联合体或者大中型企业的报价给予5%（工程项目为 1%）的扣除，用扣除后的价格参加评审。3.下述情形，不享受小微企业优惠政策：①所投产品为进口产品的；②组成联合体或者接受分包的小微企业与联合体内其他企业、分包企业之间存在直接控股、管理关系的，不享受价格扣除优惠政策；③小型、微型企业将获得政府采购合同分包或转包给大型、中型企业，中型企业分包或转包给大型企业的；④中型、大型企业不享受该项优惠政策。小型、微型企业提供中型企业或大型企业制造的货物的，视同为中型企业。⑤所投产品为使用大型企业注册商标的货物的。4.供应商应提供下述证明材料：本项目采购标的属性为货物类，所属行业为其他工业[若供应商提供的《中小企业声明函》中填写的行业与谈判文件明确的采购标的对应的中小企业划分标准所属行业不一致，则不予认定为小微企业]，供应商所投的所有产品制造商须为小微企业，否则将不给予价格扣除。二、根据财库【2014】68号文《关于政府采购支持监狱企业发展有关问题的通知》的规定，在政府采购活动中，监狱企业视同小型、微型企业，享受预留份额、评审中价格扣除等政府采购促进中小企业发展的政府采购政策。监狱企业参加政府采购活动时，应当提供由省级以上监狱管理局、戒毒管理局(含新疆生产建设兵团)出具的属于监狱企业的证明文件。 三、根据财库〔2017〕141号文《关于促进残疾人就业政府采购政策的通知》的规定，在政府采购活动中，残疾人福利性单位视同小型、微型企业，享受预留份额、评审中价格扣除等促进中小企业发展的政府采购政策。根据福建省财政厅 福建省民政厅 福建省残疾人联合会《关于进一步落实政府采购支持残疾人就业政策的通知》规定，对于非专门面向中小企业的项目，对残疾人福利性单位制造的货物、承担的工程或服务价格按照《福建省财政厅关于进一步加大政府采购支持中小企业力度的通知》（闽财规〔2022〕13号）执行；对残疾人福利性单位与其他组织组成联合体参与政府采购活动的，残疾人福利性单位的协议合同金额占总合同金额30%以上的，给予联合体合同金额3%的价格扣除。残疾人福利性单位参加政府采购活动时，残疾人福利性单位享受价格扣除的货物、服务或工程是指只由本单位制造的货物、承担的工程或服务，或者只由其他残疾人福利性单位制造的货物（不包括使用非残疾人福利性单位注册商标的货物），供应商应当提供财库〔2017〕141号文规定格式的《残疾人福利性单位声明函》及标明具体哪些货物是其本单位制造的货物，或者是由其他残疾人福利性单位制造的货物（不包括使用非残疾人福利性单位注册商标的货物），仅有标明部分的货物才能启动价格扣除。残疾人福利性单位属于小型、微型企业的，不重复享受政策。成交供应商为残疾人福利性单位的，采购代理机构将在中标、成交结果同时公告其《残疾人福利性单位声明函》，接受社会监督。如发现供应商提供的《残疾人福利性单位声明函》与事实不符的，视为其提供虚假材料谋取中标、成交，其中标、成交无效，并依照《政府采购法》第七十七条第一款的规定追究法律责任。</w:t>
            </w:r>
          </w:p>
        </w:tc>
      </w:tr>
    </w:tbl>
    <w:p>
      <w:pPr>
        <w:pStyle w:val="null3"/>
        <w:jc w:val="left"/>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left"/>
            </w:pPr>
            <w:r>
              <w:rPr/>
              <w:t xml:space="preserve"> 项目</w:t>
            </w:r>
          </w:p>
        </w:tc>
        <w:tc>
          <w:tcPr>
            <w:tcW w:type="dxa" w:w="1038"/>
          </w:tcPr>
          <w:p>
            <w:pPr>
              <w:pStyle w:val="null3"/>
              <w:jc w:val="left"/>
            </w:pPr>
            <w:r>
              <w:rPr/>
              <w:t xml:space="preserve"> 比例</w:t>
            </w:r>
          </w:p>
        </w:tc>
        <w:tc>
          <w:tcPr>
            <w:tcW w:type="dxa" w:w="5191"/>
          </w:tcPr>
          <w:p>
            <w:pPr>
              <w:pStyle w:val="null3"/>
              <w:jc w:val="left"/>
            </w:pPr>
            <w:r>
              <w:rPr/>
              <w:t xml:space="preserve"> 方法</w:t>
            </w:r>
          </w:p>
        </w:tc>
      </w:tr>
      <w:tr>
        <w:tc>
          <w:tcPr>
            <w:tcW w:type="dxa" w:w="2076"/>
          </w:tcPr>
          <w:p>
            <w:pPr>
              <w:pStyle w:val="null3"/>
              <w:jc w:val="left"/>
            </w:pPr>
            <w:r>
              <w:rPr/>
              <w:t>节能、环境标志产品</w:t>
            </w:r>
          </w:p>
        </w:tc>
        <w:tc>
          <w:tcPr>
            <w:tcW w:type="dxa" w:w="1038"/>
          </w:tcPr>
          <w:p>
            <w:pPr>
              <w:pStyle w:val="null3"/>
              <w:jc w:val="right"/>
            </w:pPr>
            <w:r>
              <w:rPr/>
              <w:t>10.0000%</w:t>
            </w:r>
          </w:p>
        </w:tc>
        <w:tc>
          <w:tcPr>
            <w:tcW w:type="dxa" w:w="5191"/>
          </w:tcPr>
          <w:p>
            <w:pPr>
              <w:pStyle w:val="null3"/>
              <w:jc w:val="left"/>
            </w:pPr>
            <w:r>
              <w:rPr/>
              <w:t>若同一合同包内有节能（非强制类产品）、环境标志产品的将给予该节能（非强制类产品）、环境标志产品每个单项报价10%的价格扣除。供应商在报价时必须对属于非强制性节能、环境标志产品清单内产品单独分项报价，并于响应中提供“属于节能、环境标志产品的情况”（详见谈判文件格式）及属于节能（非强制类产品）、环境标志产品的证明资料（国家确定的认证机构出具的、处于有效期之内的产品认证证书复印件）加盖供应商公章，未按要求提供则该产品不享受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合同包内的节能、环境标志产品部分价格扣除只对属于清单内的非强制类产品进行价格扣除，强制类产品不给予价格扣除；③若同一合同包内的节能（非强制类产品）、环境标志产品仅是构成报价产品的部件、组件或零件的（如服装、窗帘产品的棉、化纤 纺织等），则不给予价格扣除。同一品目中各认证证书不重复计算价格扣除。强制类节能产品不享受价格扣除。</w:t>
            </w:r>
          </w:p>
        </w:tc>
      </w:tr>
    </w:tbl>
    <w:p>
      <w:pPr>
        <w:pStyle w:val="null3"/>
        <w:jc w:val="left"/>
      </w:pPr>
      <w:r>
        <w:rPr/>
        <w:t>其他：无</w:t>
      </w:r>
    </w:p>
    <w:p>
      <w:pPr>
        <w:pStyle w:val="null3"/>
        <w:jc w:val="left"/>
      </w:pPr>
      <w:r>
        <w:rPr/>
        <w:t>※除落实政府采购政策需进行的价格扣除情形外，不能对供应商的报价进行任何调整。</w:t>
      </w:r>
    </w:p>
    <w:p>
      <w:pPr>
        <w:pStyle w:val="null3"/>
        <w:jc w:val="left"/>
      </w:pPr>
      <w:r>
        <w:rPr/>
        <w:t>（3）成交候选供应商排列规则顺序如下：</w:t>
      </w:r>
    </w:p>
    <w:p>
      <w:pPr>
        <w:pStyle w:val="null3"/>
        <w:jc w:val="left"/>
      </w:pPr>
      <w:r>
        <w:rPr/>
        <w:t>a.按照评审价（即价格扣除后的响应报价）由低到高顺序排列。</w:t>
      </w:r>
    </w:p>
    <w:p>
      <w:pPr>
        <w:pStyle w:val="null3"/>
        <w:jc w:val="left"/>
      </w:pPr>
      <w:r>
        <w:rPr/>
        <w:t>b.评审价相同的并列。</w:t>
      </w:r>
    </w:p>
    <w:p>
      <w:pPr>
        <w:pStyle w:val="null3"/>
        <w:jc w:val="left"/>
      </w:pPr>
      <w:r>
        <w:rPr/>
        <w:t>采购包3：最低评标价法</w:t>
      </w:r>
    </w:p>
    <w:p>
      <w:pPr>
        <w:pStyle w:val="null3"/>
        <w:jc w:val="left"/>
      </w:pPr>
      <w:r>
        <w:rPr/>
        <w:t>响应文件满足谈判文件全部实质性要求，且响应报价最低的供应商为成交候选供应商。</w:t>
      </w:r>
    </w:p>
    <w:p>
      <w:pPr>
        <w:pStyle w:val="null3"/>
        <w:jc w:val="left"/>
      </w:pPr>
      <w:r>
        <w:rPr/>
        <w:t>价格扣除的规则如下：</w:t>
      </w:r>
    </w:p>
    <w:p>
      <w:pPr>
        <w:pStyle w:val="null3"/>
        <w:jc w:val="left"/>
      </w:pPr>
      <w:r>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r>
        <w:tc>
          <w:tcPr>
            <w:tcW w:type="dxa" w:w="1661"/>
          </w:tcPr>
          <w:p>
            <w:pPr>
              <w:pStyle w:val="null3"/>
              <w:jc w:val="left"/>
            </w:pPr>
            <w:r>
              <w:rPr/>
              <w:t>小型、微型企业，监狱企业，残疾人福利性单位</w:t>
            </w:r>
          </w:p>
        </w:tc>
        <w:tc>
          <w:tcPr>
            <w:tcW w:type="dxa" w:w="1661"/>
          </w:tcPr>
          <w:p>
            <w:pPr>
              <w:pStyle w:val="null3"/>
              <w:jc w:val="left"/>
            </w:pPr>
            <w:r>
              <w:rPr/>
              <w:t>投标人或者联合体均为小型、微型企业</w:t>
            </w:r>
          </w:p>
        </w:tc>
        <w:tc>
          <w:tcPr>
            <w:tcW w:type="dxa" w:w="831"/>
          </w:tcPr>
          <w:p>
            <w:pPr>
              <w:pStyle w:val="null3"/>
              <w:jc w:val="right"/>
            </w:pPr>
            <w:r>
              <w:rPr/>
              <w:t>15.0000%</w:t>
            </w:r>
          </w:p>
        </w:tc>
        <w:tc>
          <w:tcPr>
            <w:tcW w:type="dxa" w:w="4153"/>
          </w:tcPr>
          <w:p>
            <w:pPr>
              <w:pStyle w:val="null3"/>
              <w:jc w:val="left"/>
            </w:pPr>
            <w:r>
              <w:rPr/>
              <w:t>一、根据财政部财库〔2020〕46号关于印发《政府采购促进中小企业发展管理办法》的通知和《福建省财政厅关于进一步加大政府采购支持中小企业力度的通知》（闽财规〔2022〕13号）执行，对小型和微型企业提供的货物或服务的价格给予15%（工程项目为3%）的扣除，用扣除后的价格参与价格部分的评审。（即所投全部产品或服务属于小型和微型企业产品或服务的，按其总报价的15%进行扣除，若供应商提供的货物既有中小企业制造货物，也有大型企业制造货物的，不享受中小企业扶持政策）。1.享受价格扣除的供应商应当同时符合以下条件：①符合《中小企业划分标准》中的小、微企业标准（工信部联企业〔2011〕300号）；②提供本企业制造的货物、承担的工程或者服务，或者提供其他小微企业制造的货物。 2.联合体是否享受该扶持政策的规定：（不接受联合体投标的项目不适用于此款规定）。①以联合体形式参加政府采购活动，联合体各方均为中小企业的，联合体视同中小企业。其中，联合体各方均为小微企业的，联合体视同小微企业。 ②接受大中型企业与小微企业组成联合体或者允许大中 型企业向一家或者多家小微企业分包的采购项目，对于联合协议或者分包意向协议约定小微企业的合同份额占到合同总金额 30%以上的，对于联合体或者大中型企业的报价给予5%（工程项目为 1%）的扣除，用扣除后的价格参加评审。3.下述情形，不享受小微企业优惠政策：①所投产品为进口产品的；②组成联合体或者接受分包的小微企业与联合体内其他企业、分包企业之间存在直接控股、管理关系的，不享受价格扣除优惠政策；③小型、微型企业将获得政府采购合同分包或转包给大型、中型企业，中型企业分包或转包给大型企业的；④中型、大型企业不享受该项优惠政策。小型、微型企业提供中型企业或大型企业制造的货物的，视同为中型企业。⑤所投产品为使用大型企业注册商标的货物的。4.供应商应提供下述证明材料：本项目采购标的属性为货物类，所属行业为其他工业[若供应商提供的《中小企业声明函》中填写的行业与谈判文件明确的采购标的对应的中小企业划分标准所属行业不一致，则不予认定为小微企业]，供应商所投的所有产品制造商须为小微企业，否则将不给予价格扣除。二、根据财库【2014】68号文《关于政府采购支持监狱企业发展有关问题的通知》的规定，在政府采购活动中，监狱企业视同小型、微型企业，享受预留份额、评审中价格扣除等政府采购促进中小企业发展的政府采购政策。监狱企业参加政府采购活动时，应当提供由省级以上监狱管理局、戒毒管理局(含新疆生产建设兵团)出具的属于监狱企业的证明文件。 三、根据财库〔2017〕141号文《关于促进残疾人就业政府采购政策的通知》的规定，在政府采购活动中，残疾人福利性单位视同小型、微型企业，享受预留份额、评审中价格扣除等促进中小企业发展的政府采购政策。根据福建省财政厅 福建省民政厅 福建省残疾人联合会《关于进一步落实政府采购支持残疾人就业政策的通知》规定，对于非专门面向中小企业的项目，对残疾人福利性单位制造的货物、承担的工程或服务价格按照《福建省财政厅关于进一步加大政府采购支持中小企业力度的通知》（闽财规〔2022〕13号）执行；对残疾人福利性单位与其他组织组成联合体参与政府采购活动的，残疾人福利性单位的协议合同金额占总合同金额30%以上的，给予联合体合同金额3%的价格扣除。残疾人福利性单位参加政府采购活动时，残疾人福利性单位享受价格扣除的货物、服务或工程是指只由本单位制造的货物、承担的工程或服务，或者只由其他残疾人福利性单位制造的货物（不包括使用非残疾人福利性单位注册商标的货物），供应商应当提供财库〔2017〕141号文规定格式的《残疾人福利性单位声明函》及标明具体哪些货物是其本单位制造的货物，或者是由其他残疾人福利性单位制造的货物（不包括使用非残疾人福利性单位注册商标的货物），仅有标明部分的货物才能启动价格扣除。残疾人福利性单位属于小型、微型企业的，不重复享受政策。成交供应商为残疾人福利性单位的，采购代理机构将在中标、成交结果同时公告其《残疾人福利性单位声明函》，接受社会监督。如发现供应商提供的《残疾人福利性单位声明函》与事实不符的，视为其提供虚假材料谋取中标、成交，其中标、成交无效，并依照《政府采购法》第七十七条第一款的规定追究法律责任。</w:t>
            </w:r>
          </w:p>
        </w:tc>
      </w:tr>
    </w:tbl>
    <w:p>
      <w:pPr>
        <w:pStyle w:val="null3"/>
        <w:jc w:val="left"/>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left"/>
            </w:pPr>
            <w:r>
              <w:rPr/>
              <w:t xml:space="preserve"> 项目</w:t>
            </w:r>
          </w:p>
        </w:tc>
        <w:tc>
          <w:tcPr>
            <w:tcW w:type="dxa" w:w="1038"/>
          </w:tcPr>
          <w:p>
            <w:pPr>
              <w:pStyle w:val="null3"/>
              <w:jc w:val="left"/>
            </w:pPr>
            <w:r>
              <w:rPr/>
              <w:t xml:space="preserve"> 比例</w:t>
            </w:r>
          </w:p>
        </w:tc>
        <w:tc>
          <w:tcPr>
            <w:tcW w:type="dxa" w:w="5191"/>
          </w:tcPr>
          <w:p>
            <w:pPr>
              <w:pStyle w:val="null3"/>
              <w:jc w:val="left"/>
            </w:pPr>
            <w:r>
              <w:rPr/>
              <w:t xml:space="preserve"> 方法</w:t>
            </w:r>
          </w:p>
        </w:tc>
      </w:tr>
      <w:tr>
        <w:tc>
          <w:tcPr>
            <w:tcW w:type="dxa" w:w="2076"/>
          </w:tcPr>
          <w:p>
            <w:pPr>
              <w:pStyle w:val="null3"/>
              <w:jc w:val="left"/>
            </w:pPr>
            <w:r>
              <w:rPr/>
              <w:t>节能、环境标志产品</w:t>
            </w:r>
          </w:p>
        </w:tc>
        <w:tc>
          <w:tcPr>
            <w:tcW w:type="dxa" w:w="1038"/>
          </w:tcPr>
          <w:p>
            <w:pPr>
              <w:pStyle w:val="null3"/>
              <w:jc w:val="right"/>
            </w:pPr>
            <w:r>
              <w:rPr/>
              <w:t>10.0000%</w:t>
            </w:r>
          </w:p>
        </w:tc>
        <w:tc>
          <w:tcPr>
            <w:tcW w:type="dxa" w:w="5191"/>
          </w:tcPr>
          <w:p>
            <w:pPr>
              <w:pStyle w:val="null3"/>
              <w:jc w:val="left"/>
            </w:pPr>
            <w:r>
              <w:rPr/>
              <w:t>若同一合同包内有节能（非强制类产品）、环境标志产品的将给予该节能（非强制类产品）、环境标志产品每个单项报价10%的价格扣除。供应商在报价时必须对属于非强制性节能、环境标志产品清单内产品单独分项报价，并于响应中提供“属于节能、环境标志产品的情况”（详见谈判文件格式）及属于节能（非强制类产品）、环境标志产品的证明资料（国家确定的认证机构出具的、处于有效期之内的产品认证证书复印件）加盖供应商公章，未按要求提供则该产品不享受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合同包内的节能、环境标志产品部分价格扣除只对属于清单内的非强制类产品进行价格扣除，强制类产品不给予价格扣除；③若同一合同包内的节能（非强制类产品）、环境标志产品仅是构成报价产品的部件、组件或零件的（如服装、窗帘产品的棉、化纤 纺织等），则不给予价格扣除。同一品目中各认证证书不重复计算价格扣除。强制类节能产品不享受价格扣除。</w:t>
            </w:r>
          </w:p>
        </w:tc>
      </w:tr>
    </w:tbl>
    <w:p>
      <w:pPr>
        <w:pStyle w:val="null3"/>
        <w:jc w:val="left"/>
      </w:pPr>
      <w:r>
        <w:rPr/>
        <w:t>其他：无</w:t>
      </w:r>
    </w:p>
    <w:p>
      <w:pPr>
        <w:pStyle w:val="null3"/>
        <w:jc w:val="left"/>
      </w:pPr>
      <w:r>
        <w:rPr/>
        <w:t>※除落实政府采购政策需进行的价格扣除情形外，不能对供应商的报价进行任何调整。</w:t>
      </w:r>
    </w:p>
    <w:p>
      <w:pPr>
        <w:pStyle w:val="null3"/>
        <w:jc w:val="left"/>
      </w:pPr>
      <w:r>
        <w:rPr/>
        <w:t>（3）成交候选供应商排列规则顺序如下：</w:t>
      </w:r>
    </w:p>
    <w:p>
      <w:pPr>
        <w:pStyle w:val="null3"/>
        <w:jc w:val="left"/>
      </w:pPr>
      <w:r>
        <w:rPr/>
        <w:t>a.按照评审价（即价格扣除后的响应报价）由低到高顺序排列。</w:t>
      </w:r>
    </w:p>
    <w:p>
      <w:pPr>
        <w:pStyle w:val="null3"/>
        <w:jc w:val="left"/>
      </w:pPr>
      <w:r>
        <w:rPr/>
        <w:t>b.评审价相同的并列。</w:t>
      </w:r>
    </w:p>
    <w:p>
      <w:pPr>
        <w:pStyle w:val="null3"/>
        <w:ind w:firstLine="960"/>
        <w:jc w:val="both"/>
      </w:pPr>
      <w:r>
        <w:rPr/>
        <w:t>c.其他：</w:t>
      </w:r>
    </w:p>
    <w:p>
      <w:pPr>
        <w:pStyle w:val="null3"/>
        <w:jc w:val="both"/>
      </w:pPr>
      <w:r>
        <w:rPr/>
        <w:t>/</w:t>
      </w:r>
    </w:p>
    <w:p>
      <w:pPr>
        <w:pStyle w:val="null3"/>
        <w:ind w:firstLine="960"/>
        <w:jc w:val="both"/>
      </w:pPr>
      <w:r>
        <w:rPr/>
        <w:t>3.1.2合格供应商提交的最后报价按照上文3.1.1款规定的价格扣除规则计算后，得出的价格称为最后报价评审价。</w:t>
      </w:r>
    </w:p>
    <w:p>
      <w:pPr>
        <w:pStyle w:val="null3"/>
        <w:ind w:firstLine="960"/>
        <w:jc w:val="left"/>
      </w:pPr>
      <w:r>
        <w:rPr/>
        <w:t xml:space="preserve">3.1.3 </w:t>
      </w:r>
      <w:r>
        <w:rPr/>
        <w:t>谈判小组将从质量和服务均能满足采购文件实质性响应要求的供应商中，按照最后报价评审价由低到高的顺序提出3名以上成交候选人，并编写评审报告。</w:t>
      </w:r>
      <w:r>
        <w:rPr/>
        <w:t xml:space="preserve"> 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按照以下方式和顺序进行处理：</w:t>
      </w:r>
    </w:p>
    <w:p>
      <w:pPr>
        <w:pStyle w:val="null3"/>
        <w:ind w:firstLine="960"/>
        <w:jc w:val="left"/>
      </w:pPr>
      <w:r>
        <w:rPr/>
        <w:t>（1）谈判文件可以约定出现并列最低评审价情形时的优先顺序规则，具体规则为：</w:t>
      </w:r>
    </w:p>
    <w:p>
      <w:pPr>
        <w:pStyle w:val="null3"/>
        <w:jc w:val="left"/>
      </w:pPr>
      <w:r>
        <w:rPr/>
        <w:t>/</w:t>
      </w:r>
    </w:p>
    <w:p>
      <w:pPr>
        <w:pStyle w:val="null3"/>
        <w:ind w:firstLine="960"/>
        <w:jc w:val="both"/>
      </w:pPr>
      <w:r>
        <w:rPr/>
        <w:t>（2）谈判文件未约定优先顺序规则时，则由谈判小组中的采购人代表从并列最低评审价名单中自行选择确定优先顺序</w:t>
      </w:r>
    </w:p>
    <w:p>
      <w:pPr>
        <w:pStyle w:val="null3"/>
        <w:ind w:firstLine="960"/>
        <w:jc w:val="both"/>
      </w:pPr>
      <w:r>
        <w:rPr/>
        <w:t>（3）采购人代表放弃自行选择确定权利的，则通过随机抽取方式确定优先顺序。</w:t>
      </w:r>
    </w:p>
    <w:p>
      <w:pPr>
        <w:pStyle w:val="null3"/>
        <w:jc w:val="center"/>
        <w:outlineLvl w:val="2"/>
      </w:pPr>
      <w:r>
        <w:rPr>
          <w:sz w:val="28"/>
          <w:b/>
        </w:rPr>
        <w:t>四、评审报告</w:t>
      </w:r>
    </w:p>
    <w:p>
      <w:pPr>
        <w:pStyle w:val="null3"/>
        <w:ind w:firstLine="480"/>
        <w:jc w:val="both"/>
      </w:pPr>
      <w:r>
        <w:rPr/>
        <w:t>4.1谈判小组完成评审后，应当编写评审报告并提交给采购人。</w:t>
      </w:r>
    </w:p>
    <w:p>
      <w:pPr>
        <w:pStyle w:val="null3"/>
        <w:ind w:firstLine="480"/>
        <w:jc w:val="both"/>
      </w:pPr>
      <w:r>
        <w:rPr/>
        <w:t>4.2评审报告应当包括以下主要内容：</w:t>
      </w:r>
    </w:p>
    <w:p>
      <w:pPr>
        <w:pStyle w:val="null3"/>
        <w:ind w:firstLine="480"/>
        <w:jc w:val="both"/>
      </w:pPr>
      <w:r>
        <w:rPr/>
        <w:t>（一）邀请供应商参加采购活动的具体方式和相关情况，以及参加采购活动的供应商名单；</w:t>
      </w:r>
    </w:p>
    <w:p>
      <w:pPr>
        <w:pStyle w:val="null3"/>
        <w:ind w:firstLine="480"/>
        <w:jc w:val="both"/>
      </w:pPr>
      <w:r>
        <w:rPr/>
        <w:t>（二）评审日期和地点，谈判小组成员名单；</w:t>
      </w:r>
    </w:p>
    <w:p>
      <w:pPr>
        <w:pStyle w:val="null3"/>
        <w:ind w:firstLine="480"/>
        <w:jc w:val="both"/>
      </w:pPr>
      <w:r>
        <w:rPr/>
        <w:t>（三）评审情况记录和说明，包括对供应商的资格审查情况、供应商响应文件评审情况、谈判情况、报价情况等；</w:t>
      </w:r>
    </w:p>
    <w:p>
      <w:pPr>
        <w:pStyle w:val="null3"/>
        <w:ind w:firstLine="480"/>
        <w:jc w:val="both"/>
      </w:pPr>
      <w:r>
        <w:rPr/>
        <w:t>（四）提出的成交候选人的名单及理由。</w:t>
      </w:r>
    </w:p>
    <w:p>
      <w:pPr>
        <w:pStyle w:val="null3"/>
        <w:ind w:firstLine="480"/>
        <w:jc w:val="both"/>
      </w:pPr>
      <w:r>
        <w:rPr/>
        <w:t>4.3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both"/>
      </w:pPr>
      <w:r>
        <w:rPr/>
        <w:t>5.1其他规定</w:t>
      </w:r>
    </w:p>
    <w:p>
      <w:pPr>
        <w:pStyle w:val="null3"/>
        <w:ind w:firstLine="960"/>
        <w:jc w:val="both"/>
      </w:pPr>
      <w:r>
        <w:rPr/>
        <w:t>5.1.1评审应全程保密且不得透露给任一供应商或与评审工作无关的人员。</w:t>
      </w:r>
    </w:p>
    <w:p>
      <w:pPr>
        <w:pStyle w:val="null3"/>
        <w:ind w:firstLine="960"/>
        <w:jc w:val="both"/>
      </w:pPr>
      <w:r>
        <w:rPr/>
        <w:t>5.1.2评审将进行全程实时录音录像，录音录像资料随采购文件一并存档。</w:t>
      </w:r>
    </w:p>
    <w:p>
      <w:pPr>
        <w:pStyle w:val="null3"/>
        <w:ind w:firstLine="960"/>
        <w:jc w:val="both"/>
      </w:pPr>
      <w:r>
        <w:rPr/>
        <w:t>5.1.3若供应商有任何试图干扰具体评审事务，影响谈判小组独立履行职责的行为，其响应无效且不予退还谈判保证金或通过保函进行索赔。情节严重的，由财政部门列入不良行为记录。</w:t>
      </w:r>
    </w:p>
    <w:p>
      <w:pPr>
        <w:pStyle w:val="null3"/>
        <w:ind w:firstLine="960"/>
        <w:jc w:val="both"/>
      </w:pPr>
      <w:r>
        <w:rPr/>
        <w:t>5.1.4根据采购项目的特点和需要，需要加以详细说明的其他谈判程序规定、要求等内容：</w:t>
      </w:r>
    </w:p>
    <w:p>
      <w:pPr>
        <w:pStyle w:val="null3"/>
        <w:jc w:val="left"/>
      </w:pPr>
      <w:r>
        <w:rPr/>
        <w:t>/</w:t>
      </w:r>
    </w:p>
    <w:p>
      <w:pPr>
        <w:pStyle w:val="null3"/>
        <w:jc w:val="center"/>
        <w:outlineLvl w:val="2"/>
      </w:pPr>
      <w:r>
        <w:rPr>
          <w:sz w:val="28"/>
          <w:b/>
        </w:rPr>
        <w:t>第2节 竞争性谈判须知</w:t>
      </w:r>
    </w:p>
    <w:p>
      <w:pPr>
        <w:pStyle w:val="null3"/>
        <w:jc w:val="center"/>
        <w:outlineLvl w:val="2"/>
      </w:pPr>
      <w:r>
        <w:rPr>
          <w:sz w:val="28"/>
          <w:b/>
        </w:rPr>
        <w:t>一、总则</w:t>
      </w:r>
    </w:p>
    <w:p>
      <w:pPr>
        <w:pStyle w:val="null3"/>
        <w:jc w:val="both"/>
      </w:pPr>
      <w:r>
        <w:rPr>
          <w:b/>
        </w:rPr>
        <w:t>1.适用范围：</w:t>
      </w:r>
    </w:p>
    <w:p>
      <w:pPr>
        <w:pStyle w:val="null3"/>
        <w:ind w:firstLine="480"/>
        <w:jc w:val="both"/>
      </w:pPr>
      <w:r>
        <w:rPr/>
        <w:t>1.1适用于谈判文件载明项目的采购活动（以下简称：“本次采购活动”）。</w:t>
      </w:r>
    </w:p>
    <w:p>
      <w:pPr>
        <w:pStyle w:val="null3"/>
        <w:jc w:val="both"/>
      </w:pPr>
      <w:r>
        <w:rPr>
          <w:b/>
        </w:rPr>
        <w:t>2.定义及要求：</w:t>
      </w:r>
    </w:p>
    <w:p>
      <w:pPr>
        <w:pStyle w:val="null3"/>
        <w:ind w:firstLine="480"/>
        <w:jc w:val="both"/>
      </w:pPr>
      <w:r>
        <w:rPr/>
        <w:t>2.1“采购标的”指谈判文件载明的需要采购的货物、服务、工程。</w:t>
      </w:r>
    </w:p>
    <w:p>
      <w:pPr>
        <w:pStyle w:val="null3"/>
        <w:ind w:firstLine="480"/>
        <w:jc w:val="both"/>
      </w:pPr>
      <w:r>
        <w:rPr/>
        <w:t>2.2“采购人”指本次采购项目的买方、或业主方、或甲方，具体见谈判文件第一章；“采购代理机构”系指接受采购人委托，组织开展竞争性谈判采购活动的代理机构，具体见谈判文件第一章。</w:t>
      </w:r>
    </w:p>
    <w:p>
      <w:pPr>
        <w:pStyle w:val="null3"/>
        <w:ind w:firstLine="480"/>
        <w:jc w:val="both"/>
      </w:pPr>
      <w:r>
        <w:rPr/>
        <w:t>2.3“潜在供应商”按照谈判文件第一章规定进行获取文件，且有意向参加本项目响应谈判的供应商。</w:t>
      </w:r>
    </w:p>
    <w:p>
      <w:pPr>
        <w:pStyle w:val="null3"/>
        <w:ind w:firstLine="480"/>
        <w:jc w:val="both"/>
      </w:pPr>
      <w:r>
        <w:rPr/>
        <w:t>2.4“供应商”指按照谈判文件第一章规定进行获取文件，且已经提交响应文件的法人或其他组织或自然人。只有适合自然人参与和承接的政府采购项目，供应商才可以是自然人。</w:t>
      </w:r>
    </w:p>
    <w:p>
      <w:pPr>
        <w:pStyle w:val="null3"/>
        <w:ind w:firstLine="480"/>
        <w:jc w:val="both"/>
      </w:pPr>
      <w:r>
        <w:rPr/>
        <w:t>2.5“单位负责人”指单位法定代表人（供应商为法人的）或法律、法规规定代表单位行使职权的主要负责人（供应商为其他组织的）。</w:t>
      </w:r>
    </w:p>
    <w:p>
      <w:pPr>
        <w:pStyle w:val="null3"/>
        <w:ind w:firstLine="480"/>
        <w:jc w:val="both"/>
      </w:pPr>
      <w:r>
        <w:rPr/>
        <w:t>2.6“供应商代表”指供应商（为法人或其他组织的）的单位负责人或由其授权的委托代理人，即单位负责人授权书中载明的接受授权方。供应商为自然人的，由本人签字并附身份证明。</w:t>
      </w:r>
    </w:p>
    <w:p>
      <w:pPr>
        <w:pStyle w:val="null3"/>
        <w:jc w:val="both"/>
      </w:pPr>
      <w:r>
        <w:rPr>
          <w:b/>
        </w:rPr>
        <w:t>3.合格的供应商：</w:t>
      </w:r>
    </w:p>
    <w:p>
      <w:pPr>
        <w:pStyle w:val="null3"/>
        <w:ind w:firstLine="480"/>
        <w:jc w:val="both"/>
      </w:pPr>
      <w:r>
        <w:rPr/>
        <w:t>3.1一般规定</w:t>
      </w:r>
    </w:p>
    <w:p>
      <w:pPr>
        <w:pStyle w:val="null3"/>
        <w:ind w:firstLine="960"/>
        <w:jc w:val="both"/>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both"/>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both"/>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ind w:firstLine="960"/>
        <w:jc w:val="both"/>
      </w:pPr>
      <w:r>
        <w:rPr/>
        <w:t>供应商有责任检查自身情况，在响应文件中对是否违反以上一般规定做出如实声明，否则其响应文件将被否决。</w:t>
      </w:r>
    </w:p>
    <w:p>
      <w:pPr>
        <w:pStyle w:val="null3"/>
        <w:ind w:firstLine="480"/>
        <w:jc w:val="both"/>
      </w:pPr>
      <w:r>
        <w:rPr/>
        <w:t>3.2特别规定</w:t>
      </w:r>
    </w:p>
    <w:p>
      <w:pPr>
        <w:pStyle w:val="null3"/>
        <w:ind w:firstLine="960"/>
        <w:jc w:val="both"/>
      </w:pPr>
      <w:r>
        <w:rPr/>
        <w:t>3.2.1供应商的资格要求：详见竞争性谈判须知前附表第1项。</w:t>
      </w:r>
    </w:p>
    <w:p>
      <w:pPr>
        <w:pStyle w:val="null3"/>
        <w:ind w:firstLine="960"/>
        <w:jc w:val="both"/>
      </w:pPr>
      <w:r>
        <w:rPr/>
        <w:t>3.2.2是否接受联合体形式的响应谈判：详见竞争性谈判须知前附表第2项。若接受联合体形式且供应商为联合体，则联合体各方除了应遵守本章第3.1条规定外，还应遵守下列规定：</w:t>
      </w:r>
    </w:p>
    <w:p>
      <w:pPr>
        <w:pStyle w:val="null3"/>
        <w:ind w:firstLine="960"/>
        <w:jc w:val="both"/>
      </w:pPr>
      <w:r>
        <w:rPr/>
        <w:t>（1）联合体各方应提交联合体协议，联合体协议应符合谈判文件规定。</w:t>
      </w:r>
    </w:p>
    <w:p>
      <w:pPr>
        <w:pStyle w:val="null3"/>
        <w:ind w:firstLine="960"/>
        <w:jc w:val="both"/>
      </w:pPr>
      <w:r>
        <w:rPr/>
        <w:t>（2）联合体各方不得再单独参加或与其他供应商另外组成联合体参加同一合同项下的响应谈判。</w:t>
      </w:r>
    </w:p>
    <w:p>
      <w:pPr>
        <w:pStyle w:val="null3"/>
        <w:ind w:firstLine="960"/>
        <w:jc w:val="both"/>
      </w:pPr>
      <w:r>
        <w:rPr/>
        <w:t>（3）联合体各方应共同与采购人签订政府采购合同，就政府采购合同约定的事项对采购人承担连带责任。</w:t>
      </w:r>
    </w:p>
    <w:p>
      <w:pPr>
        <w:pStyle w:val="null3"/>
        <w:ind w:firstLine="96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both"/>
      </w:pPr>
      <w:r>
        <w:rPr/>
        <w:t>（5）联合体一方放弃成交的，视为联合体整体放弃成交，联合体各方承担连带责任。</w:t>
      </w:r>
    </w:p>
    <w:p>
      <w:pPr>
        <w:pStyle w:val="null3"/>
        <w:ind w:firstLine="960"/>
        <w:jc w:val="both"/>
      </w:pPr>
      <w:r>
        <w:rPr/>
        <w:t>（6）如本项目不接受联合体报价而供应商为联合体的，或者本项目接受联合体报价但供应商组成的联合体不符合本章第3.2条规定的，其报价无效。</w:t>
      </w:r>
    </w:p>
    <w:p>
      <w:pPr>
        <w:pStyle w:val="null3"/>
        <w:ind w:firstLine="960"/>
        <w:jc w:val="both"/>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both"/>
      </w:pPr>
      <w:r>
        <w:rPr>
          <w:b/>
        </w:rPr>
        <w:t>4.参与竞争性谈判费用：</w:t>
      </w:r>
    </w:p>
    <w:p>
      <w:pPr>
        <w:pStyle w:val="null3"/>
        <w:ind w:firstLine="480"/>
        <w:jc w:val="both"/>
      </w:pPr>
      <w:r>
        <w:rPr/>
        <w:t>4.1除法律法规或采购文件另有规定之外，供应商应自行承担其准备与参加竞争性谈判所涉及的一切费用。</w:t>
      </w:r>
    </w:p>
    <w:p>
      <w:pPr>
        <w:pStyle w:val="null3"/>
        <w:jc w:val="center"/>
        <w:outlineLvl w:val="2"/>
      </w:pPr>
      <w:r>
        <w:rPr>
          <w:sz w:val="28"/>
          <w:b/>
        </w:rPr>
        <w:t>二、竞争性谈判文件</w:t>
      </w:r>
    </w:p>
    <w:p>
      <w:pPr>
        <w:pStyle w:val="null3"/>
        <w:jc w:val="both"/>
      </w:pPr>
      <w:r>
        <w:rPr>
          <w:b/>
        </w:rPr>
        <w:t>5.竞争性谈判文件的组成：</w:t>
      </w:r>
    </w:p>
    <w:p>
      <w:pPr>
        <w:pStyle w:val="null3"/>
        <w:ind w:firstLine="480"/>
        <w:jc w:val="both"/>
      </w:pPr>
      <w:r>
        <w:rPr/>
        <w:t>5.1竞争性谈判文件由下述部分组成：</w:t>
      </w:r>
    </w:p>
    <w:p>
      <w:pPr>
        <w:pStyle w:val="null3"/>
        <w:ind w:firstLine="480"/>
        <w:jc w:val="both"/>
      </w:pPr>
      <w:r>
        <w:rPr/>
        <w:t>第一章 采购公告（或采购邀请书）</w:t>
      </w:r>
    </w:p>
    <w:p>
      <w:pPr>
        <w:pStyle w:val="null3"/>
        <w:ind w:firstLine="480"/>
        <w:jc w:val="both"/>
      </w:pPr>
      <w:r>
        <w:rPr/>
        <w:t>第二章 竞争性谈判须知</w:t>
      </w:r>
    </w:p>
    <w:p>
      <w:pPr>
        <w:pStyle w:val="null3"/>
        <w:ind w:firstLine="480"/>
        <w:jc w:val="both"/>
      </w:pPr>
      <w:r>
        <w:rPr/>
        <w:t>第三章 采购内容及要求</w:t>
      </w:r>
    </w:p>
    <w:p>
      <w:pPr>
        <w:pStyle w:val="null3"/>
        <w:ind w:firstLine="480"/>
        <w:jc w:val="both"/>
      </w:pPr>
      <w:r>
        <w:rPr/>
        <w:t>第四章 合同主要条款及格式</w:t>
      </w:r>
    </w:p>
    <w:p>
      <w:pPr>
        <w:pStyle w:val="null3"/>
        <w:ind w:firstLine="480"/>
        <w:jc w:val="both"/>
      </w:pPr>
      <w:r>
        <w:rPr/>
        <w:t>第五章 首次响应文件格式</w:t>
      </w:r>
    </w:p>
    <w:p>
      <w:pPr>
        <w:pStyle w:val="null3"/>
        <w:ind w:firstLine="480"/>
        <w:jc w:val="both"/>
      </w:pPr>
      <w:r>
        <w:rPr/>
        <w:t>5.2除上述内容以外，采购人、采购代理机构或者谈判小组在采购过程期间对谈判文件所作的澄清、修改或补充，均构成谈判文件的组成部分，对采购人和供应商具有约束力。</w:t>
      </w:r>
    </w:p>
    <w:p>
      <w:pPr>
        <w:pStyle w:val="null3"/>
        <w:jc w:val="both"/>
      </w:pPr>
      <w:r>
        <w:rPr>
          <w:b/>
        </w:rPr>
        <w:t>6.竞争性谈判文件的澄清、补充或修改：</w:t>
      </w:r>
    </w:p>
    <w:p>
      <w:pPr>
        <w:pStyle w:val="null3"/>
        <w:ind w:firstLine="480"/>
        <w:jc w:val="both"/>
      </w:pPr>
      <w:r>
        <w:rPr/>
        <w:t>6.1提交首次响应文件截止之日前，采购人、采购代理机构或者谈判小组可以对已发出的谈判文件进行必要的澄清、补充或者修改，澄清、补充或者修改的内容作为谈判文件的组成部分。澄清、补充或者修改的内容可能影响响应文件编制的，采购人、采购代理机构或者谈判小组将在提交首次响应文件截止时间3个工作日前，以书面形式通知所有获取谈判文件的潜在供应商，不足3个工作日的，采购人、采购代理机构或谈判小组将顺延提交首次响应文件的截止时间。</w:t>
      </w:r>
    </w:p>
    <w:p>
      <w:pPr>
        <w:pStyle w:val="null3"/>
        <w:ind w:firstLine="480"/>
        <w:jc w:val="both"/>
      </w:pPr>
      <w:r>
        <w:rPr/>
        <w:t>6.2提交首次响应文件截止时间前，若采购人发布更正公告，则更正公告及其所发布的内容或信息（包括但不限于竞争性谈判文件的澄清、补充或修改等）作为谈判文件组成部分，对采购人和供应商具有约束力。更正公告作为采购人、采购代理机构或谈判小组通知所有潜在供应商的书面形式，潜在供应商务必随时关注谈判文件中载明的指定媒体，以免遗漏。</w:t>
      </w:r>
    </w:p>
    <w:p>
      <w:pPr>
        <w:pStyle w:val="null3"/>
        <w:jc w:val="center"/>
        <w:outlineLvl w:val="2"/>
      </w:pPr>
      <w:r>
        <w:rPr>
          <w:sz w:val="28"/>
          <w:b/>
        </w:rPr>
        <w:t>三、响应文件编制</w:t>
      </w:r>
    </w:p>
    <w:p>
      <w:pPr>
        <w:pStyle w:val="null3"/>
        <w:jc w:val="both"/>
      </w:pPr>
      <w:r>
        <w:rPr>
          <w:b/>
        </w:rPr>
        <w:t>7.应标要求</w:t>
      </w:r>
    </w:p>
    <w:p>
      <w:pPr>
        <w:pStyle w:val="null3"/>
        <w:ind w:firstLine="480"/>
        <w:jc w:val="both"/>
      </w:pPr>
      <w:r>
        <w:rPr/>
        <w:t>7.1供应商可按照采购包号，对竞争性谈判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both"/>
      </w:pPr>
      <w:r>
        <w:rPr/>
        <w:t>7.2供应商代表在同一个合同项下只能接受一个供应商的委托参加响应谈判，否则其响应文件将被否决。</w:t>
      </w:r>
    </w:p>
    <w:p>
      <w:pPr>
        <w:pStyle w:val="null3"/>
        <w:ind w:firstLine="480"/>
        <w:jc w:val="both"/>
      </w:pPr>
      <w:r>
        <w:rPr/>
        <w:t>7.3供应商应仔细阅读谈判文件的所有内容和要求，按谈判文件的规定提供响应文件，并对其所提供的全部资料、承诺和声明的真实性、合法性和准确性负责。</w:t>
      </w:r>
    </w:p>
    <w:p>
      <w:pPr>
        <w:pStyle w:val="null3"/>
        <w:ind w:firstLine="480"/>
        <w:jc w:val="both"/>
      </w:pPr>
      <w:r>
        <w:rPr/>
        <w:t>7.4除非竞争性谈判须知前附表另有规定外，供应商提供的响应文件应使用中文文本，若有不同文字文本，以中文文本为准。</w:t>
      </w:r>
    </w:p>
    <w:p>
      <w:pPr>
        <w:pStyle w:val="null3"/>
        <w:ind w:firstLine="480"/>
        <w:jc w:val="both"/>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7.6除非竞争性谈判须知前附表另有规定外，供应商承诺的报价应以人民币进行报价，合同实施结算时亦以人民币支付；所有计量均采用中华人民共和国法定计量单位。</w:t>
      </w:r>
    </w:p>
    <w:p>
      <w:pPr>
        <w:pStyle w:val="null3"/>
        <w:jc w:val="both"/>
      </w:pPr>
      <w:r>
        <w:rPr>
          <w:b/>
        </w:rPr>
        <w:t>8.首次响应文件的组成：</w:t>
      </w:r>
    </w:p>
    <w:p>
      <w:pPr>
        <w:pStyle w:val="null3"/>
        <w:ind w:firstLine="480"/>
        <w:jc w:val="both"/>
      </w:pPr>
      <w:r>
        <w:rPr/>
        <w:t>8.1首次响应文件包括但不限于下列部分：</w:t>
      </w:r>
    </w:p>
    <w:p>
      <w:pPr>
        <w:pStyle w:val="null3"/>
        <w:ind w:firstLine="480"/>
        <w:jc w:val="both"/>
      </w:pPr>
      <w:r>
        <w:rPr/>
        <w:t>（1）谈判响应声明</w:t>
      </w:r>
    </w:p>
    <w:p>
      <w:pPr>
        <w:pStyle w:val="null3"/>
        <w:ind w:firstLine="480"/>
        <w:jc w:val="both"/>
      </w:pPr>
      <w:r>
        <w:rPr/>
        <w:t>（2）报价一览表（含详细报价书）</w:t>
      </w:r>
    </w:p>
    <w:p>
      <w:pPr>
        <w:pStyle w:val="null3"/>
        <w:ind w:firstLine="480"/>
        <w:jc w:val="both"/>
      </w:pPr>
      <w:r>
        <w:rPr/>
        <w:t>（3）资格证明文件</w:t>
      </w:r>
    </w:p>
    <w:p>
      <w:pPr>
        <w:pStyle w:val="null3"/>
        <w:ind w:firstLine="480"/>
        <w:jc w:val="both"/>
      </w:pPr>
      <w:r>
        <w:rPr/>
        <w:t>（4）谈判保证金凭证</w:t>
      </w:r>
    </w:p>
    <w:p>
      <w:pPr>
        <w:pStyle w:val="null3"/>
        <w:ind w:firstLine="480"/>
        <w:jc w:val="both"/>
      </w:pPr>
      <w:r>
        <w:rPr/>
        <w:t>（5）技术和商务偏离表</w:t>
      </w:r>
    </w:p>
    <w:p>
      <w:pPr>
        <w:pStyle w:val="null3"/>
        <w:ind w:firstLine="480"/>
        <w:jc w:val="both"/>
      </w:pPr>
      <w:r>
        <w:rPr/>
        <w:t>（6）相关技术、商务、服务响应承诺及资料</w:t>
      </w:r>
    </w:p>
    <w:p>
      <w:pPr>
        <w:pStyle w:val="null3"/>
        <w:ind w:firstLine="480"/>
        <w:jc w:val="both"/>
      </w:pPr>
      <w:r>
        <w:rPr/>
        <w:t>（7）供应商提交符合政府采购政策的证明材料</w:t>
      </w:r>
    </w:p>
    <w:p>
      <w:pPr>
        <w:pStyle w:val="null3"/>
        <w:ind w:firstLine="480"/>
        <w:jc w:val="both"/>
      </w:pPr>
      <w:r>
        <w:rPr/>
        <w:t>（8）要求作为响应文件组成部分的其他内容（若有）</w:t>
      </w:r>
    </w:p>
    <w:p>
      <w:pPr>
        <w:pStyle w:val="null3"/>
        <w:jc w:val="both"/>
      </w:pPr>
      <w:r>
        <w:rPr>
          <w:b/>
        </w:rPr>
        <w:t>9.响应文件有效期：</w:t>
      </w:r>
    </w:p>
    <w:p>
      <w:pPr>
        <w:pStyle w:val="null3"/>
        <w:ind w:firstLine="480"/>
        <w:jc w:val="both"/>
      </w:pPr>
      <w:r>
        <w:rPr/>
        <w:t>9.1响应文件有效期见竞争性谈判须知前附表第3项，响应文件承诺的有效期不得少于谈判文件载明的有效期，否则其响应文件将被否决。</w:t>
      </w:r>
    </w:p>
    <w:p>
      <w:pPr>
        <w:pStyle w:val="null3"/>
        <w:ind w:firstLine="480"/>
        <w:jc w:val="both"/>
      </w:pPr>
      <w:r>
        <w:rPr/>
        <w:t>9.2特殊情况下采购人可于响应文件有效期满之前要求供应商同意延长有效期，要求与答复均应为书面形式。供应商可以拒绝延长有效期，且其谈判保证金可以退还，但其供应商资格将被取消。同意延长有效期的供应商，不需要也不允许修改其响应文件及谈判承诺，但将要求其相应延长谈判保证金有效期，有关退还和不予退还谈判保证金的规定在有效期延长期内继续有效。</w:t>
      </w:r>
    </w:p>
    <w:p>
      <w:pPr>
        <w:pStyle w:val="null3"/>
        <w:jc w:val="both"/>
      </w:pPr>
      <w:r>
        <w:rPr>
          <w:b/>
        </w:rPr>
        <w:t>10.谈判保证金：</w:t>
      </w:r>
    </w:p>
    <w:p>
      <w:pPr>
        <w:pStyle w:val="null3"/>
        <w:ind w:firstLine="480"/>
        <w:jc w:val="both"/>
      </w:pPr>
      <w:r>
        <w:rPr/>
        <w:t>10.1供应商应按竞争性谈判文件规定的金额、形式等要求提交谈判保证金。谈判文件若接受联合体形式且供应商为联合体的，则由联合体中的牵头方负责提交谈判保证金，其提交的谈判保证金对联合体各方均具有约束力。</w:t>
      </w:r>
    </w:p>
    <w:p>
      <w:pPr>
        <w:pStyle w:val="null3"/>
        <w:ind w:firstLine="480"/>
        <w:jc w:val="left"/>
      </w:pPr>
      <w:r>
        <w:rPr/>
        <w:t>10.1.1供应商以汇款形式缴纳谈判保证金的，应从其银行账户（基本存款账户）按照下列方式：公对公转账方式向谈判文件载明的谈判保证金账户提交谈判保证金。谈判保证金应于首次响应文件递交截止时间前到达谈判文件载明的谈判保证金账户，否则视为谈判保证金未提交。</w:t>
      </w:r>
    </w:p>
    <w:p>
      <w:pPr>
        <w:pStyle w:val="null3"/>
        <w:ind w:firstLine="480"/>
        <w:jc w:val="left"/>
      </w:pPr>
      <w:r>
        <w:rPr/>
        <w:t>10.1.2供应商以电子保函形式提交谈判保证金的，可在谈判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谈判保证金。保函的有效期应等于或长于电子响应文件承诺的有效期，否则其响应文件将被否决。</w:t>
      </w:r>
    </w:p>
    <w:p>
      <w:pPr>
        <w:pStyle w:val="null3"/>
        <w:ind w:firstLine="480"/>
        <w:jc w:val="left"/>
      </w:pPr>
      <w:r>
        <w:rPr/>
        <w:t>10.1.3其他形式：</w:t>
      </w:r>
    </w:p>
    <w:p>
      <w:pPr>
        <w:pStyle w:val="null3"/>
        <w:jc w:val="left"/>
      </w:pPr>
      <w:r>
        <w:rPr/>
        <w:t>/</w:t>
      </w:r>
    </w:p>
    <w:p>
      <w:pPr>
        <w:pStyle w:val="null3"/>
        <w:ind w:firstLine="480"/>
        <w:jc w:val="both"/>
      </w:pPr>
      <w:r>
        <w:rPr/>
        <w:t>10.2谈判保证金为响应文件的重要组成部分之一。谈判保证金用于保护本次谈判活动免受供应商的违约或失信行为而引起的风险。未按规定提交谈判保证金的，其响应文件将被否决。</w:t>
      </w:r>
    </w:p>
    <w:p>
      <w:pPr>
        <w:pStyle w:val="null3"/>
        <w:ind w:firstLine="480"/>
        <w:jc w:val="both"/>
      </w:pPr>
      <w:r>
        <w:rPr/>
        <w:t>10.3谈判保证金退还：</w:t>
      </w:r>
    </w:p>
    <w:p>
      <w:pPr>
        <w:pStyle w:val="null3"/>
        <w:ind w:firstLine="960"/>
        <w:jc w:val="both"/>
      </w:pPr>
      <w:r>
        <w:rPr/>
        <w:t>10.3.1采购人或者采购代理机构将在采购活动结束后及时退还供应商的保证金，但因供应商自身原因导致无法及时退还的除外（比如：采购人委托代理机构组织谈判采购，成交的供应商未向采购代理机构出具已签订合同证明材料，造成谈判保证金退还时间延误的结果，由成交的供应商自行承担和谅解等）。未成交供应商的保证金将在成交通知书发出后5个工作日内退还，成交供应商的保证金将在采购合同签订后5个工作日内退还。关于谈判保证金退还的其它要求见竞争性谈判须知前附表第4项。</w:t>
      </w:r>
    </w:p>
    <w:p>
      <w:pPr>
        <w:pStyle w:val="null3"/>
        <w:ind w:firstLine="960"/>
        <w:jc w:val="both"/>
      </w:pPr>
      <w:r>
        <w:rPr/>
        <w:t>10.3.2质疑或投诉涉及的供应商，若其谈判保证金尚未退还，则待质疑或投诉处理完毕后，且没有发生法律法规或者谈判文件规定的不予退还谈判保证金情形，则由采购人或采购代理机构给予及时退还。</w:t>
      </w:r>
    </w:p>
    <w:p>
      <w:pPr>
        <w:pStyle w:val="null3"/>
        <w:ind w:firstLine="480"/>
        <w:jc w:val="both"/>
      </w:pPr>
      <w:r>
        <w:rPr/>
        <w:t>10.4如果供应商发生以下任何一种情况时，其谈判保证金将被不予退还或通过保函进行索赔：</w:t>
      </w:r>
    </w:p>
    <w:p>
      <w:pPr>
        <w:pStyle w:val="null3"/>
        <w:ind w:firstLine="480"/>
        <w:jc w:val="both"/>
      </w:pPr>
      <w:r>
        <w:rPr/>
        <w:t>(1)供应商在提交响应文件截止时间后撤回响应文件的；</w:t>
      </w:r>
    </w:p>
    <w:p>
      <w:pPr>
        <w:pStyle w:val="null3"/>
        <w:ind w:firstLine="480"/>
        <w:jc w:val="both"/>
      </w:pPr>
      <w:r>
        <w:rPr/>
        <w:t>(2)供应商在响应文件中提供虚假材料的；</w:t>
      </w:r>
    </w:p>
    <w:p>
      <w:pPr>
        <w:pStyle w:val="null3"/>
        <w:ind w:firstLine="480"/>
        <w:jc w:val="both"/>
      </w:pPr>
      <w:r>
        <w:rPr/>
        <w:t>(3)除因不可抗力或谈判文件认可的情形以外，成交供应商不与采购人签订合同的；</w:t>
      </w:r>
    </w:p>
    <w:p>
      <w:pPr>
        <w:pStyle w:val="null3"/>
        <w:ind w:firstLine="480"/>
        <w:jc w:val="both"/>
      </w:pPr>
      <w:r>
        <w:rPr/>
        <w:t>(4)供应商与采购人、其他供应商或者采购代理机构恶意串通的；</w:t>
      </w:r>
    </w:p>
    <w:p>
      <w:pPr>
        <w:pStyle w:val="null3"/>
        <w:ind w:firstLine="480"/>
        <w:jc w:val="both"/>
      </w:pPr>
      <w:r>
        <w:rPr/>
        <w:t>(5)供应商在提交最后报价后要求退出谈判的；</w:t>
      </w:r>
    </w:p>
    <w:p>
      <w:pPr>
        <w:pStyle w:val="null3"/>
        <w:ind w:firstLine="480"/>
        <w:jc w:val="both"/>
      </w:pPr>
      <w:r>
        <w:rPr/>
        <w:t>(6)供应商假借以他人名义参加谈判或者以其他方式弄虚作假，骗取成交；</w:t>
      </w:r>
    </w:p>
    <w:p>
      <w:pPr>
        <w:pStyle w:val="null3"/>
        <w:ind w:firstLine="480"/>
        <w:jc w:val="both"/>
      </w:pPr>
      <w:r>
        <w:rPr/>
        <w:t>(7)国家法律法规以及谈判文件中规定的其他谈判保证金不予退还的情形。</w:t>
      </w:r>
    </w:p>
    <w:p>
      <w:pPr>
        <w:pStyle w:val="null3"/>
        <w:ind w:firstLine="480"/>
        <w:jc w:val="both"/>
      </w:pPr>
      <w:r>
        <w:rPr/>
        <w:t>上述不予退还谈判保证金的情况不能抵偿给采购人或采购代理机构造成损失的，供应商还要承担赔偿责任。</w:t>
      </w:r>
    </w:p>
    <w:p>
      <w:pPr>
        <w:pStyle w:val="null3"/>
        <w:jc w:val="both"/>
      </w:pPr>
      <w:r>
        <w:rPr>
          <w:b/>
        </w:rPr>
        <w:t>11.纸质响应文件基本编制要求：</w:t>
      </w:r>
    </w:p>
    <w:p>
      <w:pPr>
        <w:pStyle w:val="null3"/>
        <w:ind w:firstLine="480"/>
        <w:jc w:val="both"/>
      </w:pPr>
      <w:r>
        <w:rPr/>
        <w:t>11.1供应商须编制由本须知规定组成的响应文件正副本份数详见竞争性谈判须知前附表第5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both"/>
      </w:pPr>
      <w:r>
        <w:rPr/>
        <w:t>11.2响应文件应由供应商代表签字并加盖公章。供应商代表如果不是竞争性谈判须知中定义的“单位负责人”，则其响应文件中还必须提供“单位负责人授权书”。</w:t>
      </w:r>
    </w:p>
    <w:p>
      <w:pPr>
        <w:pStyle w:val="null3"/>
        <w:ind w:firstLine="480"/>
        <w:jc w:val="both"/>
      </w:pPr>
      <w:r>
        <w:rPr/>
        <w:t>11.3响应文件应尽量避免涂改、行间插字或删除。如果出现上述情况，改动之处应加盖供应商单位公章或由供应商代表签字确认。</w:t>
      </w:r>
    </w:p>
    <w:p>
      <w:pPr>
        <w:pStyle w:val="null3"/>
        <w:ind w:firstLine="480"/>
        <w:jc w:val="both"/>
      </w:pPr>
      <w:r>
        <w:rPr/>
        <w:t>11.4供应商应提交证明其拟提供货物、服务或工程符合谈判文件要求的技术和商务响应文件，该文件可以是文字资料、图纸和数据，并对拟提供的货物、服务或工程的主要内容进行详细描述。</w:t>
      </w:r>
    </w:p>
    <w:p>
      <w:pPr>
        <w:pStyle w:val="null3"/>
        <w:jc w:val="both"/>
      </w:pPr>
      <w:r>
        <w:rPr>
          <w:b/>
        </w:rPr>
        <w:t>12.纸质响应文件的密封、标识、签署和提交（除谈判文件相应章节已有规定之外，电子竞争性谈判活动的具体操作流程以福建省政府采购网上公开信息系统设定的为准。）</w:t>
      </w:r>
    </w:p>
    <w:p>
      <w:pPr>
        <w:pStyle w:val="null3"/>
        <w:ind w:firstLine="480"/>
        <w:jc w:val="both"/>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both"/>
      </w:pPr>
      <w:r>
        <w:rPr/>
        <w:t>12.2供应商应当在谈判文件规定的提交响应文件截止时间前，将首次响应文件密封送达谈判文件规定的指定地点。在截止时间后送达的首次响应文件为无效文件，采购人、采购代理机构或者谈判小组将不予接收。</w:t>
      </w:r>
    </w:p>
    <w:p>
      <w:pPr>
        <w:pStyle w:val="null3"/>
        <w:ind w:firstLine="480"/>
        <w:jc w:val="both"/>
      </w:pPr>
      <w:r>
        <w:rPr/>
        <w:t>12.3供应商在首次响应文件递交截止时间前，可以对其所提交的响应文件进行补充、修改或者撤回，并书面通知采购人、采购代理机构或谈判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谈判须知中定义的“单位负责人”，则还必须提供“单位负责人授权书”），或者加盖供应商单位公章方可生效，否则采购人、采购代理机构或谈判小组将视为无效补充、修改或者撤回。采购人、采购代理机构或谈判小组不接受供应商口头、电话、传真或电子邮件形式提交的补充、修改或者撤回。</w:t>
      </w:r>
    </w:p>
    <w:p>
      <w:pPr>
        <w:pStyle w:val="null3"/>
        <w:ind w:firstLine="480"/>
        <w:jc w:val="both"/>
      </w:pPr>
      <w:r>
        <w:rPr/>
        <w:t>12.4供应商在谈判过程中根据谈判小组要求，提交的有关澄清、说明、补充、更正响应文件以及最后报价响应文件等资料，均应由供应商代表签署（供应商代表如果不是竞争性谈判须知中定义的“单位负责人”，则还必须提供“单位负责人授权书”），或者加盖供应商单位公章。</w:t>
      </w:r>
    </w:p>
    <w:p>
      <w:pPr>
        <w:pStyle w:val="null3"/>
        <w:ind w:firstLine="480"/>
        <w:jc w:val="both"/>
      </w:pPr>
      <w:r>
        <w:rPr/>
        <w:t>12.5除《政府采购非招标采购方式管理办法》等相关法律法规及财政部门颁布的规范性文件允许的两家供应商进行竞争性谈判采购情形外，首次响应文件递交截止时间后，提交响应文件的供应商不足三家的，本次竞争性谈判活动终止，除采购任务取消情形外，采购人将依法重新组织采购或者采取其他方式采购。</w:t>
      </w:r>
    </w:p>
    <w:p>
      <w:pPr>
        <w:pStyle w:val="null3"/>
        <w:jc w:val="center"/>
        <w:outlineLvl w:val="2"/>
      </w:pPr>
      <w:r>
        <w:rPr>
          <w:sz w:val="28"/>
          <w:b/>
        </w:rPr>
        <w:t>四、竞争性谈判</w:t>
      </w:r>
    </w:p>
    <w:p>
      <w:pPr>
        <w:pStyle w:val="null3"/>
        <w:jc w:val="both"/>
      </w:pPr>
      <w:r>
        <w:rPr>
          <w:b/>
        </w:rPr>
        <w:t>13.评审和谈判基本准则</w:t>
      </w:r>
    </w:p>
    <w:p>
      <w:pPr>
        <w:pStyle w:val="null3"/>
        <w:ind w:firstLine="480"/>
        <w:jc w:val="both"/>
      </w:pPr>
      <w:r>
        <w:rPr/>
        <w:t>13.1对所有供应商的评审和谈判，都采用相同的程序和标准。</w:t>
      </w:r>
    </w:p>
    <w:p>
      <w:pPr>
        <w:pStyle w:val="null3"/>
        <w:ind w:firstLine="480"/>
        <w:jc w:val="both"/>
      </w:pPr>
      <w:r>
        <w:rPr/>
        <w:t>13.2谈判及评审过程将严格按照谈判文件的要求和条件进行，谈判小组将根据供应商的响应文件，按谈判文件规定的谈判程序和评定成交标准进行评审和谈判，并推荐成交候选人。</w:t>
      </w:r>
    </w:p>
    <w:p>
      <w:pPr>
        <w:pStyle w:val="null3"/>
        <w:jc w:val="both"/>
      </w:pPr>
      <w:r>
        <w:rPr>
          <w:b/>
        </w:rPr>
        <w:t>14.谈判程序以及评定成交标准</w:t>
      </w:r>
    </w:p>
    <w:p>
      <w:pPr>
        <w:pStyle w:val="null3"/>
        <w:ind w:firstLine="480"/>
        <w:jc w:val="both"/>
      </w:pPr>
      <w:r>
        <w:rPr/>
        <w:t>14.1采购人将根据项目的特点依法组建谈判小组。谈判小组将根据谈判文件规定的程序、评定成交标准等内容对供应商进行评审、谈判。</w:t>
      </w:r>
    </w:p>
    <w:p>
      <w:pPr>
        <w:pStyle w:val="null3"/>
        <w:ind w:firstLine="480"/>
        <w:jc w:val="both"/>
      </w:pPr>
      <w:r>
        <w:rPr/>
        <w:t>14.2 在进入谈判阶段之前，谈判小组将对供应商提交的首次响应文件中资格证明文件以及其他响应文件是否对谈判文件的要求作出实质性响应进行审查。如果供应商资格审查和实质性响应审查不合格，则其响应文件将被谈判小组否决，按无效处理，不进入谈判阶段，谈判小组将告知有关供应商。</w:t>
      </w:r>
    </w:p>
    <w:p>
      <w:pPr>
        <w:pStyle w:val="null3"/>
        <w:ind w:firstLine="960"/>
        <w:jc w:val="both"/>
      </w:pPr>
      <w:r>
        <w:rPr/>
        <w:t>14.2.1供应商有下列情况之一者，其提交的响应文件将被视为未实质性响应谈判文件要求，谈判小组将否决其响应文件，按无效处理：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响应文件未按谈判文件规定由供应商代表签字，或未按谈判文件规定加盖供应商单位公章的；或供应商代表未获得有效授权的；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供应商未按谈判文件规定提交谈判保证金的；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响应文件有效期不满足谈判文件要求的；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响应内容与谈判采购内容及要求有重大偏离或保留的，限制了采购人的权利或者减少成交供应商合同项下的义务；（由于谈判项目本身特点，不能详细列明采购标的的技术、服务要求的除外）；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不符合谈判文件中规定的其它实质性条款（比如：报价超过了谈判文件规定的最高限价）。</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响应文件未按谈判文件规定由供应商代表签字，或未按谈判文件规定加盖供应商单位公章的；或供应商代表未获得有效授权的；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供应商未按谈判文件规定提交谈判保证金的；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响应文件有效期不满足谈判文件要求的；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响应内容与谈判采购内容及要求有重大偏离或保留的，限制了采购人的权利或者减少成交供应商合同项下的义务；（由于谈判项目本身特点，不能详细列明采购标的的技术、服务要求的除外）；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不符合谈判文件中规定的其它实质性条款（比如：报价超过了谈判文件规定的最高限价）。</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响应文件未按谈判文件规定由供应商代表签字，或未按谈判文件规定加盖供应商单位公章的；或供应商代表未获得有效授权的；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供应商未按谈判文件规定提交谈判保证金的；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响应文件有效期不满足谈判文件要求的；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响应内容与谈判采购内容及要求有重大偏离或保留的，限制了采购人的权利或者减少成交供应商合同项下的义务；（由于谈判项目本身特点，不能详细列明采购标的的技术、服务要求的除外）；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不符合谈判文件中规定的其它实质性条款（比如：报价超过了谈判文件规定的最高限价）。</w:t>
            </w:r>
          </w:p>
        </w:tc>
      </w:tr>
    </w:tbl>
    <w:p>
      <w:pPr>
        <w:pStyle w:val="null3"/>
        <w:ind w:firstLine="480"/>
        <w:jc w:val="both"/>
      </w:pPr>
      <w:r>
        <w:rPr/>
        <w:t>谈判小组决定供应商的响应性只根据响应文件本身的内容，而不寻求其他的外部证据。</w:t>
      </w:r>
    </w:p>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情形1</w:t>
            </w:r>
          </w:p>
        </w:tc>
        <w:tc>
          <w:tcPr>
            <w:tcW w:type="dxa" w:w="4614"/>
          </w:tcPr>
          <w:p>
            <w:pPr>
              <w:pStyle w:val="null3"/>
              <w:jc w:val="left"/>
            </w:pPr>
            <w:r>
              <w:rPr/>
              <w:t>《第三章 采购内容及要求》二、技术和服务要求未逐项响应或有任何一项负偏离的。</w:t>
            </w:r>
          </w:p>
        </w:tc>
      </w:tr>
      <w:tr>
        <w:tc>
          <w:tcPr>
            <w:tcW w:type="dxa" w:w="3692"/>
          </w:tcPr>
          <w:p>
            <w:pPr>
              <w:pStyle w:val="null3"/>
              <w:jc w:val="left"/>
            </w:pPr>
            <w:r>
              <w:rPr/>
              <w:t>情形2</w:t>
            </w:r>
          </w:p>
        </w:tc>
        <w:tc>
          <w:tcPr>
            <w:tcW w:type="dxa" w:w="4614"/>
          </w:tcPr>
          <w:p>
            <w:pPr>
              <w:pStyle w:val="null3"/>
              <w:jc w:val="left"/>
            </w:pPr>
            <w:r>
              <w:rPr/>
              <w:t>违反竞争性谈判文件中载明“无效投标”或“投标无效”条款的规定。</w:t>
            </w:r>
          </w:p>
        </w:tc>
      </w:tr>
      <w:tr>
        <w:tc>
          <w:tcPr>
            <w:tcW w:type="dxa" w:w="3692"/>
          </w:tcPr>
          <w:p>
            <w:pPr>
              <w:pStyle w:val="null3"/>
              <w:jc w:val="left"/>
            </w:pPr>
            <w:r>
              <w:rPr/>
              <w:t>情形3</w:t>
            </w:r>
          </w:p>
        </w:tc>
        <w:tc>
          <w:tcPr>
            <w:tcW w:type="dxa" w:w="4614"/>
          </w:tcPr>
          <w:p>
            <w:pPr>
              <w:pStyle w:val="null3"/>
              <w:jc w:val="left"/>
            </w:pPr>
            <w:r>
              <w:rPr/>
              <w:t>响应文件中提供虚假或失实资料的。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情形1</w:t>
            </w:r>
          </w:p>
        </w:tc>
        <w:tc>
          <w:tcPr>
            <w:tcW w:type="dxa" w:w="4614"/>
          </w:tcPr>
          <w:p>
            <w:pPr>
              <w:pStyle w:val="null3"/>
              <w:jc w:val="left"/>
            </w:pPr>
            <w:r>
              <w:rPr/>
              <w:t>《第三章 采购内容及要求》三、商务条件未逐项响应或有任何一项负偏离的。</w:t>
            </w:r>
          </w:p>
        </w:tc>
      </w:tr>
      <w:tr>
        <w:tc>
          <w:tcPr>
            <w:tcW w:type="dxa" w:w="3692"/>
          </w:tcPr>
          <w:p>
            <w:pPr>
              <w:pStyle w:val="null3"/>
              <w:jc w:val="left"/>
            </w:pPr>
            <w:r>
              <w:rPr/>
              <w:t>情形2</w:t>
            </w:r>
          </w:p>
        </w:tc>
        <w:tc>
          <w:tcPr>
            <w:tcW w:type="dxa" w:w="4614"/>
          </w:tcPr>
          <w:p>
            <w:pPr>
              <w:pStyle w:val="null3"/>
              <w:jc w:val="left"/>
            </w:pPr>
            <w:r>
              <w:rPr/>
              <w:t>违反竞争性谈判文件中载明“无效投标”或“投标无效”条款的规定。</w:t>
            </w:r>
          </w:p>
        </w:tc>
      </w:tr>
    </w:tbl>
    <w:p>
      <w:pPr>
        <w:pStyle w:val="null3"/>
        <w:jc w:val="left"/>
      </w:pPr>
      <w:r>
        <w:rPr/>
        <w:t>价格符合性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其他情形</w:t>
            </w:r>
          </w:p>
        </w:tc>
        <w:tc>
          <w:tcPr>
            <w:tcW w:type="dxa" w:w="4614"/>
          </w:tcPr>
          <w:p>
            <w:pPr>
              <w:pStyle w:val="null3"/>
              <w:jc w:val="left"/>
            </w:pPr>
            <w:r>
              <w:rPr/>
              <w:t>违反竞争性谈判文件中载明“无效投标”或“投标无效”条款的规定。</w:t>
            </w:r>
          </w:p>
        </w:tc>
      </w:tr>
    </w:tbl>
    <w:p>
      <w:pPr>
        <w:pStyle w:val="null3"/>
        <w:jc w:val="left"/>
      </w:pPr>
      <w:r>
        <w:rPr/>
        <w:t>采购包2：</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情形1</w:t>
            </w:r>
          </w:p>
        </w:tc>
        <w:tc>
          <w:tcPr>
            <w:tcW w:type="dxa" w:w="4614"/>
          </w:tcPr>
          <w:p>
            <w:pPr>
              <w:pStyle w:val="null3"/>
              <w:jc w:val="left"/>
            </w:pPr>
            <w:r>
              <w:rPr/>
              <w:t>《第三章 采购内容及要求》二、技术和服务要求未逐项响应或有任何一项负偏离的。</w:t>
            </w:r>
          </w:p>
        </w:tc>
      </w:tr>
      <w:tr>
        <w:tc>
          <w:tcPr>
            <w:tcW w:type="dxa" w:w="3692"/>
          </w:tcPr>
          <w:p>
            <w:pPr>
              <w:pStyle w:val="null3"/>
              <w:jc w:val="left"/>
            </w:pPr>
            <w:r>
              <w:rPr/>
              <w:t>情形2</w:t>
            </w:r>
          </w:p>
        </w:tc>
        <w:tc>
          <w:tcPr>
            <w:tcW w:type="dxa" w:w="4614"/>
          </w:tcPr>
          <w:p>
            <w:pPr>
              <w:pStyle w:val="null3"/>
              <w:jc w:val="left"/>
            </w:pPr>
            <w:r>
              <w:rPr/>
              <w:t>违反竞争性谈判文件中载明“无效投标”或“投标无效”条款的规定。</w:t>
            </w:r>
          </w:p>
        </w:tc>
      </w:tr>
      <w:tr>
        <w:tc>
          <w:tcPr>
            <w:tcW w:type="dxa" w:w="3692"/>
          </w:tcPr>
          <w:p>
            <w:pPr>
              <w:pStyle w:val="null3"/>
              <w:jc w:val="left"/>
            </w:pPr>
            <w:r>
              <w:rPr/>
              <w:t>情形3</w:t>
            </w:r>
          </w:p>
        </w:tc>
        <w:tc>
          <w:tcPr>
            <w:tcW w:type="dxa" w:w="4614"/>
          </w:tcPr>
          <w:p>
            <w:pPr>
              <w:pStyle w:val="null3"/>
              <w:jc w:val="left"/>
            </w:pPr>
            <w:r>
              <w:rPr/>
              <w:t>响应文件中提供虚假或失实资料的。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情形1</w:t>
            </w:r>
          </w:p>
        </w:tc>
        <w:tc>
          <w:tcPr>
            <w:tcW w:type="dxa" w:w="4614"/>
          </w:tcPr>
          <w:p>
            <w:pPr>
              <w:pStyle w:val="null3"/>
              <w:jc w:val="left"/>
            </w:pPr>
            <w:r>
              <w:rPr/>
              <w:t>《第三章 采购内容及要求》三、商务条件未逐项响应或有任何一项负偏离的。</w:t>
            </w:r>
          </w:p>
        </w:tc>
      </w:tr>
      <w:tr>
        <w:tc>
          <w:tcPr>
            <w:tcW w:type="dxa" w:w="3692"/>
          </w:tcPr>
          <w:p>
            <w:pPr>
              <w:pStyle w:val="null3"/>
              <w:jc w:val="left"/>
            </w:pPr>
            <w:r>
              <w:rPr/>
              <w:t>情形2</w:t>
            </w:r>
          </w:p>
        </w:tc>
        <w:tc>
          <w:tcPr>
            <w:tcW w:type="dxa" w:w="4614"/>
          </w:tcPr>
          <w:p>
            <w:pPr>
              <w:pStyle w:val="null3"/>
              <w:jc w:val="left"/>
            </w:pPr>
            <w:r>
              <w:rPr/>
              <w:t>违反竞争性谈判文件中载明“无效投标”或“投标无效”条款的规定。</w:t>
            </w:r>
          </w:p>
        </w:tc>
      </w:tr>
    </w:tbl>
    <w:p>
      <w:pPr>
        <w:pStyle w:val="null3"/>
        <w:jc w:val="left"/>
      </w:pPr>
      <w:r>
        <w:rPr/>
        <w:t>价格符合性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其他情形</w:t>
            </w:r>
          </w:p>
        </w:tc>
        <w:tc>
          <w:tcPr>
            <w:tcW w:type="dxa" w:w="4614"/>
          </w:tcPr>
          <w:p>
            <w:pPr>
              <w:pStyle w:val="null3"/>
              <w:jc w:val="left"/>
            </w:pPr>
            <w:r>
              <w:rPr/>
              <w:t>违反竞争性谈判文件中载明“无效投标”或“投标无效”条款的规定。</w:t>
            </w:r>
          </w:p>
        </w:tc>
      </w:tr>
    </w:tbl>
    <w:p>
      <w:pPr>
        <w:pStyle w:val="null3"/>
        <w:jc w:val="left"/>
      </w:pPr>
      <w:r>
        <w:rPr/>
        <w:t>采购包3：</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情形1</w:t>
            </w:r>
          </w:p>
        </w:tc>
        <w:tc>
          <w:tcPr>
            <w:tcW w:type="dxa" w:w="4614"/>
          </w:tcPr>
          <w:p>
            <w:pPr>
              <w:pStyle w:val="null3"/>
              <w:jc w:val="left"/>
            </w:pPr>
            <w:r>
              <w:rPr/>
              <w:t>《第三章 采购内容及要求》二、技术和服务要求未逐项响应或有任何一项负偏离的。</w:t>
            </w:r>
          </w:p>
        </w:tc>
      </w:tr>
      <w:tr>
        <w:tc>
          <w:tcPr>
            <w:tcW w:type="dxa" w:w="3692"/>
          </w:tcPr>
          <w:p>
            <w:pPr>
              <w:pStyle w:val="null3"/>
              <w:jc w:val="left"/>
            </w:pPr>
            <w:r>
              <w:rPr/>
              <w:t>情形2</w:t>
            </w:r>
          </w:p>
        </w:tc>
        <w:tc>
          <w:tcPr>
            <w:tcW w:type="dxa" w:w="4614"/>
          </w:tcPr>
          <w:p>
            <w:pPr>
              <w:pStyle w:val="null3"/>
              <w:jc w:val="left"/>
            </w:pPr>
            <w:r>
              <w:rPr/>
              <w:t>违反竞争性谈判文件中载明“无效投标”或“投标无效”条款的规定。</w:t>
            </w:r>
          </w:p>
        </w:tc>
      </w:tr>
      <w:tr>
        <w:tc>
          <w:tcPr>
            <w:tcW w:type="dxa" w:w="3692"/>
          </w:tcPr>
          <w:p>
            <w:pPr>
              <w:pStyle w:val="null3"/>
              <w:jc w:val="left"/>
            </w:pPr>
            <w:r>
              <w:rPr/>
              <w:t>情形3</w:t>
            </w:r>
          </w:p>
        </w:tc>
        <w:tc>
          <w:tcPr>
            <w:tcW w:type="dxa" w:w="4614"/>
          </w:tcPr>
          <w:p>
            <w:pPr>
              <w:pStyle w:val="null3"/>
              <w:jc w:val="left"/>
            </w:pPr>
            <w:r>
              <w:rPr/>
              <w:t>响应文件中提供虚假或失实资料的。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情形1</w:t>
            </w:r>
          </w:p>
        </w:tc>
        <w:tc>
          <w:tcPr>
            <w:tcW w:type="dxa" w:w="4614"/>
          </w:tcPr>
          <w:p>
            <w:pPr>
              <w:pStyle w:val="null3"/>
              <w:jc w:val="left"/>
            </w:pPr>
            <w:r>
              <w:rPr/>
              <w:t>《第三章 采购内容及要求》三、商务条件未逐项响应或有任何一项负偏离的。</w:t>
            </w:r>
          </w:p>
        </w:tc>
      </w:tr>
      <w:tr>
        <w:tc>
          <w:tcPr>
            <w:tcW w:type="dxa" w:w="3692"/>
          </w:tcPr>
          <w:p>
            <w:pPr>
              <w:pStyle w:val="null3"/>
              <w:jc w:val="left"/>
            </w:pPr>
            <w:r>
              <w:rPr/>
              <w:t>情形2</w:t>
            </w:r>
          </w:p>
        </w:tc>
        <w:tc>
          <w:tcPr>
            <w:tcW w:type="dxa" w:w="4614"/>
          </w:tcPr>
          <w:p>
            <w:pPr>
              <w:pStyle w:val="null3"/>
              <w:jc w:val="left"/>
            </w:pPr>
            <w:r>
              <w:rPr/>
              <w:t>违反竞争性谈判文件中载明“无效投标”或“投标无效”条款的规定。</w:t>
            </w:r>
          </w:p>
        </w:tc>
      </w:tr>
    </w:tbl>
    <w:p>
      <w:pPr>
        <w:pStyle w:val="null3"/>
        <w:jc w:val="left"/>
      </w:pPr>
      <w:r>
        <w:rPr/>
        <w:t>价格符合性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其他情形</w:t>
            </w:r>
          </w:p>
        </w:tc>
        <w:tc>
          <w:tcPr>
            <w:tcW w:type="dxa" w:w="4614"/>
          </w:tcPr>
          <w:p>
            <w:pPr>
              <w:pStyle w:val="null3"/>
              <w:jc w:val="left"/>
            </w:pPr>
            <w:r>
              <w:rPr/>
              <w:t>违反竞争性谈判文件中载明“无效投标”或“投标无效”条款的规定。</w:t>
            </w:r>
          </w:p>
        </w:tc>
      </w:tr>
    </w:tbl>
    <w:p>
      <w:pPr>
        <w:pStyle w:val="null3"/>
        <w:ind w:firstLine="480"/>
        <w:jc w:val="both"/>
      </w:pPr>
      <w:r>
        <w:rPr/>
        <w:t>14.3谈判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谈判小组要求供应商澄清、说明或者更正响应文件应当以书面形式作出。</w:t>
      </w:r>
    </w:p>
    <w:p>
      <w:pPr>
        <w:pStyle w:val="null3"/>
        <w:ind w:firstLine="480"/>
        <w:jc w:val="both"/>
      </w:pPr>
      <w:r>
        <w:rPr/>
        <w:t>14.4只有资格审查和实质性响应审查合格的供应商才能进入谈判阶段。谈判小组所有成员将集中与单一供应商分别进行谈判，并给予所有参加谈判的合格供应商平等的谈判机会。谈判过程中，谈判小组可以根据谈判文件和谈判情况实质性变动采购需求中的技术、服务要求以及合同草案条款，但不得变动竞争性谈判文件中的其他内容。实质性变动的内容，须经采购人代表确认。谈判过程中对谈判文件作出的实质性变动是谈判文件的有效组成部分，谈判小组将及时以书面形式同时通知所有参加谈判的供应商。根据采购项目的特点和需要，在谈判过程中可能发生实质性变动的内容详见竞争性谈判须知前附表第6项。</w:t>
      </w:r>
    </w:p>
    <w:p>
      <w:pPr>
        <w:pStyle w:val="null3"/>
        <w:ind w:firstLine="480"/>
        <w:jc w:val="both"/>
      </w:pPr>
      <w:r>
        <w:rPr/>
        <w:t>14.5合格供应商应当按照谈判文件的变动情况和谈判小组的要求提交补充响应文件（首次响应文件中已经提交过的如资格证明文件等资料，不用重新提供），并由供应商代表签字或加盖供应商单位公章。供应商代表如果不是竞争性谈判须知中定义的“单位负责人”，则还必须提供“单位负责人授权书”。供应商为自然人的，应当由本人签字并附身份证明。</w:t>
      </w:r>
    </w:p>
    <w:p>
      <w:pPr>
        <w:pStyle w:val="null3"/>
        <w:ind w:firstLine="480"/>
        <w:jc w:val="both"/>
      </w:pPr>
      <w:r>
        <w:rPr/>
        <w:t>14.6谈判文件能够详细列明采购标的的技术、服务要求的，谈判结束后，谈判小组应当要求所有继续参加谈判的供应商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t>14.7谈判文件不能详细列明采购标的的技术、服务要求，需经谈判由供应商提供最终设计方案或解决方案的，谈判结束后，谈判小组应当按照少数服从多数的原则投票推荐3家以上供应商的设计方案或者解决方案，具体推荐数量和投票细则等内容按照“竞争性谈判须知前附表”中专项附件：“评定成交的标准和方法”的相关条款规定执行，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t>14.8最后报价是供应商响应文件的有效组成部分。如果供应商的最后报价明显低于其他最后报价，使得其最后报价有可能影响商品或服务质量或者不能诚信履约的，供应商应当按照谈判小组要求，在规定时间内作出书面说明，必要时提交相关证明材料；供应商不能合理说明其报价合理性的，谈判小组可以做无效响应文件和无效报价处理。</w:t>
      </w:r>
    </w:p>
    <w:p>
      <w:pPr>
        <w:pStyle w:val="null3"/>
        <w:ind w:firstLine="480"/>
        <w:jc w:val="both"/>
      </w:pPr>
      <w:r>
        <w:rPr/>
        <w:t>14.9谈判小组将从质量和服务均能满足采购文件实质性响应要求的供应商中，按照评审价由低到高的顺序提出3名以上成交候选人，并编写评审报告。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相应处理方式按照“竞争性谈判须知前附表”中专项附件：“评定成交的标准和方法”的相关条款规定执行。</w:t>
      </w:r>
    </w:p>
    <w:p>
      <w:pPr>
        <w:pStyle w:val="null3"/>
        <w:ind w:firstLine="480"/>
        <w:jc w:val="both"/>
      </w:pPr>
      <w:r>
        <w:rPr/>
        <w:t>14.10供应商提交的响应文件和资料将给予保密，但不退回（有关证件或证照的原件除外）。</w:t>
      </w:r>
    </w:p>
    <w:p>
      <w:pPr>
        <w:pStyle w:val="null3"/>
        <w:jc w:val="left"/>
        <w:outlineLvl w:val="2"/>
      </w:pPr>
      <w:r>
        <w:rPr>
          <w:sz w:val="28"/>
          <w:b/>
        </w:rPr>
        <w:t>五、合同授予</w:t>
      </w:r>
    </w:p>
    <w:p>
      <w:pPr>
        <w:pStyle w:val="null3"/>
        <w:jc w:val="center"/>
      </w:pPr>
      <w:r>
        <w:rPr/>
        <w:t>参考文本</w:t>
      </w:r>
    </w:p>
    <w:p>
      <w:pPr>
        <w:pStyle w:val="null3"/>
        <w:jc w:val="both"/>
      </w:pPr>
      <w:r>
        <w:rPr>
          <w:b/>
        </w:rPr>
        <w:t>15.授予合同的准则：</w:t>
      </w:r>
    </w:p>
    <w:p>
      <w:pPr>
        <w:pStyle w:val="null3"/>
        <w:ind w:firstLine="480"/>
        <w:jc w:val="both"/>
      </w:pPr>
      <w:r>
        <w:rPr/>
        <w:t>15.1除不可抗力等因素外，合同将授予响应文件符合竞争性谈判文件要求，能够圆满地履行合同，且被谈判小组推</w:t>
      </w:r>
      <w:r>
        <w:br/>
      </w:r>
      <w:r>
        <w:rPr/>
        <w:t xml:space="preserve"> 荐为第一成交候选人的供应商。</w:t>
      </w:r>
    </w:p>
    <w:p>
      <w:pPr>
        <w:pStyle w:val="null3"/>
        <w:ind w:firstLine="480"/>
        <w:jc w:val="both"/>
      </w:pPr>
      <w:r>
        <w:rPr/>
        <w:t>15.2 政府采购合同履行中，采购人需追加与合同标的相同的货物、工程或者服务的，在不改变合同其他条款的前提下，可以与成交供应商协商签订补充合同，但所有补充合同的采购金额不得超过原合同采购金额的百分之十。</w:t>
      </w:r>
    </w:p>
    <w:p>
      <w:pPr>
        <w:pStyle w:val="null3"/>
        <w:ind w:firstLine="480"/>
        <w:jc w:val="both"/>
      </w:pPr>
      <w:r>
        <w:rPr/>
        <w:t>15.3为维护国家利益和社会公共利益，最低报价不是被授予合同的绝对保证。</w:t>
      </w:r>
    </w:p>
    <w:p>
      <w:pPr>
        <w:pStyle w:val="null3"/>
        <w:jc w:val="both"/>
      </w:pPr>
      <w:r>
        <w:rPr>
          <w:b/>
        </w:rPr>
        <w:t>16.确定成交供应商：</w:t>
      </w:r>
    </w:p>
    <w:p>
      <w:pPr>
        <w:pStyle w:val="null3"/>
        <w:ind w:firstLine="480"/>
        <w:jc w:val="both"/>
      </w:pPr>
      <w:r>
        <w:rPr/>
        <w:t>16.1采购人委托代理机构组织竞争性谈判采购活动的，采购代理机构在评审结束后2个工作日内将评审报告送采购人确认。</w:t>
      </w:r>
    </w:p>
    <w:p>
      <w:pPr>
        <w:pStyle w:val="null3"/>
        <w:ind w:firstLine="480"/>
        <w:jc w:val="both"/>
      </w:pPr>
      <w:r>
        <w:rPr/>
        <w:t>16.2采购人在收到评审报告后5个工作日内，从评审报告提出的成交候选人中，根据质量和服务均能满足采购文件实质性响应要求且最后报价评审价最低的原则确定成交供应商，也可以书面授权谈判小组直接确定成交供应商。采购人逾期未确定成交供应商且不提出异议的，视为确定评审报告提出的最后报价评审价最低的供应商为成交供应商。</w:t>
      </w:r>
    </w:p>
    <w:p>
      <w:pPr>
        <w:pStyle w:val="null3"/>
        <w:jc w:val="both"/>
      </w:pPr>
      <w:r>
        <w:rPr>
          <w:b/>
        </w:rPr>
        <w:t>17.成交通知:</w:t>
      </w:r>
    </w:p>
    <w:p>
      <w:pPr>
        <w:pStyle w:val="null3"/>
        <w:ind w:firstLine="480"/>
        <w:jc w:val="both"/>
      </w:pPr>
      <w:r>
        <w:rPr/>
        <w:t>17.1采购人或者采购代理机构在成交供应商确定后2个工作日内，在省级以上财政部门指定的媒体上公告成交结果，同时向成交供应商发出成交通知书。采用书面推荐供应商参加采购活动的，还将公告采购人和评审专家的推荐意见。</w:t>
      </w:r>
    </w:p>
    <w:p>
      <w:pPr>
        <w:pStyle w:val="null3"/>
        <w:ind w:firstLine="480"/>
        <w:jc w:val="both"/>
      </w:pPr>
      <w:r>
        <w:rPr/>
        <w:t>17.2成交通知书对采购人和成交供应商具有同等法律效力。除不可抗力因素或政策原因外，成交通知书发出后，采购人改变成交结果，或者成交供应商拒绝签订政府采购合同的，均应当承担相应的法律责任。未成交供应商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both"/>
      </w:pPr>
      <w:r>
        <w:rPr>
          <w:b/>
        </w:rPr>
        <w:t>18.签订合同：</w:t>
      </w:r>
    </w:p>
    <w:p>
      <w:pPr>
        <w:pStyle w:val="null3"/>
        <w:ind w:firstLine="480"/>
        <w:jc w:val="both"/>
      </w:pPr>
      <w:r>
        <w:rPr/>
        <w:t>18.1采购人与成交供应商应详见须知前附表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供应商应当按照成交通知书的规定和要求，及时与采购人签订合同。</w:t>
      </w:r>
    </w:p>
    <w:p>
      <w:pPr>
        <w:pStyle w:val="null3"/>
        <w:ind w:firstLine="480"/>
        <w:jc w:val="both"/>
      </w:pPr>
      <w:r>
        <w:rPr/>
        <w:t>18.2竞争性谈判文件、成交供应商的响应文件及其有关澄清承诺文件等，均为签订政府采购合同的依据和组成部分。</w:t>
      </w:r>
    </w:p>
    <w:p>
      <w:pPr>
        <w:pStyle w:val="null3"/>
        <w:ind w:firstLine="480"/>
        <w:jc w:val="both"/>
      </w:pPr>
      <w:r>
        <w:rPr/>
        <w:t>18.3采购人不得向成交供应商提出超出竞争性谈判文件以外的任何要求作为签订合同的条件，不得与成交供应商订立背离竞争性谈判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both"/>
      </w:pPr>
      <w:r>
        <w:rPr>
          <w:b/>
        </w:rPr>
        <w:t>19.询问</w:t>
      </w:r>
    </w:p>
    <w:p>
      <w:pPr>
        <w:pStyle w:val="null3"/>
        <w:ind w:firstLine="480"/>
        <w:jc w:val="both"/>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both"/>
      </w:pPr>
      <w:r>
        <w:rPr>
          <w:b/>
        </w:rPr>
        <w:t>20.质疑</w:t>
      </w:r>
    </w:p>
    <w:p>
      <w:pPr>
        <w:pStyle w:val="null3"/>
        <w:ind w:firstLine="480"/>
        <w:jc w:val="both"/>
      </w:pPr>
      <w:r>
        <w:rPr/>
        <w:t>20.1质疑应在政府采购法及实施条例规定的时效内提出，并符合下列条件：</w:t>
      </w:r>
    </w:p>
    <w:p>
      <w:pPr>
        <w:pStyle w:val="null3"/>
        <w:ind w:firstLine="960"/>
        <w:jc w:val="both"/>
      </w:pPr>
      <w:r>
        <w:rPr/>
        <w:t>20.1.1对谈判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both"/>
      </w:pPr>
      <w:r>
        <w:rPr/>
        <w:t>20.1.2质疑人应提交质疑函原件。</w:t>
      </w:r>
    </w:p>
    <w:p>
      <w:pPr>
        <w:pStyle w:val="null3"/>
        <w:ind w:firstLine="960"/>
        <w:jc w:val="both"/>
      </w:pPr>
      <w:r>
        <w:rPr/>
        <w:t>20.1.3质疑函应包括下列主要内容：</w:t>
      </w:r>
    </w:p>
    <w:p>
      <w:pPr>
        <w:pStyle w:val="null3"/>
        <w:ind w:firstLine="960"/>
        <w:jc w:val="both"/>
      </w:pPr>
      <w:r>
        <w:rPr/>
        <w:t>①质疑人的基本信息，至少包括：全称、地址、邮政编码、联系人及联系电话等；适合自然人参加谈判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both"/>
      </w:pPr>
      <w:r>
        <w:rPr/>
        <w:t>②所质疑项目的基本信息，至少包括：项目编号、项目名称等；</w:t>
      </w:r>
    </w:p>
    <w:p>
      <w:pPr>
        <w:pStyle w:val="null3"/>
        <w:ind w:firstLine="960"/>
        <w:jc w:val="both"/>
      </w:pPr>
      <w:r>
        <w:rPr/>
        <w:t>③所质疑的具体事项（以下简称：“质疑事项”）；</w:t>
      </w:r>
    </w:p>
    <w:p>
      <w:pPr>
        <w:pStyle w:val="null3"/>
        <w:ind w:firstLine="960"/>
        <w:jc w:val="both"/>
      </w:pPr>
      <w:r>
        <w:rPr/>
        <w:t>④质疑人自身权益受到损害的事实依据和证明材料，至少包括：</w:t>
      </w:r>
    </w:p>
    <w:p>
      <w:pPr>
        <w:pStyle w:val="null3"/>
        <w:ind w:firstLine="960"/>
        <w:jc w:val="both"/>
      </w:pPr>
      <w:r>
        <w:rPr/>
        <w:t>a1所质疑的具体事项事实存在的证明材料；</w:t>
      </w:r>
    </w:p>
    <w:p>
      <w:pPr>
        <w:pStyle w:val="null3"/>
        <w:ind w:firstLine="960"/>
        <w:jc w:val="both"/>
      </w:pPr>
      <w:r>
        <w:rPr/>
        <w:t>a2所质疑的具体事项事实导致质疑人自身权益受到损害的证明材料，如：采购文件、采购过程或成交结果违法违规，损害自已合法权益等证明材料；</w:t>
      </w:r>
    </w:p>
    <w:p>
      <w:pPr>
        <w:pStyle w:val="null3"/>
        <w:ind w:firstLine="960"/>
        <w:jc w:val="both"/>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p>
    <w:p>
      <w:pPr>
        <w:pStyle w:val="null3"/>
        <w:ind w:firstLine="960"/>
        <w:jc w:val="both"/>
      </w:pPr>
      <w:r>
        <w:rPr/>
        <w:t>⑤针对质疑事项提出的明确请求和法律依据，</w:t>
      </w:r>
    </w:p>
    <w:p>
      <w:pPr>
        <w:pStyle w:val="null3"/>
        <w:ind w:firstLine="960"/>
        <w:jc w:val="both"/>
      </w:pPr>
      <w:r>
        <w:rPr/>
        <w:t>前述明确请求指质疑人提出质疑的目的、希望采购人或采购代理机构对其质疑作出的处理结果，如：暂停采购活动、修改谈判文件、停止或纠正违法违规行为、成交结果无效、废标、重新采购等，质疑人提出质疑请求还应当对相应的法律依据进行说明。</w:t>
      </w:r>
    </w:p>
    <w:p>
      <w:pPr>
        <w:pStyle w:val="null3"/>
        <w:ind w:firstLine="960"/>
        <w:jc w:val="both"/>
      </w:pPr>
      <w:r>
        <w:rPr/>
        <w:t>⑥提出质疑的日期以及质疑人代表联系方式，至少包括：姓名、手机、电子信箱、邮寄地址等。</w:t>
      </w:r>
    </w:p>
    <w:p>
      <w:pPr>
        <w:pStyle w:val="null3"/>
        <w:ind w:firstLine="480"/>
        <w:jc w:val="both"/>
      </w:pPr>
      <w:r>
        <w:rPr/>
        <w:t>20.2对不符合前文第20.1条规定的质疑，采购人或采购代理机构将按照下列规定进行处理：</w:t>
      </w:r>
    </w:p>
    <w:p>
      <w:pPr>
        <w:pStyle w:val="null3"/>
        <w:ind w:firstLine="960"/>
        <w:jc w:val="both"/>
      </w:pPr>
      <w:r>
        <w:rPr/>
        <w:t>20.2.1超过质疑时效提交的或者质疑人不是参与所质疑项目采购活动的供应商，书面告知质疑人其质疑不成立的原因和理由。</w:t>
      </w:r>
    </w:p>
    <w:p>
      <w:pPr>
        <w:pStyle w:val="null3"/>
        <w:ind w:firstLine="960"/>
        <w:jc w:val="both"/>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both"/>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both"/>
      </w:pPr>
      <w:r>
        <w:rPr/>
        <w:t>20.3对符合前文第20.1条规定的质疑，采购人或采购代理机构将按照政府采购法及实施条例的有关规定进行答复。</w:t>
      </w:r>
    </w:p>
    <w:p>
      <w:pPr>
        <w:pStyle w:val="null3"/>
        <w:jc w:val="both"/>
      </w:pPr>
      <w:r>
        <w:rPr>
          <w:b/>
        </w:rPr>
        <w:t>21.投诉</w:t>
      </w:r>
    </w:p>
    <w:p>
      <w:pPr>
        <w:pStyle w:val="null3"/>
        <w:ind w:firstLine="480"/>
        <w:jc w:val="both"/>
      </w:pPr>
      <w:r>
        <w:rPr/>
        <w:t>21.1若对质疑答复不满意或质疑答复未在答复期限内作出，质疑人可在答复期限届满之日起15个工作日内向谈判文件中载明的监督管理部门投诉。</w:t>
      </w:r>
    </w:p>
    <w:p>
      <w:pPr>
        <w:pStyle w:val="null3"/>
        <w:ind w:firstLine="480"/>
        <w:jc w:val="both"/>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both"/>
      </w:pPr>
      <w:r>
        <w:rPr>
          <w:b/>
        </w:rPr>
        <w:t>22.政府采购信息公告媒体</w:t>
      </w:r>
    </w:p>
    <w:p>
      <w:pPr>
        <w:pStyle w:val="null3"/>
        <w:ind w:firstLine="480"/>
        <w:jc w:val="both"/>
      </w:pPr>
      <w:r>
        <w:rPr/>
        <w:t>22.1本项目的有关信息，包括但不限于采购公告、更正公告（若有）、谈判文件、谈判文件的澄清或修改（若有）、成交公告、终止公告（若有）、废标公告（若有）等都将在谈判文件载明的指定媒体发布。潜在供应商或供应商务必随时关注，以免遗漏。</w:t>
      </w:r>
    </w:p>
    <w:p>
      <w:pPr>
        <w:pStyle w:val="null3"/>
        <w:ind w:firstLine="480"/>
        <w:jc w:val="both"/>
      </w:pPr>
      <w:r>
        <w:rPr/>
        <w:t>22.2信息公告指定媒体：详见竞争性谈判须知前附表第7项。</w:t>
      </w:r>
    </w:p>
    <w:p>
      <w:pPr>
        <w:pStyle w:val="null3"/>
        <w:jc w:val="both"/>
      </w:pPr>
      <w:r>
        <w:rPr>
          <w:b/>
        </w:rPr>
        <w:t>23.监督管理部门</w:t>
      </w:r>
    </w:p>
    <w:p>
      <w:pPr>
        <w:pStyle w:val="null3"/>
        <w:ind w:firstLine="480"/>
        <w:jc w:val="both"/>
      </w:pPr>
      <w:r>
        <w:rPr/>
        <w:t>23.1谈判采购活动的监督管理部门详见竞争性谈判须知前附表第8项。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both"/>
      </w:pPr>
      <w:r>
        <w:rPr/>
        <w:t>24.1进口产品指通过中国海关报关验放进入中国境内且产自关境外的产品，其中：</w:t>
      </w:r>
    </w:p>
    <w:p>
      <w:pPr>
        <w:pStyle w:val="null3"/>
        <w:ind w:firstLine="96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960"/>
        <w:jc w:val="both"/>
      </w:pPr>
      <w:r>
        <w:rPr/>
        <w:t>（2）凡在海关特殊监管区域内企业生产或加工（包括从境外进口料件）销往境内其他地区的产品，不作为政府采购项下进口产品。</w:t>
      </w:r>
    </w:p>
    <w:p>
      <w:pPr>
        <w:pStyle w:val="null3"/>
        <w:ind w:firstLine="960"/>
        <w:jc w:val="both"/>
      </w:pPr>
      <w:r>
        <w:rPr/>
        <w:t>（3）对从境外进入海关特殊监管区域，再经办理报关手续后从海关特殊监管区进入境内其他地区的产品，认定为进口产品。</w:t>
      </w:r>
    </w:p>
    <w:p>
      <w:pPr>
        <w:pStyle w:val="null3"/>
        <w:ind w:firstLine="960"/>
        <w:jc w:val="both"/>
      </w:pPr>
      <w:r>
        <w:rPr/>
        <w:t>（4）谈判文件列明不允许或未列明允许进口产品参加报价的，均视为拒绝进口产品参加报价。</w:t>
      </w:r>
    </w:p>
    <w:p>
      <w:pPr>
        <w:pStyle w:val="null3"/>
        <w:ind w:firstLine="480"/>
        <w:jc w:val="both"/>
      </w:pPr>
      <w:r>
        <w:rPr/>
        <w:t xml:space="preserve">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 </w:t>
      </w:r>
    </w:p>
    <w:p>
      <w:pPr>
        <w:pStyle w:val="null3"/>
        <w:ind w:firstLine="480"/>
        <w:jc w:val="both"/>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960"/>
        <w:jc w:val="both"/>
      </w:pPr>
      <w:r>
        <w:rPr/>
        <w:t>（1）中小企业指符合下列条件的中型、小型、微型企业：</w:t>
      </w:r>
    </w:p>
    <w:p>
      <w:pPr>
        <w:pStyle w:val="null3"/>
        <w:ind w:firstLine="96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960"/>
        <w:jc w:val="both"/>
      </w:pPr>
      <w:r>
        <w:rPr/>
        <w:t>②符合中小企业划分标准的个体工商户，在政府采购活动中视同中小企业。</w:t>
      </w:r>
    </w:p>
    <w:p>
      <w:pPr>
        <w:pStyle w:val="null3"/>
        <w:ind w:firstLine="960"/>
        <w:jc w:val="both"/>
      </w:pPr>
      <w:r>
        <w:rPr/>
        <w:t>（2）在政府采购活动中，供应商提供的货物、工程或者服务符合下列情形的，享受本办法规定的中小企业扶持政策：</w:t>
      </w:r>
    </w:p>
    <w:p>
      <w:pPr>
        <w:pStyle w:val="null3"/>
        <w:ind w:firstLine="960"/>
        <w:jc w:val="both"/>
      </w:pPr>
      <w:r>
        <w:rPr/>
        <w:t>①在货物采购项目中，货物由中小企业制造，即货物由中小企业生产且使用该中小企业商号或者注册商标；</w:t>
      </w:r>
    </w:p>
    <w:p>
      <w:pPr>
        <w:pStyle w:val="null3"/>
        <w:ind w:firstLine="960"/>
        <w:jc w:val="both"/>
      </w:pPr>
      <w:r>
        <w:rPr/>
        <w:t>②在工程采购项目中，工程由中小企业承建，即工程施工单位为中小企业；</w:t>
      </w:r>
    </w:p>
    <w:p>
      <w:pPr>
        <w:pStyle w:val="null3"/>
        <w:ind w:firstLine="960"/>
        <w:jc w:val="both"/>
      </w:pPr>
      <w:r>
        <w:rPr/>
        <w:t>③在服务采购项目中，服务由中小企业承接，即提供服务的人员为中小企业依照《中华人民共和国劳动合同法》 订立劳动合同的从业人员。</w:t>
      </w:r>
    </w:p>
    <w:p>
      <w:pPr>
        <w:pStyle w:val="null3"/>
        <w:ind w:firstLine="960"/>
        <w:jc w:val="both"/>
      </w:pPr>
      <w:r>
        <w:rPr/>
        <w:t>在货物采购项目中，供应商提供的货物既有中小企业制造货物，也有大型企业制造货物的，不享受本办法规定的中小企业扶持政策。</w:t>
      </w:r>
    </w:p>
    <w:p>
      <w:pPr>
        <w:pStyle w:val="null3"/>
        <w:ind w:firstLine="960"/>
        <w:jc w:val="both"/>
      </w:pPr>
      <w:r>
        <w:rPr/>
        <w:t>以联合体形式参加政府采购活动，联合体各方均为中小企业的，联合体视同中小企业。其中，联合体各方均为小微企业的，联合体视同小微企业。</w:t>
      </w:r>
    </w:p>
    <w:p>
      <w:pPr>
        <w:pStyle w:val="null3"/>
        <w:ind w:firstLine="960"/>
        <w:jc w:val="both"/>
      </w:pPr>
      <w:r>
        <w:rPr/>
        <w:t>（3）供应商应当按照谈判文件明确的采购标的对应行业的划分标准出具中小企业声明函。</w:t>
      </w:r>
    </w:p>
    <w:p>
      <w:pPr>
        <w:pStyle w:val="null3"/>
        <w:ind w:firstLine="96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96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960"/>
        <w:jc w:val="both"/>
      </w:pPr>
      <w:r>
        <w:rPr/>
        <w:t>①监狱企业参加采购活动时，应提供由省级以上监狱管理局、戒毒管理局（含新疆生产建设兵团）出具的属于监狱企业的证明文件。</w:t>
      </w:r>
    </w:p>
    <w:p>
      <w:pPr>
        <w:pStyle w:val="null3"/>
        <w:ind w:firstLine="960"/>
        <w:jc w:val="both"/>
      </w:pPr>
      <w:r>
        <w:rPr/>
        <w:t>②监狱企业视同小型、微型企业。</w:t>
      </w:r>
    </w:p>
    <w:p>
      <w:pPr>
        <w:pStyle w:val="null3"/>
        <w:ind w:firstLine="960"/>
        <w:jc w:val="both"/>
      </w:pPr>
      <w:r>
        <w:rPr/>
        <w:t>（5）残疾人福利性单位指同时符合下列条件的单位：</w:t>
      </w:r>
    </w:p>
    <w:p>
      <w:pPr>
        <w:pStyle w:val="null3"/>
        <w:ind w:firstLine="960"/>
        <w:jc w:val="both"/>
      </w:pPr>
      <w:r>
        <w:rPr/>
        <w:t>①安置的残疾人占本单位在职职工人数的比例不低于25%（含25%），并且安置的残疾人人数不少于10人（含10人）；</w:t>
      </w:r>
    </w:p>
    <w:p>
      <w:pPr>
        <w:pStyle w:val="null3"/>
        <w:ind w:firstLine="960"/>
        <w:jc w:val="both"/>
      </w:pPr>
      <w:r>
        <w:rPr/>
        <w:t>②依法与安置的每位残疾人签订了一年以上（含一年）的劳动合同或服务协议；</w:t>
      </w:r>
    </w:p>
    <w:p>
      <w:pPr>
        <w:pStyle w:val="null3"/>
        <w:ind w:firstLine="960"/>
        <w:jc w:val="both"/>
      </w:pPr>
      <w:r>
        <w:rPr/>
        <w:t>③为安置的每位残疾人按月足额缴纳了基本养老保险、基本医疗保险、失业保险、工伤保险和生育保险等社会保险费；</w:t>
      </w:r>
    </w:p>
    <w:p>
      <w:pPr>
        <w:pStyle w:val="null3"/>
        <w:ind w:firstLine="960"/>
        <w:jc w:val="both"/>
      </w:pPr>
      <w:r>
        <w:rPr/>
        <w:t>④通过银行等金融机构向安置的每位残疾人，按月支付了不低于单位所在区县适用的经省级人民政府批准的月最低工资标准的工资；</w:t>
      </w:r>
    </w:p>
    <w:p>
      <w:pPr>
        <w:pStyle w:val="null3"/>
        <w:ind w:firstLine="960"/>
        <w:jc w:val="both"/>
      </w:pPr>
      <w:r>
        <w:rPr/>
        <w:t>⑤提供本单位制造的货物、承担的工程或服务，或提供其他残疾人福利性单位制造的货物（不包括使用非残疾人福利性单位注册商标的货物）。</w:t>
      </w:r>
    </w:p>
    <w:p>
      <w:pPr>
        <w:pStyle w:val="null3"/>
        <w:ind w:firstLine="96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960"/>
        <w:jc w:val="both"/>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both"/>
      </w:pPr>
      <w:r>
        <w:rPr/>
        <w:t>25.履约保证金</w:t>
      </w:r>
    </w:p>
    <w:p>
      <w:pPr>
        <w:pStyle w:val="null3"/>
        <w:ind w:firstLine="480"/>
        <w:jc w:val="both"/>
      </w:pPr>
      <w:r>
        <w:rPr/>
        <w:t>25.1采购人可以根据项目特点和需要，确定是否要求成交供应商在合同签订前，按照谈判文件规定的时间、形式、金额提交履约保证金，履约保证金的数额不超过中标合同金额的10%。</w:t>
      </w:r>
    </w:p>
    <w:p>
      <w:pPr>
        <w:pStyle w:val="null3"/>
        <w:ind w:firstLine="480"/>
        <w:jc w:val="both"/>
      </w:pPr>
      <w:r>
        <w:rPr/>
        <w:t>25.2谈判文件要求在合同签订前提交履约保证金，如果成交供应商无故拖延或者拒不提交履约保证金的，则视为成交供应商拒绝与采购人签订合同，该成交供应商将承担违法行为的法律责任。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26.1根据采购项目特点或政策需要补充的其他新增内容详见竞争性谈判须知前附表第9项。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both"/>
        <w:outlineLvl w:val="2"/>
      </w:pPr>
      <w:r>
        <w:rPr>
          <w:sz w:val="28"/>
          <w:b/>
        </w:rPr>
        <w:t>一、（根据本项目实际情况，填写“采购标的”或“项目概况”）</w:t>
      </w:r>
    </w:p>
    <w:p>
      <w:pPr>
        <w:pStyle w:val="null3"/>
        <w:jc w:val="left"/>
      </w:pPr>
      <w:r>
        <w:rPr>
          <w:rFonts w:ascii="宋体" w:hAnsi="宋体" w:cs="宋体" w:eastAsia="宋体"/>
          <w:sz w:val="24"/>
        </w:rPr>
        <w:t>1.本项目为福建省福州市第十四中学2024新教学楼其他办公设备采购</w:t>
      </w:r>
      <w:r>
        <w:rPr>
          <w:rFonts w:ascii="宋体" w:hAnsi="宋体" w:cs="宋体" w:eastAsia="宋体"/>
          <w:sz w:val="24"/>
        </w:rPr>
        <w:t>项目</w:t>
      </w:r>
      <w:r>
        <w:rPr>
          <w:rFonts w:ascii="宋体" w:hAnsi="宋体" w:cs="宋体" w:eastAsia="宋体"/>
          <w:sz w:val="24"/>
        </w:rPr>
        <w:t>，供应商应根据谈判文件的要求，提供符合采购人需求的货物，并负责货物的运输等工作。</w:t>
      </w:r>
    </w:p>
    <w:p>
      <w:pPr>
        <w:pStyle w:val="null3"/>
        <w:ind w:firstLine="480"/>
        <w:jc w:val="left"/>
      </w:pPr>
      <w:r>
        <w:rPr>
          <w:rFonts w:ascii="宋体" w:hAnsi="宋体" w:cs="宋体" w:eastAsia="宋体"/>
          <w:sz w:val="24"/>
        </w:rPr>
        <w:t>2.供应商须按</w:t>
      </w:r>
      <w:r>
        <w:rPr>
          <w:rFonts w:ascii="宋体" w:hAnsi="宋体" w:cs="宋体" w:eastAsia="宋体"/>
          <w:sz w:val="24"/>
        </w:rPr>
        <w:t>采购包</w:t>
      </w:r>
      <w:r>
        <w:rPr>
          <w:rFonts w:ascii="宋体" w:hAnsi="宋体" w:cs="宋体" w:eastAsia="宋体"/>
          <w:sz w:val="24"/>
        </w:rPr>
        <w:t>投标，对同一</w:t>
      </w:r>
      <w:r>
        <w:rPr>
          <w:rFonts w:ascii="宋体" w:hAnsi="宋体" w:cs="宋体" w:eastAsia="宋体"/>
          <w:sz w:val="24"/>
        </w:rPr>
        <w:t>采购包</w:t>
      </w:r>
      <w:r>
        <w:rPr>
          <w:rFonts w:ascii="宋体" w:hAnsi="宋体" w:cs="宋体" w:eastAsia="宋体"/>
          <w:sz w:val="24"/>
        </w:rPr>
        <w:t>内所有内容投标时必须完整，评标与授标以</w:t>
      </w:r>
      <w:r>
        <w:rPr>
          <w:rFonts w:ascii="宋体" w:hAnsi="宋体" w:cs="宋体" w:eastAsia="宋体"/>
          <w:sz w:val="24"/>
        </w:rPr>
        <w:t>采购包</w:t>
      </w:r>
      <w:r>
        <w:rPr>
          <w:rFonts w:ascii="宋体" w:hAnsi="宋体" w:cs="宋体" w:eastAsia="宋体"/>
          <w:sz w:val="24"/>
        </w:rPr>
        <w:t>为单位。</w:t>
      </w:r>
    </w:p>
    <w:p>
      <w:pPr>
        <w:pStyle w:val="null3"/>
        <w:ind w:firstLine="480"/>
        <w:jc w:val="left"/>
      </w:pPr>
      <w:r>
        <w:rPr>
          <w:rFonts w:ascii="宋体" w:hAnsi="宋体" w:cs="宋体" w:eastAsia="宋体"/>
          <w:sz w:val="24"/>
        </w:rPr>
        <w:t>3.供应商对本谈判文件中提出的产品技术功能要求应在响应文件中逐项答复，说明是否能满足要求，以便谈判小组能对供应商所提供的产品做出准确判断和评估。</w:t>
      </w:r>
    </w:p>
    <w:p>
      <w:pPr>
        <w:pStyle w:val="null3"/>
        <w:ind w:firstLine="480"/>
        <w:jc w:val="left"/>
      </w:pPr>
      <w:r>
        <w:rPr>
          <w:rFonts w:ascii="宋体" w:hAnsi="宋体" w:cs="宋体" w:eastAsia="宋体"/>
          <w:sz w:val="24"/>
        </w:rPr>
        <w:t>4.供应商所投产品必须是全新货物原厂原包装，通过合法渠道获得。</w:t>
      </w:r>
    </w:p>
    <w:p>
      <w:pPr>
        <w:pStyle w:val="null3"/>
        <w:ind w:firstLine="480"/>
        <w:jc w:val="left"/>
      </w:pPr>
      <w:r>
        <w:rPr>
          <w:rFonts w:ascii="宋体" w:hAnsi="宋体" w:cs="宋体" w:eastAsia="宋体"/>
          <w:sz w:val="24"/>
        </w:rPr>
        <w:t>5.成交供应商不得转包他人，若发现转包，采购人有权终止合同，并追究相应法律责任。</w:t>
      </w:r>
    </w:p>
    <w:p>
      <w:pPr>
        <w:pStyle w:val="null3"/>
        <w:jc w:val="both"/>
        <w:outlineLvl w:val="2"/>
      </w:pPr>
      <w:r>
        <w:rPr>
          <w:sz w:val="28"/>
          <w:b/>
        </w:rPr>
        <w:t>二、技术和服务要求</w:t>
      </w:r>
    </w:p>
    <w:p>
      <w:pPr>
        <w:pStyle w:val="null3"/>
        <w:jc w:val="left"/>
      </w:pPr>
      <w:r>
        <w:rPr>
          <w:rFonts w:ascii="宋体" w:hAnsi="宋体" w:cs="宋体" w:eastAsia="宋体"/>
          <w:sz w:val="24"/>
          <w:b/>
        </w:rPr>
        <w:t>采购包</w:t>
      </w:r>
      <w:r>
        <w:rPr>
          <w:rFonts w:ascii="宋体" w:hAnsi="宋体" w:cs="宋体" w:eastAsia="宋体"/>
          <w:sz w:val="24"/>
          <w:b/>
        </w:rPr>
        <w:t>1：</w:t>
      </w:r>
    </w:p>
    <w:tbl>
      <w:tblPr>
        <w:tblW w:w="0" w:type="auto"/>
        <w:tblBorders>
          <w:top w:val="none" w:color="000000" w:sz="4"/>
          <w:left w:val="none" w:color="000000" w:sz="4"/>
          <w:bottom w:val="none" w:color="000000" w:sz="4"/>
          <w:right w:val="none" w:color="000000" w:sz="4"/>
          <w:insideH w:val="none"/>
          <w:insideV w:val="none"/>
        </w:tblBorders>
      </w:tblPr>
      <w:tblGrid>
        <w:gridCol w:w="729"/>
        <w:gridCol w:w="1094"/>
        <w:gridCol w:w="4980"/>
        <w:gridCol w:w="715"/>
        <w:gridCol w:w="743"/>
      </w:tblGrid>
      <w:tr>
        <w:tc>
          <w:tcPr>
            <w:tcW w:type="dxa" w:w="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序号</w:t>
            </w:r>
          </w:p>
        </w:tc>
        <w:tc>
          <w:tcPr>
            <w:tcW w:type="dxa" w:w="1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名称</w:t>
            </w:r>
          </w:p>
        </w:tc>
        <w:tc>
          <w:tcPr>
            <w:tcW w:type="dxa" w:w="4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技术参数</w:t>
            </w: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单位</w:t>
            </w:r>
          </w:p>
        </w:tc>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数量</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课桌椅（单人）</w:t>
            </w:r>
            <w:r>
              <w:rPr>
                <w:rFonts w:ascii="宋体" w:hAnsi="宋体" w:cs="宋体" w:eastAsia="宋体"/>
                <w:sz w:val="24"/>
                <w:b/>
                <w:color w:val="000000"/>
              </w:rPr>
              <w:t>（核心产品）</w:t>
            </w:r>
          </w:p>
        </w:tc>
        <w:tc>
          <w:tcPr>
            <w:tcW w:type="dxa" w:w="4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w:t>
            </w:r>
            <w:r>
              <w:rPr>
                <w:rFonts w:ascii="calibri" w:hAnsi="calibri" w:cs="calibri" w:eastAsia="calibri"/>
                <w:sz w:val="24"/>
                <w:color w:val="000000"/>
              </w:rPr>
              <w:t>1</w:t>
            </w:r>
            <w:r>
              <w:rPr>
                <w:rFonts w:ascii="宋体" w:hAnsi="宋体" w:cs="宋体" w:eastAsia="宋体"/>
                <w:sz w:val="24"/>
                <w:color w:val="000000"/>
              </w:rPr>
              <w:t>）</w:t>
            </w:r>
            <w:r>
              <w:rPr>
                <w:rFonts w:ascii="宋体" w:hAnsi="宋体" w:cs="宋体" w:eastAsia="宋体"/>
                <w:sz w:val="24"/>
                <w:color w:val="000000"/>
              </w:rPr>
              <w:t>课桌尺寸</w:t>
            </w:r>
            <w:r>
              <w:rPr>
                <w:rFonts w:ascii="宋体" w:hAnsi="宋体" w:cs="宋体" w:eastAsia="宋体"/>
                <w:sz w:val="24"/>
                <w:color w:val="000000"/>
              </w:rPr>
              <w:t>:≥长650</w:t>
            </w:r>
            <w:r>
              <w:rPr>
                <w:rFonts w:ascii="calibri" w:hAnsi="calibri" w:cs="calibri" w:eastAsia="calibri"/>
                <w:sz w:val="24"/>
                <w:color w:val="000000"/>
              </w:rPr>
              <w:t>mm</w:t>
            </w:r>
            <w:r>
              <w:rPr>
                <w:rFonts w:ascii="宋体" w:hAnsi="宋体" w:cs="宋体" w:eastAsia="宋体"/>
                <w:sz w:val="24"/>
                <w:color w:val="000000"/>
              </w:rPr>
              <w:t>*宽450</w:t>
            </w:r>
            <w:r>
              <w:rPr>
                <w:rFonts w:ascii="calibri" w:hAnsi="calibri" w:cs="calibri" w:eastAsia="calibri"/>
                <w:sz w:val="24"/>
                <w:color w:val="000000"/>
              </w:rPr>
              <w:t>mm</w:t>
            </w:r>
            <w:r>
              <w:rPr>
                <w:rFonts w:ascii="宋体" w:hAnsi="宋体" w:cs="宋体" w:eastAsia="宋体"/>
                <w:sz w:val="24"/>
                <w:color w:val="000000"/>
              </w:rPr>
              <w:t>*高可升降：700-790mm</w:t>
            </w:r>
            <w:r>
              <w:rPr>
                <w:rFonts w:ascii="宋体" w:hAnsi="宋体" w:cs="宋体" w:eastAsia="宋体"/>
                <w:sz w:val="24"/>
                <w:color w:val="000000"/>
              </w:rPr>
              <w:t>。</w:t>
            </w:r>
            <w:r>
              <w:br/>
            </w:r>
            <w:r>
              <w:rPr>
                <w:rFonts w:ascii="宋体" w:hAnsi="宋体" w:cs="宋体" w:eastAsia="宋体"/>
                <w:sz w:val="24"/>
                <w:color w:val="000000"/>
              </w:rPr>
              <w:t>（</w:t>
            </w:r>
            <w:r>
              <w:rPr>
                <w:rFonts w:ascii="calibri" w:hAnsi="calibri" w:cs="calibri" w:eastAsia="calibri"/>
                <w:sz w:val="24"/>
                <w:color w:val="000000"/>
              </w:rPr>
              <w:t>2</w:t>
            </w:r>
            <w:r>
              <w:rPr>
                <w:rFonts w:ascii="宋体" w:hAnsi="宋体" w:cs="宋体" w:eastAsia="宋体"/>
                <w:sz w:val="24"/>
                <w:color w:val="000000"/>
              </w:rPr>
              <w:t>）</w:t>
            </w:r>
            <w:r>
              <w:rPr>
                <w:rFonts w:ascii="宋体" w:hAnsi="宋体" w:cs="宋体" w:eastAsia="宋体"/>
                <w:sz w:val="24"/>
                <w:color w:val="000000"/>
              </w:rPr>
              <w:t>课椅尺寸</w:t>
            </w:r>
            <w:r>
              <w:rPr>
                <w:rFonts w:ascii="宋体" w:hAnsi="宋体" w:cs="宋体" w:eastAsia="宋体"/>
                <w:sz w:val="24"/>
                <w:color w:val="000000"/>
              </w:rPr>
              <w:t>:≥长380</w:t>
            </w:r>
            <w:r>
              <w:rPr>
                <w:rFonts w:ascii="calibri" w:hAnsi="calibri" w:cs="calibri" w:eastAsia="calibri"/>
                <w:sz w:val="24"/>
                <w:color w:val="000000"/>
              </w:rPr>
              <w:t>mm</w:t>
            </w:r>
            <w:r>
              <w:rPr>
                <w:rFonts w:ascii="宋体" w:hAnsi="宋体" w:cs="宋体" w:eastAsia="宋体"/>
                <w:sz w:val="24"/>
                <w:color w:val="000000"/>
              </w:rPr>
              <w:t>*宽400</w:t>
            </w:r>
            <w:r>
              <w:rPr>
                <w:rFonts w:ascii="calibri" w:hAnsi="calibri" w:cs="calibri" w:eastAsia="calibri"/>
                <w:sz w:val="24"/>
                <w:color w:val="000000"/>
              </w:rPr>
              <w:t>mm</w:t>
            </w:r>
            <w:r>
              <w:rPr>
                <w:rFonts w:ascii="宋体" w:hAnsi="宋体" w:cs="宋体" w:eastAsia="宋体"/>
                <w:sz w:val="24"/>
                <w:color w:val="000000"/>
              </w:rPr>
              <w:t>*高可升降：400-460mm</w:t>
            </w:r>
            <w:r>
              <w:rPr>
                <w:rFonts w:ascii="宋体" w:hAnsi="宋体" w:cs="宋体" w:eastAsia="宋体"/>
                <w:sz w:val="24"/>
                <w:color w:val="000000"/>
              </w:rPr>
              <w:t>。</w:t>
            </w:r>
            <w:r>
              <w:br/>
            </w:r>
            <w:r>
              <w:rPr>
                <w:rFonts w:ascii="宋体" w:hAnsi="宋体" w:cs="宋体" w:eastAsia="宋体"/>
                <w:sz w:val="24"/>
                <w:color w:val="000000"/>
              </w:rPr>
              <w:t>一</w:t>
            </w:r>
            <w:r>
              <w:rPr>
                <w:rFonts w:ascii="宋体" w:hAnsi="宋体" w:cs="宋体" w:eastAsia="宋体"/>
                <w:sz w:val="24"/>
                <w:color w:val="000000"/>
              </w:rPr>
              <w:t>、</w:t>
            </w:r>
            <w:r>
              <w:rPr>
                <w:rFonts w:ascii="宋体" w:hAnsi="宋体" w:cs="宋体" w:eastAsia="宋体"/>
                <w:sz w:val="24"/>
                <w:color w:val="000000"/>
              </w:rPr>
              <w:t>桌椅材质说明：</w:t>
            </w:r>
            <w:r>
              <w:br/>
            </w:r>
            <w:r>
              <w:rPr>
                <w:rFonts w:ascii="宋体" w:hAnsi="宋体" w:cs="宋体" w:eastAsia="宋体"/>
                <w:sz w:val="24"/>
                <w:color w:val="000000"/>
              </w:rPr>
              <w:t>1.桌材质说明：</w:t>
            </w:r>
            <w:r>
              <w:br/>
            </w:r>
            <w:r>
              <w:rPr>
                <w:rFonts w:ascii="宋体" w:hAnsi="宋体" w:cs="宋体" w:eastAsia="宋体"/>
                <w:sz w:val="24"/>
                <w:color w:val="000000"/>
              </w:rPr>
              <w:t>1.1.脚管：规格：采用≥50*25*1.4mm冷轧钢管，管材厚度≥1.2mm，采用优质冷轧钢板经特制成型轧。</w:t>
            </w:r>
          </w:p>
          <w:p>
            <w:pPr>
              <w:pStyle w:val="null3"/>
              <w:jc w:val="left"/>
            </w:pPr>
            <w:r>
              <w:rPr>
                <w:rFonts w:ascii="宋体" w:hAnsi="宋体" w:cs="宋体" w:eastAsia="宋体"/>
                <w:sz w:val="24"/>
                <w:color w:val="000000"/>
              </w:rPr>
              <w:t>1.1.1</w:t>
            </w:r>
            <w:r>
              <w:rPr>
                <w:rFonts w:ascii="宋体" w:hAnsi="宋体" w:cs="宋体" w:eastAsia="宋体"/>
                <w:sz w:val="24"/>
              </w:rPr>
              <w:t>钢管符合</w:t>
            </w:r>
            <w:r>
              <w:rPr>
                <w:rFonts w:ascii="宋体" w:hAnsi="宋体" w:cs="宋体" w:eastAsia="宋体"/>
                <w:sz w:val="24"/>
              </w:rPr>
              <w:t>GB/T3325-2017 《金属家具通用技术条件》标准，金属件外观性能要求和金属表面耐腐蚀（连续喷雾1000小时以上）符合国家标准。</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r>
              <w:rPr>
                <w:rFonts w:ascii="宋体" w:hAnsi="宋体" w:cs="宋体" w:eastAsia="宋体"/>
                <w:sz w:val="24"/>
                <w:b/>
              </w:rPr>
              <w:t>予以佐证）</w:t>
            </w:r>
            <w:r>
              <w:br/>
            </w:r>
            <w:r>
              <w:rPr>
                <w:rFonts w:ascii="宋体" w:hAnsi="宋体" w:cs="宋体" w:eastAsia="宋体"/>
                <w:sz w:val="24"/>
                <w:color w:val="000000"/>
              </w:rPr>
              <w:t>1.2.上活动脚管：规格≥40mm×20mm，管材厚度≥1.4mm，高频焊接成闭口型材管，韧性刚性更强，经久耐用。</w:t>
            </w:r>
            <w:r>
              <w:br/>
            </w:r>
            <w:r>
              <w:rPr>
                <w:rFonts w:ascii="宋体" w:hAnsi="宋体" w:cs="宋体" w:eastAsia="宋体"/>
                <w:sz w:val="24"/>
                <w:color w:val="000000"/>
              </w:rPr>
              <w:t>1.3.U型框：规格≥40mm×20mm，管材厚度≥1.2mm，高频焊接成闭口型材管，让物理更呈现工艺四角均圆弧物理防撞处理。</w:t>
            </w:r>
            <w:r>
              <w:br/>
            </w:r>
            <w:r>
              <w:rPr>
                <w:rFonts w:ascii="宋体" w:hAnsi="宋体" w:cs="宋体" w:eastAsia="宋体"/>
                <w:sz w:val="24"/>
                <w:color w:val="000000"/>
              </w:rPr>
              <w:t>1.4.下连接管：规格≥40mm×20mm，管材厚度≥1.0mm，高频焊接成闭口型材管，让物理更呈现工艺四角均圆弧物理防撞处理。</w:t>
            </w:r>
            <w:r>
              <w:br/>
            </w:r>
            <w:r>
              <w:rPr>
                <w:rFonts w:ascii="宋体" w:hAnsi="宋体" w:cs="宋体" w:eastAsia="宋体"/>
                <w:sz w:val="24"/>
                <w:color w:val="000000"/>
              </w:rPr>
              <w:t>1.5.桌面：防水防潮，桌面易清洗。永久牢固，流线美观并有安全圆角，避免碰伤，保护桌角；封边耐磨耐划，刀割后不翘边，保护学生不被划伤。靠学生面，弧面设计弧高≥20mm，使用更方便；桌面封边全部采用PP材料一体注塑成型不能单独分开，注塑单边厚度≥2mm，注塑边总高度≥29 mm。保证使用过程中不易被撕掉或脱落。桌四边角圆弧≥R15mm，有效防止学生碰伤；带IPAD槽，槽底有7个圆孔，方便清理槽内卫生；</w:t>
            </w:r>
            <w:r>
              <w:br/>
            </w:r>
            <w:r>
              <w:rPr>
                <w:rFonts w:ascii="宋体" w:hAnsi="宋体" w:cs="宋体" w:eastAsia="宋体"/>
                <w:sz w:val="24"/>
                <w:color w:val="000000"/>
              </w:rPr>
              <w:t>1.6.抽屉：采用特有模具冲压成型，下凹造型让内部空间更结实；</w:t>
            </w:r>
            <w:r>
              <w:br/>
            </w:r>
            <w:r>
              <w:rPr>
                <w:rFonts w:ascii="宋体" w:hAnsi="宋体" w:cs="宋体" w:eastAsia="宋体"/>
                <w:sz w:val="24"/>
                <w:color w:val="000000"/>
              </w:rPr>
              <w:t>1.7.桌挂钩：桌左右两边各有一个≥4mm折弯成钩型的挂钩；</w:t>
            </w:r>
            <w:r>
              <w:br/>
            </w:r>
            <w:r>
              <w:rPr>
                <w:rFonts w:ascii="宋体" w:hAnsi="宋体" w:cs="宋体" w:eastAsia="宋体"/>
                <w:sz w:val="24"/>
                <w:color w:val="000000"/>
              </w:rPr>
              <w:t>1.8.椭圆管加长长外塞，前脚套自带防滑功能；两者都选用一级聚丙烯材料，无臭、无味、无毒、强度、刚度、硬度耐热性高，化学性能稳定，电绝缘性好。</w:t>
            </w:r>
          </w:p>
          <w:p>
            <w:pPr>
              <w:pStyle w:val="null3"/>
              <w:jc w:val="left"/>
            </w:pPr>
            <w:r>
              <w:rPr>
                <w:rFonts w:ascii="宋体" w:hAnsi="宋体" w:cs="宋体" w:eastAsia="宋体"/>
                <w:sz w:val="24"/>
                <w:color w:val="000000"/>
              </w:rPr>
              <w:t>1.8.1.</w:t>
            </w:r>
            <w:r>
              <w:rPr>
                <w:rFonts w:ascii="宋体" w:hAnsi="宋体" w:cs="宋体" w:eastAsia="宋体"/>
                <w:sz w:val="24"/>
              </w:rPr>
              <w:t>脚</w:t>
            </w:r>
            <w:r>
              <w:rPr>
                <w:rFonts w:ascii="宋体" w:hAnsi="宋体" w:cs="宋体" w:eastAsia="宋体"/>
                <w:sz w:val="24"/>
                <w:color w:val="000000"/>
              </w:rPr>
              <w:t>套</w:t>
            </w:r>
            <w:r>
              <w:rPr>
                <w:rFonts w:ascii="宋体" w:hAnsi="宋体" w:cs="宋体" w:eastAsia="宋体"/>
                <w:sz w:val="24"/>
              </w:rPr>
              <w:t>所用材料聚乙烯符合</w:t>
            </w:r>
            <w:r>
              <w:rPr>
                <w:rFonts w:ascii="宋体" w:hAnsi="宋体" w:cs="宋体" w:eastAsia="宋体"/>
                <w:sz w:val="24"/>
              </w:rPr>
              <w:t>GB/T 32487-2016 《塑料家具通用技术条件》和GB 28481-2012 《塑料家具中有害物质限量》标准，塑料件外观、塑料件理化性能和有害物质限量符合国家标准。</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r>
              <w:rPr>
                <w:rFonts w:ascii="宋体" w:hAnsi="宋体" w:cs="宋体" w:eastAsia="宋体"/>
                <w:sz w:val="24"/>
                <w:b/>
              </w:rPr>
              <w:t>予以佐证）</w:t>
            </w:r>
            <w:r>
              <w:br/>
            </w:r>
            <w:r>
              <w:rPr>
                <w:rFonts w:ascii="宋体" w:hAnsi="宋体" w:cs="宋体" w:eastAsia="宋体"/>
                <w:sz w:val="24"/>
                <w:color w:val="000000"/>
              </w:rPr>
              <w:t>1.9.底部带有缓冲垫，厚度：5MM，隔音减震，保护地板、瓷砖。</w:t>
            </w:r>
            <w:r>
              <w:br/>
            </w:r>
            <w:r>
              <w:rPr>
                <w:rFonts w:ascii="宋体" w:hAnsi="宋体" w:cs="宋体" w:eastAsia="宋体"/>
                <w:sz w:val="24"/>
                <w:color w:val="000000"/>
              </w:rPr>
              <w:t>二</w:t>
            </w:r>
            <w:r>
              <w:rPr>
                <w:rFonts w:ascii="宋体" w:hAnsi="宋体" w:cs="宋体" w:eastAsia="宋体"/>
                <w:sz w:val="24"/>
                <w:color w:val="000000"/>
              </w:rPr>
              <w:t>、</w:t>
            </w:r>
            <w:r>
              <w:rPr>
                <w:rFonts w:ascii="宋体" w:hAnsi="宋体" w:cs="宋体" w:eastAsia="宋体"/>
                <w:sz w:val="24"/>
                <w:color w:val="000000"/>
              </w:rPr>
              <w:t>椅材质说明：</w:t>
            </w:r>
            <w:r>
              <w:br/>
            </w:r>
            <w:r>
              <w:rPr>
                <w:rFonts w:ascii="宋体" w:hAnsi="宋体" w:cs="宋体" w:eastAsia="宋体"/>
                <w:sz w:val="24"/>
                <w:color w:val="000000"/>
              </w:rPr>
              <w:t>1.椅脚管：采用≥50*25*1.4mm椭圆冷扎钢管，符合工艺要求，档位20mm一档，可以实现与桌子高度相统一;，钢管焊接处采用二氧化碳保护焊接工艺，焊接表面波纹均匀，焊接处无夹渣、气孔、焊瘤，焊丝咬边和飞溅，无脱焊、虚焊和焊空的现象。</w:t>
            </w:r>
            <w:r>
              <w:br/>
            </w:r>
            <w:r>
              <w:rPr>
                <w:rFonts w:ascii="宋体" w:hAnsi="宋体" w:cs="宋体" w:eastAsia="宋体"/>
                <w:sz w:val="24"/>
                <w:color w:val="000000"/>
              </w:rPr>
              <w:t>2.各钢件表面采用塑粉工艺，与桌面色板色彩搭配协调美观。表面光亮平整、无颗粒渣点、颜色均匀。</w:t>
            </w:r>
          </w:p>
          <w:p>
            <w:pPr>
              <w:pStyle w:val="null3"/>
              <w:jc w:val="left"/>
            </w:pPr>
            <w:r>
              <w:rPr>
                <w:rFonts w:ascii="宋体" w:hAnsi="宋体" w:cs="宋体" w:eastAsia="宋体"/>
                <w:sz w:val="24"/>
              </w:rPr>
              <w:t>2.1塑粉重金属含量可溶性铅、可溶性镉、可溶性铬、可溶性汞符合国家标准。</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r>
              <w:rPr>
                <w:rFonts w:ascii="宋体" w:hAnsi="宋体" w:cs="宋体" w:eastAsia="宋体"/>
                <w:sz w:val="24"/>
                <w:b/>
              </w:rPr>
              <w:t>予以佐证）</w:t>
            </w:r>
            <w:r>
              <w:br/>
            </w:r>
            <w:r>
              <w:rPr>
                <w:rFonts w:ascii="宋体" w:hAnsi="宋体" w:cs="宋体" w:eastAsia="宋体"/>
                <w:sz w:val="24"/>
                <w:color w:val="000000"/>
              </w:rPr>
              <w:t>3.座板规格：≥380mm *400mm</w:t>
            </w:r>
            <w:r>
              <w:br/>
            </w:r>
            <w:r>
              <w:rPr>
                <w:rFonts w:ascii="宋体" w:hAnsi="宋体" w:cs="宋体" w:eastAsia="宋体"/>
                <w:sz w:val="24"/>
                <w:color w:val="000000"/>
              </w:rPr>
              <w:t>4.椭圆管加长长外塞，前脚套规格为≥215*60*38 mm,后脚套规格≥130*90*35mm,两者都选用一级PP材料。</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300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教师办公桌椅</w:t>
            </w:r>
          </w:p>
        </w:tc>
        <w:tc>
          <w:tcPr>
            <w:tcW w:type="dxa" w:w="4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一、</w:t>
            </w:r>
            <w:r>
              <w:rPr>
                <w:rFonts w:ascii="宋体" w:hAnsi="宋体" w:cs="宋体" w:eastAsia="宋体"/>
                <w:sz w:val="24"/>
                <w:color w:val="000000"/>
              </w:rPr>
              <w:t>教师办公桌</w:t>
            </w:r>
          </w:p>
          <w:p>
            <w:pPr>
              <w:pStyle w:val="null3"/>
              <w:jc w:val="left"/>
            </w:pPr>
            <w:r>
              <w:rPr>
                <w:rFonts w:ascii="宋体" w:hAnsi="宋体" w:cs="宋体" w:eastAsia="宋体"/>
                <w:sz w:val="24"/>
                <w:color w:val="000000"/>
              </w:rPr>
              <w:t>尺寸：</w:t>
            </w:r>
            <w:r>
              <w:rPr>
                <w:rFonts w:ascii="宋体" w:hAnsi="宋体" w:cs="宋体" w:eastAsia="宋体"/>
                <w:sz w:val="24"/>
                <w:color w:val="000000"/>
              </w:rPr>
              <w:t>≥长1200</w:t>
            </w:r>
            <w:r>
              <w:rPr>
                <w:rFonts w:ascii="calibri" w:hAnsi="calibri" w:cs="calibri" w:eastAsia="calibri"/>
                <w:sz w:val="24"/>
                <w:color w:val="000000"/>
              </w:rPr>
              <w:t>mm</w:t>
            </w:r>
            <w:r>
              <w:rPr>
                <w:rFonts w:ascii="宋体" w:hAnsi="宋体" w:cs="宋体" w:eastAsia="宋体"/>
                <w:sz w:val="24"/>
                <w:color w:val="000000"/>
              </w:rPr>
              <w:t>*宽1400</w:t>
            </w:r>
            <w:r>
              <w:rPr>
                <w:rFonts w:ascii="calibri" w:hAnsi="calibri" w:cs="calibri" w:eastAsia="calibri"/>
                <w:sz w:val="24"/>
                <w:color w:val="000000"/>
              </w:rPr>
              <w:t>mm</w:t>
            </w:r>
            <w:r>
              <w:rPr>
                <w:rFonts w:ascii="宋体" w:hAnsi="宋体" w:cs="宋体" w:eastAsia="宋体"/>
                <w:sz w:val="24"/>
                <w:color w:val="000000"/>
              </w:rPr>
              <w:t>*高750</w:t>
            </w:r>
            <w:r>
              <w:rPr>
                <w:rFonts w:ascii="calibri" w:hAnsi="calibri" w:cs="calibri" w:eastAsia="calibri"/>
                <w:sz w:val="24"/>
                <w:color w:val="000000"/>
              </w:rPr>
              <w:t>mm</w:t>
            </w:r>
          </w:p>
          <w:p>
            <w:pPr>
              <w:pStyle w:val="null3"/>
              <w:jc w:val="left"/>
            </w:pPr>
            <w:r>
              <w:rPr>
                <w:rFonts w:ascii="宋体" w:hAnsi="宋体" w:cs="宋体" w:eastAsia="宋体"/>
                <w:sz w:val="24"/>
                <w:color w:val="000000"/>
              </w:rPr>
              <w:t>1</w:t>
            </w:r>
            <w:r>
              <w:rPr>
                <w:rFonts w:ascii="calibri" w:hAnsi="calibri" w:cs="calibri" w:eastAsia="calibri"/>
                <w:sz w:val="24"/>
                <w:color w:val="000000"/>
              </w:rPr>
              <w:t>.</w:t>
            </w:r>
            <w:r>
              <w:rPr>
                <w:rFonts w:ascii="宋体" w:hAnsi="宋体" w:cs="宋体" w:eastAsia="宋体"/>
                <w:sz w:val="24"/>
                <w:color w:val="000000"/>
              </w:rPr>
              <w:t>屏风：采用电泳银铝合金制作，顶封、顶杆、挂槽一次性成型无拼接，多功能顶杆顶部镶嵌麻面盖板，大中杆与台面组合平整无缝隙。屏风上部镶嵌</w:t>
            </w:r>
            <w:r>
              <w:rPr>
                <w:rFonts w:ascii="宋体" w:hAnsi="宋体" w:cs="宋体" w:eastAsia="宋体"/>
                <w:sz w:val="24"/>
                <w:color w:val="000000"/>
              </w:rPr>
              <w:t>≥5mm厚。台上台下板面或玻璃框部位均采用45度斜边碰角工艺，铝材颜色：电泳银；</w:t>
            </w:r>
            <w:r>
              <w:br/>
            </w:r>
            <w:r>
              <w:rPr>
                <w:rFonts w:ascii="宋体" w:hAnsi="宋体" w:cs="宋体" w:eastAsia="宋体"/>
                <w:sz w:val="24"/>
                <w:color w:val="000000"/>
              </w:rPr>
              <w:t>2</w:t>
            </w:r>
            <w:r>
              <w:rPr>
                <w:rFonts w:ascii="calibri" w:hAnsi="calibri" w:cs="calibri" w:eastAsia="calibri"/>
                <w:sz w:val="24"/>
                <w:color w:val="000000"/>
              </w:rPr>
              <w:t>.</w:t>
            </w:r>
            <w:r>
              <w:rPr>
                <w:rFonts w:ascii="宋体" w:hAnsi="宋体" w:cs="宋体" w:eastAsia="宋体"/>
                <w:sz w:val="24"/>
                <w:color w:val="000000"/>
              </w:rPr>
              <w:t>屏风铝合金型材组合框架，坚固耐用，多次拆装不变形，表面采用汽车烤漆工艺处理，金属合金件应无锈蚀、氧化膜脱落、刃口、锐棱，表面细密，无裂纹、毛刺、黑斑等；</w:t>
            </w:r>
          </w:p>
          <w:p>
            <w:pPr>
              <w:pStyle w:val="null3"/>
              <w:jc w:val="left"/>
            </w:pPr>
            <w:r>
              <w:rPr>
                <w:rFonts w:ascii="宋体" w:hAnsi="宋体" w:cs="宋体" w:eastAsia="宋体"/>
                <w:sz w:val="24"/>
                <w:color w:val="000000"/>
              </w:rPr>
              <w:t>2.1</w:t>
            </w:r>
            <w:r>
              <w:rPr>
                <w:rFonts w:ascii="宋体" w:hAnsi="宋体" w:cs="宋体" w:eastAsia="宋体"/>
                <w:sz w:val="24"/>
                <w:color w:val="000000"/>
              </w:rPr>
              <w:t>屏风组件分为：</w:t>
            </w:r>
            <w:r>
              <w:rPr>
                <w:rFonts w:ascii="宋体" w:hAnsi="宋体" w:cs="宋体" w:eastAsia="宋体"/>
                <w:sz w:val="24"/>
                <w:color w:val="000000"/>
              </w:rPr>
              <w:t>①A柱规格：≥30.4*10.5mm</w:t>
            </w:r>
            <w:r>
              <w:rPr>
                <w:rFonts w:ascii="宋体" w:hAnsi="宋体" w:cs="宋体" w:eastAsia="宋体"/>
                <w:sz w:val="24"/>
                <w:color w:val="000000"/>
              </w:rPr>
              <w:t>（</w:t>
            </w:r>
            <w:r>
              <w:rPr>
                <w:rFonts w:ascii="微软雅黑" w:hAnsi="微软雅黑" w:cs="微软雅黑" w:eastAsia="微软雅黑"/>
                <w:sz w:val="24"/>
                <w:color w:val="000000"/>
              </w:rPr>
              <w:t>±</w:t>
            </w:r>
            <w:r>
              <w:rPr>
                <w:rFonts w:ascii="calibri" w:hAnsi="calibri" w:cs="calibri" w:eastAsia="calibri"/>
                <w:sz w:val="24"/>
                <w:color w:val="000000"/>
              </w:rPr>
              <w:t>1mm</w:t>
            </w:r>
            <w:r>
              <w:rPr>
                <w:rFonts w:ascii="宋体" w:hAnsi="宋体" w:cs="宋体" w:eastAsia="宋体"/>
                <w:sz w:val="24"/>
                <w:color w:val="000000"/>
              </w:rPr>
              <w:t>）</w:t>
            </w:r>
            <w:r>
              <w:rPr>
                <w:rFonts w:ascii="宋体" w:hAnsi="宋体" w:cs="宋体" w:eastAsia="宋体"/>
                <w:sz w:val="24"/>
                <w:color w:val="000000"/>
              </w:rPr>
              <w:t>；</w:t>
            </w:r>
            <w:r>
              <w:rPr>
                <w:rFonts w:ascii="宋体" w:hAnsi="宋体" w:cs="宋体" w:eastAsia="宋体"/>
                <w:sz w:val="24"/>
                <w:color w:val="000000"/>
              </w:rPr>
              <w:t>②玻璃槽规格：≥30.9*26mm</w:t>
            </w:r>
            <w:r>
              <w:rPr>
                <w:rFonts w:ascii="宋体" w:hAnsi="宋体" w:cs="宋体" w:eastAsia="宋体"/>
                <w:sz w:val="24"/>
                <w:color w:val="000000"/>
              </w:rPr>
              <w:t>（</w:t>
            </w:r>
            <w:r>
              <w:rPr>
                <w:rFonts w:ascii="微软雅黑" w:hAnsi="微软雅黑" w:cs="微软雅黑" w:eastAsia="微软雅黑"/>
                <w:sz w:val="24"/>
                <w:color w:val="000000"/>
              </w:rPr>
              <w:t>±</w:t>
            </w:r>
            <w:r>
              <w:rPr>
                <w:rFonts w:ascii="calibri" w:hAnsi="calibri" w:cs="calibri" w:eastAsia="calibri"/>
                <w:sz w:val="24"/>
                <w:color w:val="000000"/>
              </w:rPr>
              <w:t>1mm</w:t>
            </w:r>
            <w:r>
              <w:rPr>
                <w:rFonts w:ascii="宋体" w:hAnsi="宋体" w:cs="宋体" w:eastAsia="宋体"/>
                <w:sz w:val="24"/>
                <w:color w:val="000000"/>
              </w:rPr>
              <w:t>）</w:t>
            </w:r>
            <w:r>
              <w:rPr>
                <w:rFonts w:ascii="宋体" w:hAnsi="宋体" w:cs="宋体" w:eastAsia="宋体"/>
                <w:sz w:val="24"/>
                <w:color w:val="000000"/>
              </w:rPr>
              <w:t>；</w:t>
            </w:r>
            <w:r>
              <w:rPr>
                <w:rFonts w:ascii="宋体" w:hAnsi="宋体" w:cs="宋体" w:eastAsia="宋体"/>
                <w:sz w:val="24"/>
                <w:color w:val="000000"/>
              </w:rPr>
              <w:t>③侧封边规格：≥33*6.4mm</w:t>
            </w:r>
            <w:r>
              <w:rPr>
                <w:rFonts w:ascii="宋体" w:hAnsi="宋体" w:cs="宋体" w:eastAsia="宋体"/>
                <w:sz w:val="24"/>
                <w:color w:val="000000"/>
              </w:rPr>
              <w:t>（</w:t>
            </w:r>
            <w:r>
              <w:rPr>
                <w:rFonts w:ascii="微软雅黑" w:hAnsi="微软雅黑" w:cs="微软雅黑" w:eastAsia="微软雅黑"/>
                <w:sz w:val="24"/>
                <w:color w:val="000000"/>
              </w:rPr>
              <w:t>±</w:t>
            </w:r>
            <w:r>
              <w:rPr>
                <w:rFonts w:ascii="calibri" w:hAnsi="calibri" w:cs="calibri" w:eastAsia="calibri"/>
                <w:sz w:val="24"/>
                <w:color w:val="000000"/>
              </w:rPr>
              <w:t>1mm</w:t>
            </w:r>
            <w:r>
              <w:rPr>
                <w:rFonts w:ascii="宋体" w:hAnsi="宋体" w:cs="宋体" w:eastAsia="宋体"/>
                <w:sz w:val="24"/>
                <w:color w:val="000000"/>
              </w:rPr>
              <w:t>）</w:t>
            </w:r>
            <w:r>
              <w:rPr>
                <w:rFonts w:ascii="宋体" w:hAnsi="宋体" w:cs="宋体" w:eastAsia="宋体"/>
                <w:sz w:val="24"/>
                <w:color w:val="000000"/>
              </w:rPr>
              <w:t>；</w:t>
            </w:r>
            <w:r>
              <w:rPr>
                <w:rFonts w:ascii="宋体" w:hAnsi="宋体" w:cs="宋体" w:eastAsia="宋体"/>
                <w:sz w:val="24"/>
                <w:color w:val="000000"/>
              </w:rPr>
              <w:t>④方形立柱规格：≥33*33mm</w:t>
            </w:r>
            <w:r>
              <w:rPr>
                <w:rFonts w:ascii="宋体" w:hAnsi="宋体" w:cs="宋体" w:eastAsia="宋体"/>
                <w:sz w:val="24"/>
                <w:color w:val="000000"/>
              </w:rPr>
              <w:t>（</w:t>
            </w:r>
            <w:r>
              <w:rPr>
                <w:rFonts w:ascii="微软雅黑" w:hAnsi="微软雅黑" w:cs="微软雅黑" w:eastAsia="微软雅黑"/>
                <w:sz w:val="24"/>
                <w:color w:val="000000"/>
              </w:rPr>
              <w:t>±</w:t>
            </w:r>
            <w:r>
              <w:rPr>
                <w:rFonts w:ascii="calibri" w:hAnsi="calibri" w:cs="calibri" w:eastAsia="calibri"/>
                <w:sz w:val="24"/>
                <w:color w:val="000000"/>
              </w:rPr>
              <w:t>1mm</w:t>
            </w:r>
            <w:r>
              <w:rPr>
                <w:rFonts w:ascii="宋体" w:hAnsi="宋体" w:cs="宋体" w:eastAsia="宋体"/>
                <w:sz w:val="24"/>
                <w:color w:val="000000"/>
              </w:rPr>
              <w:t>）</w:t>
            </w:r>
            <w:r>
              <w:rPr>
                <w:rFonts w:ascii="calibri" w:hAnsi="calibri" w:cs="calibri" w:eastAsia="calibri"/>
                <w:sz w:val="24"/>
                <w:color w:val="000000"/>
              </w:rPr>
              <w:t>,</w:t>
            </w:r>
            <w:r>
              <w:rPr>
                <w:rFonts w:ascii="宋体" w:hAnsi="宋体" w:cs="宋体" w:eastAsia="宋体"/>
                <w:sz w:val="24"/>
                <w:color w:val="000000"/>
              </w:rPr>
              <w:t>立柱方形状的四边中间各内凹成型加强筋工艺；</w:t>
            </w:r>
            <w:r>
              <w:rPr>
                <w:rFonts w:ascii="宋体" w:hAnsi="宋体" w:cs="宋体" w:eastAsia="宋体"/>
                <w:sz w:val="24"/>
                <w:color w:val="000000"/>
              </w:rPr>
              <w:t>⑤顶杆规格为：≥33.1*16.5mm</w:t>
            </w:r>
            <w:r>
              <w:rPr>
                <w:rFonts w:ascii="宋体" w:hAnsi="宋体" w:cs="宋体" w:eastAsia="宋体"/>
                <w:sz w:val="24"/>
                <w:color w:val="000000"/>
              </w:rPr>
              <w:t>（</w:t>
            </w:r>
            <w:r>
              <w:rPr>
                <w:rFonts w:ascii="微软雅黑" w:hAnsi="微软雅黑" w:cs="微软雅黑" w:eastAsia="微软雅黑"/>
                <w:sz w:val="24"/>
                <w:color w:val="000000"/>
              </w:rPr>
              <w:t>±</w:t>
            </w:r>
            <w:r>
              <w:rPr>
                <w:rFonts w:ascii="calibri" w:hAnsi="calibri" w:cs="calibri" w:eastAsia="calibri"/>
                <w:sz w:val="24"/>
                <w:color w:val="000000"/>
              </w:rPr>
              <w:t>1mm</w:t>
            </w:r>
            <w:r>
              <w:rPr>
                <w:rFonts w:ascii="宋体" w:hAnsi="宋体" w:cs="宋体" w:eastAsia="宋体"/>
                <w:sz w:val="24"/>
                <w:color w:val="000000"/>
              </w:rPr>
              <w:t>）</w:t>
            </w:r>
            <w:r>
              <w:rPr>
                <w:rFonts w:ascii="宋体" w:hAnsi="宋体" w:cs="宋体" w:eastAsia="宋体"/>
                <w:sz w:val="24"/>
                <w:color w:val="000000"/>
              </w:rPr>
              <w:t>；</w:t>
            </w:r>
            <w:r>
              <w:rPr>
                <w:rFonts w:ascii="宋体" w:hAnsi="宋体" w:cs="宋体" w:eastAsia="宋体"/>
                <w:sz w:val="24"/>
                <w:color w:val="000000"/>
              </w:rPr>
              <w:t>⑥盖面板规格：≥33*50mm</w:t>
            </w:r>
            <w:r>
              <w:rPr>
                <w:rFonts w:ascii="宋体" w:hAnsi="宋体" w:cs="宋体" w:eastAsia="宋体"/>
                <w:sz w:val="24"/>
                <w:color w:val="000000"/>
              </w:rPr>
              <w:t>（</w:t>
            </w:r>
            <w:r>
              <w:rPr>
                <w:rFonts w:ascii="微软雅黑" w:hAnsi="微软雅黑" w:cs="微软雅黑" w:eastAsia="微软雅黑"/>
                <w:sz w:val="24"/>
                <w:color w:val="000000"/>
              </w:rPr>
              <w:t>±</w:t>
            </w:r>
            <w:r>
              <w:rPr>
                <w:rFonts w:ascii="calibri" w:hAnsi="calibri" w:cs="calibri" w:eastAsia="calibri"/>
                <w:sz w:val="24"/>
                <w:color w:val="000000"/>
              </w:rPr>
              <w:t>1mm</w:t>
            </w:r>
            <w:r>
              <w:rPr>
                <w:rFonts w:ascii="宋体" w:hAnsi="宋体" w:cs="宋体" w:eastAsia="宋体"/>
                <w:sz w:val="24"/>
                <w:color w:val="000000"/>
              </w:rPr>
              <w:t>）</w:t>
            </w:r>
            <w:r>
              <w:rPr>
                <w:rFonts w:ascii="宋体" w:hAnsi="宋体" w:cs="宋体" w:eastAsia="宋体"/>
                <w:sz w:val="24"/>
                <w:color w:val="000000"/>
              </w:rPr>
              <w:t>；盖面制作颗粒有序凹凸麻面工艺；</w:t>
            </w:r>
            <w:r>
              <w:rPr>
                <w:rFonts w:ascii="宋体" w:hAnsi="宋体" w:cs="宋体" w:eastAsia="宋体"/>
                <w:sz w:val="24"/>
                <w:color w:val="000000"/>
              </w:rPr>
              <w:t>⑦立柱底盖脚规格：≥31.5*31.5mm</w:t>
            </w:r>
            <w:r>
              <w:rPr>
                <w:rFonts w:ascii="宋体" w:hAnsi="宋体" w:cs="宋体" w:eastAsia="宋体"/>
                <w:sz w:val="24"/>
                <w:color w:val="000000"/>
              </w:rPr>
              <w:t>（</w:t>
            </w:r>
            <w:r>
              <w:rPr>
                <w:rFonts w:ascii="微软雅黑" w:hAnsi="微软雅黑" w:cs="微软雅黑" w:eastAsia="微软雅黑"/>
                <w:sz w:val="24"/>
                <w:color w:val="000000"/>
              </w:rPr>
              <w:t>±</w:t>
            </w:r>
            <w:r>
              <w:rPr>
                <w:rFonts w:ascii="calibri" w:hAnsi="calibri" w:cs="calibri" w:eastAsia="calibri"/>
                <w:sz w:val="24"/>
                <w:color w:val="000000"/>
              </w:rPr>
              <w:t>1mm</w:t>
            </w:r>
            <w:r>
              <w:rPr>
                <w:rFonts w:ascii="宋体" w:hAnsi="宋体" w:cs="宋体" w:eastAsia="宋体"/>
                <w:sz w:val="24"/>
                <w:color w:val="000000"/>
              </w:rPr>
              <w:t>）</w:t>
            </w:r>
            <w:r>
              <w:rPr>
                <w:rFonts w:ascii="宋体" w:hAnsi="宋体" w:cs="宋体" w:eastAsia="宋体"/>
                <w:sz w:val="24"/>
                <w:color w:val="000000"/>
              </w:rPr>
              <w:t>，配螺旋调节</w:t>
            </w:r>
            <w:r>
              <w:rPr>
                <w:rFonts w:ascii="宋体" w:hAnsi="宋体" w:cs="宋体" w:eastAsia="宋体"/>
                <w:sz w:val="24"/>
                <w:color w:val="000000"/>
              </w:rPr>
              <w:t>PP塑料圆底脚；⑧立柱面盖：≥33*33mm</w:t>
            </w:r>
            <w:r>
              <w:rPr>
                <w:rFonts w:ascii="宋体" w:hAnsi="宋体" w:cs="宋体" w:eastAsia="宋体"/>
                <w:sz w:val="24"/>
                <w:color w:val="000000"/>
              </w:rPr>
              <w:t>（</w:t>
            </w:r>
            <w:r>
              <w:rPr>
                <w:rFonts w:ascii="微软雅黑" w:hAnsi="微软雅黑" w:cs="微软雅黑" w:eastAsia="微软雅黑"/>
                <w:sz w:val="24"/>
                <w:color w:val="000000"/>
              </w:rPr>
              <w:t>±</w:t>
            </w:r>
            <w:r>
              <w:rPr>
                <w:rFonts w:ascii="calibri" w:hAnsi="calibri" w:cs="calibri" w:eastAsia="calibri"/>
                <w:sz w:val="24"/>
                <w:color w:val="000000"/>
              </w:rPr>
              <w:t>1mm</w:t>
            </w:r>
            <w:r>
              <w:rPr>
                <w:rFonts w:ascii="宋体" w:hAnsi="宋体" w:cs="宋体" w:eastAsia="宋体"/>
                <w:sz w:val="24"/>
                <w:color w:val="000000"/>
              </w:rPr>
              <w:t>）</w:t>
            </w:r>
            <w:r>
              <w:rPr>
                <w:rFonts w:ascii="宋体" w:hAnsi="宋体" w:cs="宋体" w:eastAsia="宋体"/>
                <w:sz w:val="24"/>
                <w:color w:val="000000"/>
              </w:rPr>
              <w:t>，铝合金型材一次压铸成型工艺、四方、盖面呈立体双层结构形状。</w:t>
            </w:r>
          </w:p>
          <w:p>
            <w:pPr>
              <w:pStyle w:val="null3"/>
              <w:jc w:val="left"/>
            </w:pPr>
            <w:r>
              <w:rPr>
                <w:rFonts w:ascii="宋体" w:hAnsi="宋体" w:cs="宋体" w:eastAsia="宋体"/>
                <w:sz w:val="24"/>
                <w:b/>
              </w:rPr>
              <w:t>（须提供样品佐证）</w:t>
            </w:r>
          </w:p>
          <w:p>
            <w:pPr>
              <w:pStyle w:val="null3"/>
              <w:jc w:val="left"/>
            </w:pPr>
            <w:r>
              <w:rPr>
                <w:rFonts w:ascii="宋体" w:hAnsi="宋体" w:cs="宋体" w:eastAsia="宋体"/>
                <w:sz w:val="24"/>
                <w:color w:val="000000"/>
              </w:rPr>
              <w:t>屏风组件</w:t>
            </w:r>
            <w:r>
              <w:rPr>
                <w:rFonts w:ascii="宋体" w:hAnsi="宋体" w:cs="宋体" w:eastAsia="宋体"/>
                <w:sz w:val="24"/>
              </w:rPr>
              <w:t>示意图如下：</w:t>
            </w:r>
          </w:p>
          <w:p>
            <w:pPr>
              <w:pStyle w:val="null3"/>
              <w:jc w:val="left"/>
            </w:pPr>
            <w:r>
              <w:drawing>
                <wp:inline distT="0" distR="0" distB="0" distL="0">
                  <wp:extent cx="3025140" cy="224084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025140" cy="2240844"/>
                          </a:xfrm>
                          <a:prstGeom prst="rect">
                            <a:avLst/>
                          </a:prstGeom>
                        </pic:spPr>
                      </pic:pic>
                    </a:graphicData>
                  </a:graphic>
                </wp:inline>
              </w:drawing>
            </w:r>
            <w:r>
              <w:drawing>
                <wp:inline distT="0" distR="0" distB="0" distL="0">
                  <wp:extent cx="3025140" cy="2694662"/>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025140" cy="2694662"/>
                          </a:xfrm>
                          <a:prstGeom prst="rect">
                            <a:avLst/>
                          </a:prstGeom>
                        </pic:spPr>
                      </pic:pic>
                    </a:graphicData>
                  </a:graphic>
                </wp:inline>
              </w:drawing>
            </w:r>
            <w:r>
              <w:drawing>
                <wp:inline distT="0" distR="0" distB="0" distL="0">
                  <wp:extent cx="3025140" cy="1523774"/>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3025140" cy="1523774"/>
                          </a:xfrm>
                          <a:prstGeom prst="rect">
                            <a:avLst/>
                          </a:prstGeom>
                        </pic:spPr>
                      </pic:pic>
                    </a:graphicData>
                  </a:graphic>
                </wp:inline>
              </w:drawing>
            </w:r>
            <w:r>
              <w:drawing>
                <wp:inline distT="0" distR="0" distB="0" distL="0">
                  <wp:extent cx="3025140" cy="320574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3025140" cy="3205745"/>
                          </a:xfrm>
                          <a:prstGeom prst="rect">
                            <a:avLst/>
                          </a:prstGeom>
                        </pic:spPr>
                      </pic:pic>
                    </a:graphicData>
                  </a:graphic>
                </wp:inline>
              </w:drawing>
            </w:r>
            <w:r>
              <w:drawing>
                <wp:inline distT="0" distR="0" distB="0" distL="0">
                  <wp:extent cx="3025140" cy="3058505"/>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9"/>
                          <a:stretch>
                            <a:fillRect/>
                          </a:stretch>
                        </pic:blipFill>
                        <pic:spPr>
                          <a:xfrm>
                            <a:off x="0" y="0"/>
                            <a:ext cx="3025140" cy="3058505"/>
                          </a:xfrm>
                          <a:prstGeom prst="rect">
                            <a:avLst/>
                          </a:prstGeom>
                        </pic:spPr>
                      </pic:pic>
                    </a:graphicData>
                  </a:graphic>
                </wp:inline>
              </w:drawing>
            </w:r>
            <w:r>
              <w:drawing>
                <wp:inline distT="0" distR="0" distB="0" distL="0">
                  <wp:extent cx="3025140" cy="2355367"/>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0"/>
                          <a:stretch>
                            <a:fillRect/>
                          </a:stretch>
                        </pic:blipFill>
                        <pic:spPr>
                          <a:xfrm>
                            <a:off x="0" y="0"/>
                            <a:ext cx="3025140" cy="2355367"/>
                          </a:xfrm>
                          <a:prstGeom prst="rect">
                            <a:avLst/>
                          </a:prstGeom>
                        </pic:spPr>
                      </pic:pic>
                    </a:graphicData>
                  </a:graphic>
                </wp:inline>
              </w:drawing>
            </w:r>
            <w:r>
              <w:drawing>
                <wp:inline distT="0" distR="0" distB="0" distL="0">
                  <wp:extent cx="3025140" cy="3059516"/>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1"/>
                          <a:stretch>
                            <a:fillRect/>
                          </a:stretch>
                        </pic:blipFill>
                        <pic:spPr>
                          <a:xfrm>
                            <a:off x="0" y="0"/>
                            <a:ext cx="3025140" cy="3059516"/>
                          </a:xfrm>
                          <a:prstGeom prst="rect">
                            <a:avLst/>
                          </a:prstGeom>
                        </pic:spPr>
                      </pic:pic>
                    </a:graphicData>
                  </a:graphic>
                </wp:inline>
              </w:drawing>
            </w:r>
            <w:r>
              <w:drawing>
                <wp:inline distT="0" distR="0" distB="0" distL="0">
                  <wp:extent cx="3025140" cy="3241221"/>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2"/>
                          <a:stretch>
                            <a:fillRect/>
                          </a:stretch>
                        </pic:blipFill>
                        <pic:spPr>
                          <a:xfrm>
                            <a:off x="0" y="0"/>
                            <a:ext cx="3025140" cy="3241221"/>
                          </a:xfrm>
                          <a:prstGeom prst="rect">
                            <a:avLst/>
                          </a:prstGeom>
                        </pic:spPr>
                      </pic:pic>
                    </a:graphicData>
                  </a:graphic>
                </wp:inline>
              </w:drawing>
            </w:r>
            <w:r>
              <w:br/>
            </w:r>
            <w:r>
              <w:rPr>
                <w:rFonts w:ascii="宋体" w:hAnsi="宋体" w:cs="宋体" w:eastAsia="宋体"/>
                <w:sz w:val="24"/>
                <w:color w:val="000000"/>
              </w:rPr>
              <w:t>3.饰面：优质三聚氰胺浸渍胶膜纸饰面，符合GB 18584-2001《室内装饰装修材料木家具中有害物质限量》依据。</w:t>
            </w:r>
            <w:r>
              <w:br/>
            </w:r>
            <w:r>
              <w:rPr>
                <w:rFonts w:ascii="宋体" w:hAnsi="宋体" w:cs="宋体" w:eastAsia="宋体"/>
                <w:sz w:val="24"/>
                <w:color w:val="000000"/>
              </w:rPr>
              <w:t>4.基材：采用E1级实木颗粒板,甲醛释放量（1m³气候箱法）≤0.124mg/m³,桌面采用≥25MM板材制作，其他部分板材采用厚度≥16mm制作，符合GB/T 15102-2017 《浸渍胶膜纸饰面纤维板、刨花板》、GB∕T 35601-2017《绿色产品评价人造板和木质地板》、GB/T 17657-2013《人造板及饰面人造板理化性能试验方法》、GB 18580-2017《室内装饰装修材料人造板及其制品中甲醛释放限量》依据。</w:t>
            </w:r>
            <w:r>
              <w:br/>
            </w:r>
            <w:r>
              <w:rPr>
                <w:rFonts w:ascii="calibri" w:hAnsi="calibri" w:cs="calibri" w:eastAsia="calibri"/>
                <w:sz w:val="24"/>
                <w:color w:val="000000"/>
              </w:rPr>
              <w:t>5</w:t>
            </w:r>
            <w:r>
              <w:rPr>
                <w:rFonts w:ascii="宋体" w:hAnsi="宋体" w:cs="宋体" w:eastAsia="宋体"/>
                <w:sz w:val="24"/>
                <w:color w:val="000000"/>
              </w:rPr>
              <w:t>.塑料封边条：板露边处采用≥2mm厚本色PVC加热熔胶封边，封边细腻，不易脱落，符合QB/T4463-2013《家具用封边条技术条件》依据。</w:t>
            </w:r>
            <w:r>
              <w:br/>
            </w:r>
            <w:r>
              <w:rPr>
                <w:rFonts w:ascii="calibri" w:hAnsi="calibri" w:cs="calibri" w:eastAsia="calibri"/>
                <w:sz w:val="24"/>
                <w:color w:val="000000"/>
              </w:rPr>
              <w:t>6</w:t>
            </w:r>
            <w:r>
              <w:rPr>
                <w:rFonts w:ascii="宋体" w:hAnsi="宋体" w:cs="宋体" w:eastAsia="宋体"/>
                <w:sz w:val="24"/>
                <w:color w:val="000000"/>
              </w:rPr>
              <w:t>.配件：采用阻尼滑轨、紧固件、拉手、封缄器、符合QB/T 3832-1999《轻工产品金属镀层腐蚀试验结果的评价》、QB/T 3826-1999《轻工产品金属镀层和化学处理层的耐腐蚀试验方法 中性盐雾试验（NSS）法》依据。</w:t>
            </w:r>
          </w:p>
          <w:p>
            <w:pPr>
              <w:pStyle w:val="null3"/>
              <w:jc w:val="left"/>
            </w:pPr>
            <w:r>
              <w:rPr>
                <w:rFonts w:ascii="宋体" w:hAnsi="宋体" w:cs="宋体" w:eastAsia="宋体"/>
                <w:sz w:val="24"/>
                <w:color w:val="000000"/>
              </w:rPr>
              <w:t>二、</w:t>
            </w:r>
            <w:r>
              <w:rPr>
                <w:rFonts w:ascii="宋体" w:hAnsi="宋体" w:cs="宋体" w:eastAsia="宋体"/>
                <w:sz w:val="24"/>
                <w:color w:val="000000"/>
              </w:rPr>
              <w:t>教师办公椅</w:t>
            </w:r>
          </w:p>
          <w:p>
            <w:pPr>
              <w:pStyle w:val="null3"/>
              <w:jc w:val="left"/>
            </w:pPr>
            <w:r>
              <w:rPr>
                <w:rFonts w:ascii="宋体" w:hAnsi="宋体" w:cs="宋体" w:eastAsia="宋体"/>
                <w:sz w:val="24"/>
              </w:rPr>
              <w:t>1.</w:t>
            </w:r>
            <w:r>
              <w:rPr>
                <w:rFonts w:ascii="宋体" w:hAnsi="宋体" w:cs="宋体" w:eastAsia="宋体"/>
                <w:sz w:val="24"/>
                <w:color w:val="000000"/>
              </w:rPr>
              <w:t>座椅规格：</w:t>
            </w:r>
            <w:r>
              <w:rPr>
                <w:rFonts w:ascii="宋体" w:hAnsi="宋体" w:cs="宋体" w:eastAsia="宋体"/>
                <w:sz w:val="24"/>
                <w:color w:val="000000"/>
              </w:rPr>
              <w:t>≥62</w:t>
            </w:r>
            <w:r>
              <w:rPr>
                <w:rFonts w:ascii="calibri" w:hAnsi="calibri" w:cs="calibri" w:eastAsia="calibri"/>
                <w:sz w:val="24"/>
                <w:color w:val="000000"/>
              </w:rPr>
              <w:t>0</w:t>
            </w:r>
            <w:r>
              <w:rPr>
                <w:rFonts w:ascii="宋体" w:hAnsi="宋体" w:cs="宋体" w:eastAsia="宋体"/>
                <w:sz w:val="24"/>
                <w:color w:val="000000"/>
              </w:rPr>
              <w:t>*50</w:t>
            </w:r>
            <w:r>
              <w:rPr>
                <w:rFonts w:ascii="calibri" w:hAnsi="calibri" w:cs="calibri" w:eastAsia="calibri"/>
                <w:sz w:val="24"/>
                <w:color w:val="000000"/>
              </w:rPr>
              <w:t>0</w:t>
            </w:r>
            <w:r>
              <w:rPr>
                <w:rFonts w:ascii="宋体" w:hAnsi="宋体" w:cs="宋体" w:eastAsia="宋体"/>
                <w:sz w:val="24"/>
                <w:color w:val="000000"/>
              </w:rPr>
              <w:t>*71</w:t>
            </w:r>
            <w:r>
              <w:rPr>
                <w:rFonts w:ascii="calibri" w:hAnsi="calibri" w:cs="calibri" w:eastAsia="calibri"/>
                <w:sz w:val="24"/>
                <w:color w:val="000000"/>
              </w:rPr>
              <w:t>0mm</w:t>
            </w:r>
            <w:r>
              <w:rPr>
                <w:rFonts w:ascii="宋体" w:hAnsi="宋体" w:cs="宋体" w:eastAsia="宋体"/>
                <w:sz w:val="24"/>
                <w:color w:val="000000"/>
              </w:rPr>
              <w:t>;</w:t>
            </w:r>
            <w:r>
              <w:br/>
            </w:r>
            <w:r>
              <w:rPr>
                <w:rFonts w:ascii="宋体" w:hAnsi="宋体" w:cs="宋体" w:eastAsia="宋体"/>
                <w:sz w:val="24"/>
                <w:color w:val="000000"/>
              </w:rPr>
              <w:t>2.脚凳规格：≥34</w:t>
            </w:r>
            <w:r>
              <w:rPr>
                <w:rFonts w:ascii="calibri" w:hAnsi="calibri" w:cs="calibri" w:eastAsia="calibri"/>
                <w:sz w:val="24"/>
                <w:color w:val="000000"/>
              </w:rPr>
              <w:t>0</w:t>
            </w:r>
            <w:r>
              <w:rPr>
                <w:rFonts w:ascii="宋体" w:hAnsi="宋体" w:cs="宋体" w:eastAsia="宋体"/>
                <w:sz w:val="24"/>
                <w:color w:val="000000"/>
              </w:rPr>
              <w:t>*34</w:t>
            </w:r>
            <w:r>
              <w:rPr>
                <w:rFonts w:ascii="calibri" w:hAnsi="calibri" w:cs="calibri" w:eastAsia="calibri"/>
                <w:sz w:val="24"/>
                <w:color w:val="000000"/>
              </w:rPr>
              <w:t>0</w:t>
            </w:r>
            <w:r>
              <w:rPr>
                <w:rFonts w:ascii="宋体" w:hAnsi="宋体" w:cs="宋体" w:eastAsia="宋体"/>
                <w:sz w:val="24"/>
                <w:color w:val="000000"/>
              </w:rPr>
              <w:t>*38</w:t>
            </w:r>
            <w:r>
              <w:rPr>
                <w:rFonts w:ascii="calibri" w:hAnsi="calibri" w:cs="calibri" w:eastAsia="calibri"/>
                <w:sz w:val="24"/>
                <w:color w:val="000000"/>
              </w:rPr>
              <w:t>0mm</w:t>
            </w:r>
            <w:r>
              <w:rPr>
                <w:rFonts w:ascii="宋体" w:hAnsi="宋体" w:cs="宋体" w:eastAsia="宋体"/>
                <w:sz w:val="24"/>
                <w:color w:val="000000"/>
              </w:rPr>
              <w:t>;</w:t>
            </w:r>
            <w:r>
              <w:br/>
            </w:r>
            <w:r>
              <w:rPr>
                <w:rFonts w:ascii="宋体" w:hAnsi="宋体" w:cs="宋体" w:eastAsia="宋体"/>
                <w:sz w:val="24"/>
                <w:color w:val="000000"/>
              </w:rPr>
              <w:t>3.填充：环保双层承压座包内含微孔缓冲垫，不易塌陷，不变型，环保无异味。</w:t>
            </w:r>
            <w:r>
              <w:br/>
            </w:r>
            <w:r>
              <w:rPr>
                <w:rFonts w:ascii="宋体" w:hAnsi="宋体" w:cs="宋体" w:eastAsia="宋体"/>
                <w:sz w:val="24"/>
                <w:color w:val="000000"/>
              </w:rPr>
              <w:t>3.1微孔缓冲垫符合GB/T 26572-2011限量标准要求。铅、汞、镉、六价铬、一溴联苯、七溴联苯符合国家标准。</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r>
              <w:rPr>
                <w:rFonts w:ascii="宋体" w:hAnsi="宋体" w:cs="宋体" w:eastAsia="宋体"/>
                <w:sz w:val="24"/>
                <w:b/>
              </w:rPr>
              <w:t>予以佐证）</w:t>
            </w:r>
            <w:r>
              <w:br/>
            </w:r>
            <w:r>
              <w:rPr>
                <w:rFonts w:ascii="宋体" w:hAnsi="宋体" w:cs="宋体" w:eastAsia="宋体"/>
                <w:sz w:val="24"/>
                <w:color w:val="000000"/>
              </w:rPr>
              <w:t>4.靠背可6档位调节，最大调节角度可达180度；</w:t>
            </w:r>
            <w:r>
              <w:br/>
            </w:r>
            <w:r>
              <w:rPr>
                <w:rFonts w:ascii="宋体" w:hAnsi="宋体" w:cs="宋体" w:eastAsia="宋体"/>
                <w:sz w:val="24"/>
                <w:color w:val="000000"/>
              </w:rPr>
              <w:t>5.高强度支撑杆，在完全躺平时提供足够的支撑力；</w:t>
            </w:r>
            <w:r>
              <w:br/>
            </w:r>
            <w:r>
              <w:rPr>
                <w:rFonts w:ascii="宋体" w:hAnsi="宋体" w:cs="宋体" w:eastAsia="宋体"/>
                <w:sz w:val="24"/>
                <w:color w:val="000000"/>
              </w:rPr>
              <w:t>6.座椅采用U型加厚钢管，牢固不变型，塑粉喷涂，抗腐蚀、抗老化；</w:t>
            </w:r>
            <w:r>
              <w:br/>
            </w:r>
            <w:r>
              <w:rPr>
                <w:rFonts w:ascii="宋体" w:hAnsi="宋体" w:cs="宋体" w:eastAsia="宋体"/>
                <w:sz w:val="24"/>
                <w:color w:val="000000"/>
              </w:rPr>
              <w:t>7.满足午休功能</w:t>
            </w:r>
            <w:r>
              <w:rPr>
                <w:rFonts w:ascii="宋体" w:hAnsi="宋体" w:cs="宋体" w:eastAsia="宋体"/>
                <w:sz w:val="24"/>
                <w:color w:val="000000"/>
              </w:rPr>
              <w:t>；</w:t>
            </w:r>
            <w:r>
              <w:br/>
            </w:r>
            <w:r>
              <w:rPr>
                <w:rFonts w:ascii="宋体" w:hAnsi="宋体" w:cs="宋体" w:eastAsia="宋体"/>
                <w:sz w:val="24"/>
                <w:color w:val="000000"/>
              </w:rPr>
              <w:t>8.配专用聚乙烯脚垫，螺丝固定，安全不脱落。具有耐磨，耐高温，阻燃，防静电，静音等有益性能。</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30</w:t>
            </w:r>
          </w:p>
        </w:tc>
      </w:tr>
      <w:tr>
        <w:tc>
          <w:tcPr>
            <w:tcW w:type="dxa" w:w="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文件柜</w:t>
            </w:r>
          </w:p>
        </w:tc>
        <w:tc>
          <w:tcPr>
            <w:tcW w:type="dxa" w:w="4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w:t>
            </w:r>
            <w:r>
              <w:rPr>
                <w:rFonts w:ascii="宋体" w:hAnsi="宋体" w:cs="宋体" w:eastAsia="宋体"/>
                <w:sz w:val="24"/>
                <w:color w:val="000000"/>
              </w:rPr>
              <w:t>规格：</w:t>
            </w:r>
            <w:r>
              <w:rPr>
                <w:rFonts w:ascii="宋体" w:hAnsi="宋体" w:cs="宋体" w:eastAsia="宋体"/>
                <w:sz w:val="24"/>
                <w:color w:val="000000"/>
              </w:rPr>
              <w:t>≥长850*宽400*高1800mm</w:t>
            </w:r>
            <w:r>
              <w:rPr>
                <w:rFonts w:ascii="宋体" w:hAnsi="宋体" w:cs="宋体" w:eastAsia="宋体"/>
                <w:sz w:val="24"/>
                <w:color w:val="000000"/>
              </w:rPr>
              <w:t>；</w:t>
            </w:r>
            <w:r>
              <w:br/>
            </w:r>
            <w:r>
              <w:rPr>
                <w:rFonts w:ascii="宋体" w:hAnsi="宋体" w:cs="宋体" w:eastAsia="宋体"/>
                <w:sz w:val="24"/>
                <w:color w:val="000000"/>
              </w:rPr>
              <w:t>2.加厚冷轧钢：全钢柜体，表面光滑、不易变形，承重力强多层防护保障使用寿命更长久；</w:t>
            </w:r>
            <w:r>
              <w:br/>
            </w:r>
            <w:r>
              <w:rPr>
                <w:rFonts w:ascii="宋体" w:hAnsi="宋体" w:cs="宋体" w:eastAsia="宋体"/>
                <w:sz w:val="24"/>
                <w:color w:val="000000"/>
              </w:rPr>
              <w:t>3.表面塑粉喷塑，抗氧化、耐腐蚀；</w:t>
            </w:r>
            <w:r>
              <w:br/>
            </w:r>
            <w:r>
              <w:rPr>
                <w:rFonts w:ascii="宋体" w:hAnsi="宋体" w:cs="宋体" w:eastAsia="宋体"/>
                <w:sz w:val="24"/>
                <w:color w:val="000000"/>
              </w:rPr>
              <w:t>4.上下2层式设计,上层为玻璃柜门，玻璃采用浮法玻璃，透明度好，方便可视；</w:t>
            </w:r>
            <w:r>
              <w:br/>
            </w:r>
            <w:r>
              <w:rPr>
                <w:rFonts w:ascii="宋体" w:hAnsi="宋体" w:cs="宋体" w:eastAsia="宋体"/>
                <w:sz w:val="24"/>
                <w:color w:val="000000"/>
              </w:rPr>
              <w:t>5.下层纯钢门板；</w:t>
            </w:r>
            <w:r>
              <w:br/>
            </w:r>
            <w:r>
              <w:rPr>
                <w:rFonts w:ascii="宋体" w:hAnsi="宋体" w:cs="宋体" w:eastAsia="宋体"/>
                <w:sz w:val="24"/>
                <w:color w:val="000000"/>
              </w:rPr>
              <w:t>6.采用二氧化碳焊接制作加工工艺产品，所有焊接件焊缝均匀、无虚焊、假焊、热加工变形等现象，没有毛刺、毛边。焊接牢固，焊缝美观，能完全确保货物经久安全耐用。</w:t>
            </w:r>
            <w:r>
              <w:br/>
            </w:r>
            <w:r>
              <w:rPr>
                <w:rFonts w:ascii="宋体" w:hAnsi="宋体" w:cs="宋体" w:eastAsia="宋体"/>
                <w:sz w:val="24"/>
                <w:color w:val="000000"/>
              </w:rPr>
              <w:t>7.支撑管采用≥30*20*1.0mm钢管。</w:t>
            </w:r>
            <w:r>
              <w:br/>
            </w:r>
            <w:r>
              <w:rPr>
                <w:rFonts w:ascii="宋体" w:hAnsi="宋体" w:cs="宋体" w:eastAsia="宋体"/>
                <w:sz w:val="24"/>
                <w:color w:val="000000"/>
              </w:rPr>
              <w:t>8.所有金属部件使用塑粉工艺。经过塑料粉末高温加热之后通过压缩空气给的风喷到材质表面，使涂层与金属表面的附着力更强，耐腐蚀，不易脱落。塑粉内容符合重金属含量可溶性铅、可溶性镉、可溶性铬、可溶性汞。</w:t>
            </w:r>
            <w:r>
              <w:br/>
            </w:r>
            <w:r>
              <w:rPr>
                <w:rFonts w:ascii="宋体" w:hAnsi="宋体" w:cs="宋体" w:eastAsia="宋体"/>
                <w:sz w:val="24"/>
                <w:color w:val="000000"/>
              </w:rPr>
              <w:t>9.包角防撞设计、底部至少配脚钉；</w:t>
            </w:r>
            <w:r>
              <w:br/>
            </w:r>
            <w:r>
              <w:rPr>
                <w:rFonts w:ascii="宋体" w:hAnsi="宋体" w:cs="宋体" w:eastAsia="宋体"/>
                <w:sz w:val="24"/>
                <w:color w:val="000000"/>
              </w:rPr>
              <w:t>10.钢制锁件：舒适把手，开门时不伤手，坚固耐用。</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16</w:t>
            </w:r>
          </w:p>
        </w:tc>
      </w:tr>
    </w:tbl>
    <w:p>
      <w:pPr>
        <w:pStyle w:val="null3"/>
        <w:ind w:firstLine="482"/>
        <w:jc w:val="left"/>
      </w:pPr>
      <w:r>
        <w:rPr>
          <w:rFonts w:ascii="宋体" w:hAnsi="宋体" w:cs="宋体" w:eastAsia="宋体"/>
          <w:sz w:val="24"/>
          <w:b/>
          <w:color w:val="000000"/>
        </w:rPr>
        <w:t>注：</w:t>
      </w:r>
      <w:r>
        <w:rPr>
          <w:rFonts w:ascii="宋体" w:hAnsi="宋体" w:cs="宋体" w:eastAsia="宋体"/>
          <w:sz w:val="24"/>
          <w:b/>
          <w:color w:val="000000"/>
        </w:rPr>
        <w:t>1.供应商须按照上述表格提供分项报价表，须体现所投产品的品牌、型号、单价、数量、总价，未按要求提供分项报价表的，按无效响应处理</w:t>
      </w:r>
      <w:r>
        <w:rPr>
          <w:rFonts w:ascii="宋体" w:hAnsi="宋体" w:cs="宋体" w:eastAsia="宋体"/>
          <w:sz w:val="24"/>
          <w:color w:val="000000"/>
        </w:rPr>
        <w:t>。</w:t>
      </w:r>
      <w:r>
        <w:rPr>
          <w:rFonts w:ascii="宋体" w:hAnsi="宋体" w:cs="宋体" w:eastAsia="宋体"/>
          <w:sz w:val="24"/>
          <w:b/>
        </w:rPr>
        <w:t>供应商的</w:t>
      </w:r>
      <w:r>
        <w:rPr>
          <w:rFonts w:ascii="宋体" w:hAnsi="宋体" w:cs="宋体" w:eastAsia="宋体"/>
          <w:sz w:val="24"/>
          <w:b/>
        </w:rPr>
        <w:t>报价须满足国家及省市关于通用办公家具购置费预算指标要求。</w:t>
      </w:r>
    </w:p>
    <w:p>
      <w:pPr>
        <w:pStyle w:val="null3"/>
        <w:jc w:val="left"/>
      </w:pPr>
      <w:r>
        <w:rPr>
          <w:rFonts w:ascii="宋体" w:hAnsi="宋体" w:cs="宋体" w:eastAsia="宋体"/>
          <w:sz w:val="24"/>
          <w:b/>
        </w:rPr>
        <w:t>采购包</w:t>
      </w:r>
      <w:r>
        <w:rPr>
          <w:rFonts w:ascii="宋体" w:hAnsi="宋体" w:cs="宋体" w:eastAsia="宋体"/>
          <w:sz w:val="24"/>
          <w:b/>
        </w:rPr>
        <w:t>2：</w:t>
      </w:r>
    </w:p>
    <w:tbl>
      <w:tblPr>
        <w:tblW w:w="0" w:type="auto"/>
        <w:tblBorders>
          <w:top w:val="none" w:color="000000" w:sz="4"/>
          <w:left w:val="none" w:color="000000" w:sz="4"/>
          <w:bottom w:val="none" w:color="000000" w:sz="4"/>
          <w:right w:val="none" w:color="000000" w:sz="4"/>
          <w:insideH w:val="none"/>
          <w:insideV w:val="none"/>
        </w:tblBorders>
      </w:tblPr>
      <w:tblGrid>
        <w:gridCol w:w="828"/>
        <w:gridCol w:w="1189"/>
        <w:gridCol w:w="5071"/>
        <w:gridCol w:w="1219"/>
      </w:tblGrid>
      <w:tr>
        <w:tc>
          <w:tcPr>
            <w:tcW w:type="dxa" w:w="82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11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设备名称</w:t>
            </w:r>
          </w:p>
        </w:tc>
        <w:tc>
          <w:tcPr>
            <w:tcW w:type="dxa" w:w="507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参数要求</w:t>
            </w:r>
          </w:p>
        </w:tc>
        <w:tc>
          <w:tcPr>
            <w:tcW w:type="dxa" w:w="12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数量（台）</w:t>
            </w:r>
          </w:p>
        </w:tc>
      </w:tr>
      <w:tr>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11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变频</w:t>
            </w:r>
            <w:r>
              <w:rPr>
                <w:rFonts w:ascii="宋体" w:hAnsi="宋体" w:cs="宋体" w:eastAsia="宋体"/>
                <w:sz w:val="24"/>
              </w:rPr>
              <w:t>2匹冷暖</w:t>
            </w:r>
            <w:r>
              <w:rPr>
                <w:rFonts w:ascii="宋体" w:hAnsi="宋体" w:cs="宋体" w:eastAsia="宋体"/>
                <w:sz w:val="24"/>
              </w:rPr>
              <w:t>挂</w:t>
            </w:r>
            <w:r>
              <w:rPr>
                <w:rFonts w:ascii="宋体" w:hAnsi="宋体" w:cs="宋体" w:eastAsia="宋体"/>
                <w:sz w:val="24"/>
              </w:rPr>
              <w:t>机</w:t>
            </w:r>
          </w:p>
        </w:tc>
        <w:tc>
          <w:tcPr>
            <w:tcW w:type="dxa" w:w="507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w:t>
            </w:r>
            <w:r>
              <w:rPr>
                <w:rFonts w:ascii="宋体" w:hAnsi="宋体" w:cs="宋体" w:eastAsia="宋体"/>
                <w:sz w:val="24"/>
              </w:rPr>
              <w:t>能效等级</w:t>
            </w:r>
            <w:r>
              <w:rPr>
                <w:rFonts w:ascii="宋体" w:hAnsi="宋体" w:cs="宋体" w:eastAsia="宋体"/>
                <w:sz w:val="24"/>
              </w:rPr>
              <w:t>:</w:t>
            </w:r>
            <w:r>
              <w:rPr>
                <w:rFonts w:ascii="宋体" w:hAnsi="宋体" w:cs="宋体" w:eastAsia="宋体"/>
                <w:sz w:val="24"/>
              </w:rPr>
              <w:t>一</w:t>
            </w:r>
            <w:r>
              <w:rPr>
                <w:rFonts w:ascii="宋体" w:hAnsi="宋体" w:cs="宋体" w:eastAsia="宋体"/>
                <w:sz w:val="24"/>
              </w:rPr>
              <w:t>级或更优，变频冷暖；</w:t>
            </w:r>
          </w:p>
          <w:p>
            <w:pPr>
              <w:pStyle w:val="null3"/>
              <w:jc w:val="left"/>
            </w:pPr>
            <w:r>
              <w:rPr>
                <w:rFonts w:ascii="宋体" w:hAnsi="宋体" w:cs="宋体" w:eastAsia="宋体"/>
                <w:sz w:val="24"/>
              </w:rPr>
              <w:t>2</w:t>
            </w:r>
            <w:r>
              <w:rPr>
                <w:rFonts w:ascii="宋体" w:hAnsi="宋体" w:cs="宋体" w:eastAsia="宋体"/>
                <w:sz w:val="24"/>
              </w:rPr>
              <w:t>.</w:t>
            </w:r>
            <w:r>
              <w:rPr>
                <w:rFonts w:ascii="宋体" w:hAnsi="宋体" w:cs="宋体" w:eastAsia="宋体"/>
                <w:sz w:val="24"/>
              </w:rPr>
              <w:t>全年能源消耗率</w:t>
            </w:r>
            <w:r>
              <w:rPr>
                <w:rFonts w:ascii="宋体" w:hAnsi="宋体" w:cs="宋体" w:eastAsia="宋体"/>
                <w:sz w:val="24"/>
              </w:rPr>
              <w:t>APF能效≥4.8</w:t>
            </w:r>
            <w:r>
              <w:rPr>
                <w:rFonts w:ascii="宋体" w:hAnsi="宋体" w:cs="宋体" w:eastAsia="宋体"/>
                <w:sz w:val="24"/>
              </w:rPr>
              <w:t>1</w:t>
            </w:r>
            <w:r>
              <w:rPr>
                <w:rFonts w:ascii="宋体" w:hAnsi="宋体" w:cs="宋体" w:eastAsia="宋体"/>
                <w:sz w:val="24"/>
              </w:rPr>
              <w:t>（</w:t>
            </w:r>
            <w:r>
              <w:rPr>
                <w:rFonts w:ascii="宋体" w:hAnsi="宋体" w:cs="宋体" w:eastAsia="宋体"/>
                <w:sz w:val="24"/>
              </w:rPr>
              <w:t>w-h)/(w-h)；</w:t>
            </w:r>
          </w:p>
          <w:p>
            <w:pPr>
              <w:pStyle w:val="null3"/>
              <w:jc w:val="left"/>
            </w:pPr>
            <w:r>
              <w:rPr>
                <w:rFonts w:ascii="宋体" w:hAnsi="宋体" w:cs="宋体" w:eastAsia="宋体"/>
                <w:sz w:val="24"/>
              </w:rPr>
              <w:t>3</w:t>
            </w:r>
            <w:r>
              <w:rPr>
                <w:rFonts w:ascii="宋体" w:hAnsi="宋体" w:cs="宋体" w:eastAsia="宋体"/>
                <w:sz w:val="24"/>
              </w:rPr>
              <w:t>.</w:t>
            </w:r>
            <w:r>
              <w:rPr>
                <w:rFonts w:ascii="宋体" w:hAnsi="宋体" w:cs="宋体" w:eastAsia="宋体"/>
                <w:sz w:val="24"/>
              </w:rPr>
              <w:t>额定制冷量</w:t>
            </w:r>
            <w:r>
              <w:rPr>
                <w:rFonts w:ascii="宋体" w:hAnsi="宋体" w:cs="宋体" w:eastAsia="宋体"/>
                <w:sz w:val="24"/>
              </w:rPr>
              <w:t>≥5</w:t>
            </w:r>
            <w:r>
              <w:rPr>
                <w:rFonts w:ascii="宋体" w:hAnsi="宋体" w:cs="宋体" w:eastAsia="宋体"/>
                <w:sz w:val="24"/>
              </w:rPr>
              <w:t>060</w:t>
            </w:r>
            <w:r>
              <w:rPr>
                <w:rFonts w:ascii="宋体" w:hAnsi="宋体" w:cs="宋体" w:eastAsia="宋体"/>
                <w:sz w:val="24"/>
              </w:rPr>
              <w:t>w；</w:t>
            </w:r>
          </w:p>
          <w:p>
            <w:pPr>
              <w:pStyle w:val="null3"/>
              <w:jc w:val="left"/>
            </w:pPr>
            <w:r>
              <w:rPr>
                <w:rFonts w:ascii="宋体" w:hAnsi="宋体" w:cs="宋体" w:eastAsia="宋体"/>
                <w:sz w:val="24"/>
              </w:rPr>
              <w:t>4.额定制冷功率</w:t>
            </w:r>
            <w:r>
              <w:rPr>
                <w:rFonts w:ascii="宋体" w:hAnsi="宋体" w:cs="宋体" w:eastAsia="宋体"/>
                <w:sz w:val="24"/>
              </w:rPr>
              <w:t>≤12</w:t>
            </w:r>
            <w:r>
              <w:rPr>
                <w:rFonts w:ascii="宋体" w:hAnsi="宋体" w:cs="宋体" w:eastAsia="宋体"/>
                <w:sz w:val="24"/>
              </w:rPr>
              <w:t>40</w:t>
            </w:r>
            <w:r>
              <w:rPr>
                <w:rFonts w:ascii="宋体" w:hAnsi="宋体" w:cs="宋体" w:eastAsia="宋体"/>
                <w:sz w:val="24"/>
              </w:rPr>
              <w:t>w</w:t>
            </w:r>
          </w:p>
          <w:p>
            <w:pPr>
              <w:pStyle w:val="null3"/>
              <w:jc w:val="left"/>
            </w:pPr>
            <w:r>
              <w:rPr>
                <w:rFonts w:ascii="宋体" w:hAnsi="宋体" w:cs="宋体" w:eastAsia="宋体"/>
                <w:sz w:val="24"/>
              </w:rPr>
              <w:t>5.</w:t>
            </w:r>
            <w:r>
              <w:rPr>
                <w:rFonts w:ascii="宋体" w:hAnsi="宋体" w:cs="宋体" w:eastAsia="宋体"/>
                <w:sz w:val="24"/>
              </w:rPr>
              <w:t>额定制热量</w:t>
            </w:r>
            <w:r>
              <w:rPr>
                <w:rFonts w:ascii="宋体" w:hAnsi="宋体" w:cs="宋体" w:eastAsia="宋体"/>
                <w:sz w:val="24"/>
              </w:rPr>
              <w:t>≥72</w:t>
            </w:r>
            <w:r>
              <w:rPr>
                <w:rFonts w:ascii="宋体" w:hAnsi="宋体" w:cs="宋体" w:eastAsia="宋体"/>
                <w:sz w:val="24"/>
              </w:rPr>
              <w:t>3</w:t>
            </w:r>
            <w:r>
              <w:rPr>
                <w:rFonts w:ascii="宋体" w:hAnsi="宋体" w:cs="宋体" w:eastAsia="宋体"/>
                <w:sz w:val="24"/>
              </w:rPr>
              <w:t>0w；</w:t>
            </w:r>
          </w:p>
          <w:p>
            <w:pPr>
              <w:pStyle w:val="null3"/>
              <w:jc w:val="left"/>
            </w:pPr>
            <w:r>
              <w:rPr>
                <w:rFonts w:ascii="宋体" w:hAnsi="宋体" w:cs="宋体" w:eastAsia="宋体"/>
                <w:sz w:val="24"/>
              </w:rPr>
              <w:t>6.</w:t>
            </w:r>
            <w:r>
              <w:rPr>
                <w:rFonts w:ascii="宋体" w:hAnsi="宋体" w:cs="宋体" w:eastAsia="宋体"/>
                <w:sz w:val="24"/>
              </w:rPr>
              <w:t>制热功率（标准工况）</w:t>
            </w:r>
            <w:r>
              <w:rPr>
                <w:rFonts w:ascii="宋体" w:hAnsi="宋体" w:cs="宋体" w:eastAsia="宋体"/>
                <w:sz w:val="24"/>
              </w:rPr>
              <w:t>≤</w:t>
            </w:r>
            <w:r>
              <w:rPr>
                <w:rFonts w:ascii="宋体" w:hAnsi="宋体" w:cs="宋体" w:eastAsia="宋体"/>
                <w:sz w:val="24"/>
              </w:rPr>
              <w:t>1950W；</w:t>
            </w:r>
          </w:p>
          <w:p>
            <w:pPr>
              <w:pStyle w:val="null3"/>
              <w:jc w:val="left"/>
            </w:pPr>
            <w:r>
              <w:rPr>
                <w:rFonts w:ascii="宋体" w:hAnsi="宋体" w:cs="宋体" w:eastAsia="宋体"/>
                <w:sz w:val="24"/>
              </w:rPr>
              <w:t>7</w:t>
            </w:r>
            <w:r>
              <w:rPr>
                <w:rFonts w:ascii="宋体" w:hAnsi="宋体" w:cs="宋体" w:eastAsia="宋体"/>
                <w:sz w:val="24"/>
              </w:rPr>
              <w:t>.</w:t>
            </w:r>
            <w:r>
              <w:rPr>
                <w:rFonts w:ascii="宋体" w:hAnsi="宋体" w:cs="宋体" w:eastAsia="宋体"/>
                <w:sz w:val="24"/>
              </w:rPr>
              <w:t>循环风量</w:t>
            </w:r>
            <w:r>
              <w:rPr>
                <w:rFonts w:ascii="宋体" w:hAnsi="宋体" w:cs="宋体" w:eastAsia="宋体"/>
                <w:sz w:val="24"/>
              </w:rPr>
              <w:t>(室内机)≥1</w:t>
            </w:r>
            <w:r>
              <w:rPr>
                <w:rFonts w:ascii="宋体" w:hAnsi="宋体" w:cs="宋体" w:eastAsia="宋体"/>
                <w:sz w:val="24"/>
              </w:rPr>
              <w:t>000</w:t>
            </w:r>
            <w:r>
              <w:rPr>
                <w:rFonts w:ascii="宋体" w:hAnsi="宋体" w:cs="宋体" w:eastAsia="宋体"/>
                <w:sz w:val="24"/>
              </w:rPr>
              <w:t>m3/h；</w:t>
            </w:r>
          </w:p>
          <w:p>
            <w:pPr>
              <w:pStyle w:val="null3"/>
              <w:jc w:val="left"/>
            </w:pPr>
            <w:r>
              <w:rPr>
                <w:rFonts w:ascii="宋体" w:hAnsi="宋体" w:cs="宋体" w:eastAsia="宋体"/>
                <w:sz w:val="24"/>
              </w:rPr>
              <w:t>8</w:t>
            </w:r>
            <w:r>
              <w:rPr>
                <w:rFonts w:ascii="宋体" w:hAnsi="宋体" w:cs="宋体" w:eastAsia="宋体"/>
                <w:sz w:val="24"/>
              </w:rPr>
              <w:t>.</w:t>
            </w:r>
            <w:r>
              <w:rPr>
                <w:rFonts w:ascii="宋体" w:hAnsi="宋体" w:cs="宋体" w:eastAsia="宋体"/>
                <w:sz w:val="24"/>
              </w:rPr>
              <w:t>室内运行噪音低风档</w:t>
            </w:r>
            <w:r>
              <w:rPr>
                <w:rFonts w:ascii="宋体" w:hAnsi="宋体" w:cs="宋体" w:eastAsia="宋体"/>
                <w:sz w:val="24"/>
              </w:rPr>
              <w:t>dB(A）≤2</w:t>
            </w:r>
            <w:r>
              <w:rPr>
                <w:rFonts w:ascii="宋体" w:hAnsi="宋体" w:cs="宋体" w:eastAsia="宋体"/>
                <w:sz w:val="24"/>
              </w:rPr>
              <w:t>1</w:t>
            </w:r>
            <w:r>
              <w:rPr>
                <w:rFonts w:ascii="宋体" w:hAnsi="宋体" w:cs="宋体" w:eastAsia="宋体"/>
                <w:sz w:val="24"/>
              </w:rPr>
              <w:t>dB(A)；</w:t>
            </w:r>
          </w:p>
          <w:p>
            <w:pPr>
              <w:pStyle w:val="null3"/>
              <w:jc w:val="left"/>
            </w:pPr>
            <w:r>
              <w:rPr>
                <w:rFonts w:ascii="宋体" w:hAnsi="宋体" w:cs="宋体" w:eastAsia="宋体"/>
                <w:sz w:val="24"/>
              </w:rPr>
              <w:t>9.</w:t>
            </w:r>
            <w:r>
              <w:rPr>
                <w:rFonts w:ascii="宋体" w:hAnsi="宋体" w:cs="宋体" w:eastAsia="宋体"/>
                <w:sz w:val="24"/>
              </w:rPr>
              <w:t>室内运行噪音</w:t>
            </w:r>
            <w:r>
              <w:rPr>
                <w:rFonts w:ascii="宋体" w:hAnsi="宋体" w:cs="宋体" w:eastAsia="宋体"/>
                <w:sz w:val="24"/>
              </w:rPr>
              <w:t>高</w:t>
            </w:r>
            <w:r>
              <w:rPr>
                <w:rFonts w:ascii="宋体" w:hAnsi="宋体" w:cs="宋体" w:eastAsia="宋体"/>
                <w:sz w:val="24"/>
              </w:rPr>
              <w:t>风档</w:t>
            </w:r>
            <w:r>
              <w:rPr>
                <w:rFonts w:ascii="宋体" w:hAnsi="宋体" w:cs="宋体" w:eastAsia="宋体"/>
                <w:sz w:val="24"/>
              </w:rPr>
              <w:t>dB(A）≤</w:t>
            </w:r>
            <w:r>
              <w:rPr>
                <w:rFonts w:ascii="宋体" w:hAnsi="宋体" w:cs="宋体" w:eastAsia="宋体"/>
                <w:sz w:val="24"/>
              </w:rPr>
              <w:t>43</w:t>
            </w:r>
            <w:r>
              <w:rPr>
                <w:rFonts w:ascii="宋体" w:hAnsi="宋体" w:cs="宋体" w:eastAsia="宋体"/>
                <w:sz w:val="24"/>
              </w:rPr>
              <w:t>dB(A)；</w:t>
            </w:r>
          </w:p>
          <w:p>
            <w:pPr>
              <w:pStyle w:val="null3"/>
              <w:jc w:val="left"/>
            </w:pPr>
            <w:r>
              <w:rPr>
                <w:rFonts w:ascii="宋体" w:hAnsi="宋体" w:cs="宋体" w:eastAsia="宋体"/>
                <w:sz w:val="24"/>
              </w:rPr>
              <w:t>10.室外机运行噪音高风</w:t>
            </w:r>
            <w:r>
              <w:rPr>
                <w:rFonts w:ascii="宋体" w:hAnsi="宋体" w:cs="宋体" w:eastAsia="宋体"/>
                <w:sz w:val="24"/>
              </w:rPr>
              <w:t>dB(A）≤</w:t>
            </w:r>
            <w:r>
              <w:rPr>
                <w:rFonts w:ascii="宋体" w:hAnsi="宋体" w:cs="宋体" w:eastAsia="宋体"/>
                <w:sz w:val="24"/>
              </w:rPr>
              <w:t>53</w:t>
            </w:r>
            <w:r>
              <w:rPr>
                <w:rFonts w:ascii="宋体" w:hAnsi="宋体" w:cs="宋体" w:eastAsia="宋体"/>
                <w:sz w:val="24"/>
              </w:rPr>
              <w:t>dB(A)</w:t>
            </w:r>
            <w:r>
              <w:rPr>
                <w:rFonts w:ascii="宋体" w:hAnsi="宋体" w:cs="宋体" w:eastAsia="宋体"/>
                <w:sz w:val="24"/>
              </w:rPr>
              <w:t>；</w:t>
            </w:r>
          </w:p>
          <w:p>
            <w:pPr>
              <w:pStyle w:val="null3"/>
              <w:jc w:val="left"/>
            </w:pPr>
            <w:r>
              <w:rPr>
                <w:rFonts w:ascii="宋体" w:hAnsi="宋体" w:cs="宋体" w:eastAsia="宋体"/>
                <w:sz w:val="24"/>
              </w:rPr>
              <w:t>11.</w:t>
            </w:r>
            <w:r>
              <w:rPr>
                <w:rFonts w:ascii="宋体" w:hAnsi="宋体" w:cs="宋体" w:eastAsia="宋体"/>
                <w:sz w:val="24"/>
              </w:rPr>
              <w:t>制冷季节耗电量</w:t>
            </w:r>
            <w:r>
              <w:rPr>
                <w:rFonts w:ascii="宋体" w:hAnsi="宋体" w:cs="宋体" w:eastAsia="宋体"/>
                <w:sz w:val="24"/>
              </w:rPr>
              <w:t>/kW·h≤5</w:t>
            </w:r>
            <w:r>
              <w:rPr>
                <w:rFonts w:ascii="宋体" w:hAnsi="宋体" w:cs="宋体" w:eastAsia="宋体"/>
                <w:sz w:val="24"/>
              </w:rPr>
              <w:t>54</w:t>
            </w:r>
            <w:r>
              <w:rPr>
                <w:rFonts w:ascii="宋体" w:hAnsi="宋体" w:cs="宋体" w:eastAsia="宋体"/>
                <w:sz w:val="24"/>
              </w:rPr>
              <w:t>(kW·h)</w:t>
            </w:r>
            <w:r>
              <w:rPr>
                <w:rFonts w:ascii="宋体" w:hAnsi="宋体" w:cs="宋体" w:eastAsia="宋体"/>
                <w:sz w:val="24"/>
              </w:rPr>
              <w:t>；</w:t>
            </w:r>
          </w:p>
          <w:p>
            <w:pPr>
              <w:pStyle w:val="null3"/>
              <w:jc w:val="left"/>
            </w:pPr>
            <w:r>
              <w:rPr>
                <w:rFonts w:ascii="宋体" w:hAnsi="宋体" w:cs="宋体" w:eastAsia="宋体"/>
                <w:sz w:val="24"/>
              </w:rPr>
              <w:t>12.</w:t>
            </w:r>
            <w:r>
              <w:rPr>
                <w:rFonts w:ascii="宋体" w:hAnsi="宋体" w:cs="宋体" w:eastAsia="宋体"/>
                <w:sz w:val="24"/>
              </w:rPr>
              <w:t>制</w:t>
            </w:r>
            <w:r>
              <w:rPr>
                <w:rFonts w:ascii="宋体" w:hAnsi="宋体" w:cs="宋体" w:eastAsia="宋体"/>
                <w:sz w:val="24"/>
              </w:rPr>
              <w:t>热</w:t>
            </w:r>
            <w:r>
              <w:rPr>
                <w:rFonts w:ascii="宋体" w:hAnsi="宋体" w:cs="宋体" w:eastAsia="宋体"/>
                <w:sz w:val="24"/>
              </w:rPr>
              <w:t>季节耗电量</w:t>
            </w:r>
            <w:r>
              <w:rPr>
                <w:rFonts w:ascii="宋体" w:hAnsi="宋体" w:cs="宋体" w:eastAsia="宋体"/>
                <w:sz w:val="24"/>
              </w:rPr>
              <w:t>/kW·h≤</w:t>
            </w:r>
            <w:r>
              <w:rPr>
                <w:rFonts w:ascii="宋体" w:hAnsi="宋体" w:cs="宋体" w:eastAsia="宋体"/>
                <w:sz w:val="24"/>
              </w:rPr>
              <w:t>451</w:t>
            </w:r>
            <w:r>
              <w:rPr>
                <w:rFonts w:ascii="宋体" w:hAnsi="宋体" w:cs="宋体" w:eastAsia="宋体"/>
                <w:sz w:val="24"/>
              </w:rPr>
              <w:t>(kW·h)</w:t>
            </w:r>
            <w:r>
              <w:rPr>
                <w:rFonts w:ascii="宋体" w:hAnsi="宋体" w:cs="宋体" w:eastAsia="宋体"/>
                <w:sz w:val="24"/>
              </w:rPr>
              <w:t>；</w:t>
            </w:r>
          </w:p>
          <w:p>
            <w:pPr>
              <w:pStyle w:val="null3"/>
              <w:jc w:val="left"/>
            </w:pPr>
            <w:r>
              <w:rPr>
                <w:rFonts w:ascii="宋体" w:hAnsi="宋体" w:cs="宋体" w:eastAsia="宋体"/>
                <w:sz w:val="24"/>
              </w:rPr>
              <w:t>13.冷媒：R32；</w:t>
            </w:r>
          </w:p>
          <w:p>
            <w:pPr>
              <w:pStyle w:val="null3"/>
              <w:jc w:val="left"/>
            </w:pPr>
            <w:r>
              <w:rPr>
                <w:rFonts w:ascii="宋体" w:hAnsi="宋体" w:cs="宋体" w:eastAsia="宋体"/>
                <w:sz w:val="24"/>
              </w:rPr>
              <w:t>14.室内机净重量</w:t>
            </w:r>
            <w:r>
              <w:rPr>
                <w:rFonts w:ascii="宋体" w:hAnsi="宋体" w:cs="宋体" w:eastAsia="宋体"/>
                <w:sz w:val="24"/>
              </w:rPr>
              <w:t>≥</w:t>
            </w:r>
            <w:r>
              <w:rPr>
                <w:rFonts w:ascii="宋体" w:hAnsi="宋体" w:cs="宋体" w:eastAsia="宋体"/>
                <w:sz w:val="24"/>
              </w:rPr>
              <w:t>13kg、室外机净重量</w:t>
            </w:r>
            <w:r>
              <w:rPr>
                <w:rFonts w:ascii="宋体" w:hAnsi="宋体" w:cs="宋体" w:eastAsia="宋体"/>
                <w:sz w:val="24"/>
              </w:rPr>
              <w:t>≥</w:t>
            </w:r>
            <w:r>
              <w:rPr>
                <w:rFonts w:ascii="宋体" w:hAnsi="宋体" w:cs="宋体" w:eastAsia="宋体"/>
                <w:sz w:val="24"/>
              </w:rPr>
              <w:t>32kg；</w:t>
            </w:r>
          </w:p>
          <w:p>
            <w:pPr>
              <w:pStyle w:val="null3"/>
              <w:jc w:val="left"/>
            </w:pPr>
            <w:r>
              <w:rPr>
                <w:rFonts w:ascii="宋体" w:hAnsi="宋体" w:cs="宋体" w:eastAsia="宋体"/>
                <w:sz w:val="24"/>
              </w:rPr>
              <w:t>15.</w:t>
            </w:r>
            <w:r>
              <w:rPr>
                <w:rFonts w:ascii="宋体" w:hAnsi="宋体" w:cs="宋体" w:eastAsia="宋体"/>
                <w:sz w:val="24"/>
              </w:rPr>
              <w:t>室内机尺寸</w:t>
            </w:r>
            <w:r>
              <w:rPr>
                <w:rFonts w:ascii="宋体" w:hAnsi="宋体" w:cs="宋体" w:eastAsia="宋体"/>
                <w:sz w:val="24"/>
              </w:rPr>
              <w:t>(宽*</w:t>
            </w:r>
            <w:r>
              <w:rPr>
                <w:rFonts w:ascii="宋体" w:hAnsi="宋体" w:cs="宋体" w:eastAsia="宋体"/>
                <w:sz w:val="24"/>
              </w:rPr>
              <w:t>深</w:t>
            </w:r>
            <w:r>
              <w:rPr>
                <w:rFonts w:ascii="宋体" w:hAnsi="宋体" w:cs="宋体" w:eastAsia="宋体"/>
                <w:sz w:val="24"/>
              </w:rPr>
              <w:t>*</w:t>
            </w:r>
            <w:r>
              <w:rPr>
                <w:rFonts w:ascii="宋体" w:hAnsi="宋体" w:cs="宋体" w:eastAsia="宋体"/>
                <w:sz w:val="24"/>
              </w:rPr>
              <w:t>高</w:t>
            </w:r>
            <w:r>
              <w:rPr>
                <w:rFonts w:ascii="宋体" w:hAnsi="宋体" w:cs="宋体" w:eastAsia="宋体"/>
                <w:sz w:val="24"/>
              </w:rPr>
              <w:t>)mm</w:t>
            </w:r>
            <w:r>
              <w:rPr>
                <w:rFonts w:ascii="宋体" w:hAnsi="宋体" w:cs="宋体" w:eastAsia="宋体"/>
                <w:sz w:val="24"/>
              </w:rPr>
              <w:t>：</w:t>
            </w:r>
            <w:r>
              <w:rPr>
                <w:rFonts w:ascii="宋体" w:hAnsi="宋体" w:cs="宋体" w:eastAsia="宋体"/>
                <w:sz w:val="24"/>
              </w:rPr>
              <w:t>975*220*318</w:t>
            </w:r>
            <w:r>
              <w:rPr>
                <w:rFonts w:ascii="宋体" w:hAnsi="宋体" w:cs="宋体" w:eastAsia="宋体"/>
                <w:sz w:val="24"/>
              </w:rPr>
              <w:t>（</w:t>
            </w:r>
            <w:r>
              <w:rPr>
                <w:rFonts w:ascii="宋体" w:hAnsi="宋体" w:cs="宋体" w:eastAsia="宋体"/>
                <w:sz w:val="24"/>
              </w:rPr>
              <w:t>允许</w:t>
            </w:r>
            <w:r>
              <w:rPr>
                <w:rFonts w:ascii="宋体" w:hAnsi="宋体" w:cs="宋体" w:eastAsia="宋体"/>
                <w:sz w:val="24"/>
              </w:rPr>
              <w:t>±偏离3%</w:t>
            </w:r>
            <w:r>
              <w:rPr>
                <w:rFonts w:ascii="宋体" w:hAnsi="宋体" w:cs="宋体" w:eastAsia="宋体"/>
                <w:sz w:val="24"/>
              </w:rPr>
              <w:t>）；</w:t>
            </w:r>
          </w:p>
          <w:p>
            <w:pPr>
              <w:pStyle w:val="null3"/>
              <w:jc w:val="left"/>
            </w:pPr>
            <w:r>
              <w:rPr>
                <w:rFonts w:ascii="宋体" w:hAnsi="宋体" w:cs="宋体" w:eastAsia="宋体"/>
                <w:sz w:val="24"/>
              </w:rPr>
              <w:t>16.</w:t>
            </w:r>
            <w:r>
              <w:rPr>
                <w:rFonts w:ascii="宋体" w:hAnsi="宋体" w:cs="宋体" w:eastAsia="宋体"/>
                <w:sz w:val="24"/>
              </w:rPr>
              <w:t>室外机尺寸</w:t>
            </w:r>
            <w:r>
              <w:rPr>
                <w:rFonts w:ascii="宋体" w:hAnsi="宋体" w:cs="宋体" w:eastAsia="宋体"/>
                <w:sz w:val="24"/>
              </w:rPr>
              <w:t>(</w:t>
            </w:r>
            <w:r>
              <w:rPr>
                <w:rFonts w:ascii="宋体" w:hAnsi="宋体" w:cs="宋体" w:eastAsia="宋体"/>
                <w:sz w:val="24"/>
              </w:rPr>
              <w:t>宽</w:t>
            </w:r>
            <w:r>
              <w:rPr>
                <w:rFonts w:ascii="宋体" w:hAnsi="宋体" w:cs="宋体" w:eastAsia="宋体"/>
                <w:sz w:val="24"/>
              </w:rPr>
              <w:t>*深*高</w:t>
            </w:r>
            <w:r>
              <w:rPr>
                <w:rFonts w:ascii="宋体" w:hAnsi="宋体" w:cs="宋体" w:eastAsia="宋体"/>
                <w:sz w:val="24"/>
              </w:rPr>
              <w:t>)mm</w:t>
            </w:r>
            <w:r>
              <w:rPr>
                <w:rFonts w:ascii="宋体" w:hAnsi="宋体" w:cs="宋体" w:eastAsia="宋体"/>
                <w:sz w:val="24"/>
              </w:rPr>
              <w:t>：</w:t>
            </w:r>
            <w:r>
              <w:rPr>
                <w:rFonts w:ascii="宋体" w:hAnsi="宋体" w:cs="宋体" w:eastAsia="宋体"/>
                <w:sz w:val="24"/>
              </w:rPr>
              <w:t>862*341*557</w:t>
            </w:r>
            <w:r>
              <w:rPr>
                <w:rFonts w:ascii="宋体" w:hAnsi="宋体" w:cs="宋体" w:eastAsia="宋体"/>
                <w:sz w:val="24"/>
              </w:rPr>
              <w:t>（</w:t>
            </w:r>
            <w:r>
              <w:rPr>
                <w:rFonts w:ascii="宋体" w:hAnsi="宋体" w:cs="宋体" w:eastAsia="宋体"/>
                <w:sz w:val="24"/>
              </w:rPr>
              <w:t>允许</w:t>
            </w:r>
            <w:r>
              <w:rPr>
                <w:rFonts w:ascii="宋体" w:hAnsi="宋体" w:cs="宋体" w:eastAsia="宋体"/>
                <w:sz w:val="24"/>
              </w:rPr>
              <w:t>±偏离3%</w:t>
            </w:r>
            <w:r>
              <w:rPr>
                <w:rFonts w:ascii="宋体" w:hAnsi="宋体" w:cs="宋体" w:eastAsia="宋体"/>
                <w:sz w:val="24"/>
              </w:rPr>
              <w:t>）；</w:t>
            </w:r>
          </w:p>
          <w:p>
            <w:pPr>
              <w:pStyle w:val="null3"/>
              <w:jc w:val="left"/>
            </w:pPr>
            <w:r>
              <w:rPr>
                <w:rFonts w:ascii="宋体" w:hAnsi="宋体" w:cs="宋体" w:eastAsia="宋体"/>
                <w:sz w:val="24"/>
              </w:rPr>
              <w:t>17.需具备高温除菌自清洁功能；</w:t>
            </w:r>
          </w:p>
          <w:p>
            <w:pPr>
              <w:pStyle w:val="null3"/>
              <w:jc w:val="left"/>
            </w:pPr>
            <w:r>
              <w:rPr>
                <w:rFonts w:ascii="宋体" w:hAnsi="宋体" w:cs="宋体" w:eastAsia="宋体"/>
                <w:sz w:val="24"/>
              </w:rPr>
              <w:t>18.</w:t>
            </w:r>
            <w:r>
              <w:rPr>
                <w:rFonts w:ascii="宋体" w:hAnsi="宋体" w:cs="宋体" w:eastAsia="宋体"/>
                <w:sz w:val="24"/>
              </w:rPr>
              <w:t>配置：遥控器（含无汞电池），电源线，含保证安全措施的前提下进行设备外墙面吊装施工、墙体取孔、空调安装所需的外机支架、</w:t>
            </w:r>
            <w:r>
              <w:rPr>
                <w:rFonts w:ascii="宋体" w:hAnsi="宋体" w:cs="宋体" w:eastAsia="宋体"/>
                <w:sz w:val="24"/>
              </w:rPr>
              <w:t>漏宝开关、</w:t>
            </w:r>
            <w:r>
              <w:rPr>
                <w:rFonts w:ascii="宋体" w:hAnsi="宋体" w:cs="宋体" w:eastAsia="宋体"/>
                <w:sz w:val="24"/>
              </w:rPr>
              <w:t>铜管、排水管等辅材</w:t>
            </w:r>
            <w:r>
              <w:rPr>
                <w:rFonts w:ascii="宋体" w:hAnsi="宋体" w:cs="宋体" w:eastAsia="宋体"/>
                <w:sz w:val="24"/>
              </w:rPr>
              <w:t>。</w:t>
            </w:r>
          </w:p>
        </w:tc>
        <w:tc>
          <w:tcPr>
            <w:tcW w:type="dxa" w:w="1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30</w:t>
            </w:r>
          </w:p>
        </w:tc>
      </w:tr>
    </w:tbl>
    <w:p>
      <w:pPr>
        <w:pStyle w:val="null3"/>
        <w:ind w:firstLine="420"/>
        <w:jc w:val="both"/>
      </w:pPr>
      <w:r>
        <w:rPr>
          <w:rFonts w:ascii="宋体" w:hAnsi="宋体" w:cs="宋体" w:eastAsia="宋体"/>
          <w:sz w:val="24"/>
          <w:b/>
        </w:rPr>
        <w:t>注：</w:t>
      </w:r>
      <w:r>
        <w:rPr>
          <w:rFonts w:ascii="宋体" w:hAnsi="宋体" w:cs="宋体" w:eastAsia="宋体"/>
          <w:sz w:val="24"/>
          <w:b/>
        </w:rPr>
        <w:t>1.</w:t>
      </w:r>
      <w:r>
        <w:rPr>
          <w:rFonts w:ascii="宋体" w:hAnsi="宋体" w:cs="宋体" w:eastAsia="宋体"/>
          <w:sz w:val="24"/>
          <w:b/>
          <w:shd w:fill="FFFFFF" w:val="clear"/>
        </w:rPr>
        <w:t>关于国家</w:t>
      </w:r>
      <w:r>
        <w:rPr>
          <w:rFonts w:ascii="宋体" w:hAnsi="宋体" w:cs="宋体" w:eastAsia="宋体"/>
          <w:sz w:val="24"/>
          <w:b/>
          <w:shd w:fill="FFFFFF" w:val="clear"/>
        </w:rPr>
        <w:t>3C强制要求和节能产品要求：</w:t>
      </w:r>
    </w:p>
    <w:p>
      <w:pPr>
        <w:pStyle w:val="null3"/>
        <w:ind w:firstLine="420"/>
        <w:jc w:val="both"/>
      </w:pPr>
      <w:r>
        <w:rPr>
          <w:rFonts w:ascii="宋体" w:hAnsi="宋体" w:cs="宋体" w:eastAsia="宋体"/>
          <w:sz w:val="24"/>
          <w:b/>
        </w:rPr>
        <w:t>①供应商须在响应文件中提供书面承诺，承诺所投产品国家若有强制性3C认证要求的，满足国家3C强制要求（承诺函格式自拟，并对其真实性负责），或在响应文件中提供所投产品有效的3C证书复印件。同时，采购人有权在签订合同前要求成交供应商提供相关证明材料以核实成交供应商承诺事项的真实性。供应商应当遵循诚实守信的原则，不得作出虚假承诺，承诺不实的，属于提供虚假材料谋取中标、成交，依法追究相关的法律责任。</w:t>
      </w:r>
    </w:p>
    <w:p>
      <w:pPr>
        <w:pStyle w:val="null3"/>
        <w:ind w:firstLine="420"/>
        <w:jc w:val="both"/>
      </w:pPr>
      <w:r>
        <w:rPr>
          <w:rFonts w:ascii="宋体" w:hAnsi="宋体" w:cs="宋体" w:eastAsia="宋体"/>
          <w:sz w:val="24"/>
          <w:b/>
        </w:rPr>
        <w:t>②供应商所空调产品，须提供有效期内的节能产品认证证书复印件。</w:t>
      </w:r>
    </w:p>
    <w:p>
      <w:pPr>
        <w:pStyle w:val="null3"/>
        <w:jc w:val="both"/>
      </w:pPr>
      <w:r>
        <w:rPr>
          <w:rFonts w:ascii="宋体" w:hAnsi="宋体" w:cs="宋体" w:eastAsia="宋体"/>
          <w:sz w:val="24"/>
          <w:b/>
        </w:rPr>
        <w:t>采购包</w:t>
      </w:r>
      <w:r>
        <w:rPr>
          <w:rFonts w:ascii="宋体" w:hAnsi="宋体" w:cs="宋体" w:eastAsia="宋体"/>
          <w:sz w:val="24"/>
          <w:b/>
        </w:rPr>
        <w:t>3：</w:t>
      </w:r>
    </w:p>
    <w:tbl>
      <w:tblPr>
        <w:tblW w:w="0" w:type="auto"/>
        <w:tblBorders>
          <w:top w:val="none" w:color="000000" w:sz="4"/>
          <w:left w:val="none" w:color="000000" w:sz="4"/>
          <w:bottom w:val="none" w:color="000000" w:sz="4"/>
          <w:right w:val="none" w:color="000000" w:sz="4"/>
          <w:insideH w:val="none"/>
          <w:insideV w:val="none"/>
        </w:tblBorders>
      </w:tblPr>
      <w:tblGrid>
        <w:gridCol w:w="451"/>
        <w:gridCol w:w="786"/>
        <w:gridCol w:w="4393"/>
        <w:gridCol w:w="436"/>
        <w:gridCol w:w="451"/>
        <w:gridCol w:w="858"/>
        <w:gridCol w:w="931"/>
      </w:tblGrid>
      <w:tr>
        <w:tc>
          <w:tcPr>
            <w:tcW w:type="dxa" w:w="45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7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firstLine="22"/>
              <w:jc w:val="center"/>
            </w:pPr>
            <w:r>
              <w:rPr>
                <w:rFonts w:ascii="宋体" w:hAnsi="宋体" w:cs="宋体" w:eastAsia="宋体"/>
                <w:sz w:val="24"/>
                <w:b/>
              </w:rPr>
              <w:t>名称</w:t>
            </w:r>
          </w:p>
        </w:tc>
        <w:tc>
          <w:tcPr>
            <w:tcW w:type="dxa" w:w="439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5"/>
              <w:jc w:val="center"/>
            </w:pPr>
            <w:r>
              <w:rPr>
                <w:rFonts w:ascii="宋体" w:hAnsi="宋体" w:cs="宋体" w:eastAsia="宋体"/>
                <w:sz w:val="24"/>
                <w:b/>
              </w:rPr>
              <w:t>技术规格及要求</w:t>
            </w:r>
          </w:p>
        </w:tc>
        <w:tc>
          <w:tcPr>
            <w:tcW w:type="dxa" w:w="4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rPr>
              <w:t>单位</w:t>
            </w:r>
          </w:p>
        </w:tc>
        <w:tc>
          <w:tcPr>
            <w:tcW w:type="dxa" w:w="45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rPr>
              <w:t>数量</w:t>
            </w:r>
          </w:p>
        </w:tc>
        <w:tc>
          <w:tcPr>
            <w:tcW w:type="dxa" w:w="8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rPr>
              <w:t>单价</w:t>
            </w:r>
            <w:r>
              <w:rPr>
                <w:rFonts w:ascii="宋体" w:hAnsi="宋体" w:cs="宋体" w:eastAsia="宋体"/>
                <w:sz w:val="24"/>
                <w:b/>
              </w:rPr>
              <w:t>（</w:t>
            </w:r>
            <w:r>
              <w:rPr>
                <w:rFonts w:ascii="宋体" w:hAnsi="宋体" w:cs="宋体" w:eastAsia="宋体"/>
                <w:sz w:val="24"/>
                <w:b/>
              </w:rPr>
              <w:t>元）</w:t>
            </w:r>
          </w:p>
        </w:tc>
        <w:tc>
          <w:tcPr>
            <w:tcW w:type="dxa" w:w="93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rPr>
              <w:t>总价（元）</w:t>
            </w:r>
          </w:p>
        </w:tc>
      </w:tr>
      <w:tr>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firstLine="22"/>
              <w:jc w:val="center"/>
            </w:pPr>
            <w:r>
              <w:rPr>
                <w:rFonts w:ascii="宋体" w:hAnsi="宋体" w:cs="宋体" w:eastAsia="宋体"/>
                <w:sz w:val="24"/>
                <w:b/>
              </w:rPr>
              <w:t>智慧黑板</w:t>
            </w:r>
            <w:r>
              <w:rPr>
                <w:rFonts w:ascii="宋体" w:hAnsi="宋体" w:cs="宋体" w:eastAsia="宋体"/>
                <w:sz w:val="24"/>
                <w:b/>
              </w:rPr>
              <w:t>（</w:t>
            </w:r>
            <w:r>
              <w:rPr>
                <w:rFonts w:ascii="宋体" w:hAnsi="宋体" w:cs="宋体" w:eastAsia="宋体"/>
                <w:sz w:val="24"/>
                <w:b/>
              </w:rPr>
              <w:t>核心产品</w:t>
            </w:r>
            <w:r>
              <w:rPr>
                <w:rFonts w:ascii="宋体" w:hAnsi="宋体" w:cs="宋体" w:eastAsia="宋体"/>
                <w:sz w:val="24"/>
                <w:b/>
              </w:rPr>
              <w:t>）</w:t>
            </w:r>
          </w:p>
        </w:tc>
        <w:tc>
          <w:tcPr>
            <w:tcW w:type="dxa" w:w="43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rPr>
              <w:t>1.</w:t>
            </w:r>
            <w:r>
              <w:rPr>
                <w:rFonts w:ascii="宋体" w:hAnsi="宋体" w:cs="宋体" w:eastAsia="宋体"/>
                <w:sz w:val="24"/>
              </w:rPr>
              <w:t>整机采用全金属外壳，三拼接平面一体化设计，屏幕边缘采用圆角包边防护，整机背板采用金属材质。无推拉式结构，外部无任何可见内部功能模块连接线。主副屏过渡平滑，中间无单独边框阻隔。</w:t>
            </w:r>
          </w:p>
          <w:p>
            <w:pPr>
              <w:pStyle w:val="null3"/>
              <w:jc w:val="left"/>
            </w:pPr>
            <w:r>
              <w:rPr>
                <w:rFonts w:ascii="宋体" w:hAnsi="宋体" w:cs="宋体" w:eastAsia="宋体"/>
                <w:sz w:val="24"/>
              </w:rPr>
              <w:t>2.</w:t>
            </w:r>
            <w:r>
              <w:rPr>
                <w:rFonts w:ascii="宋体" w:hAnsi="宋体" w:cs="宋体" w:eastAsia="宋体"/>
                <w:sz w:val="24"/>
              </w:rPr>
              <w:t>整体外观尺寸：宽</w:t>
            </w:r>
            <w:r>
              <w:rPr>
                <w:rFonts w:ascii="宋体" w:hAnsi="宋体" w:cs="宋体" w:eastAsia="宋体"/>
                <w:sz w:val="24"/>
              </w:rPr>
              <w:t>≥4200mm，高≥1200mm，厚≤120mm。主屏支持普通粉笔直接书写。整机两侧副屏可支持以下媒介（普通粉笔、液体粉笔、成膜笔）进行板书书写。</w:t>
            </w:r>
          </w:p>
          <w:p>
            <w:pPr>
              <w:pStyle w:val="null3"/>
              <w:jc w:val="left"/>
            </w:pPr>
            <w:r>
              <w:rPr>
                <w:rFonts w:ascii="宋体" w:hAnsi="宋体" w:cs="宋体" w:eastAsia="宋体"/>
                <w:sz w:val="24"/>
              </w:rPr>
              <w:t>3.</w:t>
            </w:r>
            <w:r>
              <w:rPr>
                <w:rFonts w:ascii="宋体" w:hAnsi="宋体" w:cs="宋体" w:eastAsia="宋体"/>
                <w:sz w:val="24"/>
              </w:rPr>
              <w:t>整机屏幕采用</w:t>
            </w:r>
            <w:r>
              <w:rPr>
                <w:rFonts w:ascii="宋体" w:hAnsi="宋体" w:cs="宋体" w:eastAsia="宋体"/>
                <w:sz w:val="24"/>
              </w:rPr>
              <w:t>86英寸液晶显示器。整机采用超高清LED液晶显示屏，显示比例16:9，分辨率3840×2160。</w:t>
            </w:r>
          </w:p>
          <w:p>
            <w:pPr>
              <w:pStyle w:val="null3"/>
              <w:jc w:val="left"/>
            </w:pPr>
            <w:r>
              <w:rPr>
                <w:rFonts w:ascii="宋体" w:hAnsi="宋体" w:cs="宋体" w:eastAsia="宋体"/>
                <w:sz w:val="24"/>
              </w:rPr>
              <w:t>4.</w:t>
            </w:r>
            <w:r>
              <w:rPr>
                <w:rFonts w:ascii="宋体" w:hAnsi="宋体" w:cs="宋体" w:eastAsia="宋体"/>
                <w:sz w:val="24"/>
              </w:rPr>
              <w:t>采用红外触控技术，支持整机设备系统中进行</w:t>
            </w:r>
            <w:r>
              <w:rPr>
                <w:rFonts w:ascii="宋体" w:hAnsi="宋体" w:cs="宋体" w:eastAsia="宋体"/>
                <w:sz w:val="24"/>
              </w:rPr>
              <w:t>20点或以上触控</w:t>
            </w:r>
            <w:r>
              <w:rPr>
                <w:rFonts w:ascii="宋体" w:hAnsi="宋体" w:cs="宋体" w:eastAsia="宋体"/>
                <w:sz w:val="24"/>
              </w:rPr>
              <w:t>。</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5.</w:t>
            </w:r>
            <w:r>
              <w:rPr>
                <w:rFonts w:ascii="宋体" w:hAnsi="宋体" w:cs="宋体" w:eastAsia="宋体"/>
                <w:sz w:val="24"/>
              </w:rPr>
              <w:t>整机内置</w:t>
            </w:r>
            <w:r>
              <w:rPr>
                <w:rFonts w:ascii="宋体" w:hAnsi="宋体" w:cs="宋体" w:eastAsia="宋体"/>
                <w:sz w:val="24"/>
              </w:rPr>
              <w:t>2.2声道扬声器，位于设备上边框，顶置朝前发声，前朝向10W高音扬声器2个，上朝向20W中低音扬声器2个，额定总功率60W。</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6.</w:t>
            </w:r>
            <w:r>
              <w:rPr>
                <w:rFonts w:ascii="宋体" w:hAnsi="宋体" w:cs="宋体" w:eastAsia="宋体"/>
                <w:sz w:val="24"/>
              </w:rPr>
              <w:t>整机可选择高级音效设置，支持在左右声道平衡显示范围中进行更改；中低频段显示调节范围</w:t>
            </w:r>
            <w:r>
              <w:rPr>
                <w:rFonts w:ascii="宋体" w:hAnsi="宋体" w:cs="宋体" w:eastAsia="宋体"/>
                <w:sz w:val="24"/>
              </w:rPr>
              <w:t>125Hz～1KHz，高频段显示调节范围 2KHz～16KHz，分贝显示-12dB～12dB 调节范围。</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7.</w:t>
            </w:r>
            <w:r>
              <w:rPr>
                <w:rFonts w:ascii="宋体" w:hAnsi="宋体" w:cs="宋体" w:eastAsia="宋体"/>
                <w:sz w:val="24"/>
              </w:rPr>
              <w:t>整机内置非独立外扩展的</w:t>
            </w:r>
            <w:r>
              <w:rPr>
                <w:rFonts w:ascii="宋体" w:hAnsi="宋体" w:cs="宋体" w:eastAsia="宋体"/>
                <w:sz w:val="24"/>
              </w:rPr>
              <w:t>8阵列麦克风，拾音角度≥180°，可用于对教室环境音频进行采集，拾音距离≥12m。整机内置扬声器采用缝隙发声技术，喇叭采用槽式开口设计，不大于5.8mm。</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8.</w:t>
            </w:r>
            <w:r>
              <w:rPr>
                <w:rFonts w:ascii="宋体" w:hAnsi="宋体" w:cs="宋体" w:eastAsia="宋体"/>
                <w:sz w:val="24"/>
              </w:rPr>
              <w:t>支持标准、听力、观影和</w:t>
            </w:r>
            <w:r>
              <w:rPr>
                <w:rFonts w:ascii="宋体" w:hAnsi="宋体" w:cs="宋体" w:eastAsia="宋体"/>
                <w:sz w:val="24"/>
              </w:rPr>
              <w:t>AI空间感知音效模式，AI空间感知音效模式可通过内置麦克风采集教室物理环境声音，自动生成符合当前教室物理环境的频段、音量、音效。</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9.</w:t>
            </w:r>
            <w:r>
              <w:rPr>
                <w:rFonts w:ascii="宋体" w:hAnsi="宋体" w:cs="宋体" w:eastAsia="宋体"/>
                <w:sz w:val="24"/>
              </w:rPr>
              <w:t>整机支持色彩空间可选，包含标准模式和</w:t>
            </w:r>
            <w:r>
              <w:rPr>
                <w:rFonts w:ascii="宋体" w:hAnsi="宋体" w:cs="宋体" w:eastAsia="宋体"/>
                <w:sz w:val="24"/>
              </w:rPr>
              <w:t>sRGB模式，在sRGB模式下可做到高色准△E≤1。</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10.</w:t>
            </w:r>
            <w:r>
              <w:rPr>
                <w:rFonts w:ascii="宋体" w:hAnsi="宋体" w:cs="宋体" w:eastAsia="宋体"/>
                <w:sz w:val="24"/>
              </w:rPr>
              <w:t>整机采用硬件低蓝光背光技术，在源头减少有害蓝光波段能量，蓝光占比（有害蓝光</w:t>
            </w:r>
            <w:r>
              <w:rPr>
                <w:rFonts w:ascii="宋体" w:hAnsi="宋体" w:cs="宋体" w:eastAsia="宋体"/>
                <w:sz w:val="24"/>
              </w:rPr>
              <w:t>415～455nm能量综合）/（整体蓝光400～500能量综合）＜50%，低蓝光保护显示不偏色、不泛黄。支持标准、多媒体和节能三种图像模式调节。</w:t>
            </w:r>
          </w:p>
          <w:p>
            <w:pPr>
              <w:pStyle w:val="null3"/>
              <w:jc w:val="left"/>
            </w:pPr>
            <w:r>
              <w:rPr>
                <w:rFonts w:ascii="宋体" w:hAnsi="宋体" w:cs="宋体" w:eastAsia="宋体"/>
                <w:sz w:val="24"/>
              </w:rPr>
              <w:t>11.</w:t>
            </w:r>
            <w:r>
              <w:rPr>
                <w:rFonts w:ascii="宋体" w:hAnsi="宋体" w:cs="宋体" w:eastAsia="宋体"/>
                <w:sz w:val="24"/>
              </w:rPr>
              <w:t>整机系统支持手势上滑调出人工智能画质调节模式（</w:t>
            </w:r>
            <w:r>
              <w:rPr>
                <w:rFonts w:ascii="宋体" w:hAnsi="宋体" w:cs="宋体" w:eastAsia="宋体"/>
                <w:sz w:val="24"/>
              </w:rPr>
              <w:t>AI-PQ），在安卓通道下可根据屏幕内容自动调节画质参数，当屏幕出现人物、建筑、夜景等元素时，自动调整对比度、饱和度、锐利度、色调色相值、高光/阴影。</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12.</w:t>
            </w:r>
            <w:r>
              <w:rPr>
                <w:rFonts w:ascii="宋体" w:hAnsi="宋体" w:cs="宋体" w:eastAsia="宋体"/>
                <w:sz w:val="24"/>
              </w:rPr>
              <w:t>整机全通道支持纸质护眼模式，可实现画面纹理的实时调整；支持纸质纹理：牛皮纸、素描纸、宣纸、水彩纸、水纹纸；支持透明度调节；支持色温调节。</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13.</w:t>
            </w:r>
            <w:r>
              <w:rPr>
                <w:rFonts w:ascii="宋体" w:hAnsi="宋体" w:cs="宋体" w:eastAsia="宋体"/>
                <w:sz w:val="24"/>
              </w:rPr>
              <w:t>设备支持通过前置面板物理按键一键启动录屏功能，可将屏幕中显示的课件、音频内容与人声同时录制。</w:t>
            </w:r>
          </w:p>
          <w:p>
            <w:pPr>
              <w:pStyle w:val="null3"/>
              <w:jc w:val="left"/>
            </w:pPr>
            <w:r>
              <w:rPr>
                <w:rFonts w:ascii="宋体" w:hAnsi="宋体" w:cs="宋体" w:eastAsia="宋体"/>
                <w:sz w:val="24"/>
              </w:rPr>
              <w:t>14.</w:t>
            </w:r>
            <w:r>
              <w:rPr>
                <w:rFonts w:ascii="宋体" w:hAnsi="宋体" w:cs="宋体" w:eastAsia="宋体"/>
                <w:sz w:val="24"/>
              </w:rPr>
              <w:t>整机支持</w:t>
            </w:r>
            <w:r>
              <w:rPr>
                <w:rFonts w:ascii="宋体" w:hAnsi="宋体" w:cs="宋体" w:eastAsia="宋体"/>
                <w:sz w:val="24"/>
              </w:rPr>
              <w:t>5个自定义前置按键，设置、音量-，音量+，录屏，护眼按键，可通过自定义设置实现前置面板功能按键一键启用任一全局小工具（批注、截屏、计时、降半屏、放大镜、倒数日、日历）、快捷开关（纸质护眼模式、经典护眼模式、自动亮度模式）、课堂智能反馈。</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15.</w:t>
            </w:r>
            <w:r>
              <w:rPr>
                <w:rFonts w:ascii="宋体" w:hAnsi="宋体" w:cs="宋体" w:eastAsia="宋体"/>
                <w:sz w:val="24"/>
              </w:rPr>
              <w:t>整机支持发出频率为</w:t>
            </w:r>
            <w:r>
              <w:rPr>
                <w:rFonts w:ascii="宋体" w:hAnsi="宋体" w:cs="宋体" w:eastAsia="宋体"/>
                <w:sz w:val="24"/>
              </w:rPr>
              <w:t>18kHz-22kHz超声波信号，智能手机通过麦克风接收后，智能手机与整机无需在同一局域网内，可实现配对，一键投屏，用户无需手动输入投屏码或扫码获取投屏码。</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16.</w:t>
            </w:r>
            <w:r>
              <w:rPr>
                <w:rFonts w:ascii="宋体" w:hAnsi="宋体" w:cs="宋体" w:eastAsia="宋体"/>
                <w:sz w:val="24"/>
              </w:rPr>
              <w:t>整机内置传屏接收模块，整机不需要连接任何附加设备，可实现外部电脑、手机设备的音视频信号实时传输到整机上；当使用外部电脑传屏时，支持触摸回传，在屏幕上部显示传屏工具栏，可以进行触摸回传控制、勿扰模式、暂停投屏功能；开启勿扰模式时，不允许其他人再进行传屏；投屏时可以选择过滤特定应用窗口，如邮件应用等窗口。</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17.</w:t>
            </w:r>
            <w:r>
              <w:rPr>
                <w:rFonts w:ascii="宋体" w:hAnsi="宋体" w:cs="宋体" w:eastAsia="宋体"/>
                <w:sz w:val="24"/>
              </w:rPr>
              <w:t>整机内置双</w:t>
            </w:r>
            <w:r>
              <w:rPr>
                <w:rFonts w:ascii="宋体" w:hAnsi="宋体" w:cs="宋体" w:eastAsia="宋体"/>
                <w:sz w:val="24"/>
              </w:rPr>
              <w:t>WiFi6无线网卡（不接受外接），在整机设备下，可实现Wi-Fi无线上网连接、AP无线热点发射。Wi-Fi及AP热点支持频段2.4GHz/5GHz</w:t>
            </w:r>
            <w:r>
              <w:rPr>
                <w:rFonts w:ascii="宋体" w:hAnsi="宋体" w:cs="宋体" w:eastAsia="宋体"/>
                <w:sz w:val="24"/>
              </w:rPr>
              <w:t>。</w:t>
            </w:r>
            <w:r>
              <w:rPr>
                <w:rFonts w:ascii="宋体" w:hAnsi="宋体" w:cs="宋体" w:eastAsia="宋体"/>
                <w:sz w:val="24"/>
              </w:rPr>
              <w:t>Wi-Fi制式支持IEEE 802.11 a/b/g/n/ac/ax；支持版本Wi-Fi6。</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18.</w:t>
            </w:r>
            <w:r>
              <w:rPr>
                <w:rFonts w:ascii="宋体" w:hAnsi="宋体" w:cs="宋体" w:eastAsia="宋体"/>
                <w:sz w:val="24"/>
              </w:rPr>
              <w:t>整机上边框内置非独立摄像头，采用一体化集成设计，摄像头数量</w:t>
            </w:r>
            <w:r>
              <w:rPr>
                <w:rFonts w:ascii="宋体" w:hAnsi="宋体" w:cs="宋体" w:eastAsia="宋体"/>
                <w:sz w:val="24"/>
              </w:rPr>
              <w:t>≥4个。整机内置至少三个摄像头，像素值均大于800 万。整机上边框内置非独立式广角高清摄像头，视场角≥142度且水平视场角≥121度</w:t>
            </w:r>
            <w:r>
              <w:rPr>
                <w:rFonts w:ascii="宋体" w:hAnsi="宋体" w:cs="宋体" w:eastAsia="宋体"/>
                <w:sz w:val="24"/>
              </w:rPr>
              <w:t>。</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19.</w:t>
            </w:r>
            <w:r>
              <w:rPr>
                <w:rFonts w:ascii="宋体" w:hAnsi="宋体" w:cs="宋体" w:eastAsia="宋体"/>
                <w:sz w:val="24"/>
              </w:rPr>
              <w:t>整机上边框内置非独式广角摄像头和智能拼接摄像头，</w:t>
            </w:r>
            <w:r>
              <w:rPr>
                <w:rFonts w:ascii="宋体" w:hAnsi="宋体" w:cs="宋体" w:eastAsia="宋体"/>
                <w:sz w:val="24"/>
              </w:rPr>
              <w:t>均支持</w:t>
            </w:r>
            <w:r>
              <w:rPr>
                <w:rFonts w:ascii="宋体" w:hAnsi="宋体" w:cs="宋体" w:eastAsia="宋体"/>
                <w:sz w:val="24"/>
              </w:rPr>
              <w:t>3D 降噪算法和数字宽动态范围成像WDR 技术，支持输出 MJPG、 H.264 视频格式。上边框内置非独立的广角高清摄像头，在距离整机1.7米情况下，且拍摄范围可以覆盖摄像头垂直法线左右距离大于等于4米，可以实现人脸识别。</w:t>
            </w:r>
          </w:p>
          <w:p>
            <w:pPr>
              <w:pStyle w:val="null3"/>
              <w:jc w:val="left"/>
            </w:pPr>
            <w:r>
              <w:rPr>
                <w:rFonts w:ascii="宋体" w:hAnsi="宋体" w:cs="宋体" w:eastAsia="宋体"/>
                <w:sz w:val="24"/>
              </w:rPr>
              <w:t>20.</w:t>
            </w:r>
            <w:r>
              <w:rPr>
                <w:rFonts w:ascii="宋体" w:hAnsi="宋体" w:cs="宋体" w:eastAsia="宋体"/>
                <w:sz w:val="24"/>
              </w:rPr>
              <w:t>整机上边框内置非独立式摄像头，视场角</w:t>
            </w:r>
            <w:r>
              <w:rPr>
                <w:rFonts w:ascii="宋体" w:hAnsi="宋体" w:cs="宋体" w:eastAsia="宋体"/>
                <w:sz w:val="24"/>
              </w:rPr>
              <w:t>≥141度且水平视场角≥139度，可拍摄≥1600万像素的照片，支持输出8192×2048分辨率的照片和视频，支持画面畸变矫正功能。</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21.</w:t>
            </w:r>
            <w:r>
              <w:rPr>
                <w:rFonts w:ascii="宋体" w:hAnsi="宋体" w:cs="宋体" w:eastAsia="宋体"/>
                <w:sz w:val="24"/>
              </w:rPr>
              <w:t>整机支持手笔分离，通过提笔即写唤醒批注功能后，可进行手笔分离功能，使用笔正常书写，使用手指可以操作应用，进行点击操作。支持智能板擦功能，系统可根据触控物体的形状自动识别出实物板擦，可擦除电子白板中的内容，无需依赖外部电子设备。</w:t>
            </w:r>
          </w:p>
          <w:p>
            <w:pPr>
              <w:pStyle w:val="null3"/>
              <w:jc w:val="left"/>
            </w:pPr>
            <w:r>
              <w:rPr>
                <w:rFonts w:ascii="宋体" w:hAnsi="宋体" w:cs="宋体" w:eastAsia="宋体"/>
                <w:sz w:val="24"/>
              </w:rPr>
              <w:t>22.</w:t>
            </w:r>
            <w:r>
              <w:rPr>
                <w:rFonts w:ascii="宋体" w:hAnsi="宋体" w:cs="宋体" w:eastAsia="宋体"/>
                <w:sz w:val="24"/>
              </w:rPr>
              <w:t>在整机全信号源通道下，支持十指长按屏幕</w:t>
            </w:r>
            <w:r>
              <w:rPr>
                <w:rFonts w:ascii="宋体" w:hAnsi="宋体" w:cs="宋体" w:eastAsia="宋体"/>
                <w:sz w:val="24"/>
              </w:rPr>
              <w:t>5秒和遥控器两种方式实现触摸锁定及解锁，触摸锁定时整机无法被触控操作。</w:t>
            </w:r>
          </w:p>
          <w:p>
            <w:pPr>
              <w:pStyle w:val="null3"/>
              <w:jc w:val="left"/>
            </w:pPr>
            <w:r>
              <w:rPr>
                <w:rFonts w:ascii="宋体" w:hAnsi="宋体" w:cs="宋体" w:eastAsia="宋体"/>
                <w:sz w:val="24"/>
              </w:rPr>
              <w:t>23.</w:t>
            </w:r>
            <w:r>
              <w:rPr>
                <w:rFonts w:ascii="宋体" w:hAnsi="宋体" w:cs="宋体" w:eastAsia="宋体"/>
                <w:sz w:val="24"/>
              </w:rPr>
              <w:t>支持通道自动跳转功能，如整机处于正常使用状态，</w:t>
            </w:r>
            <w:r>
              <w:rPr>
                <w:rFonts w:ascii="宋体" w:hAnsi="宋体" w:cs="宋体" w:eastAsia="宋体"/>
                <w:sz w:val="24"/>
              </w:rPr>
              <w:t>HDMI信号接入时，能自动识别并切换到对应的HDMI信号源通道，且断开后能回到上一通道。</w:t>
            </w:r>
          </w:p>
          <w:p>
            <w:pPr>
              <w:pStyle w:val="null3"/>
              <w:jc w:val="left"/>
            </w:pPr>
            <w:r>
              <w:rPr>
                <w:rFonts w:ascii="宋体" w:hAnsi="宋体" w:cs="宋体" w:eastAsia="宋体"/>
                <w:sz w:val="24"/>
              </w:rPr>
              <w:t>24.</w:t>
            </w:r>
            <w:r>
              <w:rPr>
                <w:rFonts w:ascii="宋体" w:hAnsi="宋体" w:cs="宋体" w:eastAsia="宋体"/>
                <w:sz w:val="24"/>
              </w:rPr>
              <w:t>支持半屏模式，将显示画面上半部分下拉到屏幕下半部分显示，此时依然可以正常触控操作系统；点击非显示画面区域（屏幕上半部分），即可退出该模式。</w:t>
            </w:r>
          </w:p>
          <w:p>
            <w:pPr>
              <w:pStyle w:val="null3"/>
              <w:jc w:val="left"/>
            </w:pPr>
            <w:r>
              <w:rPr>
                <w:rFonts w:ascii="宋体" w:hAnsi="宋体" w:cs="宋体" w:eastAsia="宋体"/>
                <w:sz w:val="24"/>
              </w:rPr>
              <w:t>25.</w:t>
            </w:r>
            <w:r>
              <w:rPr>
                <w:rFonts w:ascii="宋体" w:hAnsi="宋体" w:cs="宋体" w:eastAsia="宋体"/>
                <w:sz w:val="24"/>
              </w:rPr>
              <w:t>支持将自定义图片、动画设置为开机画面。</w:t>
            </w:r>
          </w:p>
          <w:p>
            <w:pPr>
              <w:pStyle w:val="null3"/>
              <w:jc w:val="left"/>
            </w:pPr>
            <w:r>
              <w:rPr>
                <w:rFonts w:ascii="宋体" w:hAnsi="宋体" w:cs="宋体" w:eastAsia="宋体"/>
                <w:sz w:val="24"/>
              </w:rPr>
              <w:t>26.</w:t>
            </w:r>
            <w:r>
              <w:rPr>
                <w:rFonts w:ascii="宋体" w:hAnsi="宋体" w:cs="宋体" w:eastAsia="宋体"/>
                <w:sz w:val="24"/>
              </w:rPr>
              <w:t>整机两侧副屏可支持多种媒介进行板书书写，便于老师完整书写教学内容。整机主屏书写面板采用耐磨玻璃材质，长期书写情况下面板磨损导致的雾度不超过</w:t>
            </w:r>
            <w:r>
              <w:rPr>
                <w:rFonts w:ascii="宋体" w:hAnsi="宋体" w:cs="宋体" w:eastAsia="宋体"/>
                <w:sz w:val="24"/>
              </w:rPr>
              <w:t>2%</w:t>
            </w:r>
          </w:p>
          <w:p>
            <w:pPr>
              <w:pStyle w:val="null3"/>
              <w:jc w:val="left"/>
            </w:pPr>
            <w:r>
              <w:rPr>
                <w:rFonts w:ascii="宋体" w:hAnsi="宋体" w:cs="宋体" w:eastAsia="宋体"/>
                <w:sz w:val="24"/>
              </w:rPr>
              <w:t>27.</w:t>
            </w:r>
            <w:r>
              <w:rPr>
                <w:rFonts w:ascii="宋体" w:hAnsi="宋体" w:cs="宋体" w:eastAsia="宋体"/>
                <w:sz w:val="24"/>
              </w:rPr>
              <w:t>整机全通道侧边栏快捷菜单包含如下小工具：批注、降半屏、截屏、放大镜、倒计时、日历、聚光灯、秒表、冻屏、倒数日、答题、节拍器。</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28.</w:t>
            </w:r>
            <w:r>
              <w:rPr>
                <w:rFonts w:ascii="宋体" w:hAnsi="宋体" w:cs="宋体" w:eastAsia="宋体"/>
                <w:sz w:val="24"/>
              </w:rPr>
              <w:t>整机全通道侧边栏快捷菜单小工具支持自定义，支持设置对应小工具的显示</w:t>
            </w:r>
            <w:r>
              <w:rPr>
                <w:rFonts w:ascii="宋体" w:hAnsi="宋体" w:cs="宋体" w:eastAsia="宋体"/>
                <w:sz w:val="24"/>
              </w:rPr>
              <w:t>/隐藏。</w:t>
            </w:r>
          </w:p>
          <w:p>
            <w:pPr>
              <w:pStyle w:val="null3"/>
              <w:jc w:val="left"/>
            </w:pPr>
            <w:r>
              <w:rPr>
                <w:rFonts w:ascii="宋体" w:hAnsi="宋体" w:cs="宋体" w:eastAsia="宋体"/>
                <w:sz w:val="24"/>
              </w:rPr>
              <w:t>29.</w:t>
            </w:r>
            <w:r>
              <w:rPr>
                <w:rFonts w:ascii="宋体" w:hAnsi="宋体" w:cs="宋体" w:eastAsia="宋体"/>
                <w:sz w:val="24"/>
              </w:rPr>
              <w:t>整机全通道侧边栏支持使用批注小工具进行批注讲解，可切换书写笔颜色、截屏保存批注内容、清屏，可根据手与屏幕的接触面积自动调整板擦工具的大小。</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30.</w:t>
            </w:r>
            <w:r>
              <w:rPr>
                <w:rFonts w:ascii="宋体" w:hAnsi="宋体" w:cs="宋体" w:eastAsia="宋体"/>
                <w:sz w:val="24"/>
              </w:rPr>
              <w:t>整机全通道侧边栏支持将设备屏幕降低为半屏幕状态，点击上半屏幕可以返回全屏状态。整机全通道侧边栏支持自主选择所需截取的屏幕范围，点击截屏即可成功截取屏幕，并自动保存。整机全通道侧边栏支持放大选中区域内容；并可支持对未选中区域关灯处理，实现聚光灯效果。</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31.</w:t>
            </w:r>
            <w:r>
              <w:rPr>
                <w:rFonts w:ascii="宋体" w:hAnsi="宋体" w:cs="宋体" w:eastAsia="宋体"/>
                <w:sz w:val="24"/>
              </w:rPr>
              <w:t>整机设备和全部外接通道（</w:t>
            </w:r>
            <w:r>
              <w:rPr>
                <w:rFonts w:ascii="宋体" w:hAnsi="宋体" w:cs="宋体" w:eastAsia="宋体"/>
                <w:sz w:val="24"/>
              </w:rPr>
              <w:t>HDMI、Type-c）下侧边栏支持通过扫描二维码加入班级，老师设置题型，学生回答后提交，教师查看正确率比例及详细讲解；支持随机抽选、实时弹幕；支持管理当前班级成员；支持导出学生报告。全通道下可支持通过自定义按键调出该功能。</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32.</w:t>
            </w:r>
            <w:r>
              <w:rPr>
                <w:rFonts w:ascii="宋体" w:hAnsi="宋体" w:cs="宋体" w:eastAsia="宋体"/>
                <w:sz w:val="24"/>
              </w:rPr>
              <w:t>整机支持同一品牌的视频展台通过</w:t>
            </w:r>
            <w:r>
              <w:rPr>
                <w:rFonts w:ascii="宋体" w:hAnsi="宋体" w:cs="宋体" w:eastAsia="宋体"/>
                <w:sz w:val="24"/>
              </w:rPr>
              <w:t>USB 等方式连接，支持一键打开/关闭展台软件；在任意通道下均可实时查看视频展台连接状态，当设备连接/断开连接时，提供实时反馈提示；同时支持读取视频展台设备型号，对应显示设备实物图片。</w:t>
            </w:r>
          </w:p>
          <w:p>
            <w:pPr>
              <w:pStyle w:val="null3"/>
              <w:jc w:val="left"/>
            </w:pPr>
            <w:r>
              <w:rPr>
                <w:rFonts w:ascii="宋体" w:hAnsi="宋体" w:cs="宋体" w:eastAsia="宋体"/>
                <w:sz w:val="24"/>
              </w:rPr>
              <w:t>33.</w:t>
            </w:r>
            <w:r>
              <w:rPr>
                <w:rFonts w:ascii="宋体" w:hAnsi="宋体" w:cs="宋体" w:eastAsia="宋体"/>
                <w:sz w:val="24"/>
              </w:rPr>
              <w:t>整机支持同一品牌通过</w:t>
            </w:r>
            <w:r>
              <w:rPr>
                <w:rFonts w:ascii="宋体" w:hAnsi="宋体" w:cs="宋体" w:eastAsia="宋体"/>
                <w:sz w:val="24"/>
              </w:rPr>
              <w:t>BT（蓝牙）、红外等方式连接音箱、麦克风，支持实时显示/控制音箱音量、麦克风音量；在任意通道下均可实时查看音箱、麦克风连接状态，当设备连接/断开连接时，提供实时反馈提示，并在反馈提示中显示麦克风实时电量；支持读取音箱/麦克风型号，对应显示设备实物图片。</w:t>
            </w:r>
          </w:p>
          <w:p>
            <w:pPr>
              <w:pStyle w:val="null3"/>
              <w:jc w:val="left"/>
            </w:pPr>
            <w:r>
              <w:rPr>
                <w:rFonts w:ascii="宋体" w:hAnsi="宋体" w:cs="宋体" w:eastAsia="宋体"/>
                <w:sz w:val="24"/>
              </w:rPr>
              <w:t>34.</w:t>
            </w:r>
            <w:r>
              <w:rPr>
                <w:rFonts w:ascii="宋体" w:hAnsi="宋体" w:cs="宋体" w:eastAsia="宋体"/>
                <w:sz w:val="24"/>
              </w:rPr>
              <w:t>整机设备开机启动后，自动进入教学桌面，支持账号登录、退出，自动获取个人云端教学课件列表，并可进入全部课件列表。整机设备支持多种身份识别方式，可通过账号登录、手机扫码登录，并支持账号安全登录检测。整机设备支持统一互通的用户身份认证服务，账号登录后，打开教学白板软件教学应用工具时无需再次输入账号密码重复登录。</w:t>
            </w:r>
          </w:p>
          <w:p>
            <w:pPr>
              <w:pStyle w:val="null3"/>
              <w:jc w:val="left"/>
            </w:pPr>
            <w:r>
              <w:rPr>
                <w:rFonts w:ascii="宋体" w:hAnsi="宋体" w:cs="宋体" w:eastAsia="宋体"/>
                <w:sz w:val="24"/>
              </w:rPr>
              <w:t>35.</w:t>
            </w:r>
            <w:r>
              <w:rPr>
                <w:rFonts w:ascii="宋体" w:hAnsi="宋体" w:cs="宋体" w:eastAsia="宋体"/>
                <w:sz w:val="24"/>
              </w:rPr>
              <w:t>整机全通道侧边栏支持放大选中区域内容；并可支持对未选中区域关灯处理，实现聚光灯效果。整机全通道侧边栏支持打开日历，查看日期。整机全通道侧边栏支持冻屏，将屏幕画面进行缩放。</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p>
            <w:pPr>
              <w:pStyle w:val="null3"/>
              <w:jc w:val="left"/>
            </w:pPr>
            <w:r>
              <w:rPr>
                <w:rFonts w:ascii="宋体" w:hAnsi="宋体" w:cs="宋体" w:eastAsia="宋体"/>
                <w:sz w:val="24"/>
              </w:rPr>
              <w:t>36.</w:t>
            </w:r>
            <w:r>
              <w:rPr>
                <w:rFonts w:ascii="宋体" w:hAnsi="宋体" w:cs="宋体" w:eastAsia="宋体"/>
                <w:sz w:val="24"/>
              </w:rPr>
              <w:t>内置</w:t>
            </w:r>
            <w:r>
              <w:rPr>
                <w:rFonts w:ascii="宋体" w:hAnsi="宋体" w:cs="宋体" w:eastAsia="宋体"/>
                <w:sz w:val="24"/>
              </w:rPr>
              <w:t>OPS电脑:CPU 采用自主可控芯片，处理器核数≥8核，主频≥2.7GHz，正版操作系统，硬盘：256GB或以上固态硬盘。</w:t>
            </w:r>
          </w:p>
          <w:p>
            <w:pPr>
              <w:pStyle w:val="null3"/>
              <w:jc w:val="left"/>
            </w:pPr>
            <w:r>
              <w:rPr>
                <w:rFonts w:ascii="宋体" w:hAnsi="宋体" w:cs="宋体" w:eastAsia="宋体"/>
                <w:sz w:val="24"/>
              </w:rPr>
              <w:t>37.</w:t>
            </w:r>
            <w:r>
              <w:rPr>
                <w:rFonts w:ascii="宋体" w:hAnsi="宋体" w:cs="宋体" w:eastAsia="宋体"/>
                <w:sz w:val="24"/>
              </w:rPr>
              <w:t>采用按压式卡扣，无需工具即可快速拆卸电脑模块。</w:t>
            </w:r>
          </w:p>
          <w:p>
            <w:pPr>
              <w:pStyle w:val="null3"/>
              <w:jc w:val="left"/>
            </w:pPr>
            <w:r>
              <w:rPr>
                <w:rFonts w:ascii="宋体" w:hAnsi="宋体" w:cs="宋体" w:eastAsia="宋体"/>
                <w:sz w:val="24"/>
              </w:rPr>
              <w:t>38.</w:t>
            </w:r>
            <w:r>
              <w:rPr>
                <w:rFonts w:ascii="宋体" w:hAnsi="宋体" w:cs="宋体" w:eastAsia="宋体"/>
                <w:sz w:val="24"/>
              </w:rPr>
              <w:t>PC 模块可抽拉式插入整机，可实现无单独接线的拔插。</w:t>
            </w:r>
          </w:p>
          <w:p>
            <w:pPr>
              <w:pStyle w:val="null3"/>
              <w:jc w:val="left"/>
            </w:pPr>
            <w:r>
              <w:rPr>
                <w:rFonts w:ascii="宋体" w:hAnsi="宋体" w:cs="宋体" w:eastAsia="宋体"/>
                <w:sz w:val="24"/>
              </w:rPr>
              <w:t>39.</w:t>
            </w:r>
            <w:r>
              <w:rPr>
                <w:rFonts w:ascii="宋体" w:hAnsi="宋体" w:cs="宋体" w:eastAsia="宋体"/>
                <w:sz w:val="24"/>
              </w:rPr>
              <w:t>具有独立非外拓展的视频输出接口：</w:t>
            </w:r>
            <w:r>
              <w:rPr>
                <w:rFonts w:ascii="宋体" w:hAnsi="宋体" w:cs="宋体" w:eastAsia="宋体"/>
                <w:sz w:val="24"/>
              </w:rPr>
              <w:t>≥1 路 HDMI。</w:t>
            </w:r>
          </w:p>
          <w:p>
            <w:pPr>
              <w:pStyle w:val="null3"/>
              <w:jc w:val="left"/>
            </w:pPr>
            <w:r>
              <w:rPr>
                <w:rFonts w:ascii="宋体" w:hAnsi="宋体" w:cs="宋体" w:eastAsia="宋体"/>
                <w:sz w:val="24"/>
              </w:rPr>
              <w:t>40.</w:t>
            </w:r>
            <w:r>
              <w:rPr>
                <w:rFonts w:ascii="宋体" w:hAnsi="宋体" w:cs="宋体" w:eastAsia="宋体"/>
                <w:sz w:val="24"/>
              </w:rPr>
              <w:t>具有独立非外拓展的电脑</w:t>
            </w:r>
            <w:r>
              <w:rPr>
                <w:rFonts w:ascii="宋体" w:hAnsi="宋体" w:cs="宋体" w:eastAsia="宋体"/>
                <w:sz w:val="24"/>
              </w:rPr>
              <w:t>USB 接口：至少具备 3个USB3.0 接口。</w:t>
            </w:r>
          </w:p>
          <w:p>
            <w:pPr>
              <w:pStyle w:val="null3"/>
              <w:jc w:val="left"/>
            </w:pPr>
            <w:r>
              <w:rPr>
                <w:rFonts w:ascii="宋体" w:hAnsi="宋体" w:cs="宋体" w:eastAsia="宋体"/>
                <w:sz w:val="24"/>
              </w:rPr>
              <w:t>41.</w:t>
            </w:r>
            <w:r>
              <w:rPr>
                <w:rFonts w:ascii="宋体" w:hAnsi="宋体" w:cs="宋体" w:eastAsia="宋体"/>
                <w:sz w:val="24"/>
              </w:rPr>
              <w:t>具有标准</w:t>
            </w:r>
            <w:r>
              <w:rPr>
                <w:rFonts w:ascii="宋体" w:hAnsi="宋体" w:cs="宋体" w:eastAsia="宋体"/>
                <w:sz w:val="24"/>
              </w:rPr>
              <w:t>PC 防盗锁孔，确保电脑模块安全防盗和整机的连接采用万兆级接口，传输速率≥10Gbps,连接接口针脚数≤40pin。</w:t>
            </w:r>
            <w:r>
              <w:rPr>
                <w:rFonts w:ascii="宋体" w:hAnsi="宋体" w:cs="宋体" w:eastAsia="宋体"/>
                <w:sz w:val="24"/>
                <w:b/>
              </w:rPr>
              <w:t>（</w:t>
            </w:r>
            <w:r>
              <w:rPr>
                <w:rFonts w:ascii="宋体" w:hAnsi="宋体" w:cs="宋体" w:eastAsia="宋体"/>
                <w:sz w:val="21"/>
                <w:b/>
              </w:rPr>
              <w:t>须提供经国家认证或认定有资质的检验检测机构出具的检测报告复印件）</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26</w:t>
            </w:r>
            <w:r>
              <w:rPr>
                <w:rFonts w:ascii="宋体" w:hAnsi="宋体" w:cs="宋体" w:eastAsia="宋体"/>
                <w:sz w:val="24"/>
              </w:rPr>
              <w:t>48</w:t>
            </w:r>
            <w:r>
              <w:rPr>
                <w:rFonts w:ascii="宋体" w:hAnsi="宋体" w:cs="宋体" w:eastAsia="宋体"/>
                <w:sz w:val="24"/>
              </w:rPr>
              <w:t>0</w:t>
            </w:r>
          </w:p>
        </w:tc>
        <w:tc>
          <w:tcPr>
            <w:tcW w:type="dxa" w:w="9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3</w:t>
            </w:r>
            <w:r>
              <w:rPr>
                <w:rFonts w:ascii="宋体" w:hAnsi="宋体" w:cs="宋体" w:eastAsia="宋体"/>
                <w:sz w:val="24"/>
              </w:rPr>
              <w:t>1</w:t>
            </w:r>
            <w:r>
              <w:rPr>
                <w:rFonts w:ascii="宋体" w:hAnsi="宋体" w:cs="宋体" w:eastAsia="宋体"/>
                <w:sz w:val="24"/>
              </w:rPr>
              <w:t>7760</w:t>
            </w:r>
          </w:p>
        </w:tc>
      </w:tr>
      <w:tr>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firstLine="21"/>
              <w:jc w:val="center"/>
            </w:pPr>
            <w:r>
              <w:rPr>
                <w:rFonts w:ascii="宋体" w:hAnsi="宋体" w:cs="宋体" w:eastAsia="宋体"/>
                <w:sz w:val="24"/>
              </w:rPr>
              <w:t>智能笔</w:t>
            </w:r>
          </w:p>
        </w:tc>
        <w:tc>
          <w:tcPr>
            <w:tcW w:type="dxa" w:w="43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宋体" w:hAnsi="宋体" w:cs="宋体" w:eastAsia="宋体"/>
                <w:sz w:val="24"/>
              </w:rPr>
              <w:t>1.锥型笔头设计，笔头直径≦3mm，支持红外高精度书写。</w:t>
            </w:r>
          </w:p>
          <w:p>
            <w:pPr>
              <w:pStyle w:val="null3"/>
            </w:pPr>
            <w:r>
              <w:rPr>
                <w:rFonts w:ascii="宋体" w:hAnsi="宋体" w:cs="宋体" w:eastAsia="宋体"/>
                <w:sz w:val="24"/>
              </w:rPr>
              <w:t>2.笔身配置不少于三个物理按键，具备翻页和模拟激光笔功能，兼顾触摸书写以及远程操控的握持姿态。</w:t>
            </w:r>
          </w:p>
          <w:p>
            <w:pPr>
              <w:pStyle w:val="null3"/>
            </w:pPr>
            <w:r>
              <w:rPr>
                <w:rFonts w:ascii="宋体" w:hAnsi="宋体" w:cs="宋体" w:eastAsia="宋体"/>
                <w:sz w:val="24"/>
              </w:rPr>
              <w:t>3.兼容白板软件、PPT、PDF等多种演示软件课件的远程翻页控制。</w:t>
            </w:r>
          </w:p>
          <w:p>
            <w:pPr>
              <w:pStyle w:val="null3"/>
            </w:pPr>
            <w:r>
              <w:rPr>
                <w:rFonts w:ascii="宋体" w:hAnsi="宋体" w:cs="宋体" w:eastAsia="宋体"/>
                <w:sz w:val="24"/>
              </w:rPr>
              <w:t>4.内置高精度陀螺仪，具备模拟激光笔功能，可通过笔身按钮激活陀螺仪模拟激光功能，适用于加载防眩光设计的教学显示设备。</w:t>
            </w:r>
          </w:p>
          <w:p>
            <w:pPr>
              <w:pStyle w:val="null3"/>
            </w:pPr>
            <w:r>
              <w:rPr>
                <w:rFonts w:ascii="宋体" w:hAnsi="宋体" w:cs="宋体" w:eastAsia="宋体"/>
                <w:sz w:val="24"/>
              </w:rPr>
              <w:t>5.支持笔身翻转矫正，笔身轻微倾斜时，水平移动智能笔，可瞬时矫正识别光标动作为水平移动。</w:t>
            </w:r>
          </w:p>
          <w:p>
            <w:pPr>
              <w:pStyle w:val="null3"/>
            </w:pPr>
            <w:r>
              <w:rPr>
                <w:rFonts w:ascii="宋体" w:hAnsi="宋体" w:cs="宋体" w:eastAsia="宋体"/>
                <w:sz w:val="24"/>
              </w:rPr>
              <w:t>6.采用无线连接方式，无线接收距离≥10米。</w:t>
            </w:r>
          </w:p>
          <w:p>
            <w:pPr>
              <w:pStyle w:val="null3"/>
            </w:pPr>
            <w:r>
              <w:rPr>
                <w:rFonts w:ascii="宋体" w:hAnsi="宋体" w:cs="宋体" w:eastAsia="宋体"/>
                <w:sz w:val="24"/>
              </w:rPr>
              <w:t>7.无线接收器采用微型Nano设计，即插即用，方便安装实施，整洁美观。</w:t>
            </w:r>
          </w:p>
          <w:p>
            <w:pPr>
              <w:pStyle w:val="null3"/>
            </w:pPr>
            <w:r>
              <w:rPr>
                <w:rFonts w:ascii="宋体" w:hAnsi="宋体" w:cs="宋体" w:eastAsia="宋体"/>
                <w:sz w:val="24"/>
              </w:rPr>
              <w:t>8.支持智能休眠节电，智能笔15秒内无人使用时自动进入休眠节电模式，按任意按键唤醒智能遥控笔。</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280</w:t>
            </w:r>
          </w:p>
        </w:tc>
        <w:tc>
          <w:tcPr>
            <w:tcW w:type="dxa" w:w="9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3360</w:t>
            </w:r>
          </w:p>
        </w:tc>
      </w:tr>
      <w:tr>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firstLine="21"/>
              <w:jc w:val="center"/>
            </w:pPr>
            <w:r>
              <w:rPr>
                <w:rFonts w:ascii="宋体" w:hAnsi="宋体" w:cs="宋体" w:eastAsia="宋体"/>
                <w:sz w:val="24"/>
              </w:rPr>
              <w:t>高清展台</w:t>
            </w:r>
          </w:p>
        </w:tc>
        <w:tc>
          <w:tcPr>
            <w:tcW w:type="dxa" w:w="43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sz w:val="24"/>
              </w:rPr>
              <w:t>（</w:t>
            </w:r>
            <w:r>
              <w:rPr>
                <w:rFonts w:ascii="宋体" w:hAnsi="宋体" w:cs="宋体" w:eastAsia="宋体"/>
                <w:sz w:val="24"/>
              </w:rPr>
              <w:t>一）</w:t>
            </w:r>
            <w:r>
              <w:rPr>
                <w:rFonts w:ascii="宋体" w:hAnsi="宋体" w:cs="宋体" w:eastAsia="宋体"/>
                <w:sz w:val="24"/>
              </w:rPr>
              <w:t>硬件参数：</w:t>
            </w:r>
          </w:p>
          <w:p>
            <w:pPr>
              <w:pStyle w:val="null3"/>
              <w:jc w:val="both"/>
            </w:pPr>
            <w:r>
              <w:rPr>
                <w:rFonts w:ascii="宋体" w:hAnsi="宋体" w:cs="宋体" w:eastAsia="宋体"/>
                <w:sz w:val="24"/>
              </w:rPr>
              <w:t>1.</w:t>
            </w:r>
            <w:r>
              <w:rPr>
                <w:rFonts w:ascii="宋体" w:hAnsi="宋体" w:cs="宋体" w:eastAsia="宋体"/>
                <w:sz w:val="24"/>
              </w:rPr>
              <w:t>整机环保材质，圆弧倒角，托板采用磁吸</w:t>
            </w:r>
            <w:r>
              <w:rPr>
                <w:rFonts w:ascii="宋体" w:hAnsi="宋体" w:cs="宋体" w:eastAsia="宋体"/>
                <w:sz w:val="24"/>
              </w:rPr>
              <w:t>+机械锁+阻尼开合收拢，非气压杆联动，防止托板打开跌落，保护师生安全。</w:t>
            </w:r>
          </w:p>
          <w:p>
            <w:pPr>
              <w:pStyle w:val="null3"/>
              <w:jc w:val="both"/>
            </w:pPr>
            <w:r>
              <w:rPr>
                <w:rFonts w:ascii="宋体" w:hAnsi="宋体" w:cs="宋体" w:eastAsia="宋体"/>
                <w:sz w:val="24"/>
              </w:rPr>
              <w:t>2.</w:t>
            </w:r>
            <w:r>
              <w:rPr>
                <w:rFonts w:ascii="宋体" w:hAnsi="宋体" w:cs="宋体" w:eastAsia="宋体"/>
                <w:sz w:val="24"/>
              </w:rPr>
              <w:t>镜头像素</w:t>
            </w:r>
            <w:r>
              <w:rPr>
                <w:rFonts w:ascii="宋体" w:hAnsi="宋体" w:cs="宋体" w:eastAsia="宋体"/>
                <w:sz w:val="24"/>
              </w:rPr>
              <w:t>1300万，最高分辨率4160x3120，A4幅面。</w:t>
            </w:r>
          </w:p>
          <w:p>
            <w:pPr>
              <w:pStyle w:val="null3"/>
              <w:jc w:val="both"/>
            </w:pPr>
            <w:r>
              <w:rPr>
                <w:rFonts w:ascii="宋体" w:hAnsi="宋体" w:cs="宋体" w:eastAsia="宋体"/>
                <w:sz w:val="24"/>
              </w:rPr>
              <w:t>3.</w:t>
            </w:r>
            <w:r>
              <w:rPr>
                <w:rFonts w:ascii="宋体" w:hAnsi="宋体" w:cs="宋体" w:eastAsia="宋体"/>
                <w:sz w:val="24"/>
              </w:rPr>
              <w:t>视频展台带抬臂启动软件功能，打开镜头臂杆即可启动教学软件，合拢臂杆可关闭软件。</w:t>
            </w:r>
          </w:p>
          <w:p>
            <w:pPr>
              <w:pStyle w:val="null3"/>
              <w:jc w:val="both"/>
            </w:pPr>
            <w:r>
              <w:rPr>
                <w:rFonts w:ascii="宋体" w:hAnsi="宋体" w:cs="宋体" w:eastAsia="宋体"/>
                <w:sz w:val="24"/>
              </w:rPr>
              <w:t>4.</w:t>
            </w:r>
            <w:r>
              <w:rPr>
                <w:rFonts w:ascii="宋体" w:hAnsi="宋体" w:cs="宋体" w:eastAsia="宋体"/>
                <w:sz w:val="24"/>
              </w:rPr>
              <w:t>带</w:t>
            </w:r>
            <w:r>
              <w:rPr>
                <w:rFonts w:ascii="宋体" w:hAnsi="宋体" w:cs="宋体" w:eastAsia="宋体"/>
                <w:sz w:val="24"/>
              </w:rPr>
              <w:t>2个USB数据连接口，可挂墙或者放在桌面上使用。</w:t>
            </w:r>
          </w:p>
          <w:p>
            <w:pPr>
              <w:pStyle w:val="null3"/>
              <w:jc w:val="both"/>
            </w:pPr>
            <w:r>
              <w:rPr>
                <w:rFonts w:ascii="宋体" w:hAnsi="宋体" w:cs="宋体" w:eastAsia="宋体"/>
                <w:sz w:val="24"/>
              </w:rPr>
              <w:t>5.</w:t>
            </w:r>
            <w:r>
              <w:rPr>
                <w:rFonts w:ascii="宋体" w:hAnsi="宋体" w:cs="宋体" w:eastAsia="宋体"/>
                <w:sz w:val="24"/>
              </w:rPr>
              <w:t>采用自动对焦镜头，可通过触摸的方式对焦，也可在教学软件上对焦，减少因课件翻页和光线变化时出现频繁对焦的情况，提高教学演示效率。</w:t>
            </w:r>
          </w:p>
          <w:p>
            <w:pPr>
              <w:pStyle w:val="null3"/>
              <w:jc w:val="both"/>
            </w:pPr>
            <w:r>
              <w:rPr>
                <w:rFonts w:ascii="宋体" w:hAnsi="宋体" w:cs="宋体" w:eastAsia="宋体"/>
                <w:sz w:val="24"/>
              </w:rPr>
              <w:t>6.</w:t>
            </w:r>
            <w:r>
              <w:rPr>
                <w:rFonts w:ascii="宋体" w:hAnsi="宋体" w:cs="宋体" w:eastAsia="宋体"/>
                <w:sz w:val="24"/>
              </w:rPr>
              <w:t>箱内的拍摄杆要求模块化可拆卸，不用拆卸挂箱即可更换臂杆，方便布线和维护。</w:t>
            </w:r>
          </w:p>
          <w:p>
            <w:pPr>
              <w:pStyle w:val="null3"/>
              <w:jc w:val="both"/>
            </w:pPr>
            <w:r>
              <w:rPr>
                <w:rFonts w:ascii="宋体" w:hAnsi="宋体" w:cs="宋体" w:eastAsia="宋体"/>
                <w:sz w:val="24"/>
              </w:rPr>
              <w:t>7.</w:t>
            </w:r>
            <w:r>
              <w:rPr>
                <w:rFonts w:ascii="宋体" w:hAnsi="宋体" w:cs="宋体" w:eastAsia="宋体"/>
                <w:sz w:val="24"/>
              </w:rPr>
              <w:t>展示托板正上方具备</w:t>
            </w:r>
            <w:r>
              <w:rPr>
                <w:rFonts w:ascii="宋体" w:hAnsi="宋体" w:cs="宋体" w:eastAsia="宋体"/>
                <w:sz w:val="24"/>
              </w:rPr>
              <w:t>LED补光灯，补光灯开关采用触摸按键设计。</w:t>
            </w:r>
          </w:p>
          <w:p>
            <w:pPr>
              <w:pStyle w:val="null3"/>
              <w:jc w:val="both"/>
            </w:pPr>
            <w:r>
              <w:rPr>
                <w:rFonts w:ascii="宋体" w:hAnsi="宋体" w:cs="宋体" w:eastAsia="宋体"/>
                <w:sz w:val="24"/>
              </w:rPr>
              <w:t>8.</w:t>
            </w:r>
            <w:r>
              <w:rPr>
                <w:rFonts w:ascii="宋体" w:hAnsi="宋体" w:cs="宋体" w:eastAsia="宋体"/>
                <w:sz w:val="24"/>
              </w:rPr>
              <w:t>单根</w:t>
            </w:r>
            <w:r>
              <w:rPr>
                <w:rFonts w:ascii="宋体" w:hAnsi="宋体" w:cs="宋体" w:eastAsia="宋体"/>
                <w:sz w:val="24"/>
              </w:rPr>
              <w:t>USB线传输和供电，支持远距离数据传输。</w:t>
            </w:r>
          </w:p>
          <w:p>
            <w:pPr>
              <w:pStyle w:val="null3"/>
              <w:jc w:val="left"/>
            </w:pPr>
            <w:r>
              <w:rPr>
                <w:rFonts w:ascii="宋体" w:hAnsi="宋体" w:cs="宋体" w:eastAsia="宋体"/>
                <w:sz w:val="24"/>
              </w:rPr>
              <w:t>（</w:t>
            </w:r>
            <w:r>
              <w:rPr>
                <w:rFonts w:ascii="宋体" w:hAnsi="宋体" w:cs="宋体" w:eastAsia="宋体"/>
                <w:sz w:val="24"/>
              </w:rPr>
              <w:t>二）</w:t>
            </w:r>
            <w:r>
              <w:rPr>
                <w:rFonts w:ascii="宋体" w:hAnsi="宋体" w:cs="宋体" w:eastAsia="宋体"/>
                <w:sz w:val="24"/>
              </w:rPr>
              <w:t>软件参数：</w:t>
            </w:r>
          </w:p>
          <w:p>
            <w:pPr>
              <w:pStyle w:val="null3"/>
              <w:jc w:val="both"/>
            </w:pPr>
            <w:r>
              <w:rPr>
                <w:rFonts w:ascii="宋体" w:hAnsi="宋体" w:cs="宋体" w:eastAsia="宋体"/>
                <w:sz w:val="24"/>
              </w:rPr>
              <w:t>1.</w:t>
            </w:r>
            <w:r>
              <w:rPr>
                <w:rFonts w:ascii="宋体" w:hAnsi="宋体" w:cs="宋体" w:eastAsia="宋体"/>
                <w:sz w:val="24"/>
              </w:rPr>
              <w:t>界面与各功能图标内嵌中文，清晰易用，老师不用查阅帮助就能使用，减少误操作。</w:t>
            </w:r>
          </w:p>
          <w:p>
            <w:pPr>
              <w:pStyle w:val="null3"/>
              <w:jc w:val="both"/>
            </w:pPr>
            <w:r>
              <w:rPr>
                <w:rFonts w:ascii="宋体" w:hAnsi="宋体" w:cs="宋体" w:eastAsia="宋体"/>
                <w:sz w:val="24"/>
              </w:rPr>
              <w:t>2.</w:t>
            </w:r>
            <w:r>
              <w:rPr>
                <w:rFonts w:ascii="宋体" w:hAnsi="宋体" w:cs="宋体" w:eastAsia="宋体"/>
                <w:sz w:val="24"/>
              </w:rPr>
              <w:t>软件基础功能：可预设画笔批注的粗细及颜色，支持对展台画面进行移动、缩放。</w:t>
            </w:r>
          </w:p>
          <w:p>
            <w:pPr>
              <w:pStyle w:val="null3"/>
              <w:jc w:val="both"/>
            </w:pPr>
            <w:r>
              <w:rPr>
                <w:rFonts w:ascii="宋体" w:hAnsi="宋体" w:cs="宋体" w:eastAsia="宋体"/>
                <w:sz w:val="24"/>
              </w:rPr>
              <w:t>3.</w:t>
            </w:r>
            <w:r>
              <w:rPr>
                <w:rFonts w:ascii="宋体" w:hAnsi="宋体" w:cs="宋体" w:eastAsia="宋体"/>
                <w:sz w:val="24"/>
              </w:rPr>
              <w:t>故障检测：软件支持故障自检功能，帮助用户检测</w:t>
            </w:r>
            <w:r>
              <w:rPr>
                <w:rFonts w:ascii="宋体" w:hAnsi="宋体" w:cs="宋体" w:eastAsia="宋体"/>
                <w:sz w:val="24"/>
              </w:rPr>
              <w:t>“无画面”的原因，可判断硬件连接、解码器、显卡驱动、摄像头通道占用等问题，并给出引导性的修复和解决方案，同时也有显示微信和技术电话提供协助。</w:t>
            </w:r>
          </w:p>
          <w:p>
            <w:pPr>
              <w:pStyle w:val="null3"/>
              <w:jc w:val="both"/>
            </w:pPr>
            <w:r>
              <w:rPr>
                <w:rFonts w:ascii="宋体" w:hAnsi="宋体" w:cs="宋体" w:eastAsia="宋体"/>
                <w:sz w:val="24"/>
              </w:rPr>
              <w:t>4.</w:t>
            </w:r>
            <w:r>
              <w:rPr>
                <w:rFonts w:ascii="宋体" w:hAnsi="宋体" w:cs="宋体" w:eastAsia="宋体"/>
                <w:sz w:val="24"/>
              </w:rPr>
              <w:t>软件自带虚拟黑板功能，截取实物展示的某一重点内容在虚拟黑板模式下进行单独批注讲解，板书支持保存和二次打开、编辑，使授课变得简单轻松。</w:t>
            </w:r>
          </w:p>
          <w:p>
            <w:pPr>
              <w:pStyle w:val="null3"/>
              <w:jc w:val="both"/>
            </w:pPr>
            <w:r>
              <w:rPr>
                <w:rFonts w:ascii="宋体" w:hAnsi="宋体" w:cs="宋体" w:eastAsia="宋体"/>
                <w:sz w:val="24"/>
              </w:rPr>
              <w:t>5.</w:t>
            </w:r>
            <w:r>
              <w:rPr>
                <w:rFonts w:ascii="宋体" w:hAnsi="宋体" w:cs="宋体" w:eastAsia="宋体"/>
                <w:sz w:val="24"/>
              </w:rPr>
              <w:t>图像特技：延时拍照、聚光灯、负片、镜像、黑白、自动曝光、视频冻结、同屏对比、旋转、屏幕录制、二维码扫码。</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9</w:t>
            </w:r>
            <w:r>
              <w:rPr>
                <w:rFonts w:ascii="宋体" w:hAnsi="宋体" w:cs="宋体" w:eastAsia="宋体"/>
                <w:sz w:val="24"/>
              </w:rPr>
              <w:t>5</w:t>
            </w:r>
            <w:r>
              <w:rPr>
                <w:rFonts w:ascii="宋体" w:hAnsi="宋体" w:cs="宋体" w:eastAsia="宋体"/>
                <w:sz w:val="24"/>
              </w:rPr>
              <w:t>0</w:t>
            </w:r>
          </w:p>
        </w:tc>
        <w:tc>
          <w:tcPr>
            <w:tcW w:type="dxa" w:w="9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11400</w:t>
            </w:r>
          </w:p>
        </w:tc>
      </w:tr>
      <w:tr>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firstLine="21"/>
              <w:jc w:val="center"/>
            </w:pPr>
            <w:r>
              <w:rPr>
                <w:rFonts w:ascii="宋体" w:hAnsi="宋体" w:cs="宋体" w:eastAsia="宋体"/>
                <w:sz w:val="24"/>
              </w:rPr>
              <w:t>显示器（外扩）</w:t>
            </w:r>
          </w:p>
        </w:tc>
        <w:tc>
          <w:tcPr>
            <w:tcW w:type="dxa" w:w="43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5"/>
              <w:jc w:val="both"/>
            </w:pPr>
            <w:r>
              <w:rPr>
                <w:rFonts w:ascii="宋体" w:hAnsi="宋体" w:cs="宋体" w:eastAsia="宋体"/>
                <w:sz w:val="24"/>
              </w:rPr>
              <w:t>1.</w:t>
            </w:r>
            <w:r>
              <w:rPr>
                <w:rFonts w:ascii="宋体" w:hAnsi="宋体" w:cs="宋体" w:eastAsia="宋体"/>
                <w:sz w:val="24"/>
              </w:rPr>
              <w:t>尺寸</w:t>
            </w:r>
            <w:r>
              <w:rPr>
                <w:rFonts w:ascii="宋体" w:hAnsi="宋体" w:cs="宋体" w:eastAsia="宋体"/>
                <w:sz w:val="24"/>
              </w:rPr>
              <w:t>≥21.5寸</w:t>
            </w:r>
            <w:r>
              <w:rPr>
                <w:rFonts w:ascii="宋体" w:hAnsi="宋体" w:cs="宋体" w:eastAsia="宋体"/>
                <w:sz w:val="24"/>
              </w:rPr>
              <w:t>。</w:t>
            </w:r>
          </w:p>
          <w:p>
            <w:pPr>
              <w:pStyle w:val="null3"/>
              <w:ind w:left="15"/>
              <w:jc w:val="both"/>
            </w:pPr>
            <w:r>
              <w:rPr>
                <w:rFonts w:ascii="宋体" w:hAnsi="宋体" w:cs="宋体" w:eastAsia="宋体"/>
                <w:sz w:val="24"/>
              </w:rPr>
              <w:t>2.</w:t>
            </w:r>
            <w:r>
              <w:rPr>
                <w:rFonts w:ascii="宋体" w:hAnsi="宋体" w:cs="宋体" w:eastAsia="宋体"/>
                <w:sz w:val="24"/>
              </w:rPr>
              <w:t>亮度：</w:t>
            </w:r>
            <w:r>
              <w:rPr>
                <w:rFonts w:ascii="宋体" w:hAnsi="宋体" w:cs="宋体" w:eastAsia="宋体"/>
                <w:sz w:val="24"/>
              </w:rPr>
              <w:t xml:space="preserve">250cd/㎡ </w:t>
            </w:r>
            <w:r>
              <w:rPr>
                <w:rFonts w:ascii="宋体" w:hAnsi="宋体" w:cs="宋体" w:eastAsia="宋体"/>
                <w:sz w:val="24"/>
              </w:rPr>
              <w:t>。</w:t>
            </w:r>
          </w:p>
          <w:p>
            <w:pPr>
              <w:pStyle w:val="null3"/>
              <w:ind w:left="15"/>
              <w:jc w:val="both"/>
            </w:pPr>
            <w:r>
              <w:rPr>
                <w:rFonts w:ascii="宋体" w:hAnsi="宋体" w:cs="宋体" w:eastAsia="宋体"/>
                <w:sz w:val="24"/>
              </w:rPr>
              <w:t>3.</w:t>
            </w:r>
            <w:r>
              <w:rPr>
                <w:rFonts w:ascii="宋体" w:hAnsi="宋体" w:cs="宋体" w:eastAsia="宋体"/>
                <w:sz w:val="24"/>
              </w:rPr>
              <w:t>可视角度：</w:t>
            </w:r>
            <w:r>
              <w:rPr>
                <w:rFonts w:ascii="宋体" w:hAnsi="宋体" w:cs="宋体" w:eastAsia="宋体"/>
                <w:sz w:val="24"/>
              </w:rPr>
              <w:t>178/178°</w:t>
            </w:r>
            <w:r>
              <w:rPr>
                <w:rFonts w:ascii="宋体" w:hAnsi="宋体" w:cs="宋体" w:eastAsia="宋体"/>
                <w:sz w:val="24"/>
              </w:rPr>
              <w:t>。</w:t>
            </w:r>
            <w:r>
              <w:rPr>
                <w:rFonts w:ascii="calibri" w:hAnsi="calibri" w:cs="calibri" w:eastAsia="calibri"/>
                <w:sz w:val="21"/>
              </w:rPr>
              <w:t xml:space="preserve"> </w:t>
            </w:r>
          </w:p>
          <w:p>
            <w:pPr>
              <w:pStyle w:val="null3"/>
              <w:ind w:left="15"/>
              <w:jc w:val="both"/>
            </w:pPr>
            <w:r>
              <w:rPr>
                <w:rFonts w:ascii="宋体" w:hAnsi="宋体" w:cs="宋体" w:eastAsia="宋体"/>
                <w:sz w:val="24"/>
              </w:rPr>
              <w:t>4.</w:t>
            </w:r>
            <w:r>
              <w:rPr>
                <w:rFonts w:ascii="宋体" w:hAnsi="宋体" w:cs="宋体" w:eastAsia="宋体"/>
                <w:sz w:val="24"/>
              </w:rPr>
              <w:t>外置视频接口：高清</w:t>
            </w:r>
            <w:r>
              <w:rPr>
                <w:rFonts w:ascii="宋体" w:hAnsi="宋体" w:cs="宋体" w:eastAsia="宋体"/>
                <w:sz w:val="24"/>
              </w:rPr>
              <w:t>。</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台</w:t>
            </w:r>
          </w:p>
        </w:tc>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8</w:t>
            </w:r>
            <w:r>
              <w:rPr>
                <w:rFonts w:ascii="宋体" w:hAnsi="宋体" w:cs="宋体" w:eastAsia="宋体"/>
                <w:sz w:val="24"/>
              </w:rPr>
              <w:t>0</w:t>
            </w:r>
            <w:r>
              <w:rPr>
                <w:rFonts w:ascii="宋体" w:hAnsi="宋体" w:cs="宋体" w:eastAsia="宋体"/>
                <w:sz w:val="24"/>
              </w:rPr>
              <w:t>0</w:t>
            </w:r>
          </w:p>
        </w:tc>
        <w:tc>
          <w:tcPr>
            <w:tcW w:type="dxa" w:w="9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9600</w:t>
            </w:r>
          </w:p>
        </w:tc>
      </w:tr>
      <w:tr>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firstLine="21"/>
              <w:jc w:val="center"/>
            </w:pPr>
            <w:r>
              <w:rPr>
                <w:rFonts w:ascii="宋体" w:hAnsi="宋体" w:cs="宋体" w:eastAsia="宋体"/>
                <w:sz w:val="24"/>
              </w:rPr>
              <w:t>无线键鼠</w:t>
            </w:r>
          </w:p>
        </w:tc>
        <w:tc>
          <w:tcPr>
            <w:tcW w:type="dxa" w:w="43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60"/>
              <w:ind w:left="15"/>
              <w:jc w:val="both"/>
            </w:pPr>
            <w:r>
              <w:rPr>
                <w:rFonts w:ascii="宋体" w:hAnsi="宋体" w:cs="宋体" w:eastAsia="宋体"/>
                <w:sz w:val="24"/>
                <w:shd w:fill="FFFFFF" w:val="clear"/>
              </w:rPr>
              <w:t>1.</w:t>
            </w:r>
            <w:r>
              <w:rPr>
                <w:rFonts w:ascii="宋体" w:hAnsi="宋体" w:cs="宋体" w:eastAsia="宋体"/>
                <w:sz w:val="24"/>
                <w:shd w:fill="FFFFFF" w:val="clear"/>
              </w:rPr>
              <w:t>适用类型：笔记本便携</w:t>
            </w:r>
            <w:r>
              <w:rPr>
                <w:rFonts w:ascii="宋体" w:hAnsi="宋体" w:cs="宋体" w:eastAsia="宋体"/>
                <w:sz w:val="24"/>
                <w:shd w:fill="FFFFFF" w:val="clear"/>
              </w:rPr>
              <w:t>,办公</w:t>
            </w:r>
            <w:r>
              <w:rPr>
                <w:rFonts w:ascii="宋体" w:hAnsi="宋体" w:cs="宋体" w:eastAsia="宋体"/>
                <w:sz w:val="24"/>
                <w:shd w:fill="FFFFFF" w:val="clear"/>
              </w:rPr>
              <w:t>。</w:t>
            </w:r>
          </w:p>
          <w:p>
            <w:pPr>
              <w:pStyle w:val="null3"/>
              <w:spacing w:after="60"/>
              <w:ind w:left="15"/>
              <w:jc w:val="both"/>
            </w:pPr>
            <w:r>
              <w:rPr>
                <w:rFonts w:ascii="宋体" w:hAnsi="宋体" w:cs="宋体" w:eastAsia="宋体"/>
                <w:sz w:val="24"/>
                <w:shd w:fill="FFFFFF" w:val="clear"/>
              </w:rPr>
              <w:t>2.</w:t>
            </w:r>
            <w:r>
              <w:rPr>
                <w:rFonts w:ascii="宋体" w:hAnsi="宋体" w:cs="宋体" w:eastAsia="宋体"/>
                <w:sz w:val="24"/>
                <w:shd w:fill="FFFFFF" w:val="clear"/>
              </w:rPr>
              <w:t>供电模式：电池</w:t>
            </w:r>
            <w:r>
              <w:rPr>
                <w:rFonts w:ascii="宋体" w:hAnsi="宋体" w:cs="宋体" w:eastAsia="宋体"/>
                <w:sz w:val="24"/>
                <w:shd w:fill="FFFFFF" w:val="clear"/>
              </w:rPr>
              <w:t>。</w:t>
            </w:r>
          </w:p>
          <w:p>
            <w:pPr>
              <w:pStyle w:val="null3"/>
              <w:spacing w:after="60"/>
              <w:ind w:left="15"/>
              <w:jc w:val="both"/>
            </w:pPr>
            <w:r>
              <w:rPr>
                <w:rFonts w:ascii="宋体" w:hAnsi="宋体" w:cs="宋体" w:eastAsia="宋体"/>
                <w:sz w:val="24"/>
                <w:shd w:fill="FFFFFF" w:val="clear"/>
              </w:rPr>
              <w:t>3.</w:t>
            </w:r>
            <w:r>
              <w:rPr>
                <w:rFonts w:ascii="宋体" w:hAnsi="宋体" w:cs="宋体" w:eastAsia="宋体"/>
                <w:sz w:val="24"/>
                <w:shd w:fill="FFFFFF" w:val="clear"/>
              </w:rPr>
              <w:t>鼠标接口：</w:t>
            </w:r>
            <w:r>
              <w:rPr>
                <w:rFonts w:ascii="宋体" w:hAnsi="宋体" w:cs="宋体" w:eastAsia="宋体"/>
                <w:sz w:val="24"/>
                <w:shd w:fill="FFFFFF" w:val="clear"/>
              </w:rPr>
              <w:t>USB</w:t>
            </w:r>
            <w:r>
              <w:rPr>
                <w:rFonts w:ascii="宋体" w:hAnsi="宋体" w:cs="宋体" w:eastAsia="宋体"/>
                <w:sz w:val="24"/>
                <w:shd w:fill="FFFFFF" w:val="clear"/>
              </w:rPr>
              <w:t>。</w:t>
            </w:r>
          </w:p>
          <w:p>
            <w:pPr>
              <w:pStyle w:val="null3"/>
              <w:spacing w:after="60"/>
              <w:ind w:left="15"/>
              <w:jc w:val="both"/>
            </w:pPr>
            <w:r>
              <w:rPr>
                <w:rFonts w:ascii="宋体" w:hAnsi="宋体" w:cs="宋体" w:eastAsia="宋体"/>
                <w:sz w:val="24"/>
                <w:shd w:fill="FFFFFF" w:val="clear"/>
              </w:rPr>
              <w:t>4.</w:t>
            </w:r>
            <w:r>
              <w:rPr>
                <w:rFonts w:ascii="宋体" w:hAnsi="宋体" w:cs="宋体" w:eastAsia="宋体"/>
                <w:sz w:val="24"/>
                <w:shd w:fill="FFFFFF" w:val="clear"/>
              </w:rPr>
              <w:t>工作方式：光电</w:t>
            </w:r>
            <w:r>
              <w:rPr>
                <w:rFonts w:ascii="宋体" w:hAnsi="宋体" w:cs="宋体" w:eastAsia="宋体"/>
                <w:sz w:val="24"/>
                <w:shd w:fill="FFFFFF" w:val="clear"/>
              </w:rPr>
              <w:t>。</w:t>
            </w:r>
          </w:p>
          <w:p>
            <w:pPr>
              <w:pStyle w:val="null3"/>
              <w:spacing w:after="60"/>
              <w:ind w:left="15"/>
              <w:jc w:val="both"/>
            </w:pPr>
            <w:r>
              <w:rPr>
                <w:rFonts w:ascii="宋体" w:hAnsi="宋体" w:cs="宋体" w:eastAsia="宋体"/>
                <w:sz w:val="24"/>
                <w:shd w:fill="FFFFFF" w:val="clear"/>
              </w:rPr>
              <w:t>5.</w:t>
            </w:r>
            <w:r>
              <w:rPr>
                <w:rFonts w:ascii="宋体" w:hAnsi="宋体" w:cs="宋体" w:eastAsia="宋体"/>
                <w:sz w:val="24"/>
                <w:shd w:fill="FFFFFF" w:val="clear"/>
              </w:rPr>
              <w:t>人体工学：是</w:t>
            </w:r>
            <w:r>
              <w:rPr>
                <w:rFonts w:ascii="宋体" w:hAnsi="宋体" w:cs="宋体" w:eastAsia="宋体"/>
                <w:sz w:val="24"/>
                <w:shd w:fill="FFFFFF" w:val="clear"/>
              </w:rPr>
              <w:t>。</w:t>
            </w:r>
          </w:p>
          <w:p>
            <w:pPr>
              <w:pStyle w:val="null3"/>
              <w:ind w:left="15"/>
              <w:jc w:val="both"/>
            </w:pPr>
            <w:r>
              <w:rPr>
                <w:rFonts w:ascii="宋体" w:hAnsi="宋体" w:cs="宋体" w:eastAsia="宋体"/>
                <w:sz w:val="24"/>
              </w:rPr>
              <w:t>6.</w:t>
            </w:r>
            <w:r>
              <w:rPr>
                <w:rFonts w:ascii="宋体" w:hAnsi="宋体" w:cs="宋体" w:eastAsia="宋体"/>
                <w:sz w:val="24"/>
              </w:rPr>
              <w:t>无线键盘、鼠标</w:t>
            </w:r>
            <w:r>
              <w:rPr>
                <w:rFonts w:ascii="宋体" w:hAnsi="宋体" w:cs="宋体" w:eastAsia="宋体"/>
                <w:sz w:val="24"/>
              </w:rPr>
              <w:t>。</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w:t>
            </w:r>
            <w:r>
              <w:rPr>
                <w:rFonts w:ascii="宋体" w:hAnsi="宋体" w:cs="宋体" w:eastAsia="宋体"/>
                <w:sz w:val="24"/>
              </w:rPr>
              <w:t>15</w:t>
            </w:r>
          </w:p>
        </w:tc>
        <w:tc>
          <w:tcPr>
            <w:tcW w:type="dxa" w:w="9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1380</w:t>
            </w:r>
          </w:p>
        </w:tc>
      </w:tr>
      <w:tr>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firstLine="21"/>
              <w:jc w:val="center"/>
            </w:pPr>
            <w:r>
              <w:rPr>
                <w:rFonts w:ascii="宋体" w:hAnsi="宋体" w:cs="宋体" w:eastAsia="宋体"/>
                <w:sz w:val="24"/>
              </w:rPr>
              <w:t>集控系统</w:t>
            </w:r>
          </w:p>
        </w:tc>
        <w:tc>
          <w:tcPr>
            <w:tcW w:type="dxa" w:w="43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5"/>
            </w:pPr>
            <w:r>
              <w:rPr>
                <w:rFonts w:ascii="宋体" w:hAnsi="宋体" w:cs="宋体" w:eastAsia="宋体"/>
                <w:sz w:val="24"/>
              </w:rPr>
              <w:t>1</w:t>
            </w:r>
            <w:r>
              <w:rPr>
                <w:rFonts w:ascii="宋体" w:hAnsi="宋体" w:cs="宋体" w:eastAsia="宋体"/>
                <w:sz w:val="24"/>
              </w:rPr>
              <w:t>.</w:t>
            </w:r>
            <w:r>
              <w:rPr>
                <w:rFonts w:ascii="宋体" w:hAnsi="宋体" w:cs="宋体" w:eastAsia="宋体"/>
                <w:sz w:val="24"/>
              </w:rPr>
              <w:t>系统采用</w:t>
            </w:r>
            <w:r>
              <w:rPr>
                <w:rFonts w:ascii="宋体" w:hAnsi="宋体" w:cs="宋体" w:eastAsia="宋体"/>
                <w:sz w:val="24"/>
              </w:rPr>
              <w:t>B/S混合云架构设计，支持在Linux、IOS等多种操作系统通过网页浏览器登录使用。</w:t>
            </w:r>
          </w:p>
          <w:p>
            <w:pPr>
              <w:pStyle w:val="null3"/>
              <w:ind w:left="15"/>
            </w:pPr>
            <w:r>
              <w:rPr>
                <w:rFonts w:ascii="宋体" w:hAnsi="宋体" w:cs="宋体" w:eastAsia="宋体"/>
                <w:sz w:val="24"/>
              </w:rPr>
              <w:t>2</w:t>
            </w:r>
            <w:r>
              <w:rPr>
                <w:rFonts w:ascii="宋体" w:hAnsi="宋体" w:cs="宋体" w:eastAsia="宋体"/>
                <w:sz w:val="24"/>
              </w:rPr>
              <w:t>.</w:t>
            </w:r>
            <w:r>
              <w:rPr>
                <w:rFonts w:ascii="宋体" w:hAnsi="宋体" w:cs="宋体" w:eastAsia="宋体"/>
                <w:sz w:val="24"/>
              </w:rPr>
              <w:t>系统支持对全校智慧教室的交互智能平板、交互智能录播、交互电子白板一体机设备进行集中运维管理和策略部署。</w:t>
            </w:r>
          </w:p>
          <w:p>
            <w:pPr>
              <w:pStyle w:val="null3"/>
              <w:ind w:left="15"/>
            </w:pPr>
            <w:r>
              <w:rPr>
                <w:rFonts w:ascii="宋体" w:hAnsi="宋体" w:cs="宋体" w:eastAsia="宋体"/>
                <w:sz w:val="24"/>
              </w:rPr>
              <w:t>3</w:t>
            </w:r>
            <w:r>
              <w:rPr>
                <w:rFonts w:ascii="宋体" w:hAnsi="宋体" w:cs="宋体" w:eastAsia="宋体"/>
                <w:sz w:val="24"/>
              </w:rPr>
              <w:t>.</w:t>
            </w:r>
            <w:r>
              <w:rPr>
                <w:rFonts w:ascii="宋体" w:hAnsi="宋体" w:cs="宋体" w:eastAsia="宋体"/>
                <w:sz w:val="24"/>
              </w:rPr>
              <w:t>系统提供多种身份识别方式，支持通过账号登录、手机扫码登录，并提供账号安全登录检测。</w:t>
            </w:r>
          </w:p>
          <w:p>
            <w:pPr>
              <w:pStyle w:val="null3"/>
              <w:ind w:left="15"/>
            </w:pPr>
            <w:r>
              <w:rPr>
                <w:rFonts w:ascii="宋体" w:hAnsi="宋体" w:cs="宋体" w:eastAsia="宋体"/>
                <w:sz w:val="24"/>
              </w:rPr>
              <w:t>4</w:t>
            </w:r>
            <w:r>
              <w:rPr>
                <w:rFonts w:ascii="宋体" w:hAnsi="宋体" w:cs="宋体" w:eastAsia="宋体"/>
                <w:sz w:val="24"/>
              </w:rPr>
              <w:t>.</w:t>
            </w:r>
            <w:r>
              <w:rPr>
                <w:rFonts w:ascii="宋体" w:hAnsi="宋体" w:cs="宋体" w:eastAsia="宋体"/>
                <w:sz w:val="24"/>
              </w:rPr>
              <w:t>精准管理：支持根据实际使用场景按照产品类型、建筑物、班级、设备开关机状态分级管理，并可模糊搜索定位管理设备。</w:t>
            </w:r>
          </w:p>
          <w:p>
            <w:pPr>
              <w:pStyle w:val="null3"/>
              <w:ind w:left="15"/>
            </w:pPr>
            <w:r>
              <w:rPr>
                <w:rFonts w:ascii="宋体" w:hAnsi="宋体" w:cs="宋体" w:eastAsia="宋体"/>
                <w:sz w:val="24"/>
              </w:rPr>
              <w:t>5</w:t>
            </w:r>
            <w:r>
              <w:rPr>
                <w:rFonts w:ascii="宋体" w:hAnsi="宋体" w:cs="宋体" w:eastAsia="宋体"/>
                <w:sz w:val="24"/>
              </w:rPr>
              <w:t>.</w:t>
            </w:r>
            <w:r>
              <w:rPr>
                <w:rFonts w:ascii="宋体" w:hAnsi="宋体" w:cs="宋体" w:eastAsia="宋体"/>
                <w:sz w:val="24"/>
              </w:rPr>
              <w:t>权限管理：支持根据具体设备、功能菜单进行权限划分，方便根据管理者职能分配管理权限。</w:t>
            </w:r>
          </w:p>
          <w:p>
            <w:pPr>
              <w:pStyle w:val="null3"/>
              <w:ind w:left="15"/>
            </w:pPr>
            <w:r>
              <w:rPr>
                <w:rFonts w:ascii="宋体" w:hAnsi="宋体" w:cs="宋体" w:eastAsia="宋体"/>
                <w:sz w:val="24"/>
              </w:rPr>
              <w:t>6</w:t>
            </w:r>
            <w:r>
              <w:rPr>
                <w:rFonts w:ascii="宋体" w:hAnsi="宋体" w:cs="宋体" w:eastAsia="宋体"/>
                <w:sz w:val="24"/>
              </w:rPr>
              <w:t>.</w:t>
            </w:r>
            <w:r>
              <w:rPr>
                <w:rFonts w:ascii="宋体" w:hAnsi="宋体" w:cs="宋体" w:eastAsia="宋体"/>
                <w:sz w:val="24"/>
              </w:rPr>
              <w:t>实时反馈：支持实时查看指令执行状态，并且可监管指令发送日志，对发送失败的指令进行远程重发。</w:t>
            </w:r>
          </w:p>
          <w:p>
            <w:pPr>
              <w:pStyle w:val="null3"/>
              <w:ind w:left="15"/>
            </w:pPr>
            <w:r>
              <w:rPr>
                <w:rFonts w:ascii="宋体" w:hAnsi="宋体" w:cs="宋体" w:eastAsia="宋体"/>
                <w:sz w:val="24"/>
              </w:rPr>
              <w:t>（</w:t>
            </w:r>
            <w:r>
              <w:rPr>
                <w:rFonts w:ascii="宋体" w:hAnsi="宋体" w:cs="宋体" w:eastAsia="宋体"/>
                <w:sz w:val="24"/>
              </w:rPr>
              <w:t>一）</w:t>
            </w:r>
            <w:r>
              <w:rPr>
                <w:rFonts w:ascii="宋体" w:hAnsi="宋体" w:cs="宋体" w:eastAsia="宋体"/>
                <w:sz w:val="24"/>
              </w:rPr>
              <w:t>电脑网页端：</w:t>
            </w:r>
          </w:p>
          <w:p>
            <w:pPr>
              <w:pStyle w:val="null3"/>
              <w:ind w:left="15"/>
            </w:pPr>
            <w:r>
              <w:rPr>
                <w:rFonts w:ascii="宋体" w:hAnsi="宋体" w:cs="宋体" w:eastAsia="宋体"/>
                <w:sz w:val="24"/>
              </w:rPr>
              <w:t>1</w:t>
            </w:r>
            <w:r>
              <w:rPr>
                <w:rFonts w:ascii="宋体" w:hAnsi="宋体" w:cs="宋体" w:eastAsia="宋体"/>
                <w:sz w:val="24"/>
              </w:rPr>
              <w:t>.</w:t>
            </w:r>
            <w:r>
              <w:rPr>
                <w:rFonts w:ascii="宋体" w:hAnsi="宋体" w:cs="宋体" w:eastAsia="宋体"/>
                <w:sz w:val="24"/>
              </w:rPr>
              <w:t>支持实时展示所有设备的使用状态及设备运行画面，并可监控单台设备的开机情况、软件使用情况、硬盘使用、内存使用率、管家软件版本、设备</w:t>
            </w:r>
            <w:r>
              <w:rPr>
                <w:rFonts w:ascii="宋体" w:hAnsi="宋体" w:cs="宋体" w:eastAsia="宋体"/>
                <w:sz w:val="24"/>
              </w:rPr>
              <w:t>ID等数据，便于远程定位及维护设备。</w:t>
            </w:r>
          </w:p>
          <w:p>
            <w:pPr>
              <w:pStyle w:val="null3"/>
              <w:ind w:left="15"/>
            </w:pPr>
            <w:r>
              <w:rPr>
                <w:rFonts w:ascii="宋体" w:hAnsi="宋体" w:cs="宋体" w:eastAsia="宋体"/>
                <w:sz w:val="24"/>
              </w:rPr>
              <w:t>2</w:t>
            </w:r>
            <w:r>
              <w:rPr>
                <w:rFonts w:ascii="宋体" w:hAnsi="宋体" w:cs="宋体" w:eastAsia="宋体"/>
                <w:sz w:val="24"/>
              </w:rPr>
              <w:t>.</w:t>
            </w:r>
            <w:r>
              <w:rPr>
                <w:rFonts w:ascii="宋体" w:hAnsi="宋体" w:cs="宋体" w:eastAsia="宋体"/>
                <w:sz w:val="24"/>
              </w:rPr>
              <w:t>基础指令：支持自定义循环周期，执行远程开机、关机、重启、打铃指令；支持远程切换通道、声音模式、图像模式。</w:t>
            </w:r>
          </w:p>
          <w:p>
            <w:pPr>
              <w:pStyle w:val="null3"/>
              <w:ind w:left="15"/>
            </w:pPr>
            <w:r>
              <w:rPr>
                <w:rFonts w:ascii="宋体" w:hAnsi="宋体" w:cs="宋体" w:eastAsia="宋体"/>
                <w:sz w:val="24"/>
              </w:rPr>
              <w:t>3</w:t>
            </w:r>
            <w:r>
              <w:rPr>
                <w:rFonts w:ascii="宋体" w:hAnsi="宋体" w:cs="宋体" w:eastAsia="宋体"/>
                <w:sz w:val="24"/>
              </w:rPr>
              <w:t>.</w:t>
            </w:r>
            <w:r>
              <w:rPr>
                <w:rFonts w:ascii="宋体" w:hAnsi="宋体" w:cs="宋体" w:eastAsia="宋体"/>
                <w:sz w:val="24"/>
              </w:rPr>
              <w:t>智慧锁屏：支持自定义循环周期设置锁屏周期指令，并支持一键下课锁屏、开机即锁屏、长时未使用自动锁屏等智能锁屏管理，以及可支持无网络激活码认证解锁、密码解锁，有网络场景下扫码快速解锁。</w:t>
            </w:r>
          </w:p>
          <w:p>
            <w:pPr>
              <w:pStyle w:val="null3"/>
              <w:ind w:left="15"/>
            </w:pPr>
            <w:r>
              <w:rPr>
                <w:rFonts w:ascii="宋体" w:hAnsi="宋体" w:cs="宋体" w:eastAsia="宋体"/>
                <w:sz w:val="24"/>
              </w:rPr>
              <w:t>4</w:t>
            </w:r>
            <w:r>
              <w:rPr>
                <w:rFonts w:ascii="宋体" w:hAnsi="宋体" w:cs="宋体" w:eastAsia="宋体"/>
                <w:sz w:val="24"/>
              </w:rPr>
              <w:t>.</w:t>
            </w:r>
            <w:r>
              <w:rPr>
                <w:rFonts w:ascii="宋体" w:hAnsi="宋体" w:cs="宋体" w:eastAsia="宋体"/>
                <w:sz w:val="24"/>
              </w:rPr>
              <w:t>智慧管控：支持长时间无人使用，自动锁屏</w:t>
            </w:r>
            <w:r>
              <w:rPr>
                <w:rFonts w:ascii="宋体" w:hAnsi="宋体" w:cs="宋体" w:eastAsia="宋体"/>
                <w:sz w:val="24"/>
              </w:rPr>
              <w:t>/屏保/关机。</w:t>
            </w:r>
          </w:p>
          <w:p>
            <w:pPr>
              <w:pStyle w:val="null3"/>
              <w:ind w:left="15"/>
            </w:pPr>
            <w:r>
              <w:rPr>
                <w:rFonts w:ascii="宋体" w:hAnsi="宋体" w:cs="宋体" w:eastAsia="宋体"/>
                <w:sz w:val="24"/>
              </w:rPr>
              <w:t>5</w:t>
            </w:r>
            <w:r>
              <w:rPr>
                <w:rFonts w:ascii="宋体" w:hAnsi="宋体" w:cs="宋体" w:eastAsia="宋体"/>
                <w:sz w:val="24"/>
              </w:rPr>
              <w:t>.</w:t>
            </w:r>
            <w:r>
              <w:rPr>
                <w:rFonts w:ascii="宋体" w:hAnsi="宋体" w:cs="宋体" w:eastAsia="宋体"/>
                <w:sz w:val="24"/>
              </w:rPr>
              <w:t>信息发布：支持远程发送消息通知、文件传输、静默安装软件、倒计时。</w:t>
            </w:r>
          </w:p>
          <w:p>
            <w:pPr>
              <w:pStyle w:val="null3"/>
              <w:ind w:left="15"/>
            </w:pPr>
            <w:r>
              <w:rPr>
                <w:rFonts w:ascii="宋体" w:hAnsi="宋体" w:cs="宋体" w:eastAsia="宋体"/>
                <w:sz w:val="24"/>
              </w:rPr>
              <w:t>6</w:t>
            </w:r>
            <w:r>
              <w:rPr>
                <w:rFonts w:ascii="宋体" w:hAnsi="宋体" w:cs="宋体" w:eastAsia="宋体"/>
                <w:sz w:val="24"/>
              </w:rPr>
              <w:t>.</w:t>
            </w:r>
            <w:r>
              <w:rPr>
                <w:rFonts w:ascii="宋体" w:hAnsi="宋体" w:cs="宋体" w:eastAsia="宋体"/>
                <w:sz w:val="24"/>
              </w:rPr>
              <w:t>远程控制：支持远程实时控制设备，可监测设备当前运行界面，并远程操作设备界面，适用于远程维护和修复设备软件问题。</w:t>
            </w:r>
          </w:p>
          <w:p>
            <w:pPr>
              <w:pStyle w:val="null3"/>
              <w:ind w:left="15"/>
            </w:pPr>
            <w:r>
              <w:rPr>
                <w:rFonts w:ascii="宋体" w:hAnsi="宋体" w:cs="宋体" w:eastAsia="宋体"/>
                <w:sz w:val="24"/>
              </w:rPr>
              <w:t>7</w:t>
            </w:r>
            <w:r>
              <w:rPr>
                <w:rFonts w:ascii="宋体" w:hAnsi="宋体" w:cs="宋体" w:eastAsia="宋体"/>
                <w:sz w:val="24"/>
              </w:rPr>
              <w:t>.</w:t>
            </w:r>
            <w:r>
              <w:rPr>
                <w:rFonts w:ascii="宋体" w:hAnsi="宋体" w:cs="宋体" w:eastAsia="宋体"/>
                <w:sz w:val="24"/>
              </w:rPr>
              <w:t>音视频直播：支持不少于</w:t>
            </w:r>
            <w:r>
              <w:rPr>
                <w:rFonts w:ascii="宋体" w:hAnsi="宋体" w:cs="宋体" w:eastAsia="宋体"/>
                <w:sz w:val="24"/>
              </w:rPr>
              <w:t>5路超清/高清/标清清晰度下的并发直播，支持桌面直播、桌面+视频直播、视频直播、音频直播，满足用户的各种使用场景；并且可实时查看直播接收方场所的现场画面，以及当前直播过程中的码率及FPS数据，实时了解直播情况。</w:t>
            </w:r>
          </w:p>
          <w:p>
            <w:pPr>
              <w:pStyle w:val="null3"/>
              <w:ind w:left="15"/>
            </w:pPr>
            <w:r>
              <w:rPr>
                <w:rFonts w:ascii="宋体" w:hAnsi="宋体" w:cs="宋体" w:eastAsia="宋体"/>
                <w:sz w:val="24"/>
              </w:rPr>
              <w:t>8</w:t>
            </w:r>
            <w:r>
              <w:rPr>
                <w:rFonts w:ascii="宋体" w:hAnsi="宋体" w:cs="宋体" w:eastAsia="宋体"/>
                <w:sz w:val="24"/>
              </w:rPr>
              <w:t>.</w:t>
            </w:r>
            <w:r>
              <w:rPr>
                <w:rFonts w:ascii="宋体" w:hAnsi="宋体" w:cs="宋体" w:eastAsia="宋体"/>
                <w:sz w:val="24"/>
              </w:rPr>
              <w:t>冰点还原：支持远程查看所有设备的冰点使用状态，并可针对开机状态下的设备批量修改系统还原点。</w:t>
            </w:r>
          </w:p>
          <w:p>
            <w:pPr>
              <w:pStyle w:val="null3"/>
              <w:ind w:left="15"/>
            </w:pPr>
            <w:r>
              <w:rPr>
                <w:rFonts w:ascii="宋体" w:hAnsi="宋体" w:cs="宋体" w:eastAsia="宋体"/>
                <w:sz w:val="24"/>
              </w:rPr>
              <w:t>9</w:t>
            </w:r>
            <w:r>
              <w:rPr>
                <w:rFonts w:ascii="宋体" w:hAnsi="宋体" w:cs="宋体" w:eastAsia="宋体"/>
                <w:sz w:val="24"/>
              </w:rPr>
              <w:t>.</w:t>
            </w:r>
            <w:r>
              <w:rPr>
                <w:rFonts w:ascii="宋体" w:hAnsi="宋体" w:cs="宋体" w:eastAsia="宋体"/>
                <w:sz w:val="24"/>
              </w:rPr>
              <w:t>弹窗拦截：支持后台远程一键开启</w:t>
            </w:r>
            <w:r>
              <w:rPr>
                <w:rFonts w:ascii="宋体" w:hAnsi="宋体" w:cs="宋体" w:eastAsia="宋体"/>
                <w:sz w:val="24"/>
              </w:rPr>
              <w:t>/关闭弹窗拦截功能，并可针对不良弹窗设置黑白名单，更加精确的拦截。</w:t>
            </w:r>
          </w:p>
          <w:p>
            <w:pPr>
              <w:pStyle w:val="null3"/>
              <w:ind w:left="15"/>
            </w:pPr>
            <w:r>
              <w:rPr>
                <w:rFonts w:ascii="宋体" w:hAnsi="宋体" w:cs="宋体" w:eastAsia="宋体"/>
                <w:sz w:val="24"/>
              </w:rPr>
              <w:t>10</w:t>
            </w:r>
            <w:r>
              <w:rPr>
                <w:rFonts w:ascii="宋体" w:hAnsi="宋体" w:cs="宋体" w:eastAsia="宋体"/>
                <w:sz w:val="24"/>
              </w:rPr>
              <w:t>.</w:t>
            </w:r>
            <w:r>
              <w:rPr>
                <w:rFonts w:ascii="宋体" w:hAnsi="宋体" w:cs="宋体" w:eastAsia="宋体"/>
                <w:sz w:val="24"/>
              </w:rPr>
              <w:t>异常消息：支持自动发现设备运行过程中的异常问题，并可远程推送至移动端，便于管理者处理异常。</w:t>
            </w:r>
          </w:p>
          <w:p>
            <w:pPr>
              <w:pStyle w:val="null3"/>
              <w:ind w:left="15"/>
            </w:pPr>
            <w:r>
              <w:rPr>
                <w:rFonts w:ascii="宋体" w:hAnsi="宋体" w:cs="宋体" w:eastAsia="宋体"/>
                <w:sz w:val="24"/>
              </w:rPr>
              <w:t>11</w:t>
            </w:r>
            <w:r>
              <w:rPr>
                <w:rFonts w:ascii="宋体" w:hAnsi="宋体" w:cs="宋体" w:eastAsia="宋体"/>
                <w:sz w:val="24"/>
              </w:rPr>
              <w:t>.</w:t>
            </w:r>
            <w:r>
              <w:rPr>
                <w:rFonts w:ascii="宋体" w:hAnsi="宋体" w:cs="宋体" w:eastAsia="宋体"/>
                <w:sz w:val="24"/>
              </w:rPr>
              <w:t>数据分析：支持查看并导出设备使用数据、软件活跃数据、教学应用数据、健康度分析数据。</w:t>
            </w:r>
          </w:p>
          <w:p>
            <w:pPr>
              <w:pStyle w:val="null3"/>
              <w:ind w:left="15"/>
            </w:pPr>
            <w:r>
              <w:rPr>
                <w:rFonts w:ascii="宋体" w:hAnsi="宋体" w:cs="宋体" w:eastAsia="宋体"/>
                <w:sz w:val="24"/>
              </w:rPr>
              <w:t>（二）</w:t>
            </w:r>
            <w:r>
              <w:rPr>
                <w:rFonts w:ascii="宋体" w:hAnsi="宋体" w:cs="宋体" w:eastAsia="宋体"/>
                <w:sz w:val="24"/>
              </w:rPr>
              <w:t>小程序端：</w:t>
            </w:r>
          </w:p>
          <w:p>
            <w:pPr>
              <w:pStyle w:val="null3"/>
              <w:ind w:left="15"/>
            </w:pPr>
            <w:r>
              <w:rPr>
                <w:rFonts w:ascii="宋体" w:hAnsi="宋体" w:cs="宋体" w:eastAsia="宋体"/>
                <w:sz w:val="24"/>
              </w:rPr>
              <w:t>1</w:t>
            </w:r>
            <w:r>
              <w:rPr>
                <w:rFonts w:ascii="宋体" w:hAnsi="宋体" w:cs="宋体" w:eastAsia="宋体"/>
                <w:sz w:val="24"/>
              </w:rPr>
              <w:t>.</w:t>
            </w:r>
            <w:r>
              <w:rPr>
                <w:rFonts w:ascii="宋体" w:hAnsi="宋体" w:cs="宋体" w:eastAsia="宋体"/>
                <w:sz w:val="24"/>
              </w:rPr>
              <w:t>移动系统采用</w:t>
            </w:r>
            <w:r>
              <w:rPr>
                <w:rFonts w:ascii="宋体" w:hAnsi="宋体" w:cs="宋体" w:eastAsia="宋体"/>
                <w:sz w:val="24"/>
              </w:rPr>
              <w:t>Mini Program设计，无需下载单独安装APP即可使用；兼容Android、IOS等多种移动操作系统，便于远程管理及告警信息通知。</w:t>
            </w:r>
          </w:p>
          <w:p>
            <w:pPr>
              <w:pStyle w:val="null3"/>
              <w:ind w:left="15"/>
            </w:pPr>
            <w:r>
              <w:rPr>
                <w:rFonts w:ascii="宋体" w:hAnsi="宋体" w:cs="宋体" w:eastAsia="宋体"/>
                <w:sz w:val="24"/>
              </w:rPr>
              <w:t>2</w:t>
            </w:r>
            <w:r>
              <w:rPr>
                <w:rFonts w:ascii="宋体" w:hAnsi="宋体" w:cs="宋体" w:eastAsia="宋体"/>
                <w:sz w:val="24"/>
              </w:rPr>
              <w:t>.</w:t>
            </w:r>
            <w:r>
              <w:rPr>
                <w:rFonts w:ascii="宋体" w:hAnsi="宋体" w:cs="宋体" w:eastAsia="宋体"/>
                <w:sz w:val="24"/>
              </w:rPr>
              <w:t>支持查看不同类型设备的在线率、异常指令数、异常设备数及设备详情。</w:t>
            </w:r>
          </w:p>
          <w:p>
            <w:pPr>
              <w:pStyle w:val="null3"/>
              <w:ind w:left="15"/>
            </w:pPr>
            <w:r>
              <w:rPr>
                <w:rFonts w:ascii="宋体" w:hAnsi="宋体" w:cs="宋体" w:eastAsia="宋体"/>
                <w:sz w:val="24"/>
              </w:rPr>
              <w:t>3</w:t>
            </w:r>
            <w:r>
              <w:rPr>
                <w:rFonts w:ascii="宋体" w:hAnsi="宋体" w:cs="宋体" w:eastAsia="宋体"/>
                <w:sz w:val="24"/>
              </w:rPr>
              <w:t>.</w:t>
            </w:r>
            <w:r>
              <w:rPr>
                <w:rFonts w:ascii="宋体" w:hAnsi="宋体" w:cs="宋体" w:eastAsia="宋体"/>
                <w:sz w:val="24"/>
              </w:rPr>
              <w:t>支持以日为单位查看每台设备的操作日志、执行结果、执行失败原因。</w:t>
            </w:r>
          </w:p>
          <w:p>
            <w:pPr>
              <w:pStyle w:val="null3"/>
              <w:ind w:left="15"/>
            </w:pPr>
            <w:r>
              <w:rPr>
                <w:rFonts w:ascii="宋体" w:hAnsi="宋体" w:cs="宋体" w:eastAsia="宋体"/>
                <w:sz w:val="24"/>
              </w:rPr>
              <w:t>4</w:t>
            </w:r>
            <w:r>
              <w:rPr>
                <w:rFonts w:ascii="宋体" w:hAnsi="宋体" w:cs="宋体" w:eastAsia="宋体"/>
                <w:sz w:val="24"/>
              </w:rPr>
              <w:t>.</w:t>
            </w:r>
            <w:r>
              <w:rPr>
                <w:rFonts w:ascii="宋体" w:hAnsi="宋体" w:cs="宋体" w:eastAsia="宋体"/>
                <w:sz w:val="24"/>
              </w:rPr>
              <w:t>基础指令：支持实时查看设备当前状态及实时画面，并可进行实时远程开机、关机、重启、锁屏、消息推送功能。</w:t>
            </w:r>
          </w:p>
          <w:p>
            <w:pPr>
              <w:pStyle w:val="null3"/>
              <w:ind w:left="15"/>
              <w:jc w:val="both"/>
            </w:pPr>
            <w:r>
              <w:rPr>
                <w:rFonts w:ascii="宋体" w:hAnsi="宋体" w:cs="宋体" w:eastAsia="宋体"/>
                <w:sz w:val="24"/>
              </w:rPr>
              <w:t>5</w:t>
            </w:r>
            <w:r>
              <w:rPr>
                <w:rFonts w:ascii="宋体" w:hAnsi="宋体" w:cs="宋体" w:eastAsia="宋体"/>
                <w:sz w:val="24"/>
              </w:rPr>
              <w:t>.</w:t>
            </w:r>
            <w:r>
              <w:rPr>
                <w:rFonts w:ascii="宋体" w:hAnsi="宋体" w:cs="宋体" w:eastAsia="宋体"/>
                <w:sz w:val="24"/>
              </w:rPr>
              <w:t>数据分析：支持查看设备开机市场分布、活跃趋势分析、软件使用情况分析、设备健康度排行；并支持周期性的推送设备运行报告</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650</w:t>
            </w:r>
          </w:p>
        </w:tc>
        <w:tc>
          <w:tcPr>
            <w:tcW w:type="dxa" w:w="9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7800</w:t>
            </w:r>
          </w:p>
        </w:tc>
      </w:tr>
      <w:tr>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5"/>
              <w:jc w:val="both"/>
            </w:pPr>
            <w:r>
              <w:rPr>
                <w:rFonts w:ascii="宋体" w:hAnsi="宋体" w:cs="宋体" w:eastAsia="宋体"/>
                <w:sz w:val="24"/>
              </w:rPr>
              <w:t>讲台</w:t>
            </w:r>
          </w:p>
        </w:tc>
        <w:tc>
          <w:tcPr>
            <w:tcW w:type="dxa" w:w="43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5"/>
              <w:jc w:val="both"/>
            </w:pPr>
            <w:r>
              <w:rPr>
                <w:rFonts w:ascii="宋体" w:hAnsi="宋体" w:cs="宋体" w:eastAsia="宋体"/>
                <w:sz w:val="24"/>
              </w:rPr>
              <w:t>1.</w:t>
            </w:r>
            <w:r>
              <w:rPr>
                <w:rFonts w:ascii="宋体" w:hAnsi="宋体" w:cs="宋体" w:eastAsia="宋体"/>
                <w:sz w:val="24"/>
              </w:rPr>
              <w:t>整体设计符合人机工程学，规格：</w:t>
            </w:r>
            <w:r>
              <w:rPr>
                <w:rFonts w:ascii="宋体" w:hAnsi="宋体" w:cs="宋体" w:eastAsia="宋体"/>
                <w:sz w:val="24"/>
              </w:rPr>
              <w:t>1140mm*800mm*1000mm（长宽高）（±5mm）；</w:t>
            </w:r>
          </w:p>
          <w:p>
            <w:pPr>
              <w:pStyle w:val="null3"/>
              <w:ind w:left="15"/>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讲桌主体材料采用</w:t>
            </w:r>
            <w:r>
              <w:rPr>
                <w:rFonts w:ascii="宋体" w:hAnsi="宋体" w:cs="宋体" w:eastAsia="宋体"/>
                <w:sz w:val="24"/>
              </w:rPr>
              <w:t>1.0-1.5mm冷轧钢板。讲桌采用钢木结合构造，桌体上部分采用圆弧设计。讲台整体设计符合人体力学原理，提供左右海南橡木实木扶手，供使用者扶用。</w:t>
            </w:r>
          </w:p>
          <w:p>
            <w:pPr>
              <w:pStyle w:val="null3"/>
              <w:ind w:left="15"/>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4"/>
              </w:rPr>
              <w:t>工艺：脱脂、磷化、静电喷塑、溜平固化，重点部位须采用一次冲压成型技术；所有钣金部分均采用激光切割加工，所有尖角倒圆角不小于</w:t>
            </w:r>
            <w:r>
              <w:rPr>
                <w:rFonts w:ascii="宋体" w:hAnsi="宋体" w:cs="宋体" w:eastAsia="宋体"/>
                <w:sz w:val="24"/>
              </w:rPr>
              <w:t>R3，保证使用者和维护者不划伤。</w:t>
            </w:r>
          </w:p>
          <w:p>
            <w:pPr>
              <w:pStyle w:val="null3"/>
              <w:ind w:left="15"/>
              <w:jc w:val="both"/>
            </w:pPr>
            <w:r>
              <w:rPr>
                <w:rFonts w:ascii="宋体" w:hAnsi="宋体" w:cs="宋体" w:eastAsia="宋体"/>
                <w:sz w:val="24"/>
              </w:rPr>
              <w:t>4</w:t>
            </w:r>
            <w:r>
              <w:rPr>
                <w:rFonts w:ascii="宋体" w:hAnsi="宋体" w:cs="宋体" w:eastAsia="宋体"/>
                <w:sz w:val="24"/>
              </w:rPr>
              <w:t>.</w:t>
            </w:r>
            <w:r>
              <w:rPr>
                <w:rFonts w:ascii="宋体" w:hAnsi="宋体" w:cs="宋体" w:eastAsia="宋体"/>
                <w:sz w:val="24"/>
              </w:rPr>
              <w:t>讲桌桌面采用木黄色耐划木质材料，耐腐蚀环保台面（非吸塑工艺），扶手采用橡木扶手，</w:t>
            </w:r>
            <w:r>
              <w:rPr>
                <w:rFonts w:ascii="宋体" w:hAnsi="宋体" w:cs="宋体" w:eastAsia="宋体"/>
                <w:sz w:val="24"/>
              </w:rPr>
              <w:t>L型橡木装饰板，整体布局简洁、美观。</w:t>
            </w:r>
          </w:p>
          <w:p>
            <w:pPr>
              <w:pStyle w:val="null3"/>
              <w:ind w:left="15"/>
              <w:jc w:val="both"/>
            </w:pPr>
            <w:r>
              <w:rPr>
                <w:rFonts w:ascii="宋体" w:hAnsi="宋体" w:cs="宋体" w:eastAsia="宋体"/>
                <w:sz w:val="24"/>
              </w:rPr>
              <w:t>5</w:t>
            </w:r>
            <w:r>
              <w:rPr>
                <w:rFonts w:ascii="宋体" w:hAnsi="宋体" w:cs="宋体" w:eastAsia="宋体"/>
                <w:sz w:val="24"/>
              </w:rPr>
              <w:t>.</w:t>
            </w:r>
            <w:r>
              <w:rPr>
                <w:rFonts w:ascii="宋体" w:hAnsi="宋体" w:cs="宋体" w:eastAsia="宋体"/>
                <w:sz w:val="24"/>
              </w:rPr>
              <w:t>讲桌上下层采用分体式设计，桌面部分和桌体部分自成一体，方便进出设计比较窄的教室门</w:t>
            </w:r>
            <w:r>
              <w:rPr>
                <w:rFonts w:ascii="宋体" w:hAnsi="宋体" w:cs="宋体" w:eastAsia="宋体"/>
                <w:sz w:val="24"/>
              </w:rPr>
              <w:t>XL。讲桌内置固定螺丝孔位，安装简单，安全防盗；独立包装，运输轻便。</w:t>
            </w:r>
          </w:p>
          <w:p>
            <w:pPr>
              <w:pStyle w:val="null3"/>
              <w:ind w:left="15"/>
              <w:jc w:val="both"/>
            </w:pPr>
            <w:r>
              <w:rPr>
                <w:rFonts w:ascii="宋体" w:hAnsi="宋体" w:cs="宋体" w:eastAsia="宋体"/>
                <w:sz w:val="24"/>
              </w:rPr>
              <w:t>6</w:t>
            </w:r>
            <w:r>
              <w:rPr>
                <w:rFonts w:ascii="宋体" w:hAnsi="宋体" w:cs="宋体" w:eastAsia="宋体"/>
                <w:sz w:val="24"/>
              </w:rPr>
              <w:t>.</w:t>
            </w:r>
            <w:r>
              <w:rPr>
                <w:rFonts w:ascii="宋体" w:hAnsi="宋体" w:cs="宋体" w:eastAsia="宋体"/>
                <w:sz w:val="24"/>
              </w:rPr>
              <w:t>显示器盖板和键盘、鼠标部分采用联动式设计。显示器盖板可装置</w:t>
            </w:r>
            <w:r>
              <w:rPr>
                <w:rFonts w:ascii="宋体" w:hAnsi="宋体" w:cs="宋体" w:eastAsia="宋体"/>
                <w:sz w:val="24"/>
              </w:rPr>
              <w:t>21.5寸-23.5寸液晶宽屏显示器；安装显示器无任何螺丝结构。键盘前面放置一体中控或者分体中控系统.</w:t>
            </w:r>
          </w:p>
          <w:p>
            <w:pPr>
              <w:pStyle w:val="null3"/>
              <w:ind w:left="15"/>
              <w:jc w:val="both"/>
            </w:pPr>
            <w:r>
              <w:rPr>
                <w:rFonts w:ascii="宋体" w:hAnsi="宋体" w:cs="宋体" w:eastAsia="宋体"/>
                <w:sz w:val="24"/>
              </w:rPr>
              <w:t>7</w:t>
            </w:r>
            <w:r>
              <w:rPr>
                <w:rFonts w:ascii="宋体" w:hAnsi="宋体" w:cs="宋体" w:eastAsia="宋体"/>
                <w:sz w:val="24"/>
              </w:rPr>
              <w:t>.</w:t>
            </w:r>
            <w:r>
              <w:rPr>
                <w:rFonts w:ascii="宋体" w:hAnsi="宋体" w:cs="宋体" w:eastAsia="宋体"/>
                <w:sz w:val="24"/>
              </w:rPr>
              <w:t>右侧抽屉可放置实物展示台，承重</w:t>
            </w:r>
            <w:r>
              <w:rPr>
                <w:rFonts w:ascii="宋体" w:hAnsi="宋体" w:cs="宋体" w:eastAsia="宋体"/>
                <w:sz w:val="24"/>
              </w:rPr>
              <w:t>6公斤,关闭后,所有设备都隐藏在讲台内。</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1665</w:t>
            </w:r>
          </w:p>
        </w:tc>
        <w:tc>
          <w:tcPr>
            <w:tcW w:type="dxa" w:w="9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19980</w:t>
            </w:r>
          </w:p>
        </w:tc>
      </w:tr>
      <w:tr>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firstLine="21"/>
              <w:jc w:val="center"/>
            </w:pPr>
            <w:r>
              <w:rPr>
                <w:rFonts w:ascii="宋体" w:hAnsi="宋体" w:cs="宋体" w:eastAsia="宋体"/>
                <w:sz w:val="24"/>
              </w:rPr>
              <w:t>简易绿板</w:t>
            </w:r>
          </w:p>
        </w:tc>
        <w:tc>
          <w:tcPr>
            <w:tcW w:type="dxa" w:w="43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宋体" w:hAnsi="宋体" w:cs="宋体" w:eastAsia="宋体"/>
                <w:sz w:val="24"/>
              </w:rPr>
              <w:t>1.颜色：墨绿色尺寸：4000mm×1215mm（±5mm）。</w:t>
            </w:r>
          </w:p>
          <w:p>
            <w:pPr>
              <w:pStyle w:val="null3"/>
            </w:pPr>
            <w:r>
              <w:rPr>
                <w:rFonts w:ascii="宋体" w:hAnsi="宋体" w:cs="宋体" w:eastAsia="宋体"/>
                <w:sz w:val="24"/>
              </w:rPr>
              <w:t>2.板面：采用金属烤漆书写板面，亚光、墨绿色，光泽度≤12光泽单位，没有因黑板本身原因产生的眩光，书写流畅字迹清晰、色彩协调可视效果佳，有效的缓解学生视觉疲劳。可吸附磁钉、磁片，便于教学。为确保师生健康，板面应无铅镉汞等重金属物质。</w:t>
            </w:r>
          </w:p>
          <w:p>
            <w:pPr>
              <w:pStyle w:val="null3"/>
            </w:pPr>
            <w:r>
              <w:rPr>
                <w:rFonts w:ascii="宋体" w:hAnsi="宋体" w:cs="宋体" w:eastAsia="宋体"/>
                <w:sz w:val="24"/>
              </w:rPr>
              <w:t>3.衬板：选用高强度、吸音、防潮、阻燃聚苯乙烯板，厚度≥14mm。</w:t>
            </w:r>
          </w:p>
          <w:p>
            <w:pPr>
              <w:pStyle w:val="null3"/>
            </w:pPr>
            <w:r>
              <w:rPr>
                <w:rFonts w:ascii="宋体" w:hAnsi="宋体" w:cs="宋体" w:eastAsia="宋体"/>
                <w:sz w:val="24"/>
              </w:rPr>
              <w:t>4.背板：采用优质镀锌钢板，机械化流水线一次成型，设有凹槽加强筋，增加板体强度。</w:t>
            </w:r>
          </w:p>
          <w:p>
            <w:pPr>
              <w:pStyle w:val="null3"/>
            </w:pPr>
            <w:r>
              <w:rPr>
                <w:rFonts w:ascii="宋体" w:hAnsi="宋体" w:cs="宋体" w:eastAsia="宋体"/>
                <w:sz w:val="24"/>
              </w:rPr>
              <w:t>5.覆板：采用自动化流水线覆板作业，避免人工作业刷胶不均导致粘贴不牢、起鼓等现象，甲醛释放量≤0.2mg/L，符合GB 28231-2011《书写板安全卫生要求》。</w:t>
            </w:r>
          </w:p>
          <w:p>
            <w:pPr>
              <w:pStyle w:val="null3"/>
            </w:pPr>
            <w:r>
              <w:rPr>
                <w:rFonts w:ascii="宋体" w:hAnsi="宋体" w:cs="宋体" w:eastAsia="宋体"/>
                <w:sz w:val="24"/>
              </w:rPr>
              <w:t>6.边框：采用高强度香槟色铝合金型材，规格≥30㎜×20㎜，型腔结构，增加板体挺度，教学板面采用槽内镶嵌、全包式结构。边框应具有良好的耐磨性及耐腐蚀性，耐腐蚀性CASS 72H不得低于10级，耐磨性（落沙试验）应不低于3900g。</w:t>
            </w:r>
          </w:p>
          <w:p>
            <w:pPr>
              <w:pStyle w:val="null3"/>
            </w:pPr>
            <w:r>
              <w:rPr>
                <w:rFonts w:ascii="宋体" w:hAnsi="宋体" w:cs="宋体" w:eastAsia="宋体"/>
                <w:sz w:val="24"/>
              </w:rPr>
              <w:t>7.包角：采用高强度、抗老化ABS工程塑料注塑成型。≥R15的圆角，无尖角毛刺。</w:t>
            </w:r>
          </w:p>
          <w:p>
            <w:pPr>
              <w:pStyle w:val="null3"/>
            </w:pPr>
            <w:r>
              <w:rPr>
                <w:rFonts w:ascii="宋体" w:hAnsi="宋体" w:cs="宋体" w:eastAsia="宋体"/>
                <w:sz w:val="24"/>
              </w:rPr>
              <w:t>安装：配装自制</w:t>
            </w:r>
            <w:r>
              <w:rPr>
                <w:rFonts w:ascii="宋体" w:hAnsi="宋体" w:cs="宋体" w:eastAsia="宋体"/>
                <w:sz w:val="24"/>
              </w:rPr>
              <w:t>L形钢制安装件，隐形安装、没有外露的挂接件。</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76</w:t>
            </w:r>
            <w:r>
              <w:rPr>
                <w:rFonts w:ascii="宋体" w:hAnsi="宋体" w:cs="宋体" w:eastAsia="宋体"/>
                <w:sz w:val="24"/>
              </w:rPr>
              <w:t>0</w:t>
            </w:r>
          </w:p>
        </w:tc>
        <w:tc>
          <w:tcPr>
            <w:tcW w:type="dxa" w:w="9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9120</w:t>
            </w:r>
          </w:p>
        </w:tc>
      </w:tr>
      <w:tr>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firstLine="21"/>
              <w:jc w:val="center"/>
            </w:pPr>
            <w:r>
              <w:rPr>
                <w:rFonts w:ascii="宋体" w:hAnsi="宋体" w:cs="宋体" w:eastAsia="宋体"/>
                <w:sz w:val="24"/>
              </w:rPr>
              <w:t>施工辅材配套设备</w:t>
            </w:r>
          </w:p>
        </w:tc>
        <w:tc>
          <w:tcPr>
            <w:tcW w:type="dxa" w:w="43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5"/>
              <w:jc w:val="both"/>
            </w:pPr>
            <w:r>
              <w:rPr>
                <w:rFonts w:ascii="宋体" w:hAnsi="宋体" w:cs="宋体" w:eastAsia="宋体"/>
                <w:sz w:val="24"/>
              </w:rPr>
              <w:t>电源线、电源插座、</w:t>
            </w:r>
            <w:r>
              <w:rPr>
                <w:rFonts w:ascii="宋体" w:hAnsi="宋体" w:cs="宋体" w:eastAsia="宋体"/>
                <w:sz w:val="24"/>
              </w:rPr>
              <w:t>VGA线、PVC管、PVC线槽、挂架等满足工程项目实施，所必需的线材和辅材。</w:t>
            </w:r>
          </w:p>
        </w:tc>
        <w:tc>
          <w:tcPr>
            <w:tcW w:type="dxa" w:w="4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套</w:t>
            </w:r>
          </w:p>
        </w:tc>
        <w:tc>
          <w:tcPr>
            <w:tcW w:type="dxa" w:w="4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8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8</w:t>
            </w:r>
            <w:r>
              <w:rPr>
                <w:rFonts w:ascii="宋体" w:hAnsi="宋体" w:cs="宋体" w:eastAsia="宋体"/>
                <w:sz w:val="24"/>
              </w:rPr>
              <w:t>00</w:t>
            </w:r>
          </w:p>
        </w:tc>
        <w:tc>
          <w:tcPr>
            <w:tcW w:type="dxa" w:w="9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rPr>
              <w:t>9600</w:t>
            </w:r>
          </w:p>
        </w:tc>
      </w:tr>
    </w:tbl>
    <w:p>
      <w:pPr>
        <w:pStyle w:val="null3"/>
        <w:jc w:val="both"/>
        <w:outlineLvl w:val="0"/>
      </w:pPr>
      <w:r>
        <w:rPr>
          <w:rFonts w:ascii="宋体" w:hAnsi="宋体" w:cs="宋体" w:eastAsia="宋体"/>
          <w:sz w:val="24"/>
          <w:b/>
          <w:color w:val="000000"/>
        </w:rPr>
        <w:t>注：</w:t>
      </w:r>
      <w:r>
        <w:rPr>
          <w:rFonts w:ascii="宋体" w:hAnsi="宋体" w:cs="宋体" w:eastAsia="宋体"/>
          <w:sz w:val="24"/>
          <w:b/>
          <w:color w:val="000000"/>
        </w:rPr>
        <w:t>1.供应商须按照上述表格提供分项报价表，须体现所投产品的品牌、型号、单价、数量、总价，未按要求提供分项报价表的，按无效响应处理。</w:t>
      </w:r>
    </w:p>
    <w:p>
      <w:pPr>
        <w:pStyle w:val="null3"/>
        <w:ind w:firstLine="482"/>
        <w:jc w:val="both"/>
      </w:pPr>
      <w:r>
        <w:rPr>
          <w:rFonts w:ascii="宋体" w:hAnsi="宋体" w:cs="宋体" w:eastAsia="宋体"/>
          <w:sz w:val="24"/>
          <w:b/>
          <w:color w:val="000000"/>
        </w:rPr>
        <w:t>2.供应商的报价不得超过上述表格内单价及总价，否则按无效响应处理。</w:t>
      </w:r>
    </w:p>
    <w:p>
      <w:pPr>
        <w:pStyle w:val="null3"/>
        <w:ind w:firstLine="482"/>
        <w:jc w:val="both"/>
      </w:pPr>
      <w:r>
        <w:rPr>
          <w:rFonts w:ascii="宋体" w:hAnsi="宋体" w:cs="宋体" w:eastAsia="宋体"/>
          <w:sz w:val="24"/>
          <w:b/>
        </w:rPr>
        <w:t>3</w:t>
      </w:r>
      <w:r>
        <w:rPr>
          <w:rFonts w:ascii="宋体" w:hAnsi="宋体" w:cs="宋体" w:eastAsia="宋体"/>
          <w:sz w:val="24"/>
          <w:b/>
        </w:rPr>
        <w:t>.</w:t>
      </w:r>
      <w:r>
        <w:rPr>
          <w:rFonts w:ascii="宋体" w:hAnsi="宋体" w:cs="宋体" w:eastAsia="宋体"/>
          <w:sz w:val="24"/>
          <w:b/>
          <w:shd w:fill="FFFFFF" w:val="clear"/>
        </w:rPr>
        <w:t>关于国家</w:t>
      </w:r>
      <w:r>
        <w:rPr>
          <w:rFonts w:ascii="宋体" w:hAnsi="宋体" w:cs="宋体" w:eastAsia="宋体"/>
          <w:sz w:val="24"/>
          <w:b/>
          <w:shd w:fill="FFFFFF" w:val="clear"/>
        </w:rPr>
        <w:t>3C强制要求和节能产品要求：</w:t>
      </w:r>
    </w:p>
    <w:p>
      <w:pPr>
        <w:pStyle w:val="null3"/>
        <w:ind w:firstLine="482"/>
        <w:jc w:val="both"/>
      </w:pPr>
      <w:r>
        <w:rPr>
          <w:rFonts w:ascii="宋体" w:hAnsi="宋体" w:cs="宋体" w:eastAsia="宋体"/>
          <w:sz w:val="24"/>
          <w:b/>
        </w:rPr>
        <w:t>①供应商须在响应文件中提供书面承诺，承诺所投产品国家若有强制性3C认证要求的，满足国家3C强制要求（承诺函格式自拟，并对其真实性负责），或在响应文件中提供所投产品有效的3C证书复印件。同时，采购人有权在签订合同前要求成交供应商提供相关证明材料以核实成交供应商承诺事项的真实性。供应商应当遵循诚实守信的原则，不得作出虚假承诺，承诺不实的，属于提供虚假材料谋取中标、成交，依法追究相关的法律责任。</w:t>
      </w:r>
    </w:p>
    <w:p>
      <w:pPr>
        <w:pStyle w:val="null3"/>
        <w:ind w:firstLine="482"/>
        <w:jc w:val="both"/>
      </w:pPr>
      <w:r>
        <w:rPr>
          <w:rFonts w:ascii="宋体" w:hAnsi="宋体" w:cs="宋体" w:eastAsia="宋体"/>
          <w:sz w:val="24"/>
          <w:b/>
        </w:rPr>
        <w:t>②供应商所</w:t>
      </w:r>
      <w:r>
        <w:rPr>
          <w:rFonts w:ascii="宋体" w:hAnsi="宋体" w:cs="宋体" w:eastAsia="宋体"/>
          <w:sz w:val="24"/>
          <w:b/>
        </w:rPr>
        <w:t>投的显示器（外扩）</w:t>
      </w:r>
      <w:r>
        <w:rPr>
          <w:rFonts w:ascii="宋体" w:hAnsi="宋体" w:cs="宋体" w:eastAsia="宋体"/>
          <w:sz w:val="24"/>
          <w:b/>
        </w:rPr>
        <w:t>，须提供有效期内的节能产品认证证书复印件。</w:t>
      </w:r>
    </w:p>
    <w:p>
      <w:pPr>
        <w:pStyle w:val="null3"/>
        <w:ind w:firstLine="482"/>
        <w:jc w:val="both"/>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自合同签订之日起30日历日内</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验收合格后，交付采购人使用</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1、期次1，说明：按照谈判文件、成交供应商响应文件、合同要求及国家有关的质量标准规定进行验收。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1、全部货物经采购人验收合格后，采购人收到成交供应商提供等额的正式发票后以转账方式支付，达到付款条件起30日内，支付合同总金额的100.00%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自合同签订之日起5个日历日内</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验收合格后，交付采购人使用</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1、期次1，说明：按照谈判文件、成交供应商响应文件、合同要求及国家有关的质量标准规定进行验收。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1、全部货物交货并最终验收合格后，采购人凭验收合格材料及成交供应商提供全额的发票，达到付款条件起30日内，支付合同总金额的100.00%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缴纳</w:t>
            </w:r>
            <w:r>
              <w:rPr/>
              <w:t>, 本采购包履约保证金为合同金额的3.0%</w:t>
            </w:r>
          </w:p>
          <w:p>
            <w:pPr>
              <w:pStyle w:val="null3"/>
            </w:pPr>
            <w:r>
              <w:rPr/>
              <w:t>说明：成交供应商在签订合同时向采购人以银行转账或银行保函等形式缴纳合同总金额3%作为履约保证金。该履约保证金将在验收合格后且成交供应商无违约的前提下，于30日内无息退还（转账方式提交的）或解除担保（保函形式提交的）。（注：成交供应商若为中小企业，则缴纳合同总金额1%的履约保证金。）</w:t>
            </w:r>
          </w:p>
        </w:tc>
      </w:tr>
    </w:tbl>
    <w:p>
      <w:pPr>
        <w:pStyle w:val="null3"/>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自合同签订之日起15个日历日内</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验收合格后，交付采购人使用</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1、期次1，说明：按照谈判文件、成交供应商响应文件、合同要求及国家有关的质量标准规定进行验收。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1、全部货物经采购人验收合格后，采购人收到成交供应商提供等额的正式发票后以转账方式支付，达到付款条件起30日内，支付合同总金额的100.00%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ind w:firstLine="480"/>
        <w:jc w:val="left"/>
      </w:pPr>
      <w:r>
        <w:rPr>
          <w:rFonts w:ascii="宋体" w:hAnsi="宋体" w:cs="宋体" w:eastAsia="宋体"/>
          <w:sz w:val="24"/>
          <w:b/>
        </w:rPr>
        <w:t>采购包</w:t>
      </w:r>
      <w:r>
        <w:rPr>
          <w:rFonts w:ascii="宋体" w:hAnsi="宋体" w:cs="宋体" w:eastAsia="宋体"/>
          <w:sz w:val="24"/>
          <w:b/>
        </w:rPr>
        <w:t>1：</w:t>
      </w:r>
    </w:p>
    <w:p>
      <w:pPr>
        <w:pStyle w:val="null3"/>
        <w:ind w:firstLine="480"/>
        <w:jc w:val="both"/>
      </w:pPr>
      <w:r>
        <w:rPr>
          <w:rFonts w:ascii="宋体" w:hAnsi="宋体" w:cs="宋体" w:eastAsia="宋体"/>
          <w:sz w:val="24"/>
          <w:b/>
        </w:rPr>
        <w:t>8</w:t>
      </w:r>
      <w:r>
        <w:rPr>
          <w:rFonts w:ascii="宋体" w:hAnsi="宋体" w:cs="宋体" w:eastAsia="宋体"/>
          <w:sz w:val="24"/>
          <w:b/>
        </w:rPr>
        <w:t>.货物包装方式</w:t>
      </w:r>
    </w:p>
    <w:p>
      <w:pPr>
        <w:pStyle w:val="null3"/>
        <w:ind w:firstLine="480"/>
        <w:jc w:val="both"/>
      </w:pPr>
      <w:r>
        <w:rPr>
          <w:rFonts w:ascii="宋体" w:hAnsi="宋体" w:cs="宋体" w:eastAsia="宋体"/>
          <w:sz w:val="24"/>
        </w:rPr>
        <w:t>8</w:t>
      </w:r>
      <w:r>
        <w:rPr>
          <w:rFonts w:ascii="宋体" w:hAnsi="宋体" w:cs="宋体" w:eastAsia="宋体"/>
          <w:sz w:val="24"/>
        </w:rPr>
        <w:t>.1包装：货物交货时按福建省财政厅转发财政部办公厅生态环境部办公厅国家邮政局办公室关于印发《商品包装政府采购需求标准（试行）》、《快递包装政府采购需求标准（试行）》的通知（闽财购函[2020]17 号）及国家有关标准要求进行包装。</w:t>
      </w:r>
    </w:p>
    <w:p>
      <w:pPr>
        <w:pStyle w:val="null3"/>
        <w:ind w:firstLine="480"/>
        <w:jc w:val="both"/>
      </w:pPr>
      <w:r>
        <w:rPr>
          <w:rFonts w:ascii="宋体" w:hAnsi="宋体" w:cs="宋体" w:eastAsia="宋体"/>
          <w:sz w:val="24"/>
        </w:rPr>
        <w:t>8</w:t>
      </w:r>
      <w:r>
        <w:rPr>
          <w:rFonts w:ascii="宋体" w:hAnsi="宋体" w:cs="宋体" w:eastAsia="宋体"/>
          <w:sz w:val="24"/>
        </w:rPr>
        <w:t>.2包装与运输方式相适应，包装方式的确定及包装费用均由成交供应商负责；由于不适当的包装而造成货物在运输过程中有任何损坏由成交供应商负责。</w:t>
      </w:r>
    </w:p>
    <w:p>
      <w:pPr>
        <w:pStyle w:val="null3"/>
        <w:ind w:firstLine="480"/>
        <w:jc w:val="both"/>
      </w:pPr>
      <w:r>
        <w:rPr>
          <w:rFonts w:ascii="宋体" w:hAnsi="宋体" w:cs="宋体" w:eastAsia="宋体"/>
          <w:sz w:val="24"/>
        </w:rPr>
        <w:t>注：包装足以承受整个过程中的运输、转运、装卸、储存等，充分考虑到运输途中的各种情况</w:t>
      </w:r>
      <w:r>
        <w:rPr>
          <w:rFonts w:ascii="宋体" w:hAnsi="宋体" w:cs="宋体" w:eastAsia="宋体"/>
          <w:sz w:val="24"/>
        </w:rPr>
        <w:t>(如暴露于恶劣气候等)和所在地区的气候特点，以及露天存放的需要。</w:t>
      </w:r>
    </w:p>
    <w:p>
      <w:pPr>
        <w:pStyle w:val="null3"/>
        <w:ind w:firstLine="480"/>
        <w:jc w:val="left"/>
      </w:pPr>
      <w:r>
        <w:rPr>
          <w:rFonts w:ascii="宋体" w:hAnsi="宋体" w:cs="宋体" w:eastAsia="宋体"/>
          <w:sz w:val="24"/>
          <w:b/>
          <w:shd w:fill="FFFFFF" w:val="clear"/>
        </w:rPr>
        <w:t>9</w:t>
      </w:r>
      <w:r>
        <w:rPr>
          <w:rFonts w:ascii="宋体" w:hAnsi="宋体" w:cs="宋体" w:eastAsia="宋体"/>
          <w:sz w:val="24"/>
          <w:b/>
          <w:shd w:fill="FFFFFF" w:val="clear"/>
        </w:rPr>
        <w:t>.安装及验收</w:t>
      </w:r>
    </w:p>
    <w:p>
      <w:pPr>
        <w:pStyle w:val="null3"/>
        <w:ind w:firstLine="480"/>
        <w:jc w:val="left"/>
      </w:pPr>
      <w:r>
        <w:rPr>
          <w:rFonts w:ascii="宋体" w:hAnsi="宋体" w:cs="宋体" w:eastAsia="宋体"/>
          <w:sz w:val="24"/>
        </w:rPr>
        <w:t>9</w:t>
      </w:r>
      <w:r>
        <w:rPr>
          <w:rFonts w:ascii="宋体" w:hAnsi="宋体" w:cs="宋体" w:eastAsia="宋体"/>
          <w:sz w:val="24"/>
        </w:rPr>
        <w:t>.1 安装与调试</w:t>
      </w:r>
    </w:p>
    <w:p>
      <w:pPr>
        <w:pStyle w:val="null3"/>
        <w:ind w:firstLine="480"/>
        <w:jc w:val="left"/>
      </w:pPr>
      <w:r>
        <w:rPr>
          <w:rFonts w:ascii="宋体" w:hAnsi="宋体" w:cs="宋体" w:eastAsia="宋体"/>
          <w:sz w:val="24"/>
        </w:rPr>
        <w:t>9</w:t>
      </w:r>
      <w:r>
        <w:rPr>
          <w:rFonts w:ascii="宋体" w:hAnsi="宋体" w:cs="宋体" w:eastAsia="宋体"/>
          <w:sz w:val="24"/>
        </w:rPr>
        <w:t>.1.1合同签订后，由供应商负责将产品按签订合同的具体数量、具体地点运送到采购人指定地点，并负责委派技术人员到达现场进行安装、调试，供应商委派的技术人员必须具有安装本次项目的实际工作经验，且负责调试至验收合格交付采购人使用。</w:t>
      </w:r>
    </w:p>
    <w:p>
      <w:pPr>
        <w:pStyle w:val="null3"/>
        <w:ind w:firstLine="480"/>
        <w:jc w:val="left"/>
      </w:pPr>
      <w:r>
        <w:rPr>
          <w:rFonts w:ascii="宋体" w:hAnsi="宋体" w:cs="宋体" w:eastAsia="宋体"/>
          <w:sz w:val="24"/>
        </w:rPr>
        <w:t>9</w:t>
      </w:r>
      <w:r>
        <w:rPr>
          <w:rFonts w:ascii="宋体" w:hAnsi="宋体" w:cs="宋体" w:eastAsia="宋体"/>
          <w:sz w:val="24"/>
        </w:rPr>
        <w:t>.1.2供应商应在合同规定的安装期内完成该项工作。如因供应商责任而造成延期，所有因延期而产生的费用由供应商承担。</w:t>
      </w:r>
    </w:p>
    <w:p>
      <w:pPr>
        <w:pStyle w:val="null3"/>
        <w:ind w:firstLine="480"/>
        <w:jc w:val="left"/>
      </w:pPr>
      <w:r>
        <w:rPr>
          <w:rFonts w:ascii="宋体" w:hAnsi="宋体" w:cs="宋体" w:eastAsia="宋体"/>
          <w:sz w:val="24"/>
        </w:rPr>
        <w:t>9</w:t>
      </w:r>
      <w:r>
        <w:rPr>
          <w:rFonts w:ascii="宋体" w:hAnsi="宋体" w:cs="宋体" w:eastAsia="宋体"/>
          <w:sz w:val="24"/>
        </w:rPr>
        <w:t>.2 验收</w:t>
      </w:r>
    </w:p>
    <w:p>
      <w:pPr>
        <w:pStyle w:val="null3"/>
        <w:ind w:firstLine="480"/>
        <w:jc w:val="left"/>
      </w:pPr>
      <w:r>
        <w:rPr>
          <w:rFonts w:ascii="宋体" w:hAnsi="宋体" w:cs="宋体" w:eastAsia="宋体"/>
          <w:sz w:val="24"/>
        </w:rPr>
        <w:t>9</w:t>
      </w:r>
      <w:r>
        <w:rPr>
          <w:rFonts w:ascii="宋体" w:hAnsi="宋体" w:cs="宋体" w:eastAsia="宋体"/>
          <w:sz w:val="24"/>
        </w:rPr>
        <w:t>.2.1验收标准</w:t>
      </w:r>
    </w:p>
    <w:p>
      <w:pPr>
        <w:pStyle w:val="null3"/>
        <w:ind w:firstLine="480"/>
        <w:jc w:val="left"/>
      </w:pPr>
      <w:r>
        <w:rPr>
          <w:rFonts w:ascii="宋体" w:hAnsi="宋体" w:cs="宋体" w:eastAsia="宋体"/>
          <w:sz w:val="24"/>
        </w:rPr>
        <w:t>9</w:t>
      </w:r>
      <w:r>
        <w:rPr>
          <w:rFonts w:ascii="宋体" w:hAnsi="宋体" w:cs="宋体" w:eastAsia="宋体"/>
          <w:sz w:val="24"/>
        </w:rPr>
        <w:t>.2.1.1供应商所提供的货物必须是制造厂家生产的崭新的未开箱的原包装货物。所有货物按厂家货物验收标准（符合国家或行业或地方标准）、响应文件等有关内容进行验收。供应商提供货物的制造标准及技术规范等有关资料必须符合中国相应有关标准、规范要求。产品质量达到设计要求，安装调试各项指标符合技术参数要求且须通过质检、计量部门的检验。</w:t>
      </w:r>
    </w:p>
    <w:p>
      <w:pPr>
        <w:pStyle w:val="null3"/>
        <w:ind w:firstLine="480"/>
        <w:jc w:val="left"/>
      </w:pPr>
      <w:r>
        <w:rPr>
          <w:rFonts w:ascii="宋体" w:hAnsi="宋体" w:cs="宋体" w:eastAsia="宋体"/>
          <w:sz w:val="24"/>
        </w:rPr>
        <w:t>9</w:t>
      </w:r>
      <w:r>
        <w:rPr>
          <w:rFonts w:ascii="宋体" w:hAnsi="宋体" w:cs="宋体" w:eastAsia="宋体"/>
          <w:sz w:val="24"/>
        </w:rPr>
        <w:t>.2.1.2供应商必须在交货时提供所报产品货物的原厂出厂证明材料，否则不予以验收。</w:t>
      </w:r>
    </w:p>
    <w:p>
      <w:pPr>
        <w:pStyle w:val="null3"/>
        <w:ind w:firstLine="480"/>
        <w:jc w:val="left"/>
      </w:pPr>
      <w:r>
        <w:rPr>
          <w:rFonts w:ascii="宋体" w:hAnsi="宋体" w:cs="宋体" w:eastAsia="宋体"/>
          <w:sz w:val="24"/>
        </w:rPr>
        <w:t>9</w:t>
      </w:r>
      <w:r>
        <w:rPr>
          <w:rFonts w:ascii="宋体" w:hAnsi="宋体" w:cs="宋体" w:eastAsia="宋体"/>
          <w:sz w:val="24"/>
        </w:rPr>
        <w:t>.2.2验收程序和方法</w:t>
      </w:r>
    </w:p>
    <w:p>
      <w:pPr>
        <w:pStyle w:val="null3"/>
        <w:ind w:firstLine="480"/>
        <w:jc w:val="left"/>
      </w:pPr>
      <w:r>
        <w:rPr>
          <w:rFonts w:ascii="宋体" w:hAnsi="宋体" w:cs="宋体" w:eastAsia="宋体"/>
          <w:sz w:val="24"/>
        </w:rPr>
        <w:t>9</w:t>
      </w:r>
      <w:r>
        <w:rPr>
          <w:rFonts w:ascii="宋体" w:hAnsi="宋体" w:cs="宋体" w:eastAsia="宋体"/>
          <w:sz w:val="24"/>
        </w:rPr>
        <w:t>.2.2.1出厂检验</w:t>
      </w:r>
    </w:p>
    <w:p>
      <w:pPr>
        <w:pStyle w:val="null3"/>
        <w:ind w:firstLine="480"/>
        <w:jc w:val="left"/>
      </w:pPr>
      <w:r>
        <w:rPr>
          <w:rFonts w:ascii="宋体" w:hAnsi="宋体" w:cs="宋体" w:eastAsia="宋体"/>
          <w:sz w:val="24"/>
        </w:rPr>
        <w:t>供应商在产品出厂前，应按产品技术标准规定的检验项目和检验方法进行全面检验，供应商应随同货物出具供货证明、产地证书、出厂检验报告、质量合格证书、原装拼配货物的证明资料和文件以及生产厂家供货确认函等。结果必须符合第</w:t>
      </w:r>
      <w:r>
        <w:rPr>
          <w:rFonts w:ascii="宋体" w:hAnsi="宋体" w:cs="宋体" w:eastAsia="宋体"/>
          <w:sz w:val="24"/>
        </w:rPr>
        <w:t>9</w:t>
      </w:r>
      <w:r>
        <w:rPr>
          <w:rFonts w:ascii="宋体" w:hAnsi="宋体" w:cs="宋体" w:eastAsia="宋体"/>
          <w:sz w:val="24"/>
        </w:rPr>
        <w:t>.2.1款验收标准的要求。</w:t>
      </w:r>
    </w:p>
    <w:p>
      <w:pPr>
        <w:pStyle w:val="null3"/>
        <w:ind w:firstLine="480"/>
        <w:jc w:val="left"/>
      </w:pPr>
      <w:r>
        <w:rPr>
          <w:rFonts w:ascii="宋体" w:hAnsi="宋体" w:cs="宋体" w:eastAsia="宋体"/>
          <w:sz w:val="24"/>
        </w:rPr>
        <w:t>9</w:t>
      </w:r>
      <w:r>
        <w:rPr>
          <w:rFonts w:ascii="宋体" w:hAnsi="宋体" w:cs="宋体" w:eastAsia="宋体"/>
          <w:sz w:val="24"/>
        </w:rPr>
        <w:t>.2.2.2初验收：</w:t>
      </w:r>
    </w:p>
    <w:p>
      <w:pPr>
        <w:pStyle w:val="null3"/>
        <w:ind w:firstLine="480"/>
        <w:jc w:val="left"/>
      </w:pPr>
      <w:r>
        <w:rPr>
          <w:rFonts w:ascii="宋体" w:hAnsi="宋体" w:cs="宋体" w:eastAsia="宋体"/>
          <w:sz w:val="24"/>
        </w:rPr>
        <w:t>由供应商和采购人共同对货物的数量、质量、外包装等根据本章节的有关规定逐项检验。</w:t>
      </w:r>
    </w:p>
    <w:p>
      <w:pPr>
        <w:pStyle w:val="null3"/>
        <w:ind w:firstLine="480"/>
        <w:jc w:val="left"/>
      </w:pPr>
      <w:r>
        <w:rPr>
          <w:rFonts w:ascii="宋体" w:hAnsi="宋体" w:cs="宋体" w:eastAsia="宋体"/>
          <w:sz w:val="24"/>
        </w:rPr>
        <w:t>9</w:t>
      </w:r>
      <w:r>
        <w:rPr>
          <w:rFonts w:ascii="宋体" w:hAnsi="宋体" w:cs="宋体" w:eastAsia="宋体"/>
          <w:sz w:val="24"/>
        </w:rPr>
        <w:t>.2.2.3</w:t>
      </w:r>
      <w:r>
        <w:rPr>
          <w:rFonts w:ascii="宋体" w:hAnsi="宋体" w:cs="宋体" w:eastAsia="宋体"/>
          <w:sz w:val="24"/>
        </w:rPr>
        <w:t>最终验收</w:t>
      </w:r>
      <w:r>
        <w:rPr>
          <w:rFonts w:ascii="宋体" w:hAnsi="宋体" w:cs="宋体" w:eastAsia="宋体"/>
          <w:sz w:val="24"/>
        </w:rPr>
        <w:t>：</w:t>
      </w:r>
    </w:p>
    <w:p>
      <w:pPr>
        <w:pStyle w:val="null3"/>
        <w:ind w:firstLine="480"/>
        <w:jc w:val="left"/>
      </w:pPr>
      <w:r>
        <w:rPr>
          <w:rFonts w:ascii="宋体" w:hAnsi="宋体" w:cs="宋体" w:eastAsia="宋体"/>
          <w:sz w:val="24"/>
        </w:rPr>
        <w:t>货物安装完毕后，供应商应对货物的整体性能和功能进行测试，试运行期间，出现的任何问题，应由供应商及时处理修正。</w:t>
      </w:r>
      <w:r>
        <w:rPr>
          <w:rFonts w:ascii="宋体" w:hAnsi="宋体" w:cs="宋体" w:eastAsia="宋体"/>
          <w:sz w:val="24"/>
        </w:rPr>
        <w:t>安装调试后</w:t>
      </w:r>
      <w:r>
        <w:rPr>
          <w:rFonts w:ascii="宋体" w:hAnsi="宋体" w:cs="宋体" w:eastAsia="宋体"/>
          <w:sz w:val="24"/>
        </w:rPr>
        <w:t>由采购人</w:t>
      </w:r>
      <w:r>
        <w:rPr>
          <w:rFonts w:ascii="宋体" w:hAnsi="宋体" w:cs="宋体" w:eastAsia="宋体"/>
          <w:sz w:val="24"/>
        </w:rPr>
        <w:t>或</w:t>
      </w:r>
      <w:r>
        <w:rPr>
          <w:rFonts w:ascii="宋体" w:hAnsi="宋体" w:cs="宋体" w:eastAsia="宋体"/>
          <w:sz w:val="24"/>
        </w:rPr>
        <w:t>邀请专家</w:t>
      </w:r>
      <w:r>
        <w:rPr>
          <w:rFonts w:ascii="宋体" w:hAnsi="宋体" w:cs="宋体" w:eastAsia="宋体"/>
          <w:sz w:val="24"/>
        </w:rPr>
        <w:t>（</w:t>
      </w:r>
      <w:r>
        <w:rPr>
          <w:rFonts w:ascii="宋体" w:hAnsi="宋体" w:cs="宋体" w:eastAsia="宋体"/>
          <w:sz w:val="24"/>
        </w:rPr>
        <w:t>若有）</w:t>
      </w:r>
      <w:r>
        <w:rPr>
          <w:rFonts w:ascii="宋体" w:hAnsi="宋体" w:cs="宋体" w:eastAsia="宋体"/>
          <w:sz w:val="24"/>
        </w:rPr>
        <w:t>或有关管理部门</w:t>
      </w:r>
      <w:r>
        <w:rPr>
          <w:rFonts w:ascii="宋体" w:hAnsi="宋体" w:cs="宋体" w:eastAsia="宋体"/>
          <w:sz w:val="24"/>
        </w:rPr>
        <w:t>（</w:t>
      </w:r>
      <w:r>
        <w:rPr>
          <w:rFonts w:ascii="宋体" w:hAnsi="宋体" w:cs="宋体" w:eastAsia="宋体"/>
          <w:sz w:val="24"/>
        </w:rPr>
        <w:t>若有）</w:t>
      </w:r>
      <w:r>
        <w:rPr>
          <w:rFonts w:ascii="宋体" w:hAnsi="宋体" w:cs="宋体" w:eastAsia="宋体"/>
          <w:sz w:val="24"/>
        </w:rPr>
        <w:t>按</w:t>
      </w:r>
      <w:r>
        <w:rPr>
          <w:rFonts w:ascii="宋体" w:hAnsi="宋体" w:cs="宋体" w:eastAsia="宋体"/>
          <w:sz w:val="24"/>
        </w:rPr>
        <w:t>谈判文件</w:t>
      </w:r>
      <w:r>
        <w:rPr>
          <w:rFonts w:ascii="宋体" w:hAnsi="宋体" w:cs="宋体" w:eastAsia="宋体"/>
          <w:sz w:val="24"/>
        </w:rPr>
        <w:t>以及合同相关条款要求一同对货物进行联合验收，验收结果应符合采购人使用要求。在此期间，若发现产品质量有问题供应商应无条件更换，并无条件重新</w:t>
      </w:r>
      <w:r>
        <w:rPr>
          <w:rFonts w:ascii="宋体" w:hAnsi="宋体" w:cs="宋体" w:eastAsia="宋体"/>
          <w:sz w:val="24"/>
        </w:rPr>
        <w:t>调整</w:t>
      </w:r>
      <w:r>
        <w:rPr>
          <w:rFonts w:ascii="宋体" w:hAnsi="宋体" w:cs="宋体" w:eastAsia="宋体"/>
          <w:sz w:val="24"/>
        </w:rPr>
        <w:t>并调试直至验收合格交付使用。</w:t>
      </w:r>
    </w:p>
    <w:p>
      <w:pPr>
        <w:pStyle w:val="null3"/>
        <w:ind w:firstLine="480"/>
        <w:jc w:val="left"/>
      </w:pPr>
      <w:r>
        <w:rPr>
          <w:rFonts w:ascii="宋体" w:hAnsi="宋体" w:cs="宋体" w:eastAsia="宋体"/>
          <w:sz w:val="24"/>
        </w:rPr>
        <w:t>9</w:t>
      </w:r>
      <w:r>
        <w:rPr>
          <w:rFonts w:ascii="宋体" w:hAnsi="宋体" w:cs="宋体" w:eastAsia="宋体"/>
          <w:sz w:val="24"/>
        </w:rPr>
        <w:t>.2.3供应商在采购人安装现场进行最终验收所发生的一切费用均由供应商承担（并入报价总价内）。</w:t>
      </w:r>
    </w:p>
    <w:p>
      <w:pPr>
        <w:pStyle w:val="null3"/>
        <w:ind w:firstLine="480"/>
        <w:jc w:val="left"/>
      </w:pPr>
      <w:r>
        <w:rPr>
          <w:rFonts w:ascii="宋体" w:hAnsi="宋体" w:cs="宋体" w:eastAsia="宋体"/>
          <w:sz w:val="24"/>
        </w:rPr>
        <w:t>9</w:t>
      </w:r>
      <w:r>
        <w:rPr>
          <w:rFonts w:ascii="宋体" w:hAnsi="宋体" w:cs="宋体" w:eastAsia="宋体"/>
          <w:sz w:val="24"/>
        </w:rPr>
        <w:t>.2.4若验收不能符合要求，按虚假应标处理，采购人可视情况决定是否终止合同，并赔偿采购人一切损失。</w:t>
      </w:r>
    </w:p>
    <w:p>
      <w:pPr>
        <w:pStyle w:val="null3"/>
        <w:ind w:firstLine="480"/>
        <w:jc w:val="left"/>
      </w:pPr>
      <w:r>
        <w:rPr>
          <w:rFonts w:ascii="宋体" w:hAnsi="宋体" w:cs="宋体" w:eastAsia="宋体"/>
          <w:sz w:val="24"/>
          <w:b/>
        </w:rPr>
        <w:t>10</w:t>
      </w:r>
      <w:r>
        <w:rPr>
          <w:rFonts w:ascii="宋体" w:hAnsi="宋体" w:cs="宋体" w:eastAsia="宋体"/>
          <w:sz w:val="24"/>
          <w:b/>
        </w:rPr>
        <w:t>.售后服务要求</w:t>
      </w:r>
    </w:p>
    <w:p>
      <w:pPr>
        <w:pStyle w:val="null3"/>
        <w:ind w:firstLine="480"/>
        <w:jc w:val="left"/>
      </w:pPr>
      <w:r>
        <w:rPr>
          <w:rFonts w:ascii="宋体" w:hAnsi="宋体" w:cs="宋体" w:eastAsia="宋体"/>
          <w:sz w:val="24"/>
          <w:shd w:fill="FFFFFF" w:val="clear"/>
        </w:rPr>
        <w:t>10</w:t>
      </w:r>
      <w:r>
        <w:rPr>
          <w:rFonts w:ascii="宋体" w:hAnsi="宋体" w:cs="宋体" w:eastAsia="宋体"/>
          <w:sz w:val="24"/>
          <w:shd w:fill="FFFFFF" w:val="clear"/>
        </w:rPr>
        <w:t>.1供应商应提供</w:t>
      </w:r>
      <w:r>
        <w:rPr>
          <w:rFonts w:ascii="宋体" w:hAnsi="宋体" w:cs="宋体" w:eastAsia="宋体"/>
          <w:sz w:val="24"/>
          <w:shd w:fill="FFFFFF" w:val="clear"/>
        </w:rPr>
        <w:t>2</w:t>
      </w:r>
      <w:r>
        <w:rPr>
          <w:rFonts w:ascii="宋体" w:hAnsi="宋体" w:cs="宋体" w:eastAsia="宋体"/>
          <w:sz w:val="24"/>
          <w:shd w:fill="FFFFFF" w:val="clear"/>
        </w:rPr>
        <w:t>年保修服务，质保期自验收合格签名之日第二天起计算。质保期内如出现因制造、运输、装卸等原因造成的质量问题，供应商应负责维修、更换。质保期后出现故障，只收取基本维护费用。所需配件应为生产厂家原装配件，其价格应低于市场价。</w:t>
      </w:r>
    </w:p>
    <w:p>
      <w:pPr>
        <w:pStyle w:val="null3"/>
        <w:ind w:firstLine="480"/>
        <w:jc w:val="left"/>
      </w:pPr>
      <w:r>
        <w:rPr>
          <w:rFonts w:ascii="宋体" w:hAnsi="宋体" w:cs="宋体" w:eastAsia="宋体"/>
          <w:sz w:val="24"/>
          <w:shd w:fill="FFFFFF" w:val="clear"/>
        </w:rPr>
        <w:t>10</w:t>
      </w:r>
      <w:r>
        <w:rPr>
          <w:rFonts w:ascii="宋体" w:hAnsi="宋体" w:cs="宋体" w:eastAsia="宋体"/>
          <w:sz w:val="24"/>
          <w:shd w:fill="FFFFFF" w:val="clear"/>
        </w:rPr>
        <w:t>.2供应商须保证所提供的产品是原装产品，并在各个方面符合谈判文件规定。保证产品经过正确安装、合理操作和维护保养。</w:t>
      </w:r>
    </w:p>
    <w:p>
      <w:pPr>
        <w:pStyle w:val="null3"/>
        <w:ind w:firstLine="480"/>
        <w:jc w:val="left"/>
      </w:pPr>
      <w:r>
        <w:rPr>
          <w:rFonts w:ascii="宋体" w:hAnsi="宋体" w:cs="宋体" w:eastAsia="宋体"/>
          <w:sz w:val="24"/>
          <w:shd w:fill="FFFFFF" w:val="clear"/>
        </w:rPr>
        <w:t>10</w:t>
      </w:r>
      <w:r>
        <w:rPr>
          <w:rFonts w:ascii="宋体" w:hAnsi="宋体" w:cs="宋体" w:eastAsia="宋体"/>
          <w:sz w:val="24"/>
          <w:shd w:fill="FFFFFF" w:val="clear"/>
        </w:rPr>
        <w:t>.3质保期内若货物在</w:t>
      </w:r>
      <w:r>
        <w:rPr>
          <w:rFonts w:ascii="宋体" w:hAnsi="宋体" w:cs="宋体" w:eastAsia="宋体"/>
          <w:sz w:val="24"/>
          <w:shd w:fill="FFFFFF" w:val="clear"/>
        </w:rPr>
        <w:t>使用过程</w:t>
      </w:r>
      <w:r>
        <w:rPr>
          <w:rFonts w:ascii="宋体" w:hAnsi="宋体" w:cs="宋体" w:eastAsia="宋体"/>
          <w:sz w:val="24"/>
          <w:shd w:fill="FFFFFF" w:val="clear"/>
        </w:rPr>
        <w:t>中发生问题，供应商在接到采购人故障通知后</w:t>
      </w:r>
      <w:r>
        <w:rPr>
          <w:rFonts w:ascii="宋体" w:hAnsi="宋体" w:cs="宋体" w:eastAsia="宋体"/>
          <w:sz w:val="24"/>
          <w:shd w:fill="FFFFFF" w:val="clear"/>
        </w:rPr>
        <w:t>2小时内响应，24小时内委派专业技术人员到现场提供维修和更换零部件等服务；若供应商超过48小时仍未到达现场维修，采购人有权另请他人维修，维修所产生的全部费用由供应商承担。质保期内，供应商有责任对设备货物进行不定期的巡查检修。</w:t>
      </w:r>
    </w:p>
    <w:p>
      <w:pPr>
        <w:pStyle w:val="null3"/>
        <w:ind w:firstLine="480"/>
        <w:jc w:val="left"/>
      </w:pPr>
      <w:r>
        <w:rPr>
          <w:rFonts w:ascii="宋体" w:hAnsi="宋体" w:cs="宋体" w:eastAsia="宋体"/>
          <w:sz w:val="24"/>
          <w:b/>
        </w:rPr>
        <w:t>1</w:t>
      </w:r>
      <w:r>
        <w:rPr>
          <w:rFonts w:ascii="宋体" w:hAnsi="宋体" w:cs="宋体" w:eastAsia="宋体"/>
          <w:sz w:val="24"/>
          <w:b/>
        </w:rPr>
        <w:t>1</w:t>
      </w:r>
      <w:r>
        <w:rPr>
          <w:rFonts w:ascii="宋体" w:hAnsi="宋体" w:cs="宋体" w:eastAsia="宋体"/>
          <w:sz w:val="24"/>
          <w:b/>
        </w:rPr>
        <w:t>.违约责任</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.1因成交供应商原因造成采购合同无法按时签订的，视为成交供应商违约，对采购人造成的损失的，成交供应商还需另行支付相应的赔偿。</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.2在签定采购合同之后，有下列情形之一的，将视为成交供应商违约，采购人有权要求成交供应商进行赔偿：</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.2.1签定合同后，成交供应商未按合同规定提供服务的；</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.2.2成交供应商逾期交货的，每逾期一天，按合同价格的1%偿付违约金；逾期超过30日以上，采购人可单方解除合同，并按合同金额的10%支付违约金；</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.2.3成交供应商不能交货或不能完成合同的（不可抗力因素造成的除外），成交供应商应双倍返还采购人已支付的款项（如有）；</w:t>
      </w:r>
    </w:p>
    <w:p>
      <w:pPr>
        <w:pStyle w:val="null3"/>
        <w:ind w:firstLine="480"/>
        <w:jc w:val="left"/>
      </w:pPr>
      <w:r>
        <w:rPr>
          <w:rFonts w:ascii="宋体" w:hAnsi="宋体" w:cs="宋体" w:eastAsia="宋体"/>
          <w:sz w:val="24"/>
        </w:rPr>
        <w:t>10.2.4成交供应商提供的货物质量、规格达不到要求的，应在双方约定的时间内提供符合</w:t>
      </w:r>
      <w:r>
        <w:rPr>
          <w:rFonts w:ascii="宋体" w:hAnsi="宋体" w:cs="宋体" w:eastAsia="宋体"/>
          <w:sz w:val="24"/>
        </w:rPr>
        <w:t>谈判文件</w:t>
      </w:r>
      <w:r>
        <w:rPr>
          <w:rFonts w:ascii="宋体" w:hAnsi="宋体" w:cs="宋体" w:eastAsia="宋体"/>
          <w:sz w:val="24"/>
        </w:rPr>
        <w:t>的货物，采购人有权要求成交供应商支付合同金额的</w:t>
      </w:r>
      <w:r>
        <w:rPr>
          <w:rFonts w:ascii="宋体" w:hAnsi="宋体" w:cs="宋体" w:eastAsia="宋体"/>
          <w:sz w:val="24"/>
        </w:rPr>
        <w:t>10%作为违约金，造成采购人损失的，成交供应商还应支付相应的费用；</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.2.5成交供应商未能按合同规定履行其义务的，每发现一次扣除1000元；</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.2.6在签定采购合同之后，成交供应商要求解除合同的；</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3本合同所有服务，都必须由成交供应商自己或在响应文件中明确的单位承担，不得以任何名义和理由进行分包或转包。如有发现，视为成交供应商违约，采购人有权单方终止合同，对采购人造成损失的，需另行支付相应的赔偿。</w:t>
      </w:r>
    </w:p>
    <w:p>
      <w:pPr>
        <w:pStyle w:val="null3"/>
        <w:ind w:firstLine="480"/>
        <w:jc w:val="left"/>
      </w:pPr>
      <w:r>
        <w:rPr>
          <w:rFonts w:ascii="宋体" w:hAnsi="宋体" w:cs="宋体" w:eastAsia="宋体"/>
          <w:sz w:val="24"/>
        </w:rPr>
        <w:t>11.4</w:t>
      </w:r>
      <w:r>
        <w:rPr>
          <w:rFonts w:ascii="宋体" w:hAnsi="宋体" w:cs="宋体" w:eastAsia="宋体"/>
          <w:sz w:val="24"/>
        </w:rPr>
        <w:t>在项目履行期间，</w:t>
      </w:r>
      <w:r>
        <w:rPr>
          <w:rFonts w:ascii="宋体" w:hAnsi="宋体" w:cs="宋体" w:eastAsia="宋体"/>
          <w:sz w:val="24"/>
        </w:rPr>
        <w:t>因成交供应商原因发生重大质量事故，除依约承担赔偿责任外，还将按有关质量管理办法规定执行。同时，采购人有权保留更换成交供应商的权利，并报相关行政主管部门处罚</w:t>
      </w:r>
      <w:r>
        <w:rPr>
          <w:rFonts w:ascii="宋体" w:hAnsi="宋体" w:cs="宋体" w:eastAsia="宋体"/>
          <w:sz w:val="24"/>
        </w:rPr>
        <w:t>。</w:t>
      </w:r>
    </w:p>
    <w:p>
      <w:pPr>
        <w:pStyle w:val="null3"/>
        <w:ind w:firstLine="480"/>
        <w:jc w:val="left"/>
      </w:pPr>
      <w:r>
        <w:rPr>
          <w:rFonts w:ascii="宋体" w:hAnsi="宋体" w:cs="宋体" w:eastAsia="宋体"/>
          <w:sz w:val="24"/>
        </w:rPr>
        <w:t>11.5</w:t>
      </w:r>
      <w:r>
        <w:rPr>
          <w:rFonts w:ascii="宋体" w:hAnsi="宋体" w:cs="宋体" w:eastAsia="宋体"/>
          <w:sz w:val="24"/>
        </w:rPr>
        <w:t>在项目履行期间，</w:t>
      </w:r>
      <w:r>
        <w:rPr>
          <w:rFonts w:ascii="宋体" w:hAnsi="宋体" w:cs="宋体" w:eastAsia="宋体"/>
          <w:sz w:val="24"/>
        </w:rPr>
        <w:t>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w:t>
      </w:r>
      <w:r>
        <w:rPr>
          <w:rFonts w:ascii="宋体" w:hAnsi="宋体" w:cs="宋体" w:eastAsia="宋体"/>
          <w:sz w:val="24"/>
        </w:rPr>
        <w:t>6</w:t>
      </w:r>
      <w:r>
        <w:rPr>
          <w:rFonts w:ascii="宋体" w:hAnsi="宋体" w:cs="宋体" w:eastAsia="宋体"/>
          <w:sz w:val="24"/>
        </w:rPr>
        <w:t>在明确违约责任后，成交供应商应在接到书面通知书起七天内支付违约金、赔偿金等。</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w:t>
      </w:r>
      <w:r>
        <w:rPr>
          <w:rFonts w:ascii="宋体" w:hAnsi="宋体" w:cs="宋体" w:eastAsia="宋体"/>
          <w:sz w:val="24"/>
        </w:rPr>
        <w:t>7</w:t>
      </w:r>
      <w:r>
        <w:rPr>
          <w:rFonts w:ascii="宋体" w:hAnsi="宋体" w:cs="宋体" w:eastAsia="宋体"/>
          <w:sz w:val="24"/>
        </w:rPr>
        <w:t>本</w:t>
      </w:r>
      <w:r>
        <w:rPr>
          <w:rFonts w:ascii="宋体" w:hAnsi="宋体" w:cs="宋体" w:eastAsia="宋体"/>
          <w:sz w:val="24"/>
        </w:rPr>
        <w:t>谈判文件</w:t>
      </w:r>
      <w:r>
        <w:rPr>
          <w:rFonts w:ascii="宋体" w:hAnsi="宋体" w:cs="宋体" w:eastAsia="宋体"/>
          <w:sz w:val="24"/>
        </w:rPr>
        <w:t>未明确的其它约定事项或条款，待采购人与成交供应商签订合同时，由双方协商订立。</w:t>
      </w:r>
    </w:p>
    <w:p>
      <w:pPr>
        <w:pStyle w:val="null3"/>
        <w:ind w:firstLine="480"/>
        <w:jc w:val="both"/>
      </w:pPr>
      <w:r>
        <w:rPr>
          <w:rFonts w:ascii="宋体" w:hAnsi="宋体" w:cs="宋体" w:eastAsia="宋体"/>
          <w:sz w:val="24"/>
          <w:b/>
        </w:rPr>
        <w:t>1</w:t>
      </w:r>
      <w:r>
        <w:rPr>
          <w:rFonts w:ascii="宋体" w:hAnsi="宋体" w:cs="宋体" w:eastAsia="宋体"/>
          <w:sz w:val="24"/>
          <w:b/>
        </w:rPr>
        <w:t>2</w:t>
      </w:r>
      <w:r>
        <w:rPr>
          <w:rFonts w:ascii="宋体" w:hAnsi="宋体" w:cs="宋体" w:eastAsia="宋体"/>
          <w:sz w:val="24"/>
          <w:b/>
        </w:rPr>
        <w:t>.知识产权</w:t>
      </w:r>
    </w:p>
    <w:p>
      <w:pPr>
        <w:pStyle w:val="null3"/>
        <w:ind w:firstLine="480"/>
        <w:jc w:val="both"/>
      </w:pPr>
      <w:r>
        <w:rPr>
          <w:rFonts w:ascii="宋体" w:hAnsi="宋体" w:cs="宋体" w:eastAsia="宋体"/>
          <w:sz w:val="24"/>
        </w:rPr>
        <w:t>1</w:t>
      </w:r>
      <w:r>
        <w:rPr>
          <w:rFonts w:ascii="宋体" w:hAnsi="宋体" w:cs="宋体" w:eastAsia="宋体"/>
          <w:sz w:val="24"/>
        </w:rPr>
        <w:t>2</w:t>
      </w:r>
      <w:r>
        <w:rPr>
          <w:rFonts w:ascii="宋体" w:hAnsi="宋体" w:cs="宋体" w:eastAsia="宋体"/>
          <w:sz w:val="24"/>
        </w:rPr>
        <w:t>.1成交供应商提供的采购标的应符合国家知识产权法律、法规的规定且非假冒伪劣品；成交供应商还应保证采购人不受到第三方关于侵犯知识产权及专利权、商标权或工业设计权等知识产权方面的指控，若任何第三方提出此方面指控均与采购人无关，成交供应商应与第三方交涉，并承担可能发生的一切法律责任、费用和后果；若采购人因此而遭致损失，则成交供应商应赔偿该损失。</w:t>
      </w:r>
    </w:p>
    <w:p>
      <w:pPr>
        <w:pStyle w:val="null3"/>
        <w:ind w:firstLine="480"/>
        <w:jc w:val="both"/>
      </w:pPr>
      <w:r>
        <w:rPr>
          <w:rFonts w:ascii="宋体" w:hAnsi="宋体" w:cs="宋体" w:eastAsia="宋体"/>
          <w:sz w:val="24"/>
        </w:rPr>
        <w:t>1</w:t>
      </w:r>
      <w:r>
        <w:rPr>
          <w:rFonts w:ascii="宋体" w:hAnsi="宋体" w:cs="宋体" w:eastAsia="宋体"/>
          <w:sz w:val="24"/>
        </w:rPr>
        <w:t>2</w:t>
      </w:r>
      <w:r>
        <w:rPr>
          <w:rFonts w:ascii="宋体" w:hAnsi="宋体" w:cs="宋体" w:eastAsia="宋体"/>
          <w:sz w:val="24"/>
        </w:rPr>
        <w:t>.2若成交供应商提供的采购标的不符合国家知识产权法律、法规的规定或被有关主管机关认定为假冒伪劣品，则采购人有权单方解除与成交供应商签订的合同；没收全部履约保证金，同时采购人还将按照有关法律、法规和规章的规定进行处理。</w:t>
      </w:r>
    </w:p>
    <w:p>
      <w:pPr>
        <w:pStyle w:val="null3"/>
        <w:jc w:val="left"/>
      </w:pPr>
      <w:r>
        <w:rPr>
          <w:rFonts w:ascii="宋体" w:hAnsi="宋体" w:cs="宋体" w:eastAsia="宋体"/>
          <w:sz w:val="24"/>
          <w:b/>
        </w:rPr>
        <w:t>1</w:t>
      </w:r>
      <w:r>
        <w:rPr>
          <w:rFonts w:ascii="宋体" w:hAnsi="宋体" w:cs="宋体" w:eastAsia="宋体"/>
          <w:sz w:val="24"/>
          <w:b/>
        </w:rPr>
        <w:t>3</w:t>
      </w:r>
      <w:r>
        <w:rPr>
          <w:rFonts w:ascii="宋体" w:hAnsi="宋体" w:cs="宋体" w:eastAsia="宋体"/>
          <w:sz w:val="24"/>
          <w:b/>
        </w:rPr>
        <w:t>.其他约定</w:t>
      </w:r>
    </w:p>
    <w:p>
      <w:pPr>
        <w:pStyle w:val="null3"/>
        <w:ind w:firstLine="480"/>
        <w:jc w:val="both"/>
      </w:pPr>
      <w:r>
        <w:rPr>
          <w:rFonts w:ascii="宋体" w:hAnsi="宋体" w:cs="宋体" w:eastAsia="宋体"/>
          <w:sz w:val="24"/>
        </w:rPr>
        <w:t>1</w:t>
      </w:r>
      <w:r>
        <w:rPr>
          <w:rFonts w:ascii="宋体" w:hAnsi="宋体" w:cs="宋体" w:eastAsia="宋体"/>
          <w:sz w:val="24"/>
        </w:rPr>
        <w:t>3</w:t>
      </w:r>
      <w:r>
        <w:rPr>
          <w:rFonts w:ascii="宋体" w:hAnsi="宋体" w:cs="宋体" w:eastAsia="宋体"/>
          <w:sz w:val="24"/>
        </w:rPr>
        <w:t>.1供应商必须对其响应文件中提供各种资料、说明、声明的真实性负责。供应商若提供虚假资料谋取成交的其投标无效，投标保证金将不予退还，并列入不良行为记录名单并根据本文件和相关法律法规追究其相关责任，其中：虚假资料若在评标过程中，还将视为无效响应；若在评标定标后发现，还将取消其成交资格。采购人有权在签订合同之前（或合同履行过程中）对成交供应商响应文件中的承诺内容和证明材料进行核查，成交供应商应无条件配合采购人的核查工作，不得托词拒绝核查或隐瞒真实情况，否则采购人有权视供应商资料、说明和承诺等内容失实；若在签订合同时发现，采购人还将取消其合同签订，给采购人造成损失的，需另行赔偿并负相关责任。</w:t>
      </w:r>
    </w:p>
    <w:p>
      <w:pPr>
        <w:pStyle w:val="null3"/>
        <w:ind w:firstLine="480"/>
        <w:jc w:val="both"/>
      </w:pPr>
      <w:r>
        <w:rPr>
          <w:rFonts w:ascii="宋体" w:hAnsi="宋体" w:cs="宋体" w:eastAsia="宋体"/>
          <w:sz w:val="24"/>
        </w:rPr>
        <w:t>1</w:t>
      </w:r>
      <w:r>
        <w:rPr>
          <w:rFonts w:ascii="宋体" w:hAnsi="宋体" w:cs="宋体" w:eastAsia="宋体"/>
          <w:sz w:val="24"/>
        </w:rPr>
        <w:t>3</w:t>
      </w:r>
      <w:r>
        <w:rPr>
          <w:rFonts w:ascii="宋体" w:hAnsi="宋体" w:cs="宋体" w:eastAsia="宋体"/>
          <w:sz w:val="24"/>
        </w:rPr>
        <w:t>.2供应商应根据</w:t>
      </w:r>
      <w:r>
        <w:rPr>
          <w:rFonts w:ascii="宋体" w:hAnsi="宋体" w:cs="宋体" w:eastAsia="宋体"/>
          <w:sz w:val="24"/>
        </w:rPr>
        <w:t>谈判文件</w:t>
      </w:r>
      <w:r>
        <w:rPr>
          <w:rFonts w:ascii="宋体" w:hAnsi="宋体" w:cs="宋体" w:eastAsia="宋体"/>
          <w:sz w:val="24"/>
        </w:rPr>
        <w:t>要求提供自己产品的响应，并应在响应文件中列出全部技术和服务要求、商务条件相对于本</w:t>
      </w:r>
      <w:r>
        <w:rPr>
          <w:rFonts w:ascii="宋体" w:hAnsi="宋体" w:cs="宋体" w:eastAsia="宋体"/>
          <w:sz w:val="24"/>
        </w:rPr>
        <w:t>谈判文件</w:t>
      </w:r>
      <w:r>
        <w:rPr>
          <w:rFonts w:ascii="宋体" w:hAnsi="宋体" w:cs="宋体" w:eastAsia="宋体"/>
          <w:sz w:val="24"/>
        </w:rPr>
        <w:t>对各种技术服务及商务规定的偏离表；供应商应如实填写偏离情况，如果供应商的响应文件已出现不符合招标要求却在偏离情况中作</w:t>
      </w:r>
      <w:r>
        <w:rPr>
          <w:rFonts w:ascii="宋体" w:hAnsi="宋体" w:cs="宋体" w:eastAsia="宋体"/>
          <w:sz w:val="24"/>
        </w:rPr>
        <w:t>“满足”、“无偏离”、“正偏离”等满足采购要求的承诺时，经</w:t>
      </w:r>
      <w:r>
        <w:rPr>
          <w:rFonts w:ascii="宋体" w:hAnsi="宋体" w:cs="宋体" w:eastAsia="宋体"/>
          <w:sz w:val="24"/>
        </w:rPr>
        <w:t>谈判小组</w:t>
      </w:r>
      <w:r>
        <w:rPr>
          <w:rFonts w:ascii="宋体" w:hAnsi="宋体" w:cs="宋体" w:eastAsia="宋体"/>
          <w:sz w:val="24"/>
        </w:rPr>
        <w:t>认定后，作虚假承诺无效</w:t>
      </w:r>
      <w:r>
        <w:rPr>
          <w:rFonts w:ascii="宋体" w:hAnsi="宋体" w:cs="宋体" w:eastAsia="宋体"/>
          <w:sz w:val="24"/>
        </w:rPr>
        <w:t>响应</w:t>
      </w:r>
      <w:r>
        <w:rPr>
          <w:rFonts w:ascii="宋体" w:hAnsi="宋体" w:cs="宋体" w:eastAsia="宋体"/>
          <w:sz w:val="24"/>
        </w:rPr>
        <w:t>处理。</w:t>
      </w:r>
    </w:p>
    <w:p>
      <w:pPr>
        <w:pStyle w:val="null3"/>
        <w:ind w:firstLine="480"/>
        <w:jc w:val="both"/>
      </w:pPr>
      <w:r>
        <w:rPr>
          <w:rFonts w:ascii="宋体" w:hAnsi="宋体" w:cs="宋体" w:eastAsia="宋体"/>
          <w:sz w:val="24"/>
          <w:b/>
        </w:rPr>
        <w:t>采购包</w:t>
      </w:r>
      <w:r>
        <w:rPr>
          <w:rFonts w:ascii="宋体" w:hAnsi="宋体" w:cs="宋体" w:eastAsia="宋体"/>
          <w:sz w:val="24"/>
          <w:b/>
        </w:rPr>
        <w:t>2：</w:t>
      </w:r>
    </w:p>
    <w:p>
      <w:pPr>
        <w:pStyle w:val="null3"/>
        <w:ind w:firstLine="480"/>
        <w:jc w:val="both"/>
      </w:pPr>
      <w:r>
        <w:rPr>
          <w:rFonts w:ascii="宋体" w:hAnsi="宋体" w:cs="宋体" w:eastAsia="宋体"/>
          <w:sz w:val="24"/>
          <w:b/>
        </w:rPr>
        <w:t>8</w:t>
      </w:r>
      <w:r>
        <w:rPr>
          <w:rFonts w:ascii="宋体" w:hAnsi="宋体" w:cs="宋体" w:eastAsia="宋体"/>
          <w:sz w:val="24"/>
          <w:b/>
        </w:rPr>
        <w:t>.货物包装方式</w:t>
      </w:r>
    </w:p>
    <w:p>
      <w:pPr>
        <w:pStyle w:val="null3"/>
        <w:ind w:firstLine="480"/>
        <w:jc w:val="both"/>
      </w:pPr>
      <w:r>
        <w:rPr>
          <w:rFonts w:ascii="宋体" w:hAnsi="宋体" w:cs="宋体" w:eastAsia="宋体"/>
          <w:sz w:val="24"/>
        </w:rPr>
        <w:t>8</w:t>
      </w:r>
      <w:r>
        <w:rPr>
          <w:rFonts w:ascii="宋体" w:hAnsi="宋体" w:cs="宋体" w:eastAsia="宋体"/>
          <w:sz w:val="24"/>
        </w:rPr>
        <w:t>.1包装：货物交货时按福建省财政厅转发财政部办公厅生态环境部办公厅国家邮政局办公室关于印发《商品包装政府采购需求标准（试行）》、《快递包装政府采购需求标准（试行）》的通知（闽财购函[2020]17 号）及国家有关标准要求进行包装。</w:t>
      </w:r>
    </w:p>
    <w:p>
      <w:pPr>
        <w:pStyle w:val="null3"/>
        <w:ind w:firstLine="480"/>
        <w:jc w:val="both"/>
      </w:pPr>
      <w:r>
        <w:rPr>
          <w:rFonts w:ascii="宋体" w:hAnsi="宋体" w:cs="宋体" w:eastAsia="宋体"/>
          <w:sz w:val="24"/>
        </w:rPr>
        <w:t>8</w:t>
      </w:r>
      <w:r>
        <w:rPr>
          <w:rFonts w:ascii="宋体" w:hAnsi="宋体" w:cs="宋体" w:eastAsia="宋体"/>
          <w:sz w:val="24"/>
        </w:rPr>
        <w:t>.2包装与运输方式相适应，包装方式的确定及包装费用均由成交供应商负责；由于不适当的包装而造成货物在运输过程中有任何损坏由成交供应商负责。</w:t>
      </w:r>
    </w:p>
    <w:p>
      <w:pPr>
        <w:pStyle w:val="null3"/>
        <w:ind w:firstLine="480"/>
        <w:jc w:val="both"/>
      </w:pPr>
      <w:r>
        <w:rPr>
          <w:rFonts w:ascii="宋体" w:hAnsi="宋体" w:cs="宋体" w:eastAsia="宋体"/>
          <w:sz w:val="24"/>
        </w:rPr>
        <w:t>注：包装足以承受整个过程中的运输、转运、装卸、储存等，充分考虑到运输途中的各种情况</w:t>
      </w:r>
      <w:r>
        <w:rPr>
          <w:rFonts w:ascii="宋体" w:hAnsi="宋体" w:cs="宋体" w:eastAsia="宋体"/>
          <w:sz w:val="24"/>
        </w:rPr>
        <w:t>(如暴露于恶劣气候等)和所在地区的气候特点，以及露天存放的需要。</w:t>
      </w:r>
    </w:p>
    <w:p>
      <w:pPr>
        <w:pStyle w:val="null3"/>
        <w:ind w:firstLine="480"/>
        <w:jc w:val="left"/>
      </w:pPr>
      <w:r>
        <w:rPr>
          <w:rFonts w:ascii="宋体" w:hAnsi="宋体" w:cs="宋体" w:eastAsia="宋体"/>
          <w:sz w:val="24"/>
          <w:b/>
          <w:shd w:fill="FFFFFF" w:val="clear"/>
        </w:rPr>
        <w:t>9</w:t>
      </w:r>
      <w:r>
        <w:rPr>
          <w:rFonts w:ascii="宋体" w:hAnsi="宋体" w:cs="宋体" w:eastAsia="宋体"/>
          <w:sz w:val="24"/>
          <w:b/>
          <w:shd w:fill="FFFFFF" w:val="clear"/>
        </w:rPr>
        <w:t>.安装及验收</w:t>
      </w:r>
    </w:p>
    <w:p>
      <w:pPr>
        <w:pStyle w:val="null3"/>
        <w:ind w:firstLine="480"/>
        <w:jc w:val="left"/>
      </w:pPr>
      <w:r>
        <w:rPr>
          <w:rFonts w:ascii="宋体" w:hAnsi="宋体" w:cs="宋体" w:eastAsia="宋体"/>
          <w:sz w:val="24"/>
        </w:rPr>
        <w:t>9</w:t>
      </w:r>
      <w:r>
        <w:rPr>
          <w:rFonts w:ascii="宋体" w:hAnsi="宋体" w:cs="宋体" w:eastAsia="宋体"/>
          <w:sz w:val="24"/>
        </w:rPr>
        <w:t>.1 安装与调试</w:t>
      </w:r>
    </w:p>
    <w:p>
      <w:pPr>
        <w:pStyle w:val="null3"/>
        <w:ind w:firstLine="480"/>
        <w:jc w:val="left"/>
      </w:pPr>
      <w:r>
        <w:rPr>
          <w:rFonts w:ascii="宋体" w:hAnsi="宋体" w:cs="宋体" w:eastAsia="宋体"/>
          <w:sz w:val="24"/>
        </w:rPr>
        <w:t>9</w:t>
      </w:r>
      <w:r>
        <w:rPr>
          <w:rFonts w:ascii="宋体" w:hAnsi="宋体" w:cs="宋体" w:eastAsia="宋体"/>
          <w:sz w:val="24"/>
        </w:rPr>
        <w:t>.1.1合同签订后，由供应商负责将产品按签订合同的具体数量、具体地点运送到采购人指定地点，并负责委派技术人员到达现场进行安装、调试，供应商委派的技术人员必须具有安装本次项目的实际工作经验，且负责调试至验收合格交付采购人使用。</w:t>
      </w:r>
    </w:p>
    <w:p>
      <w:pPr>
        <w:pStyle w:val="null3"/>
        <w:ind w:firstLine="480"/>
        <w:jc w:val="left"/>
      </w:pPr>
      <w:r>
        <w:rPr>
          <w:rFonts w:ascii="宋体" w:hAnsi="宋体" w:cs="宋体" w:eastAsia="宋体"/>
          <w:sz w:val="24"/>
        </w:rPr>
        <w:t>9.1.2每个房间的安装位置按采购人指定的位置，安装时不得破坏原有结构和外观（安装空调时与采购人协商确须打洞的情形除外）。供货时应根据现场实际情况增长排水管、铜管、室内外机电源线、通讯线等安装的辅材及其安装需要的辅助服务（拆除修复防盗网、打孔、高层搬运和高空作业等）相关费用均包含在报价中，由成交供应商承担，采购人不再另行支付相关费用，同时增加的材料质量须不低于原厂原装的材料质量。安装施工过程不能影响学生的正常作息并及时清理现场卫生。安装结束后应在规定的交付使用时间之前将废弃物移离现场至指定位置，清理妥当，费用包含在报价中。</w:t>
      </w:r>
    </w:p>
    <w:p>
      <w:pPr>
        <w:pStyle w:val="null3"/>
        <w:ind w:firstLine="480"/>
        <w:jc w:val="left"/>
      </w:pPr>
      <w:r>
        <w:rPr>
          <w:rFonts w:ascii="宋体" w:hAnsi="宋体" w:cs="宋体" w:eastAsia="宋体"/>
          <w:sz w:val="24"/>
        </w:rPr>
        <w:t>9</w:t>
      </w:r>
      <w:r>
        <w:rPr>
          <w:rFonts w:ascii="宋体" w:hAnsi="宋体" w:cs="宋体" w:eastAsia="宋体"/>
          <w:sz w:val="24"/>
        </w:rPr>
        <w:t>.1.</w:t>
      </w:r>
      <w:r>
        <w:rPr>
          <w:rFonts w:ascii="宋体" w:hAnsi="宋体" w:cs="宋体" w:eastAsia="宋体"/>
          <w:sz w:val="24"/>
        </w:rPr>
        <w:t>3</w:t>
      </w:r>
      <w:r>
        <w:rPr>
          <w:rFonts w:ascii="宋体" w:hAnsi="宋体" w:cs="宋体" w:eastAsia="宋体"/>
          <w:sz w:val="24"/>
        </w:rPr>
        <w:t>供应商应在合同规定的安装期内完成该项工作。如因供应商责任而造成延期，所有因延期而产生的费用由供应商承担。</w:t>
      </w:r>
    </w:p>
    <w:p>
      <w:pPr>
        <w:pStyle w:val="null3"/>
        <w:ind w:firstLine="480"/>
        <w:jc w:val="left"/>
      </w:pPr>
      <w:r>
        <w:rPr>
          <w:rFonts w:ascii="宋体" w:hAnsi="宋体" w:cs="宋体" w:eastAsia="宋体"/>
          <w:sz w:val="24"/>
        </w:rPr>
        <w:t>9</w:t>
      </w:r>
      <w:r>
        <w:rPr>
          <w:rFonts w:ascii="宋体" w:hAnsi="宋体" w:cs="宋体" w:eastAsia="宋体"/>
          <w:sz w:val="24"/>
        </w:rPr>
        <w:t>.2 验收</w:t>
      </w:r>
    </w:p>
    <w:p>
      <w:pPr>
        <w:pStyle w:val="null3"/>
        <w:ind w:firstLine="480"/>
        <w:jc w:val="left"/>
      </w:pPr>
      <w:r>
        <w:rPr>
          <w:rFonts w:ascii="宋体" w:hAnsi="宋体" w:cs="宋体" w:eastAsia="宋体"/>
          <w:sz w:val="24"/>
        </w:rPr>
        <w:t>9</w:t>
      </w:r>
      <w:r>
        <w:rPr>
          <w:rFonts w:ascii="宋体" w:hAnsi="宋体" w:cs="宋体" w:eastAsia="宋体"/>
          <w:sz w:val="24"/>
        </w:rPr>
        <w:t>.2.1验收标准</w:t>
      </w:r>
    </w:p>
    <w:p>
      <w:pPr>
        <w:pStyle w:val="null3"/>
        <w:ind w:firstLine="480"/>
        <w:jc w:val="left"/>
      </w:pPr>
      <w:r>
        <w:rPr>
          <w:rFonts w:ascii="宋体" w:hAnsi="宋体" w:cs="宋体" w:eastAsia="宋体"/>
          <w:sz w:val="24"/>
        </w:rPr>
        <w:t>9</w:t>
      </w:r>
      <w:r>
        <w:rPr>
          <w:rFonts w:ascii="宋体" w:hAnsi="宋体" w:cs="宋体" w:eastAsia="宋体"/>
          <w:sz w:val="24"/>
        </w:rPr>
        <w:t>.2.1.1供应商所提供的货物必须是制造厂家生产的崭新的未开箱的原包装货物。所有货物按厂家货物验收标准（符合国家或行业或地方标准）、响应文件等有关内容进行验收。供应商提供货物的制造标准及技术规范等有关资料必须符合中国相应有关标准、规范要求。产品质量达到设计要求，安装调试各项指标符合技术参数要求且须通过质检、计量部门的检验。</w:t>
      </w:r>
    </w:p>
    <w:p>
      <w:pPr>
        <w:pStyle w:val="null3"/>
        <w:ind w:firstLine="480"/>
        <w:jc w:val="left"/>
      </w:pPr>
      <w:r>
        <w:rPr>
          <w:rFonts w:ascii="宋体" w:hAnsi="宋体" w:cs="宋体" w:eastAsia="宋体"/>
          <w:sz w:val="24"/>
        </w:rPr>
        <w:t>9</w:t>
      </w:r>
      <w:r>
        <w:rPr>
          <w:rFonts w:ascii="宋体" w:hAnsi="宋体" w:cs="宋体" w:eastAsia="宋体"/>
          <w:sz w:val="24"/>
        </w:rPr>
        <w:t>.2.1.2供应商必须在交货时提供所报产品货物的原厂出厂证明材料，否则不予以验收。</w:t>
      </w:r>
    </w:p>
    <w:p>
      <w:pPr>
        <w:pStyle w:val="null3"/>
        <w:ind w:firstLine="480"/>
        <w:jc w:val="left"/>
      </w:pPr>
      <w:r>
        <w:rPr>
          <w:rFonts w:ascii="宋体" w:hAnsi="宋体" w:cs="宋体" w:eastAsia="宋体"/>
          <w:sz w:val="24"/>
        </w:rPr>
        <w:t>9</w:t>
      </w:r>
      <w:r>
        <w:rPr>
          <w:rFonts w:ascii="宋体" w:hAnsi="宋体" w:cs="宋体" w:eastAsia="宋体"/>
          <w:sz w:val="24"/>
        </w:rPr>
        <w:t>.2.2验收程序和方法</w:t>
      </w:r>
    </w:p>
    <w:p>
      <w:pPr>
        <w:pStyle w:val="null3"/>
        <w:ind w:firstLine="480"/>
        <w:jc w:val="left"/>
      </w:pPr>
      <w:r>
        <w:rPr>
          <w:rFonts w:ascii="宋体" w:hAnsi="宋体" w:cs="宋体" w:eastAsia="宋体"/>
          <w:sz w:val="24"/>
        </w:rPr>
        <w:t>9</w:t>
      </w:r>
      <w:r>
        <w:rPr>
          <w:rFonts w:ascii="宋体" w:hAnsi="宋体" w:cs="宋体" w:eastAsia="宋体"/>
          <w:sz w:val="24"/>
        </w:rPr>
        <w:t>.2.2.1出厂检验</w:t>
      </w:r>
    </w:p>
    <w:p>
      <w:pPr>
        <w:pStyle w:val="null3"/>
        <w:ind w:firstLine="480"/>
        <w:jc w:val="left"/>
      </w:pPr>
      <w:r>
        <w:rPr>
          <w:rFonts w:ascii="宋体" w:hAnsi="宋体" w:cs="宋体" w:eastAsia="宋体"/>
          <w:sz w:val="24"/>
        </w:rPr>
        <w:t>供应商在产品出厂前，应按产品技术标准规定的检验项目和检验方法进行全面检验，供应商应随同货物出具供货证明、产地证书、出厂检验报告、质量合格证书、原装拼配货物的证明资料和文件以及生产厂家供货确认函等。结果必须符合第</w:t>
      </w:r>
      <w:r>
        <w:rPr>
          <w:rFonts w:ascii="宋体" w:hAnsi="宋体" w:cs="宋体" w:eastAsia="宋体"/>
          <w:sz w:val="24"/>
        </w:rPr>
        <w:t>9</w:t>
      </w:r>
      <w:r>
        <w:rPr>
          <w:rFonts w:ascii="宋体" w:hAnsi="宋体" w:cs="宋体" w:eastAsia="宋体"/>
          <w:sz w:val="24"/>
        </w:rPr>
        <w:t>.2.1款验收标准的要求。</w:t>
      </w:r>
    </w:p>
    <w:p>
      <w:pPr>
        <w:pStyle w:val="null3"/>
        <w:ind w:firstLine="480"/>
        <w:jc w:val="left"/>
      </w:pPr>
      <w:r>
        <w:rPr>
          <w:rFonts w:ascii="宋体" w:hAnsi="宋体" w:cs="宋体" w:eastAsia="宋体"/>
          <w:sz w:val="24"/>
        </w:rPr>
        <w:t>9</w:t>
      </w:r>
      <w:r>
        <w:rPr>
          <w:rFonts w:ascii="宋体" w:hAnsi="宋体" w:cs="宋体" w:eastAsia="宋体"/>
          <w:sz w:val="24"/>
        </w:rPr>
        <w:t>.2.2.2初验收：</w:t>
      </w:r>
    </w:p>
    <w:p>
      <w:pPr>
        <w:pStyle w:val="null3"/>
        <w:ind w:firstLine="480"/>
        <w:jc w:val="left"/>
      </w:pPr>
      <w:r>
        <w:rPr>
          <w:rFonts w:ascii="宋体" w:hAnsi="宋体" w:cs="宋体" w:eastAsia="宋体"/>
          <w:sz w:val="24"/>
        </w:rPr>
        <w:t>由供应商和采购人共同对货物的数量、质量、外包装等根据本章节的有关规定逐项检验。</w:t>
      </w:r>
    </w:p>
    <w:p>
      <w:pPr>
        <w:pStyle w:val="null3"/>
        <w:ind w:firstLine="480"/>
        <w:jc w:val="left"/>
      </w:pPr>
      <w:r>
        <w:rPr>
          <w:rFonts w:ascii="宋体" w:hAnsi="宋体" w:cs="宋体" w:eastAsia="宋体"/>
          <w:sz w:val="24"/>
        </w:rPr>
        <w:t>9</w:t>
      </w:r>
      <w:r>
        <w:rPr>
          <w:rFonts w:ascii="宋体" w:hAnsi="宋体" w:cs="宋体" w:eastAsia="宋体"/>
          <w:sz w:val="24"/>
        </w:rPr>
        <w:t>.2.2.3</w:t>
      </w:r>
      <w:r>
        <w:rPr>
          <w:rFonts w:ascii="宋体" w:hAnsi="宋体" w:cs="宋体" w:eastAsia="宋体"/>
          <w:sz w:val="24"/>
        </w:rPr>
        <w:t>最终验收</w:t>
      </w:r>
      <w:r>
        <w:rPr>
          <w:rFonts w:ascii="宋体" w:hAnsi="宋体" w:cs="宋体" w:eastAsia="宋体"/>
          <w:sz w:val="24"/>
        </w:rPr>
        <w:t>：</w:t>
      </w:r>
    </w:p>
    <w:p>
      <w:pPr>
        <w:pStyle w:val="null3"/>
        <w:ind w:firstLine="480"/>
        <w:jc w:val="left"/>
      </w:pPr>
      <w:r>
        <w:rPr>
          <w:rFonts w:ascii="宋体" w:hAnsi="宋体" w:cs="宋体" w:eastAsia="宋体"/>
          <w:sz w:val="24"/>
        </w:rPr>
        <w:t>货物安装完毕后，供应商应对货物的整体性能和功能进行测试，试运行期间，出现的任何问题，应由供应商及时处理修正。</w:t>
      </w:r>
      <w:r>
        <w:rPr>
          <w:rFonts w:ascii="宋体" w:hAnsi="宋体" w:cs="宋体" w:eastAsia="宋体"/>
          <w:sz w:val="24"/>
        </w:rPr>
        <w:t>安装调试后</w:t>
      </w:r>
      <w:r>
        <w:rPr>
          <w:rFonts w:ascii="宋体" w:hAnsi="宋体" w:cs="宋体" w:eastAsia="宋体"/>
          <w:sz w:val="24"/>
        </w:rPr>
        <w:t>由采购人</w:t>
      </w:r>
      <w:r>
        <w:rPr>
          <w:rFonts w:ascii="宋体" w:hAnsi="宋体" w:cs="宋体" w:eastAsia="宋体"/>
          <w:sz w:val="24"/>
        </w:rPr>
        <w:t>或</w:t>
      </w:r>
      <w:r>
        <w:rPr>
          <w:rFonts w:ascii="宋体" w:hAnsi="宋体" w:cs="宋体" w:eastAsia="宋体"/>
          <w:sz w:val="24"/>
        </w:rPr>
        <w:t>邀请专家</w:t>
      </w:r>
      <w:r>
        <w:rPr>
          <w:rFonts w:ascii="宋体" w:hAnsi="宋体" w:cs="宋体" w:eastAsia="宋体"/>
          <w:sz w:val="24"/>
        </w:rPr>
        <w:t>（</w:t>
      </w:r>
      <w:r>
        <w:rPr>
          <w:rFonts w:ascii="宋体" w:hAnsi="宋体" w:cs="宋体" w:eastAsia="宋体"/>
          <w:sz w:val="24"/>
        </w:rPr>
        <w:t>若有）</w:t>
      </w:r>
      <w:r>
        <w:rPr>
          <w:rFonts w:ascii="宋体" w:hAnsi="宋体" w:cs="宋体" w:eastAsia="宋体"/>
          <w:sz w:val="24"/>
        </w:rPr>
        <w:t>或有关管理部门</w:t>
      </w:r>
      <w:r>
        <w:rPr>
          <w:rFonts w:ascii="宋体" w:hAnsi="宋体" w:cs="宋体" w:eastAsia="宋体"/>
          <w:sz w:val="24"/>
        </w:rPr>
        <w:t>（</w:t>
      </w:r>
      <w:r>
        <w:rPr>
          <w:rFonts w:ascii="宋体" w:hAnsi="宋体" w:cs="宋体" w:eastAsia="宋体"/>
          <w:sz w:val="24"/>
        </w:rPr>
        <w:t>若有）</w:t>
      </w:r>
      <w:r>
        <w:rPr>
          <w:rFonts w:ascii="宋体" w:hAnsi="宋体" w:cs="宋体" w:eastAsia="宋体"/>
          <w:sz w:val="24"/>
        </w:rPr>
        <w:t>按</w:t>
      </w:r>
      <w:r>
        <w:rPr>
          <w:rFonts w:ascii="宋体" w:hAnsi="宋体" w:cs="宋体" w:eastAsia="宋体"/>
          <w:sz w:val="24"/>
        </w:rPr>
        <w:t>谈判文件</w:t>
      </w:r>
      <w:r>
        <w:rPr>
          <w:rFonts w:ascii="宋体" w:hAnsi="宋体" w:cs="宋体" w:eastAsia="宋体"/>
          <w:sz w:val="24"/>
        </w:rPr>
        <w:t>以及合同相关条款要求一同对货物进行联合验收，验收结果应符合采购人使用要求。在此期间，若发现产品质量有问题供应商应无条件更换，并无条件重新</w:t>
      </w:r>
      <w:r>
        <w:rPr>
          <w:rFonts w:ascii="宋体" w:hAnsi="宋体" w:cs="宋体" w:eastAsia="宋体"/>
          <w:sz w:val="24"/>
        </w:rPr>
        <w:t>调整</w:t>
      </w:r>
      <w:r>
        <w:rPr>
          <w:rFonts w:ascii="宋体" w:hAnsi="宋体" w:cs="宋体" w:eastAsia="宋体"/>
          <w:sz w:val="24"/>
        </w:rPr>
        <w:t>并调试直至验收合格交付使用。</w:t>
      </w:r>
    </w:p>
    <w:p>
      <w:pPr>
        <w:pStyle w:val="null3"/>
        <w:ind w:firstLine="480"/>
        <w:jc w:val="left"/>
      </w:pPr>
      <w:r>
        <w:rPr>
          <w:rFonts w:ascii="宋体" w:hAnsi="宋体" w:cs="宋体" w:eastAsia="宋体"/>
          <w:sz w:val="24"/>
        </w:rPr>
        <w:t>9</w:t>
      </w:r>
      <w:r>
        <w:rPr>
          <w:rFonts w:ascii="宋体" w:hAnsi="宋体" w:cs="宋体" w:eastAsia="宋体"/>
          <w:sz w:val="24"/>
        </w:rPr>
        <w:t>.2.3供应商在采购人安装现场进行最终验收所发生的一切费用均由供应商承担（并入报价总价内）。</w:t>
      </w:r>
    </w:p>
    <w:p>
      <w:pPr>
        <w:pStyle w:val="null3"/>
        <w:ind w:firstLine="480"/>
        <w:jc w:val="left"/>
      </w:pPr>
      <w:r>
        <w:rPr>
          <w:rFonts w:ascii="宋体" w:hAnsi="宋体" w:cs="宋体" w:eastAsia="宋体"/>
          <w:sz w:val="24"/>
        </w:rPr>
        <w:t>9</w:t>
      </w:r>
      <w:r>
        <w:rPr>
          <w:rFonts w:ascii="宋体" w:hAnsi="宋体" w:cs="宋体" w:eastAsia="宋体"/>
          <w:sz w:val="24"/>
        </w:rPr>
        <w:t>.2.4若验收不能符合要求，按虚假应标处理，采购人可视情况决定是否终止合同，并赔偿采购人一切损失。</w:t>
      </w:r>
    </w:p>
    <w:p>
      <w:pPr>
        <w:pStyle w:val="null3"/>
        <w:ind w:firstLine="480"/>
        <w:jc w:val="left"/>
      </w:pPr>
      <w:r>
        <w:rPr>
          <w:rFonts w:ascii="宋体" w:hAnsi="宋体" w:cs="宋体" w:eastAsia="宋体"/>
          <w:sz w:val="24"/>
          <w:b/>
        </w:rPr>
        <w:t>10</w:t>
      </w:r>
      <w:r>
        <w:rPr>
          <w:rFonts w:ascii="宋体" w:hAnsi="宋体" w:cs="宋体" w:eastAsia="宋体"/>
          <w:sz w:val="24"/>
          <w:b/>
        </w:rPr>
        <w:t>.售后服务要求</w:t>
      </w:r>
    </w:p>
    <w:p>
      <w:pPr>
        <w:pStyle w:val="null3"/>
        <w:ind w:firstLine="480"/>
        <w:jc w:val="left"/>
      </w:pPr>
      <w:r>
        <w:rPr>
          <w:rFonts w:ascii="宋体" w:hAnsi="宋体" w:cs="宋体" w:eastAsia="宋体"/>
          <w:sz w:val="24"/>
          <w:shd w:fill="FFFFFF" w:val="clear"/>
        </w:rPr>
        <w:t>10</w:t>
      </w:r>
      <w:r>
        <w:rPr>
          <w:rFonts w:ascii="宋体" w:hAnsi="宋体" w:cs="宋体" w:eastAsia="宋体"/>
          <w:sz w:val="24"/>
          <w:shd w:fill="FFFFFF" w:val="clear"/>
        </w:rPr>
        <w:t>.1供应商应提供</w:t>
      </w:r>
      <w:r>
        <w:rPr>
          <w:rFonts w:ascii="宋体" w:hAnsi="宋体" w:cs="宋体" w:eastAsia="宋体"/>
          <w:sz w:val="24"/>
          <w:shd w:fill="FFFFFF" w:val="clear"/>
        </w:rPr>
        <w:t>6</w:t>
      </w:r>
      <w:r>
        <w:rPr>
          <w:rFonts w:ascii="宋体" w:hAnsi="宋体" w:cs="宋体" w:eastAsia="宋体"/>
          <w:sz w:val="24"/>
          <w:shd w:fill="FFFFFF" w:val="clear"/>
        </w:rPr>
        <w:t>年保修服务，质保期自验收合格签名之日第二天起计算。质保期内如出现因制造、运输、装卸等原因造成的质量问题，供应商应负责维修、更换。质保期后出现故障，只收取基本维护费用。所需配件应为生产厂家原装配件，其价格应低于市场价。</w:t>
      </w:r>
    </w:p>
    <w:p>
      <w:pPr>
        <w:pStyle w:val="null3"/>
        <w:ind w:firstLine="480"/>
        <w:jc w:val="left"/>
      </w:pPr>
      <w:r>
        <w:rPr>
          <w:rFonts w:ascii="宋体" w:hAnsi="宋体" w:cs="宋体" w:eastAsia="宋体"/>
          <w:sz w:val="24"/>
          <w:shd w:fill="FFFFFF" w:val="clear"/>
        </w:rPr>
        <w:t>10</w:t>
      </w:r>
      <w:r>
        <w:rPr>
          <w:rFonts w:ascii="宋体" w:hAnsi="宋体" w:cs="宋体" w:eastAsia="宋体"/>
          <w:sz w:val="24"/>
          <w:shd w:fill="FFFFFF" w:val="clear"/>
        </w:rPr>
        <w:t>.2供应商须保证所提供的产品是原装产品，并在各个方面符合谈判文件规定。保证产品经过正确安装、合理操作和维护保养。</w:t>
      </w:r>
    </w:p>
    <w:p>
      <w:pPr>
        <w:pStyle w:val="null3"/>
        <w:ind w:firstLine="480"/>
        <w:jc w:val="left"/>
      </w:pPr>
      <w:r>
        <w:rPr>
          <w:rFonts w:ascii="宋体" w:hAnsi="宋体" w:cs="宋体" w:eastAsia="宋体"/>
          <w:sz w:val="24"/>
          <w:shd w:fill="FFFFFF" w:val="clear"/>
        </w:rPr>
        <w:t>10</w:t>
      </w:r>
      <w:r>
        <w:rPr>
          <w:rFonts w:ascii="宋体" w:hAnsi="宋体" w:cs="宋体" w:eastAsia="宋体"/>
          <w:sz w:val="24"/>
          <w:shd w:fill="FFFFFF" w:val="clear"/>
        </w:rPr>
        <w:t>.3质保期内若货物在</w:t>
      </w:r>
      <w:r>
        <w:rPr>
          <w:rFonts w:ascii="宋体" w:hAnsi="宋体" w:cs="宋体" w:eastAsia="宋体"/>
          <w:sz w:val="24"/>
          <w:shd w:fill="FFFFFF" w:val="clear"/>
        </w:rPr>
        <w:t>使用过程</w:t>
      </w:r>
      <w:r>
        <w:rPr>
          <w:rFonts w:ascii="宋体" w:hAnsi="宋体" w:cs="宋体" w:eastAsia="宋体"/>
          <w:sz w:val="24"/>
          <w:shd w:fill="FFFFFF" w:val="clear"/>
        </w:rPr>
        <w:t>中发生问题，供应商在接到采购人故障通知后</w:t>
      </w:r>
      <w:r>
        <w:rPr>
          <w:rFonts w:ascii="宋体" w:hAnsi="宋体" w:cs="宋体" w:eastAsia="宋体"/>
          <w:sz w:val="24"/>
          <w:shd w:fill="FFFFFF" w:val="clear"/>
        </w:rPr>
        <w:t>1</w:t>
      </w:r>
      <w:r>
        <w:rPr>
          <w:rFonts w:ascii="宋体" w:hAnsi="宋体" w:cs="宋体" w:eastAsia="宋体"/>
          <w:sz w:val="24"/>
          <w:shd w:fill="FFFFFF" w:val="clear"/>
        </w:rPr>
        <w:t>小时内响应，</w:t>
      </w:r>
      <w:r>
        <w:rPr>
          <w:rFonts w:ascii="宋体" w:hAnsi="宋体" w:cs="宋体" w:eastAsia="宋体"/>
          <w:sz w:val="24"/>
          <w:shd w:fill="FFFFFF" w:val="clear"/>
        </w:rPr>
        <w:t>12</w:t>
      </w:r>
      <w:r>
        <w:rPr>
          <w:rFonts w:ascii="宋体" w:hAnsi="宋体" w:cs="宋体" w:eastAsia="宋体"/>
          <w:sz w:val="24"/>
          <w:shd w:fill="FFFFFF" w:val="clear"/>
        </w:rPr>
        <w:t>小时内委派专业技术人员到现场提供维修和更换零部件等服务</w:t>
      </w:r>
      <w:r>
        <w:rPr>
          <w:rFonts w:ascii="宋体" w:hAnsi="宋体" w:cs="宋体" w:eastAsia="宋体"/>
          <w:sz w:val="24"/>
          <w:shd w:fill="FFFFFF" w:val="clear"/>
        </w:rPr>
        <w:t>,24小时内维修保养到位</w:t>
      </w:r>
      <w:r>
        <w:rPr>
          <w:rFonts w:ascii="宋体" w:hAnsi="宋体" w:cs="宋体" w:eastAsia="宋体"/>
          <w:sz w:val="24"/>
          <w:shd w:fill="FFFFFF" w:val="clear"/>
        </w:rPr>
        <w:t>；若供应商超过</w:t>
      </w:r>
      <w:r>
        <w:rPr>
          <w:rFonts w:ascii="宋体" w:hAnsi="宋体" w:cs="宋体" w:eastAsia="宋体"/>
          <w:sz w:val="24"/>
          <w:shd w:fill="FFFFFF" w:val="clear"/>
        </w:rPr>
        <w:t>24</w:t>
      </w:r>
      <w:r>
        <w:rPr>
          <w:rFonts w:ascii="宋体" w:hAnsi="宋体" w:cs="宋体" w:eastAsia="宋体"/>
          <w:sz w:val="24"/>
          <w:shd w:fill="FFFFFF" w:val="clear"/>
        </w:rPr>
        <w:t>小时仍未到达现场维修，采购人有权另请他人维修，维修所产生的全部费用由供应商承担。质保期内，供应商有责任对设备货物进行不定期的巡查检修。</w:t>
      </w:r>
    </w:p>
    <w:p>
      <w:pPr>
        <w:pStyle w:val="null3"/>
        <w:ind w:firstLine="480"/>
        <w:jc w:val="left"/>
      </w:pPr>
      <w:r>
        <w:rPr>
          <w:rFonts w:ascii="宋体" w:hAnsi="宋体" w:cs="宋体" w:eastAsia="宋体"/>
          <w:sz w:val="24"/>
          <w:b/>
        </w:rPr>
        <w:t>1</w:t>
      </w:r>
      <w:r>
        <w:rPr>
          <w:rFonts w:ascii="宋体" w:hAnsi="宋体" w:cs="宋体" w:eastAsia="宋体"/>
          <w:sz w:val="24"/>
          <w:b/>
        </w:rPr>
        <w:t>1</w:t>
      </w:r>
      <w:r>
        <w:rPr>
          <w:rFonts w:ascii="宋体" w:hAnsi="宋体" w:cs="宋体" w:eastAsia="宋体"/>
          <w:sz w:val="24"/>
          <w:b/>
        </w:rPr>
        <w:t>.违约责任</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.1因成交供应商原因造成采购合同无法按时签订的，视为成交供应商违约，对采购人造成的损失的，成交供应商还需另行支付相应的赔偿。</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.2在签定采购合同之后，有下列情形之一的，将视为成交供应商违约，采购人有权要求成交供应商进行赔偿：</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.2.1签定合同后，成交供应商未按合同规定提供服务的；</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.2.2成交供应商逾期交货的，每逾期一天，按合同价格的1%偿付违约金；逾期超过30日以上，采购人可单方解除合同，并按合同金额的10%支付违约金；</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.2.3成交供应商不能交货或不能完成合同的（不可抗力因素造成的除外），成交供应商应双倍返还采购人已支付的款项（如有）；</w:t>
      </w:r>
    </w:p>
    <w:p>
      <w:pPr>
        <w:pStyle w:val="null3"/>
        <w:ind w:firstLine="480"/>
        <w:jc w:val="left"/>
      </w:pPr>
      <w:r>
        <w:rPr>
          <w:rFonts w:ascii="宋体" w:hAnsi="宋体" w:cs="宋体" w:eastAsia="宋体"/>
          <w:sz w:val="24"/>
        </w:rPr>
        <w:t>10.2.4成交供应商提供的货物质量、规格达不到要求的，应在双方约定的时间内提供符合</w:t>
      </w:r>
      <w:r>
        <w:rPr>
          <w:rFonts w:ascii="宋体" w:hAnsi="宋体" w:cs="宋体" w:eastAsia="宋体"/>
          <w:sz w:val="24"/>
        </w:rPr>
        <w:t>谈判文件</w:t>
      </w:r>
      <w:r>
        <w:rPr>
          <w:rFonts w:ascii="宋体" w:hAnsi="宋体" w:cs="宋体" w:eastAsia="宋体"/>
          <w:sz w:val="24"/>
        </w:rPr>
        <w:t>的货物，采购人有权要求成交供应商支付合同金额的</w:t>
      </w:r>
      <w:r>
        <w:rPr>
          <w:rFonts w:ascii="宋体" w:hAnsi="宋体" w:cs="宋体" w:eastAsia="宋体"/>
          <w:sz w:val="24"/>
        </w:rPr>
        <w:t>10%作为违约金，造成采购人损失的，成交供应商还应支付相应的费用；</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.2.5成交供应商未能按合同规定履行其义务的，每发现一次扣除1000元；</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.2.6在签定采购合同之后，成交供应商要求解除合同的；</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3本合同所有服务，都必须由成交供应商自己或在响应文件中明确的单位承担，不得以任何名义和理由进行分包或转包。如有发现，视为成交供应商违约，采购人有权单方终止合同，对采购人造成损失的，需另行支付相应的赔偿。</w:t>
      </w:r>
    </w:p>
    <w:p>
      <w:pPr>
        <w:pStyle w:val="null3"/>
        <w:ind w:firstLine="480"/>
        <w:jc w:val="left"/>
      </w:pPr>
      <w:r>
        <w:rPr>
          <w:rFonts w:ascii="宋体" w:hAnsi="宋体" w:cs="宋体" w:eastAsia="宋体"/>
          <w:sz w:val="24"/>
        </w:rPr>
        <w:t>11.4</w:t>
      </w:r>
      <w:r>
        <w:rPr>
          <w:rFonts w:ascii="宋体" w:hAnsi="宋体" w:cs="宋体" w:eastAsia="宋体"/>
          <w:sz w:val="24"/>
        </w:rPr>
        <w:t>在项目履行期间，</w:t>
      </w:r>
      <w:r>
        <w:rPr>
          <w:rFonts w:ascii="宋体" w:hAnsi="宋体" w:cs="宋体" w:eastAsia="宋体"/>
          <w:sz w:val="24"/>
        </w:rPr>
        <w:t>因成交供应商原因发生重大质量事故，除依约承担赔偿责任外，还将按有关质量管理办法规定执行。同时，采购人有权保留更换成交供应商的权利，并报相关行政主管部门处罚</w:t>
      </w:r>
      <w:r>
        <w:rPr>
          <w:rFonts w:ascii="宋体" w:hAnsi="宋体" w:cs="宋体" w:eastAsia="宋体"/>
          <w:sz w:val="24"/>
        </w:rPr>
        <w:t>。</w:t>
      </w:r>
    </w:p>
    <w:p>
      <w:pPr>
        <w:pStyle w:val="null3"/>
        <w:ind w:firstLine="480"/>
        <w:jc w:val="left"/>
      </w:pPr>
      <w:r>
        <w:rPr>
          <w:rFonts w:ascii="宋体" w:hAnsi="宋体" w:cs="宋体" w:eastAsia="宋体"/>
          <w:sz w:val="24"/>
        </w:rPr>
        <w:t>11.5</w:t>
      </w:r>
      <w:r>
        <w:rPr>
          <w:rFonts w:ascii="宋体" w:hAnsi="宋体" w:cs="宋体" w:eastAsia="宋体"/>
          <w:sz w:val="24"/>
        </w:rPr>
        <w:t>在项目履行期间，</w:t>
      </w:r>
      <w:r>
        <w:rPr>
          <w:rFonts w:ascii="宋体" w:hAnsi="宋体" w:cs="宋体" w:eastAsia="宋体"/>
          <w:sz w:val="24"/>
        </w:rPr>
        <w:t>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w:t>
      </w:r>
      <w:r>
        <w:rPr>
          <w:rFonts w:ascii="宋体" w:hAnsi="宋体" w:cs="宋体" w:eastAsia="宋体"/>
          <w:sz w:val="24"/>
        </w:rPr>
        <w:t>6</w:t>
      </w:r>
      <w:r>
        <w:rPr>
          <w:rFonts w:ascii="宋体" w:hAnsi="宋体" w:cs="宋体" w:eastAsia="宋体"/>
          <w:sz w:val="24"/>
        </w:rPr>
        <w:t>在明确违约责任后，成交供应商应在接到书面通知书起七天内支付违约金、赔偿金等。</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w:t>
      </w:r>
      <w:r>
        <w:rPr>
          <w:rFonts w:ascii="宋体" w:hAnsi="宋体" w:cs="宋体" w:eastAsia="宋体"/>
          <w:sz w:val="24"/>
        </w:rPr>
        <w:t>7</w:t>
      </w:r>
      <w:r>
        <w:rPr>
          <w:rFonts w:ascii="宋体" w:hAnsi="宋体" w:cs="宋体" w:eastAsia="宋体"/>
          <w:sz w:val="24"/>
        </w:rPr>
        <w:t>本</w:t>
      </w:r>
      <w:r>
        <w:rPr>
          <w:rFonts w:ascii="宋体" w:hAnsi="宋体" w:cs="宋体" w:eastAsia="宋体"/>
          <w:sz w:val="24"/>
        </w:rPr>
        <w:t>谈判文件</w:t>
      </w:r>
      <w:r>
        <w:rPr>
          <w:rFonts w:ascii="宋体" w:hAnsi="宋体" w:cs="宋体" w:eastAsia="宋体"/>
          <w:sz w:val="24"/>
        </w:rPr>
        <w:t>未明确的其它约定事项或条款，待采购人与成交供应商签订合同时，由双方协商订立。</w:t>
      </w:r>
    </w:p>
    <w:p>
      <w:pPr>
        <w:pStyle w:val="null3"/>
        <w:ind w:firstLine="480"/>
        <w:jc w:val="both"/>
      </w:pPr>
      <w:r>
        <w:rPr>
          <w:rFonts w:ascii="宋体" w:hAnsi="宋体" w:cs="宋体" w:eastAsia="宋体"/>
          <w:sz w:val="24"/>
          <w:b/>
        </w:rPr>
        <w:t>1</w:t>
      </w:r>
      <w:r>
        <w:rPr>
          <w:rFonts w:ascii="宋体" w:hAnsi="宋体" w:cs="宋体" w:eastAsia="宋体"/>
          <w:sz w:val="24"/>
          <w:b/>
        </w:rPr>
        <w:t>2</w:t>
      </w:r>
      <w:r>
        <w:rPr>
          <w:rFonts w:ascii="宋体" w:hAnsi="宋体" w:cs="宋体" w:eastAsia="宋体"/>
          <w:sz w:val="24"/>
          <w:b/>
        </w:rPr>
        <w:t>.知识产权</w:t>
      </w:r>
    </w:p>
    <w:p>
      <w:pPr>
        <w:pStyle w:val="null3"/>
        <w:ind w:firstLine="480"/>
        <w:jc w:val="both"/>
      </w:pPr>
      <w:r>
        <w:rPr>
          <w:rFonts w:ascii="宋体" w:hAnsi="宋体" w:cs="宋体" w:eastAsia="宋体"/>
          <w:sz w:val="24"/>
        </w:rPr>
        <w:t>1</w:t>
      </w:r>
      <w:r>
        <w:rPr>
          <w:rFonts w:ascii="宋体" w:hAnsi="宋体" w:cs="宋体" w:eastAsia="宋体"/>
          <w:sz w:val="24"/>
        </w:rPr>
        <w:t>2</w:t>
      </w:r>
      <w:r>
        <w:rPr>
          <w:rFonts w:ascii="宋体" w:hAnsi="宋体" w:cs="宋体" w:eastAsia="宋体"/>
          <w:sz w:val="24"/>
        </w:rPr>
        <w:t>.1成交供应商提供的采购标的应符合国家知识产权法律、法规的规定且非假冒伪劣品；成交供应商还应保证采购人不受到第三方关于侵犯知识产权及专利权、商标权或工业设计权等知识产权方面的指控，若任何第三方提出此方面指控均与采购人无关，成交供应商应与第三方交涉，并承担可能发生的一切法律责任、费用和后果；若采购人因此而遭致损失，则成交供应商应赔偿该损失。</w:t>
      </w:r>
    </w:p>
    <w:p>
      <w:pPr>
        <w:pStyle w:val="null3"/>
        <w:ind w:firstLine="480"/>
        <w:jc w:val="both"/>
      </w:pPr>
      <w:r>
        <w:rPr>
          <w:rFonts w:ascii="宋体" w:hAnsi="宋体" w:cs="宋体" w:eastAsia="宋体"/>
          <w:sz w:val="24"/>
        </w:rPr>
        <w:t>1</w:t>
      </w:r>
      <w:r>
        <w:rPr>
          <w:rFonts w:ascii="宋体" w:hAnsi="宋体" w:cs="宋体" w:eastAsia="宋体"/>
          <w:sz w:val="24"/>
        </w:rPr>
        <w:t>2</w:t>
      </w:r>
      <w:r>
        <w:rPr>
          <w:rFonts w:ascii="宋体" w:hAnsi="宋体" w:cs="宋体" w:eastAsia="宋体"/>
          <w:sz w:val="24"/>
        </w:rPr>
        <w:t>.2若成交供应商提供的采购标的不符合国家知识产权法律、法规的规定或被有关主管机关认定为假冒伪劣品，则采购人有权单方解除与成交供应商签订的合同；没收全部履约保证金，同时采购人还将按照有关法律、法规和规章的规定进行处理。</w:t>
      </w:r>
    </w:p>
    <w:p>
      <w:pPr>
        <w:pStyle w:val="null3"/>
        <w:jc w:val="left"/>
      </w:pPr>
      <w:r>
        <w:rPr>
          <w:rFonts w:ascii="宋体" w:hAnsi="宋体" w:cs="宋体" w:eastAsia="宋体"/>
          <w:sz w:val="24"/>
          <w:b/>
        </w:rPr>
        <w:t>1</w:t>
      </w:r>
      <w:r>
        <w:rPr>
          <w:rFonts w:ascii="宋体" w:hAnsi="宋体" w:cs="宋体" w:eastAsia="宋体"/>
          <w:sz w:val="24"/>
          <w:b/>
        </w:rPr>
        <w:t>3</w:t>
      </w:r>
      <w:r>
        <w:rPr>
          <w:rFonts w:ascii="宋体" w:hAnsi="宋体" w:cs="宋体" w:eastAsia="宋体"/>
          <w:sz w:val="24"/>
          <w:b/>
        </w:rPr>
        <w:t>.其他约定</w:t>
      </w:r>
    </w:p>
    <w:p>
      <w:pPr>
        <w:pStyle w:val="null3"/>
        <w:ind w:firstLine="480"/>
        <w:jc w:val="both"/>
      </w:pPr>
      <w:r>
        <w:rPr>
          <w:rFonts w:ascii="宋体" w:hAnsi="宋体" w:cs="宋体" w:eastAsia="宋体"/>
          <w:sz w:val="24"/>
        </w:rPr>
        <w:t>1</w:t>
      </w:r>
      <w:r>
        <w:rPr>
          <w:rFonts w:ascii="宋体" w:hAnsi="宋体" w:cs="宋体" w:eastAsia="宋体"/>
          <w:sz w:val="24"/>
        </w:rPr>
        <w:t>3</w:t>
      </w:r>
      <w:r>
        <w:rPr>
          <w:rFonts w:ascii="宋体" w:hAnsi="宋体" w:cs="宋体" w:eastAsia="宋体"/>
          <w:sz w:val="24"/>
        </w:rPr>
        <w:t>.1供应商必须对其响应文件中提供各种资料、说明、声明的真实性负责。供应商若提供虚假资料谋取成交的其投标无效，投标保证金将不予退还，并列入不良行为记录名单并根据本文件和相关法律法规追究其相关责任，其中：虚假资料若在评标过程中，还将视为无效响应；若在评标定标后发现，还将取消其成交资格。采购人有权在签订合同之前（或合同履行过程中）对成交供应商响应文件中的承诺内容和证明材料进行核查，成交供应商应无条件配合采购人的核查工作，不得托词拒绝核查或隐瞒真实情况，否则采购人有权视供应商资料、说明和承诺等内容失实；若在签订合同时发现，采购人还将取消其合同签订，给采购人造成损失的，需另行赔偿并负相关责任。</w:t>
      </w:r>
    </w:p>
    <w:p>
      <w:pPr>
        <w:pStyle w:val="null3"/>
        <w:ind w:firstLine="480"/>
        <w:jc w:val="both"/>
      </w:pPr>
      <w:r>
        <w:rPr>
          <w:rFonts w:ascii="宋体" w:hAnsi="宋体" w:cs="宋体" w:eastAsia="宋体"/>
          <w:sz w:val="24"/>
        </w:rPr>
        <w:t>1</w:t>
      </w:r>
      <w:r>
        <w:rPr>
          <w:rFonts w:ascii="宋体" w:hAnsi="宋体" w:cs="宋体" w:eastAsia="宋体"/>
          <w:sz w:val="24"/>
        </w:rPr>
        <w:t>3</w:t>
      </w:r>
      <w:r>
        <w:rPr>
          <w:rFonts w:ascii="宋体" w:hAnsi="宋体" w:cs="宋体" w:eastAsia="宋体"/>
          <w:sz w:val="24"/>
        </w:rPr>
        <w:t>.2供应商应根据</w:t>
      </w:r>
      <w:r>
        <w:rPr>
          <w:rFonts w:ascii="宋体" w:hAnsi="宋体" w:cs="宋体" w:eastAsia="宋体"/>
          <w:sz w:val="24"/>
        </w:rPr>
        <w:t>谈判文件</w:t>
      </w:r>
      <w:r>
        <w:rPr>
          <w:rFonts w:ascii="宋体" w:hAnsi="宋体" w:cs="宋体" w:eastAsia="宋体"/>
          <w:sz w:val="24"/>
        </w:rPr>
        <w:t>要求提供自己产品的响应，并应在响应文件中列出全部技术和服务要求、商务条件相对于本</w:t>
      </w:r>
      <w:r>
        <w:rPr>
          <w:rFonts w:ascii="宋体" w:hAnsi="宋体" w:cs="宋体" w:eastAsia="宋体"/>
          <w:sz w:val="24"/>
        </w:rPr>
        <w:t>谈判文件</w:t>
      </w:r>
      <w:r>
        <w:rPr>
          <w:rFonts w:ascii="宋体" w:hAnsi="宋体" w:cs="宋体" w:eastAsia="宋体"/>
          <w:sz w:val="24"/>
        </w:rPr>
        <w:t>对各种技术服务及商务规定的偏离表；供应商应如实填写偏离情况，如果供应商的响应文件已出现不符合招标要求却在偏离情况中作</w:t>
      </w:r>
      <w:r>
        <w:rPr>
          <w:rFonts w:ascii="宋体" w:hAnsi="宋体" w:cs="宋体" w:eastAsia="宋体"/>
          <w:sz w:val="24"/>
        </w:rPr>
        <w:t>“满足”、“无偏离”、“正偏离”等满足采购要求的承诺时，经</w:t>
      </w:r>
      <w:r>
        <w:rPr>
          <w:rFonts w:ascii="宋体" w:hAnsi="宋体" w:cs="宋体" w:eastAsia="宋体"/>
          <w:sz w:val="24"/>
        </w:rPr>
        <w:t>谈判小组</w:t>
      </w:r>
      <w:r>
        <w:rPr>
          <w:rFonts w:ascii="宋体" w:hAnsi="宋体" w:cs="宋体" w:eastAsia="宋体"/>
          <w:sz w:val="24"/>
        </w:rPr>
        <w:t>认定后，作虚假承诺无效</w:t>
      </w:r>
      <w:r>
        <w:rPr>
          <w:rFonts w:ascii="宋体" w:hAnsi="宋体" w:cs="宋体" w:eastAsia="宋体"/>
          <w:sz w:val="24"/>
        </w:rPr>
        <w:t>响应</w:t>
      </w:r>
      <w:r>
        <w:rPr>
          <w:rFonts w:ascii="宋体" w:hAnsi="宋体" w:cs="宋体" w:eastAsia="宋体"/>
          <w:sz w:val="24"/>
        </w:rPr>
        <w:t>处理。</w:t>
      </w:r>
    </w:p>
    <w:p>
      <w:pPr>
        <w:pStyle w:val="null3"/>
        <w:ind w:firstLine="480"/>
        <w:jc w:val="both"/>
      </w:pPr>
      <w:r>
        <w:rPr>
          <w:rFonts w:ascii="宋体" w:hAnsi="宋体" w:cs="宋体" w:eastAsia="宋体"/>
          <w:sz w:val="24"/>
          <w:b/>
        </w:rPr>
        <w:t>采购包</w:t>
      </w:r>
      <w:r>
        <w:rPr>
          <w:rFonts w:ascii="宋体" w:hAnsi="宋体" w:cs="宋体" w:eastAsia="宋体"/>
          <w:sz w:val="24"/>
          <w:b/>
        </w:rPr>
        <w:t>3：</w:t>
      </w:r>
    </w:p>
    <w:p>
      <w:pPr>
        <w:pStyle w:val="null3"/>
        <w:ind w:firstLine="480"/>
        <w:jc w:val="both"/>
      </w:pPr>
      <w:r>
        <w:rPr>
          <w:rFonts w:ascii="宋体" w:hAnsi="宋体" w:cs="宋体" w:eastAsia="宋体"/>
          <w:sz w:val="24"/>
          <w:b/>
        </w:rPr>
        <w:t>8</w:t>
      </w:r>
      <w:r>
        <w:rPr>
          <w:rFonts w:ascii="宋体" w:hAnsi="宋体" w:cs="宋体" w:eastAsia="宋体"/>
          <w:sz w:val="24"/>
          <w:b/>
        </w:rPr>
        <w:t>.货物包装方式</w:t>
      </w:r>
    </w:p>
    <w:p>
      <w:pPr>
        <w:pStyle w:val="null3"/>
        <w:ind w:firstLine="480"/>
        <w:jc w:val="both"/>
      </w:pPr>
      <w:r>
        <w:rPr>
          <w:rFonts w:ascii="宋体" w:hAnsi="宋体" w:cs="宋体" w:eastAsia="宋体"/>
          <w:sz w:val="24"/>
        </w:rPr>
        <w:t>8</w:t>
      </w:r>
      <w:r>
        <w:rPr>
          <w:rFonts w:ascii="宋体" w:hAnsi="宋体" w:cs="宋体" w:eastAsia="宋体"/>
          <w:sz w:val="24"/>
        </w:rPr>
        <w:t>.1包装：货物交货时按福建省财政厅转发财政部办公厅生态环境部办公厅国家邮政局办公室关于印发《商品包装政府采购需求标准（试行）》、《快递包装政府采购需求标准（试行）》的通知（闽财购函[2020]17 号）及国家有关标准要求进行包装。</w:t>
      </w:r>
    </w:p>
    <w:p>
      <w:pPr>
        <w:pStyle w:val="null3"/>
        <w:ind w:firstLine="480"/>
        <w:jc w:val="both"/>
      </w:pPr>
      <w:r>
        <w:rPr>
          <w:rFonts w:ascii="宋体" w:hAnsi="宋体" w:cs="宋体" w:eastAsia="宋体"/>
          <w:sz w:val="24"/>
        </w:rPr>
        <w:t>8</w:t>
      </w:r>
      <w:r>
        <w:rPr>
          <w:rFonts w:ascii="宋体" w:hAnsi="宋体" w:cs="宋体" w:eastAsia="宋体"/>
          <w:sz w:val="24"/>
        </w:rPr>
        <w:t>.2包装与运输方式相适应，包装方式的确定及包装费用均由成交供应商负责；由于不适当的包装而造成货物在运输过程中有任何损坏由成交供应商负责。</w:t>
      </w:r>
    </w:p>
    <w:p>
      <w:pPr>
        <w:pStyle w:val="null3"/>
        <w:ind w:firstLine="480"/>
        <w:jc w:val="both"/>
      </w:pPr>
      <w:r>
        <w:rPr>
          <w:rFonts w:ascii="宋体" w:hAnsi="宋体" w:cs="宋体" w:eastAsia="宋体"/>
          <w:sz w:val="24"/>
        </w:rPr>
        <w:t>注：包装足以承受整个过程中的运输、转运、装卸、储存等，充分考虑到运输途中的各种情况</w:t>
      </w:r>
      <w:r>
        <w:rPr>
          <w:rFonts w:ascii="宋体" w:hAnsi="宋体" w:cs="宋体" w:eastAsia="宋体"/>
          <w:sz w:val="24"/>
        </w:rPr>
        <w:t>(如暴露于恶劣气候等)和所在地区的气候特点，以及露天存放的需要。</w:t>
      </w:r>
    </w:p>
    <w:p>
      <w:pPr>
        <w:pStyle w:val="null3"/>
        <w:ind w:firstLine="480"/>
        <w:jc w:val="left"/>
      </w:pPr>
      <w:r>
        <w:rPr>
          <w:rFonts w:ascii="宋体" w:hAnsi="宋体" w:cs="宋体" w:eastAsia="宋体"/>
          <w:sz w:val="24"/>
          <w:b/>
          <w:shd w:fill="FFFFFF" w:val="clear"/>
        </w:rPr>
        <w:t>9</w:t>
      </w:r>
      <w:r>
        <w:rPr>
          <w:rFonts w:ascii="宋体" w:hAnsi="宋体" w:cs="宋体" w:eastAsia="宋体"/>
          <w:sz w:val="24"/>
          <w:b/>
          <w:shd w:fill="FFFFFF" w:val="clear"/>
        </w:rPr>
        <w:t>.安装及验收</w:t>
      </w:r>
    </w:p>
    <w:p>
      <w:pPr>
        <w:pStyle w:val="null3"/>
        <w:ind w:firstLine="480"/>
        <w:jc w:val="left"/>
      </w:pPr>
      <w:r>
        <w:rPr>
          <w:rFonts w:ascii="宋体" w:hAnsi="宋体" w:cs="宋体" w:eastAsia="宋体"/>
          <w:sz w:val="24"/>
        </w:rPr>
        <w:t>9</w:t>
      </w:r>
      <w:r>
        <w:rPr>
          <w:rFonts w:ascii="宋体" w:hAnsi="宋体" w:cs="宋体" w:eastAsia="宋体"/>
          <w:sz w:val="24"/>
        </w:rPr>
        <w:t>.1 安装与调试</w:t>
      </w:r>
    </w:p>
    <w:p>
      <w:pPr>
        <w:pStyle w:val="null3"/>
        <w:ind w:firstLine="480"/>
        <w:jc w:val="left"/>
      </w:pPr>
      <w:r>
        <w:rPr>
          <w:rFonts w:ascii="宋体" w:hAnsi="宋体" w:cs="宋体" w:eastAsia="宋体"/>
          <w:sz w:val="24"/>
        </w:rPr>
        <w:t>9</w:t>
      </w:r>
      <w:r>
        <w:rPr>
          <w:rFonts w:ascii="宋体" w:hAnsi="宋体" w:cs="宋体" w:eastAsia="宋体"/>
          <w:sz w:val="24"/>
        </w:rPr>
        <w:t>.1.1合同签订后，由供应商负责将产品按签订合同的具体数量、具体地点运送到采购人指定地点，并负责委派技术人员到达现场进行安装、调试，供应商委派的技术人员必须具有安装本次项目的实际工作经验，且负责调试至验收合格交付采购人使用。</w:t>
      </w:r>
    </w:p>
    <w:p>
      <w:pPr>
        <w:pStyle w:val="null3"/>
        <w:ind w:firstLine="480"/>
        <w:jc w:val="left"/>
      </w:pPr>
      <w:r>
        <w:rPr>
          <w:rFonts w:ascii="宋体" w:hAnsi="宋体" w:cs="宋体" w:eastAsia="宋体"/>
          <w:sz w:val="24"/>
        </w:rPr>
        <w:t>9</w:t>
      </w:r>
      <w:r>
        <w:rPr>
          <w:rFonts w:ascii="宋体" w:hAnsi="宋体" w:cs="宋体" w:eastAsia="宋体"/>
          <w:sz w:val="24"/>
        </w:rPr>
        <w:t>.1.2供应商应在合同规定的安装期内完成该项工作。如因供应商责任而造成延期，所有因延期而产生的费用由供应商承担。</w:t>
      </w:r>
    </w:p>
    <w:p>
      <w:pPr>
        <w:pStyle w:val="null3"/>
        <w:ind w:firstLine="480"/>
        <w:jc w:val="left"/>
      </w:pPr>
      <w:r>
        <w:rPr>
          <w:rFonts w:ascii="宋体" w:hAnsi="宋体" w:cs="宋体" w:eastAsia="宋体"/>
          <w:sz w:val="24"/>
        </w:rPr>
        <w:t>9</w:t>
      </w:r>
      <w:r>
        <w:rPr>
          <w:rFonts w:ascii="宋体" w:hAnsi="宋体" w:cs="宋体" w:eastAsia="宋体"/>
          <w:sz w:val="24"/>
        </w:rPr>
        <w:t>.2 验收</w:t>
      </w:r>
    </w:p>
    <w:p>
      <w:pPr>
        <w:pStyle w:val="null3"/>
        <w:ind w:firstLine="480"/>
        <w:jc w:val="left"/>
      </w:pPr>
      <w:r>
        <w:rPr>
          <w:rFonts w:ascii="宋体" w:hAnsi="宋体" w:cs="宋体" w:eastAsia="宋体"/>
          <w:sz w:val="24"/>
        </w:rPr>
        <w:t>9</w:t>
      </w:r>
      <w:r>
        <w:rPr>
          <w:rFonts w:ascii="宋体" w:hAnsi="宋体" w:cs="宋体" w:eastAsia="宋体"/>
          <w:sz w:val="24"/>
        </w:rPr>
        <w:t>.2.1验收标准</w:t>
      </w:r>
    </w:p>
    <w:p>
      <w:pPr>
        <w:pStyle w:val="null3"/>
        <w:ind w:firstLine="480"/>
        <w:jc w:val="left"/>
      </w:pPr>
      <w:r>
        <w:rPr>
          <w:rFonts w:ascii="宋体" w:hAnsi="宋体" w:cs="宋体" w:eastAsia="宋体"/>
          <w:sz w:val="24"/>
        </w:rPr>
        <w:t>9</w:t>
      </w:r>
      <w:r>
        <w:rPr>
          <w:rFonts w:ascii="宋体" w:hAnsi="宋体" w:cs="宋体" w:eastAsia="宋体"/>
          <w:sz w:val="24"/>
        </w:rPr>
        <w:t>.2.1.1供应商所提供的货物必须是制造厂家生产的崭新的未开箱的原包装货物。所有货物按厂家货物验收标准（符合国家或行业或地方标准）、响应文件等有关内容进行验收。供应商提供货物的制造标准及技术规范等有关资料必须符合中国相应有关标准、规范要求。产品质量达到设计要求，安装调试各项指标符合技术参数要求且须通过质检、计量部门的检验。</w:t>
      </w:r>
    </w:p>
    <w:p>
      <w:pPr>
        <w:pStyle w:val="null3"/>
        <w:ind w:firstLine="480"/>
        <w:jc w:val="left"/>
      </w:pPr>
      <w:r>
        <w:rPr>
          <w:rFonts w:ascii="宋体" w:hAnsi="宋体" w:cs="宋体" w:eastAsia="宋体"/>
          <w:sz w:val="24"/>
        </w:rPr>
        <w:t>9</w:t>
      </w:r>
      <w:r>
        <w:rPr>
          <w:rFonts w:ascii="宋体" w:hAnsi="宋体" w:cs="宋体" w:eastAsia="宋体"/>
          <w:sz w:val="24"/>
        </w:rPr>
        <w:t>.2.1.2供应商必须在交货时提供所报产品货物的原厂出厂证明材料，否则不予以验收。</w:t>
      </w:r>
    </w:p>
    <w:p>
      <w:pPr>
        <w:pStyle w:val="null3"/>
        <w:ind w:firstLine="480"/>
        <w:jc w:val="left"/>
      </w:pPr>
      <w:r>
        <w:rPr>
          <w:rFonts w:ascii="宋体" w:hAnsi="宋体" w:cs="宋体" w:eastAsia="宋体"/>
          <w:sz w:val="24"/>
        </w:rPr>
        <w:t>9</w:t>
      </w:r>
      <w:r>
        <w:rPr>
          <w:rFonts w:ascii="宋体" w:hAnsi="宋体" w:cs="宋体" w:eastAsia="宋体"/>
          <w:sz w:val="24"/>
        </w:rPr>
        <w:t>.2.2验收程序和方法</w:t>
      </w:r>
    </w:p>
    <w:p>
      <w:pPr>
        <w:pStyle w:val="null3"/>
        <w:ind w:firstLine="480"/>
        <w:jc w:val="left"/>
      </w:pPr>
      <w:r>
        <w:rPr>
          <w:rFonts w:ascii="宋体" w:hAnsi="宋体" w:cs="宋体" w:eastAsia="宋体"/>
          <w:sz w:val="24"/>
        </w:rPr>
        <w:t>9</w:t>
      </w:r>
      <w:r>
        <w:rPr>
          <w:rFonts w:ascii="宋体" w:hAnsi="宋体" w:cs="宋体" w:eastAsia="宋体"/>
          <w:sz w:val="24"/>
        </w:rPr>
        <w:t>.2.2.1出厂检验</w:t>
      </w:r>
    </w:p>
    <w:p>
      <w:pPr>
        <w:pStyle w:val="null3"/>
        <w:ind w:firstLine="480"/>
        <w:jc w:val="left"/>
      </w:pPr>
      <w:r>
        <w:rPr>
          <w:rFonts w:ascii="宋体" w:hAnsi="宋体" w:cs="宋体" w:eastAsia="宋体"/>
          <w:sz w:val="24"/>
        </w:rPr>
        <w:t>供应商在产品出厂前，应按产品技术标准规定的检验项目和检验方法进行全面检验，供应商应随同货物出具供货证明、产地证书、出厂检验报告、质量合格证书、原装拼配货物的证明资料和文件以及生产厂家供货确认函等。结果必须符合第</w:t>
      </w:r>
      <w:r>
        <w:rPr>
          <w:rFonts w:ascii="宋体" w:hAnsi="宋体" w:cs="宋体" w:eastAsia="宋体"/>
          <w:sz w:val="24"/>
        </w:rPr>
        <w:t>9</w:t>
      </w:r>
      <w:r>
        <w:rPr>
          <w:rFonts w:ascii="宋体" w:hAnsi="宋体" w:cs="宋体" w:eastAsia="宋体"/>
          <w:sz w:val="24"/>
        </w:rPr>
        <w:t>.2.1款验收标准的要求。</w:t>
      </w:r>
    </w:p>
    <w:p>
      <w:pPr>
        <w:pStyle w:val="null3"/>
        <w:ind w:firstLine="480"/>
        <w:jc w:val="left"/>
      </w:pPr>
      <w:r>
        <w:rPr>
          <w:rFonts w:ascii="宋体" w:hAnsi="宋体" w:cs="宋体" w:eastAsia="宋体"/>
          <w:sz w:val="24"/>
        </w:rPr>
        <w:t>9</w:t>
      </w:r>
      <w:r>
        <w:rPr>
          <w:rFonts w:ascii="宋体" w:hAnsi="宋体" w:cs="宋体" w:eastAsia="宋体"/>
          <w:sz w:val="24"/>
        </w:rPr>
        <w:t>.2.2.2初验收：</w:t>
      </w:r>
    </w:p>
    <w:p>
      <w:pPr>
        <w:pStyle w:val="null3"/>
        <w:ind w:firstLine="480"/>
        <w:jc w:val="left"/>
      </w:pPr>
      <w:r>
        <w:rPr>
          <w:rFonts w:ascii="宋体" w:hAnsi="宋体" w:cs="宋体" w:eastAsia="宋体"/>
          <w:sz w:val="24"/>
        </w:rPr>
        <w:t>由供应商和采购人共同对货物的数量、质量、外包装等根据本章节的有关规定逐项检验。</w:t>
      </w:r>
    </w:p>
    <w:p>
      <w:pPr>
        <w:pStyle w:val="null3"/>
        <w:ind w:firstLine="480"/>
        <w:jc w:val="left"/>
      </w:pPr>
      <w:r>
        <w:rPr>
          <w:rFonts w:ascii="宋体" w:hAnsi="宋体" w:cs="宋体" w:eastAsia="宋体"/>
          <w:sz w:val="24"/>
        </w:rPr>
        <w:t>9</w:t>
      </w:r>
      <w:r>
        <w:rPr>
          <w:rFonts w:ascii="宋体" w:hAnsi="宋体" w:cs="宋体" w:eastAsia="宋体"/>
          <w:sz w:val="24"/>
        </w:rPr>
        <w:t>.2.2.3</w:t>
      </w:r>
      <w:r>
        <w:rPr>
          <w:rFonts w:ascii="宋体" w:hAnsi="宋体" w:cs="宋体" w:eastAsia="宋体"/>
          <w:sz w:val="24"/>
        </w:rPr>
        <w:t>最终验收</w:t>
      </w:r>
      <w:r>
        <w:rPr>
          <w:rFonts w:ascii="宋体" w:hAnsi="宋体" w:cs="宋体" w:eastAsia="宋体"/>
          <w:sz w:val="24"/>
        </w:rPr>
        <w:t>：</w:t>
      </w:r>
    </w:p>
    <w:p>
      <w:pPr>
        <w:pStyle w:val="null3"/>
        <w:ind w:firstLine="480"/>
        <w:jc w:val="left"/>
      </w:pPr>
      <w:r>
        <w:rPr>
          <w:rFonts w:ascii="宋体" w:hAnsi="宋体" w:cs="宋体" w:eastAsia="宋体"/>
          <w:sz w:val="24"/>
        </w:rPr>
        <w:t>货物安装完毕后，供应商应对货物的整体性能和功能进行测试，试运行期间，出现的任何问题，应由供应商及时处理修正。</w:t>
      </w:r>
      <w:r>
        <w:rPr>
          <w:rFonts w:ascii="宋体" w:hAnsi="宋体" w:cs="宋体" w:eastAsia="宋体"/>
          <w:sz w:val="24"/>
        </w:rPr>
        <w:t>安装调试后</w:t>
      </w:r>
      <w:r>
        <w:rPr>
          <w:rFonts w:ascii="宋体" w:hAnsi="宋体" w:cs="宋体" w:eastAsia="宋体"/>
          <w:sz w:val="24"/>
        </w:rPr>
        <w:t>由采购人</w:t>
      </w:r>
      <w:r>
        <w:rPr>
          <w:rFonts w:ascii="宋体" w:hAnsi="宋体" w:cs="宋体" w:eastAsia="宋体"/>
          <w:sz w:val="24"/>
        </w:rPr>
        <w:t>或</w:t>
      </w:r>
      <w:r>
        <w:rPr>
          <w:rFonts w:ascii="宋体" w:hAnsi="宋体" w:cs="宋体" w:eastAsia="宋体"/>
          <w:sz w:val="24"/>
        </w:rPr>
        <w:t>邀请专家</w:t>
      </w:r>
      <w:r>
        <w:rPr>
          <w:rFonts w:ascii="宋体" w:hAnsi="宋体" w:cs="宋体" w:eastAsia="宋体"/>
          <w:sz w:val="24"/>
        </w:rPr>
        <w:t>（</w:t>
      </w:r>
      <w:r>
        <w:rPr>
          <w:rFonts w:ascii="宋体" w:hAnsi="宋体" w:cs="宋体" w:eastAsia="宋体"/>
          <w:sz w:val="24"/>
        </w:rPr>
        <w:t>若有）</w:t>
      </w:r>
      <w:r>
        <w:rPr>
          <w:rFonts w:ascii="宋体" w:hAnsi="宋体" w:cs="宋体" w:eastAsia="宋体"/>
          <w:sz w:val="24"/>
        </w:rPr>
        <w:t>或有关管理部门</w:t>
      </w:r>
      <w:r>
        <w:rPr>
          <w:rFonts w:ascii="宋体" w:hAnsi="宋体" w:cs="宋体" w:eastAsia="宋体"/>
          <w:sz w:val="24"/>
        </w:rPr>
        <w:t>（</w:t>
      </w:r>
      <w:r>
        <w:rPr>
          <w:rFonts w:ascii="宋体" w:hAnsi="宋体" w:cs="宋体" w:eastAsia="宋体"/>
          <w:sz w:val="24"/>
        </w:rPr>
        <w:t>若有）</w:t>
      </w:r>
      <w:r>
        <w:rPr>
          <w:rFonts w:ascii="宋体" w:hAnsi="宋体" w:cs="宋体" w:eastAsia="宋体"/>
          <w:sz w:val="24"/>
        </w:rPr>
        <w:t>按</w:t>
      </w:r>
      <w:r>
        <w:rPr>
          <w:rFonts w:ascii="宋体" w:hAnsi="宋体" w:cs="宋体" w:eastAsia="宋体"/>
          <w:sz w:val="24"/>
        </w:rPr>
        <w:t>谈判文件</w:t>
      </w:r>
      <w:r>
        <w:rPr>
          <w:rFonts w:ascii="宋体" w:hAnsi="宋体" w:cs="宋体" w:eastAsia="宋体"/>
          <w:sz w:val="24"/>
        </w:rPr>
        <w:t>以及合同相关条款要求一同对货物进行联合验收，验收结果应符合采购人使用要求。在此期间，若发现产品质量有问题供应商应无条件更换，并无条件重新</w:t>
      </w:r>
      <w:r>
        <w:rPr>
          <w:rFonts w:ascii="宋体" w:hAnsi="宋体" w:cs="宋体" w:eastAsia="宋体"/>
          <w:sz w:val="24"/>
        </w:rPr>
        <w:t>调整</w:t>
      </w:r>
      <w:r>
        <w:rPr>
          <w:rFonts w:ascii="宋体" w:hAnsi="宋体" w:cs="宋体" w:eastAsia="宋体"/>
          <w:sz w:val="24"/>
        </w:rPr>
        <w:t>并调试直至验收合格交付使用。</w:t>
      </w:r>
    </w:p>
    <w:p>
      <w:pPr>
        <w:pStyle w:val="null3"/>
        <w:ind w:firstLine="480"/>
        <w:jc w:val="left"/>
      </w:pPr>
      <w:r>
        <w:rPr>
          <w:rFonts w:ascii="宋体" w:hAnsi="宋体" w:cs="宋体" w:eastAsia="宋体"/>
          <w:sz w:val="24"/>
        </w:rPr>
        <w:t>9</w:t>
      </w:r>
      <w:r>
        <w:rPr>
          <w:rFonts w:ascii="宋体" w:hAnsi="宋体" w:cs="宋体" w:eastAsia="宋体"/>
          <w:sz w:val="24"/>
        </w:rPr>
        <w:t>.2.3供应商在采购人安装现场进行最终验收所发生的一切费用均由供应商承担（并入报价总价内）。</w:t>
      </w:r>
    </w:p>
    <w:p>
      <w:pPr>
        <w:pStyle w:val="null3"/>
        <w:ind w:firstLine="480"/>
        <w:jc w:val="left"/>
      </w:pPr>
      <w:r>
        <w:rPr>
          <w:rFonts w:ascii="宋体" w:hAnsi="宋体" w:cs="宋体" w:eastAsia="宋体"/>
          <w:sz w:val="24"/>
        </w:rPr>
        <w:t>9</w:t>
      </w:r>
      <w:r>
        <w:rPr>
          <w:rFonts w:ascii="宋体" w:hAnsi="宋体" w:cs="宋体" w:eastAsia="宋体"/>
          <w:sz w:val="24"/>
        </w:rPr>
        <w:t>.2.4若验收不能符合要求，按虚假应标处理，采购人可视情况决定是否终止合同，并赔偿采购人一切损失。</w:t>
      </w:r>
    </w:p>
    <w:p>
      <w:pPr>
        <w:pStyle w:val="null3"/>
        <w:ind w:firstLine="480"/>
        <w:jc w:val="left"/>
      </w:pPr>
      <w:r>
        <w:rPr>
          <w:rFonts w:ascii="宋体" w:hAnsi="宋体" w:cs="宋体" w:eastAsia="宋体"/>
          <w:sz w:val="24"/>
          <w:b/>
        </w:rPr>
        <w:t>10</w:t>
      </w:r>
      <w:r>
        <w:rPr>
          <w:rFonts w:ascii="宋体" w:hAnsi="宋体" w:cs="宋体" w:eastAsia="宋体"/>
          <w:sz w:val="24"/>
          <w:b/>
        </w:rPr>
        <w:t>.售后服务要求</w:t>
      </w:r>
    </w:p>
    <w:p>
      <w:pPr>
        <w:pStyle w:val="null3"/>
        <w:ind w:firstLine="480"/>
        <w:jc w:val="left"/>
      </w:pPr>
      <w:r>
        <w:rPr>
          <w:rFonts w:ascii="宋体" w:hAnsi="宋体" w:cs="宋体" w:eastAsia="宋体"/>
          <w:sz w:val="24"/>
          <w:shd w:fill="FFFFFF" w:val="clear"/>
        </w:rPr>
        <w:t>10</w:t>
      </w:r>
      <w:r>
        <w:rPr>
          <w:rFonts w:ascii="宋体" w:hAnsi="宋体" w:cs="宋体" w:eastAsia="宋体"/>
          <w:sz w:val="24"/>
          <w:shd w:fill="FFFFFF" w:val="clear"/>
        </w:rPr>
        <w:t>.1供应商应提供</w:t>
      </w:r>
      <w:r>
        <w:rPr>
          <w:rFonts w:ascii="宋体" w:hAnsi="宋体" w:cs="宋体" w:eastAsia="宋体"/>
          <w:sz w:val="24"/>
          <w:shd w:fill="FFFFFF" w:val="clear"/>
        </w:rPr>
        <w:t>3</w:t>
      </w:r>
      <w:r>
        <w:rPr>
          <w:rFonts w:ascii="宋体" w:hAnsi="宋体" w:cs="宋体" w:eastAsia="宋体"/>
          <w:sz w:val="24"/>
          <w:shd w:fill="FFFFFF" w:val="clear"/>
        </w:rPr>
        <w:t>年保修服务，质保期自验收合格签名之日第二天起计算。质保期内如出现因制造、运输、装卸等原因造成的质量问题，供应商应负责维修、更换。质保期后出现故障，只收取基本维护费用。所需配件应为生产厂家原装配件，其价格应低于市场价。</w:t>
      </w:r>
    </w:p>
    <w:p>
      <w:pPr>
        <w:pStyle w:val="null3"/>
        <w:ind w:firstLine="480"/>
        <w:jc w:val="left"/>
      </w:pPr>
      <w:r>
        <w:rPr>
          <w:rFonts w:ascii="宋体" w:hAnsi="宋体" w:cs="宋体" w:eastAsia="宋体"/>
          <w:sz w:val="24"/>
          <w:shd w:fill="FFFFFF" w:val="clear"/>
        </w:rPr>
        <w:t>10</w:t>
      </w:r>
      <w:r>
        <w:rPr>
          <w:rFonts w:ascii="宋体" w:hAnsi="宋体" w:cs="宋体" w:eastAsia="宋体"/>
          <w:sz w:val="24"/>
          <w:shd w:fill="FFFFFF" w:val="clear"/>
        </w:rPr>
        <w:t>.2供应商须保证所提供的产品是原装产品，并在各个方面符合谈判文件规定。保证产品经过正确安装、合理操作和维护保养。</w:t>
      </w:r>
    </w:p>
    <w:p>
      <w:pPr>
        <w:pStyle w:val="null3"/>
        <w:ind w:firstLine="480"/>
        <w:jc w:val="left"/>
      </w:pPr>
      <w:r>
        <w:rPr>
          <w:rFonts w:ascii="宋体" w:hAnsi="宋体" w:cs="宋体" w:eastAsia="宋体"/>
          <w:sz w:val="24"/>
          <w:shd w:fill="FFFFFF" w:val="clear"/>
        </w:rPr>
        <w:t>10</w:t>
      </w:r>
      <w:r>
        <w:rPr>
          <w:rFonts w:ascii="宋体" w:hAnsi="宋体" w:cs="宋体" w:eastAsia="宋体"/>
          <w:sz w:val="24"/>
          <w:shd w:fill="FFFFFF" w:val="clear"/>
        </w:rPr>
        <w:t>.3质保期内若货物在</w:t>
      </w:r>
      <w:r>
        <w:rPr>
          <w:rFonts w:ascii="宋体" w:hAnsi="宋体" w:cs="宋体" w:eastAsia="宋体"/>
          <w:sz w:val="24"/>
          <w:shd w:fill="FFFFFF" w:val="clear"/>
        </w:rPr>
        <w:t>使用过程</w:t>
      </w:r>
      <w:r>
        <w:rPr>
          <w:rFonts w:ascii="宋体" w:hAnsi="宋体" w:cs="宋体" w:eastAsia="宋体"/>
          <w:sz w:val="24"/>
          <w:shd w:fill="FFFFFF" w:val="clear"/>
        </w:rPr>
        <w:t>中发生问题，供应商在接到采购人故障通知后</w:t>
      </w:r>
      <w:r>
        <w:rPr>
          <w:rFonts w:ascii="宋体" w:hAnsi="宋体" w:cs="宋体" w:eastAsia="宋体"/>
          <w:sz w:val="24"/>
          <w:shd w:fill="FFFFFF" w:val="clear"/>
        </w:rPr>
        <w:t>2小时内响应，24小时内委派专业技术人员到现场提供维修和更换零部件等服务；若供应商超过48小时仍未到达现场维修，采购人有权另请他人维修，维修所产生的全部费用由供应商承担。质保期内，供应商有责任对设备货物进行不定期的巡查检修。</w:t>
      </w:r>
    </w:p>
    <w:p>
      <w:pPr>
        <w:pStyle w:val="null3"/>
        <w:ind w:firstLine="480"/>
        <w:jc w:val="left"/>
      </w:pPr>
      <w:r>
        <w:rPr>
          <w:rFonts w:ascii="宋体" w:hAnsi="宋体" w:cs="宋体" w:eastAsia="宋体"/>
          <w:sz w:val="24"/>
          <w:b/>
        </w:rPr>
        <w:t>1</w:t>
      </w:r>
      <w:r>
        <w:rPr>
          <w:rFonts w:ascii="宋体" w:hAnsi="宋体" w:cs="宋体" w:eastAsia="宋体"/>
          <w:sz w:val="24"/>
          <w:b/>
        </w:rPr>
        <w:t>1</w:t>
      </w:r>
      <w:r>
        <w:rPr>
          <w:rFonts w:ascii="宋体" w:hAnsi="宋体" w:cs="宋体" w:eastAsia="宋体"/>
          <w:sz w:val="24"/>
          <w:b/>
        </w:rPr>
        <w:t>.违约责任</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.1因成交供应商原因造成采购合同无法按时签订的，视为成交供应商违约，对采购人造成的损失的，成交供应商还需另行支付相应的赔偿。</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.2在签定采购合同之后，有下列情形之一的，将视为成交供应商违约，采购人有权要求成交供应商进行赔偿：</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.2.1签定合同后，成交供应商未按合同规定提供服务的；</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.2.2成交供应商逾期交货的，每逾期一天，按合同价格的1%偿付违约金；逾期超过30日以上，采购人可单方解除合同，并按合同金额的10%支付违约金；</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.2.3成交供应商不能交货或不能完成合同的（不可抗力因素造成的除外），成交供应商应双倍返还采购人已支付的款项（如有）；</w:t>
      </w:r>
    </w:p>
    <w:p>
      <w:pPr>
        <w:pStyle w:val="null3"/>
        <w:ind w:firstLine="480"/>
        <w:jc w:val="left"/>
      </w:pPr>
      <w:r>
        <w:rPr>
          <w:rFonts w:ascii="宋体" w:hAnsi="宋体" w:cs="宋体" w:eastAsia="宋体"/>
          <w:sz w:val="24"/>
        </w:rPr>
        <w:t>10.2.4成交供应商提供的货物质量、规格达不到要求的，应在双方约定的时间内提供符合</w:t>
      </w:r>
      <w:r>
        <w:rPr>
          <w:rFonts w:ascii="宋体" w:hAnsi="宋体" w:cs="宋体" w:eastAsia="宋体"/>
          <w:sz w:val="24"/>
        </w:rPr>
        <w:t>谈判文件</w:t>
      </w:r>
      <w:r>
        <w:rPr>
          <w:rFonts w:ascii="宋体" w:hAnsi="宋体" w:cs="宋体" w:eastAsia="宋体"/>
          <w:sz w:val="24"/>
        </w:rPr>
        <w:t>的货物，采购人有权要求成交供应商支付合同金额的</w:t>
      </w:r>
      <w:r>
        <w:rPr>
          <w:rFonts w:ascii="宋体" w:hAnsi="宋体" w:cs="宋体" w:eastAsia="宋体"/>
          <w:sz w:val="24"/>
        </w:rPr>
        <w:t>10%作为违约金，造成采购人损失的，成交供应商还应支付相应的费用；</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.2.5成交供应商未能按合同规定履行其义务的，每发现一次扣除1000元；</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.2.6在签定采购合同之后，成交供应商要求解除合同的；</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3本合同所有服务，都必须由成交供应商自己或在响应文件中明确的单位承担，不得以任何名义和理由进行分包或转包。如有发现，视为成交供应商违约，采购人有权单方终止合同，对采购人造成损失的，需另行支付相应的赔偿。</w:t>
      </w:r>
    </w:p>
    <w:p>
      <w:pPr>
        <w:pStyle w:val="null3"/>
        <w:ind w:firstLine="480"/>
        <w:jc w:val="left"/>
      </w:pPr>
      <w:r>
        <w:rPr>
          <w:rFonts w:ascii="宋体" w:hAnsi="宋体" w:cs="宋体" w:eastAsia="宋体"/>
          <w:sz w:val="24"/>
        </w:rPr>
        <w:t>11.4</w:t>
      </w:r>
      <w:r>
        <w:rPr>
          <w:rFonts w:ascii="宋体" w:hAnsi="宋体" w:cs="宋体" w:eastAsia="宋体"/>
          <w:sz w:val="24"/>
        </w:rPr>
        <w:t>在项目履行期间，</w:t>
      </w:r>
      <w:r>
        <w:rPr>
          <w:rFonts w:ascii="宋体" w:hAnsi="宋体" w:cs="宋体" w:eastAsia="宋体"/>
          <w:sz w:val="24"/>
        </w:rPr>
        <w:t>因成交供应商原因发生重大质量事故，除依约承担赔偿责任外，还将按有关质量管理办法规定执行。同时，采购人有权保留更换成交供应商的权利，并报相关行政主管部门处罚</w:t>
      </w:r>
      <w:r>
        <w:rPr>
          <w:rFonts w:ascii="宋体" w:hAnsi="宋体" w:cs="宋体" w:eastAsia="宋体"/>
          <w:sz w:val="24"/>
        </w:rPr>
        <w:t>。</w:t>
      </w:r>
    </w:p>
    <w:p>
      <w:pPr>
        <w:pStyle w:val="null3"/>
        <w:ind w:firstLine="480"/>
        <w:jc w:val="left"/>
      </w:pPr>
      <w:r>
        <w:rPr>
          <w:rFonts w:ascii="宋体" w:hAnsi="宋体" w:cs="宋体" w:eastAsia="宋体"/>
          <w:sz w:val="24"/>
        </w:rPr>
        <w:t>11.5</w:t>
      </w:r>
      <w:r>
        <w:rPr>
          <w:rFonts w:ascii="宋体" w:hAnsi="宋体" w:cs="宋体" w:eastAsia="宋体"/>
          <w:sz w:val="24"/>
        </w:rPr>
        <w:t>在项目履行期间，</w:t>
      </w:r>
      <w:r>
        <w:rPr>
          <w:rFonts w:ascii="宋体" w:hAnsi="宋体" w:cs="宋体" w:eastAsia="宋体"/>
          <w:sz w:val="24"/>
        </w:rPr>
        <w:t>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w:t>
      </w:r>
      <w:r>
        <w:rPr>
          <w:rFonts w:ascii="宋体" w:hAnsi="宋体" w:cs="宋体" w:eastAsia="宋体"/>
          <w:sz w:val="24"/>
        </w:rPr>
        <w:t>6</w:t>
      </w:r>
      <w:r>
        <w:rPr>
          <w:rFonts w:ascii="宋体" w:hAnsi="宋体" w:cs="宋体" w:eastAsia="宋体"/>
          <w:sz w:val="24"/>
        </w:rPr>
        <w:t>在明确违约责任后，成交供应商应在接到书面通知书起七天内支付违约金、赔偿金等。</w:t>
      </w:r>
    </w:p>
    <w:p>
      <w:pPr>
        <w:pStyle w:val="null3"/>
        <w:ind w:firstLine="480"/>
        <w:jc w:val="left"/>
      </w:pPr>
      <w:r>
        <w:rPr>
          <w:rFonts w:ascii="宋体" w:hAnsi="宋体" w:cs="宋体" w:eastAsia="宋体"/>
          <w:sz w:val="24"/>
        </w:rPr>
        <w:t>1</w:t>
      </w:r>
      <w:r>
        <w:rPr>
          <w:rFonts w:ascii="宋体" w:hAnsi="宋体" w:cs="宋体" w:eastAsia="宋体"/>
          <w:sz w:val="24"/>
        </w:rPr>
        <w:t>1</w:t>
      </w:r>
      <w:r>
        <w:rPr>
          <w:rFonts w:ascii="宋体" w:hAnsi="宋体" w:cs="宋体" w:eastAsia="宋体"/>
          <w:sz w:val="24"/>
        </w:rPr>
        <w:t>.</w:t>
      </w:r>
      <w:r>
        <w:rPr>
          <w:rFonts w:ascii="宋体" w:hAnsi="宋体" w:cs="宋体" w:eastAsia="宋体"/>
          <w:sz w:val="24"/>
        </w:rPr>
        <w:t>7</w:t>
      </w:r>
      <w:r>
        <w:rPr>
          <w:rFonts w:ascii="宋体" w:hAnsi="宋体" w:cs="宋体" w:eastAsia="宋体"/>
          <w:sz w:val="24"/>
        </w:rPr>
        <w:t>本</w:t>
      </w:r>
      <w:r>
        <w:rPr>
          <w:rFonts w:ascii="宋体" w:hAnsi="宋体" w:cs="宋体" w:eastAsia="宋体"/>
          <w:sz w:val="24"/>
        </w:rPr>
        <w:t>谈判文件</w:t>
      </w:r>
      <w:r>
        <w:rPr>
          <w:rFonts w:ascii="宋体" w:hAnsi="宋体" w:cs="宋体" w:eastAsia="宋体"/>
          <w:sz w:val="24"/>
        </w:rPr>
        <w:t>未明确的其它约定事项或条款，待采购人与成交供应商签订合同时，由双方协商订立。</w:t>
      </w:r>
    </w:p>
    <w:p>
      <w:pPr>
        <w:pStyle w:val="null3"/>
        <w:ind w:firstLine="480"/>
        <w:jc w:val="both"/>
      </w:pPr>
      <w:r>
        <w:rPr>
          <w:rFonts w:ascii="宋体" w:hAnsi="宋体" w:cs="宋体" w:eastAsia="宋体"/>
          <w:sz w:val="24"/>
          <w:b/>
        </w:rPr>
        <w:t>1</w:t>
      </w:r>
      <w:r>
        <w:rPr>
          <w:rFonts w:ascii="宋体" w:hAnsi="宋体" w:cs="宋体" w:eastAsia="宋体"/>
          <w:sz w:val="24"/>
          <w:b/>
        </w:rPr>
        <w:t>2</w:t>
      </w:r>
      <w:r>
        <w:rPr>
          <w:rFonts w:ascii="宋体" w:hAnsi="宋体" w:cs="宋体" w:eastAsia="宋体"/>
          <w:sz w:val="24"/>
          <w:b/>
        </w:rPr>
        <w:t>.知识产权</w:t>
      </w:r>
    </w:p>
    <w:p>
      <w:pPr>
        <w:pStyle w:val="null3"/>
        <w:ind w:firstLine="480"/>
        <w:jc w:val="both"/>
      </w:pPr>
      <w:r>
        <w:rPr>
          <w:rFonts w:ascii="宋体" w:hAnsi="宋体" w:cs="宋体" w:eastAsia="宋体"/>
          <w:sz w:val="24"/>
        </w:rPr>
        <w:t>1</w:t>
      </w:r>
      <w:r>
        <w:rPr>
          <w:rFonts w:ascii="宋体" w:hAnsi="宋体" w:cs="宋体" w:eastAsia="宋体"/>
          <w:sz w:val="24"/>
        </w:rPr>
        <w:t>2</w:t>
      </w:r>
      <w:r>
        <w:rPr>
          <w:rFonts w:ascii="宋体" w:hAnsi="宋体" w:cs="宋体" w:eastAsia="宋体"/>
          <w:sz w:val="24"/>
        </w:rPr>
        <w:t>.1成交供应商提供的采购标的应符合国家知识产权法律、法规的规定且非假冒伪劣品；成交供应商还应保证采购人不受到第三方关于侵犯知识产权及专利权、商标权或工业设计权等知识产权方面的指控，若任何第三方提出此方面指控均与采购人无关，成交供应商应与第三方交涉，并承担可能发生的一切法律责任、费用和后果；若采购人因此而遭致损失，则成交供应商应赔偿该损失。</w:t>
      </w:r>
    </w:p>
    <w:p>
      <w:pPr>
        <w:pStyle w:val="null3"/>
        <w:ind w:firstLine="480"/>
        <w:jc w:val="both"/>
      </w:pPr>
      <w:r>
        <w:rPr>
          <w:rFonts w:ascii="宋体" w:hAnsi="宋体" w:cs="宋体" w:eastAsia="宋体"/>
          <w:sz w:val="24"/>
        </w:rPr>
        <w:t>1</w:t>
      </w:r>
      <w:r>
        <w:rPr>
          <w:rFonts w:ascii="宋体" w:hAnsi="宋体" w:cs="宋体" w:eastAsia="宋体"/>
          <w:sz w:val="24"/>
        </w:rPr>
        <w:t>2</w:t>
      </w:r>
      <w:r>
        <w:rPr>
          <w:rFonts w:ascii="宋体" w:hAnsi="宋体" w:cs="宋体" w:eastAsia="宋体"/>
          <w:sz w:val="24"/>
        </w:rPr>
        <w:t>.2若成交供应商提供的采购标的不符合国家知识产权法律、法规的规定或被有关主管机关认定为假冒伪劣品，则采购人有权单方解除与成交供应商签订的合同；没收全部履约保证金，同时采购人还将按照有关法律、法规和规章的规定进行处理。</w:t>
      </w:r>
    </w:p>
    <w:p>
      <w:pPr>
        <w:pStyle w:val="null3"/>
        <w:jc w:val="left"/>
      </w:pPr>
      <w:r>
        <w:rPr>
          <w:rFonts w:ascii="宋体" w:hAnsi="宋体" w:cs="宋体" w:eastAsia="宋体"/>
          <w:sz w:val="24"/>
          <w:b/>
        </w:rPr>
        <w:t>1</w:t>
      </w:r>
      <w:r>
        <w:rPr>
          <w:rFonts w:ascii="宋体" w:hAnsi="宋体" w:cs="宋体" w:eastAsia="宋体"/>
          <w:sz w:val="24"/>
          <w:b/>
        </w:rPr>
        <w:t>3</w:t>
      </w:r>
      <w:r>
        <w:rPr>
          <w:rFonts w:ascii="宋体" w:hAnsi="宋体" w:cs="宋体" w:eastAsia="宋体"/>
          <w:sz w:val="24"/>
          <w:b/>
        </w:rPr>
        <w:t>.其他约定</w:t>
      </w:r>
    </w:p>
    <w:p>
      <w:pPr>
        <w:pStyle w:val="null3"/>
        <w:ind w:firstLine="480"/>
        <w:jc w:val="both"/>
      </w:pPr>
      <w:r>
        <w:rPr>
          <w:rFonts w:ascii="宋体" w:hAnsi="宋体" w:cs="宋体" w:eastAsia="宋体"/>
          <w:sz w:val="24"/>
        </w:rPr>
        <w:t>1</w:t>
      </w:r>
      <w:r>
        <w:rPr>
          <w:rFonts w:ascii="宋体" w:hAnsi="宋体" w:cs="宋体" w:eastAsia="宋体"/>
          <w:sz w:val="24"/>
        </w:rPr>
        <w:t>3</w:t>
      </w:r>
      <w:r>
        <w:rPr>
          <w:rFonts w:ascii="宋体" w:hAnsi="宋体" w:cs="宋体" w:eastAsia="宋体"/>
          <w:sz w:val="24"/>
        </w:rPr>
        <w:t>.1供应商必须对其响应文件中提供各种资料、说明、声明的真实性负责。供应商若提供虚假资料谋取成交的其投标无效，投标保证金将不予退还，并列入不良行为记录名单并根据本文件和相关法律法规追究其相关责任，其中：虚假资料若在评标过程中，还将视为无效响应；若在评标定标后发现，还将取消其成交资格。采购人有权在签订合同之前（或合同履行过程中）对成交供应商响应文件中的承诺内容和证明材料进行核查，成交供应商应无条件配合采购人的核查工作，不得托词拒绝核查或隐瞒真实情况，否则采购人有权视供应商资料、说明和承诺等内容失实；若在签订合同时发现，采购人还将取消其合同签订，给采购人造成损失的，需另行赔偿并负相关责任。</w:t>
      </w:r>
    </w:p>
    <w:p>
      <w:pPr>
        <w:pStyle w:val="null3"/>
        <w:ind w:firstLine="480"/>
        <w:jc w:val="both"/>
      </w:pPr>
      <w:r>
        <w:rPr>
          <w:rFonts w:ascii="宋体" w:hAnsi="宋体" w:cs="宋体" w:eastAsia="宋体"/>
          <w:sz w:val="24"/>
        </w:rPr>
        <w:t>1</w:t>
      </w:r>
      <w:r>
        <w:rPr>
          <w:rFonts w:ascii="宋体" w:hAnsi="宋体" w:cs="宋体" w:eastAsia="宋体"/>
          <w:sz w:val="24"/>
        </w:rPr>
        <w:t>3</w:t>
      </w:r>
      <w:r>
        <w:rPr>
          <w:rFonts w:ascii="宋体" w:hAnsi="宋体" w:cs="宋体" w:eastAsia="宋体"/>
          <w:sz w:val="24"/>
        </w:rPr>
        <w:t>.2供应商应根据</w:t>
      </w:r>
      <w:r>
        <w:rPr>
          <w:rFonts w:ascii="宋体" w:hAnsi="宋体" w:cs="宋体" w:eastAsia="宋体"/>
          <w:sz w:val="24"/>
        </w:rPr>
        <w:t>谈判文件</w:t>
      </w:r>
      <w:r>
        <w:rPr>
          <w:rFonts w:ascii="宋体" w:hAnsi="宋体" w:cs="宋体" w:eastAsia="宋体"/>
          <w:sz w:val="24"/>
        </w:rPr>
        <w:t>要求提供自己产品的响应，并应在响应文件中列出全部技术和服务要求、商务条件相对于本</w:t>
      </w:r>
      <w:r>
        <w:rPr>
          <w:rFonts w:ascii="宋体" w:hAnsi="宋体" w:cs="宋体" w:eastAsia="宋体"/>
          <w:sz w:val="24"/>
        </w:rPr>
        <w:t>谈判文件</w:t>
      </w:r>
      <w:r>
        <w:rPr>
          <w:rFonts w:ascii="宋体" w:hAnsi="宋体" w:cs="宋体" w:eastAsia="宋体"/>
          <w:sz w:val="24"/>
        </w:rPr>
        <w:t>对各种技术服务及商务规定的偏离表；供应商应如实填写偏离情况，如果供应商的响应文件已出现不符合招标要求却在偏离情况中作</w:t>
      </w:r>
      <w:r>
        <w:rPr>
          <w:rFonts w:ascii="宋体" w:hAnsi="宋体" w:cs="宋体" w:eastAsia="宋体"/>
          <w:sz w:val="24"/>
        </w:rPr>
        <w:t>“满足”、“无偏离”、“正偏离”等满足采购要求的承诺时，经</w:t>
      </w:r>
      <w:r>
        <w:rPr>
          <w:rFonts w:ascii="宋体" w:hAnsi="宋体" w:cs="宋体" w:eastAsia="宋体"/>
          <w:sz w:val="24"/>
        </w:rPr>
        <w:t>谈判小组</w:t>
      </w:r>
      <w:r>
        <w:rPr>
          <w:rFonts w:ascii="宋体" w:hAnsi="宋体" w:cs="宋体" w:eastAsia="宋体"/>
          <w:sz w:val="24"/>
        </w:rPr>
        <w:t>认定后，作虚假承诺无效</w:t>
      </w:r>
      <w:r>
        <w:rPr>
          <w:rFonts w:ascii="宋体" w:hAnsi="宋体" w:cs="宋体" w:eastAsia="宋体"/>
          <w:sz w:val="24"/>
        </w:rPr>
        <w:t>响应</w:t>
      </w:r>
      <w:r>
        <w:rPr>
          <w:rFonts w:ascii="宋体" w:hAnsi="宋体" w:cs="宋体" w:eastAsia="宋体"/>
          <w:sz w:val="24"/>
        </w:rPr>
        <w:t>处理。</w:t>
      </w:r>
    </w:p>
    <w:p>
      <w:pPr>
        <w:pStyle w:val="null3"/>
        <w:ind w:firstLine="480"/>
        <w:jc w:val="both"/>
        <w:outlineLvl w:val="2"/>
      </w:pPr>
      <w:r>
        <w:rPr>
          <w:sz w:val="28"/>
          <w:b/>
        </w:rPr>
        <w:t>四、其他事项</w:t>
      </w:r>
    </w:p>
    <w:p>
      <w:pPr>
        <w:pStyle w:val="null3"/>
        <w:jc w:val="left"/>
      </w:pPr>
      <w:r>
        <w:rPr/>
        <w:t>采购包1、2、3： 1.除竞争性谈判文件另有规定外，若出现有关法律、法规和规章有强制性规定但竞争性谈判文件未列明的情形，则报价人应按照有关法律、法规和规章强制性规定执行。2.本竞争性谈判文件未明确的其它约定事项或条款，待采购人与成交供应商签订合同时，由双方协商订立。3.供应商对采购包内所有品目号内容投标时必须完整评标与授标以采购包为单位。4.供应商的报价应包含完成本项目所涉及的货物制造、包装、运输(送至采购人指定地点)、装卸、保险、验收、质保、税金、招标代理服务费等一切费用。供应商不得对报价包含的内容做偏离响应，否则采购人有权不予以签订合同。5.供应商按采购包响应，对同一采购包内所有品目号内容响应时必须完整，评审与授标以采购包为单位。6.各供应商应注意，福建省政府采购网系统在二次报价环节，有下列情况之一的，系统会判定其响应文件无效：①在未提高响应文件中承诺的实质性要求的情况下，最后报价高于对该项目之前的报价的；②供应商未在规定时间内提供最后报价；③供应商提供的最后报价未加盖供应商（法定名称）电子签章的；④供应商的最后报价不符合谈判文件要求的；⑤供应商提供的最后报价不是唯一报价，且高于最高限价的。 采购包1： 1.关于样品的规定 1.1投标样品的递交地址：福建省福州市晋安区福州市晋安区茶园街道沁园路70号二层（福州市火车头体育馆）福建省鸿远招标有限公司福州公司。 1.2样品接收时间：递交响应文件截止时间当日，将下列要求的投标样品送至指定点并摆放整齐，逾期不予接收。 1.3样品清单：①序号2：教师办公桌椅（屏风组件）；②技术规格及要求：按照谈判文件《第三章采购内容要求》中二、技术要求中的技术参数提供；③数量：1套 1.4供应商未提供样品或提供的样品与示意图不符的按无效响应处理。 1.5若成交供应商所提供实物与样品不符的，采购人可要求退货，采购人可按合同规定进行索赔或将暂停使用成交供应商提供的货物直至成交供应商重新提供与样品相符的货物；投标样品将作为合同执行和验收的标准。 1.6样品退还安排：成交供应商的样品须于成交结果公示后的两个工作日内交由采购人封存保留，作为验收样本。未成交的供应商提供的样品须于评审结束后接到招标代理机构通知的当日内办理样品退回手续，未在规定时间内取回样品的，招标代理机构有权自行处理，所造成的损失由供应商自行承担。</w:t>
      </w:r>
    </w:p>
    <w:p>
      <w:pPr>
        <w:pStyle w:val="null3"/>
      </w:pPr>
      <w:r>
        <w:rPr/>
        <w:t xml:space="preserve"> </w:t>
        <w:br/>
        <w:br w:type="page"/>
      </w:r>
    </w:p>
    <w:p>
      <w:pPr>
        <w:pStyle w:val="null3"/>
        <w:jc w:val="center"/>
        <w:outlineLvl w:val="1"/>
      </w:pPr>
      <w:r>
        <w:rPr>
          <w:sz w:val="36"/>
          <w:b/>
        </w:rPr>
        <w:t>第四章 合同主要条款及格式</w:t>
      </w:r>
    </w:p>
    <w:p>
      <w:pPr>
        <w:pStyle w:val="null3"/>
        <w:jc w:val="center"/>
      </w:pPr>
      <w:r>
        <w:rPr/>
        <w:t>编制说明</w:t>
      </w:r>
    </w:p>
    <w:p>
      <w:pPr>
        <w:pStyle w:val="null3"/>
        <w:jc w:val="left"/>
      </w:pPr>
      <w:r>
        <w:rPr/>
        <w:t>1、签订合同应遵守《中华人民共和国政府采购法》、《中华人民共和国民法典》。</w:t>
      </w:r>
    </w:p>
    <w:p>
      <w:pPr>
        <w:pStyle w:val="null3"/>
        <w:jc w:val="left"/>
      </w:pPr>
      <w:r>
        <w:rPr/>
        <w:t>2、签订合同时，采购人与成交供应商应结合谈判文件第三章规定填列相应内容。如果双方使用谈判文件第四章已有规定的条款及格式，双方均不得对规定进行变更或调整；谈判文件第四章未作规定的条款及格式，双方可通过友好协商进行约定。</w:t>
      </w:r>
    </w:p>
    <w:p>
      <w:pPr>
        <w:pStyle w:val="null3"/>
        <w:jc w:val="left"/>
      </w:pPr>
      <w:r>
        <w:rPr/>
        <w:t>3.本章节所附的合同主要条款及格式为参考文本，如果因为项目实际特点不能适用，则可由甲乙双方在合同签订阶段可通过友好协商进行约定。</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both"/>
      </w:pPr>
      <w:r>
        <w:rPr/>
        <w:t>1、本附件所有格式为响应文件的组成部分，供采购人或代理机构编制谈判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1"/>
      </w:pPr>
      <w:r>
        <w:rPr>
          <w:sz w:val="36"/>
          <w:b/>
        </w:rPr>
        <w:t>福建省政府采购项目竞争性谈判</w:t>
      </w:r>
    </w:p>
    <w:p>
      <w:pPr>
        <w:pStyle w:val="null3"/>
        <w:jc w:val="center"/>
        <w:outlineLvl w:val="2"/>
      </w:pPr>
      <w:r>
        <w:rPr>
          <w:sz w:val="28"/>
          <w:b/>
        </w:rPr>
        <w:t>响应文件</w:t>
      </w:r>
    </w:p>
    <w:p>
      <w:pPr>
        <w:pStyle w:val="null3"/>
        <w:jc w:val="center"/>
        <w:outlineLvl w:val="2"/>
      </w:pPr>
      <w:r>
        <w:rPr>
          <w:sz w:val="28"/>
          <w:b/>
        </w:rPr>
        <w:t>（首次）</w:t>
      </w:r>
      <w:r>
        <w:br/>
      </w:r>
      <w:r>
        <w:br/>
      </w:r>
      <w:r>
        <w:br/>
      </w:r>
    </w:p>
    <w:p>
      <w:pPr>
        <w:pStyle w:val="null3"/>
        <w:jc w:val="center"/>
        <w:outlineLvl w:val="2"/>
      </w:pPr>
      <w:r>
        <w:rPr>
          <w:sz w:val="28"/>
          <w:b/>
        </w:rPr>
        <w:t>项目名称：</w:t>
      </w:r>
    </w:p>
    <w:p>
      <w:pPr>
        <w:pStyle w:val="null3"/>
        <w:jc w:val="center"/>
        <w:outlineLvl w:val="2"/>
      </w:pPr>
      <w:r>
        <w:rPr>
          <w:sz w:val="28"/>
          <w:b/>
        </w:rPr>
        <w:t>项目编号：</w:t>
      </w:r>
    </w:p>
    <w:p>
      <w:pPr>
        <w:pStyle w:val="null3"/>
        <w:jc w:val="center"/>
        <w:outlineLvl w:val="2"/>
      </w:pPr>
      <w:r>
        <w:rPr>
          <w:sz w:val="28"/>
          <w:b/>
        </w:rPr>
        <w:t>采购包:</w:t>
      </w:r>
      <w:r>
        <w:br/>
      </w:r>
      <w:r>
        <w:br/>
      </w:r>
      <w:r>
        <w:br/>
      </w:r>
    </w:p>
    <w:p>
      <w:pPr>
        <w:pStyle w:val="null3"/>
        <w:jc w:val="center"/>
        <w:outlineLvl w:val="2"/>
      </w:pPr>
      <w:r>
        <w:rPr>
          <w:sz w:val="28"/>
          <w:b/>
        </w:rPr>
        <w:t>供应商名称：</w:t>
      </w:r>
    </w:p>
    <w:p>
      <w:pPr>
        <w:pStyle w:val="null3"/>
        <w:jc w:val="center"/>
        <w:outlineLvl w:val="2"/>
      </w:pPr>
      <w:r>
        <w:rPr>
          <w:sz w:val="28"/>
          <w:b/>
        </w:rPr>
        <w:t>日 期：</w:t>
      </w:r>
    </w:p>
    <w:p>
      <w:pPr>
        <w:pStyle w:val="null3"/>
      </w:pPr>
      <w:r>
        <w:rPr/>
        <w:t xml:space="preserve"> </w:t>
        <w:br/>
        <w:br w:type="page"/>
      </w:r>
    </w:p>
    <w:p>
      <w:pPr>
        <w:pStyle w:val="null3"/>
        <w:jc w:val="center"/>
        <w:outlineLvl w:val="2"/>
      </w:pPr>
      <w:r>
        <w:rPr>
          <w:sz w:val="28"/>
          <w:b/>
        </w:rPr>
        <w:t>目录</w:t>
      </w:r>
    </w:p>
    <w:p>
      <w:pPr>
        <w:pStyle w:val="null3"/>
        <w:ind w:firstLine="480"/>
        <w:jc w:val="left"/>
      </w:pPr>
      <w:r>
        <w:rPr/>
        <w:t>附件1：谈判响应声明</w:t>
      </w:r>
    </w:p>
    <w:p>
      <w:pPr>
        <w:pStyle w:val="null3"/>
        <w:ind w:firstLine="480"/>
        <w:jc w:val="left"/>
      </w:pPr>
      <w:r>
        <w:rPr/>
        <w:t>附件2：报价一览表（含详细报价书）</w:t>
      </w:r>
    </w:p>
    <w:p>
      <w:pPr>
        <w:pStyle w:val="null3"/>
        <w:ind w:firstLine="480"/>
        <w:jc w:val="left"/>
      </w:pPr>
      <w:r>
        <w:rPr/>
        <w:t>附件3：资格证明文件</w:t>
      </w:r>
    </w:p>
    <w:p>
      <w:pPr>
        <w:pStyle w:val="null3"/>
        <w:ind w:firstLine="480"/>
        <w:jc w:val="left"/>
      </w:pPr>
      <w:r>
        <w:rPr/>
        <w:t>附件4：谈判保证金凭证</w:t>
      </w:r>
    </w:p>
    <w:p>
      <w:pPr>
        <w:pStyle w:val="null3"/>
        <w:ind w:firstLine="480"/>
        <w:jc w:val="left"/>
      </w:pPr>
      <w:r>
        <w:rPr/>
        <w:t>附件5：技术、服务和商务响应表</w:t>
      </w:r>
    </w:p>
    <w:p>
      <w:pPr>
        <w:pStyle w:val="null3"/>
        <w:ind w:firstLine="480"/>
        <w:jc w:val="left"/>
      </w:pPr>
      <w:r>
        <w:rPr/>
        <w:t>附件6：相关技术、商务、服务响应承诺及资料</w:t>
      </w:r>
    </w:p>
    <w:p>
      <w:pPr>
        <w:pStyle w:val="null3"/>
        <w:ind w:firstLine="480"/>
        <w:jc w:val="left"/>
      </w:pPr>
      <w:r>
        <w:rPr/>
        <w:t>附件7：供应商提交符合政府采购政策的证明材料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谈判响应声明</w:t>
      </w:r>
    </w:p>
    <w:p>
      <w:pPr>
        <w:pStyle w:val="null3"/>
        <w:ind w:firstLine="480"/>
        <w:jc w:val="left"/>
      </w:pPr>
      <w:r>
        <w:rPr/>
        <w:t>致：(采购人或采购代理机构)</w:t>
      </w:r>
    </w:p>
    <w:p>
      <w:pPr>
        <w:pStyle w:val="null3"/>
        <w:ind w:firstLine="480"/>
        <w:jc w:val="left"/>
      </w:pPr>
      <w:r>
        <w:rPr/>
        <w:t>1.根据贵方为</w:t>
      </w:r>
      <w:r>
        <w:rPr/>
        <w:t xml:space="preserve"> 项目（项目编号）:</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t>套，副本</w:t>
      </w:r>
      <w:r>
        <w:rPr/>
        <w:t>套及电子文档</w:t>
      </w:r>
      <w:r>
        <w:rPr/>
        <w:t>套。</w:t>
      </w:r>
    </w:p>
    <w:p>
      <w:pPr>
        <w:pStyle w:val="null3"/>
        <w:ind w:firstLine="480"/>
        <w:jc w:val="left"/>
      </w:pPr>
      <w:r>
        <w:rPr/>
        <w:t>（1）谈判响应声明</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（4）谈判保证金凭证</w:t>
      </w:r>
    </w:p>
    <w:p>
      <w:pPr>
        <w:pStyle w:val="null3"/>
        <w:ind w:firstLine="480"/>
        <w:jc w:val="left"/>
      </w:pPr>
      <w:r>
        <w:rPr/>
        <w:t>（5）技术、服务和商务响应表</w:t>
      </w:r>
    </w:p>
    <w:p>
      <w:pPr>
        <w:pStyle w:val="null3"/>
        <w:ind w:firstLine="480"/>
        <w:jc w:val="left"/>
      </w:pPr>
      <w:r>
        <w:rPr/>
        <w:t>（6）相关技术、商务、服务响应承诺及资料</w:t>
      </w:r>
    </w:p>
    <w:p>
      <w:pPr>
        <w:pStyle w:val="null3"/>
        <w:ind w:firstLine="480"/>
        <w:jc w:val="left"/>
      </w:pPr>
      <w:r>
        <w:rPr/>
        <w:t>（7）供应商提交符合政府采购政策的证明材料</w:t>
      </w:r>
    </w:p>
    <w:p>
      <w:pPr>
        <w:pStyle w:val="null3"/>
        <w:ind w:firstLine="480"/>
        <w:jc w:val="left"/>
      </w:pPr>
      <w:r>
        <w:rPr/>
        <w:t>（8）按照谈判文件规定，要求作为响应文件组成部分的其他内容（若有）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谈判文件，包括澄清、修改、补充或更正文件（如有的话）和有关附件，我方完全熟悉和理解其中的要求、条款和条件，且无任何异议。除了我方已在技术和商务偏离表中列出的负偏差和不响应外，我方承诺将按竞争性谈判文件的各项规定履行合同责任和义务。竞争性谈判文件及其附件资料如果有涉及应当保密的内容，我方将严格遵守规定，不将应当保密的内容泄密给第三方或另作它用，如有违反，采购人可依法追究我方的法律责任。</w:t>
      </w:r>
    </w:p>
    <w:p>
      <w:pPr>
        <w:pStyle w:val="null3"/>
        <w:ind w:firstLine="480"/>
        <w:jc w:val="left"/>
      </w:pPr>
      <w:r>
        <w:rPr/>
        <w:t>2.2一旦我方获得成交，我方将按照竞争性谈判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谈判文件的要求，并在规定的期限内与采购人签订合同。</w:t>
      </w:r>
    </w:p>
    <w:p>
      <w:pPr>
        <w:pStyle w:val="null3"/>
        <w:ind w:firstLine="480"/>
        <w:jc w:val="left"/>
      </w:pPr>
      <w:r>
        <w:rPr/>
        <w:t>2.3我方承诺：递交的所有响应文件（包括首次响应文件、补充澄清、最后报价等响应文件）在竞争性谈判须知前附表第3项规定的响应文件有效期内始终保持有效，我方将受此约束。我方对响应文件中的所有承诺、声明、数据和资料的真实性、准确性、合法性、有效性负责；我方响应文件中有关复印件或扫描件资料均与原件一致。如有违反，我方将承担法律责任和后果。</w:t>
      </w:r>
    </w:p>
    <w:p>
      <w:pPr>
        <w:pStyle w:val="null3"/>
        <w:ind w:firstLine="480"/>
        <w:jc w:val="left"/>
      </w:pPr>
      <w:r>
        <w:rPr/>
        <w:t>2.4我方已经按照谈判文件要求提交谈判保证金。我方如果发生任何竞争性谈判文件中所述不予退还谈判保证金的情况，则我方的谈判保证金将被贵方不予退还，我方对此无异议。谈判保证金或保函有效期与响应文件有效期保持一致</w:t>
      </w:r>
    </w:p>
    <w:p>
      <w:pPr>
        <w:pStyle w:val="null3"/>
        <w:ind w:firstLine="480"/>
        <w:jc w:val="left"/>
      </w:pPr>
      <w:r>
        <w:rPr/>
        <w:t>2.5我方愿意向贵方提供任何与本项目谈判采购有关的数据或资料。若贵方需要，我方愿意提供我方作出的一切承诺的证明材料。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谈判活动有关的一切往来信息或通知（包括补充、澄清和成交通知等），我方自行承担信息错误、通讯设备故障或延误查收信息给我方带来的后果和责任。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2.8我方承诺响应文件所提供的全部资料真实可靠，并接受谈判小组、采购人、采购代理机构、监管部门进一步审查其中任何资料真实性的要求。</w:t>
      </w:r>
    </w:p>
    <w:p>
      <w:pPr>
        <w:pStyle w:val="null3"/>
        <w:ind w:firstLine="480"/>
        <w:jc w:val="left"/>
      </w:pPr>
      <w:r>
        <w:rPr/>
        <w:t>通信地址:</w:t>
      </w:r>
    </w:p>
    <w:p>
      <w:pPr>
        <w:pStyle w:val="null3"/>
        <w:ind w:firstLine="480"/>
        <w:jc w:val="left"/>
      </w:pPr>
      <w:r>
        <w:rPr/>
        <w:t>邮编：</w:t>
      </w:r>
      <w:r>
        <w:rPr/>
        <w:t xml:space="preserve"> 传真号：</w:t>
      </w:r>
    </w:p>
    <w:p>
      <w:pPr>
        <w:pStyle w:val="null3"/>
        <w:ind w:firstLine="480"/>
        <w:jc w:val="left"/>
      </w:pPr>
      <w:r>
        <w:rPr/>
        <w:t>联系电话（固定电话和移动电话）：</w:t>
      </w:r>
    </w:p>
    <w:p>
      <w:pPr>
        <w:pStyle w:val="null3"/>
        <w:ind w:firstLine="480"/>
        <w:jc w:val="left"/>
      </w:pPr>
      <w:r>
        <w:rPr/>
        <w:t>供应商代表：</w:t>
      </w:r>
      <w:r>
        <w:rPr>
          <w:u w:val="single"/>
        </w:rPr>
        <w:t>（签字）</w:t>
      </w:r>
    </w:p>
    <w:p>
      <w:pPr>
        <w:pStyle w:val="null3"/>
        <w:ind w:firstLine="480"/>
        <w:jc w:val="left"/>
      </w:pPr>
      <w:r>
        <w:rPr/>
        <w:t>供应商代表电子信箱：</w:t>
      </w:r>
    </w:p>
    <w:p>
      <w:pPr>
        <w:pStyle w:val="null3"/>
        <w:ind w:firstLine="480"/>
        <w:jc w:val="left"/>
      </w:pPr>
      <w:r>
        <w:rPr/>
        <w:t>供应商：</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附件2 报价一览表</w:t>
      </w:r>
    </w:p>
    <w:p>
      <w:pPr>
        <w:pStyle w:val="null3"/>
        <w:ind w:firstLine="480"/>
        <w:jc w:val="left"/>
      </w:pPr>
      <w:r>
        <w:rPr/>
        <w:t>供应商名称：</w:t>
      </w:r>
      <w:r>
        <w:rPr>
          <w:u w:val="single"/>
        </w:rPr>
        <w:t>（全称加盖单位公章）</w:t>
      </w:r>
      <w:r>
        <w:rPr/>
        <w:t xml:space="preserve"> 项目编号∶</w:t>
      </w:r>
      <w:r>
        <w:rPr>
          <w:u w:val="single"/>
        </w:rPr>
        <w:t xml:space="preserve">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首次报价</w:t>
            </w:r>
          </w:p>
        </w:tc>
        <w:tc>
          <w:tcPr>
            <w:tcW w:type="dxa" w:w="2026"/>
          </w:tcPr>
          <w:p>
            <w:pPr>
              <w:pStyle w:val="null3"/>
              <w:jc w:val="left"/>
            </w:pPr>
            <w:r>
              <w:rPr/>
              <w:t>交货期/工期/项目完成时间/服务时间</w:t>
            </w:r>
          </w:p>
        </w:tc>
        <w:tc>
          <w:tcPr>
            <w:tcW w:type="dxa" w:w="2026"/>
          </w:tcPr>
          <w:p>
            <w:pPr>
              <w:pStyle w:val="null3"/>
              <w:jc w:val="left"/>
            </w:pPr>
            <w:r>
              <w:rPr/>
              <w:t>谈判保证金</w:t>
            </w:r>
          </w:p>
        </w:tc>
        <w:tc>
          <w:tcPr>
            <w:tcW w:type="dxa" w:w="2026"/>
          </w:tcPr>
          <w:p>
            <w:pPr>
              <w:pStyle w:val="null3"/>
              <w:jc w:val="left"/>
            </w:pPr>
            <w:r>
              <w:rPr/>
              <w:t>备注</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ind w:firstLine="480"/>
        <w:jc w:val="left"/>
      </w:pPr>
      <w:r>
        <w:rPr/>
        <w:t>备注：详细报价书另纸详列，格式自拟。</w:t>
      </w:r>
    </w:p>
    <w:p>
      <w:pPr>
        <w:pStyle w:val="null3"/>
        <w:ind w:firstLine="480"/>
        <w:jc w:val="left"/>
      </w:pPr>
      <w:r>
        <w:rPr/>
        <w:t>供应商代表：</w:t>
      </w:r>
      <w:r>
        <w:rPr>
          <w:u w:val="single"/>
        </w:rPr>
        <w:t>（签字）</w:t>
      </w:r>
    </w:p>
    <w:p>
      <w:pPr>
        <w:pStyle w:val="null3"/>
      </w:pPr>
      <w:r>
        <w:rPr/>
        <w:t xml:space="preserve"> </w:t>
        <w:br/>
        <w:br w:type="page"/>
      </w:r>
    </w:p>
    <w:p>
      <w:pPr>
        <w:pStyle w:val="null3"/>
        <w:jc w:val="center"/>
        <w:outlineLvl w:val="2"/>
      </w:pPr>
      <w:r>
        <w:rPr>
          <w:sz w:val="28"/>
          <w:b/>
        </w:rPr>
        <w:t>附件2-1 详细报价书</w:t>
      </w:r>
    </w:p>
    <w:p>
      <w:pPr>
        <w:pStyle w:val="null3"/>
        <w:ind w:firstLine="480"/>
        <w:jc w:val="left"/>
      </w:pPr>
      <w:r>
        <w:rPr/>
        <w:t>说明：</w:t>
      </w:r>
    </w:p>
    <w:p>
      <w:pPr>
        <w:pStyle w:val="null3"/>
        <w:ind w:firstLine="480"/>
        <w:jc w:val="left"/>
      </w:pPr>
      <w:r>
        <w:rPr/>
        <w:t>1.各供应商应根据竞争性谈判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3.对于不能详细列明采购标的的技术、服务要求的谈判采购项目或者如优惠率谈判、单价谈判等特殊类型的谈判采购项目，由供应商根据谈判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 资格证明文件</w:t>
      </w:r>
    </w:p>
    <w:p>
      <w:pPr>
        <w:pStyle w:val="null3"/>
        <w:jc w:val="center"/>
        <w:outlineLvl w:val="2"/>
      </w:pPr>
      <w:r>
        <w:rPr>
          <w:sz w:val="28"/>
          <w:b/>
        </w:rPr>
        <w:t xml:space="preserve">附件3-1 参加竞争性谈判的声明函 </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xml:space="preserve">  </w:t>
      </w:r>
      <w:r>
        <w:rPr/>
        <w:t>年</w:t>
      </w:r>
      <w:r>
        <w:rPr>
          <w:u w:val="single"/>
        </w:rPr>
        <w:t xml:space="preserve">  </w:t>
      </w:r>
      <w:r>
        <w:rPr/>
        <w:t>月</w:t>
      </w:r>
      <w:r>
        <w:rPr>
          <w:u w:val="single"/>
        </w:rPr>
        <w:t xml:space="preserve">  </w:t>
      </w:r>
      <w:r>
        <w:rPr/>
        <w:t>日</w:t>
      </w:r>
      <w:r>
        <w:rPr>
          <w:u w:val="single"/>
        </w:rPr>
        <w:t xml:space="preserve">    </w:t>
      </w:r>
      <w:r>
        <w:rPr/>
        <w:t>项目（项目编号:</w:t>
      </w:r>
      <w:r>
        <w:rPr>
          <w:u w:val="single"/>
        </w:rPr>
        <w:t xml:space="preserve">  </w:t>
      </w:r>
      <w:r>
        <w:rPr/>
        <w:t>）的采购公告（或采购邀请），本签字人代表供应商参加竞争性谈判，我方提供竞争性谈判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p>
    <w:p>
      <w:pPr>
        <w:pStyle w:val="null3"/>
        <w:ind w:firstLine="480"/>
        <w:jc w:val="left"/>
      </w:pPr>
      <w:r>
        <w:rPr/>
        <w:t>2.2注册地址：</w:t>
      </w:r>
      <w:r>
        <w:rPr>
          <w:u w:val="single"/>
        </w:rPr>
        <w:t xml:space="preserve">           </w:t>
      </w:r>
    </w:p>
    <w:p>
      <w:pPr>
        <w:pStyle w:val="null3"/>
        <w:ind w:firstLine="480"/>
        <w:jc w:val="left"/>
      </w:pPr>
      <w:r>
        <w:rPr/>
        <w:t>2.3单位负责人姓名：</w:t>
      </w:r>
      <w:r>
        <w:rPr>
          <w:u w:val="single"/>
        </w:rPr>
        <w:t xml:space="preserve">  </w:t>
      </w:r>
      <w:r>
        <w:rPr/>
        <w:t>性别：</w:t>
      </w:r>
      <w:r>
        <w:rPr>
          <w:u w:val="single"/>
        </w:rPr>
        <w:t xml:space="preserve">  </w:t>
      </w:r>
      <w:r>
        <w:rPr/>
        <w:t>年龄：</w:t>
      </w:r>
      <w:r>
        <w:rPr>
          <w:u w:val="single"/>
        </w:rPr>
        <w:t xml:space="preserve">  </w:t>
      </w:r>
      <w:r>
        <w:rPr/>
        <w:t>职务：</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对于接受联合体形式的谈判且供应商是联合体的，则联合体各成员都应当提交本资格证明文件。</w:t>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1、我方已知晓竞争性谈判文件要求并认真审核自身情况，在此郑重声明，我方具备并满足下列各项条款的规定。本声明如有虚假或不实之处，我方将失去合格供应商资格且我方的谈判保证金将不予退还。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谈判文件对合格供应商的一般规定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2、我方对上述声明的真实性、合法性、准确性、有效性负责，并愿意根据谈判文件和谈判过程中贵方要求提供全部现有资料、数据、文件等予以证实。</w:t>
      </w:r>
    </w:p>
    <w:p>
      <w:pPr>
        <w:pStyle w:val="null3"/>
        <w:ind w:firstLine="480"/>
        <w:jc w:val="left"/>
      </w:pPr>
      <w:r>
        <w:rPr/>
        <w:t>备注：对于接受联合体形式的谈判且供应商是联合体的，则联合体各成员都应当提交本资格证明文件。</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xml:space="preserve">  </w:t>
      </w:r>
      <w:r>
        <w:rPr/>
        <w:t>）的响应谈判，全权代表我方处理响应谈判过程的一切事宜，包括但不限于：递交响应文件、参与谈判、澄清、签约等工作。供应商代表在响应谈判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xml:space="preserve">   </w:t>
      </w:r>
      <w:r>
        <w:rPr/>
        <w:t xml:space="preserve"> 身份证号：</w:t>
      </w:r>
      <w:r>
        <w:rPr>
          <w:u w:val="single"/>
        </w:rPr>
        <w:t xml:space="preserve">   </w:t>
      </w:r>
      <w:r>
        <w:rPr/>
        <w:t>手机：</w:t>
      </w:r>
      <w:r>
        <w:rPr>
          <w:u w:val="single"/>
        </w:rPr>
        <w:t xml:space="preserve">   </w:t>
      </w:r>
    </w:p>
    <w:p>
      <w:pPr>
        <w:pStyle w:val="null3"/>
        <w:ind w:firstLine="480"/>
        <w:jc w:val="left"/>
      </w:pPr>
      <w:r>
        <w:rPr/>
        <w:t>供应商代表：</w:t>
      </w:r>
      <w:r>
        <w:rPr>
          <w:u w:val="single"/>
        </w:rPr>
        <w:t xml:space="preserve">   </w:t>
      </w:r>
      <w:r>
        <w:rPr/>
        <w:t xml:space="preserve"> 身份证号：</w:t>
      </w:r>
      <w:r>
        <w:rPr>
          <w:u w:val="single"/>
        </w:rPr>
        <w:t xml:space="preserve">   </w:t>
      </w:r>
      <w:r>
        <w:rPr/>
        <w:t>手机：</w:t>
      </w:r>
      <w:r>
        <w:rPr>
          <w:u w:val="single"/>
        </w:rPr>
        <w:t xml:space="preserve">   </w:t>
      </w:r>
      <w:r>
        <w:br/>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xml:space="preserve">   </w:t>
      </w:r>
      <w:r>
        <w:br/>
      </w:r>
      <w:r>
        <w:br/>
      </w:r>
    </w:p>
    <w:p>
      <w:pPr>
        <w:pStyle w:val="null3"/>
        <w:ind w:firstLine="480"/>
        <w:jc w:val="left"/>
      </w:pPr>
      <w:r>
        <w:rPr/>
        <w:t>接受授权方</w:t>
      </w:r>
    </w:p>
    <w:p>
      <w:pPr>
        <w:pStyle w:val="null3"/>
        <w:ind w:firstLine="480"/>
        <w:jc w:val="left"/>
      </w:pPr>
      <w:r>
        <w:rPr/>
        <w:t>供应商代表签字：</w:t>
      </w:r>
      <w:r>
        <w:rPr>
          <w:u w:val="single"/>
        </w:rPr>
        <w:t xml:space="preserve">   </w:t>
      </w:r>
    </w:p>
    <w:p>
      <w:pPr>
        <w:pStyle w:val="null3"/>
        <w:ind w:firstLine="480"/>
        <w:jc w:val="left"/>
      </w:pPr>
      <w:r>
        <w:rPr/>
        <w:t>签署日期：</w:t>
      </w:r>
      <w:r>
        <w:rPr>
          <w:u w:val="single"/>
        </w:rPr>
        <w:t xml:space="preserve">  </w:t>
      </w:r>
      <w:r>
        <w:rPr/>
        <w:t>年</w:t>
      </w:r>
      <w:r>
        <w:rPr>
          <w:u w:val="single"/>
        </w:rPr>
        <w:t xml:space="preserve">  </w:t>
      </w:r>
      <w:r>
        <w:rPr/>
        <w:t>月</w:t>
      </w:r>
      <w:r>
        <w:rPr>
          <w:u w:val="single"/>
        </w:rPr>
        <w:t xml:space="preserve">  </w:t>
      </w:r>
      <w:r>
        <w:rPr/>
        <w:t>日</w:t>
      </w:r>
    </w:p>
    <w:p>
      <w:pPr>
        <w:pStyle w:val="null3"/>
        <w:ind w:firstLine="480"/>
        <w:jc w:val="left"/>
      </w:pPr>
      <w:r>
        <w:rPr/>
        <w:t>附：单位负责人、供应商代表的身份证正反面复印件</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b/>
              </w:rPr>
              <w:t>要求：真实、有效、清晰</w:t>
            </w:r>
          </w:p>
        </w:tc>
      </w:tr>
    </w:tbl>
    <w:p>
      <w:pPr>
        <w:pStyle w:val="null3"/>
        <w:ind w:firstLine="480"/>
        <w:jc w:val="left"/>
      </w:pPr>
      <w:r>
        <w:rPr/>
        <w:t>※注意：</w:t>
      </w:r>
    </w:p>
    <w:p>
      <w:pPr>
        <w:pStyle w:val="null3"/>
        <w:jc w:val="center"/>
      </w:pPr>
      <w:r>
        <w:rPr/>
        <w:t>1、企业（银行、保险、石油石化、电力、电信等行业除外）、事业单位和社会团体法人的“单位负责人”指法定代表人，即与实际提交的“营业执照等证明文件”载明的一致。</w:t>
      </w:r>
    </w:p>
    <w:p>
      <w:pPr>
        <w:pStyle w:val="null3"/>
        <w:jc w:val="center"/>
      </w:pPr>
      <w:r>
        <w:rPr/>
        <w:t>2、银行、保险、石油石化、电力、电信等行业：以法人身份参加谈判的，“单位负责人”指法定代表人，即与实际提交的“营业执照等证明文件”载明的一致；以非法人身份参加谈判的，“单位负责人”指代表单位行使职权的主要负责人，即与实际提交的“营业执照等证明文件”载明的一致。</w:t>
      </w:r>
    </w:p>
    <w:p>
      <w:pPr>
        <w:pStyle w:val="null3"/>
        <w:jc w:val="center"/>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jc w:val="center"/>
      </w:pPr>
      <w:r>
        <w:rPr/>
        <w:t>4、对于接受联合体形式的谈判且供应商是联合体的，则只需要联合体的牵头方提交本授权书，在纸质响应文件正本中的本授权书应为原件。</w:t>
      </w:r>
    </w:p>
    <w:p>
      <w:pPr>
        <w:pStyle w:val="null3"/>
      </w:pPr>
      <w:r>
        <w:rPr/>
        <w:t xml:space="preserve"> </w:t>
        <w:br/>
        <w:br w:type="page"/>
      </w:r>
    </w:p>
    <w:p>
      <w:pPr>
        <w:pStyle w:val="null3"/>
        <w:jc w:val="center"/>
        <w:outlineLvl w:val="2"/>
      </w:pPr>
      <w:r>
        <w:rPr>
          <w:sz w:val="28"/>
          <w:b/>
        </w:rPr>
        <w:t>附件3-4 营业执照等证明文件</w:t>
      </w:r>
    </w:p>
    <w:p>
      <w:pPr>
        <w:pStyle w:val="null3"/>
        <w:ind w:firstLine="480"/>
        <w:jc w:val="left"/>
      </w:pPr>
      <w:r>
        <w:rPr/>
        <w:t>致：</w:t>
      </w:r>
      <w:r>
        <w:rPr>
          <w:u w:val="single"/>
        </w:rPr>
        <w:t>(采购人或采购代理机构)</w:t>
      </w:r>
    </w:p>
    <w:p>
      <w:pPr>
        <w:pStyle w:val="null3"/>
        <w:ind w:firstLine="480"/>
        <w:jc w:val="left"/>
      </w:pPr>
      <w:r>
        <w:rPr/>
        <w:t>（）供应商为法人（包括企业、事业单位和社会团体）的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附件3-5 财务状况报告</w:t>
      </w:r>
    </w:p>
    <w:p>
      <w:pPr>
        <w:pStyle w:val="null3"/>
        <w:ind w:firstLine="480"/>
        <w:jc w:val="left"/>
      </w:pPr>
      <w:r>
        <w:rPr/>
        <w:t>致：</w:t>
      </w:r>
      <w:r>
        <w:rPr>
          <w:u w:val="single"/>
        </w:rPr>
        <w:t>(采购人或采购代理机构)</w:t>
      </w:r>
    </w:p>
    <w:p>
      <w:pPr>
        <w:pStyle w:val="null3"/>
        <w:ind w:firstLine="480"/>
        <w:jc w:val="left"/>
      </w:pPr>
      <w:r>
        <w:rPr/>
        <w:t>（）供应商提供财务报告的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（）供应商提供谈判担保函的</w:t>
      </w:r>
    </w:p>
    <w:p>
      <w:pPr>
        <w:pStyle w:val="null3"/>
        <w:ind w:firstLine="480"/>
        <w:jc w:val="left"/>
      </w:pPr>
      <w:r>
        <w:rPr/>
        <w:t>现附上由财政部门认可的政府采购专业担保机构：</w:t>
      </w:r>
      <w:r>
        <w:rPr>
          <w:u w:val="single"/>
        </w:rPr>
        <w:t>（填写“担保机构全称”）</w:t>
      </w:r>
      <w:r>
        <w:rPr/>
        <w:t>出具的谈判担保函复印件，上述证明材料真实有效，否则我方负全部责任。</w:t>
      </w:r>
      <w:r>
        <w:br/>
      </w:r>
      <w:r>
        <w:br/>
      </w:r>
    </w:p>
    <w:p>
      <w:pPr>
        <w:pStyle w:val="null3"/>
        <w:ind w:firstLine="480"/>
        <w:jc w:val="left"/>
      </w:pPr>
      <w:r>
        <w:rPr/>
        <w:t>※注意事项：</w:t>
      </w:r>
    </w:p>
    <w:p>
      <w:pPr>
        <w:pStyle w:val="null3"/>
        <w:ind w:firstLine="480"/>
        <w:jc w:val="left"/>
      </w:pPr>
      <w:r>
        <w:rPr/>
        <w:t>1、上文提供财务报告、资信证明、担保函共三大类型，请供应商按照自身实际情况编制填写，在其中相应的（）中打“√”并选择相应的“□”（若有）后，再按照本格式的要求提供相应证明材料的复印件即可。即供应商符合上述三大类型其中一种，并按要求提供相应证明资料即为满足。</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b/>
        </w:rPr>
        <w:t>※无法按照本格式注意事项第2.1、2.2条规定提供财务报告复印件的供应商，应按照本格式注意事项的要求选择提供资信证明复印件或谈判担保函复印件。</w:t>
      </w:r>
    </w:p>
    <w:p>
      <w:pPr>
        <w:pStyle w:val="null3"/>
        <w:ind w:firstLine="480"/>
        <w:jc w:val="left"/>
      </w:pPr>
      <w:r>
        <w:rPr/>
        <w:t>3、“财政部门认可的政府采购专业担保机构”应符合《财政部关于开展政府采购信用担保试点工作方案》（财库[2011]124号）的规定。</w:t>
      </w:r>
    </w:p>
    <w:p>
      <w:pPr>
        <w:pStyle w:val="null3"/>
        <w:ind w:firstLine="480"/>
        <w:jc w:val="left"/>
      </w:pPr>
      <w:r>
        <w:rPr/>
        <w:t>4、供应商提供的相应证明材料复印件均应符合：内容完整、清晰、整洁，并由供应商加盖其单位公章。</w:t>
      </w:r>
    </w:p>
    <w:p>
      <w:pPr>
        <w:pStyle w:val="null3"/>
        <w:ind w:firstLine="480"/>
        <w:jc w:val="left"/>
      </w:pPr>
      <w:r>
        <w:rPr/>
        <w:t>5、对于接受联合体形式的磋商且供应商是联合体的，则联合体各成员都应当提交本资格证明文件。</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（）法人（包括企业、事业单位和社会团体）的</w:t>
      </w:r>
    </w:p>
    <w:p>
      <w:pPr>
        <w:pStyle w:val="null3"/>
        <w:ind w:firstLine="480"/>
        <w:jc w:val="left"/>
      </w:pPr>
      <w:r>
        <w:rPr/>
        <w:t xml:space="preserve">现附上自 </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（）非法人（包括其他组织、自然人）的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（）法人（包括企业、事业单位和社会团体）的</w:t>
      </w:r>
    </w:p>
    <w:p>
      <w:pPr>
        <w:pStyle w:val="null3"/>
        <w:ind w:firstLine="480"/>
        <w:jc w:val="left"/>
      </w:pPr>
      <w:r>
        <w:rPr/>
        <w:t>现附上自</w:t>
      </w:r>
      <w:r>
        <w:rPr/>
        <w:t>年</w:t>
      </w:r>
      <w:r>
        <w:rPr/>
        <w:t>月</w:t>
      </w:r>
      <w:r>
        <w:rPr/>
        <w:t>日至</w:t>
      </w:r>
      <w:r>
        <w:rPr/>
        <w:t>年</w:t>
      </w:r>
      <w:r>
        <w:rPr/>
        <w:t>月</w:t>
      </w:r>
      <w:r>
        <w:rPr/>
        <w:t xml:space="preserve"> 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（）非法人（包括其他组织、自然人）的</w:t>
      </w:r>
    </w:p>
    <w:p>
      <w:pPr>
        <w:pStyle w:val="null3"/>
        <w:ind w:firstLine="480"/>
        <w:jc w:val="left"/>
      </w:pPr>
      <w:r>
        <w:rPr/>
        <w:t>自</w:t>
      </w:r>
      <w:r>
        <w:rPr/>
        <w:t>年</w:t>
      </w:r>
      <w:r>
        <w:rPr/>
        <w:t>月</w:t>
      </w:r>
      <w:r>
        <w:rPr/>
        <w:t>日至</w:t>
      </w:r>
      <w:r>
        <w:rPr/>
        <w:t>年</w:t>
      </w:r>
      <w:r>
        <w:rPr/>
        <w:t>月</w:t>
      </w:r>
      <w:r>
        <w:rPr/>
        <w:t>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附件3-8 具备履行合同所必需设备和专业技术能力证明材料</w:t>
      </w:r>
    </w:p>
    <w:p>
      <w:pPr>
        <w:pStyle w:val="null3"/>
        <w:jc w:val="center"/>
        <w:outlineLvl w:val="1"/>
      </w:pPr>
      <w:r>
        <w:rPr>
          <w:sz w:val="36"/>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jc w:val="left"/>
      </w:pPr>
      <w:r>
        <w:rPr>
          <w:b/>
        </w:rPr>
        <w:t>1.谈判文件“供应商的资格”中特定资格条件如果没有特别规定，则由供应商在响应文件中按上述格式提供其具备履行合同所必需的设备和专业技术能力的声明即可，声明函应加盖供应商单位公章。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谈判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附件3-9 信用记录查询结果</w:t>
      </w:r>
    </w:p>
    <w:p>
      <w:pPr>
        <w:pStyle w:val="null3"/>
        <w:ind w:firstLine="480"/>
        <w:jc w:val="left"/>
      </w:pPr>
      <w:r>
        <w:rPr/>
        <w:t>1、由谈判小组通过网站查询并打印供应商的信用记录。</w:t>
      </w:r>
    </w:p>
    <w:p>
      <w:pPr>
        <w:pStyle w:val="null3"/>
        <w:ind w:firstLine="480"/>
        <w:jc w:val="left"/>
      </w:pPr>
      <w:r>
        <w:rPr/>
        <w:t>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pPr>
      <w:r>
        <w:rPr/>
        <w:t xml:space="preserve"> </w:t>
        <w:br/>
        <w:br w:type="page"/>
      </w:r>
    </w:p>
    <w:p>
      <w:pPr>
        <w:pStyle w:val="null3"/>
        <w:jc w:val="center"/>
        <w:outlineLvl w:val="2"/>
      </w:pPr>
      <w:r>
        <w:rPr>
          <w:sz w:val="28"/>
          <w:b/>
        </w:rPr>
        <w:t>附件3-10 联合体协议</w:t>
      </w:r>
    </w:p>
    <w:p>
      <w:pPr>
        <w:pStyle w:val="null3"/>
        <w:jc w:val="center"/>
      </w:pPr>
      <w:r>
        <w:rPr>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自愿组成联合体，共同参加（填写</w:t>
      </w:r>
      <w:r>
        <w:rPr>
          <w:u w:val="single"/>
        </w:rPr>
        <w:t>(项目名称)</w:t>
      </w:r>
      <w:r>
        <w:rPr/>
        <w:t>项目（项目编号：</w:t>
      </w:r>
      <w:r>
        <w:rPr>
          <w:u w:val="single"/>
        </w:rPr>
        <w:t>（填写“项目编号”）</w:t>
      </w:r>
      <w:r>
        <w:rPr/>
        <w:t>）的响应。现就联合体参加本项目响应谈判的有关事宜达成下列协议：</w:t>
      </w:r>
    </w:p>
    <w:p>
      <w:pPr>
        <w:pStyle w:val="null3"/>
        <w:ind w:firstLine="480"/>
        <w:jc w:val="left"/>
      </w:pPr>
      <w:r>
        <w:rPr/>
        <w:t>一、联合体各方应承担的工作和义务具体如下：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w:t>
      </w:r>
      <w:r>
        <w:rPr/>
        <w:t>代表联合体办理参加本项目响应谈判的有关事宜（包括但不限于：派出供应商代表、提交响应文件及参加谈判、澄清等工作），在此过程中，供应商代表签署的一切文件和处理结果，联合体各方均予以认可并对此承担责任。</w:t>
      </w:r>
    </w:p>
    <w:p>
      <w:pPr>
        <w:pStyle w:val="null3"/>
        <w:ind w:firstLine="480"/>
        <w:jc w:val="left"/>
      </w:pPr>
      <w:r>
        <w:rPr/>
        <w:t>2、联合体各方约定由（填写“牵头方的全称”）代表联合体办理谈判保证金事宜。</w:t>
      </w:r>
    </w:p>
    <w:p>
      <w:pPr>
        <w:pStyle w:val="null3"/>
        <w:ind w:firstLine="480"/>
        <w:jc w:val="left"/>
      </w:pPr>
      <w:r>
        <w:rPr/>
        <w:t>四、若成交，牵头方将代表联合体与采购人就合同签订事宜进行协商；若协商一致，则联合体各方将共同与采购人签订政府采购合同，并就政府采购合同约定的事项对采购人承担连带责任。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份，联合体各方各执一份，响应文件中提交一份。</w:t>
      </w:r>
    </w:p>
    <w:p>
      <w:pPr>
        <w:pStyle w:val="null3"/>
        <w:ind w:firstLine="480"/>
        <w:jc w:val="left"/>
      </w:pPr>
      <w:r>
        <w:rPr/>
        <w:t>（以下无正文）</w:t>
      </w:r>
      <w:r>
        <w:br/>
      </w:r>
      <w:r>
        <w:br/>
      </w:r>
    </w:p>
    <w:p>
      <w:pPr>
        <w:pStyle w:val="null3"/>
        <w:ind w:firstLine="480"/>
        <w:jc w:val="left"/>
      </w:pPr>
      <w:r>
        <w:rPr/>
        <w:t>牵头方：</w:t>
      </w:r>
      <w:r>
        <w:rPr>
          <w:u w:val="single"/>
        </w:rPr>
        <w:t>（全称并加盖单位公章）</w:t>
      </w:r>
    </w:p>
    <w:p>
      <w:pPr>
        <w:pStyle w:val="null3"/>
        <w:ind w:firstLine="480"/>
        <w:jc w:val="left"/>
      </w:pPr>
      <w:r>
        <w:rPr/>
        <w:t>供应商代表：</w:t>
      </w:r>
      <w:r>
        <w:rPr>
          <w:u w:val="single"/>
        </w:rPr>
        <w:t>（签字或盖章）</w:t>
      </w:r>
    </w:p>
    <w:p>
      <w:pPr>
        <w:pStyle w:val="null3"/>
        <w:ind w:firstLine="480"/>
        <w:jc w:val="left"/>
      </w:pPr>
      <w:r>
        <w:rPr/>
        <w:t>成员一：</w:t>
      </w:r>
      <w:r>
        <w:rPr>
          <w:u w:val="single"/>
        </w:rPr>
        <w:t>（全称并加盖成员一的单位公章）</w:t>
      </w:r>
    </w:p>
    <w:p>
      <w:pPr>
        <w:pStyle w:val="null3"/>
        <w:ind w:firstLine="480"/>
        <w:jc w:val="left"/>
      </w:pPr>
      <w:r>
        <w:rPr/>
        <w:t>供应商代表：</w:t>
      </w:r>
      <w:r>
        <w:rPr>
          <w:u w:val="single"/>
        </w:rPr>
        <w:t>（签字或盖章）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供应商代表：</w:t>
      </w:r>
      <w:r>
        <w:rPr>
          <w:u w:val="single"/>
        </w:rPr>
        <w:t>（签字或盖章）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1、若谈判文件规定接受联合体形式且供应商为联合体的，则供应商应提供本协议；否则无须提供。</w:t>
      </w:r>
    </w:p>
    <w:p>
      <w:pPr>
        <w:pStyle w:val="null3"/>
        <w:ind w:firstLine="480"/>
        <w:jc w:val="left"/>
      </w:pPr>
      <w:r>
        <w:rPr/>
        <w:t>2、本协议中的供应商代表如果不是竞争性谈判须知中定义的“单位负责人”，则还必须提供“单位负责人授权书”。</w:t>
      </w:r>
    </w:p>
    <w:p>
      <w:pPr>
        <w:pStyle w:val="null3"/>
        <w:ind w:firstLine="480"/>
        <w:jc w:val="left"/>
      </w:pPr>
      <w:r>
        <w:rPr/>
        <w:t>3、在以联合体形式落实中小企业预留份额项目中，供应商除了要提供《中小企业声明函》，还需提供本协议。</w:t>
      </w:r>
    </w:p>
    <w:p>
      <w:pPr>
        <w:pStyle w:val="null3"/>
      </w:pPr>
      <w:r>
        <w:rPr/>
        <w:t xml:space="preserve"> </w:t>
        <w:br/>
        <w:br w:type="page"/>
      </w:r>
    </w:p>
    <w:p>
      <w:pPr>
        <w:pStyle w:val="null3"/>
        <w:jc w:val="center"/>
        <w:outlineLvl w:val="2"/>
      </w:pPr>
      <w:r>
        <w:rPr>
          <w:sz w:val="28"/>
          <w:b/>
        </w:rPr>
        <w:t>附件3-11分包意向协议（若有）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1.谈判文件接受合同分包且供应商拟将合同分包的，应提供本协议；否则无须提供。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pPr>
      <w:r>
        <w:rPr/>
        <w:t xml:space="preserve"> </w:t>
        <w:br/>
        <w:br w:type="page"/>
      </w:r>
    </w:p>
    <w:p>
      <w:pPr>
        <w:pStyle w:val="null3"/>
        <w:jc w:val="center"/>
        <w:outlineLvl w:val="2"/>
      </w:pPr>
      <w:r>
        <w:rPr>
          <w:sz w:val="28"/>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480"/>
        <w:jc w:val="left"/>
      </w:pPr>
      <w:r>
        <w:rPr/>
        <w:t>特此声明。</w:t>
      </w:r>
      <w:r>
        <w:br/>
      </w:r>
      <w:r>
        <w:br/>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w:t>
      </w:r>
    </w:p>
    <w:p>
      <w:pPr>
        <w:pStyle w:val="null3"/>
        <w:ind w:firstLine="480"/>
        <w:jc w:val="left"/>
      </w:pPr>
      <w:r>
        <w:rPr/>
        <w:t>2、请供应商根据实际情况如实声明，否则视为提供虚假材料。</w:t>
      </w:r>
    </w:p>
    <w:p>
      <w:pPr>
        <w:pStyle w:val="null3"/>
      </w:pPr>
      <w:r>
        <w:rPr/>
        <w:t xml:space="preserve"> </w:t>
        <w:br/>
        <w:br w:type="page"/>
      </w:r>
    </w:p>
    <w:p>
      <w:pPr>
        <w:pStyle w:val="null3"/>
        <w:jc w:val="center"/>
        <w:outlineLvl w:val="2"/>
      </w:pPr>
      <w:r>
        <w:rPr>
          <w:sz w:val="28"/>
          <w:b/>
        </w:rPr>
        <w:t>附件3-13 其它资格证明文件</w:t>
      </w:r>
    </w:p>
    <w:p>
      <w:pPr>
        <w:pStyle w:val="null3"/>
        <w:jc w:val="center"/>
        <w:outlineLvl w:val="1"/>
      </w:pPr>
      <w:r>
        <w:rPr>
          <w:sz w:val="36"/>
          <w:b/>
        </w:rPr>
        <w:t>（若有）</w:t>
      </w:r>
    </w:p>
    <w:p>
      <w:pPr>
        <w:pStyle w:val="null3"/>
        <w:ind w:firstLine="480"/>
        <w:jc w:val="left"/>
      </w:pPr>
      <w:r>
        <w:rPr/>
        <w:t>说明：1、采购人或采购代理机构可以根据项目的特点和需要，在谈判文件“供应商的资格”中特定资格条件，对其它资格证明文件进行具体规定，供应商应按照谈判文件要求，在此项下提供相关证明材料，并加盖供应商单位公章。</w:t>
      </w:r>
    </w:p>
    <w:p>
      <w:pPr>
        <w:pStyle w:val="null3"/>
        <w:ind w:firstLine="480"/>
        <w:jc w:val="left"/>
      </w:pPr>
      <w:r>
        <w:rPr/>
        <w:t>2、若谈判文件规定接受联合体形式且供应商为联合体的，涉及联合体成员的其它资格证明文件在此处提供相关证明材料，并加盖供应商单位公章。</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附件4 谈判保证金凭证</w:t>
      </w:r>
    </w:p>
    <w:p>
      <w:pPr>
        <w:pStyle w:val="null3"/>
        <w:jc w:val="center"/>
      </w:pPr>
      <w:r>
        <w:rPr/>
        <w:t>编制说明</w:t>
      </w:r>
    </w:p>
    <w:p>
      <w:pPr>
        <w:pStyle w:val="null3"/>
        <w:ind w:firstLine="480"/>
        <w:jc w:val="left"/>
      </w:pPr>
      <w:r>
        <w:rPr/>
        <w:t>1、在此项下提交的“谈判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2、谈判保证金是否已提交按照谈判文件规定执行。</w:t>
      </w:r>
    </w:p>
    <w:p>
      <w:pPr>
        <w:pStyle w:val="null3"/>
      </w:pPr>
      <w:r>
        <w:rPr/>
        <w:t xml:space="preserve"> </w:t>
        <w:br/>
        <w:br w:type="page"/>
      </w:r>
    </w:p>
    <w:p>
      <w:pPr>
        <w:pStyle w:val="null3"/>
        <w:jc w:val="center"/>
        <w:outlineLvl w:val="2"/>
      </w:pPr>
      <w:r>
        <w:rPr>
          <w:sz w:val="28"/>
          <w:b/>
        </w:rPr>
        <w:t>附件5：技术、服务和商务响应表</w:t>
      </w:r>
    </w:p>
    <w:p>
      <w:pPr>
        <w:pStyle w:val="null3"/>
        <w:jc w:val="center"/>
        <w:outlineLvl w:val="2"/>
      </w:pPr>
      <w:r>
        <w:rPr>
          <w:sz w:val="28"/>
          <w:b/>
        </w:rPr>
        <w:t>附件5-1：技术和服务要求响应表</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pPr>
      <w:r>
        <w:rPr/>
        <w:t xml:space="preserve"> </w:t>
        <w:br/>
        <w:br w:type="page"/>
      </w:r>
    </w:p>
    <w:p>
      <w:pPr>
        <w:pStyle w:val="null3"/>
        <w:jc w:val="center"/>
        <w:outlineLvl w:val="2"/>
      </w:pPr>
      <w:r>
        <w:rPr>
          <w:sz w:val="28"/>
          <w:b/>
        </w:rPr>
        <w:t xml:space="preserve">附件5-2 商务条件和其它事项响应表 </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谈判文件中对供应商需要提供的相关技术、商务、服务响应承诺及资料进行具体规定或附表格式，供应商应按照谈判文件要求提供相关承诺及材料，并加盖供应商单位公章。</w:t>
      </w:r>
    </w:p>
    <w:p>
      <w:pPr>
        <w:pStyle w:val="null3"/>
        <w:ind w:firstLine="480"/>
        <w:jc w:val="left"/>
      </w:pPr>
      <w:r>
        <w:rPr/>
        <w:t>2.如果没有特别要求的，供应商根据谈判文件的要求以及特点，提供相关技术、商务、服务响应承诺及资料，格式自拟。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2"/>
      </w:pPr>
      <w:r>
        <w:rPr>
          <w:sz w:val="28"/>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 xml:space="preserve"> ※注意：</w:t>
      </w:r>
    </w:p>
    <w:p>
      <w:pPr>
        <w:pStyle w:val="null3"/>
        <w:ind w:firstLine="480"/>
        <w:jc w:val="left"/>
      </w:pPr>
      <w:r>
        <w:rPr/>
        <w:t xml:space="preserve"> 1、从业人员、营业收入、资产总额填报上一年度数据，无上一年度数据的新成立企业可不填报。</w:t>
      </w:r>
    </w:p>
    <w:p>
      <w:pPr>
        <w:pStyle w:val="null3"/>
        <w:ind w:firstLine="480"/>
        <w:jc w:val="left"/>
      </w:pPr>
      <w:r>
        <w:rPr/>
        <w:t xml:space="preserve"> 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 xml:space="preserve"> 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ind w:firstLine="480"/>
        <w:jc w:val="center"/>
      </w:pPr>
      <w:r>
        <w:rPr/>
        <w:t>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jc w:val="center"/>
        <w:outlineLvl w:val="2"/>
      </w:pPr>
      <w:r>
        <w:rPr>
          <w:sz w:val="28"/>
          <w:b/>
        </w:rPr>
        <w:t>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（）提供本供应商制造的</w:t>
      </w:r>
      <w:r>
        <w:rPr>
          <w:u w:val="single"/>
        </w:rPr>
        <w:t>（填写“所投采购包、品目号”）</w:t>
      </w:r>
      <w:r>
        <w:rPr/>
        <w:t>货物，或提供其他残疾人福利性单位制造的</w:t>
      </w:r>
      <w:r>
        <w:rPr>
          <w:u w:val="single"/>
        </w:rPr>
        <w:t>（不包括使用非残疾人福利性单位注册商标的货物）</w:t>
      </w:r>
      <w:r>
        <w:rPr/>
        <w:t>货物。（说明：只有部分货物由残疾人福利企业制造的，在该货物后标★）</w:t>
      </w:r>
    </w:p>
    <w:p>
      <w:pPr>
        <w:pStyle w:val="null3"/>
        <w:ind w:firstLine="480"/>
        <w:jc w:val="left"/>
      </w:pPr>
      <w:r>
        <w:rPr/>
        <w:t>（）由本供应商承建的</w:t>
      </w:r>
      <w:r>
        <w:rPr>
          <w:u w:val="single"/>
        </w:rPr>
        <w:t>（填写“所投采购包、品目号”）</w:t>
      </w:r>
      <w:r>
        <w:rPr/>
        <w:t>工程</w:t>
      </w:r>
    </w:p>
    <w:p>
      <w:pPr>
        <w:pStyle w:val="null3"/>
        <w:ind w:firstLine="480"/>
        <w:jc w:val="left"/>
      </w:pPr>
      <w:r>
        <w:rPr/>
        <w:t>（）由本供应商承接的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jc w:val="center"/>
      </w:pPr>
      <w:r>
        <w:rPr/>
        <w:t>备注：（1）若供应商不符合残疾人福利性单位，不用提供本声明函，否则视为提供虚假材料。供应商在提交最后报价前，如果已向谈判小组提交上述声明函，视同为供应商符合残疾人福利性单位，享受价格扣除的优惠政策。</w:t>
      </w:r>
    </w:p>
    <w:p>
      <w:pPr>
        <w:pStyle w:val="null3"/>
        <w:jc w:val="center"/>
      </w:pPr>
      <w:r>
        <w:rPr/>
        <w:t>（2）请供应商按照实际情况编制填写本声明函，并在相应的（）中打“√”。</w:t>
      </w:r>
    </w:p>
    <w:p>
      <w:pPr>
        <w:pStyle w:val="null3"/>
        <w:jc w:val="center"/>
      </w:pPr>
      <w:r>
        <w:rPr/>
        <w:t>（3）纸质响应文件正本中的本声明函（若有）应为原件。</w:t>
      </w:r>
    </w:p>
    <w:p>
      <w:pPr>
        <w:pStyle w:val="null3"/>
        <w:jc w:val="center"/>
      </w:pPr>
      <w:r>
        <w:rPr/>
        <w:t>（4）若《残疾人福利性单位声明函》内容不真实，视为提供虚假材料。</w:t>
      </w:r>
    </w:p>
    <w:p>
      <w:pPr>
        <w:pStyle w:val="null3"/>
      </w:pPr>
      <w:r>
        <w:rPr/>
        <w:t xml:space="preserve"> </w:t>
        <w:br/>
        <w:br w:type="page"/>
      </w:r>
    </w:p>
    <w:p>
      <w:pPr>
        <w:pStyle w:val="null3"/>
        <w:jc w:val="center"/>
        <w:outlineLvl w:val="2"/>
      </w:pPr>
      <w:r>
        <w:rPr>
          <w:sz w:val="28"/>
          <w:b/>
        </w:rPr>
        <w:t>附件7-1-3 监狱企业证明材料</w:t>
      </w:r>
      <w:r>
        <w:rPr/>
        <w:t>供应商为监狱企业，提供本单位制造的货物（承接的服务），并在响应文件中提供省级以上监狱管理局、戒毒管理局（含新疆生产建设兵团）出具的属于监狱企业的证明文件。</w:t>
      </w:r>
    </w:p>
    <w:p>
      <w:pPr>
        <w:pStyle w:val="null3"/>
      </w:pPr>
      <w:r>
        <w:rPr/>
        <w:t xml:space="preserve"> </w:t>
        <w:br/>
        <w:br w:type="page"/>
      </w:r>
    </w:p>
    <w:p>
      <w:pPr>
        <w:pStyle w:val="null3"/>
        <w:jc w:val="center"/>
        <w:outlineLvl w:val="2"/>
      </w:pPr>
      <w:r>
        <w:rPr>
          <w:sz w:val="28"/>
          <w:b/>
        </w:rPr>
        <w:t>附件7-2优先类节能产品、环境标志产品价格扣除证明材料（若有）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tc>
        <w:tc>
          <w:tcPr>
            <w:tcW w:type="dxa" w:w="7476"/>
            <w:gridSpan w:val="6"/>
          </w:tcPr>
          <w:p>
            <w:pPr>
              <w:pStyle w:val="null3"/>
              <w:jc w:val="center"/>
            </w:pPr>
            <w:r>
              <w:rPr/>
              <w:t>本采购包内属于节能、环境标志产品的报价情况</w:t>
            </w:r>
          </w:p>
        </w:tc>
      </w:tr>
      <w:tr>
        <w:tc>
          <w:tcPr>
            <w:tcW w:type="dxa" w:w="831"/>
          </w:tcPr>
          <w:p>
            <w:pPr>
              <w:pStyle w:val="null3"/>
              <w:jc w:val="center"/>
            </w:pPr>
            <w:r>
              <w:rPr/>
              <w:t>采购包</w:t>
            </w:r>
          </w:p>
          <w:p>
            <w:pPr>
              <w:pStyle w:val="null3"/>
              <w:jc w:val="center"/>
            </w:pP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w:t>
            </w:r>
          </w:p>
        </w:tc>
        <w:tc>
          <w:tcPr>
            <w:tcW w:type="dxa" w:w="1661"/>
          </w:tcPr>
          <w:p>
            <w:pPr>
              <w:pStyle w:val="null3"/>
              <w:jc w:val="center"/>
            </w:pPr>
            <w:r>
              <w:rPr/>
              <w:t>数量</w:t>
            </w:r>
          </w:p>
        </w:tc>
        <w:tc>
          <w:tcPr>
            <w:tcW w:type="dxa" w:w="831"/>
          </w:tcPr>
          <w:p>
            <w:pPr>
              <w:pStyle w:val="null3"/>
              <w:jc w:val="center"/>
            </w:pPr>
            <w:r>
              <w:rPr/>
              <w:t>最后报价总价</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vMerge/>
          </w:tcPr>
          <w:p/>
        </w:tc>
        <w:tc>
          <w:tcPr>
            <w:tcW w:type="dxa" w:w="831"/>
          </w:tcPr>
          <w:p>
            <w:pPr>
              <w:pStyle w:val="null3"/>
              <w:jc w:val="center"/>
            </w:pPr>
            <w:r>
              <w:rPr/>
              <w:t>...</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tcPr>
          <w:p>
            <w:pPr>
              <w:pStyle w:val="null3"/>
              <w:jc w:val="center"/>
            </w:pPr>
            <w:r>
              <w:rPr/>
              <w:t>报价</w:t>
            </w:r>
          </w:p>
        </w:tc>
        <w:tc>
          <w:tcPr>
            <w:tcW w:type="dxa" w:w="7476"/>
            <w:gridSpan w:val="6"/>
          </w:tcPr>
          <w:p>
            <w:pPr>
              <w:pStyle w:val="null3"/>
              <w:jc w:val="left"/>
            </w:pPr>
            <w:r>
              <w:rPr/>
              <w:t>a.采购包内属于节能、环境标志产品的报价总金额：</w:t>
            </w:r>
            <w:r>
              <w:rPr>
                <w:u w:val="single"/>
              </w:rPr>
              <w:t xml:space="preserve">    </w:t>
            </w:r>
            <w:r>
              <w:rPr/>
              <w:t>。</w:t>
            </w:r>
          </w:p>
        </w:tc>
      </w:tr>
    </w:tbl>
    <w:p>
      <w:pPr>
        <w:pStyle w:val="null3"/>
        <w:ind w:firstLine="480"/>
        <w:jc w:val="left"/>
      </w:pPr>
      <w:r>
        <w:rPr/>
        <w:t>※注意：</w:t>
      </w:r>
    </w:p>
    <w:p>
      <w:pPr>
        <w:pStyle w:val="null3"/>
        <w:ind w:firstLine="480"/>
        <w:jc w:val="left"/>
      </w:pPr>
      <w:r>
        <w:rPr/>
        <w:t>1、对“节能、环境标志产品”计算价格扣除时，只依据响应文件提交的材料。</w:t>
      </w:r>
    </w:p>
    <w:p>
      <w:pPr>
        <w:pStyle w:val="null3"/>
        <w:ind w:firstLine="480"/>
        <w:jc w:val="left"/>
      </w:pPr>
      <w:r>
        <w:rPr/>
        <w:t>2、本表以采购包为单位，不同采购包请分别填写；单个采购包请按照其品目号顺序分别填写。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3.3供应商应按照谈判文件上表要求认真统计、计算。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谈判文件中对要求作为响应文件组成部分的其他内容进行具体规定或附表格式，供应商应按照谈判文件要求提供相关承诺及材料，并加盖供应商单位公章。</w:t>
      </w:r>
    </w:p>
    <w:p>
      <w:pPr>
        <w:pStyle w:val="null3"/>
        <w:ind w:firstLine="480"/>
        <w:jc w:val="left"/>
      </w:pPr>
      <w:r>
        <w:rPr/>
        <w:t>2、供应商根据自身实际情况编写有关资料包括如供应商单位简介、竞争性谈判文件要求提供或供应商自已认为体现自身优势，需要补充说明的其它资料，格式自拟。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6.png" Type="http://schemas.openxmlformats.org/officeDocument/2006/relationships/image"/><Relationship Id="rId11" Target="media/image7.png" Type="http://schemas.openxmlformats.org/officeDocument/2006/relationships/image"/><Relationship Id="rId12" Target="media/image8.png" Type="http://schemas.openxmlformats.org/officeDocument/2006/relationships/image"/><Relationship Id="rId13" Target="numbering.xml" Type="http://schemas.openxmlformats.org/officeDocument/2006/relationships/numbering"/><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media/image5.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