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版本号：N511502202500028020251114001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宜宾市翠屏区2026年优质水稻及五粮液定制水稻种子采购项目(二次)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N5115022025000280</w:t>
      </w:r>
    </w:p>
    <w:p>
      <w:pPr>
        <w:pStyle w:val="null3"/>
        <w:jc w:val="left"/>
        <w:outlineLvl w:val="2"/>
      </w:pPr>
      <w:r>
        <w:rPr>
          <w:rFonts w:ascii="仿宋_GB2312" w:hAnsi="仿宋_GB2312" w:cs="仿宋_GB2312" w:eastAsia="仿宋_GB2312"/>
          <w:sz w:val="28"/>
          <w:b/>
        </w:rPr>
        <w:t>宜宾市翠屏区农业农村局</w:t>
      </w:r>
    </w:p>
    <w:p>
      <w:pPr>
        <w:pStyle w:val="null3"/>
        <w:jc w:val="center"/>
        <w:outlineLvl w:val="2"/>
      </w:pPr>
      <w:r>
        <w:rPr>
          <w:rFonts w:ascii="仿宋_GB2312" w:hAnsi="仿宋_GB2312" w:cs="仿宋_GB2312" w:eastAsia="仿宋_GB2312"/>
          <w:sz w:val="28"/>
          <w:b/>
        </w:rPr>
        <w:t>四川中翌工程管理咨询有限公司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四川中翌工程管理咨询有限公司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宜宾市翠屏区农业农村局</w:t>
      </w:r>
      <w:r>
        <w:rPr>
          <w:rFonts w:ascii="仿宋_GB2312" w:hAnsi="仿宋_GB2312" w:cs="仿宋_GB2312" w:eastAsia="仿宋_GB2312"/>
        </w:rPr>
        <w:t xml:space="preserve"> 委托，拟对 </w:t>
      </w:r>
      <w:r>
        <w:rPr>
          <w:rFonts w:ascii="仿宋_GB2312" w:hAnsi="仿宋_GB2312" w:cs="仿宋_GB2312" w:eastAsia="仿宋_GB2312"/>
        </w:rPr>
        <w:t>宜宾市翠屏区2026年优质水稻及五粮液定制水稻种子采购项目(二次)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宜宾市翠屏区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N5115022025000280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宜宾市翠屏区2026年优质水稻及五粮液定制水稻种子采购项目(二次)</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根据《四川省财政厅四川省农业农村厅关于下达2024年提高土地出让收入用于农业农村比例省级统筹部分资金的通知》（川财农〔2024〕89号）和《宜宾市翠屏区2024年粮食生产激励补助项目实施方案》内容，拟采购水稻种子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1、供应商需具有该品种 (有效期内) 的农作物种子生产经营许可证（含主证和副证）。（描述：供应商需具有该品种 (有效期内) 的农作物种子生产经营许可证（含主证和副证）。）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1、供应商需具有该品种 (有效期内) 的农作物种子生产经营许可证（含主证和副证）。（描述：供应商需具有该品种 (有效期内) 的农作物种子生产经营许可证（含主证和副证）。）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1、供应商需具有该品种 (有效期内) 的农作物种子生产经营许可证（含主证和副证）。（描述：供应商需具有该品种 (有效期内) 的农作物种子生产经营许可证（含主证和副证）。）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宜宾市翠屏区农业农村局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宜宾市叙州区金鱼井街20号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15528739665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四川中翌工程管理咨询有限公司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成都市金牛区蜀西路46号盛大国际7栋一单元11楼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028-87562986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采购包1：544,460.00元</w:t>
            </w:r>
          </w:p>
          <w:p>
            <w:pPr>
              <w:pStyle w:val="null3"/>
              <w:jc w:val="left"/>
            </w:pPr>
            <w:r>
              <w:rPr>
                <w:rFonts w:ascii="仿宋_GB2312" w:hAnsi="仿宋_GB2312" w:cs="仿宋_GB2312" w:eastAsia="仿宋_GB2312"/>
              </w:rPr>
              <w:t>采购包2：405,375.00元</w:t>
            </w:r>
          </w:p>
          <w:p>
            <w:pPr>
              <w:pStyle w:val="null3"/>
              <w:jc w:val="left"/>
            </w:pPr>
            <w:r>
              <w:rPr>
                <w:rFonts w:ascii="仿宋_GB2312" w:hAnsi="仿宋_GB2312" w:cs="仿宋_GB2312" w:eastAsia="仿宋_GB2312"/>
              </w:rPr>
              <w:t>采购包3：205,200.00元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通知书发放后，政府采购合同签订前。供应商未按照采购文件的规定交纳履约保证金，且又无正当理由的，将视为放弃成交。注：1.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2.履约保证金的退还时间：履约保证金在验收合格完毕后30个工作日内无息退还。3.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4.逾期退还履约保证金的，将依法承担法律责任，并赔偿供应商损失。</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通知书发放后，政府采购合同签订前。供应商未按照采购文件的规定交纳履约保证金，且又无正当理由的，将视为放弃成交。注：1.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2.履约保证金的退还时间：履约保证金在验收合格完毕后30个工作日内无息退还。3.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4.逾期退还履约保证金的，将依法承担法律责任，并赔偿供应商损失。</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通知书发放后，政府采购合同签订前。供应商未按照采购文件的规定交纳履约保证金，且又无正当理由的，将视为放弃成交。注：1.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2.履约保证金的退还时间：履约保证金在验收合格完毕后30个工作日内无息退还。3.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4.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四川省政府采购营商环境指标提升专项行动工作方案》规定成本加合理利润原则约定本项目的代理服务费为固定价格，代理服务费为：采购包1：8166.00元；采购包2：6080.00元；采购包3：3078.00元。</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宜宾市翠屏区农业农村局</w:t>
      </w:r>
      <w:r>
        <w:rPr>
          <w:rFonts w:ascii="仿宋_GB2312" w:hAnsi="仿宋_GB2312" w:cs="仿宋_GB2312" w:eastAsia="仿宋_GB2312"/>
        </w:rPr>
        <w:t xml:space="preserve"> 和 </w:t>
      </w:r>
      <w:r>
        <w:rPr>
          <w:rFonts w:ascii="仿宋_GB2312" w:hAnsi="仿宋_GB2312" w:cs="仿宋_GB2312" w:eastAsia="仿宋_GB2312"/>
        </w:rPr>
        <w:t>四川中翌工程管理咨询有限公司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宜宾市翠屏区农业农村局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四川中翌工程管理咨询有限公司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(2)验收时如发现所交付的货物有短装、次品、损坏或其它不符合标准及本合同规定之情形者，采购人应做出详尽的现场记录，或由采购人与供应商双方签署备忘录，此现场记录或备忘录可用作补充、缺失和更换损坏产品的有效证据，由此产生的时间延误与有关费用由供应商承担，验收期限相应顺延。(3)其他未尽事宜应严格按照《财政部关于进一步加强政府采购需求和履约验收管理的指导意见》(财库〔2016〕205号)及《政府采购需求管理办法》（财库[2021]22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(2)验收时如发现所交付的货物有短装、次品、损坏或其它不符合标准及本合同规定之情形者，采购人应做出详尽的现场记录，或由采购人与供应商双方签署备忘录，此现场记录或备忘录可用作补充、缺失和更换损坏产品的有效证据，由此产生的时间延误与有关费用由供应商承担，验收期限相应顺延。(3)其他未尽事宜应严格按照《财政部关于进一步加强政府采购需求和履约验收管理的指导意见》(财库〔2016〕205号)及《政府采购需求管理办法》（财库[2021]22号）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(1)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(2)验收时如发现所交付的货物有短装、次品、损坏或其它不符合标准及本合同规定之情形者，采购人应做出详尽的现场记录，或由采购人与供应商双方签署备忘录，此现场记录或备忘录可用作补充、缺失和更换损坏产品的有效证据，由此产生的时间延误与有关费用由供应商承担，验收期限相应顺延。(3)其他未尽事宜应严格按照《财政部关于进一步加强政府采购需求和履约验收管理的指导意见》(财库〔2016〕205号)及《政府采购需求管理办法》（财库[2021]22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按采购文件要求、供应商的响应文件及承诺与本合同约定标准。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按采购文件要求、供应商的响应文件及承诺与本合同约定标准。</w:t>
      </w:r>
    </w:p>
    <w:p>
      <w:pPr>
        <w:pStyle w:val="null3"/>
        <w:jc w:val="left"/>
      </w:pPr>
      <w:r>
        <w:rPr>
          <w:rFonts w:ascii="仿宋_GB2312" w:hAnsi="仿宋_GB2312" w:cs="仿宋_GB2312" w:eastAsia="仿宋_GB2312"/>
        </w:rPr>
        <w:t>采购包3：</w:t>
      </w:r>
      <w:r>
        <w:rPr>
          <w:rFonts w:ascii="仿宋_GB2312" w:hAnsi="仿宋_GB2312" w:cs="仿宋_GB2312" w:eastAsia="仿宋_GB2312"/>
        </w:rPr>
        <w:t>按采购文件要求、供应商的响应文件及承诺与本合同约定标准。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按采购文件要求、供应商的响应文件及承诺与本合同约定标准。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按采购文件要求、供应商的响应文件及承诺与本合同约定标准。</w:t>
      </w:r>
    </w:p>
    <w:p>
      <w:pPr>
        <w:pStyle w:val="null3"/>
        <w:jc w:val="left"/>
      </w:pPr>
      <w:r>
        <w:rPr>
          <w:rFonts w:ascii="仿宋_GB2312" w:hAnsi="仿宋_GB2312" w:cs="仿宋_GB2312" w:eastAsia="仿宋_GB2312"/>
        </w:rPr>
        <w:t>采购包3：</w:t>
      </w:r>
      <w:r>
        <w:rPr>
          <w:rFonts w:ascii="仿宋_GB2312" w:hAnsi="仿宋_GB2312" w:cs="仿宋_GB2312" w:eastAsia="仿宋_GB2312"/>
        </w:rPr>
        <w:t>按采购文件要求、供应商的响应文件及承诺与本合同约定标准。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符合国家、行业标准、四川省地方标准规定的验收标准。（2）验收标准：采购人与供应商应严格按照《财政部关于进一步加强政府采购需求和履约验收管理的指导意见》（财库〔2016〕205号）、《政府采购需求管理办法》(财库（2021)22号）文件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符合国家、行业标准、四川省地方标准规定的验收标准。（2）验收标准：采购人与供应商应严格按照《财政部关于进一步加强政府采购需求和履约验收管理的指导意见》（财库〔2016〕205号）、《政府采购需求管理办法》(财库（2021)22号）文件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(1)符合国家、行业标准、四川省地方标准规定的验收标准。（2）验收标准：采购人与供应商应严格按照《财政部关于进一步加强政府采购需求和履约验收管理的指导意见》（财库〔2016〕205号）、《政府采购需求管理办法》(财库（2021)22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宜宾市翠屏区农业农村局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四川中翌工程管理咨询有限公司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四川中翌工程管理咨询有限公司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联系电话：15528739665</w:t>
      </w:r>
    </w:p>
    <w:p>
      <w:pPr>
        <w:pStyle w:val="null3"/>
        <w:jc w:val="left"/>
      </w:pPr>
      <w:r>
        <w:rPr>
          <w:rFonts w:ascii="仿宋_GB2312" w:hAnsi="仿宋_GB2312" w:cs="仿宋_GB2312" w:eastAsia="仿宋_GB2312"/>
        </w:rPr>
        <w:t>地址：宜宾市叙州区金鱼井街20号</w:t>
      </w:r>
    </w:p>
    <w:p>
      <w:pPr>
        <w:pStyle w:val="null3"/>
        <w:jc w:val="left"/>
      </w:pPr>
      <w:r>
        <w:rPr>
          <w:rFonts w:ascii="仿宋_GB2312" w:hAnsi="仿宋_GB2312" w:cs="仿宋_GB2312" w:eastAsia="仿宋_GB2312"/>
        </w:rPr>
        <w:t>邮编：644600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联系电话：028-87562986</w:t>
      </w:r>
    </w:p>
    <w:p>
      <w:pPr>
        <w:pStyle w:val="null3"/>
        <w:jc w:val="left"/>
      </w:pPr>
      <w:r>
        <w:rPr>
          <w:rFonts w:ascii="仿宋_GB2312" w:hAnsi="仿宋_GB2312" w:cs="仿宋_GB2312" w:eastAsia="仿宋_GB2312"/>
        </w:rPr>
        <w:t>地址：成都市金牛区蜀西路46号盛大国际7栋一单元11楼</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544,460.00</w:t>
      </w:r>
    </w:p>
    <w:p>
      <w:pPr>
        <w:pStyle w:val="null3"/>
        <w:jc w:val="left"/>
      </w:pPr>
      <w:r>
        <w:rPr>
          <w:rFonts w:ascii="仿宋_GB2312" w:hAnsi="仿宋_GB2312" w:cs="仿宋_GB2312" w:eastAsia="仿宋_GB2312"/>
        </w:rPr>
        <w:t>采购包最高限价（元）: 544,460.00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A07030101 稻谷</w:t>
            </w:r>
          </w:p>
        </w:tc>
        <w:tc>
          <w:tcPr>
            <w:tcW w:type="dxa" w:w="821"/>
          </w:tcPr>
          <w:p>
            <w:pPr>
              <w:pStyle w:val="null3"/>
              <w:jc w:val="left"/>
            </w:pPr>
            <w:r>
              <w:rPr>
                <w:rFonts w:ascii="仿宋_GB2312" w:hAnsi="仿宋_GB2312" w:cs="仿宋_GB2312" w:eastAsia="仿宋_GB2312"/>
              </w:rPr>
              <w:t>泰优808</w:t>
            </w:r>
          </w:p>
        </w:tc>
        <w:tc>
          <w:tcPr>
            <w:tcW w:type="dxa" w:w="821"/>
          </w:tcPr>
          <w:p>
            <w:pPr>
              <w:pStyle w:val="null3"/>
              <w:jc w:val="right"/>
            </w:pPr>
            <w:r>
              <w:rPr>
                <w:rFonts w:ascii="仿宋_GB2312" w:hAnsi="仿宋_GB2312" w:cs="仿宋_GB2312" w:eastAsia="仿宋_GB2312"/>
              </w:rPr>
              <w:t>7,778.00（公斤）</w:t>
            </w:r>
          </w:p>
        </w:tc>
        <w:tc>
          <w:tcPr>
            <w:tcW w:type="dxa" w:w="821"/>
          </w:tcPr>
          <w:p>
            <w:pPr>
              <w:pStyle w:val="null3"/>
              <w:jc w:val="right"/>
            </w:pPr>
            <w:r>
              <w:rPr>
                <w:rFonts w:ascii="仿宋_GB2312" w:hAnsi="仿宋_GB2312" w:cs="仿宋_GB2312" w:eastAsia="仿宋_GB2312"/>
              </w:rPr>
              <w:t>544,460.00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405,375.00</w:t>
      </w:r>
    </w:p>
    <w:p>
      <w:pPr>
        <w:pStyle w:val="null3"/>
        <w:jc w:val="left"/>
      </w:pPr>
      <w:r>
        <w:rPr>
          <w:rFonts w:ascii="仿宋_GB2312" w:hAnsi="仿宋_GB2312" w:cs="仿宋_GB2312" w:eastAsia="仿宋_GB2312"/>
        </w:rPr>
        <w:t>采购包最高限价（元）: 405,375.00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A07030101 稻谷</w:t>
            </w:r>
          </w:p>
        </w:tc>
        <w:tc>
          <w:tcPr>
            <w:tcW w:type="dxa" w:w="821"/>
          </w:tcPr>
          <w:p>
            <w:pPr>
              <w:pStyle w:val="null3"/>
              <w:jc w:val="left"/>
            </w:pPr>
            <w:r>
              <w:rPr>
                <w:rFonts w:ascii="仿宋_GB2312" w:hAnsi="仿宋_GB2312" w:cs="仿宋_GB2312" w:eastAsia="仿宋_GB2312"/>
              </w:rPr>
              <w:t>川酿优1号</w:t>
            </w:r>
          </w:p>
        </w:tc>
        <w:tc>
          <w:tcPr>
            <w:tcW w:type="dxa" w:w="821"/>
          </w:tcPr>
          <w:p>
            <w:pPr>
              <w:pStyle w:val="null3"/>
              <w:jc w:val="right"/>
            </w:pPr>
            <w:r>
              <w:rPr>
                <w:rFonts w:ascii="仿宋_GB2312" w:hAnsi="仿宋_GB2312" w:cs="仿宋_GB2312" w:eastAsia="仿宋_GB2312"/>
              </w:rPr>
              <w:t>8,625.00（公斤）</w:t>
            </w:r>
          </w:p>
        </w:tc>
        <w:tc>
          <w:tcPr>
            <w:tcW w:type="dxa" w:w="821"/>
          </w:tcPr>
          <w:p>
            <w:pPr>
              <w:pStyle w:val="null3"/>
              <w:jc w:val="right"/>
            </w:pPr>
            <w:r>
              <w:rPr>
                <w:rFonts w:ascii="仿宋_GB2312" w:hAnsi="仿宋_GB2312" w:cs="仿宋_GB2312" w:eastAsia="仿宋_GB2312"/>
              </w:rPr>
              <w:t>405,375.00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205,200.00</w:t>
      </w:r>
    </w:p>
    <w:p>
      <w:pPr>
        <w:pStyle w:val="null3"/>
        <w:jc w:val="left"/>
      </w:pPr>
      <w:r>
        <w:rPr>
          <w:rFonts w:ascii="仿宋_GB2312" w:hAnsi="仿宋_GB2312" w:cs="仿宋_GB2312" w:eastAsia="仿宋_GB2312"/>
        </w:rPr>
        <w:t>采购包最高限价（元）: 205,200.00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A07030101 稻谷</w:t>
            </w:r>
          </w:p>
        </w:tc>
        <w:tc>
          <w:tcPr>
            <w:tcW w:type="dxa" w:w="821"/>
          </w:tcPr>
          <w:p>
            <w:pPr>
              <w:pStyle w:val="null3"/>
              <w:jc w:val="left"/>
            </w:pPr>
            <w:r>
              <w:rPr>
                <w:rFonts w:ascii="仿宋_GB2312" w:hAnsi="仿宋_GB2312" w:cs="仿宋_GB2312" w:eastAsia="仿宋_GB2312"/>
              </w:rPr>
              <w:t>旌康优珍酿</w:t>
            </w:r>
          </w:p>
        </w:tc>
        <w:tc>
          <w:tcPr>
            <w:tcW w:type="dxa" w:w="821"/>
          </w:tcPr>
          <w:p>
            <w:pPr>
              <w:pStyle w:val="null3"/>
              <w:jc w:val="right"/>
            </w:pPr>
            <w:r>
              <w:rPr>
                <w:rFonts w:ascii="仿宋_GB2312" w:hAnsi="仿宋_GB2312" w:cs="仿宋_GB2312" w:eastAsia="仿宋_GB2312"/>
              </w:rPr>
              <w:t>4,275.00（公斤）</w:t>
            </w:r>
          </w:p>
        </w:tc>
        <w:tc>
          <w:tcPr>
            <w:tcW w:type="dxa" w:w="821"/>
          </w:tcPr>
          <w:p>
            <w:pPr>
              <w:pStyle w:val="null3"/>
              <w:jc w:val="right"/>
            </w:pPr>
            <w:r>
              <w:rPr>
                <w:rFonts w:ascii="仿宋_GB2312" w:hAnsi="仿宋_GB2312" w:cs="仿宋_GB2312" w:eastAsia="仿宋_GB2312"/>
              </w:rPr>
              <w:t>205,200.00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泰优808</w:t>
            </w:r>
          </w:p>
        </w:tc>
        <w:tc>
          <w:tcPr>
            <w:tcW w:type="dxa" w:w="977"/>
          </w:tcPr>
          <w:p>
            <w:pPr>
              <w:pStyle w:val="null3"/>
              <w:jc w:val="center"/>
            </w:pPr>
            <w:r>
              <w:rPr>
                <w:rFonts w:ascii="仿宋_GB2312" w:hAnsi="仿宋_GB2312" w:cs="仿宋_GB2312" w:eastAsia="仿宋_GB2312"/>
              </w:rPr>
              <w:t>公斤</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70.00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本项目采购为固定总价，投标供应商以单价报价参与竞争。根据成交单价确定实际采购数量。计算公式：实际采购数量= 固定总价/成交单价。</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川酿优1号</w:t>
            </w:r>
          </w:p>
        </w:tc>
        <w:tc>
          <w:tcPr>
            <w:tcW w:type="dxa" w:w="977"/>
          </w:tcPr>
          <w:p>
            <w:pPr>
              <w:pStyle w:val="null3"/>
              <w:jc w:val="center"/>
            </w:pPr>
            <w:r>
              <w:rPr>
                <w:rFonts w:ascii="仿宋_GB2312" w:hAnsi="仿宋_GB2312" w:cs="仿宋_GB2312" w:eastAsia="仿宋_GB2312"/>
              </w:rPr>
              <w:t>公斤</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47.00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本项目采购为固定总价，投标供应商以单价报价参与竞争。根据成交单价确定实际采购数量。计算公式：实际采购数量= 固定总价/成交单价。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旌康优珍酿</w:t>
            </w:r>
          </w:p>
        </w:tc>
        <w:tc>
          <w:tcPr>
            <w:tcW w:type="dxa" w:w="977"/>
          </w:tcPr>
          <w:p>
            <w:pPr>
              <w:pStyle w:val="null3"/>
              <w:jc w:val="center"/>
            </w:pPr>
            <w:r>
              <w:rPr>
                <w:rFonts w:ascii="仿宋_GB2312" w:hAnsi="仿宋_GB2312" w:cs="仿宋_GB2312" w:eastAsia="仿宋_GB2312"/>
              </w:rPr>
              <w:t>公斤</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48.00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本项目采购为固定总价，投标供应商以单价报价参与竞争。根据成交单价确定实际采购数量。计算公式：实际采购数量= 固定总价/成交单价。</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A07030101 稻谷</w:t>
            </w:r>
          </w:p>
        </w:tc>
        <w:tc>
          <w:tcPr>
            <w:tcW w:type="dxa" w:w="2492"/>
          </w:tcPr>
          <w:p>
            <w:pPr>
              <w:pStyle w:val="null3"/>
              <w:jc w:val="left"/>
            </w:pPr>
            <w:r>
              <w:rPr>
                <w:rFonts w:ascii="仿宋_GB2312" w:hAnsi="仿宋_GB2312" w:cs="仿宋_GB2312" w:eastAsia="仿宋_GB2312"/>
              </w:rPr>
              <w:t>泰优808</w:t>
            </w:r>
          </w:p>
        </w:tc>
        <w:tc>
          <w:tcPr>
            <w:tcW w:type="dxa" w:w="2492"/>
          </w:tcPr>
          <w:p>
            <w:pPr>
              <w:pStyle w:val="null3"/>
              <w:jc w:val="left"/>
            </w:pPr>
            <w:r>
              <w:rPr>
                <w:rFonts w:ascii="仿宋_GB2312" w:hAnsi="仿宋_GB2312" w:cs="仿宋_GB2312" w:eastAsia="仿宋_GB2312"/>
              </w:rPr>
              <w:t>泰优808</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A07030101 稻谷</w:t>
            </w:r>
          </w:p>
        </w:tc>
        <w:tc>
          <w:tcPr>
            <w:tcW w:type="dxa" w:w="2492"/>
          </w:tcPr>
          <w:p>
            <w:pPr>
              <w:pStyle w:val="null3"/>
              <w:jc w:val="left"/>
            </w:pPr>
            <w:r>
              <w:rPr>
                <w:rFonts w:ascii="仿宋_GB2312" w:hAnsi="仿宋_GB2312" w:cs="仿宋_GB2312" w:eastAsia="仿宋_GB2312"/>
              </w:rPr>
              <w:t>川酿优1号</w:t>
            </w:r>
          </w:p>
        </w:tc>
        <w:tc>
          <w:tcPr>
            <w:tcW w:type="dxa" w:w="2492"/>
          </w:tcPr>
          <w:p>
            <w:pPr>
              <w:pStyle w:val="null3"/>
              <w:jc w:val="left"/>
            </w:pPr>
            <w:r>
              <w:rPr>
                <w:rFonts w:ascii="仿宋_GB2312" w:hAnsi="仿宋_GB2312" w:cs="仿宋_GB2312" w:eastAsia="仿宋_GB2312"/>
              </w:rPr>
              <w:t>川酿优1号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A07030101 稻谷</w:t>
            </w:r>
          </w:p>
        </w:tc>
        <w:tc>
          <w:tcPr>
            <w:tcW w:type="dxa" w:w="2492"/>
          </w:tcPr>
          <w:p>
            <w:pPr>
              <w:pStyle w:val="null3"/>
              <w:jc w:val="left"/>
            </w:pPr>
            <w:r>
              <w:rPr>
                <w:rFonts w:ascii="仿宋_GB2312" w:hAnsi="仿宋_GB2312" w:cs="仿宋_GB2312" w:eastAsia="仿宋_GB2312"/>
              </w:rPr>
              <w:t>旌康优珍酿</w:t>
            </w:r>
          </w:p>
        </w:tc>
        <w:tc>
          <w:tcPr>
            <w:tcW w:type="dxa" w:w="2492"/>
          </w:tcPr>
          <w:p>
            <w:pPr>
              <w:pStyle w:val="null3"/>
              <w:jc w:val="left"/>
            </w:pPr>
            <w:r>
              <w:rPr>
                <w:rFonts w:ascii="仿宋_GB2312" w:hAnsi="仿宋_GB2312" w:cs="仿宋_GB2312" w:eastAsia="仿宋_GB2312"/>
              </w:rPr>
              <w:t>旌康优珍酿</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标的名称：泰优808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jc w:val="both"/>
            </w:pPr>
            <w:r>
              <w:rPr>
                <w:rFonts w:ascii="仿宋_GB2312" w:hAnsi="仿宋_GB2312" w:cs="仿宋_GB2312" w:eastAsia="仿宋_GB2312"/>
                <w:sz w:val="21"/>
              </w:rPr>
              <w:t>种子质量达到</w:t>
            </w:r>
            <w:r>
              <w:rPr>
                <w:rFonts w:ascii="仿宋_GB2312" w:hAnsi="仿宋_GB2312" w:cs="仿宋_GB2312" w:eastAsia="仿宋_GB2312"/>
                <w:sz w:val="21"/>
              </w:rPr>
              <w:t>GB4404.1-2024标准；品种纯度不低于97.0%，净度不低于99.0%，发芽率不低于82.0%，水分含量不高于13.0%(籼)。规格：500g/袋或1kg</w:t>
            </w:r>
            <w:r>
              <w:rPr>
                <w:rFonts w:ascii="仿宋_GB2312" w:hAnsi="仿宋_GB2312" w:cs="仿宋_GB2312" w:eastAsia="仿宋_GB2312"/>
                <w:sz w:val="21"/>
              </w:rPr>
              <w:t>/袋</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供货要求</w:t>
            </w:r>
          </w:p>
        </w:tc>
        <w:tc>
          <w:tcPr>
            <w:tcW w:type="dxa" w:w="5814"/>
          </w:tcPr>
          <w:p>
            <w:pPr>
              <w:pStyle w:val="null3"/>
              <w:jc w:val="both"/>
            </w:pPr>
            <w:r>
              <w:rPr>
                <w:rFonts w:ascii="仿宋_GB2312" w:hAnsi="仿宋_GB2312" w:cs="仿宋_GB2312" w:eastAsia="仿宋_GB2312"/>
                <w:sz w:val="21"/>
              </w:rPr>
              <w:t>货物配送到翠屏区范围内采购人指定地点，运输和卸货费用由成交供应商负责。交付货物时，供应商应提供所投产品国家认定质量检测机构出据的检验检测合格报告和每个批次的植物检疫</w:t>
            </w:r>
            <w:r>
              <w:rPr>
                <w:rFonts w:ascii="仿宋_GB2312" w:hAnsi="仿宋_GB2312" w:cs="仿宋_GB2312" w:eastAsia="仿宋_GB2312"/>
                <w:sz w:val="21"/>
              </w:rPr>
              <w:t>证书原件核验</w:t>
            </w:r>
            <w:r>
              <w:rPr>
                <w:rFonts w:ascii="仿宋_GB2312" w:hAnsi="仿宋_GB2312" w:cs="仿宋_GB2312" w:eastAsia="仿宋_GB2312"/>
                <w:sz w:val="21"/>
              </w:rPr>
              <w:t>。</w:t>
            </w:r>
            <w:r>
              <w:rPr>
                <w:rFonts w:ascii="仿宋_GB2312" w:hAnsi="仿宋_GB2312" w:cs="仿宋_GB2312" w:eastAsia="仿宋_GB2312"/>
                <w:sz w:val="21"/>
              </w:rPr>
              <w:t>并由采购人现场抽样。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结算要求</w:t>
            </w:r>
          </w:p>
        </w:tc>
        <w:tc>
          <w:tcPr>
            <w:tcW w:type="dxa" w:w="5814"/>
          </w:tcPr>
          <w:p>
            <w:pPr>
              <w:pStyle w:val="null3"/>
              <w:jc w:val="both"/>
            </w:pPr>
            <w:r>
              <w:rPr>
                <w:rFonts w:ascii="仿宋_GB2312" w:hAnsi="仿宋_GB2312" w:cs="仿宋_GB2312" w:eastAsia="仿宋_GB2312"/>
                <w:sz w:val="21"/>
              </w:rPr>
              <w:t>本项目为固定总价采购。根据成交供应商的成交单价来确定实际货物数量，实际货物数量计算公式：实际数量</w:t>
            </w:r>
            <w:r>
              <w:rPr>
                <w:rFonts w:ascii="仿宋_GB2312" w:hAnsi="仿宋_GB2312" w:cs="仿宋_GB2312" w:eastAsia="仿宋_GB2312"/>
                <w:sz w:val="21"/>
              </w:rPr>
              <w:t>=预算金额÷成交单价。</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标的名称：川酿优1号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jc w:val="both"/>
            </w:pPr>
            <w:r>
              <w:rPr>
                <w:rFonts w:ascii="仿宋_GB2312" w:hAnsi="仿宋_GB2312" w:cs="仿宋_GB2312" w:eastAsia="仿宋_GB2312"/>
                <w:sz w:val="21"/>
              </w:rPr>
              <w:t>种子质量达到</w:t>
            </w:r>
            <w:r>
              <w:rPr>
                <w:rFonts w:ascii="仿宋_GB2312" w:hAnsi="仿宋_GB2312" w:cs="仿宋_GB2312" w:eastAsia="仿宋_GB2312"/>
                <w:sz w:val="21"/>
              </w:rPr>
              <w:t>GB4404.1-2024标准；品种纯度不低于97.0%，净度不低于99.0%，发芽率不低于82.0%，水分含量不高于13.0%(籼)。规格：500g/袋或1kg</w:t>
            </w:r>
            <w:r>
              <w:rPr>
                <w:rFonts w:ascii="仿宋_GB2312" w:hAnsi="仿宋_GB2312" w:cs="仿宋_GB2312" w:eastAsia="仿宋_GB2312"/>
                <w:sz w:val="21"/>
              </w:rPr>
              <w:t>/袋</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供货要求</w:t>
            </w:r>
          </w:p>
        </w:tc>
        <w:tc>
          <w:tcPr>
            <w:tcW w:type="dxa" w:w="5814"/>
          </w:tcPr>
          <w:p>
            <w:pPr>
              <w:pStyle w:val="null3"/>
              <w:jc w:val="both"/>
            </w:pPr>
            <w:r>
              <w:rPr>
                <w:rFonts w:ascii="仿宋_GB2312" w:hAnsi="仿宋_GB2312" w:cs="仿宋_GB2312" w:eastAsia="仿宋_GB2312"/>
                <w:sz w:val="21"/>
              </w:rPr>
              <w:t>货物配送到翠屏区范围内采购人指定地点，运输和卸货费用由成交供应商负责。交付货物时，供应商应提供所投产品国家认定质量检测机构出据的检验检测合格报告和每个批次的植物检疫</w:t>
            </w:r>
            <w:r>
              <w:rPr>
                <w:rFonts w:ascii="仿宋_GB2312" w:hAnsi="仿宋_GB2312" w:cs="仿宋_GB2312" w:eastAsia="仿宋_GB2312"/>
                <w:sz w:val="21"/>
              </w:rPr>
              <w:t>证书原件核验</w:t>
            </w:r>
            <w:r>
              <w:rPr>
                <w:rFonts w:ascii="仿宋_GB2312" w:hAnsi="仿宋_GB2312" w:cs="仿宋_GB2312" w:eastAsia="仿宋_GB2312"/>
                <w:sz w:val="21"/>
              </w:rPr>
              <w:t>。</w:t>
            </w:r>
            <w:r>
              <w:rPr>
                <w:rFonts w:ascii="仿宋_GB2312" w:hAnsi="仿宋_GB2312" w:cs="仿宋_GB2312" w:eastAsia="仿宋_GB2312"/>
                <w:sz w:val="21"/>
              </w:rPr>
              <w:t>并由采购人现场抽样。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结算要求</w:t>
            </w:r>
          </w:p>
        </w:tc>
        <w:tc>
          <w:tcPr>
            <w:tcW w:type="dxa" w:w="5814"/>
          </w:tcPr>
          <w:p>
            <w:pPr>
              <w:pStyle w:val="null3"/>
              <w:jc w:val="both"/>
            </w:pPr>
            <w:r>
              <w:rPr>
                <w:rFonts w:ascii="仿宋_GB2312" w:hAnsi="仿宋_GB2312" w:cs="仿宋_GB2312" w:eastAsia="仿宋_GB2312"/>
                <w:sz w:val="21"/>
              </w:rPr>
              <w:t>本项目为固定总价采购。根据成交供应商的成交单价来确定实际货物数量，实际货物数量计算公式：实际数量</w:t>
            </w:r>
            <w:r>
              <w:rPr>
                <w:rFonts w:ascii="仿宋_GB2312" w:hAnsi="仿宋_GB2312" w:cs="仿宋_GB2312" w:eastAsia="仿宋_GB2312"/>
                <w:sz w:val="21"/>
              </w:rPr>
              <w:t>=预算金额÷成交单价。</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标的名称：旌康优珍酿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jc w:val="both"/>
            </w:pPr>
            <w:r>
              <w:rPr>
                <w:rFonts w:ascii="仿宋_GB2312" w:hAnsi="仿宋_GB2312" w:cs="仿宋_GB2312" w:eastAsia="仿宋_GB2312"/>
                <w:sz w:val="21"/>
              </w:rPr>
              <w:t>种子质量达到</w:t>
            </w:r>
            <w:r>
              <w:rPr>
                <w:rFonts w:ascii="仿宋_GB2312" w:hAnsi="仿宋_GB2312" w:cs="仿宋_GB2312" w:eastAsia="仿宋_GB2312"/>
                <w:sz w:val="21"/>
              </w:rPr>
              <w:t>GB4404.1-2024标准；品种纯度不低于97.0%，净度不低于99.0%，发芽率不低于82.0%，水分含量不高于13.0%(籼)。规格：500g/袋或1kg</w:t>
            </w:r>
            <w:r>
              <w:rPr>
                <w:rFonts w:ascii="仿宋_GB2312" w:hAnsi="仿宋_GB2312" w:cs="仿宋_GB2312" w:eastAsia="仿宋_GB2312"/>
                <w:sz w:val="21"/>
              </w:rPr>
              <w:t>/袋</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供货要求</w:t>
            </w:r>
          </w:p>
        </w:tc>
        <w:tc>
          <w:tcPr>
            <w:tcW w:type="dxa" w:w="5814"/>
          </w:tcPr>
          <w:p>
            <w:pPr>
              <w:pStyle w:val="null3"/>
              <w:jc w:val="both"/>
            </w:pPr>
            <w:r>
              <w:rPr>
                <w:rFonts w:ascii="仿宋_GB2312" w:hAnsi="仿宋_GB2312" w:cs="仿宋_GB2312" w:eastAsia="仿宋_GB2312"/>
                <w:sz w:val="21"/>
              </w:rPr>
              <w:t>货物配送到翠屏区范围内采购人指定地点，运输和卸货费用由成交供应商负责。交付货物时，供应商应提供所投产品国家认定质量检测机构出据的检验检测合格报告和每个批次的植物检疫</w:t>
            </w:r>
            <w:r>
              <w:rPr>
                <w:rFonts w:ascii="仿宋_GB2312" w:hAnsi="仿宋_GB2312" w:cs="仿宋_GB2312" w:eastAsia="仿宋_GB2312"/>
                <w:sz w:val="21"/>
              </w:rPr>
              <w:t>证书原件核验</w:t>
            </w:r>
            <w:r>
              <w:rPr>
                <w:rFonts w:ascii="仿宋_GB2312" w:hAnsi="仿宋_GB2312" w:cs="仿宋_GB2312" w:eastAsia="仿宋_GB2312"/>
                <w:sz w:val="21"/>
              </w:rPr>
              <w:t>。</w:t>
            </w:r>
            <w:r>
              <w:rPr>
                <w:rFonts w:ascii="仿宋_GB2312" w:hAnsi="仿宋_GB2312" w:cs="仿宋_GB2312" w:eastAsia="仿宋_GB2312"/>
                <w:sz w:val="21"/>
              </w:rPr>
              <w:t>并由采购人现场抽样。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结算要求</w:t>
            </w:r>
          </w:p>
        </w:tc>
        <w:tc>
          <w:tcPr>
            <w:tcW w:type="dxa" w:w="5814"/>
          </w:tcPr>
          <w:p>
            <w:pPr>
              <w:pStyle w:val="null3"/>
              <w:jc w:val="both"/>
            </w:pPr>
            <w:r>
              <w:rPr>
                <w:rFonts w:ascii="仿宋_GB2312" w:hAnsi="仿宋_GB2312" w:cs="仿宋_GB2312" w:eastAsia="仿宋_GB2312"/>
                <w:sz w:val="21"/>
              </w:rPr>
              <w:t>本项目为固定总价采购。根据成交供应商的成交单价来确定实际货物数量，实际货物数量计算公式：实际数量</w:t>
            </w:r>
            <w:r>
              <w:rPr>
                <w:rFonts w:ascii="仿宋_GB2312" w:hAnsi="仿宋_GB2312" w:cs="仿宋_GB2312" w:eastAsia="仿宋_GB2312"/>
                <w:sz w:val="21"/>
              </w:rPr>
              <w:t>=预算金额÷成交单价。</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签订合同之日起20个日历日内完成供货。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货物配送到翠屏区范围内采购人指定地点，运输和卸货费用由成交供应商负责。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1、种子验收合格后，达到付款条件起10日内，支付合同总金额的100.00%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(2)验收时如发现所交付的货物有短装、次品、损坏或其它不符合标准及本合同规定之情形者，采购人应做出详尽的现场记录，或由采购人与供应商双方签署备忘录，此现场记录或备忘录可用作补充、缺失和更换损坏产品的有效证据，由此产生的时间延误与有关费用由供应商承担，验收期限相应顺延。(3)其他未尽事宜应严格按照《财政部关于进一步加强政府采购需求和履约验收管理的指导意见》(财库〔2016〕205号)及《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质保期：1年(质保期为验收合格之日起开始计算)。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合同履行期间，若双方发生争议，可协商或由有关部门调解解决，协商或调解不成的，由当事人依法向项目所在地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签订合同之日起20个日历日内完成供货。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货物配送到翠屏区范围内采购人指定地点，运输和卸货费用由成交供应商负责。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1、种子验收合格后，达到付款条件起10日内，支付合同总金额的100.00%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(2)验收时如发现所交付的货物有短装、次品、损坏或其它不符合标准及本合同规定之情形者，采购人应做出详尽的现场记录，或由采购人与供应商双方签署备忘录，此现场记录或备忘录可用作补充、缺失和更换损坏产品的有效证据，由此产生的时间延误与有关费用由供应商承担，验收期限相应顺延。(3)其他未尽事宜应严格按照《财政部关于进一步加强政府采购需求和履约验收管理的指导意见》(财库〔2016〕205号)及《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质保期：1年(质保期为验收合格之日起开始计算)。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合同履行期间，若双方发生争议，可协商或由有关部门调解解决，协商或调解不成的，由当事人依法向项目所在地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签订合同之日起20个日历日内完成供货。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货物配送到翠屏区范围内采购人指定地点，运输和卸货费用由成交供应商负责。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1、种子验收合格后，达到付款条件起10日内，支付合同总金额的100.00%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(2)验收时如发现所交付的货物有短装、次品、损坏或其它不符合标准及本合同规定之情形者，采购人应做出详尽的现场记录，或由采购人与供应商双方签署备忘录，此现场记录或备忘录可用作补充、缺失和更换损坏产品的有效证据，由此产生的时间延误与有关费用由供应商承担，验收期限相应顺延。(3)其他未尽事宜应严格按照《财政部关于进一步加强政府采购需求和履约验收管理的指导意见》(财库〔2016〕205号)及《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质保期：1年(质保期为验收合格之日起开始计算)。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合同履行期间，若双方发生争议，可协商或由有关部门调解解决，协商或调解不成的，由当事人依法向项目所在地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color w:val="000000"/>
        </w:rPr>
        <w:t xml:space="preserve">   供应商对实质性内容进行变动须经采购人同意</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color w:val="000000"/>
        </w:rPr>
        <w:t xml:space="preserve"> 供应商对实质性内容进行变动须经采购人同意</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供应商需具有该品种 (有效期内) 的农作物种子生产经营许可证（含主证和副证）。</w:t>
            </w:r>
          </w:p>
        </w:tc>
        <w:tc>
          <w:tcPr>
            <w:tcW w:type="dxa" w:w="3322"/>
          </w:tcPr>
          <w:p>
            <w:pPr>
              <w:pStyle w:val="null3"/>
              <w:jc w:val="left"/>
            </w:pPr>
            <w:r>
              <w:rPr>
                <w:rFonts w:ascii="仿宋_GB2312" w:hAnsi="仿宋_GB2312" w:cs="仿宋_GB2312" w:eastAsia="仿宋_GB2312"/>
              </w:rPr>
              <w:t>供应商需具有该品种 (有效期内) 的农作物种子生产经营许可证（含主证和副证）。</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供应商需具有该品种 (有效期内) 的农作物种子生产经营许可证（含主证和副证）。</w:t>
            </w:r>
          </w:p>
        </w:tc>
        <w:tc>
          <w:tcPr>
            <w:tcW w:type="dxa" w:w="3322"/>
          </w:tcPr>
          <w:p>
            <w:pPr>
              <w:pStyle w:val="null3"/>
              <w:jc w:val="left"/>
            </w:pPr>
            <w:r>
              <w:rPr>
                <w:rFonts w:ascii="仿宋_GB2312" w:hAnsi="仿宋_GB2312" w:cs="仿宋_GB2312" w:eastAsia="仿宋_GB2312"/>
              </w:rPr>
              <w:t>供应商需具有该品种 (有效期内) 的农作物种子生产经营许可证（含主证和副证）。</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供应商需具有该品种 (有效期内) 的农作物种子生产经营许可证（含主证和副证）。</w:t>
            </w:r>
          </w:p>
        </w:tc>
        <w:tc>
          <w:tcPr>
            <w:tcW w:type="dxa" w:w="3322"/>
          </w:tcPr>
          <w:p>
            <w:pPr>
              <w:pStyle w:val="null3"/>
              <w:jc w:val="left"/>
            </w:pPr>
            <w:r>
              <w:rPr>
                <w:rFonts w:ascii="仿宋_GB2312" w:hAnsi="仿宋_GB2312" w:cs="仿宋_GB2312" w:eastAsia="仿宋_GB2312"/>
              </w:rPr>
              <w:t>供应商需具有该品种 (有效期内) 的农作物种子生产经营许可证（含主证和副证）。</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包含单一来源文件第三章带“★"号在内的其他符合性(实质性)审查内容</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产品技术参数响应表,供应商应提交的相关证明材料,服务应答表,商务要求应答表（单一来源）.docx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包含单一来源文件第三章带“★"号在内的其他符合性(实质性)审查内容</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产品技术参数响应表,供应商应提交的相关证明材料,服务应答表,商务要求应答表（单一来源）.docx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包含单一来源文件第三章带“★"号在内的其他符合性(实质性)审查内容</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产品技术参数响应表,供应商应提交的相关证明材料,服务应答表,商务要求应答表（单一来源）.docx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泰优808</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川酿优1号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旌康优珍酿</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详见附件：商务要求应答表（单一来源）.docx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详见附件：商务要求应答表（单一来源）.docx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详见附件：商务要求应答表（单一来源）.docx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