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2024年罗源环境监测仪器采购项目</w:t>
      </w:r>
    </w:p>
    <w:p>
      <w:pPr>
        <w:pStyle w:val="null3"/>
        <w:jc w:val="center"/>
        <w:outlineLvl w:val="2"/>
      </w:pPr>
      <w:r>
        <w:rPr>
          <w:sz w:val="28"/>
          <w:b/>
        </w:rPr>
        <w:t>备案编号：</w:t>
      </w:r>
      <w:r>
        <w:rPr>
          <w:sz w:val="28"/>
          <w:b/>
        </w:rPr>
        <w:t>CGXM-2024-350123-00101[2024]00302</w:t>
      </w:r>
    </w:p>
    <w:p>
      <w:pPr>
        <w:pStyle w:val="null3"/>
        <w:jc w:val="center"/>
        <w:outlineLvl w:val="2"/>
      </w:pPr>
      <w:r>
        <w:rPr>
          <w:sz w:val="28"/>
          <w:b/>
        </w:rPr>
        <w:t>项目编号：</w:t>
      </w:r>
      <w:r>
        <w:rPr>
          <w:sz w:val="28"/>
          <w:b/>
        </w:rPr>
        <w:t>[350123]FJSBZB[GK]2024001</w:t>
      </w:r>
    </w:p>
    <w:p>
      <w:pPr>
        <w:pStyle w:val="null3"/>
        <w:jc w:val="center"/>
        <w:outlineLvl w:val="2"/>
      </w:pPr>
      <w:r>
        <w:rPr>
          <w:sz w:val="28"/>
          <w:b/>
        </w:rPr>
        <w:t>采购人：</w:t>
      </w:r>
      <w:r>
        <w:rPr>
          <w:sz w:val="28"/>
          <w:b/>
        </w:rPr>
        <w:t>福州市罗源生态环境局</w:t>
      </w:r>
    </w:p>
    <w:p>
      <w:pPr>
        <w:pStyle w:val="null3"/>
        <w:jc w:val="center"/>
        <w:outlineLvl w:val="2"/>
      </w:pPr>
      <w:r>
        <w:rPr>
          <w:sz w:val="28"/>
          <w:b/>
        </w:rPr>
        <w:t>代理机构：</w:t>
      </w:r>
      <w:r>
        <w:rPr>
          <w:sz w:val="28"/>
          <w:b/>
        </w:rPr>
        <w:t>福建胜帮招标代理有限公司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福建胜帮招标代理有限公司</w:t>
      </w:r>
      <w:r>
        <w:rPr/>
        <w:t xml:space="preserve"> 采用公开招标方式组织 </w:t>
      </w:r>
      <w:r>
        <w:rPr/>
        <w:t>2024年罗源环境监测仪器采购项目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CGXM-2024-350123-00101[2024]00302</w:t>
      </w:r>
    </w:p>
    <w:p>
      <w:pPr>
        <w:pStyle w:val="null3"/>
        <w:ind w:firstLine="480"/>
        <w:jc w:val="left"/>
        <w:outlineLvl w:val="2"/>
      </w:pPr>
      <w:r>
        <w:rPr>
          <w:sz w:val="28"/>
          <w:b/>
        </w:rPr>
        <w:t>2、项目编号</w:t>
      </w:r>
      <w:r>
        <w:rPr>
          <w:sz w:val="28"/>
          <w:b/>
        </w:rPr>
        <w:t>：</w:t>
      </w:r>
      <w:r>
        <w:rPr>
          <w:sz w:val="28"/>
          <w:b/>
        </w:rPr>
        <w:t>[350123]FJSBZB[GK]2024001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本项目不适用</w:t>
      </w:r>
    </w:p>
    <w:p>
      <w:pPr>
        <w:pStyle w:val="null3"/>
        <w:ind w:firstLine="960"/>
        <w:jc w:val="left"/>
      </w:pPr>
      <w:r>
        <w:rPr/>
        <w:t>节能产品：</w:t>
      </w:r>
      <w:r>
        <w:rPr/>
        <w:t>本项目适用</w:t>
      </w:r>
    </w:p>
    <w:p>
      <w:pPr>
        <w:pStyle w:val="null3"/>
        <w:ind w:firstLine="960"/>
        <w:jc w:val="left"/>
      </w:pPr>
      <w:r>
        <w:rPr/>
        <w:t>环境标志产品：</w:t>
      </w:r>
      <w:r>
        <w:rPr/>
        <w:t>本项目适用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落实政府采购政策的证明材料（专门面向中小企业采购）</w:t>
            </w:r>
          </w:p>
        </w:tc>
        <w:tc>
          <w:tcPr>
            <w:tcW w:type="dxa" w:w="4614"/>
          </w:tcPr>
          <w:p>
            <w:pPr>
              <w:pStyle w:val="null3"/>
              <w:jc w:val="left"/>
            </w:pPr>
            <w:r>
              <w:rPr/>
              <w:t>本项目为货物类采购项目，采购标的对应的中小企业划分标准所属行业为“工业”。</w:t>
            </w:r>
          </w:p>
        </w:tc>
      </w:tr>
      <w:tr>
        <w:tc>
          <w:tcPr>
            <w:tcW w:type="dxa" w:w="3692"/>
          </w:tcPr>
          <w:p>
            <w:pPr>
              <w:pStyle w:val="null3"/>
              <w:jc w:val="left"/>
            </w:pPr>
            <w:r>
              <w:rPr/>
              <w:t>招标文件规定的其他资格证明文件</w:t>
            </w:r>
          </w:p>
        </w:tc>
        <w:tc>
          <w:tcPr>
            <w:tcW w:type="dxa" w:w="4614"/>
          </w:tcPr>
          <w:p>
            <w:pPr>
              <w:pStyle w:val="null3"/>
              <w:jc w:val="left"/>
            </w:pPr>
            <w:r>
              <w:rPr/>
              <w:t>根据《福州市财政局关于进一步推进政府米购领域优化营商环境工作的通知》(榕财采〔2021〕52号)“四、简化资格证明材料”的相关规定，供应商在投标（响应）时，按照规定提供相关承诺函（承诺函格式自拟）的，无需再提交财务状况、缴纳税收和社保资金缴纳等证明材料；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 2、若不提供本承诺函的，应按招标文件要求提供相应的证明材料。 注：本招标文件其他地方要求与本条款要求不一致的，以本条款要求为准。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福州市罗源生态环境局</w:t>
      </w:r>
    </w:p>
    <w:p>
      <w:pPr>
        <w:pStyle w:val="null3"/>
        <w:ind w:firstLine="960"/>
        <w:jc w:val="left"/>
      </w:pPr>
      <w:r>
        <w:rPr/>
        <w:t xml:space="preserve"> 地址： </w:t>
      </w:r>
      <w:r>
        <w:rPr/>
        <w:t>罗源县东外路环保大楼</w:t>
      </w:r>
    </w:p>
    <w:p>
      <w:pPr>
        <w:pStyle w:val="null3"/>
        <w:jc w:val="left"/>
      </w:pPr>
      <w:r>
        <w:rPr/>
        <w:t xml:space="preserve"> 邮编： </w:t>
      </w:r>
      <w:r>
        <w:rPr/>
        <w:t>350600</w:t>
      </w:r>
    </w:p>
    <w:p>
      <w:pPr>
        <w:pStyle w:val="null3"/>
        <w:jc w:val="left"/>
      </w:pPr>
      <w:r>
        <w:rPr/>
        <w:t xml:space="preserve"> 联系人： </w:t>
      </w:r>
      <w:r>
        <w:rPr/>
        <w:t>姜晨晖</w:t>
      </w:r>
    </w:p>
    <w:p>
      <w:pPr>
        <w:pStyle w:val="null3"/>
        <w:jc w:val="left"/>
      </w:pPr>
      <w:r>
        <w:rPr/>
        <w:t xml:space="preserve"> 联系电话： </w:t>
      </w:r>
      <w:r>
        <w:rPr/>
        <w:t>18750723270</w:t>
      </w:r>
    </w:p>
    <w:p>
      <w:pPr>
        <w:pStyle w:val="null3"/>
        <w:ind w:firstLine="480"/>
        <w:jc w:val="left"/>
        <w:outlineLvl w:val="2"/>
      </w:pPr>
      <w:r>
        <w:rPr>
          <w:sz w:val="28"/>
          <w:b/>
        </w:rPr>
        <w:t>12、代理机构</w:t>
      </w:r>
      <w:r>
        <w:rPr>
          <w:sz w:val="28"/>
          <w:b/>
        </w:rPr>
        <w:t>：</w:t>
      </w:r>
      <w:r>
        <w:rPr>
          <w:sz w:val="28"/>
          <w:b/>
        </w:rPr>
        <w:t>福建胜帮招标代理有限公司</w:t>
      </w:r>
    </w:p>
    <w:p>
      <w:pPr>
        <w:pStyle w:val="null3"/>
        <w:ind w:firstLine="960"/>
        <w:jc w:val="both"/>
      </w:pPr>
      <w:r>
        <w:rPr/>
        <w:t xml:space="preserve"> 地址： </w:t>
      </w:r>
      <w:r>
        <w:rPr/>
        <w:t>福州市鼓楼区乌山西路68号阳光乌山荣域A1-918</w:t>
      </w:r>
    </w:p>
    <w:p>
      <w:pPr>
        <w:pStyle w:val="null3"/>
        <w:jc w:val="both"/>
      </w:pPr>
      <w:r>
        <w:rPr/>
        <w:t xml:space="preserve"> 邮编： </w:t>
      </w:r>
      <w:r>
        <w:rPr/>
        <w:t>350002</w:t>
      </w:r>
    </w:p>
    <w:p>
      <w:pPr>
        <w:pStyle w:val="null3"/>
        <w:jc w:val="both"/>
      </w:pPr>
      <w:r>
        <w:rPr/>
        <w:t xml:space="preserve"> 联系人： </w:t>
      </w:r>
      <w:r>
        <w:rPr/>
        <w:t>郑义芳</w:t>
      </w:r>
    </w:p>
    <w:p>
      <w:pPr>
        <w:pStyle w:val="null3"/>
        <w:jc w:val="both"/>
      </w:pPr>
      <w:r>
        <w:rPr/>
        <w:t xml:space="preserve"> 联系电话： </w:t>
      </w:r>
      <w:r>
        <w:rPr/>
        <w:t>18060683079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福建胜帮招标代理有限公司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730,000.00</w:t>
      </w:r>
    </w:p>
    <w:p>
      <w:pPr>
        <w:pStyle w:val="null3"/>
        <w:jc w:val="left"/>
      </w:pPr>
      <w:r>
        <w:rPr/>
        <w:t>采购包最高限价（元）: 700,000.00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便携式非甲烷总烃检测仪及酶底物法水中菌群检测系统及自动称重系统</w:t>
            </w:r>
          </w:p>
        </w:tc>
        <w:tc>
          <w:tcPr>
            <w:tcW w:type="dxa" w:w="1187"/>
          </w:tcPr>
          <w:p>
            <w:pPr>
              <w:pStyle w:val="null3"/>
              <w:jc w:val="right"/>
            </w:pPr>
            <w:r>
              <w:rPr/>
              <w:t>1.00</w:t>
            </w:r>
          </w:p>
        </w:tc>
        <w:tc>
          <w:tcPr>
            <w:tcW w:type="dxa" w:w="1187"/>
          </w:tcPr>
          <w:p>
            <w:pPr>
              <w:pStyle w:val="null3"/>
              <w:jc w:val="right"/>
            </w:pPr>
            <w:r>
              <w:rPr/>
              <w:t>730,000.00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中标候选人并列的，则按“价格部分”的得分高低排序；若投标人的评审得分相同且价格部分得分也相同的，则按“技术部分”的得分高低排序；若评审得分相同且价格部分与技术部分得分也相同的，则采取随机抽取方式确定。</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福建胜帮招标代理有限公司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代理服务费收费标准：(中标服务费)向成交人收取，成交人按差额定率累进法计算，向采购代理机构一次性缴纳中标服务费。 (1)以中标通知书规定的中标金额作为收费的计算基数。 (2)招标代理服务收费的标准：100(万元)以下收费费率标准: 1.50%。成交人在领取中标通知书前向代理公司一次性付清。以下为招标代理服务费缴交银行账号： 开户名：福建胜帮招标代理有限公司 开户行：恒丰银行股份有限公司福州鼓楼支行 账号：859111010122801687</w:t>
            </w:r>
          </w:p>
          <w:p>
            <w:pPr>
              <w:pStyle w:val="null3"/>
              <w:jc w:val="left"/>
            </w:pPr>
            <w:r>
              <w:rPr/>
              <w:t xml:space="preserve"> (2)其他：</w:t>
            </w:r>
          </w:p>
          <w:p>
            <w:pPr>
              <w:pStyle w:val="null3"/>
              <w:jc w:val="left"/>
            </w:pPr>
            <w:r>
              <w:rPr/>
              <w:t>质疑受理的其它要求：a.供应商递交质疑函时需提供本项目报名成功的页面截图（体现报名时间），否则将不被认定为潜在供应商，其质疑将不予受理。b.在法定质疑期内供应商须一次性提出针对同一采购程序环节的质疑，若供应商多次对同一采购程序环节提出质疑的，采购代理机构将不予以受理。招标文件其他条款与本项有冲突的，以本项为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 xml:space="preserve">第二章“投标人须知前附表”表2中关于“⑥关于投标截止时间过后”规定“b.有下列情形之一的，视为投标人串通投标，其投标无效：b1不同投标人的电子投标文件被福建省政府采购网上公开信息系统判定为具有相同内部识别码；b2不同投标人的投标保证金被福建省政府采购网上公开信息系统判定为从同一单位或个人的账户转出；b3投标人的投标保证金被福建省政府采购网上公开信息系统判定为同一合同项下有其他投标人提交的投标保证金。” </w:t>
            </w:r>
            <w:r>
              <w:rPr/>
              <w:t xml:space="preserve"> 的内容修正为下列内容：</w:t>
            </w:r>
          </w:p>
          <w:p>
            <w:pPr>
              <w:pStyle w:val="null3"/>
              <w:jc w:val="left"/>
            </w:pPr>
            <w:r>
              <w:rPr/>
              <w:t>b.根据 《福建省财政厅关于电子化政府采购项目中视为串标情形认定与处理的指导意见》闽财购〔2018〕30号规定，有下列情形之一的，视为投标人串通投标，其投标无效，没收其投标保证金，并书面报告本级财政部门： b1不同投标人的投标保证金转出账户的银行账户名称相同的； b2投标人上传电子投标文件被福建省政府采购网上公开信息系统投标客户端所赋予的项目内部识别码与本招标项目的其他投标人相同的； b3系统记录的编制电子投标文件使用的计算机或上传电子投标文件使用的计算机网卡 MAC 地址与本招标项目的其他投标人一致的； b4投标人上传的电子投标文件若出现使用本项目其他投标人的数字证书加密的或加盖本项目的其他投标人的电子印章的后适用本项目的电子招标投标活动。 后适用本项目的电子招标投标活动。</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远程开标的规定：①本项目支持远程开标，投标人可通过远程线上参与开标，具体系统操作指南详见福建省政府采购网首页上相关操作手册。②本项目开标过程中解密及远程签章的操作时限均为20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福建胜帮招标代理有限公司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福建胜帮招标代理有限公司</w:t>
      </w:r>
      <w:r>
        <w:rPr/>
        <w:t xml:space="preserve"> 将在投标截止时间至少15个日历日前，在招标文件载明的指定媒体以更正公告的形式发布澄清或修改的内容。不足15个日历日的， </w:t>
      </w:r>
      <w:r>
        <w:rPr/>
        <w:t>福建胜帮招标代理有限公司</w:t>
      </w:r>
      <w:r>
        <w:rPr/>
        <w:t xml:space="preserve"> 将顺延投标截止时间及开标时间， </w:t>
      </w:r>
      <w:r>
        <w:rPr/>
        <w:t>福建胜帮招标代理有限公司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福建胜帮招标代理有限公司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福建胜帮招标代理有限公司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福建胜帮招标代理有限公司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福建胜帮招标代理有限公司</w:t>
      </w:r>
      <w:r>
        <w:rPr/>
        <w:t xml:space="preserve"> 可终止招标并发布终止公告。</w:t>
      </w:r>
    </w:p>
    <w:p>
      <w:pPr>
        <w:pStyle w:val="null3"/>
        <w:ind w:firstLine="480"/>
        <w:jc w:val="both"/>
      </w:pPr>
      <w:r>
        <w:rPr/>
        <w:t xml:space="preserve">8.2终止公告作为 </w:t>
      </w:r>
      <w:r>
        <w:rPr/>
        <w:t>福建胜帮招标代理有限公司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福建胜帮招标代理有限公司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福建胜帮招标代理有限公司</w:t>
      </w:r>
      <w:r>
        <w:rPr/>
        <w:t xml:space="preserve"> 可于投标有效期届满之前书面要求投标人延长投标有效期，投标人应在 </w:t>
      </w:r>
      <w:r>
        <w:rPr/>
        <w:t>福建胜帮招标代理有限公司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福建胜帮招标代理有限公司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福建胜帮招标代理有限公司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福建胜帮招标代理有限公司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福建胜帮招标代理有限公司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福建胜帮招标代理有限公司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福建胜帮招标代理有限公司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福建胜帮招标代理有限公司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福建胜帮招标代理有限公司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福建胜帮招标代理有限公司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福建胜帮招标代理有限公司</w:t>
      </w:r>
      <w:r>
        <w:rPr/>
        <w:t xml:space="preserve"> 提出询问， </w:t>
      </w:r>
      <w:r>
        <w:rPr/>
        <w:t>福建胜帮招标代理有限公司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福建胜帮招标代理有限公司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福建胜帮招标代理有限公司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由福建胜帮招标代理有限公司派出的工作人员至少1人，</w:t>
      </w:r>
      <w:r>
        <w:rPr/>
        <w:t>其余1人可为采购人代表或福建胜帮招标代理有限公司的工作人员。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落实政府采购政策的证明材料（专门面向中小企业采购）</w:t>
            </w:r>
          </w:p>
        </w:tc>
        <w:tc>
          <w:tcPr>
            <w:tcW w:type="dxa" w:w="4614"/>
          </w:tcPr>
          <w:p>
            <w:pPr>
              <w:pStyle w:val="null3"/>
              <w:jc w:val="left"/>
            </w:pPr>
            <w:r>
              <w:rPr/>
              <w:t>本项目为货物类采购项目，采购标的对应的中小企业划分标准所属行业为“工业”。</w:t>
            </w:r>
          </w:p>
        </w:tc>
      </w:tr>
      <w:tr>
        <w:tc>
          <w:tcPr>
            <w:tcW w:type="dxa" w:w="3692"/>
          </w:tcPr>
          <w:p>
            <w:pPr>
              <w:pStyle w:val="null3"/>
              <w:jc w:val="left"/>
            </w:pPr>
            <w:r>
              <w:rPr/>
              <w:t>招标文件规定的其他资格证明文件</w:t>
            </w:r>
          </w:p>
        </w:tc>
        <w:tc>
          <w:tcPr>
            <w:tcW w:type="dxa" w:w="4614"/>
          </w:tcPr>
          <w:p>
            <w:pPr>
              <w:pStyle w:val="null3"/>
              <w:jc w:val="left"/>
            </w:pPr>
            <w:r>
              <w:rPr/>
              <w:t>根据《福州市财政局关于进一步推进政府米购领域优化营商环境工作的通知》(榕财采〔2021〕52号)“四、简化资格证明材料”的相关规定，供应商在投标（响应）时，按照规定提供相关承诺函（承诺函格式自拟）的，无需再提交财务状况、缴纳税收和社保资金缴纳等证明材料；采购人有权在签订合同前要求中标供应商提供相关证明材料以核实中标供应商承诺事项的真实性。供应商应当遵循诚实守信的原则，不得作出虚假承诺，承诺不实的，属于提供虚假材料谋取中标、成交，依法追究相关的法律责任。 2、若不提供本承诺函的，应按招标文件要求提供相应的证明材料。 注：本招标文件其他地方要求与本条款要求不一致的，以本条款要求为准。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资格及资信证明部分中不得出现报价部分的全部或部分的投标报价信息（或组成资料），否则视为投标无效。</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福建胜帮招标代理有限公司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福建胜帮招标代理有限公司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福建胜帮招标代理有限公司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福建胜帮招标代理有限公司</w:t>
      </w:r>
      <w:r>
        <w:rPr/>
        <w:t xml:space="preserve"> 统一对外发布。</w:t>
      </w:r>
    </w:p>
    <w:p>
      <w:pPr>
        <w:pStyle w:val="null3"/>
        <w:ind w:firstLine="480"/>
        <w:jc w:val="both"/>
      </w:pPr>
      <w:r>
        <w:rPr/>
        <w:t xml:space="preserve">②对 </w:t>
      </w:r>
      <w:r>
        <w:rPr/>
        <w:t>福建胜帮招标代理有限公司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1、未按照招标文件规定要求签署、盖章的； 2、不符合招标文件中规定的实质性要求和条件； 3、属于招标文件中规定的无效投标条款的情形； 4、属于招标文件规定的符合性检查不合格情形； 5、属于招标文件规定评标委员会应否决其投标的情形； 6、投标文件的技术部分中出现报价部分的全部或部分的投标报价信息(或组成资料).</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1、未按照招标文件规定要求签署、盖章的； 2、投标文件载明的招标项目交付时间超过招标文件规定或未载明招标项目交付时间的； 3、属于招标文件规定的符合性检查不合格情形； 4、不符合招标文件中规定的实质性要求和条件； 5、属于招标文件中规定的无效投标条款的情形； 6、属于招标文件规定评标委员会应否决其投标的情形； 7、投标文件的商务部分中出现报价部分的全部或部分的投标报价信息(或组成资料)； 8、招标文件第五章“三、商务条件”中内容出负偏离的，按无效投标处理。</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福建胜帮招标代理有限公司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技术项（F2×A2）满分为55.0000分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产品技术性能及功能配置</w:t>
            </w:r>
          </w:p>
        </w:tc>
        <w:tc>
          <w:tcPr>
            <w:tcW w:type="dxa" w:w="831"/>
          </w:tcPr>
          <w:p>
            <w:pPr>
              <w:pStyle w:val="null3"/>
              <w:jc w:val="right"/>
            </w:pPr>
            <w:r>
              <w:rPr/>
              <w:t>49.0000</w:t>
            </w:r>
          </w:p>
        </w:tc>
        <w:tc>
          <w:tcPr>
            <w:tcW w:type="dxa" w:w="4153"/>
          </w:tcPr>
          <w:p>
            <w:pPr>
              <w:pStyle w:val="null3"/>
              <w:jc w:val="both"/>
            </w:pPr>
            <w:r>
              <w:rPr/>
              <w:t>根据各投标人对招标文件技术参数的响应情况由评委进行评议并打分，完全满足招标文件要求的得49分：①“★”的技术参数有一项不满足均视为无效投标（共2项）；②“▲”的参数不满足一项目扣1.48分（共7项）；③未带符号的参数每负偏离一项扣0.805分(共48项）。正偏离不加分。</w:t>
            </w:r>
          </w:p>
        </w:tc>
      </w:tr>
      <w:tr>
        <w:tc>
          <w:tcPr>
            <w:tcW w:type="dxa" w:w="3322"/>
          </w:tcPr>
          <w:p>
            <w:pPr>
              <w:pStyle w:val="null3"/>
              <w:jc w:val="both"/>
            </w:pPr>
            <w:r>
              <w:rPr/>
              <w:t>产品 性能及佐证资料</w:t>
            </w:r>
          </w:p>
        </w:tc>
        <w:tc>
          <w:tcPr>
            <w:tcW w:type="dxa" w:w="831"/>
          </w:tcPr>
          <w:p>
            <w:pPr>
              <w:pStyle w:val="null3"/>
              <w:jc w:val="right"/>
            </w:pPr>
            <w:r>
              <w:rPr/>
              <w:t>2.0000</w:t>
            </w:r>
          </w:p>
        </w:tc>
        <w:tc>
          <w:tcPr>
            <w:tcW w:type="dxa" w:w="4153"/>
          </w:tcPr>
          <w:p>
            <w:pPr>
              <w:pStyle w:val="null3"/>
              <w:jc w:val="both"/>
            </w:pPr>
            <w:r>
              <w:rPr/>
              <w:t>投标人应提供其投标货物的产品彩页，并在彩页内注明每种产品的主要技术参数，根据提供彩页情况由评委进行评分。①彩页能完全清楚表明所投设备的技术参数满足要求的得2分；②彩页资料能基本体现投标产品的主要技术参数及功能的得1.5分，③提供的产品彩页资料不齐全或有缺漏的得1分。④提供的产品彩页资料有重大缺陷或者未提供的不得分。</w:t>
            </w:r>
          </w:p>
        </w:tc>
      </w:tr>
      <w:tr>
        <w:tc>
          <w:tcPr>
            <w:tcW w:type="dxa" w:w="3322"/>
          </w:tcPr>
          <w:p>
            <w:pPr>
              <w:pStyle w:val="null3"/>
              <w:jc w:val="both"/>
            </w:pPr>
            <w:r>
              <w:rPr/>
              <w:t>售后服务承诺及产品的日常保养</w:t>
            </w:r>
          </w:p>
        </w:tc>
        <w:tc>
          <w:tcPr>
            <w:tcW w:type="dxa" w:w="831"/>
          </w:tcPr>
          <w:p>
            <w:pPr>
              <w:pStyle w:val="null3"/>
              <w:jc w:val="right"/>
            </w:pPr>
            <w:r>
              <w:rPr/>
              <w:t>2.0000</w:t>
            </w:r>
          </w:p>
        </w:tc>
        <w:tc>
          <w:tcPr>
            <w:tcW w:type="dxa" w:w="4153"/>
          </w:tcPr>
          <w:p>
            <w:pPr>
              <w:pStyle w:val="null3"/>
              <w:jc w:val="both"/>
            </w:pPr>
            <w:r>
              <w:rPr/>
              <w:t>根据投标人提供产品的日常保养、使用合理化等方面，由评委进行评分。①提供的日常保养、使用合理化等方案内容可行性、可操作性完善的得2分；②提供的日常保养、使用合理化等方案内容具有一定可行性、可操作性的得1.5分；③提供的日常保养、使用合理化等方案内容不齐全或有部分缺漏的得1分；④提供的日常保养、使用合理化等方案内容有重大缺陷或者未提供的不得分。</w:t>
            </w:r>
          </w:p>
        </w:tc>
      </w:tr>
      <w:tr>
        <w:tc>
          <w:tcPr>
            <w:tcW w:type="dxa" w:w="3322"/>
          </w:tcPr>
          <w:p>
            <w:pPr>
              <w:pStyle w:val="null3"/>
              <w:jc w:val="both"/>
            </w:pPr>
            <w:r>
              <w:rPr/>
              <w:t>项目实施方案</w:t>
            </w:r>
          </w:p>
        </w:tc>
        <w:tc>
          <w:tcPr>
            <w:tcW w:type="dxa" w:w="831"/>
          </w:tcPr>
          <w:p>
            <w:pPr>
              <w:pStyle w:val="null3"/>
              <w:jc w:val="right"/>
            </w:pPr>
            <w:r>
              <w:rPr/>
              <w:t>2.0000</w:t>
            </w:r>
          </w:p>
        </w:tc>
        <w:tc>
          <w:tcPr>
            <w:tcW w:type="dxa" w:w="4153"/>
          </w:tcPr>
          <w:p>
            <w:pPr>
              <w:pStyle w:val="null3"/>
              <w:jc w:val="both"/>
            </w:pPr>
            <w:r>
              <w:rPr/>
              <w:t>根据各投标人提供的项目实施方案（包括但不限于实施内容、时间安排、验收保障、项目人员安排等）由评委进行评议。①实施方案非常完整、目标明确、完全满足采购人需求的得2分；②实施方案基本完整、目标基本明确、基本满足采购人需求的得1.5分；③实施方案完整性一般、目标一般明确、大概能满足采购人需求的得1分；④未提供的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业绩</w:t>
            </w:r>
          </w:p>
        </w:tc>
        <w:tc>
          <w:tcPr>
            <w:tcW w:type="dxa" w:w="831"/>
          </w:tcPr>
          <w:p>
            <w:pPr>
              <w:pStyle w:val="null3"/>
              <w:jc w:val="right"/>
            </w:pPr>
            <w:r>
              <w:rPr/>
              <w:t>3.0000</w:t>
            </w:r>
          </w:p>
        </w:tc>
        <w:tc>
          <w:tcPr>
            <w:tcW w:type="dxa" w:w="4153"/>
          </w:tcPr>
          <w:p>
            <w:pPr>
              <w:pStyle w:val="null3"/>
              <w:jc w:val="both"/>
            </w:pPr>
            <w:r>
              <w:rPr/>
              <w:t>投标人所提供的2021年1月1日以来(时间以合同签订为准)由投标人所完成的同类项目，每提供1个得1分，满分3分。须提供以下的证明材料:须提供中标/成交公告（提供相关网站中标/成交公告的下载网页并注明网址）、中标/成交通知书、采购合同文本复印件，以及能够证明该业绩项目已经采购人验收合格的相关证明文件复印件。材料提供不完整或未提供的则不得分。（同一项目参与“服务评价意见/项目评价”评分项时不可重复计分。）</w:t>
            </w:r>
          </w:p>
        </w:tc>
      </w:tr>
      <w:tr>
        <w:tc>
          <w:tcPr>
            <w:tcW w:type="dxa" w:w="3322"/>
          </w:tcPr>
          <w:p>
            <w:pPr>
              <w:pStyle w:val="null3"/>
              <w:jc w:val="both"/>
            </w:pPr>
            <w:r>
              <w:rPr/>
              <w:t>用户 满意度</w:t>
            </w:r>
          </w:p>
        </w:tc>
        <w:tc>
          <w:tcPr>
            <w:tcW w:type="dxa" w:w="831"/>
          </w:tcPr>
          <w:p>
            <w:pPr>
              <w:pStyle w:val="null3"/>
              <w:jc w:val="right"/>
            </w:pPr>
            <w:r>
              <w:rPr/>
              <w:t>3.0000</w:t>
            </w:r>
          </w:p>
        </w:tc>
        <w:tc>
          <w:tcPr>
            <w:tcW w:type="dxa" w:w="4153"/>
          </w:tcPr>
          <w:p>
            <w:pPr>
              <w:pStyle w:val="null3"/>
              <w:jc w:val="both"/>
            </w:pPr>
            <w:r>
              <w:rPr/>
              <w:t>根据投标人2021年1月1日起至本次投标截止日期完成的同类型项目满意度评价情况进行评分。每提供一份完整的用户单位满意度证明材料（满意度反馈应为满意或很满意等正面评价）的得0.5分，同个用户单位不进行重复得分，满分3分。须提供采购方满意度相关盖章证明材料。本评分项与“业绩”评分项不重复得分。</w:t>
            </w:r>
          </w:p>
        </w:tc>
      </w:tr>
      <w:tr>
        <w:tc>
          <w:tcPr>
            <w:tcW w:type="dxa" w:w="3322"/>
          </w:tcPr>
          <w:p>
            <w:pPr>
              <w:pStyle w:val="null3"/>
              <w:jc w:val="both"/>
            </w:pPr>
            <w:r>
              <w:rPr/>
              <w:t>产品质量及供货保障</w:t>
            </w:r>
          </w:p>
        </w:tc>
        <w:tc>
          <w:tcPr>
            <w:tcW w:type="dxa" w:w="831"/>
          </w:tcPr>
          <w:p>
            <w:pPr>
              <w:pStyle w:val="null3"/>
              <w:jc w:val="right"/>
            </w:pPr>
            <w:r>
              <w:rPr/>
              <w:t>3.0000</w:t>
            </w:r>
          </w:p>
        </w:tc>
        <w:tc>
          <w:tcPr>
            <w:tcW w:type="dxa" w:w="4153"/>
          </w:tcPr>
          <w:p>
            <w:pPr>
              <w:pStyle w:val="null3"/>
              <w:jc w:val="both"/>
            </w:pPr>
            <w:r>
              <w:rPr/>
              <w:t>根据各投标人所投产品质量保障以及供货保障（供货渠道来源的正规性、合法性、可靠性）等情况，由评委进行评分。①提供的方案非常完整、详细、具体、可靠性非常强的得3分；②提供的方案基本完整、详细、具体、基本可靠的得2.5分；③提供的方案一般完整、详细、具体、可靠性一般的得2分；④未提供的不得分。</w:t>
            </w:r>
          </w:p>
        </w:tc>
      </w:tr>
      <w:tr>
        <w:tc>
          <w:tcPr>
            <w:tcW w:type="dxa" w:w="3322"/>
          </w:tcPr>
          <w:p>
            <w:pPr>
              <w:pStyle w:val="null3"/>
              <w:jc w:val="both"/>
            </w:pPr>
            <w:r>
              <w:rPr/>
              <w:t>培训方案</w:t>
            </w:r>
          </w:p>
        </w:tc>
        <w:tc>
          <w:tcPr>
            <w:tcW w:type="dxa" w:w="831"/>
          </w:tcPr>
          <w:p>
            <w:pPr>
              <w:pStyle w:val="null3"/>
              <w:jc w:val="right"/>
            </w:pPr>
            <w:r>
              <w:rPr/>
              <w:t>3.0000</w:t>
            </w:r>
          </w:p>
        </w:tc>
        <w:tc>
          <w:tcPr>
            <w:tcW w:type="dxa" w:w="4153"/>
          </w:tcPr>
          <w:p>
            <w:pPr>
              <w:pStyle w:val="null3"/>
              <w:jc w:val="both"/>
            </w:pPr>
            <w:r>
              <w:rPr/>
              <w:t>根据投标人提供的对采购人单位工作人员培训方案，由评标委员会对提交方案的可行性、合理性、实用性进行评分：①方案可行、合理、实用的得3分，②方案较可行、较合理、较实用的得2.5分，③方案的可行性、合理性、实用性一般的得2分，④未提供不得分。</w:t>
            </w:r>
          </w:p>
        </w:tc>
      </w:tr>
      <w:tr>
        <w:tc>
          <w:tcPr>
            <w:tcW w:type="dxa" w:w="3322"/>
          </w:tcPr>
          <w:p>
            <w:pPr>
              <w:pStyle w:val="null3"/>
              <w:jc w:val="both"/>
            </w:pPr>
            <w:r>
              <w:rPr/>
              <w:t>免费保修期延长承诺</w:t>
            </w:r>
          </w:p>
        </w:tc>
        <w:tc>
          <w:tcPr>
            <w:tcW w:type="dxa" w:w="831"/>
          </w:tcPr>
          <w:p>
            <w:pPr>
              <w:pStyle w:val="null3"/>
              <w:jc w:val="right"/>
            </w:pPr>
            <w:r>
              <w:rPr/>
              <w:t>3.0000</w:t>
            </w:r>
          </w:p>
        </w:tc>
        <w:tc>
          <w:tcPr>
            <w:tcW w:type="dxa" w:w="4153"/>
          </w:tcPr>
          <w:p>
            <w:pPr>
              <w:pStyle w:val="null3"/>
              <w:jc w:val="both"/>
            </w:pPr>
            <w:r>
              <w:rPr/>
              <w:t>根据投标人对投标货物免费保修期的承诺情况进行评分，在招标文件要求的基础上每延长一年（只针对整个合同包所有设备的免费保修延长）的得1分（没有延长的不得分），满分3分。【须提供承诺函，格式自拟，否则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黑体" w:hAnsi="黑体" w:cs="黑体" w:eastAsia="黑体"/>
          <w:sz w:val="32"/>
          <w:color w:val="000000"/>
          <w:shd w:fill="FFFFFF" w:val="clear"/>
        </w:rPr>
        <w:t>一、项目概况</w:t>
      </w:r>
    </w:p>
    <w:p>
      <w:pPr>
        <w:pStyle w:val="null3"/>
        <w:ind w:firstLine="640"/>
        <w:jc w:val="both"/>
      </w:pPr>
      <w:r>
        <w:rPr>
          <w:rFonts w:ascii="仿宋_gb2312" w:hAnsi="仿宋_gb2312" w:cs="仿宋_gb2312" w:eastAsia="仿宋_gb2312"/>
          <w:sz w:val="32"/>
          <w:color w:val="000000"/>
          <w:shd w:fill="FFFFFF" w:val="clear"/>
        </w:rPr>
        <w:t>1、本项目为福州市罗源生态环境局2024年环境监测仪器采购项目，要求投标人必须具备招标文件要求的资格。投标产品及生产所需材料应符合国家及相关规定的相应技术标准。产品质量符合要求。中标人与采购人签订各项供货合同后，必须自觉履行招标文件的要求和其投标文件承诺，做好设备的生产、运输、售后服务等工作。</w:t>
      </w:r>
    </w:p>
    <w:p>
      <w:pPr>
        <w:pStyle w:val="null3"/>
        <w:ind w:firstLine="640"/>
        <w:jc w:val="both"/>
      </w:pPr>
      <w:r>
        <w:rPr>
          <w:rFonts w:ascii="仿宋_gb2312" w:hAnsi="仿宋_gb2312" w:cs="仿宋_gb2312" w:eastAsia="仿宋_gb2312"/>
          <w:sz w:val="32"/>
          <w:color w:val="000000"/>
          <w:shd w:fill="FFFFFF" w:val="clear"/>
        </w:rPr>
        <w:t>2、投标人应以包括货物所涉及的有关项目的所有费用进行报价，包括：产品制造、运输、保险、安装、调试、搬运及设备就位、培训、保修、备品备件、专用工具、外贸代 理费（若有）、关税等一切相关费用。</w:t>
      </w:r>
    </w:p>
    <w:p>
      <w:pPr>
        <w:pStyle w:val="null3"/>
        <w:ind w:firstLine="480"/>
        <w:jc w:val="center"/>
      </w:pPr>
      <w:r>
        <w:rPr>
          <w:rFonts w:ascii="仿宋" w:hAnsi="仿宋" w:cs="仿宋" w:eastAsia="仿宋"/>
          <w:sz w:val="28"/>
          <w:shd w:fill="FFFFFF" w:val="clear"/>
        </w:rPr>
        <w:t>表</w:t>
      </w:r>
      <w:r>
        <w:rPr>
          <w:rFonts w:ascii="仿宋" w:hAnsi="仿宋" w:cs="仿宋" w:eastAsia="仿宋"/>
          <w:sz w:val="28"/>
          <w:shd w:fill="FFFFFF" w:val="clear"/>
        </w:rPr>
        <w:t xml:space="preserve">1 </w:t>
      </w:r>
      <w:r>
        <w:rPr>
          <w:rFonts w:ascii="仿宋_gb2312" w:hAnsi="仿宋_gb2312" w:cs="仿宋_gb2312" w:eastAsia="仿宋_gb2312"/>
          <w:sz w:val="28"/>
          <w:color w:val="000000"/>
          <w:shd w:fill="FFFFFF" w:val="clear"/>
        </w:rPr>
        <w:t>2024年度福州市罗源生态环境局环境监测仪器采购项目清单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012"/>
        <w:gridCol w:w="544"/>
        <w:gridCol w:w="2129"/>
        <w:gridCol w:w="423"/>
        <w:gridCol w:w="800"/>
        <w:gridCol w:w="1993"/>
        <w:gridCol w:w="1404"/>
      </w:tblGrid>
      <w:tr>
        <w:tc>
          <w:tcPr>
            <w:tcW w:type="dxa" w:w="1012"/>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项目</w:t>
            </w:r>
          </w:p>
          <w:p>
            <w:pPr>
              <w:pStyle w:val="null3"/>
              <w:ind w:firstLine="380"/>
              <w:jc w:val="center"/>
            </w:pPr>
            <w:r>
              <w:rPr>
                <w:rFonts w:ascii="仿宋" w:hAnsi="仿宋" w:cs="仿宋" w:eastAsia="仿宋"/>
                <w:sz w:val="24"/>
                <w:color w:val="000000"/>
                <w:shd w:fill="FFFFFF" w:val="clear"/>
              </w:rPr>
              <w:t>名称</w:t>
            </w:r>
          </w:p>
        </w:tc>
        <w:tc>
          <w:tcPr>
            <w:tcW w:type="dxa" w:w="544"/>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序号</w:t>
            </w:r>
          </w:p>
        </w:tc>
        <w:tc>
          <w:tcPr>
            <w:tcW w:type="dxa" w:w="2129"/>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设备</w:t>
            </w:r>
          </w:p>
          <w:p>
            <w:pPr>
              <w:pStyle w:val="null3"/>
              <w:ind w:firstLine="380"/>
              <w:jc w:val="center"/>
            </w:pPr>
            <w:r>
              <w:rPr>
                <w:rFonts w:ascii="仿宋" w:hAnsi="仿宋" w:cs="仿宋" w:eastAsia="仿宋"/>
                <w:sz w:val="24"/>
                <w:color w:val="000000"/>
                <w:shd w:fill="FFFFFF" w:val="clear"/>
              </w:rPr>
              <w:t>名称</w:t>
            </w:r>
          </w:p>
        </w:tc>
        <w:tc>
          <w:tcPr>
            <w:tcW w:type="dxa" w:w="423"/>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数量</w:t>
            </w:r>
          </w:p>
        </w:tc>
        <w:tc>
          <w:tcPr>
            <w:tcW w:type="dxa" w:w="800"/>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计量单位</w:t>
            </w:r>
          </w:p>
        </w:tc>
        <w:tc>
          <w:tcPr>
            <w:tcW w:type="dxa" w:w="1993"/>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子项目控制价</w:t>
            </w:r>
          </w:p>
          <w:p>
            <w:pPr>
              <w:pStyle w:val="null3"/>
              <w:ind w:firstLine="380"/>
              <w:jc w:val="center"/>
            </w:pPr>
            <w:r>
              <w:rPr>
                <w:rFonts w:ascii="仿宋" w:hAnsi="仿宋" w:cs="仿宋" w:eastAsia="仿宋"/>
                <w:sz w:val="24"/>
                <w:color w:val="000000"/>
                <w:shd w:fill="FFFFFF" w:val="clear"/>
              </w:rPr>
              <w:t>（万元）</w:t>
            </w:r>
          </w:p>
        </w:tc>
        <w:tc>
          <w:tcPr>
            <w:tcW w:type="dxa" w:w="1404"/>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总控</w:t>
            </w:r>
          </w:p>
          <w:p>
            <w:pPr>
              <w:pStyle w:val="null3"/>
              <w:ind w:firstLine="380"/>
              <w:jc w:val="center"/>
            </w:pPr>
            <w:r>
              <w:rPr>
                <w:rFonts w:ascii="仿宋" w:hAnsi="仿宋" w:cs="仿宋" w:eastAsia="仿宋"/>
                <w:sz w:val="24"/>
                <w:color w:val="000000"/>
                <w:shd w:fill="FFFFFF" w:val="clear"/>
              </w:rPr>
              <w:t>制价</w:t>
            </w:r>
          </w:p>
          <w:p>
            <w:pPr>
              <w:pStyle w:val="null3"/>
              <w:ind w:firstLine="380"/>
              <w:jc w:val="center"/>
            </w:pPr>
            <w:r>
              <w:rPr>
                <w:rFonts w:ascii="仿宋" w:hAnsi="仿宋" w:cs="仿宋" w:eastAsia="仿宋"/>
                <w:sz w:val="24"/>
                <w:color w:val="000000"/>
                <w:shd w:fill="FFFFFF" w:val="clear"/>
              </w:rPr>
              <w:t>（万元）</w:t>
            </w:r>
          </w:p>
        </w:tc>
      </w:tr>
      <w:tr>
        <w:tc>
          <w:tcPr>
            <w:tcW w:type="dxa" w:w="1012"/>
            <w:vMerge w:val="restart"/>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2024年度福州市罗源生态环境局环境监测仪器</w:t>
            </w:r>
          </w:p>
        </w:tc>
        <w:tc>
          <w:tcPr>
            <w:tcW w:type="dxa" w:w="54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1</w:t>
            </w:r>
          </w:p>
        </w:tc>
        <w:tc>
          <w:tcPr>
            <w:tcW w:type="dxa" w:w="21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便携式非甲烷总烃检测仪</w:t>
            </w:r>
          </w:p>
        </w:tc>
        <w:tc>
          <w:tcPr>
            <w:tcW w:type="dxa" w:w="423"/>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1</w:t>
            </w:r>
          </w:p>
        </w:tc>
        <w:tc>
          <w:tcPr>
            <w:tcW w:type="dxa" w:w="800"/>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台</w:t>
            </w:r>
          </w:p>
        </w:tc>
        <w:tc>
          <w:tcPr>
            <w:tcW w:type="dxa" w:w="1993"/>
            <w:vMerge w:val="restart"/>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70</w:t>
            </w:r>
          </w:p>
        </w:tc>
        <w:tc>
          <w:tcPr>
            <w:tcW w:type="dxa" w:w="1404"/>
            <w:vMerge w:val="restart"/>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70</w:t>
            </w:r>
          </w:p>
        </w:tc>
      </w:tr>
      <w:tr>
        <w:tc>
          <w:tcPr>
            <w:tcW w:type="dxa" w:w="1012"/>
            <w:vMerge/>
            <w:tcBorders>
              <w:top w:val="none" w:color="000000" w:sz="4"/>
              <w:left w:val="single" w:color="000000" w:sz="4"/>
              <w:bottom w:val="single" w:color="000000" w:sz="4"/>
              <w:right w:val="single" w:color="000000" w:sz="4"/>
            </w:tcBorders>
          </w:tcPr>
          <w:p/>
        </w:tc>
        <w:tc>
          <w:tcPr>
            <w:tcW w:type="dxa" w:w="54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2</w:t>
            </w:r>
          </w:p>
        </w:tc>
        <w:tc>
          <w:tcPr>
            <w:tcW w:type="dxa" w:w="21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酶底物法水中菌群检测系统</w:t>
            </w:r>
          </w:p>
        </w:tc>
        <w:tc>
          <w:tcPr>
            <w:tcW w:type="dxa" w:w="423"/>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1</w:t>
            </w:r>
          </w:p>
        </w:tc>
        <w:tc>
          <w:tcPr>
            <w:tcW w:type="dxa" w:w="800"/>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套</w:t>
            </w:r>
          </w:p>
        </w:tc>
        <w:tc>
          <w:tcPr>
            <w:tcW w:type="dxa" w:w="1993"/>
            <w:vMerge/>
            <w:tcBorders>
              <w:top w:val="none" w:color="000000" w:sz="4"/>
              <w:left w:val="single" w:color="000000" w:sz="4"/>
              <w:bottom w:val="single" w:color="000000" w:sz="4"/>
              <w:right w:val="single" w:color="000000" w:sz="4"/>
            </w:tcBorders>
          </w:tcPr>
          <w:p/>
        </w:tc>
        <w:tc>
          <w:tcPr>
            <w:tcW w:type="dxa" w:w="1404"/>
            <w:vMerge/>
            <w:tcBorders>
              <w:top w:val="none" w:color="000000" w:sz="4"/>
              <w:left w:val="single" w:color="000000" w:sz="4"/>
              <w:bottom w:val="single" w:color="000000" w:sz="4"/>
              <w:right w:val="single" w:color="000000" w:sz="4"/>
            </w:tcBorders>
          </w:tcPr>
          <w:p/>
        </w:tc>
      </w:tr>
      <w:tr>
        <w:tc>
          <w:tcPr>
            <w:tcW w:type="dxa" w:w="1012"/>
            <w:vMerge/>
            <w:tcBorders>
              <w:top w:val="none" w:color="000000" w:sz="4"/>
              <w:left w:val="single" w:color="000000" w:sz="4"/>
              <w:bottom w:val="single" w:color="000000" w:sz="4"/>
              <w:right w:val="single" w:color="000000" w:sz="4"/>
            </w:tcBorders>
          </w:tcPr>
          <w:p/>
        </w:tc>
        <w:tc>
          <w:tcPr>
            <w:tcW w:type="dxa" w:w="544"/>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3</w:t>
            </w:r>
          </w:p>
        </w:tc>
        <w:tc>
          <w:tcPr>
            <w:tcW w:type="dxa" w:w="21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恒温恒湿自动称量系统</w:t>
            </w:r>
          </w:p>
        </w:tc>
        <w:tc>
          <w:tcPr>
            <w:tcW w:type="dxa" w:w="423"/>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1</w:t>
            </w:r>
          </w:p>
        </w:tc>
        <w:tc>
          <w:tcPr>
            <w:tcW w:type="dxa" w:w="800"/>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ind w:firstLine="380"/>
              <w:jc w:val="center"/>
            </w:pPr>
            <w:r>
              <w:rPr>
                <w:rFonts w:ascii="仿宋" w:hAnsi="仿宋" w:cs="仿宋" w:eastAsia="仿宋"/>
                <w:sz w:val="24"/>
                <w:color w:val="000000"/>
                <w:shd w:fill="FFFFFF" w:val="clear"/>
              </w:rPr>
              <w:t>套</w:t>
            </w:r>
          </w:p>
        </w:tc>
        <w:tc>
          <w:tcPr>
            <w:tcW w:type="dxa" w:w="1993"/>
            <w:vMerge/>
            <w:tcBorders>
              <w:top w:val="none" w:color="000000" w:sz="4"/>
              <w:left w:val="single" w:color="000000" w:sz="4"/>
              <w:bottom w:val="single" w:color="000000" w:sz="4"/>
              <w:right w:val="single" w:color="000000" w:sz="4"/>
            </w:tcBorders>
          </w:tcPr>
          <w:p/>
        </w:tc>
        <w:tc>
          <w:tcPr>
            <w:tcW w:type="dxa" w:w="1404"/>
            <w:vMerge/>
            <w:tcBorders>
              <w:top w:val="none" w:color="000000" w:sz="4"/>
              <w:left w:val="single" w:color="000000" w:sz="4"/>
              <w:bottom w:val="single" w:color="000000" w:sz="4"/>
              <w:right w:val="single" w:color="000000" w:sz="4"/>
            </w:tcBorders>
          </w:tcPr>
          <w:p/>
        </w:tc>
      </w:tr>
    </w:tbl>
    <w:p>
      <w:pPr>
        <w:pStyle w:val="null3"/>
        <w:jc w:val="both"/>
      </w:pPr>
      <w:r>
        <w:rPr/>
        <w:t>3、本项目核心产品为：</w:t>
      </w:r>
      <w:r>
        <w:rPr>
          <w:rFonts w:ascii="calibri" w:hAnsi="calibri" w:cs="calibri" w:eastAsia="calibri"/>
          <w:sz w:val="24"/>
          <w:color w:val="000000"/>
          <w:shd w:fill="FFFFFF" w:val="clear"/>
        </w:rPr>
        <w:t>便携式非甲烷总烃检测仪、恒温恒湿自动称量系统</w:t>
      </w:r>
    </w:p>
    <w:p>
      <w:pPr>
        <w:pStyle w:val="null3"/>
        <w:jc w:val="both"/>
        <w:outlineLvl w:val="2"/>
      </w:pPr>
      <w:r>
        <w:rPr>
          <w:sz w:val="28"/>
          <w:b/>
        </w:rPr>
        <w:t>二、技术和服务要求（以“★”标示的内容为不允许负偏离的实质性要求）</w:t>
      </w:r>
    </w:p>
    <w:p>
      <w:pPr>
        <w:pStyle w:val="null3"/>
        <w:ind w:firstLine="480"/>
        <w:jc w:val="both"/>
      </w:pPr>
      <w:r>
        <w:rPr>
          <w:rFonts w:ascii="仿宋_gb2312" w:hAnsi="仿宋_gb2312" w:cs="仿宋_gb2312" w:eastAsia="仿宋_gb2312"/>
          <w:sz w:val="32"/>
        </w:rPr>
        <w:t>（一）系统总体要求</w:t>
      </w:r>
    </w:p>
    <w:p>
      <w:pPr>
        <w:pStyle w:val="null3"/>
        <w:ind w:firstLine="640"/>
        <w:jc w:val="both"/>
      </w:pPr>
      <w:r>
        <w:rPr>
          <w:rFonts w:ascii="仿宋_gb2312" w:hAnsi="仿宋_gb2312" w:cs="仿宋_gb2312" w:eastAsia="仿宋_gb2312"/>
          <w:sz w:val="32"/>
        </w:rPr>
        <w:t>一、系统总体要求</w:t>
      </w:r>
    </w:p>
    <w:p>
      <w:pPr>
        <w:pStyle w:val="null3"/>
        <w:ind w:firstLine="640"/>
        <w:jc w:val="both"/>
      </w:pPr>
      <w:r>
        <w:rPr>
          <w:rFonts w:ascii="仿宋_gb2312" w:hAnsi="仿宋_gb2312" w:cs="仿宋_gb2312" w:eastAsia="仿宋_gb2312"/>
          <w:sz w:val="32"/>
        </w:rPr>
        <w:t>★1.便携式非甲烷总烃检测仪应满足《固定污染源废气　总烃、甲烷和非甲烷总烃的测定　便携式催化氧化-氢火焰离子化检测器法》（HJ 1331-2023）、《环境空气和废气 总烃、甲烷和非甲烷总烃便携式监测仪技术要求及检测方法》（HJ 1012-2018）相关要求。酶底物法水中菌群检测系统应满足《水质 总大肠菌群、粪大肠菌群和大肠埃希氏菌的测定 酶底物法》（HJ 1001-2018）相关要求。恒温恒湿自动称量系统应满足《环境空气PM10和PM2.5的测定重量法》（HJ 618-2011）、《环境空气颗粒物（PM2.5）手工监测方法（重量法）技术规范》（HJ  656-2013）、《固定污染源废气 低浓度颗粒物的测定（重量法）》（HJ  836-2017 ）相关要求。</w:t>
      </w:r>
    </w:p>
    <w:p>
      <w:pPr>
        <w:pStyle w:val="null3"/>
        <w:ind w:firstLine="640"/>
        <w:jc w:val="both"/>
      </w:pPr>
      <w:r>
        <w:rPr>
          <w:rFonts w:ascii="仿宋_gb2312" w:hAnsi="仿宋_gb2312" w:cs="仿宋_gb2312" w:eastAsia="仿宋_gb2312"/>
          <w:sz w:val="32"/>
        </w:rPr>
        <w:t>2.所有的仪器应能构成一个完善的系统并按照技术要求正常运行。需要采购单位自行解决的附属设备、配件应在投标文件中列出。否则，系统正常运行缺少的任何附件及部件，均视为供货方免费及时提供。</w:t>
      </w:r>
    </w:p>
    <w:p>
      <w:pPr>
        <w:pStyle w:val="null3"/>
        <w:ind w:firstLine="640"/>
        <w:jc w:val="both"/>
      </w:pPr>
      <w:r>
        <w:rPr>
          <w:rFonts w:ascii="仿宋_gb2312" w:hAnsi="仿宋_gb2312" w:cs="仿宋_gb2312" w:eastAsia="仿宋_gb2312"/>
          <w:sz w:val="32"/>
        </w:rPr>
        <w:t>二、技术功能要求</w:t>
      </w:r>
    </w:p>
    <w:p>
      <w:pPr>
        <w:pStyle w:val="null3"/>
        <w:ind w:firstLine="640"/>
        <w:jc w:val="both"/>
      </w:pPr>
      <w:r>
        <w:rPr>
          <w:rFonts w:ascii="宋体" w:hAnsi="宋体" w:cs="宋体" w:eastAsia="宋体"/>
          <w:sz w:val="24"/>
          <w:b/>
          <w:color w:val="000000"/>
          <w:shd w:fill="FFFFFF" w:val="clear"/>
        </w:rPr>
        <w:t>◆</w:t>
      </w:r>
      <w:r>
        <w:rPr>
          <w:rFonts w:ascii="仿宋_gb2312" w:hAnsi="仿宋_gb2312" w:cs="仿宋_gb2312" w:eastAsia="仿宋_gb2312"/>
          <w:sz w:val="32"/>
        </w:rPr>
        <w:t>1、便携式非甲烷总烃检测仪</w:t>
      </w:r>
    </w:p>
    <w:p>
      <w:pPr>
        <w:pStyle w:val="null3"/>
        <w:ind w:firstLine="640"/>
        <w:jc w:val="both"/>
      </w:pPr>
      <w:r>
        <w:rPr>
          <w:rFonts w:ascii="仿宋_gb2312" w:hAnsi="仿宋_gb2312" w:cs="仿宋_gb2312" w:eastAsia="仿宋_gb2312"/>
          <w:sz w:val="32"/>
        </w:rPr>
        <w:t>▲1.1.采用催化+双FID检测技术，一路测得总烃值，另一路配合高温催化装置测得甲烷值，可连续实时得出检测结果（需提供仪器内部结构照片，标注双FID检测器位置，照片中需有所投仪器品牌标识）；</w:t>
      </w:r>
    </w:p>
    <w:p>
      <w:pPr>
        <w:pStyle w:val="null3"/>
        <w:ind w:firstLine="640"/>
        <w:jc w:val="both"/>
      </w:pPr>
      <w:r>
        <w:rPr>
          <w:rFonts w:ascii="仿宋_gb2312" w:hAnsi="仿宋_gb2312" w:cs="仿宋_gb2312" w:eastAsia="仿宋_gb2312"/>
          <w:sz w:val="32"/>
        </w:rPr>
        <w:t>1.2.伴热管与主机之间使用快插接口或手拧螺纹接口，不需使用工具辅助安装（提供接口及连接照片，照片中需有所投仪器品牌标识）；</w:t>
      </w:r>
    </w:p>
    <w:p>
      <w:pPr>
        <w:pStyle w:val="null3"/>
        <w:ind w:firstLine="640"/>
        <w:jc w:val="both"/>
      </w:pPr>
      <w:r>
        <w:rPr>
          <w:rFonts w:ascii="仿宋_gb2312" w:hAnsi="仿宋_gb2312" w:cs="仿宋_gb2312" w:eastAsia="仿宋_gb2312"/>
          <w:sz w:val="32"/>
        </w:rPr>
        <w:t>1.3.主机、催化氧化模块、除烃模块、电池、储氢瓶为一体式设计（电池、储氢瓶非外挂式），可无工具进行储氢瓶的快速安装与拆卸，可实现单人携带仪器移动监测（提供主机、储氢瓶等各部件的照片、整机一体照片及储氢瓶快速接口照片）；</w:t>
      </w:r>
    </w:p>
    <w:p>
      <w:pPr>
        <w:pStyle w:val="null3"/>
        <w:ind w:firstLine="640"/>
        <w:jc w:val="both"/>
      </w:pPr>
      <w:r>
        <w:rPr>
          <w:rFonts w:ascii="仿宋_gb2312" w:hAnsi="仿宋_gb2312" w:cs="仿宋_gb2312" w:eastAsia="仿宋_gb2312"/>
          <w:sz w:val="32"/>
        </w:rPr>
        <w:t xml:space="preserve">    </w:t>
      </w:r>
      <w:r>
        <w:rPr>
          <w:rFonts w:ascii="仿宋_gb2312" w:hAnsi="仿宋_gb2312" w:cs="仿宋_gb2312" w:eastAsia="仿宋_gb2312"/>
          <w:sz w:val="32"/>
        </w:rPr>
        <w:t>1.4.储氢瓶充氢方式可选择选择氢气发生器和高压气瓶两种，单个储氢瓶充满气后连续使用时间≥8h；</w:t>
      </w:r>
    </w:p>
    <w:p>
      <w:pPr>
        <w:pStyle w:val="null3"/>
        <w:ind w:firstLine="640"/>
        <w:jc w:val="both"/>
      </w:pPr>
      <w:r>
        <w:rPr>
          <w:rFonts w:ascii="仿宋_gb2312" w:hAnsi="仿宋_gb2312" w:cs="仿宋_gb2312" w:eastAsia="仿宋_gb2312"/>
          <w:sz w:val="32"/>
        </w:rPr>
        <w:t>1.5.支持电池供电和220V供电两种形式，持续使用时间时间≥4h；</w:t>
      </w:r>
    </w:p>
    <w:p>
      <w:pPr>
        <w:pStyle w:val="null3"/>
        <w:ind w:firstLine="640"/>
        <w:jc w:val="both"/>
      </w:pPr>
      <w:r>
        <w:rPr>
          <w:rFonts w:ascii="仿宋_gb2312" w:hAnsi="仿宋_gb2312" w:cs="仿宋_gb2312" w:eastAsia="仿宋_gb2312"/>
          <w:sz w:val="32"/>
        </w:rPr>
        <w:t>1.6.曲线：可制作并储存多条不同量程的标准曲线，每条曲线至少包含5个浓度点（含零点），制作标准曲线时软件自动完成曲线拟合，并显示线性公式及相关系数（提供仪器标准曲线制作界面、曲线线性公式及相关系数显示界面照片，照片中需有所投仪器品牌标识）；</w:t>
      </w:r>
    </w:p>
    <w:p>
      <w:pPr>
        <w:pStyle w:val="null3"/>
        <w:ind w:firstLine="640"/>
        <w:jc w:val="both"/>
      </w:pPr>
      <w:r>
        <w:rPr>
          <w:rFonts w:ascii="仿宋_gb2312" w:hAnsi="仿宋_gb2312" w:cs="仿宋_gb2312" w:eastAsia="仿宋_gb2312"/>
          <w:sz w:val="32"/>
        </w:rPr>
        <w:t>1.7.现场校准：标准曲线具有标定校正功能，若采样前测试标准气体示值误差超过范围，可通过实测浓度和标气浓度对使用的标准曲线进行校正，校正后显示新的曲线线性公式及相关系数（提供仪器标准曲线标定修正功能界面照片，照片中需有所投仪器品牌标识）；</w:t>
      </w:r>
    </w:p>
    <w:p>
      <w:pPr>
        <w:pStyle w:val="null3"/>
        <w:ind w:firstLine="640"/>
        <w:jc w:val="both"/>
      </w:pPr>
      <w:r>
        <w:rPr>
          <w:rFonts w:ascii="仿宋_gb2312" w:hAnsi="仿宋_gb2312" w:cs="仿宋_gb2312" w:eastAsia="仿宋_gb2312"/>
          <w:sz w:val="32"/>
        </w:rPr>
        <w:t>1.8.可选配一体式工况枪能同步测量计算包括动压、静压、全压、烟气流速、烟气温度、含湿量、折算浓度、含氧量等参数(需提供仪器使用页面照片，照片内容清晰可查)；</w:t>
      </w:r>
    </w:p>
    <w:p>
      <w:pPr>
        <w:pStyle w:val="null3"/>
        <w:ind w:firstLine="640"/>
        <w:jc w:val="both"/>
      </w:pPr>
      <w:r>
        <w:rPr>
          <w:rFonts w:ascii="仿宋_gb2312" w:hAnsi="仿宋_gb2312" w:cs="仿宋_gb2312" w:eastAsia="仿宋_gb2312"/>
          <w:sz w:val="32"/>
        </w:rPr>
        <w:t>1.9.内置高效除烃模块，提供助燃气及零气，无需外接零气；</w:t>
      </w:r>
    </w:p>
    <w:p>
      <w:pPr>
        <w:pStyle w:val="null3"/>
        <w:ind w:firstLine="640"/>
        <w:jc w:val="both"/>
      </w:pPr>
      <w:r>
        <w:rPr>
          <w:rFonts w:ascii="仿宋_gb2312" w:hAnsi="仿宋_gb2312" w:cs="仿宋_gb2312" w:eastAsia="仿宋_gb2312"/>
          <w:sz w:val="32"/>
        </w:rPr>
        <w:t>▲1.10.仪器防护等级≥IP55(需提供证明材料)；</w:t>
      </w:r>
    </w:p>
    <w:p>
      <w:pPr>
        <w:pStyle w:val="null3"/>
        <w:ind w:firstLine="640"/>
        <w:jc w:val="both"/>
      </w:pPr>
      <w:r>
        <w:rPr>
          <w:rFonts w:ascii="仿宋_gb2312" w:hAnsi="仿宋_gb2312" w:cs="仿宋_gb2312" w:eastAsia="仿宋_gb2312"/>
          <w:sz w:val="32"/>
        </w:rPr>
        <w:t>2、酶底物法水中菌群检测系统</w:t>
      </w:r>
    </w:p>
    <w:p>
      <w:pPr>
        <w:pStyle w:val="null3"/>
        <w:ind w:firstLine="640"/>
        <w:jc w:val="both"/>
      </w:pPr>
      <w:r>
        <w:rPr>
          <w:rFonts w:ascii="仿宋_gb2312" w:hAnsi="仿宋_gb2312" w:cs="仿宋_gb2312" w:eastAsia="仿宋_gb2312"/>
          <w:sz w:val="32"/>
        </w:rPr>
        <w:t>2.1.可靠性：主机配合使用的同固定底物技术酶底物培养基必须在试剂包上有标注、有产品合格证、包装上有批号及有效期。</w:t>
      </w:r>
    </w:p>
    <w:p>
      <w:pPr>
        <w:pStyle w:val="null3"/>
        <w:ind w:firstLine="640"/>
        <w:jc w:val="both"/>
      </w:pPr>
      <w:r>
        <w:rPr>
          <w:rFonts w:ascii="仿宋_gb2312" w:hAnsi="仿宋_gb2312" w:cs="仿宋_gb2312" w:eastAsia="仿宋_gb2312"/>
          <w:sz w:val="32"/>
        </w:rPr>
        <w:t>2.2.方便性：无需拆卸机器，方便日常维护和清洗</w:t>
      </w:r>
    </w:p>
    <w:p>
      <w:pPr>
        <w:pStyle w:val="null3"/>
        <w:ind w:firstLine="640"/>
        <w:jc w:val="both"/>
      </w:pPr>
      <w:r>
        <w:rPr>
          <w:rFonts w:ascii="仿宋_gb2312" w:hAnsi="仿宋_gb2312" w:cs="仿宋_gb2312" w:eastAsia="仿宋_gb2312"/>
          <w:sz w:val="32"/>
        </w:rPr>
        <w:t>2.3.快捷性：无需无菌室，18-24小时检测出无需确认的准确结果</w:t>
      </w:r>
    </w:p>
    <w:p>
      <w:pPr>
        <w:pStyle w:val="null3"/>
        <w:ind w:firstLine="640"/>
        <w:jc w:val="both"/>
      </w:pPr>
      <w:r>
        <w:rPr>
          <w:rFonts w:ascii="仿宋_gb2312" w:hAnsi="仿宋_gb2312" w:cs="仿宋_gb2312" w:eastAsia="仿宋_gb2312"/>
          <w:sz w:val="32"/>
        </w:rPr>
        <w:t>2.4.智能化：全自动计数程控功能；</w:t>
      </w:r>
    </w:p>
    <w:p>
      <w:pPr>
        <w:pStyle w:val="null3"/>
        <w:ind w:firstLine="640"/>
        <w:jc w:val="both"/>
      </w:pPr>
      <w:r>
        <w:rPr>
          <w:rFonts w:ascii="宋体" w:hAnsi="宋体" w:cs="宋体" w:eastAsia="宋体"/>
          <w:sz w:val="24"/>
          <w:b/>
          <w:color w:val="000000"/>
          <w:shd w:fill="FFFFFF" w:val="clear"/>
        </w:rPr>
        <w:t>◆</w:t>
      </w:r>
      <w:r>
        <w:rPr>
          <w:rFonts w:ascii="仿宋_gb2312" w:hAnsi="仿宋_gb2312" w:cs="仿宋_gb2312" w:eastAsia="仿宋_gb2312"/>
          <w:sz w:val="32"/>
        </w:rPr>
        <w:t>3、恒温恒湿自动称量系统</w:t>
      </w:r>
    </w:p>
    <w:p>
      <w:pPr>
        <w:pStyle w:val="null3"/>
        <w:ind w:firstLine="640"/>
        <w:jc w:val="both"/>
      </w:pPr>
      <w:r>
        <w:rPr>
          <w:rFonts w:ascii="仿宋_gb2312" w:hAnsi="仿宋_gb2312" w:cs="仿宋_gb2312" w:eastAsia="仿宋_gb2312"/>
          <w:sz w:val="32"/>
        </w:rPr>
        <w:t>▲3.1.恒温恒湿环境下实现47mm滤膜、90mm滤膜、滤筒和超低排放一体化采样头混自动称重；</w:t>
      </w:r>
    </w:p>
    <w:p>
      <w:pPr>
        <w:pStyle w:val="null3"/>
        <w:ind w:firstLine="640"/>
        <w:jc w:val="both"/>
      </w:pPr>
      <w:r>
        <w:rPr>
          <w:rFonts w:ascii="仿宋_gb2312" w:hAnsi="仿宋_gb2312" w:cs="仿宋_gb2312" w:eastAsia="仿宋_gb2312"/>
          <w:sz w:val="32"/>
        </w:rPr>
        <w:t>3.2.恒温恒湿机组、减震系统、测试单元、控制系统一体化设计，恒温恒湿机组置于设备内部，四脚独立支撑，设备集成度高，易于操作；（提供实物细节图片证明，并加盖制造商公章）</w:t>
      </w:r>
    </w:p>
    <w:p>
      <w:pPr>
        <w:pStyle w:val="null3"/>
        <w:ind w:firstLine="640"/>
        <w:jc w:val="both"/>
      </w:pPr>
      <w:r>
        <w:rPr>
          <w:rFonts w:ascii="仿宋_gb2312" w:hAnsi="仿宋_gb2312" w:cs="仿宋_gb2312" w:eastAsia="仿宋_gb2312"/>
          <w:sz w:val="32"/>
        </w:rPr>
        <w:t>3.3.设备配备机械臂，机械臂可以旋转、升降，能快速直接到达任意滤膜放置位置调取滤膜；系统有机械手位移自动纠偏功能；</w:t>
      </w:r>
    </w:p>
    <w:p>
      <w:pPr>
        <w:pStyle w:val="null3"/>
        <w:ind w:firstLine="640"/>
        <w:jc w:val="both"/>
      </w:pPr>
      <w:r>
        <w:rPr>
          <w:rFonts w:ascii="仿宋_gb2312" w:hAnsi="仿宋_gb2312" w:cs="仿宋_gb2312" w:eastAsia="仿宋_gb2312"/>
          <w:sz w:val="32"/>
        </w:rPr>
        <w:t>3.4.系统具有样品编码识别功能，可识别二维码、条形码功能；</w:t>
      </w:r>
    </w:p>
    <w:p>
      <w:pPr>
        <w:pStyle w:val="null3"/>
        <w:ind w:firstLine="640"/>
        <w:jc w:val="both"/>
      </w:pPr>
      <w:r>
        <w:rPr>
          <w:rFonts w:ascii="仿宋_gb2312" w:hAnsi="仿宋_gb2312" w:cs="仿宋_gb2312" w:eastAsia="仿宋_gb2312"/>
          <w:sz w:val="32"/>
        </w:rPr>
        <w:t>3.5.系统配备防震工作台，三级防震；</w:t>
      </w:r>
    </w:p>
    <w:p>
      <w:pPr>
        <w:pStyle w:val="null3"/>
        <w:ind w:firstLine="640"/>
        <w:jc w:val="both"/>
      </w:pPr>
      <w:r>
        <w:rPr>
          <w:rFonts w:ascii="仿宋_gb2312" w:hAnsi="仿宋_gb2312" w:cs="仿宋_gb2312" w:eastAsia="仿宋_gb2312"/>
          <w:sz w:val="32"/>
        </w:rPr>
        <w:t>3.6.系统称量环境控制仓具备静压内循环功能，可充分保证设备的温湿度均匀性；</w:t>
      </w:r>
    </w:p>
    <w:p>
      <w:pPr>
        <w:pStyle w:val="null3"/>
        <w:ind w:firstLine="640"/>
        <w:jc w:val="both"/>
      </w:pPr>
      <w:r>
        <w:rPr>
          <w:rFonts w:ascii="仿宋_gb2312" w:hAnsi="仿宋_gb2312" w:cs="仿宋_gb2312" w:eastAsia="仿宋_gb2312"/>
          <w:sz w:val="32"/>
        </w:rPr>
        <w:t>3.7.恒温恒湿箱体正面配备大玻璃视窗（视窗尺寸大于等于500mm×600mm），便于用户随时查看及使用软件对箱体内部运行情况进行调整。（提供实物细节图片证明，并加盖制造商公章）</w:t>
      </w:r>
    </w:p>
    <w:p>
      <w:pPr>
        <w:pStyle w:val="null3"/>
        <w:ind w:firstLine="640"/>
        <w:jc w:val="both"/>
      </w:pPr>
      <w:r>
        <w:rPr>
          <w:rFonts w:ascii="仿宋_gb2312" w:hAnsi="仿宋_gb2312" w:cs="仿宋_gb2312" w:eastAsia="仿宋_gb2312"/>
          <w:sz w:val="32"/>
        </w:rPr>
        <w:t>3.8.设备需自带空气高效过滤器压力传感器，具备压差过大时更换空气过滤器功能。</w:t>
      </w:r>
    </w:p>
    <w:p>
      <w:pPr>
        <w:pStyle w:val="null3"/>
        <w:ind w:firstLine="640"/>
        <w:jc w:val="both"/>
      </w:pPr>
      <w:r>
        <w:rPr>
          <w:rFonts w:ascii="仿宋_gb2312" w:hAnsi="仿宋_gb2312" w:cs="仿宋_gb2312" w:eastAsia="仿宋_gb2312"/>
          <w:sz w:val="32"/>
        </w:rPr>
        <w:t>3.9.具有温度、湿度、风速、压力等称量环境的实时监控功能；</w:t>
      </w:r>
    </w:p>
    <w:p>
      <w:pPr>
        <w:pStyle w:val="null3"/>
        <w:ind w:firstLine="640"/>
        <w:jc w:val="both"/>
      </w:pPr>
      <w:r>
        <w:rPr>
          <w:rFonts w:ascii="仿宋_gb2312" w:hAnsi="仿宋_gb2312" w:cs="仿宋_gb2312" w:eastAsia="仿宋_gb2312"/>
          <w:sz w:val="32"/>
        </w:rPr>
        <w:t>3.10.能够生成工作仓内的温度均匀性、湿度均匀性和风速的曲线报表；</w:t>
      </w:r>
    </w:p>
    <w:p>
      <w:pPr>
        <w:pStyle w:val="null3"/>
        <w:ind w:firstLine="640"/>
        <w:jc w:val="both"/>
      </w:pPr>
      <w:r>
        <w:rPr>
          <w:rFonts w:ascii="仿宋_gb2312" w:hAnsi="仿宋_gb2312" w:cs="仿宋_gb2312" w:eastAsia="仿宋_gb2312"/>
          <w:sz w:val="32"/>
        </w:rPr>
        <w:t>3.11.天平内部自动校验功能；</w:t>
      </w:r>
    </w:p>
    <w:p>
      <w:pPr>
        <w:pStyle w:val="null3"/>
        <w:ind w:firstLine="640"/>
        <w:jc w:val="both"/>
      </w:pPr>
      <w:r>
        <w:rPr>
          <w:rFonts w:ascii="仿宋_gb2312" w:hAnsi="仿宋_gb2312" w:cs="仿宋_gb2312" w:eastAsia="仿宋_gb2312"/>
          <w:sz w:val="32"/>
        </w:rPr>
        <w:t>3.12.数据导出格式为预留xls，系统能自动记录称重开始时间、称重结束时间、环境参数、异常存储并报警等。</w:t>
      </w:r>
    </w:p>
    <w:p>
      <w:pPr>
        <w:pStyle w:val="null3"/>
        <w:ind w:firstLine="640"/>
        <w:jc w:val="both"/>
      </w:pPr>
      <w:r>
        <w:rPr>
          <w:rFonts w:ascii="仿宋_gb2312" w:hAnsi="仿宋_gb2312" w:cs="仿宋_gb2312" w:eastAsia="仿宋_gb2312"/>
          <w:sz w:val="32"/>
        </w:rPr>
        <w:t>3.13.设备具有自动加排水功能，当水箱中的水不够时，系统会进行自动报警提示；</w:t>
      </w:r>
    </w:p>
    <w:p>
      <w:pPr>
        <w:pStyle w:val="null3"/>
        <w:ind w:firstLine="640"/>
        <w:jc w:val="both"/>
      </w:pPr>
      <w:r>
        <w:rPr>
          <w:rFonts w:ascii="仿宋_gb2312" w:hAnsi="仿宋_gb2312" w:cs="仿宋_gb2312" w:eastAsia="仿宋_gb2312"/>
          <w:sz w:val="32"/>
        </w:rPr>
        <w:t>▲3.14.设备应配有滚轮，且设备安装完成后的尺寸应可满足整机从实验室门进出（实验室门的尺寸为0.8m（宽）*2.0m（高））；</w:t>
      </w:r>
    </w:p>
    <w:p>
      <w:pPr>
        <w:pStyle w:val="null3"/>
        <w:ind w:firstLine="640"/>
        <w:jc w:val="both"/>
      </w:pPr>
      <w:r>
        <w:rPr>
          <w:rFonts w:ascii="仿宋_gb2312" w:hAnsi="仿宋_gb2312" w:cs="仿宋_gb2312" w:eastAsia="仿宋_gb2312"/>
          <w:sz w:val="32"/>
        </w:rPr>
        <w:t>三、技术参数</w:t>
      </w:r>
    </w:p>
    <w:p>
      <w:pPr>
        <w:pStyle w:val="null3"/>
        <w:ind w:firstLine="640"/>
        <w:jc w:val="both"/>
      </w:pPr>
      <w:r>
        <w:rPr>
          <w:rFonts w:ascii="仿宋_gb2312" w:hAnsi="仿宋_gb2312" w:cs="仿宋_gb2312" w:eastAsia="仿宋_gb2312"/>
          <w:sz w:val="32"/>
        </w:rPr>
        <w:t>1、便携式非甲烷总烃检测仪</w:t>
      </w:r>
    </w:p>
    <w:p>
      <w:pPr>
        <w:pStyle w:val="null3"/>
        <w:ind w:firstLine="640"/>
        <w:jc w:val="both"/>
      </w:pPr>
      <w:r>
        <w:rPr>
          <w:rFonts w:ascii="仿宋_gb2312" w:hAnsi="仿宋_gb2312" w:cs="仿宋_gb2312" w:eastAsia="仿宋_gb2312"/>
          <w:sz w:val="32"/>
        </w:rPr>
        <w:t>1.1量程(0.1~20000)ppm；</w:t>
      </w:r>
    </w:p>
    <w:p>
      <w:pPr>
        <w:pStyle w:val="null3"/>
        <w:ind w:firstLine="640"/>
        <w:jc w:val="both"/>
      </w:pPr>
      <w:r>
        <w:rPr>
          <w:rFonts w:ascii="仿宋_gb2312" w:hAnsi="仿宋_gb2312" w:cs="仿宋_gb2312" w:eastAsia="仿宋_gb2312"/>
          <w:sz w:val="32"/>
        </w:rPr>
        <w:t>1.2.检出限：≤0.4mg/m3（以碳计）；</w:t>
      </w:r>
    </w:p>
    <w:p>
      <w:pPr>
        <w:pStyle w:val="null3"/>
        <w:ind w:firstLine="640"/>
        <w:jc w:val="both"/>
      </w:pPr>
      <w:r>
        <w:rPr>
          <w:rFonts w:ascii="仿宋_gb2312" w:hAnsi="仿宋_gb2312" w:cs="仿宋_gb2312" w:eastAsia="仿宋_gb2312"/>
          <w:sz w:val="32"/>
        </w:rPr>
        <w:t>1.3.定量测量重复性：相对标准偏差≤2.0%（甲烷）；</w:t>
      </w:r>
    </w:p>
    <w:p>
      <w:pPr>
        <w:pStyle w:val="null3"/>
        <w:ind w:firstLine="640"/>
        <w:jc w:val="both"/>
      </w:pPr>
      <w:r>
        <w:rPr>
          <w:rFonts w:ascii="仿宋_gb2312" w:hAnsi="仿宋_gb2312" w:cs="仿宋_gb2312" w:eastAsia="仿宋_gb2312"/>
          <w:sz w:val="32"/>
        </w:rPr>
        <w:t>1.4.线性误差：≤±2.0%F.S.（甲烷）；</w:t>
      </w:r>
    </w:p>
    <w:p>
      <w:pPr>
        <w:pStyle w:val="null3"/>
        <w:ind w:firstLine="640"/>
        <w:jc w:val="both"/>
      </w:pPr>
      <w:r>
        <w:rPr>
          <w:rFonts w:ascii="仿宋_gb2312" w:hAnsi="仿宋_gb2312" w:cs="仿宋_gb2312" w:eastAsia="仿宋_gb2312"/>
          <w:sz w:val="32"/>
        </w:rPr>
        <w:t>1.5.加标回收率：80%~120%；</w:t>
      </w:r>
    </w:p>
    <w:p>
      <w:pPr>
        <w:pStyle w:val="null3"/>
        <w:ind w:firstLine="640"/>
        <w:jc w:val="both"/>
      </w:pPr>
      <w:r>
        <w:rPr>
          <w:rFonts w:ascii="仿宋_gb2312" w:hAnsi="仿宋_gb2312" w:cs="仿宋_gb2312" w:eastAsia="仿宋_gb2312"/>
          <w:sz w:val="32"/>
        </w:rPr>
        <w:t>1.6.分析周期：≤2分钟；</w:t>
      </w:r>
    </w:p>
    <w:p>
      <w:pPr>
        <w:pStyle w:val="null3"/>
        <w:ind w:firstLine="640"/>
        <w:jc w:val="both"/>
      </w:pPr>
      <w:r>
        <w:rPr>
          <w:rFonts w:ascii="仿宋_gb2312" w:hAnsi="仿宋_gb2312" w:cs="仿宋_gb2312" w:eastAsia="仿宋_gb2312"/>
          <w:sz w:val="32"/>
        </w:rPr>
        <w:t>1.7.催化氧化装置转化效率≥95%；</w:t>
      </w:r>
    </w:p>
    <w:p>
      <w:pPr>
        <w:pStyle w:val="null3"/>
        <w:ind w:firstLine="640"/>
        <w:jc w:val="both"/>
      </w:pPr>
      <w:r>
        <w:rPr>
          <w:rFonts w:ascii="仿宋_gb2312" w:hAnsi="仿宋_gb2312" w:cs="仿宋_gb2312" w:eastAsia="仿宋_gb2312"/>
          <w:sz w:val="32"/>
        </w:rPr>
        <w:t>1.8.预热时间（从开机到能正常测量）：≤20min；</w:t>
      </w:r>
    </w:p>
    <w:p>
      <w:pPr>
        <w:pStyle w:val="null3"/>
        <w:ind w:firstLine="640"/>
        <w:jc w:val="both"/>
      </w:pPr>
      <w:r>
        <w:rPr>
          <w:rFonts w:ascii="仿宋_gb2312" w:hAnsi="仿宋_gb2312" w:cs="仿宋_gb2312" w:eastAsia="仿宋_gb2312"/>
          <w:sz w:val="32"/>
        </w:rPr>
        <w:t>▲1.9.主机重量：≤10kg（含电池）；</w:t>
      </w:r>
    </w:p>
    <w:p>
      <w:pPr>
        <w:pStyle w:val="null3"/>
        <w:ind w:firstLine="640"/>
        <w:jc w:val="both"/>
      </w:pPr>
      <w:r>
        <w:rPr>
          <w:rFonts w:ascii="仿宋_gb2312" w:hAnsi="仿宋_gb2312" w:cs="仿宋_gb2312" w:eastAsia="仿宋_gb2312"/>
          <w:sz w:val="32"/>
        </w:rPr>
        <w:t>2、酶底物法水中菌群检测系统</w:t>
      </w:r>
    </w:p>
    <w:p>
      <w:pPr>
        <w:pStyle w:val="null3"/>
        <w:ind w:firstLine="640"/>
        <w:jc w:val="both"/>
      </w:pPr>
      <w:r>
        <w:rPr>
          <w:rFonts w:ascii="仿宋_gb2312" w:hAnsi="仿宋_gb2312" w:cs="仿宋_gb2312" w:eastAsia="仿宋_gb2312"/>
          <w:sz w:val="32"/>
        </w:rPr>
        <w:t>2.1.重量≤16公斤；</w:t>
      </w:r>
    </w:p>
    <w:p>
      <w:pPr>
        <w:pStyle w:val="null3"/>
        <w:ind w:firstLine="640"/>
        <w:jc w:val="both"/>
      </w:pPr>
      <w:r>
        <w:rPr>
          <w:rFonts w:ascii="仿宋_gb2312" w:hAnsi="仿宋_gb2312" w:cs="仿宋_gb2312" w:eastAsia="仿宋_gb2312"/>
          <w:sz w:val="32"/>
        </w:rPr>
        <w:t>2.2.处理速度：≤12秒/样品；</w:t>
      </w:r>
    </w:p>
    <w:p>
      <w:pPr>
        <w:pStyle w:val="null3"/>
        <w:ind w:firstLine="640"/>
        <w:jc w:val="both"/>
      </w:pPr>
      <w:r>
        <w:rPr>
          <w:rFonts w:ascii="仿宋_gb2312" w:hAnsi="仿宋_gb2312" w:cs="仿宋_gb2312" w:eastAsia="仿宋_gb2312"/>
          <w:sz w:val="32"/>
        </w:rPr>
        <w:t>2.3.预热时间≤14分钟；</w:t>
      </w:r>
    </w:p>
    <w:p>
      <w:pPr>
        <w:pStyle w:val="null3"/>
        <w:ind w:firstLine="640"/>
        <w:jc w:val="both"/>
      </w:pPr>
      <w:r>
        <w:rPr>
          <w:rFonts w:ascii="仿宋_gb2312" w:hAnsi="仿宋_gb2312" w:cs="仿宋_gb2312" w:eastAsia="仿宋_gb2312"/>
          <w:sz w:val="32"/>
        </w:rPr>
        <w:t>2.4.外罩温度&lt;40°C；</w:t>
      </w:r>
    </w:p>
    <w:p>
      <w:pPr>
        <w:pStyle w:val="null3"/>
        <w:ind w:firstLine="640"/>
        <w:jc w:val="both"/>
      </w:pPr>
      <w:r>
        <w:rPr>
          <w:rFonts w:ascii="仿宋_gb2312" w:hAnsi="仿宋_gb2312" w:cs="仿宋_gb2312" w:eastAsia="仿宋_gb2312"/>
          <w:sz w:val="32"/>
        </w:rPr>
        <w:t>2.5.工作环境温度：-10°C～50°C；</w:t>
      </w:r>
    </w:p>
    <w:p>
      <w:pPr>
        <w:pStyle w:val="null3"/>
        <w:ind w:firstLine="640"/>
        <w:jc w:val="both"/>
      </w:pPr>
      <w:r>
        <w:rPr>
          <w:rFonts w:ascii="仿宋_gb2312" w:hAnsi="仿宋_gb2312" w:cs="仿宋_gb2312" w:eastAsia="仿宋_gb2312"/>
          <w:sz w:val="32"/>
        </w:rPr>
        <w:t>2.6.噪音：≤50dba；</w:t>
      </w:r>
    </w:p>
    <w:p>
      <w:pPr>
        <w:pStyle w:val="null3"/>
        <w:ind w:firstLine="640"/>
        <w:jc w:val="both"/>
      </w:pPr>
      <w:r>
        <w:rPr>
          <w:rFonts w:ascii="仿宋_gb2312" w:hAnsi="仿宋_gb2312" w:cs="仿宋_gb2312" w:eastAsia="仿宋_gb2312"/>
          <w:sz w:val="32"/>
        </w:rPr>
        <w:t>▲2.7.所有试剂耗材，必须提供厂家可查询的质量合格证书及出厂报告原件，并附阳性参照物；</w:t>
      </w:r>
    </w:p>
    <w:p>
      <w:pPr>
        <w:pStyle w:val="null3"/>
        <w:ind w:firstLine="640"/>
        <w:jc w:val="both"/>
      </w:pPr>
      <w:r>
        <w:rPr>
          <w:rFonts w:ascii="仿宋_gb2312" w:hAnsi="仿宋_gb2312" w:cs="仿宋_gb2312" w:eastAsia="仿宋_gb2312"/>
          <w:sz w:val="32"/>
        </w:rPr>
        <w:t>3、恒温恒湿自动称量系统</w:t>
      </w:r>
    </w:p>
    <w:p>
      <w:pPr>
        <w:pStyle w:val="null3"/>
        <w:ind w:firstLine="640"/>
        <w:jc w:val="both"/>
      </w:pPr>
      <w:r>
        <w:rPr>
          <w:rFonts w:ascii="仿宋_gb2312" w:hAnsi="仿宋_gb2312" w:cs="仿宋_gb2312" w:eastAsia="仿宋_gb2312"/>
          <w:sz w:val="32"/>
        </w:rPr>
        <w:t>3.1.称量范围：0-52g</w:t>
      </w:r>
    </w:p>
    <w:p>
      <w:pPr>
        <w:pStyle w:val="null3"/>
        <w:ind w:firstLine="640"/>
        <w:jc w:val="both"/>
      </w:pPr>
      <w:r>
        <w:rPr>
          <w:rFonts w:ascii="仿宋_gb2312" w:hAnsi="仿宋_gb2312" w:cs="仿宋_gb2312" w:eastAsia="仿宋_gb2312"/>
          <w:sz w:val="32"/>
        </w:rPr>
        <w:t>3.2.天平分辨率：0.01mg</w:t>
      </w:r>
    </w:p>
    <w:p>
      <w:pPr>
        <w:pStyle w:val="null3"/>
        <w:ind w:firstLine="640"/>
        <w:jc w:val="both"/>
      </w:pPr>
      <w:r>
        <w:rPr>
          <w:rFonts w:ascii="仿宋_gb2312" w:hAnsi="仿宋_gb2312" w:cs="仿宋_gb2312" w:eastAsia="仿宋_gb2312"/>
          <w:sz w:val="32"/>
        </w:rPr>
        <w:t>3.3.重复性：≤±0.03mg</w:t>
      </w:r>
    </w:p>
    <w:p>
      <w:pPr>
        <w:pStyle w:val="null3"/>
        <w:ind w:firstLine="640"/>
        <w:jc w:val="both"/>
      </w:pPr>
      <w:r>
        <w:rPr>
          <w:rFonts w:ascii="仿宋_gb2312" w:hAnsi="仿宋_gb2312" w:cs="仿宋_gb2312" w:eastAsia="仿宋_gb2312"/>
          <w:sz w:val="32"/>
        </w:rPr>
        <w:t>3.4.温度控制范围：+15℃～+30℃；</w:t>
      </w:r>
    </w:p>
    <w:p>
      <w:pPr>
        <w:pStyle w:val="null3"/>
        <w:ind w:firstLine="640"/>
        <w:jc w:val="both"/>
      </w:pPr>
      <w:r>
        <w:rPr>
          <w:rFonts w:ascii="仿宋_gb2312" w:hAnsi="仿宋_gb2312" w:cs="仿宋_gb2312" w:eastAsia="仿宋_gb2312"/>
          <w:sz w:val="32"/>
        </w:rPr>
        <w:t>3.5.温度控制精度：≤±0.5℃；</w:t>
      </w:r>
    </w:p>
    <w:p>
      <w:pPr>
        <w:pStyle w:val="null3"/>
        <w:ind w:firstLine="640"/>
        <w:jc w:val="both"/>
      </w:pPr>
      <w:r>
        <w:rPr>
          <w:rFonts w:ascii="仿宋_gb2312" w:hAnsi="仿宋_gb2312" w:cs="仿宋_gb2312" w:eastAsia="仿宋_gb2312"/>
          <w:sz w:val="32"/>
        </w:rPr>
        <w:t>3.6.湿度控制范围: + 40％RH～+60％RH；</w:t>
      </w:r>
    </w:p>
    <w:p>
      <w:pPr>
        <w:pStyle w:val="null3"/>
        <w:ind w:firstLine="640"/>
        <w:jc w:val="both"/>
      </w:pPr>
      <w:r>
        <w:rPr>
          <w:rFonts w:ascii="仿宋_gb2312" w:hAnsi="仿宋_gb2312" w:cs="仿宋_gb2312" w:eastAsia="仿宋_gb2312"/>
          <w:sz w:val="32"/>
        </w:rPr>
        <w:t>3.7.湿度控制精度：≤±5%RH；</w:t>
      </w:r>
    </w:p>
    <w:p>
      <w:pPr>
        <w:pStyle w:val="null3"/>
        <w:ind w:firstLine="640"/>
        <w:jc w:val="both"/>
      </w:pPr>
      <w:r>
        <w:rPr>
          <w:rFonts w:ascii="仿宋_gb2312" w:hAnsi="仿宋_gb2312" w:cs="仿宋_gb2312" w:eastAsia="仿宋_gb2312"/>
          <w:sz w:val="32"/>
        </w:rPr>
        <w:t>3.8.仓内风速控制：≤0.2米/秒；</w:t>
      </w:r>
    </w:p>
    <w:p>
      <w:pPr>
        <w:pStyle w:val="null3"/>
        <w:ind w:firstLine="640"/>
        <w:jc w:val="both"/>
      </w:pPr>
      <w:r>
        <w:rPr>
          <w:rFonts w:ascii="仿宋_gb2312" w:hAnsi="仿宋_gb2312" w:cs="仿宋_gb2312" w:eastAsia="仿宋_gb2312"/>
          <w:sz w:val="32"/>
        </w:rPr>
        <w:t>3.9.静电消除时间：＜20秒；</w:t>
      </w:r>
    </w:p>
    <w:p>
      <w:pPr>
        <w:pStyle w:val="null3"/>
        <w:ind w:firstLine="640"/>
        <w:jc w:val="both"/>
      </w:pPr>
      <w:r>
        <w:rPr>
          <w:rFonts w:ascii="仿宋_gb2312" w:hAnsi="仿宋_gb2312" w:cs="仿宋_gb2312" w:eastAsia="仿宋_gb2312"/>
          <w:sz w:val="32"/>
        </w:rPr>
        <w:t>▲3.10.样品处理能力： 47mm工位单批次处理40张及以上圆形滤膜；90mm工位单批次处理20张以及上圆形滤膜；滤筒单批次处理40个及以上；低浓度采样头单批次处理40个及以上。</w:t>
      </w:r>
    </w:p>
    <w:p>
      <w:pPr>
        <w:pStyle w:val="null3"/>
        <w:ind w:firstLine="640"/>
        <w:jc w:val="both"/>
      </w:pPr>
      <w:r>
        <w:rPr>
          <w:rFonts w:ascii="仿宋_gb2312" w:hAnsi="仿宋_gb2312" w:cs="仿宋_gb2312" w:eastAsia="仿宋_gb2312"/>
          <w:sz w:val="32"/>
        </w:rPr>
        <w:t>★四、配置要求</w:t>
      </w:r>
    </w:p>
    <w:p>
      <w:pPr>
        <w:pStyle w:val="null3"/>
        <w:ind w:firstLine="640"/>
        <w:jc w:val="both"/>
      </w:pPr>
      <w:r>
        <w:rPr>
          <w:rFonts w:ascii="仿宋_gb2312" w:hAnsi="仿宋_gb2312" w:cs="仿宋_gb2312" w:eastAsia="仿宋_gb2312"/>
          <w:sz w:val="32"/>
        </w:rPr>
        <w:t>1、便携式非甲烷总烃检测仪</w:t>
      </w:r>
    </w:p>
    <w:p>
      <w:pPr>
        <w:pStyle w:val="null3"/>
        <w:ind w:firstLine="640"/>
        <w:jc w:val="both"/>
      </w:pPr>
      <w:r>
        <w:rPr>
          <w:rFonts w:ascii="仿宋_gb2312" w:hAnsi="仿宋_gb2312" w:cs="仿宋_gb2312" w:eastAsia="仿宋_gb2312"/>
          <w:sz w:val="32"/>
        </w:rPr>
        <w:t>便携式总烃检测仪主机</w:t>
      </w:r>
      <w:r>
        <w:rPr>
          <w:rFonts w:ascii="仿宋_gb2312" w:hAnsi="仿宋_gb2312" w:cs="仿宋_gb2312" w:eastAsia="仿宋_gb2312"/>
          <w:sz w:val="32"/>
        </w:rPr>
        <w:t>1台，采样管线套装1套，电源适配器1套、氢气发生装置1套，便携式蓝牙打印机1台、2个以上储氢瓶，氢气充气组件 1套，仪器计量证书1份；</w:t>
      </w:r>
    </w:p>
    <w:p>
      <w:pPr>
        <w:pStyle w:val="null3"/>
        <w:ind w:firstLine="640"/>
        <w:jc w:val="both"/>
      </w:pPr>
      <w:r>
        <w:rPr>
          <w:rFonts w:ascii="仿宋_gb2312" w:hAnsi="仿宋_gb2312" w:cs="仿宋_gb2312" w:eastAsia="仿宋_gb2312"/>
          <w:sz w:val="32"/>
        </w:rPr>
        <w:t>2、酶底物法水中菌群检测系统</w:t>
      </w:r>
    </w:p>
    <w:p>
      <w:pPr>
        <w:pStyle w:val="null3"/>
        <w:ind w:firstLine="640"/>
        <w:jc w:val="both"/>
      </w:pPr>
      <w:r>
        <w:rPr>
          <w:rFonts w:ascii="仿宋_gb2312" w:hAnsi="仿宋_gb2312" w:cs="仿宋_gb2312" w:eastAsia="仿宋_gb2312"/>
          <w:sz w:val="32"/>
        </w:rPr>
        <w:t>智能程控定量封口机</w:t>
      </w:r>
      <w:r>
        <w:rPr>
          <w:rFonts w:ascii="仿宋_gb2312" w:hAnsi="仿宋_gb2312" w:cs="仿宋_gb2312" w:eastAsia="仿宋_gb2312"/>
          <w:sz w:val="32"/>
        </w:rPr>
        <w:t>1台（含中文操作视频或说明书），配智能程控定量封口机配水质大肠菌群定量质控标样1套，阳性标准比色盘1个，菌落总数试剂5个，粪大肠菌检测试剂（200T/盒）1盒，无菌取样瓶 含硫代硫酸钠（200T/箱）1箱，97孔定量盘（100T/箱）2箱，仪器计量证书1份；</w:t>
      </w:r>
    </w:p>
    <w:p>
      <w:pPr>
        <w:pStyle w:val="null3"/>
        <w:ind w:firstLine="640"/>
        <w:jc w:val="both"/>
      </w:pPr>
      <w:r>
        <w:rPr>
          <w:rFonts w:ascii="仿宋_gb2312" w:hAnsi="仿宋_gb2312" w:cs="仿宋_gb2312" w:eastAsia="仿宋_gb2312"/>
          <w:sz w:val="32"/>
        </w:rPr>
        <w:t>3、恒温恒湿自动称量系统</w:t>
      </w:r>
    </w:p>
    <w:p>
      <w:pPr>
        <w:pStyle w:val="null3"/>
        <w:ind w:firstLine="640"/>
        <w:jc w:val="both"/>
      </w:pPr>
      <w:r>
        <w:rPr>
          <w:rFonts w:ascii="仿宋_gb2312" w:hAnsi="仿宋_gb2312" w:cs="仿宋_gb2312" w:eastAsia="仿宋_gb2312"/>
          <w:sz w:val="32"/>
        </w:rPr>
        <w:t>十万分之一天平</w:t>
      </w:r>
      <w:r>
        <w:rPr>
          <w:rFonts w:ascii="仿宋_gb2312" w:hAnsi="仿宋_gb2312" w:cs="仿宋_gb2312" w:eastAsia="仿宋_gb2312"/>
          <w:sz w:val="32"/>
        </w:rPr>
        <w:t>1套；封闭式恒温恒湿机仓1台；静电消除器1套；样品存储架1套；样品读码装置1套；机械臂1套；软硬件控制系统1套；温湿度传感器1套；台式电脑1套或显示器悬挂的控制PC 1套；多功能称重塔1套，天平及恒温恒湿系统计量证书各1份。</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福建省福州市罗源县东外路环保大楼</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合同签订后 (30) 天内交货，同时衔接站房建设进度安排仪器进场。</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全部货物按期到达指定接收地点，交货、安装、调试并验收合格并确保能正常使用后交付。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1、期次1，说明：所有货物按厂家产品验收标准（符合国家或行业或地方标准）、投标文件等有关部分内容进行验收。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1、货物到货、安装调试且中标人向采购人开具相应金额的正式增值税发票后，达到付款条件起15日内，支付合同总金额的30.00%</w:t>
            </w:r>
          </w:p>
          <w:p>
            <w:pPr>
              <w:pStyle w:val="null3"/>
              <w:jc w:val="both"/>
            </w:pPr>
            <w:r>
              <w:rPr/>
              <w:t>2、初验收合格且中标人向采购人开具相应金额的正式增值税发票后，达到付款条件起30日内，支付合同总金额的60.00%</w:t>
            </w:r>
          </w:p>
          <w:p>
            <w:pPr>
              <w:pStyle w:val="null3"/>
              <w:jc w:val="both"/>
            </w:pPr>
            <w:r>
              <w:rPr/>
              <w:t>3、在终验收后，采购人按技术服务有关条款进行考核，支付扣除相应违约金后剩余的合同款，中标人向采购人开具相应金额的正式增值税发票后，达到付款条件起30日内，支付合同总金额的10.00%</w:t>
            </w:r>
          </w:p>
        </w:tc>
      </w:tr>
    </w:tbl>
    <w:p>
      <w:pPr>
        <w:pStyle w:val="null3"/>
        <w:jc w:val="left"/>
      </w:pPr>
      <w:r>
        <w:rPr/>
        <w:t>其他商务要求</w:t>
      </w:r>
    </w:p>
    <w:p>
      <w:pPr>
        <w:pStyle w:val="null3"/>
        <w:ind w:firstLine="480"/>
        <w:jc w:val="left"/>
      </w:pPr>
      <w:r>
        <w:rPr>
          <w:rFonts w:ascii="仿宋_gb2312" w:hAnsi="仿宋_gb2312" w:cs="仿宋_gb2312" w:eastAsia="仿宋_gb2312"/>
          <w:sz w:val="32"/>
        </w:rPr>
        <w:t>7、验收要求</w:t>
      </w:r>
    </w:p>
    <w:p>
      <w:pPr>
        <w:pStyle w:val="null3"/>
        <w:ind w:firstLine="640"/>
        <w:jc w:val="both"/>
      </w:pPr>
      <w:r>
        <w:rPr>
          <w:rFonts w:ascii="仿宋_gb2312" w:hAnsi="仿宋_gb2312" w:cs="仿宋_gb2312" w:eastAsia="仿宋_gb2312"/>
          <w:sz w:val="32"/>
        </w:rPr>
        <w:t>7.1 验收标准</w:t>
      </w:r>
    </w:p>
    <w:p>
      <w:pPr>
        <w:pStyle w:val="null3"/>
        <w:ind w:firstLine="640"/>
        <w:jc w:val="both"/>
      </w:pPr>
      <w:r>
        <w:rPr>
          <w:rFonts w:ascii="仿宋_gb2312" w:hAnsi="仿宋_gb2312" w:cs="仿宋_gb2312" w:eastAsia="仿宋_gb2312"/>
          <w:sz w:val="32"/>
        </w:rPr>
        <w:t>验收标准应按照相应国家标准验收，其他产品若无国家标准按行业标准及招标文件、采购合同等有验收，投标产品应整机无污染、无侵权行为、表面无划损、无任何缺陷隐患，在中国境内可依常规安全合法使用。中标方对验收不合格的货物负有更换、退货的义务，由此产生的责任及费用由中标方承担。</w:t>
      </w:r>
    </w:p>
    <w:p>
      <w:pPr>
        <w:pStyle w:val="null3"/>
        <w:ind w:firstLine="640"/>
        <w:jc w:val="both"/>
      </w:pPr>
      <w:r>
        <w:rPr>
          <w:rFonts w:ascii="仿宋_gb2312" w:hAnsi="仿宋_gb2312" w:cs="仿宋_gb2312" w:eastAsia="仿宋_gb2312"/>
          <w:sz w:val="32"/>
        </w:rPr>
        <w:t>8.验收程序</w:t>
      </w:r>
    </w:p>
    <w:p>
      <w:pPr>
        <w:pStyle w:val="null3"/>
        <w:ind w:firstLine="640"/>
        <w:jc w:val="both"/>
      </w:pPr>
      <w:r>
        <w:rPr>
          <w:rFonts w:ascii="仿宋_gb2312" w:hAnsi="仿宋_gb2312" w:cs="仿宋_gb2312" w:eastAsia="仿宋_gb2312"/>
          <w:sz w:val="32"/>
        </w:rPr>
        <w:t>8.1出厂检验：中标方在设备出厂前，应按设备制造标准和技术规范规定的检验项目和检验方法进行全面检验，检验结果必须符合国家有关标准、规范要求。如属于计量器具的，须经过计量部门计量检定或校准，合格后才能投入使用，检定或校准费用由中标方承担。</w:t>
      </w:r>
    </w:p>
    <w:p>
      <w:pPr>
        <w:pStyle w:val="null3"/>
        <w:ind w:firstLine="640"/>
        <w:jc w:val="both"/>
      </w:pPr>
      <w:r>
        <w:rPr>
          <w:rFonts w:ascii="仿宋_gb2312" w:hAnsi="仿宋_gb2312" w:cs="仿宋_gb2312" w:eastAsia="仿宋_gb2312"/>
          <w:sz w:val="32"/>
        </w:rPr>
        <w:t>8.2到货验收：投标方所提供的设备必须是制造厂家生产的崭新的、未开箱的、原包装仪器设备。由中标方和采购人、服务对象（属地生态环境局）共同对设备的数量、质量、外包装逐项检验，随同货物检验供货证明、产地证书、出厂检验报告、质量合格证书、原装拼配设备的证明资料和文件以及生产厂家供货确认函、设备清单等。</w:t>
      </w:r>
    </w:p>
    <w:p>
      <w:pPr>
        <w:pStyle w:val="null3"/>
        <w:ind w:firstLine="640"/>
        <w:jc w:val="both"/>
      </w:pPr>
      <w:r>
        <w:rPr>
          <w:rFonts w:ascii="仿宋_gb2312" w:hAnsi="仿宋_gb2312" w:cs="仿宋_gb2312" w:eastAsia="仿宋_gb2312"/>
          <w:sz w:val="32"/>
        </w:rPr>
        <w:t>8.3安装调试、试运行测试：中标方负责组织专业技术人员进行货物安装、调试，并对设备的整体性能和功能进行试运行测试，测试结果必须符合招标文件要求及合同中的相关条款。试运行期间，出现的任何问题，应由中标方及时处理修正。中标方应向采购人提供详细真实的测试记录，记录至少包括：合同确定的技术性能指标、仪器设备通电试验结果、单机测试结果和现场记录、联机调试结果和现场记录、系统仪器设备故障情况和故障次数统计等。</w:t>
      </w:r>
    </w:p>
    <w:p>
      <w:pPr>
        <w:pStyle w:val="null3"/>
        <w:ind w:firstLine="640"/>
        <w:jc w:val="both"/>
      </w:pPr>
      <w:r>
        <w:rPr>
          <w:rFonts w:ascii="仿宋_gb2312" w:hAnsi="仿宋_gb2312" w:cs="仿宋_gb2312" w:eastAsia="仿宋_gb2312"/>
          <w:sz w:val="32"/>
        </w:rPr>
        <w:t xml:space="preserve"> </w:t>
      </w:r>
      <w:r>
        <w:rPr>
          <w:rFonts w:ascii="仿宋_gb2312" w:hAnsi="仿宋_gb2312" w:cs="仿宋_gb2312" w:eastAsia="仿宋_gb2312"/>
          <w:sz w:val="32"/>
        </w:rPr>
        <w:t>8.4交付验收：</w:t>
      </w:r>
    </w:p>
    <w:p>
      <w:pPr>
        <w:pStyle w:val="null3"/>
        <w:ind w:firstLine="640"/>
        <w:jc w:val="both"/>
      </w:pPr>
      <w:r>
        <w:rPr>
          <w:rFonts w:ascii="仿宋_gb2312" w:hAnsi="仿宋_gb2312" w:cs="仿宋_gb2312" w:eastAsia="仿宋_gb2312"/>
          <w:sz w:val="32"/>
        </w:rPr>
        <w:t xml:space="preserve"> </w:t>
      </w:r>
      <w:r>
        <w:rPr>
          <w:rFonts w:ascii="仿宋_gb2312" w:hAnsi="仿宋_gb2312" w:cs="仿宋_gb2312" w:eastAsia="仿宋_gb2312"/>
          <w:sz w:val="32"/>
        </w:rPr>
        <w:t>8.4.1试运行测试结束后，由中标方提出验收申请，采购人收到验收申请后组织验收。参加对象采购人、专家、服务对象（罗源生态环境局）、中标方，必要时可委托国内有资质的单位或邀请专业人员参与验收。</w:t>
      </w:r>
    </w:p>
    <w:p>
      <w:pPr>
        <w:pStyle w:val="null3"/>
        <w:ind w:firstLine="640"/>
        <w:jc w:val="both"/>
      </w:pPr>
      <w:r>
        <w:rPr>
          <w:rFonts w:ascii="仿宋_gb2312" w:hAnsi="仿宋_gb2312" w:cs="仿宋_gb2312" w:eastAsia="仿宋_gb2312"/>
          <w:sz w:val="32"/>
        </w:rPr>
        <w:t>8.4.2中标方须保证所提供硬件产品包括相关附件为相应硬件厂家原装正品，本项目采购的仪器设备，如在本项目范围内使用过程中出现版权或使用权纠纷，应由中标方负责，采购人不承担责任。</w:t>
      </w:r>
    </w:p>
    <w:p>
      <w:pPr>
        <w:pStyle w:val="null3"/>
        <w:ind w:firstLine="640"/>
        <w:jc w:val="both"/>
      </w:pPr>
      <w:r>
        <w:rPr>
          <w:rFonts w:ascii="仿宋_gb2312" w:hAnsi="仿宋_gb2312" w:cs="仿宋_gb2312" w:eastAsia="仿宋_gb2312"/>
          <w:sz w:val="32"/>
        </w:rPr>
        <w:t>8.4.3交付验收前，中标方应向招标方提供完整的技术资料，包括产品技术说明书、操作手册、原理图、接线图、维修手册、出厂明细表（装箱单）、安装手册、产品技术标准（含验收标准）和试验方法、出厂检验报告和合格证书、装自检报告、合格证、计量检定证书、保修卡、配件清单、验收单、随机工具等，其中重要资料必须有中文说明。</w:t>
      </w:r>
    </w:p>
    <w:p>
      <w:pPr>
        <w:pStyle w:val="null3"/>
        <w:ind w:firstLine="640"/>
        <w:jc w:val="both"/>
      </w:pPr>
      <w:r>
        <w:rPr>
          <w:rFonts w:ascii="仿宋_gb2312" w:hAnsi="仿宋_gb2312" w:cs="仿宋_gb2312" w:eastAsia="仿宋_gb2312"/>
          <w:sz w:val="32"/>
        </w:rPr>
        <w:t>9、质保要求</w:t>
      </w:r>
    </w:p>
    <w:p>
      <w:pPr>
        <w:pStyle w:val="null3"/>
        <w:ind w:firstLine="640"/>
        <w:jc w:val="both"/>
      </w:pPr>
      <w:r>
        <w:rPr>
          <w:rFonts w:ascii="仿宋_gb2312" w:hAnsi="仿宋_gb2312" w:cs="仿宋_gb2312" w:eastAsia="仿宋_gb2312"/>
          <w:sz w:val="32"/>
        </w:rPr>
        <w:t>9.1质保服务期限从正式验收合格交付使用之日算起的1年（厂家或国家有更长保修期限规定的从其规定）。在质保期内，中标方须提供免费质保服务，质保服务范围应包括监测仪器设备、辅助设备设施的日常维护、故障维修等。</w:t>
      </w:r>
    </w:p>
    <w:p>
      <w:pPr>
        <w:pStyle w:val="null3"/>
        <w:ind w:firstLine="640"/>
        <w:jc w:val="both"/>
      </w:pPr>
      <w:r>
        <w:rPr>
          <w:rFonts w:ascii="仿宋_gb2312" w:hAnsi="仿宋_gb2312" w:cs="仿宋_gb2312" w:eastAsia="仿宋_gb2312"/>
          <w:sz w:val="32"/>
        </w:rPr>
        <w:t>9.2中标方必需在质保期内对设备产生的问题妥善解决，非因操作不当造成要更换的零配件由中标方负责包修包换，该部件必须是原厂的产品。</w:t>
      </w:r>
    </w:p>
    <w:p>
      <w:pPr>
        <w:pStyle w:val="null3"/>
        <w:ind w:firstLine="640"/>
        <w:jc w:val="both"/>
      </w:pPr>
      <w:r>
        <w:rPr>
          <w:rFonts w:ascii="仿宋_gb2312" w:hAnsi="仿宋_gb2312" w:cs="仿宋_gb2312" w:eastAsia="仿宋_gb2312"/>
          <w:sz w:val="32"/>
        </w:rPr>
        <w:t>9.3中标方在接到采购方维修通知后，须在48小时内作出响应，并派专业技术人员进行维修工作，如不能维修，应在5个工作日内提供同品牌同型号的备机。</w:t>
      </w:r>
    </w:p>
    <w:p>
      <w:pPr>
        <w:pStyle w:val="null3"/>
        <w:ind w:firstLine="640"/>
        <w:jc w:val="both"/>
      </w:pPr>
      <w:r>
        <w:rPr>
          <w:rFonts w:ascii="仿宋_gb2312" w:hAnsi="仿宋_gb2312" w:cs="仿宋_gb2312" w:eastAsia="仿宋_gb2312"/>
          <w:sz w:val="32"/>
        </w:rPr>
        <w:t>10、其他要求</w:t>
      </w:r>
    </w:p>
    <w:p>
      <w:pPr>
        <w:pStyle w:val="null3"/>
        <w:ind w:firstLine="640"/>
        <w:jc w:val="both"/>
      </w:pPr>
      <w:r>
        <w:rPr>
          <w:rFonts w:ascii="仿宋_gb2312" w:hAnsi="仿宋_gb2312" w:cs="仿宋_gb2312" w:eastAsia="仿宋_gb2312"/>
          <w:sz w:val="32"/>
        </w:rPr>
        <w:t>10.1培训服务。</w:t>
      </w:r>
    </w:p>
    <w:p>
      <w:pPr>
        <w:pStyle w:val="null3"/>
        <w:ind w:firstLine="640"/>
        <w:jc w:val="both"/>
      </w:pPr>
      <w:r>
        <w:rPr>
          <w:rFonts w:ascii="仿宋_gb2312" w:hAnsi="仿宋_gb2312" w:cs="仿宋_gb2312" w:eastAsia="仿宋_gb2312"/>
          <w:sz w:val="32"/>
        </w:rPr>
        <w:t>中标方应提供全面、详细、合理的培训方案（含中文培训教材）。应安排有经验的教员，使采购人的相关负责人在培训后能够独立地对设备进行操作、管理和维护。</w:t>
      </w:r>
    </w:p>
    <w:p>
      <w:pPr>
        <w:pStyle w:val="null3"/>
        <w:ind w:firstLine="640"/>
        <w:jc w:val="both"/>
      </w:pPr>
      <w:r>
        <w:rPr>
          <w:rFonts w:ascii="仿宋_gb2312" w:hAnsi="仿宋_gb2312" w:cs="仿宋_gb2312" w:eastAsia="仿宋_gb2312"/>
          <w:sz w:val="32"/>
        </w:rPr>
        <w:t>10.2仪器软件终身免费升级服务。升级服务包括主要版本的故障排除、版本维护、故障修复、补丁和主要版本升级等技术支持。</w:t>
      </w:r>
    </w:p>
    <w:p>
      <w:pPr>
        <w:pStyle w:val="null3"/>
        <w:ind w:firstLine="640"/>
        <w:jc w:val="both"/>
      </w:pPr>
      <w:r>
        <w:rPr>
          <w:rFonts w:ascii="仿宋_gb2312" w:hAnsi="仿宋_gb2312" w:cs="仿宋_gb2312" w:eastAsia="仿宋_gb2312"/>
          <w:sz w:val="32"/>
        </w:rPr>
        <w:t>10.3.除招标文件另有规定外，若出现有关法律、法规和规章有强制性规定但招标文件未列明的情形，则投标人应按照有关法律、法规和规章强制性规定执行。</w:t>
      </w:r>
    </w:p>
    <w:p>
      <w:pPr>
        <w:pStyle w:val="null3"/>
        <w:ind w:firstLine="640"/>
        <w:jc w:val="both"/>
      </w:pPr>
      <w:r>
        <w:rPr>
          <w:rFonts w:ascii="仿宋_gb2312" w:hAnsi="仿宋_gb2312" w:cs="仿宋_gb2312" w:eastAsia="仿宋_gb2312"/>
          <w:sz w:val="32"/>
        </w:rPr>
        <w:t>11、违约责任</w:t>
      </w:r>
    </w:p>
    <w:p>
      <w:pPr>
        <w:pStyle w:val="null3"/>
        <w:ind w:firstLine="640"/>
        <w:jc w:val="both"/>
      </w:pPr>
      <w:r>
        <w:rPr>
          <w:rFonts w:ascii="仿宋_gb2312" w:hAnsi="仿宋_gb2312" w:cs="仿宋_gb2312" w:eastAsia="仿宋_gb2312"/>
          <w:sz w:val="32"/>
        </w:rPr>
        <w:t>11.1.如中标方提交的设备与招标要求及投标响应不符，如货物在质保期内被证明存在缺陷，包括潜在的缺陷或使用不合适的材料，将视为虚假应标，采购人有权立即终止采购合同，凭有关证明文件向中标方提出索赔，并列入政府采购黑名单。</w:t>
      </w:r>
    </w:p>
    <w:p>
      <w:pPr>
        <w:pStyle w:val="null3"/>
        <w:ind w:firstLine="640"/>
        <w:jc w:val="both"/>
      </w:pPr>
      <w:r>
        <w:rPr>
          <w:rFonts w:ascii="仿宋_gb2312" w:hAnsi="仿宋_gb2312" w:cs="仿宋_gb2312" w:eastAsia="仿宋_gb2312"/>
          <w:sz w:val="32"/>
        </w:rPr>
        <w:t>11.2.如果中标方未能按合同规定的时间按时足额交货的（不可抗力除外），采购人有权选择同意延长交货期还是不予延长交货期。采购人同意延长交货期的，延期交货的时间由双方另行确定；采购人不同意延长交货期的，支付采购人有权从未付的合同货款中扣除延期交货违约金。延期交货违约金按每延期1 天扣支付金额的0.5%计算，扣完为止。若中标方逾期交货达30天及以上的，采购人有权单方解除本合同，中标方仍应按上述约定支付延期交货违约金。</w:t>
      </w:r>
    </w:p>
    <w:p>
      <w:pPr>
        <w:pStyle w:val="null3"/>
        <w:ind w:firstLine="640"/>
        <w:jc w:val="both"/>
      </w:pPr>
      <w:r>
        <w:rPr>
          <w:rFonts w:ascii="仿宋_gb2312" w:hAnsi="仿宋_gb2312" w:cs="仿宋_gb2312" w:eastAsia="仿宋_gb2312"/>
          <w:sz w:val="32"/>
        </w:rPr>
        <w:t>11.3.验收检测未通过，中标方应立即整改，整改1个月后仍无法通过验收，中标方应更换仪器设备，验收合格交付使用。因验收未通过导致无法达到上级任务时限要求的，采购人有权从未付的合同货款中扣除延期验收违约金。延期验收违约金按每延期1天扣支付金额的0.5%计算，扣完为止。验收期间产生费用由中标方承担。</w:t>
      </w:r>
    </w:p>
    <w:p>
      <w:pPr>
        <w:pStyle w:val="null3"/>
        <w:ind w:firstLine="640"/>
        <w:jc w:val="both"/>
      </w:pPr>
      <w:r>
        <w:rPr>
          <w:rFonts w:ascii="仿宋_gb2312" w:hAnsi="仿宋_gb2312" w:cs="仿宋_gb2312" w:eastAsia="仿宋_gb2312"/>
          <w:sz w:val="32"/>
        </w:rPr>
        <w:t>11.4.质保期满时，应对设备仪器开展性能测试评估，性能指标测试结果应达到合同要求，未达到的，应由中标方负责整改维修，直至相关性能指标测试结果符合要求并交接运维方，期间中标方承担产生的所有费用。</w:t>
      </w:r>
    </w:p>
    <w:p>
      <w:pPr>
        <w:pStyle w:val="null3"/>
        <w:ind w:firstLine="640"/>
        <w:jc w:val="both"/>
      </w:pPr>
      <w:r>
        <w:rPr>
          <w:rFonts w:ascii="仿宋_gb2312" w:hAnsi="仿宋_gb2312" w:cs="仿宋_gb2312" w:eastAsia="仿宋_gb2312"/>
          <w:sz w:val="32"/>
        </w:rPr>
        <w:t>11.5.质保期内，仪器非人为原因发生的质量故障，维修产生的费用由中标方承担。</w:t>
      </w:r>
    </w:p>
    <w:p>
      <w:pPr>
        <w:pStyle w:val="null3"/>
        <w:ind w:firstLine="640"/>
        <w:jc w:val="both"/>
      </w:pPr>
      <w:r>
        <w:rPr>
          <w:rFonts w:ascii="仿宋_gb2312" w:hAnsi="仿宋_gb2312" w:cs="仿宋_gb2312" w:eastAsia="仿宋_gb2312"/>
          <w:sz w:val="32"/>
        </w:rPr>
        <w:t>12、知识产权</w:t>
      </w:r>
    </w:p>
    <w:p>
      <w:pPr>
        <w:pStyle w:val="null3"/>
        <w:ind w:firstLine="640"/>
        <w:jc w:val="both"/>
      </w:pPr>
      <w:r>
        <w:rPr>
          <w:rFonts w:ascii="仿宋_gb2312" w:hAnsi="仿宋_gb2312" w:cs="仿宋_gb2312" w:eastAsia="仿宋_gb2312"/>
          <w:sz w:val="32"/>
        </w:rPr>
        <w:t>12.1投标方提供的采购标的应符合国家知识产权法律、法规的规定且非假冒伪劣品；投标方还应保证采购方不受到第三方关于侵犯知识产权及专利权、商标权或工业设计权等知识产权方面的指控，若任何第三方提出此方面指控均与采购方无关，投标方应与第三方交涉，并承担可能发生的一切法律责任、费用和后果；若采购方因此而遭致损失，则投标方应赔偿该损失。</w:t>
      </w:r>
    </w:p>
    <w:p>
      <w:pPr>
        <w:pStyle w:val="null3"/>
        <w:ind w:firstLine="640"/>
        <w:jc w:val="both"/>
      </w:pPr>
      <w:r>
        <w:rPr>
          <w:rFonts w:ascii="仿宋_gb2312" w:hAnsi="仿宋_gb2312" w:cs="仿宋_gb2312" w:eastAsia="仿宋_gb2312"/>
          <w:sz w:val="32"/>
        </w:rPr>
        <w:t>12.2若投标方提供的采购标的不符合国家知识产权法律、法规的规定或被有关主管机关认定为假冒伪劣品，则投标方中标资格将被取消；采购方还将按照有关法律、法规和规章的规定进行处理。</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