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版本号：N511601202600006220260521001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特种专业技术用车采购(二次)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N5116012026000062</w:t>
      </w:r>
    </w:p>
    <w:p>
      <w:pPr>
        <w:pStyle w:val="null3"/>
        <w:jc w:val="left"/>
        <w:outlineLvl w:val="2"/>
      </w:pPr>
      <w:r>
        <w:rPr>
          <w:rFonts w:ascii="仿宋_GB2312" w:hAnsi="仿宋_GB2312" w:cs="仿宋_GB2312" w:eastAsia="仿宋_GB2312"/>
          <w:sz w:val="28"/>
          <w:b/>
        </w:rPr>
        <w:t>广安市公安局</w:t>
      </w:r>
    </w:p>
    <w:p>
      <w:pPr>
        <w:pStyle w:val="null3"/>
        <w:jc w:val="center"/>
        <w:outlineLvl w:val="2"/>
      </w:pPr>
      <w:r>
        <w:rPr>
          <w:rFonts w:ascii="仿宋_GB2312" w:hAnsi="仿宋_GB2312" w:cs="仿宋_GB2312" w:eastAsia="仿宋_GB2312"/>
          <w:sz w:val="28"/>
          <w:b/>
        </w:rPr>
        <w:t>广安发展咨询服务有限公司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广安发展咨询服务有限公司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广安市公安局</w:t>
      </w:r>
      <w:r>
        <w:rPr>
          <w:rFonts w:ascii="仿宋_GB2312" w:hAnsi="仿宋_GB2312" w:cs="仿宋_GB2312" w:eastAsia="仿宋_GB2312"/>
        </w:rPr>
        <w:t xml:space="preserve"> 委托，拟对 </w:t>
      </w:r>
      <w:r>
        <w:rPr>
          <w:rFonts w:ascii="仿宋_GB2312" w:hAnsi="仿宋_GB2312" w:cs="仿宋_GB2312" w:eastAsia="仿宋_GB2312"/>
        </w:rPr>
        <w:t>特种专业技术用车采购(二次)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N5116012026000062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特种专业技术用车采购(二次)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广安市公安局拟采购特种专业技术用车</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广安市公安局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广安市广安区朝阳大道一段83号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15928275553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广安发展咨询服务有限公司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四川省广安市广安区金安大道二段54-66号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19567890206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采购代理服务费以中标（成交）金额为基数，按照原《国家计委关于印发〈招标代理服务费收费标准管理暂行办法〉的通知》（计价格〔2002〕1980号）和《国家发展改革委办公厅关于招标代理服务费有关问题的通知》（发改办价格〔2003〕857号）收费标准下浮30%核算，四舍五入取整数金额，不足3000元按3000元收取。收款单位：广安发展咨询服务有限公司，开户银行：成都农商银行广安分行，银行账号：1000090010898803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广安市公安局</w:t>
      </w:r>
      <w:r>
        <w:rPr>
          <w:rFonts w:ascii="仿宋_GB2312" w:hAnsi="仿宋_GB2312" w:cs="仿宋_GB2312" w:eastAsia="仿宋_GB2312"/>
        </w:rPr>
        <w:t xml:space="preserve"> 和 </w:t>
      </w:r>
      <w:r>
        <w:rPr>
          <w:rFonts w:ascii="仿宋_GB2312" w:hAnsi="仿宋_GB2312" w:cs="仿宋_GB2312" w:eastAsia="仿宋_GB2312"/>
        </w:rPr>
        <w:t>广安发展咨询服务有限公司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广安市公安局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广安发展咨询服务有限公司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完成现场交付</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按照投标文件、响应文件及合同约定完成相关事宜，达到交付标准的，提请采购人验收，采购人按照相关标准及约定进行验收，其他未尽事宜按照《广安市政府采购项目履约验收工作规程》（广市财采〔2021〕275号）等政府采购相关法律法规的要求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按照投标文件、响应文件及合同约定完成相关事宜，达到交付标准的，提请采购人验收，采购人按照相关标准及约定进行验收，其他未尽事宜按照《广安市政府采购项目履约验收工作规程》（广市财采〔2021〕275号）等政府采购相关法律法规的要求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按照投标文件、响应文件及合同约定完成相关事宜，达到交付标准的，提请采购人验收，采购人按照相关标准及约定进行验收，其他未尽事宜按照《广安市政府采购项目履约验收工作规程》（广市财采〔2021〕275号）等政府采购相关法律法规的要求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按照投标文件、响应文件及合同约定完成相关事宜，达到交付标准的，提请采购人验收，采购人按照相关标准及约定进行验收，其他未尽事宜按照《广安市政府采购项目履约验收工作规程》（广市财采〔2021〕275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人按照投标文件、响应文件及合同约定完成相关事宜，达到交付标准的，提请采购人验收，采购人按照相关标准及约定进行验收，其他未尽事宜按照《广安市政府采购项目履约验收工作规程》（广市财采〔2021〕275号）等政府采购相关法律法规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广安市公安局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广安发展咨询服务有限公司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广安发展咨询服务有限公司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王老师</w:t>
      </w:r>
    </w:p>
    <w:p>
      <w:pPr>
        <w:pStyle w:val="null3"/>
        <w:jc w:val="left"/>
      </w:pPr>
      <w:r>
        <w:rPr>
          <w:rFonts w:ascii="仿宋_GB2312" w:hAnsi="仿宋_GB2312" w:cs="仿宋_GB2312" w:eastAsia="仿宋_GB2312"/>
        </w:rPr>
        <w:t>联系电话：15928275553</w:t>
      </w:r>
    </w:p>
    <w:p>
      <w:pPr>
        <w:pStyle w:val="null3"/>
        <w:jc w:val="left"/>
      </w:pPr>
      <w:r>
        <w:rPr>
          <w:rFonts w:ascii="仿宋_GB2312" w:hAnsi="仿宋_GB2312" w:cs="仿宋_GB2312" w:eastAsia="仿宋_GB2312"/>
        </w:rPr>
        <w:t>地址：广安市广安区朝阳大道一段83号</w:t>
      </w:r>
    </w:p>
    <w:p>
      <w:pPr>
        <w:pStyle w:val="null3"/>
        <w:jc w:val="left"/>
      </w:pPr>
      <w:r>
        <w:rPr>
          <w:rFonts w:ascii="仿宋_GB2312" w:hAnsi="仿宋_GB2312" w:cs="仿宋_GB2312" w:eastAsia="仿宋_GB2312"/>
        </w:rPr>
        <w:t>邮编：638000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联系电话：19567890206</w:t>
      </w:r>
    </w:p>
    <w:p>
      <w:pPr>
        <w:pStyle w:val="null3"/>
        <w:jc w:val="left"/>
      </w:pPr>
      <w:r>
        <w:rPr>
          <w:rFonts w:ascii="仿宋_GB2312" w:hAnsi="仿宋_GB2312" w:cs="仿宋_GB2312" w:eastAsia="仿宋_GB2312"/>
        </w:rPr>
        <w:t>地址：四川省广安市广安区金安大道二段54-66号</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A02030699 其他专用车辆</w:t>
            </w:r>
          </w:p>
        </w:tc>
        <w:tc>
          <w:tcPr>
            <w:tcW w:type="dxa" w:w="821"/>
          </w:tcPr>
          <w:p>
            <w:pPr>
              <w:pStyle w:val="null3"/>
              <w:jc w:val="left"/>
            </w:pPr>
            <w:r>
              <w:rPr>
                <w:rFonts w:ascii="仿宋_GB2312" w:hAnsi="仿宋_GB2312" w:cs="仿宋_GB2312" w:eastAsia="仿宋_GB2312"/>
              </w:rPr>
              <w:t>特种专业技术用车采购</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特种专业技术用车采购</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本次项目价款为含税价。</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A02030699 其他专用车辆</w:t>
            </w:r>
          </w:p>
        </w:tc>
        <w:tc>
          <w:tcPr>
            <w:tcW w:type="dxa" w:w="2492"/>
          </w:tcPr>
          <w:p>
            <w:pPr>
              <w:pStyle w:val="null3"/>
              <w:jc w:val="left"/>
            </w:pPr>
            <w:r>
              <w:rPr>
                <w:rFonts w:ascii="仿宋_GB2312" w:hAnsi="仿宋_GB2312" w:cs="仿宋_GB2312" w:eastAsia="仿宋_GB2312"/>
              </w:rPr>
              <w:t>特种专业技术用车采购</w:t>
            </w:r>
          </w:p>
        </w:tc>
        <w:tc>
          <w:tcPr>
            <w:tcW w:type="dxa" w:w="2492"/>
          </w:tcPr>
          <w:p>
            <w:pPr>
              <w:pStyle w:val="null3"/>
              <w:jc w:val="left"/>
            </w:pPr>
            <w:r>
              <w:rPr>
                <w:rFonts w:ascii="仿宋_GB2312" w:hAnsi="仿宋_GB2312" w:cs="仿宋_GB2312" w:eastAsia="仿宋_GB2312"/>
              </w:rPr>
              <w:t>特种专业技术用车采购</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A02030699 其他专用车辆</w:t>
            </w:r>
          </w:p>
        </w:tc>
        <w:tc>
          <w:tcPr>
            <w:tcW w:type="dxa" w:w="2492"/>
          </w:tcPr>
          <w:p>
            <w:pPr>
              <w:pStyle w:val="null3"/>
              <w:jc w:val="left"/>
            </w:pPr>
            <w:r>
              <w:rPr>
                <w:rFonts w:ascii="仿宋_GB2312" w:hAnsi="仿宋_GB2312" w:cs="仿宋_GB2312" w:eastAsia="仿宋_GB2312"/>
              </w:rPr>
              <w:t>特种专业技术用车采购</w:t>
            </w:r>
          </w:p>
        </w:tc>
        <w:tc>
          <w:tcPr>
            <w:tcW w:type="dxa" w:w="2492"/>
          </w:tcPr>
          <w:p>
            <w:pPr>
              <w:pStyle w:val="null3"/>
              <w:jc w:val="left"/>
            </w:pPr>
            <w:r>
              <w:rPr>
                <w:rFonts w:ascii="仿宋_GB2312" w:hAnsi="仿宋_GB2312" w:cs="仿宋_GB2312" w:eastAsia="仿宋_GB2312"/>
              </w:rPr>
              <w:t>特种专业技术用车采购</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标的名称：特种专业技术用车采购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812"/>
              <w:gridCol w:w="2358"/>
              <w:gridCol w:w="2426"/>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序号</w:t>
                  </w:r>
                </w:p>
              </w:tc>
              <w:tc>
                <w:tcPr>
                  <w:tcW w:type="dxa" w:w="2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项目类型</w:t>
                  </w:r>
                </w:p>
              </w:tc>
              <w:tc>
                <w:tcPr>
                  <w:tcW w:type="dxa" w:w="2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技术要求</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WLTC</w:t>
                  </w:r>
                  <w:r>
                    <w:rPr>
                      <w:rFonts w:ascii="仿宋_GB2312" w:hAnsi="仿宋_GB2312" w:cs="仿宋_GB2312" w:eastAsia="仿宋_GB2312"/>
                      <w:sz w:val="21"/>
                    </w:rPr>
                    <w:t>纯电续航里程</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170 km</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5250*1960*1820mm</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轴距</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3110 mm</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发动机排量（</w:t>
                  </w:r>
                  <w:r>
                    <w:rPr>
                      <w:rFonts w:ascii="仿宋_GB2312" w:hAnsi="仿宋_GB2312" w:cs="仿宋_GB2312" w:eastAsia="仿宋_GB2312"/>
                      <w:sz w:val="21"/>
                    </w:rPr>
                    <w:t>ml</w:t>
                  </w:r>
                  <w:r>
                    <w:rPr>
                      <w:rFonts w:ascii="仿宋_GB2312" w:hAnsi="仿宋_GB2312" w:cs="仿宋_GB2312" w:eastAsia="仿宋_GB2312"/>
                      <w:sz w:val="21"/>
                    </w:rPr>
                    <w:t>）</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1498-1799</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5</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发动机最大马力</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156Ps</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6</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发动机最大的扭矩</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220 N</w:t>
                  </w:r>
                  <w:r>
                    <w:rPr>
                      <w:rFonts w:ascii="仿宋_GB2312" w:hAnsi="仿宋_GB2312" w:cs="仿宋_GB2312" w:eastAsia="仿宋_GB2312"/>
                      <w:sz w:val="21"/>
                    </w:rPr>
                    <w:t>·</w:t>
                  </w:r>
                  <w:r>
                    <w:rPr>
                      <w:rFonts w:ascii="仿宋_GB2312" w:hAnsi="仿宋_GB2312" w:cs="仿宋_GB2312" w:eastAsia="仿宋_GB2312"/>
                      <w:sz w:val="21"/>
                    </w:rPr>
                    <w:t>m</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7</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驱动方式</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前置四驱</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8</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激光雷达</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9</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L2</w:t>
                  </w:r>
                  <w:r>
                    <w:rPr>
                      <w:rFonts w:ascii="仿宋_GB2312" w:hAnsi="仿宋_GB2312" w:cs="仿宋_GB2312" w:eastAsia="仿宋_GB2312"/>
                      <w:sz w:val="21"/>
                    </w:rPr>
                    <w:t>级辅助驾驶</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10</w:t>
                  </w:r>
                </w:p>
              </w:tc>
              <w:tc>
                <w:tcPr>
                  <w:tcW w:type="dxa" w:w="23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能源类型</w:t>
                  </w:r>
                </w:p>
              </w:tc>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插电式混合动</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11</w:t>
                  </w:r>
                </w:p>
              </w:tc>
              <w:tc>
                <w:tcPr>
                  <w:tcW w:type="dxa" w:w="2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电动机总扭矩</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420N</w:t>
                  </w:r>
                  <w:r>
                    <w:rPr>
                      <w:rFonts w:ascii="仿宋_GB2312" w:hAnsi="仿宋_GB2312" w:cs="仿宋_GB2312" w:eastAsia="仿宋_GB2312"/>
                      <w:sz w:val="21"/>
                    </w:rPr>
                    <w:t>·</w:t>
                  </w:r>
                  <w:r>
                    <w:rPr>
                      <w:rFonts w:ascii="仿宋_GB2312" w:hAnsi="仿宋_GB2312" w:cs="仿宋_GB2312" w:eastAsia="仿宋_GB2312"/>
                      <w:sz w:val="21"/>
                    </w:rPr>
                    <w:t>m</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12</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百公里耗电量（</w:t>
                  </w:r>
                  <w:r>
                    <w:rPr>
                      <w:rFonts w:ascii="仿宋_GB2312" w:hAnsi="仿宋_GB2312" w:cs="仿宋_GB2312" w:eastAsia="仿宋_GB2312"/>
                      <w:sz w:val="21"/>
                    </w:rPr>
                    <w:t>kwh/100km)</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23</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13</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电池能量（</w:t>
                  </w:r>
                  <w:r>
                    <w:rPr>
                      <w:rFonts w:ascii="仿宋_GB2312" w:hAnsi="仿宋_GB2312" w:cs="仿宋_GB2312" w:eastAsia="仿宋_GB2312"/>
                      <w:sz w:val="21"/>
                    </w:rPr>
                    <w:t>kWh)</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60</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14</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膝部气囊</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15</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悬架软硬调节</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16</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电动机总功率</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240KW</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17</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电动吸合门</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18</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疲劳驾驶提示、低速行车警告、后方碰撞预警</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19</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电池类型</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磷酸铁锂电池</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20</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车内摄像头数量</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21</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防侧翻系统</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电动记忆后备箱</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前方感知摄像头数量</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≥双目</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遥控记忆泊车</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25</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副驾娱乐屏尺寸</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15.6</w:t>
                  </w:r>
                  <w:r>
                    <w:rPr>
                      <w:rFonts w:ascii="仿宋_GB2312" w:hAnsi="仿宋_GB2312" w:cs="仿宋_GB2312" w:eastAsia="仿宋_GB2312"/>
                      <w:sz w:val="21"/>
                    </w:rPr>
                    <w:t>英寸</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分段式可开启电动天窗</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中控屏尺寸</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15.6</w:t>
                  </w:r>
                  <w:r>
                    <w:rPr>
                      <w:rFonts w:ascii="仿宋_GB2312" w:hAnsi="仿宋_GB2312" w:cs="仿宋_GB2312" w:eastAsia="仿宋_GB2312"/>
                      <w:sz w:val="21"/>
                    </w:rPr>
                    <w:t>英寸</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主动降噪功能</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29</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第三排座椅加热通风功能</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30</w:t>
                  </w:r>
                </w:p>
              </w:tc>
              <w:tc>
                <w:tcPr>
                  <w:tcW w:type="dxa" w:w="2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车内</w:t>
                  </w:r>
                  <w:r>
                    <w:rPr>
                      <w:rFonts w:ascii="仿宋_GB2312" w:hAnsi="仿宋_GB2312" w:cs="仿宋_GB2312" w:eastAsia="仿宋_GB2312"/>
                      <w:sz w:val="21"/>
                    </w:rPr>
                    <w:t>PM2.5</w:t>
                  </w:r>
                  <w:r>
                    <w:rPr>
                      <w:rFonts w:ascii="仿宋_GB2312" w:hAnsi="仿宋_GB2312" w:cs="仿宋_GB2312" w:eastAsia="仿宋_GB2312"/>
                      <w:sz w:val="21"/>
                    </w:rPr>
                    <w:t>过滤装置</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有</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的</w:t>
            </w:r>
            <w:r>
              <w:rPr>
                <w:rFonts w:ascii="仿宋_GB2312" w:hAnsi="仿宋_GB2312" w:cs="仿宋_GB2312" w:eastAsia="仿宋_GB2312"/>
                <w:sz w:val="21"/>
              </w:rPr>
              <w:t>为实质性要求，</w:t>
            </w:r>
            <w:r>
              <w:rPr>
                <w:rFonts w:ascii="仿宋_GB2312" w:hAnsi="仿宋_GB2312" w:cs="仿宋_GB2312" w:eastAsia="仿宋_GB2312"/>
                <w:sz w:val="21"/>
              </w:rPr>
              <w:t>需提供证明材料，证明材料指：投标产品的工信部公告参数截图或官方网站参数截图或检测机构出具的检测报告资料或汽车网站参数截图（能佐证的参数加框）</w:t>
            </w:r>
            <w:r>
              <w:rPr>
                <w:rFonts w:ascii="仿宋_GB2312" w:hAnsi="仿宋_GB2312" w:cs="仿宋_GB2312" w:eastAsia="仿宋_GB2312"/>
                <w:sz w:val="21"/>
              </w:rPr>
              <w:t>。实质性要求未响应或未按要求</w:t>
            </w:r>
            <w:r>
              <w:rPr>
                <w:rFonts w:ascii="仿宋_GB2312" w:hAnsi="仿宋_GB2312" w:cs="仿宋_GB2312" w:eastAsia="仿宋_GB2312"/>
                <w:sz w:val="21"/>
              </w:rPr>
              <w:t>提供证明材料</w:t>
            </w:r>
            <w:r>
              <w:rPr>
                <w:rFonts w:ascii="仿宋_GB2312" w:hAnsi="仿宋_GB2312" w:cs="仿宋_GB2312" w:eastAsia="仿宋_GB2312"/>
                <w:sz w:val="21"/>
              </w:rPr>
              <w:t>的</w:t>
            </w:r>
            <w:r>
              <w:rPr>
                <w:rFonts w:ascii="仿宋_GB2312" w:hAnsi="仿宋_GB2312" w:cs="仿宋_GB2312" w:eastAsia="仿宋_GB2312"/>
                <w:sz w:val="21"/>
              </w:rPr>
              <w:t>按废标处理。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30天内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1、签订合同经验收合格后，采购人在收到中标人完整的支付请求手续并提供正式发票后，达到付款条件起10日内，支付合同总金额的100.00%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中标人按照投标文件、响应文件及合同约定完成相关事宜，达到交付标准的，提请采购人验收，采购人按照相关标准及约定进行验收，其他未尽事宜按照《广安市政府采购项目履约验收工作规程》（广市财采〔2021〕275号）等政府采购相关法律法规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厂家整车质保及保养政策:整车质保和电池质保及售后政策按厂家要求执行，但不低于国家相关要求及标准。若因质量问题等出现退换车情况，按国家三包相关政策法规执行，供应商有义务协助采购方进行处理。2、成交供应商须指派专人负责与采购人联系售后服务事宜，免费对管理人员进行使用培训。 3、成交供应商须有能力提供7*24小时车辆救援服务，成交后至签订合同前采购人有权査看相关资质文件，若成交供应商无法提供则视作虚假响应，采购人有权依法追究成交供应商相关责任。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一、采购人与中标人应当根据合同的约定依法履行合同义务。 二、政府采购合同的履行、违约责任和解决争议的方法等适用《中华人民共和国民法典》。 三、双方协商不成的，可向广安市广安区人民法院提起诉讼。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投标人根据评分表提供售后服务方案等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投标文件封面</w:t>
            </w:r>
          </w:p>
        </w:tc>
        <w:tc>
          <w:tcPr>
            <w:tcW w:type="dxa" w:w="3322"/>
          </w:tcPr>
          <w:p>
            <w:pPr>
              <w:pStyle w:val="null3"/>
              <w:jc w:val="left"/>
            </w:pPr>
            <w:r>
              <w:rPr>
                <w:rFonts w:ascii="仿宋_GB2312" w:hAnsi="仿宋_GB2312" w:cs="仿宋_GB2312" w:eastAsia="仿宋_GB2312"/>
              </w:rPr>
              <w:t>投标文件封面盖章</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投标人对实质性要求响应</w:t>
            </w:r>
          </w:p>
        </w:tc>
        <w:tc>
          <w:tcPr>
            <w:tcW w:type="dxa" w:w="1661"/>
          </w:tcPr>
          <w:p>
            <w:pPr>
              <w:pStyle w:val="null3"/>
              <w:jc w:val="left"/>
            </w:pPr>
            <w:r>
              <w:rPr>
                <w:rFonts w:ascii="仿宋_GB2312" w:hAnsi="仿宋_GB2312" w:cs="仿宋_GB2312" w:eastAsia="仿宋_GB2312"/>
              </w:rPr>
              <w:t>其他文件、资料或方案.docx,技术、服务及商务要求应答表.docx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在“3.2.技术要求”中：带★的核心技术要求必须完全满足，否则做无效响应；其余为重要技术参数（共20条），每满足一条重要技术参数得2.5分，最多得50分。 注：所有技术要求（含带★的核心技术要求）需提供证明材料，证明材料指：投标产品的工信部公告参数截图或官方网站参数截图或检测机构出具的检测报告资料或汽车网站参数截图（能佐证的参数加框）。带★的核心技术要求未提供证明材料视为未响应，按废标处理；重要技术参数未提供证明材料视为未响应，按扣分处理。</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技术、服务及商务要求应答表.docx</w:t>
            </w:r>
          </w:p>
          <w:p>
            <w:pPr>
              <w:pStyle w:val="null3"/>
              <w:jc w:val="left"/>
            </w:pPr>
            <w:r>
              <w:rPr>
                <w:rFonts w:ascii="仿宋_GB2312" w:hAnsi="仿宋_GB2312" w:cs="仿宋_GB2312" w:eastAsia="仿宋_GB2312"/>
              </w:rPr>
              <w:t>其他文件、资料或方案.docx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根据投标人提供的售后服务方案进行综合评审，方案包括但不限于： 1.提供维保服务方案；2.现场服务支持能力；3.售后服务人员配置、人员资质及稳定性；4.培训措施方案。以上方案齐备，满足项目需求的得20分。每有一项缺项扣5分，每有一项存在错误或瑕疵的扣2.5分。 注：内容存在错误或瑕疵是指：非专门针对本项目或与实际情况不符、不适用；存在与项目无关的文字内容；对采购需求理解错误混乱；内容不完整或缺少关键节点、套用其他项目内容、内容前后矛盾、涉及的规范及标准错误、不利于项目实施、不可能实现的情形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其他文件、资料或方案.docx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其他文件、资料或方案.docx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详见附件：技术、服务及商务要求应答表.docx</w:t>
      </w:r>
    </w:p>
    <w:p>
      <w:pPr>
        <w:pStyle w:val="null3"/>
        <w:ind w:firstLine="960"/>
        <w:jc w:val="left"/>
      </w:pPr>
      <w:r>
        <w:rPr>
          <w:rFonts w:ascii="仿宋_GB2312" w:hAnsi="仿宋_GB2312" w:cs="仿宋_GB2312" w:eastAsia="仿宋_GB2312"/>
        </w:rPr>
        <w:t>详见附件：其他文件、资料或方案.docx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