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1C966B">
      <w:pPr>
        <w:keepNext w:val="0"/>
        <w:keepLines w:val="0"/>
        <w:pageBreakBefore w:val="0"/>
        <w:kinsoku/>
        <w:wordWrap/>
        <w:overflowPunct/>
        <w:topLinePunct w:val="0"/>
        <w:autoSpaceDE/>
        <w:autoSpaceDN/>
        <w:bidi w:val="0"/>
        <w:adjustRightInd w:val="0"/>
        <w:snapToGrid w:val="0"/>
        <w:spacing w:line="380" w:lineRule="exact"/>
        <w:jc w:val="center"/>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采购需求</w:t>
      </w:r>
    </w:p>
    <w:p w14:paraId="1CB4A6C1">
      <w:pPr>
        <w:keepNext w:val="0"/>
        <w:keepLines w:val="0"/>
        <w:pageBreakBefore w:val="0"/>
        <w:widowControl w:val="0"/>
        <w:numPr>
          <w:ilvl w:val="0"/>
          <w:numId w:val="0"/>
        </w:numPr>
        <w:kinsoku/>
        <w:overflowPunct/>
        <w:topLinePunct w:val="0"/>
        <w:bidi w:val="0"/>
        <w:adjustRightInd/>
        <w:snapToGrid/>
        <w:spacing w:line="380" w:lineRule="exact"/>
        <w:jc w:val="both"/>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一、项目概况：</w:t>
      </w:r>
    </w:p>
    <w:p w14:paraId="1098A378">
      <w:pPr>
        <w:keepNext w:val="0"/>
        <w:keepLines w:val="0"/>
        <w:pageBreakBefore w:val="0"/>
        <w:widowControl w:val="0"/>
        <w:numPr>
          <w:ilvl w:val="0"/>
          <w:numId w:val="0"/>
        </w:numPr>
        <w:kinsoku/>
        <w:overflowPunct/>
        <w:topLinePunct w:val="0"/>
        <w:bidi w:val="0"/>
        <w:adjustRightInd/>
        <w:snapToGrid/>
        <w:spacing w:line="380" w:lineRule="exact"/>
        <w:ind w:firstLine="420" w:firstLineChars="0"/>
        <w:jc w:val="both"/>
        <w:rPr>
          <w:rFonts w:hint="eastAsia"/>
          <w:lang w:val="en-US" w:eastAsia="zh-CN"/>
        </w:rPr>
      </w:pPr>
      <w:r>
        <w:rPr>
          <w:rFonts w:hint="eastAsia" w:ascii="仿宋" w:hAnsi="仿宋" w:eastAsia="仿宋" w:cs="仿宋"/>
          <w:b w:val="0"/>
          <w:bCs w:val="0"/>
          <w:sz w:val="24"/>
          <w:szCs w:val="24"/>
          <w:lang w:val="en-US" w:eastAsia="zh-CN"/>
        </w:rPr>
        <w:t>1.1项目名称：湘西自治州人民医院2026年度净化空调技术维保服务项目</w:t>
      </w:r>
    </w:p>
    <w:p w14:paraId="54C89287">
      <w:pPr>
        <w:keepNext w:val="0"/>
        <w:keepLines w:val="0"/>
        <w:pageBreakBefore w:val="0"/>
        <w:widowControl w:val="0"/>
        <w:numPr>
          <w:ilvl w:val="0"/>
          <w:numId w:val="0"/>
        </w:numPr>
        <w:kinsoku/>
        <w:overflowPunct/>
        <w:topLinePunct w:val="0"/>
        <w:bidi w:val="0"/>
        <w:adjustRightInd/>
        <w:snapToGrid/>
        <w:spacing w:line="380" w:lineRule="exact"/>
        <w:ind w:leftChars="0" w:firstLine="420" w:firstLineChars="0"/>
        <w:jc w:val="both"/>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1.2为有效保障净化空调安全运行，湘西自治州人民医院拟对新院区净化空调及其配套设备设施实施维保技术服务，服务包括但不限于净化空调及其相关设备的日常运维、故障处置、应急维修、洁净度检测以及洁净技术解决方案支持和安全整改等工作。</w:t>
      </w:r>
    </w:p>
    <w:p w14:paraId="052933F1">
      <w:pPr>
        <w:keepNext w:val="0"/>
        <w:keepLines w:val="0"/>
        <w:pageBreakBefore w:val="0"/>
        <w:widowControl w:val="0"/>
        <w:numPr>
          <w:ilvl w:val="0"/>
          <w:numId w:val="0"/>
        </w:numPr>
        <w:kinsoku/>
        <w:overflowPunct/>
        <w:topLinePunct w:val="0"/>
        <w:bidi w:val="0"/>
        <w:adjustRightInd/>
        <w:snapToGrid/>
        <w:spacing w:line="380" w:lineRule="exact"/>
        <w:ind w:firstLine="420" w:firstLineChars="0"/>
        <w:jc w:val="both"/>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1.3执行标准:按照《医院空气净化管理规范》WS/T368-2012、《医院洁净手术部建筑技术规范》GB5033及《医院中央空调系统运行管理》WS488-2016等标准要求执行，国家新标准出台以新标准要求为准。 </w:t>
      </w:r>
    </w:p>
    <w:p w14:paraId="061652CA">
      <w:pPr>
        <w:keepNext w:val="0"/>
        <w:keepLines w:val="0"/>
        <w:pageBreakBefore w:val="0"/>
        <w:widowControl w:val="0"/>
        <w:numPr>
          <w:ilvl w:val="0"/>
          <w:numId w:val="0"/>
        </w:numPr>
        <w:kinsoku/>
        <w:overflowPunct/>
        <w:topLinePunct w:val="0"/>
        <w:bidi w:val="0"/>
        <w:adjustRightInd/>
        <w:snapToGrid/>
        <w:spacing w:line="380" w:lineRule="exact"/>
        <w:ind w:firstLine="420" w:firstLineChars="0"/>
        <w:jc w:val="both"/>
        <w:rPr>
          <w:rFonts w:hint="eastAsia" w:ascii="仿宋" w:hAnsi="仿宋" w:eastAsia="仿宋" w:cs="仿宋"/>
          <w:sz w:val="24"/>
          <w:szCs w:val="24"/>
          <w:lang w:val="en-US" w:eastAsia="zh-CN"/>
        </w:rPr>
      </w:pPr>
      <w:r>
        <w:rPr>
          <w:rFonts w:hint="eastAsia" w:ascii="仿宋" w:hAnsi="仿宋" w:eastAsia="仿宋" w:cs="仿宋"/>
          <w:b w:val="0"/>
          <w:bCs w:val="0"/>
          <w:sz w:val="24"/>
          <w:szCs w:val="24"/>
          <w:lang w:val="en-US" w:eastAsia="zh-CN"/>
        </w:rPr>
        <w:t>1.4服务期三年。</w:t>
      </w:r>
    </w:p>
    <w:p w14:paraId="24F31CF2">
      <w:pPr>
        <w:keepNext w:val="0"/>
        <w:keepLines w:val="0"/>
        <w:pageBreakBefore w:val="0"/>
        <w:widowControl w:val="0"/>
        <w:numPr>
          <w:ilvl w:val="0"/>
          <w:numId w:val="0"/>
        </w:numPr>
        <w:kinsoku/>
        <w:overflowPunct/>
        <w:topLinePunct w:val="0"/>
        <w:bidi w:val="0"/>
        <w:adjustRightInd/>
        <w:snapToGrid/>
        <w:spacing w:line="380" w:lineRule="exact"/>
        <w:ind w:leftChars="0"/>
        <w:jc w:val="both"/>
        <w:rPr>
          <w:rFonts w:hint="eastAsia" w:ascii="仿宋" w:hAnsi="仿宋" w:eastAsia="仿宋" w:cs="仿宋"/>
          <w:sz w:val="24"/>
          <w:szCs w:val="24"/>
          <w:lang w:val="en-US" w:eastAsia="zh-CN"/>
        </w:rPr>
      </w:pPr>
    </w:p>
    <w:p w14:paraId="142FB31E">
      <w:pPr>
        <w:numPr>
          <w:ilvl w:val="0"/>
          <w:numId w:val="0"/>
        </w:numPr>
        <w:spacing w:line="360" w:lineRule="auto"/>
        <w:ind w:right="-22" w:rightChars="0"/>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二、维保范围（包括但不限于）：</w:t>
      </w:r>
    </w:p>
    <w:p w14:paraId="0AE087A4">
      <w:pPr>
        <w:numPr>
          <w:ilvl w:val="0"/>
          <w:numId w:val="0"/>
        </w:numPr>
        <w:spacing w:line="360" w:lineRule="auto"/>
        <w:ind w:right="-22" w:rightChars="0"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2.1手术室、供应室、门诊肺功能室、呼吸内镜中心、眼科准分子手术室、病理科、检验科、遗传室PCR等区域</w:t>
      </w:r>
      <w:r>
        <w:rPr>
          <w:rFonts w:hint="eastAsia" w:ascii="仿宋" w:hAnsi="仿宋" w:eastAsia="仿宋" w:cs="仿宋"/>
          <w:color w:val="auto"/>
          <w:kern w:val="2"/>
          <w:sz w:val="24"/>
          <w:szCs w:val="24"/>
          <w:lang w:val="en-US" w:eastAsia="zh-CN" w:bidi="ar-SA"/>
        </w:rPr>
        <w:t>的41台/套组合式净化空调机组和风冷热泵机组</w:t>
      </w:r>
      <w:r>
        <w:rPr>
          <w:rFonts w:hint="eastAsia" w:ascii="仿宋" w:hAnsi="仿宋" w:eastAsia="仿宋" w:cs="仿宋"/>
          <w:color w:val="auto"/>
          <w:sz w:val="24"/>
          <w:szCs w:val="24"/>
          <w:lang w:val="en-US" w:eastAsia="zh-CN"/>
        </w:rPr>
        <w:t>。</w:t>
      </w:r>
    </w:p>
    <w:p w14:paraId="4A2F8783">
      <w:pPr>
        <w:widowControl w:val="0"/>
        <w:spacing w:line="360" w:lineRule="auto"/>
        <w:ind w:firstLine="480" w:firstLineChars="200"/>
        <w:jc w:val="both"/>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2.2 维保服务包含设备主机、配套的水循环系统、新风处理机组、空气循环处理机、相关自动控制系统的巡查巡检、维修维护，以及全部设备设施的卫生清洁等。中标人应保证维保设备安全稳定、无故障运行，并确保各项净化检测指标达到合格标准。</w:t>
      </w:r>
    </w:p>
    <w:p w14:paraId="12FFCDBE">
      <w:pPr>
        <w:numPr>
          <w:ilvl w:val="0"/>
          <w:numId w:val="0"/>
        </w:numPr>
        <w:spacing w:line="360" w:lineRule="auto"/>
        <w:ind w:right="-22" w:rightChars="0" w:firstLine="482" w:firstLineChars="200"/>
        <w:rPr>
          <w:rFonts w:hint="eastAsia" w:ascii="仿宋" w:hAnsi="仿宋" w:eastAsia="仿宋" w:cs="仿宋"/>
          <w:b/>
          <w:bCs/>
          <w:color w:val="auto"/>
          <w:sz w:val="24"/>
          <w:szCs w:val="24"/>
          <w:lang w:val="en-US" w:eastAsia="zh-CN"/>
        </w:rPr>
      </w:pPr>
    </w:p>
    <w:p w14:paraId="75E0E2E5">
      <w:pPr>
        <w:numPr>
          <w:ilvl w:val="0"/>
          <w:numId w:val="0"/>
        </w:numPr>
        <w:spacing w:line="360" w:lineRule="auto"/>
        <w:ind w:right="-22" w:rightChars="0"/>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三、维保时间：</w:t>
      </w:r>
    </w:p>
    <w:p w14:paraId="38DE25E1">
      <w:pPr>
        <w:widowControl/>
        <w:numPr>
          <w:ilvl w:val="0"/>
          <w:numId w:val="0"/>
        </w:numPr>
        <w:adjustRightInd w:val="0"/>
        <w:snapToGrid w:val="0"/>
        <w:spacing w:line="360" w:lineRule="auto"/>
        <w:ind w:firstLine="480" w:firstLineChars="200"/>
        <w:jc w:val="left"/>
        <w:rPr>
          <w:rFonts w:hint="eastAsia" w:ascii="仿宋" w:hAnsi="仿宋" w:eastAsia="仿宋" w:cs="仿宋"/>
          <w:i w:val="0"/>
          <w:iCs w:val="0"/>
          <w:color w:val="auto"/>
          <w:sz w:val="24"/>
          <w:szCs w:val="24"/>
          <w:u w:val="none"/>
          <w:lang w:val="en-US" w:eastAsia="zh-CN"/>
        </w:rPr>
      </w:pPr>
      <w:r>
        <w:rPr>
          <w:rFonts w:hint="eastAsia" w:ascii="仿宋" w:hAnsi="仿宋" w:eastAsia="仿宋" w:cs="仿宋"/>
          <w:i w:val="0"/>
          <w:iCs w:val="0"/>
          <w:color w:val="auto"/>
          <w:sz w:val="24"/>
          <w:szCs w:val="24"/>
          <w:u w:val="none"/>
          <w:lang w:val="en-US" w:eastAsia="zh-CN"/>
        </w:rPr>
        <w:t>3.1三年，合同一年一签；年度合同到期，经采购人考核合格续签下一年度合同，若未通过考核，采购人有权拒绝签订下一年度合同。三年期限内维保价格不作调整，但服务内容</w:t>
      </w:r>
      <w:r>
        <w:rPr>
          <w:rFonts w:hint="eastAsia" w:ascii="仿宋" w:hAnsi="仿宋" w:eastAsia="仿宋" w:cs="仿宋"/>
          <w:i w:val="0"/>
          <w:iCs w:val="0"/>
          <w:color w:val="auto"/>
          <w:sz w:val="24"/>
          <w:szCs w:val="24"/>
          <w:u w:val="none"/>
          <w:lang w:eastAsia="zh-CN"/>
        </w:rPr>
        <w:t>、</w:t>
      </w:r>
      <w:r>
        <w:rPr>
          <w:rFonts w:hint="eastAsia" w:ascii="仿宋" w:hAnsi="仿宋" w:eastAsia="仿宋" w:cs="仿宋"/>
          <w:i w:val="0"/>
          <w:iCs w:val="0"/>
          <w:color w:val="auto"/>
          <w:sz w:val="24"/>
          <w:szCs w:val="24"/>
          <w:u w:val="none"/>
          <w:lang w:val="en-US" w:eastAsia="zh-CN"/>
        </w:rPr>
        <w:t>服务标准、服务要求、服务责任等不得发生变化。</w:t>
      </w:r>
    </w:p>
    <w:p w14:paraId="77F71EAE">
      <w:pPr>
        <w:widowControl/>
        <w:numPr>
          <w:ilvl w:val="0"/>
          <w:numId w:val="0"/>
        </w:numPr>
        <w:adjustRightInd w:val="0"/>
        <w:snapToGrid w:val="0"/>
        <w:spacing w:line="360" w:lineRule="auto"/>
        <w:ind w:firstLine="480" w:firstLineChars="200"/>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3.2</w:t>
      </w:r>
      <w:r>
        <w:rPr>
          <w:rFonts w:hint="eastAsia" w:ascii="仿宋" w:hAnsi="仿宋" w:eastAsia="仿宋" w:cs="仿宋"/>
          <w:color w:val="auto"/>
          <w:kern w:val="0"/>
          <w:sz w:val="24"/>
          <w:szCs w:val="24"/>
          <w:lang w:val="en-US" w:eastAsia="zh-CN"/>
        </w:rPr>
        <w:t>维保期内，若采购人实施合同能源管理，采购人有权单方面提前终止该合同执行，</w:t>
      </w:r>
      <w:r>
        <w:rPr>
          <w:rFonts w:hint="eastAsia" w:ascii="仿宋" w:hAnsi="仿宋" w:eastAsia="仿宋" w:cs="仿宋"/>
          <w:color w:val="auto"/>
          <w:sz w:val="24"/>
          <w:szCs w:val="24"/>
          <w:lang w:val="en-US" w:eastAsia="zh-CN"/>
        </w:rPr>
        <w:t>而无需因合同解除承担任何赔偿责任</w:t>
      </w:r>
      <w:r>
        <w:rPr>
          <w:rFonts w:hint="eastAsia" w:ascii="仿宋" w:hAnsi="仿宋" w:eastAsia="仿宋" w:cs="仿宋"/>
          <w:color w:val="auto"/>
          <w:kern w:val="0"/>
          <w:sz w:val="24"/>
          <w:szCs w:val="24"/>
          <w:lang w:val="en-US" w:eastAsia="zh-CN"/>
        </w:rPr>
        <w:t>；采购人应在合同终止前壹个月，以书面形式通知中标人，中标人的</w:t>
      </w:r>
      <w:r>
        <w:rPr>
          <w:rFonts w:hint="eastAsia" w:ascii="仿宋" w:hAnsi="仿宋" w:eastAsia="仿宋" w:cs="仿宋"/>
          <w:color w:val="auto"/>
          <w:sz w:val="24"/>
          <w:szCs w:val="24"/>
          <w:lang w:val="en-US" w:eastAsia="zh-CN"/>
        </w:rPr>
        <w:t>维保费用按照实际服务天数进行结算。</w:t>
      </w:r>
    </w:p>
    <w:p w14:paraId="15E4F035">
      <w:pPr>
        <w:numPr>
          <w:ilvl w:val="0"/>
          <w:numId w:val="0"/>
        </w:numPr>
        <w:spacing w:line="360" w:lineRule="auto"/>
        <w:ind w:right="-22" w:rightChars="0"/>
        <w:rPr>
          <w:rFonts w:hint="eastAsia" w:ascii="仿宋" w:hAnsi="仿宋" w:eastAsia="仿宋" w:cs="仿宋"/>
          <w:b/>
          <w:bCs/>
          <w:color w:val="auto"/>
          <w:sz w:val="24"/>
          <w:szCs w:val="24"/>
          <w:lang w:val="en-US" w:eastAsia="zh-CN"/>
        </w:rPr>
      </w:pPr>
    </w:p>
    <w:p w14:paraId="4F731212">
      <w:pPr>
        <w:numPr>
          <w:ilvl w:val="0"/>
          <w:numId w:val="0"/>
        </w:numPr>
        <w:spacing w:line="360" w:lineRule="auto"/>
        <w:ind w:right="-22" w:rightChars="0"/>
        <w:rPr>
          <w:rFonts w:hint="eastAsia" w:ascii="仿宋" w:hAnsi="仿宋" w:eastAsia="仿宋" w:cs="仿宋"/>
          <w:b w:val="0"/>
          <w:bCs w:val="0"/>
          <w:color w:val="auto"/>
          <w:sz w:val="24"/>
          <w:szCs w:val="24"/>
          <w:lang w:val="en-US" w:eastAsia="zh-CN"/>
        </w:rPr>
      </w:pPr>
      <w:r>
        <w:rPr>
          <w:rFonts w:hint="eastAsia" w:ascii="仿宋" w:hAnsi="仿宋" w:eastAsia="仿宋" w:cs="仿宋"/>
          <w:b/>
          <w:bCs/>
          <w:color w:val="auto"/>
          <w:sz w:val="24"/>
          <w:szCs w:val="24"/>
          <w:lang w:val="en-US" w:eastAsia="zh-CN"/>
        </w:rPr>
        <w:t>四、采购预算及</w:t>
      </w:r>
      <w:r>
        <w:rPr>
          <w:rStyle w:val="4"/>
          <w:rFonts w:hint="eastAsia" w:ascii="仿宋" w:hAnsi="仿宋" w:eastAsia="仿宋" w:cs="仿宋"/>
          <w:b/>
          <w:bCs/>
          <w:color w:val="000000"/>
          <w:kern w:val="0"/>
          <w:sz w:val="24"/>
          <w:szCs w:val="24"/>
        </w:rPr>
        <w:t>最高限价</w:t>
      </w:r>
      <w:r>
        <w:rPr>
          <w:rFonts w:hint="eastAsia" w:ascii="仿宋" w:hAnsi="仿宋" w:eastAsia="仿宋" w:cs="仿宋"/>
          <w:b w:val="0"/>
          <w:bCs w:val="0"/>
          <w:color w:val="auto"/>
          <w:sz w:val="24"/>
          <w:szCs w:val="24"/>
          <w:lang w:val="en-US" w:eastAsia="zh-CN"/>
        </w:rPr>
        <w:t>：</w:t>
      </w:r>
    </w:p>
    <w:p w14:paraId="435BC217">
      <w:pPr>
        <w:numPr>
          <w:ilvl w:val="0"/>
          <w:numId w:val="0"/>
        </w:numPr>
        <w:spacing w:line="360" w:lineRule="auto"/>
        <w:ind w:right="-22" w:rightChars="0" w:firstLine="480" w:firstLineChars="200"/>
        <w:rPr>
          <w:rStyle w:val="4"/>
          <w:rFonts w:hint="eastAsia" w:ascii="仿宋" w:hAnsi="仿宋" w:eastAsia="仿宋" w:cs="仿宋"/>
          <w:b w:val="0"/>
          <w:bCs w:val="0"/>
          <w:color w:val="000000"/>
          <w:kern w:val="0"/>
          <w:sz w:val="24"/>
          <w:szCs w:val="24"/>
        </w:rPr>
      </w:pPr>
      <w:r>
        <w:rPr>
          <w:rFonts w:hint="eastAsia" w:ascii="仿宋" w:hAnsi="仿宋" w:eastAsia="仿宋" w:cs="仿宋"/>
          <w:color w:val="auto"/>
          <w:sz w:val="24"/>
          <w:szCs w:val="24"/>
          <w:lang w:val="en-US" w:eastAsia="zh-CN"/>
        </w:rPr>
        <w:t>80万元/三年；</w:t>
      </w:r>
      <w:r>
        <w:rPr>
          <w:rFonts w:hint="eastAsia" w:ascii="仿宋" w:hAnsi="仿宋" w:eastAsia="仿宋" w:cs="仿宋"/>
          <w:sz w:val="24"/>
          <w:szCs w:val="24"/>
        </w:rPr>
        <w:t>投标报价</w:t>
      </w:r>
      <w:r>
        <w:rPr>
          <w:rFonts w:hint="eastAsia" w:ascii="仿宋" w:hAnsi="仿宋" w:eastAsia="仿宋" w:cs="仿宋"/>
          <w:sz w:val="24"/>
          <w:szCs w:val="24"/>
          <w:lang w:eastAsia="zh-CN"/>
        </w:rPr>
        <w:t>为</w:t>
      </w:r>
      <w:r>
        <w:rPr>
          <w:rFonts w:hint="eastAsia" w:ascii="仿宋" w:hAnsi="仿宋" w:eastAsia="仿宋" w:cs="仿宋"/>
          <w:sz w:val="24"/>
          <w:szCs w:val="24"/>
        </w:rPr>
        <w:t>含税全报价，</w:t>
      </w:r>
      <w:r>
        <w:rPr>
          <w:rFonts w:hint="eastAsia" w:ascii="仿宋" w:hAnsi="仿宋" w:eastAsia="仿宋" w:cs="仿宋"/>
          <w:sz w:val="24"/>
          <w:szCs w:val="24"/>
          <w:lang w:val="en-US" w:eastAsia="zh-CN"/>
        </w:rPr>
        <w:t>包括但不限于：</w:t>
      </w:r>
      <w:r>
        <w:rPr>
          <w:rFonts w:hint="eastAsia" w:ascii="仿宋" w:hAnsi="仿宋" w:eastAsia="仿宋" w:cs="仿宋"/>
          <w:sz w:val="24"/>
          <w:szCs w:val="24"/>
        </w:rPr>
        <w:t>与提供服务相关的人工、</w:t>
      </w:r>
      <w:r>
        <w:rPr>
          <w:rStyle w:val="4"/>
          <w:rFonts w:hint="eastAsia" w:ascii="仿宋" w:hAnsi="仿宋" w:eastAsia="仿宋" w:cs="仿宋"/>
          <w:b w:val="0"/>
          <w:bCs w:val="0"/>
          <w:color w:val="000000"/>
          <w:kern w:val="0"/>
          <w:sz w:val="24"/>
          <w:szCs w:val="24"/>
          <w:lang w:val="en-US" w:eastAsia="zh-CN"/>
        </w:rPr>
        <w:t>预防性</w:t>
      </w:r>
      <w:r>
        <w:rPr>
          <w:rStyle w:val="4"/>
          <w:rFonts w:hint="eastAsia" w:ascii="仿宋" w:hAnsi="仿宋" w:eastAsia="仿宋" w:cs="仿宋"/>
          <w:b w:val="0"/>
          <w:bCs w:val="0"/>
          <w:color w:val="000000"/>
          <w:kern w:val="0"/>
          <w:sz w:val="24"/>
          <w:szCs w:val="24"/>
        </w:rPr>
        <w:t>维护</w:t>
      </w:r>
      <w:r>
        <w:rPr>
          <w:rStyle w:val="4"/>
          <w:rFonts w:hint="eastAsia" w:ascii="仿宋" w:hAnsi="仿宋" w:eastAsia="仿宋" w:cs="仿宋"/>
          <w:b w:val="0"/>
          <w:bCs w:val="0"/>
          <w:color w:val="000000"/>
          <w:kern w:val="0"/>
          <w:sz w:val="24"/>
          <w:szCs w:val="24"/>
          <w:lang w:eastAsia="zh-CN"/>
        </w:rPr>
        <w:t>、</w:t>
      </w:r>
      <w:r>
        <w:rPr>
          <w:rStyle w:val="4"/>
          <w:rFonts w:hint="eastAsia" w:ascii="仿宋" w:hAnsi="仿宋" w:eastAsia="仿宋" w:cs="仿宋"/>
          <w:b w:val="0"/>
          <w:bCs w:val="0"/>
          <w:color w:val="000000"/>
          <w:kern w:val="0"/>
          <w:sz w:val="24"/>
          <w:szCs w:val="24"/>
          <w:lang w:val="en-US" w:eastAsia="zh-CN"/>
        </w:rPr>
        <w:t>应急维修、</w:t>
      </w:r>
      <w:r>
        <w:rPr>
          <w:rFonts w:hint="eastAsia" w:ascii="仿宋" w:hAnsi="仿宋" w:eastAsia="仿宋" w:cs="仿宋"/>
          <w:sz w:val="24"/>
          <w:szCs w:val="24"/>
        </w:rPr>
        <w:t>保险、</w:t>
      </w:r>
      <w:r>
        <w:rPr>
          <w:rFonts w:hint="eastAsia" w:ascii="仿宋" w:hAnsi="仿宋" w:eastAsia="仿宋" w:cs="仿宋"/>
          <w:sz w:val="24"/>
          <w:szCs w:val="24"/>
          <w:lang w:val="en-US" w:eastAsia="zh-CN"/>
        </w:rPr>
        <w:t>检验检测</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耗品耗材</w:t>
      </w:r>
      <w:r>
        <w:rPr>
          <w:rStyle w:val="4"/>
          <w:rFonts w:hint="eastAsia" w:ascii="仿宋" w:hAnsi="仿宋" w:eastAsia="仿宋" w:cs="仿宋"/>
          <w:b w:val="0"/>
          <w:bCs w:val="0"/>
          <w:color w:val="000000"/>
          <w:kern w:val="0"/>
          <w:sz w:val="24"/>
          <w:szCs w:val="24"/>
          <w:lang w:val="en-US" w:eastAsia="zh-CN"/>
        </w:rPr>
        <w:t>（高效过滤器及价值在1000元以上的单个零配件除外）和安全整改等所需的全部费用。投标人一旦中标，</w:t>
      </w:r>
      <w:r>
        <w:rPr>
          <w:rStyle w:val="4"/>
          <w:rFonts w:hint="eastAsia" w:ascii="仿宋" w:hAnsi="仿宋" w:eastAsia="仿宋" w:cs="仿宋"/>
          <w:b w:val="0"/>
          <w:bCs w:val="0"/>
          <w:color w:val="000000"/>
          <w:kern w:val="0"/>
          <w:sz w:val="24"/>
          <w:szCs w:val="24"/>
        </w:rPr>
        <w:t>不得以任何理由要求</w:t>
      </w:r>
      <w:r>
        <w:rPr>
          <w:rStyle w:val="4"/>
          <w:rFonts w:hint="eastAsia" w:ascii="仿宋" w:hAnsi="仿宋" w:eastAsia="仿宋" w:cs="仿宋"/>
          <w:b w:val="0"/>
          <w:bCs w:val="0"/>
          <w:color w:val="000000"/>
          <w:kern w:val="0"/>
          <w:sz w:val="24"/>
          <w:szCs w:val="24"/>
          <w:lang w:val="en-US" w:eastAsia="zh-CN"/>
        </w:rPr>
        <w:t>采购人</w:t>
      </w:r>
      <w:r>
        <w:rPr>
          <w:rStyle w:val="4"/>
          <w:rFonts w:hint="eastAsia" w:ascii="仿宋" w:hAnsi="仿宋" w:eastAsia="仿宋" w:cs="仿宋"/>
          <w:b w:val="0"/>
          <w:bCs w:val="0"/>
          <w:color w:val="000000"/>
          <w:kern w:val="0"/>
          <w:sz w:val="24"/>
          <w:szCs w:val="24"/>
        </w:rPr>
        <w:t>另行追加任何费用</w:t>
      </w:r>
      <w:r>
        <w:rPr>
          <w:rStyle w:val="4"/>
          <w:rFonts w:hint="eastAsia" w:ascii="仿宋" w:hAnsi="仿宋" w:eastAsia="仿宋" w:cs="仿宋"/>
          <w:b w:val="0"/>
          <w:bCs w:val="0"/>
          <w:color w:val="000000"/>
          <w:kern w:val="0"/>
          <w:sz w:val="24"/>
          <w:szCs w:val="24"/>
          <w:lang w:eastAsia="zh-CN"/>
        </w:rPr>
        <w:t>，</w:t>
      </w:r>
      <w:r>
        <w:rPr>
          <w:rStyle w:val="4"/>
          <w:rFonts w:hint="eastAsia" w:ascii="仿宋" w:hAnsi="仿宋" w:eastAsia="仿宋" w:cs="仿宋"/>
          <w:b w:val="0"/>
          <w:bCs w:val="0"/>
          <w:color w:val="000000"/>
          <w:kern w:val="0"/>
          <w:sz w:val="24"/>
          <w:szCs w:val="24"/>
          <w:lang w:val="en-US" w:eastAsia="zh-CN"/>
        </w:rPr>
        <w:t>人为损坏和不可抗力因素</w:t>
      </w:r>
      <w:r>
        <w:rPr>
          <w:rStyle w:val="4"/>
          <w:rFonts w:hint="eastAsia" w:ascii="仿宋" w:hAnsi="仿宋" w:eastAsia="仿宋" w:cs="仿宋"/>
          <w:b w:val="0"/>
          <w:bCs w:val="0"/>
          <w:color w:val="000000"/>
          <w:kern w:val="0"/>
          <w:sz w:val="24"/>
          <w:szCs w:val="24"/>
        </w:rPr>
        <w:t>除外。</w:t>
      </w:r>
    </w:p>
    <w:p w14:paraId="5FE2F680">
      <w:pPr>
        <w:numPr>
          <w:ilvl w:val="0"/>
          <w:numId w:val="0"/>
        </w:numPr>
        <w:spacing w:line="360" w:lineRule="auto"/>
        <w:ind w:right="-22" w:rightChars="0" w:firstLine="482" w:firstLineChars="200"/>
        <w:rPr>
          <w:rFonts w:hint="eastAsia" w:ascii="仿宋" w:hAnsi="仿宋" w:eastAsia="仿宋" w:cs="仿宋"/>
          <w:b/>
          <w:bCs/>
          <w:color w:val="auto"/>
          <w:sz w:val="24"/>
          <w:szCs w:val="24"/>
          <w:lang w:val="en-US" w:eastAsia="zh-CN"/>
        </w:rPr>
      </w:pPr>
    </w:p>
    <w:p w14:paraId="13C78A24">
      <w:pPr>
        <w:numPr>
          <w:ilvl w:val="0"/>
          <w:numId w:val="0"/>
        </w:numPr>
        <w:spacing w:line="360" w:lineRule="auto"/>
        <w:ind w:right="-22" w:rightChars="0"/>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五、服务内容：</w:t>
      </w:r>
    </w:p>
    <w:p w14:paraId="7EE1C637">
      <w:pPr>
        <w:numPr>
          <w:ilvl w:val="0"/>
          <w:numId w:val="0"/>
        </w:numPr>
        <w:spacing w:line="360" w:lineRule="auto"/>
        <w:ind w:right="-22" w:rightChars="0"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5.1维保</w:t>
      </w:r>
      <w:r>
        <w:rPr>
          <w:rFonts w:hint="eastAsia" w:ascii="仿宋" w:hAnsi="仿宋" w:eastAsia="仿宋" w:cs="仿宋"/>
          <w:sz w:val="24"/>
          <w:szCs w:val="24"/>
        </w:rPr>
        <w:t>标准</w:t>
      </w:r>
      <w:r>
        <w:rPr>
          <w:rFonts w:hint="eastAsia" w:ascii="仿宋" w:hAnsi="仿宋" w:eastAsia="仿宋" w:cs="仿宋"/>
          <w:sz w:val="24"/>
          <w:szCs w:val="24"/>
          <w:lang w:eastAsia="zh-CN"/>
        </w:rPr>
        <w:t>：</w:t>
      </w:r>
      <w:r>
        <w:rPr>
          <w:rFonts w:hint="eastAsia" w:ascii="仿宋" w:hAnsi="仿宋" w:eastAsia="仿宋" w:cs="仿宋"/>
          <w:color w:val="auto"/>
          <w:sz w:val="24"/>
          <w:szCs w:val="24"/>
          <w:lang w:val="en-US" w:eastAsia="zh-CN"/>
        </w:rPr>
        <w:t>按照</w:t>
      </w: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医院空气净化管理</w:t>
      </w:r>
      <w:r>
        <w:rPr>
          <w:rFonts w:hint="eastAsia" w:ascii="仿宋" w:hAnsi="仿宋" w:eastAsia="仿宋" w:cs="仿宋"/>
          <w:color w:val="auto"/>
          <w:sz w:val="24"/>
          <w:szCs w:val="24"/>
        </w:rPr>
        <w:t>规范》WS</w:t>
      </w:r>
      <w:r>
        <w:rPr>
          <w:rFonts w:hint="eastAsia" w:ascii="仿宋" w:hAnsi="仿宋" w:eastAsia="仿宋" w:cs="仿宋"/>
          <w:color w:val="auto"/>
          <w:sz w:val="24"/>
          <w:szCs w:val="24"/>
          <w:lang w:val="en-US" w:eastAsia="zh-CN"/>
        </w:rPr>
        <w:t>/T368</w:t>
      </w:r>
      <w:r>
        <w:rPr>
          <w:rFonts w:hint="eastAsia" w:ascii="仿宋" w:hAnsi="仿宋" w:eastAsia="仿宋" w:cs="仿宋"/>
          <w:color w:val="auto"/>
          <w:sz w:val="24"/>
          <w:szCs w:val="24"/>
        </w:rPr>
        <w:t>-2</w:t>
      </w:r>
      <w:r>
        <w:rPr>
          <w:rFonts w:hint="eastAsia" w:ascii="仿宋" w:hAnsi="仿宋" w:eastAsia="仿宋" w:cs="仿宋"/>
          <w:color w:val="auto"/>
          <w:sz w:val="24"/>
          <w:szCs w:val="24"/>
          <w:lang w:val="en-US" w:eastAsia="zh-CN"/>
        </w:rPr>
        <w:t>025</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《医院洁净手术部建筑技术规范》GB5033、《公共场所集中空调通风系统卫生规范》WS10013-2023及《医院中央空调系统运行管理》WS488-2016等标准要求执行，</w:t>
      </w:r>
      <w:r>
        <w:rPr>
          <w:rFonts w:hint="eastAsia" w:ascii="仿宋" w:hAnsi="仿宋" w:eastAsia="仿宋" w:cs="仿宋"/>
          <w:sz w:val="24"/>
          <w:szCs w:val="24"/>
        </w:rPr>
        <w:t>国家新标准出台以新标准</w:t>
      </w:r>
      <w:r>
        <w:rPr>
          <w:rFonts w:hint="eastAsia" w:ascii="仿宋" w:hAnsi="仿宋" w:eastAsia="仿宋" w:cs="仿宋"/>
          <w:sz w:val="24"/>
          <w:szCs w:val="24"/>
          <w:lang w:val="en-US" w:eastAsia="zh-CN"/>
        </w:rPr>
        <w:t>要求为准</w:t>
      </w:r>
      <w:r>
        <w:rPr>
          <w:rFonts w:hint="eastAsia" w:ascii="仿宋" w:hAnsi="仿宋" w:eastAsia="仿宋" w:cs="仿宋"/>
          <w:color w:val="auto"/>
          <w:sz w:val="24"/>
          <w:szCs w:val="24"/>
          <w:lang w:val="en-US" w:eastAsia="zh-CN"/>
        </w:rPr>
        <w:t>；</w:t>
      </w:r>
    </w:p>
    <w:p w14:paraId="71E69610">
      <w:pPr>
        <w:spacing w:line="360" w:lineRule="auto"/>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5.2</w:t>
      </w:r>
      <w:r>
        <w:rPr>
          <w:rFonts w:hint="eastAsia" w:ascii="仿宋" w:hAnsi="仿宋" w:eastAsia="仿宋" w:cs="仿宋"/>
          <w:sz w:val="24"/>
          <w:szCs w:val="24"/>
          <w:lang w:eastAsia="zh-CN"/>
        </w:rPr>
        <w:t>中标人</w:t>
      </w:r>
      <w:r>
        <w:rPr>
          <w:rFonts w:hint="eastAsia" w:ascii="仿宋" w:hAnsi="仿宋" w:eastAsia="仿宋" w:cs="仿宋"/>
          <w:sz w:val="24"/>
          <w:szCs w:val="24"/>
          <w:lang w:val="en-US" w:eastAsia="zh-CN"/>
        </w:rPr>
        <w:t>无条件接受采购人的全程监督与管理，至少</w:t>
      </w:r>
      <w:r>
        <w:rPr>
          <w:rFonts w:hint="eastAsia" w:ascii="仿宋" w:hAnsi="仿宋" w:eastAsia="仿宋" w:cs="仿宋"/>
          <w:color w:val="auto"/>
          <w:sz w:val="24"/>
          <w:szCs w:val="24"/>
          <w:lang w:val="en-US" w:eastAsia="zh-CN"/>
        </w:rPr>
        <w:t>派驻2名技术人员自备维护设备、工具、仪器、辅材等，实施365天×24小时驻院值班，</w:t>
      </w:r>
      <w:r>
        <w:rPr>
          <w:rFonts w:hint="eastAsia" w:ascii="仿宋" w:hAnsi="仿宋" w:eastAsia="仿宋" w:cs="仿宋"/>
          <w:sz w:val="24"/>
          <w:szCs w:val="24"/>
          <w:lang w:val="en-US" w:eastAsia="zh-CN"/>
        </w:rPr>
        <w:t>任何时间接到故障报修，现场响应时间不得超过15分钟，</w:t>
      </w:r>
      <w:r>
        <w:rPr>
          <w:rFonts w:hint="eastAsia" w:ascii="仿宋" w:hAnsi="仿宋" w:eastAsia="仿宋" w:cs="仿宋"/>
          <w:sz w:val="24"/>
          <w:szCs w:val="24"/>
        </w:rPr>
        <w:t>以便做到准确、安全快速处理故障。</w:t>
      </w:r>
      <w:r>
        <w:rPr>
          <w:rFonts w:hint="eastAsia" w:ascii="仿宋" w:hAnsi="仿宋" w:eastAsia="仿宋" w:cs="仿宋"/>
          <w:sz w:val="24"/>
          <w:szCs w:val="24"/>
          <w:lang w:val="en-US" w:eastAsia="zh-CN"/>
        </w:rPr>
        <w:t>上述人员应获得有效的服务资格认定，具备维保服务能力，并在采购人的管理部门备案；</w:t>
      </w:r>
    </w:p>
    <w:p w14:paraId="0551224B">
      <w:pPr>
        <w:spacing w:line="360" w:lineRule="auto"/>
        <w:ind w:firstLine="480" w:firstLineChars="200"/>
        <w:rPr>
          <w:rFonts w:hint="eastAsia" w:ascii="仿宋" w:hAnsi="仿宋" w:eastAsia="仿宋" w:cs="仿宋"/>
          <w:sz w:val="24"/>
          <w:szCs w:val="24"/>
          <w:lang w:eastAsia="zh-CN"/>
        </w:rPr>
      </w:pPr>
      <w:r>
        <w:rPr>
          <w:rFonts w:hint="eastAsia" w:ascii="仿宋" w:hAnsi="仿宋" w:eastAsia="仿宋" w:cs="仿宋"/>
          <w:sz w:val="24"/>
          <w:szCs w:val="24"/>
          <w:lang w:val="en-US" w:eastAsia="zh-CN"/>
        </w:rPr>
        <w:t>5.</w:t>
      </w:r>
      <w:r>
        <w:rPr>
          <w:rFonts w:hint="eastAsia" w:ascii="仿宋" w:hAnsi="仿宋" w:eastAsia="仿宋" w:cs="仿宋"/>
          <w:sz w:val="24"/>
          <w:szCs w:val="24"/>
        </w:rPr>
        <w:t>3</w:t>
      </w:r>
      <w:r>
        <w:rPr>
          <w:rFonts w:hint="eastAsia" w:ascii="仿宋" w:hAnsi="仿宋" w:eastAsia="仿宋" w:cs="仿宋"/>
          <w:sz w:val="24"/>
          <w:szCs w:val="24"/>
          <w:lang w:eastAsia="zh-CN"/>
        </w:rPr>
        <w:t xml:space="preserve"> </w:t>
      </w:r>
      <w:r>
        <w:rPr>
          <w:rFonts w:hint="eastAsia" w:ascii="仿宋" w:hAnsi="仿宋" w:eastAsia="仿宋" w:cs="仿宋"/>
          <w:sz w:val="24"/>
          <w:szCs w:val="24"/>
          <w:lang w:val="en-US" w:eastAsia="zh-CN"/>
        </w:rPr>
        <w:t>中标人</w:t>
      </w:r>
      <w:r>
        <w:rPr>
          <w:rFonts w:hint="eastAsia" w:ascii="仿宋" w:hAnsi="仿宋" w:eastAsia="仿宋" w:cs="仿宋"/>
          <w:sz w:val="24"/>
          <w:szCs w:val="24"/>
        </w:rPr>
        <w:t>每月</w:t>
      </w:r>
      <w:r>
        <w:rPr>
          <w:rFonts w:hint="eastAsia" w:ascii="仿宋" w:hAnsi="仿宋" w:eastAsia="仿宋" w:cs="仿宋"/>
          <w:sz w:val="24"/>
          <w:szCs w:val="24"/>
          <w:lang w:val="en-US" w:eastAsia="zh-CN"/>
        </w:rPr>
        <w:t>应</w:t>
      </w:r>
      <w:r>
        <w:rPr>
          <w:rFonts w:hint="eastAsia" w:ascii="仿宋" w:hAnsi="仿宋" w:eastAsia="仿宋" w:cs="仿宋"/>
          <w:sz w:val="24"/>
          <w:szCs w:val="24"/>
        </w:rPr>
        <w:t>对净化</w:t>
      </w:r>
      <w:r>
        <w:rPr>
          <w:rFonts w:hint="eastAsia" w:ascii="仿宋" w:hAnsi="仿宋" w:eastAsia="仿宋" w:cs="仿宋"/>
          <w:sz w:val="24"/>
          <w:szCs w:val="24"/>
          <w:lang w:val="en-US" w:eastAsia="zh-CN"/>
        </w:rPr>
        <w:t>空调</w:t>
      </w:r>
      <w:r>
        <w:rPr>
          <w:rFonts w:hint="eastAsia" w:ascii="仿宋" w:hAnsi="仿宋" w:eastAsia="仿宋" w:cs="仿宋"/>
          <w:sz w:val="24"/>
          <w:szCs w:val="24"/>
        </w:rPr>
        <w:t>系统内所有机械传动部分</w:t>
      </w:r>
      <w:r>
        <w:rPr>
          <w:rFonts w:hint="eastAsia" w:ascii="仿宋" w:hAnsi="仿宋" w:eastAsia="仿宋" w:cs="仿宋"/>
          <w:sz w:val="24"/>
          <w:szCs w:val="24"/>
          <w:lang w:val="en-US" w:eastAsia="zh-CN"/>
        </w:rPr>
        <w:t>及</w:t>
      </w:r>
      <w:r>
        <w:rPr>
          <w:rFonts w:hint="eastAsia" w:ascii="仿宋" w:hAnsi="仿宋" w:eastAsia="仿宋" w:cs="仿宋"/>
          <w:sz w:val="24"/>
          <w:szCs w:val="24"/>
        </w:rPr>
        <w:t>净化范围内墙板、墙面、吊顶、水管</w:t>
      </w:r>
      <w:r>
        <w:rPr>
          <w:rFonts w:hint="eastAsia" w:ascii="仿宋" w:hAnsi="仿宋" w:eastAsia="仿宋" w:cs="仿宋"/>
          <w:sz w:val="24"/>
          <w:szCs w:val="24"/>
          <w:lang w:eastAsia="zh-CN"/>
        </w:rPr>
        <w:t>、</w:t>
      </w:r>
      <w:r>
        <w:rPr>
          <w:rFonts w:hint="eastAsia" w:ascii="仿宋" w:hAnsi="仿宋" w:eastAsia="仿宋" w:cs="仿宋"/>
          <w:sz w:val="24"/>
          <w:szCs w:val="24"/>
        </w:rPr>
        <w:t>气管、风管及其附件进行一次检查、调整、</w:t>
      </w:r>
      <w:r>
        <w:rPr>
          <w:rFonts w:hint="eastAsia" w:ascii="仿宋" w:hAnsi="仿宋" w:eastAsia="仿宋" w:cs="仿宋"/>
          <w:sz w:val="24"/>
          <w:szCs w:val="24"/>
          <w:lang w:val="en-US" w:eastAsia="zh-CN"/>
        </w:rPr>
        <w:t>维修或</w:t>
      </w:r>
      <w:r>
        <w:rPr>
          <w:rFonts w:hint="eastAsia" w:ascii="仿宋" w:hAnsi="仿宋" w:eastAsia="仿宋" w:cs="仿宋"/>
          <w:sz w:val="24"/>
          <w:szCs w:val="24"/>
        </w:rPr>
        <w:t>保养</w:t>
      </w:r>
      <w:r>
        <w:rPr>
          <w:rFonts w:hint="eastAsia" w:ascii="仿宋" w:hAnsi="仿宋" w:eastAsia="仿宋" w:cs="仿宋"/>
          <w:sz w:val="24"/>
          <w:szCs w:val="24"/>
          <w:lang w:eastAsia="zh-CN"/>
        </w:rPr>
        <w:t>；</w:t>
      </w:r>
    </w:p>
    <w:p w14:paraId="1DDCBBCA">
      <w:pPr>
        <w:numPr>
          <w:ilvl w:val="0"/>
          <w:numId w:val="0"/>
        </w:numPr>
        <w:spacing w:line="360" w:lineRule="auto"/>
        <w:ind w:right="-22" w:rightChars="0"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5.4</w:t>
      </w:r>
      <w:r>
        <w:rPr>
          <w:rFonts w:hint="eastAsia" w:ascii="仿宋" w:hAnsi="仿宋" w:eastAsia="仿宋" w:cs="仿宋"/>
          <w:sz w:val="24"/>
          <w:szCs w:val="24"/>
          <w:lang w:eastAsia="zh-CN"/>
        </w:rPr>
        <w:t>中标人</w:t>
      </w:r>
      <w:r>
        <w:rPr>
          <w:rFonts w:hint="eastAsia" w:ascii="仿宋" w:hAnsi="仿宋" w:eastAsia="仿宋" w:cs="仿宋"/>
          <w:sz w:val="24"/>
          <w:szCs w:val="24"/>
        </w:rPr>
        <w:t>按</w:t>
      </w:r>
      <w:r>
        <w:rPr>
          <w:rFonts w:hint="eastAsia" w:ascii="仿宋" w:hAnsi="仿宋" w:eastAsia="仿宋" w:cs="仿宋"/>
          <w:sz w:val="24"/>
          <w:szCs w:val="24"/>
          <w:lang w:val="en-US" w:eastAsia="zh-CN"/>
        </w:rPr>
        <w:t>设备</w:t>
      </w:r>
      <w:r>
        <w:rPr>
          <w:rFonts w:hint="eastAsia" w:ascii="仿宋" w:hAnsi="仿宋" w:eastAsia="仿宋" w:cs="仿宋"/>
          <w:sz w:val="24"/>
          <w:szCs w:val="24"/>
        </w:rPr>
        <w:t>操作手册</w:t>
      </w:r>
      <w:r>
        <w:rPr>
          <w:rFonts w:hint="eastAsia" w:ascii="仿宋" w:hAnsi="仿宋" w:eastAsia="仿宋" w:cs="仿宋"/>
          <w:sz w:val="24"/>
          <w:szCs w:val="24"/>
          <w:lang w:val="en-US" w:eastAsia="zh-CN"/>
        </w:rPr>
        <w:t>要求定期</w:t>
      </w:r>
      <w:r>
        <w:rPr>
          <w:rFonts w:hint="eastAsia" w:ascii="仿宋" w:hAnsi="仿宋" w:eastAsia="仿宋" w:cs="仿宋"/>
          <w:sz w:val="24"/>
          <w:szCs w:val="24"/>
        </w:rPr>
        <w:t>对</w:t>
      </w:r>
      <w:r>
        <w:rPr>
          <w:rFonts w:hint="eastAsia" w:ascii="仿宋" w:hAnsi="仿宋" w:eastAsia="仿宋" w:cs="仿宋"/>
          <w:sz w:val="24"/>
          <w:szCs w:val="24"/>
          <w:lang w:val="en-US" w:eastAsia="zh-CN"/>
        </w:rPr>
        <w:t>设备的</w:t>
      </w:r>
      <w:r>
        <w:rPr>
          <w:rFonts w:hint="eastAsia" w:ascii="仿宋" w:hAnsi="仿宋" w:eastAsia="仿宋" w:cs="仿宋"/>
          <w:sz w:val="24"/>
          <w:szCs w:val="24"/>
        </w:rPr>
        <w:t>强电</w:t>
      </w:r>
      <w:r>
        <w:rPr>
          <w:rFonts w:hint="eastAsia" w:ascii="仿宋" w:hAnsi="仿宋" w:eastAsia="仿宋" w:cs="仿宋"/>
          <w:sz w:val="24"/>
          <w:szCs w:val="24"/>
          <w:lang w:eastAsia="zh-CN"/>
        </w:rPr>
        <w:t>、</w:t>
      </w:r>
      <w:r>
        <w:rPr>
          <w:rFonts w:hint="eastAsia" w:ascii="仿宋" w:hAnsi="仿宋" w:eastAsia="仿宋" w:cs="仿宋"/>
          <w:sz w:val="24"/>
          <w:szCs w:val="24"/>
        </w:rPr>
        <w:t>弱电部分及</w:t>
      </w:r>
      <w:r>
        <w:rPr>
          <w:rFonts w:hint="eastAsia" w:ascii="仿宋" w:hAnsi="仿宋" w:eastAsia="仿宋" w:cs="仿宋"/>
          <w:sz w:val="24"/>
          <w:szCs w:val="24"/>
          <w:lang w:val="en-US" w:eastAsia="zh-CN"/>
        </w:rPr>
        <w:t>附属设施</w:t>
      </w:r>
      <w:r>
        <w:rPr>
          <w:rFonts w:hint="eastAsia" w:ascii="仿宋" w:hAnsi="仿宋" w:eastAsia="仿宋" w:cs="仿宋"/>
          <w:sz w:val="24"/>
          <w:szCs w:val="24"/>
        </w:rPr>
        <w:t>进行全面检查</w:t>
      </w:r>
      <w:r>
        <w:rPr>
          <w:rFonts w:hint="eastAsia" w:ascii="仿宋" w:hAnsi="仿宋" w:eastAsia="仿宋" w:cs="仿宋"/>
          <w:sz w:val="24"/>
          <w:szCs w:val="24"/>
          <w:lang w:val="en-US" w:eastAsia="zh-CN"/>
        </w:rPr>
        <w:t>及</w:t>
      </w:r>
      <w:r>
        <w:rPr>
          <w:rFonts w:hint="eastAsia" w:ascii="仿宋" w:hAnsi="仿宋" w:eastAsia="仿宋" w:cs="仿宋"/>
          <w:sz w:val="24"/>
          <w:szCs w:val="24"/>
        </w:rPr>
        <w:t>维护保养</w:t>
      </w:r>
      <w:r>
        <w:rPr>
          <w:rFonts w:hint="eastAsia" w:ascii="仿宋" w:hAnsi="仿宋" w:eastAsia="仿宋" w:cs="仿宋"/>
          <w:sz w:val="24"/>
          <w:szCs w:val="24"/>
          <w:lang w:eastAsia="zh-CN"/>
        </w:rPr>
        <w:t>，</w:t>
      </w:r>
      <w:r>
        <w:rPr>
          <w:rFonts w:hint="eastAsia" w:ascii="仿宋" w:hAnsi="仿宋" w:eastAsia="仿宋" w:cs="仿宋"/>
          <w:color w:val="auto"/>
          <w:sz w:val="24"/>
          <w:szCs w:val="24"/>
          <w:lang w:val="en-US" w:eastAsia="zh-CN"/>
        </w:rPr>
        <w:t>内容包括但不限于：维修维护、配件更换、卫生清洁、性能测试、校准及必要的机械、电气安全检查和技术支持等；</w:t>
      </w:r>
    </w:p>
    <w:p w14:paraId="51624EF5">
      <w:pPr>
        <w:numPr>
          <w:ilvl w:val="0"/>
          <w:numId w:val="0"/>
        </w:numPr>
        <w:spacing w:line="360" w:lineRule="auto"/>
        <w:ind w:right="-22" w:rightChars="0"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5.5</w:t>
      </w:r>
      <w:r>
        <w:rPr>
          <w:rFonts w:hint="eastAsia" w:ascii="仿宋" w:hAnsi="仿宋" w:eastAsia="仿宋" w:cs="仿宋"/>
          <w:sz w:val="24"/>
          <w:szCs w:val="24"/>
          <w:lang w:eastAsia="zh-CN"/>
        </w:rPr>
        <w:t>中标人</w:t>
      </w:r>
      <w:r>
        <w:rPr>
          <w:rFonts w:hint="eastAsia" w:ascii="仿宋" w:hAnsi="仿宋" w:eastAsia="仿宋" w:cs="仿宋"/>
          <w:color w:val="auto"/>
          <w:sz w:val="24"/>
          <w:szCs w:val="24"/>
          <w:lang w:val="en-US" w:eastAsia="zh-CN"/>
        </w:rPr>
        <w:t>每2天至少对新风机组进风滤网进行一次清洁；</w:t>
      </w:r>
    </w:p>
    <w:p w14:paraId="77D17568">
      <w:pPr>
        <w:numPr>
          <w:ilvl w:val="0"/>
          <w:numId w:val="0"/>
        </w:numPr>
        <w:spacing w:line="360" w:lineRule="auto"/>
        <w:ind w:right="-22" w:rightChars="0"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5.6</w:t>
      </w:r>
      <w:r>
        <w:rPr>
          <w:rFonts w:hint="eastAsia" w:ascii="仿宋" w:hAnsi="仿宋" w:eastAsia="仿宋" w:cs="仿宋"/>
          <w:sz w:val="24"/>
          <w:szCs w:val="24"/>
          <w:lang w:eastAsia="zh-CN"/>
        </w:rPr>
        <w:t>中标人</w:t>
      </w:r>
      <w:r>
        <w:rPr>
          <w:rFonts w:hint="eastAsia" w:ascii="仿宋" w:hAnsi="仿宋" w:eastAsia="仿宋" w:cs="仿宋"/>
          <w:color w:val="auto"/>
          <w:sz w:val="24"/>
          <w:szCs w:val="24"/>
          <w:lang w:val="en-US" w:eastAsia="zh-CN"/>
        </w:rPr>
        <w:t>每2个月至少对空气处理机组初效过滤器进行一次更换；每3个月至少对中效过滤器进行一次更换；每年至少对新风机组的亚高效过滤器、手术间回风口过滤网、排风系统中效过滤器进行一次更换，发生污染和堵塞现象应立即更换（</w:t>
      </w:r>
      <w:r>
        <w:rPr>
          <w:rFonts w:hint="eastAsia" w:ascii="仿宋" w:hAnsi="仿宋" w:eastAsia="仿宋" w:cs="仿宋"/>
          <w:color w:val="000000"/>
          <w:sz w:val="24"/>
          <w:szCs w:val="24"/>
          <w:lang w:val="en-US" w:eastAsia="zh-CN"/>
        </w:rPr>
        <w:t>耗材更换明细、数量与频次详见本章第十五条款）</w:t>
      </w:r>
      <w:r>
        <w:rPr>
          <w:rFonts w:hint="eastAsia" w:ascii="仿宋" w:hAnsi="仿宋" w:eastAsia="仿宋" w:cs="仿宋"/>
          <w:color w:val="auto"/>
          <w:sz w:val="24"/>
          <w:szCs w:val="24"/>
          <w:lang w:val="en-US" w:eastAsia="zh-CN"/>
        </w:rPr>
        <w:t>；</w:t>
      </w:r>
    </w:p>
    <w:p w14:paraId="29FBD706">
      <w:pPr>
        <w:widowControl w:val="0"/>
        <w:spacing w:line="360" w:lineRule="auto"/>
        <w:jc w:val="both"/>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 xml:space="preserve">   5.7 中标人无条件承担维保所需全部润滑用油、初效、中效、亚高效过滤、回风口过滤网耗材及价值1000元以内（含1000元）单个零配件的更换费用；</w:t>
      </w:r>
    </w:p>
    <w:p w14:paraId="68198B47">
      <w:pPr>
        <w:numPr>
          <w:ilvl w:val="0"/>
          <w:numId w:val="0"/>
        </w:numPr>
        <w:spacing w:line="360" w:lineRule="auto"/>
        <w:ind w:right="-22" w:rightChars="0"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5.9</w:t>
      </w:r>
      <w:r>
        <w:rPr>
          <w:rFonts w:hint="eastAsia" w:ascii="仿宋" w:hAnsi="仿宋" w:eastAsia="仿宋" w:cs="仿宋"/>
          <w:sz w:val="24"/>
          <w:szCs w:val="24"/>
          <w:lang w:eastAsia="zh-CN"/>
        </w:rPr>
        <w:t>中标人</w:t>
      </w:r>
      <w:r>
        <w:rPr>
          <w:rFonts w:hint="eastAsia" w:ascii="仿宋" w:hAnsi="仿宋" w:eastAsia="仿宋" w:cs="仿宋"/>
          <w:color w:val="auto"/>
          <w:sz w:val="24"/>
          <w:szCs w:val="24"/>
          <w:lang w:val="en-US" w:eastAsia="zh-CN"/>
        </w:rPr>
        <w:t>每周至少对净化空气处理机组、新风机组进行一次清洗消毒；每年至少对高效过滤器进行一次检查，</w:t>
      </w:r>
      <w:r>
        <w:rPr>
          <w:rFonts w:hint="eastAsia" w:ascii="仿宋" w:hAnsi="仿宋" w:eastAsia="仿宋" w:cs="仿宋"/>
          <w:sz w:val="24"/>
          <w:szCs w:val="24"/>
        </w:rPr>
        <w:t>高效过滤器根据实际使用情况进行更换</w:t>
      </w:r>
      <w:r>
        <w:rPr>
          <w:rFonts w:hint="eastAsia" w:ascii="仿宋" w:hAnsi="仿宋" w:eastAsia="仿宋" w:cs="仿宋"/>
          <w:sz w:val="24"/>
          <w:szCs w:val="24"/>
          <w:lang w:eastAsia="zh-CN"/>
        </w:rPr>
        <w:t>（</w:t>
      </w:r>
      <w:r>
        <w:rPr>
          <w:rFonts w:hint="eastAsia" w:ascii="仿宋" w:hAnsi="仿宋" w:eastAsia="仿宋" w:cs="仿宋"/>
          <w:color w:val="auto"/>
          <w:sz w:val="24"/>
          <w:szCs w:val="24"/>
          <w:lang w:val="en-US" w:eastAsia="zh-CN"/>
        </w:rPr>
        <w:t>高效过滤器阻力超过设计阻力160Pa或达到使用年限），高效过滤器更换的材料费用由采购人承担；</w:t>
      </w:r>
    </w:p>
    <w:p w14:paraId="29D32943">
      <w:pPr>
        <w:numPr>
          <w:ilvl w:val="0"/>
          <w:numId w:val="0"/>
        </w:numPr>
        <w:spacing w:line="360" w:lineRule="auto"/>
        <w:ind w:right="-22" w:rightChars="0" w:firstLine="480" w:firstLineChars="200"/>
        <w:rPr>
          <w:rFonts w:hint="eastAsia" w:ascii="仿宋" w:hAnsi="仿宋" w:eastAsia="仿宋" w:cs="仿宋"/>
          <w:b w:val="0"/>
          <w:bCs w:val="0"/>
          <w:color w:val="auto"/>
          <w:kern w:val="2"/>
          <w:sz w:val="24"/>
          <w:szCs w:val="24"/>
          <w:lang w:val="en-US" w:eastAsia="zh-CN" w:bidi="ar-SA"/>
        </w:rPr>
      </w:pPr>
      <w:r>
        <w:rPr>
          <w:rFonts w:hint="eastAsia" w:ascii="仿宋" w:hAnsi="仿宋" w:eastAsia="仿宋" w:cs="仿宋"/>
          <w:color w:val="auto"/>
          <w:sz w:val="24"/>
          <w:szCs w:val="24"/>
          <w:lang w:val="en-US" w:eastAsia="zh-CN"/>
        </w:rPr>
        <w:t>5.10维保周期内，中标人每季度至少对手术间区域</w:t>
      </w:r>
      <w:r>
        <w:rPr>
          <w:rFonts w:hint="eastAsia" w:ascii="仿宋" w:hAnsi="仿宋" w:eastAsia="仿宋" w:cs="仿宋"/>
          <w:color w:val="000000"/>
          <w:sz w:val="24"/>
          <w:szCs w:val="24"/>
          <w:lang w:val="en-US" w:eastAsia="zh-CN"/>
        </w:rPr>
        <w:t>洁净度指标</w:t>
      </w:r>
      <w:r>
        <w:rPr>
          <w:rFonts w:hint="eastAsia" w:ascii="仿宋" w:hAnsi="仿宋" w:eastAsia="仿宋" w:cs="仿宋"/>
          <w:color w:val="auto"/>
          <w:sz w:val="24"/>
          <w:szCs w:val="24"/>
          <w:lang w:val="en-US" w:eastAsia="zh-CN"/>
        </w:rPr>
        <w:t>进行一次检测；每年度应委托具备CMA认证的第三方检测机构对手术间区域的洁净度、温湿度、噪声及风速等</w:t>
      </w:r>
      <w:r>
        <w:rPr>
          <w:rFonts w:hint="eastAsia" w:ascii="仿宋" w:hAnsi="仿宋" w:eastAsia="仿宋" w:cs="仿宋"/>
          <w:color w:val="auto"/>
          <w:sz w:val="24"/>
          <w:szCs w:val="24"/>
        </w:rPr>
        <w:t>净化指标</w:t>
      </w:r>
      <w:r>
        <w:rPr>
          <w:rFonts w:hint="eastAsia" w:ascii="仿宋" w:hAnsi="仿宋" w:eastAsia="仿宋" w:cs="仿宋"/>
          <w:color w:val="auto"/>
          <w:sz w:val="24"/>
          <w:szCs w:val="24"/>
          <w:lang w:val="en-US" w:eastAsia="zh-CN"/>
        </w:rPr>
        <w:t>进行一次检测，保证检测合格并出具相应检测报告，</w:t>
      </w:r>
      <w:r>
        <w:rPr>
          <w:rFonts w:hint="eastAsia" w:ascii="仿宋" w:hAnsi="仿宋" w:eastAsia="仿宋" w:cs="仿宋"/>
          <w:b w:val="0"/>
          <w:bCs w:val="0"/>
          <w:color w:val="auto"/>
          <w:kern w:val="2"/>
          <w:sz w:val="24"/>
          <w:szCs w:val="24"/>
          <w:lang w:val="en-US" w:eastAsia="zh-CN" w:bidi="ar-SA"/>
        </w:rPr>
        <w:t>检测费用由</w:t>
      </w:r>
      <w:r>
        <w:rPr>
          <w:rFonts w:hint="eastAsia" w:ascii="仿宋" w:hAnsi="仿宋" w:eastAsia="仿宋" w:cs="仿宋"/>
          <w:sz w:val="24"/>
          <w:szCs w:val="24"/>
          <w:lang w:eastAsia="zh-CN"/>
        </w:rPr>
        <w:t>中标人</w:t>
      </w:r>
      <w:r>
        <w:rPr>
          <w:rFonts w:hint="eastAsia" w:ascii="仿宋" w:hAnsi="仿宋" w:eastAsia="仿宋" w:cs="仿宋"/>
          <w:b w:val="0"/>
          <w:bCs w:val="0"/>
          <w:color w:val="auto"/>
          <w:kern w:val="2"/>
          <w:sz w:val="24"/>
          <w:szCs w:val="24"/>
          <w:lang w:val="en-US" w:eastAsia="zh-CN" w:bidi="ar-SA"/>
        </w:rPr>
        <w:t>无条件承担；</w:t>
      </w:r>
    </w:p>
    <w:p w14:paraId="35A7EFBF">
      <w:pPr>
        <w:widowControl w:val="0"/>
        <w:spacing w:line="360" w:lineRule="auto"/>
        <w:ind w:firstLine="480" w:firstLineChars="200"/>
        <w:jc w:val="both"/>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5.11中标人提供的维修配件、备品耗材的质保期不得低于一年（初、中效过滤器根据实际使用寿命计算），特殊情况下双方协商另行确定质保时间。</w:t>
      </w:r>
    </w:p>
    <w:p w14:paraId="663E890D">
      <w:pPr>
        <w:spacing w:line="360" w:lineRule="auto"/>
        <w:ind w:firstLine="482" w:firstLineChars="200"/>
        <w:rPr>
          <w:rFonts w:hint="eastAsia" w:ascii="仿宋" w:hAnsi="仿宋" w:eastAsia="仿宋" w:cs="仿宋"/>
          <w:b/>
          <w:bCs/>
          <w:color w:val="auto"/>
          <w:sz w:val="24"/>
          <w:szCs w:val="24"/>
          <w:lang w:val="en-US" w:eastAsia="zh-CN"/>
        </w:rPr>
      </w:pPr>
    </w:p>
    <w:p w14:paraId="3CBA111E">
      <w:pPr>
        <w:spacing w:line="360" w:lineRule="auto"/>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六、服务</w:t>
      </w:r>
      <w:r>
        <w:rPr>
          <w:rFonts w:hint="eastAsia" w:ascii="仿宋" w:hAnsi="仿宋" w:eastAsia="仿宋" w:cs="仿宋"/>
          <w:b/>
          <w:bCs/>
          <w:sz w:val="24"/>
          <w:szCs w:val="24"/>
        </w:rPr>
        <w:t>要求</w:t>
      </w:r>
      <w:r>
        <w:rPr>
          <w:rFonts w:hint="eastAsia" w:ascii="仿宋" w:hAnsi="仿宋" w:eastAsia="仿宋" w:cs="仿宋"/>
          <w:b/>
          <w:bCs/>
          <w:color w:val="auto"/>
          <w:sz w:val="24"/>
          <w:szCs w:val="24"/>
          <w:lang w:val="en-US" w:eastAsia="zh-CN"/>
        </w:rPr>
        <w:t>：</w:t>
      </w:r>
    </w:p>
    <w:p w14:paraId="16E72204">
      <w:pPr>
        <w:spacing w:line="360" w:lineRule="auto"/>
        <w:ind w:firstLine="480" w:firstLineChars="200"/>
        <w:rPr>
          <w:rFonts w:hint="eastAsia" w:ascii="仿宋" w:hAnsi="仿宋" w:eastAsia="仿宋" w:cs="仿宋"/>
          <w:sz w:val="24"/>
          <w:szCs w:val="24"/>
          <w:lang w:eastAsia="zh-CN"/>
        </w:rPr>
      </w:pPr>
      <w:r>
        <w:rPr>
          <w:rFonts w:hint="eastAsia" w:ascii="仿宋" w:hAnsi="仿宋" w:eastAsia="仿宋" w:cs="仿宋"/>
          <w:sz w:val="24"/>
          <w:szCs w:val="24"/>
          <w:lang w:val="en-US" w:eastAsia="zh-CN"/>
        </w:rPr>
        <w:t>6.</w:t>
      </w:r>
      <w:r>
        <w:rPr>
          <w:rFonts w:hint="eastAsia" w:ascii="仿宋" w:hAnsi="仿宋" w:eastAsia="仿宋" w:cs="仿宋"/>
          <w:sz w:val="24"/>
          <w:szCs w:val="24"/>
        </w:rPr>
        <w:t>1</w:t>
      </w:r>
      <w:r>
        <w:rPr>
          <w:rFonts w:hint="eastAsia" w:ascii="仿宋" w:hAnsi="仿宋" w:eastAsia="仿宋" w:cs="仿宋"/>
          <w:sz w:val="24"/>
          <w:szCs w:val="24"/>
          <w:lang w:eastAsia="zh-CN"/>
        </w:rPr>
        <w:t>中标人</w:t>
      </w:r>
      <w:r>
        <w:rPr>
          <w:rFonts w:hint="eastAsia" w:ascii="仿宋" w:hAnsi="仿宋" w:eastAsia="仿宋" w:cs="仿宋"/>
          <w:sz w:val="24"/>
          <w:szCs w:val="24"/>
        </w:rPr>
        <w:t>必须根据净化系统设备预防维护管理的有关规程进行定期检查、维护保养和故障抢修，做到服务规范、维修及时、合理养护、管理落实，保证设备正常使用及安全运行</w:t>
      </w:r>
      <w:r>
        <w:rPr>
          <w:rFonts w:hint="eastAsia" w:ascii="仿宋" w:hAnsi="仿宋" w:eastAsia="仿宋" w:cs="仿宋"/>
          <w:sz w:val="24"/>
          <w:szCs w:val="24"/>
          <w:lang w:eastAsia="zh-CN"/>
        </w:rPr>
        <w:t>；</w:t>
      </w:r>
    </w:p>
    <w:p w14:paraId="164CE8A8">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6.</w:t>
      </w:r>
      <w:r>
        <w:rPr>
          <w:rFonts w:hint="eastAsia" w:ascii="仿宋" w:hAnsi="仿宋" w:eastAsia="仿宋" w:cs="仿宋"/>
          <w:sz w:val="24"/>
          <w:szCs w:val="24"/>
        </w:rPr>
        <w:t>2</w:t>
      </w:r>
      <w:r>
        <w:rPr>
          <w:rFonts w:hint="eastAsia" w:ascii="仿宋" w:hAnsi="仿宋" w:eastAsia="仿宋" w:cs="仿宋"/>
          <w:sz w:val="24"/>
          <w:szCs w:val="24"/>
          <w:lang w:eastAsia="zh-CN"/>
        </w:rPr>
        <w:t>中标人</w:t>
      </w:r>
      <w:r>
        <w:rPr>
          <w:rFonts w:hint="eastAsia" w:ascii="仿宋" w:hAnsi="仿宋" w:eastAsia="仿宋" w:cs="仿宋"/>
          <w:sz w:val="24"/>
          <w:szCs w:val="24"/>
          <w:lang w:val="en-US" w:eastAsia="zh-CN"/>
        </w:rPr>
        <w:t>应</w:t>
      </w:r>
      <w:r>
        <w:rPr>
          <w:rFonts w:hint="eastAsia" w:ascii="仿宋" w:hAnsi="仿宋" w:eastAsia="仿宋" w:cs="仿宋"/>
          <w:sz w:val="24"/>
          <w:szCs w:val="24"/>
        </w:rPr>
        <w:t>做好定期维护管理计划</w:t>
      </w:r>
      <w:r>
        <w:rPr>
          <w:rFonts w:hint="eastAsia" w:ascii="仿宋" w:hAnsi="仿宋" w:eastAsia="仿宋" w:cs="仿宋"/>
          <w:sz w:val="24"/>
          <w:szCs w:val="24"/>
          <w:lang w:eastAsia="zh-CN"/>
        </w:rPr>
        <w:t>和</w:t>
      </w:r>
      <w:r>
        <w:rPr>
          <w:rFonts w:hint="eastAsia" w:ascii="仿宋" w:hAnsi="仿宋" w:eastAsia="仿宋" w:cs="仿宋"/>
          <w:sz w:val="24"/>
          <w:szCs w:val="24"/>
        </w:rPr>
        <w:t>安排，严格按照</w:t>
      </w:r>
      <w:r>
        <w:rPr>
          <w:rFonts w:hint="eastAsia" w:ascii="仿宋" w:hAnsi="仿宋" w:eastAsia="仿宋" w:cs="仿宋"/>
          <w:sz w:val="24"/>
          <w:szCs w:val="24"/>
          <w:lang w:val="en-US" w:eastAsia="zh-CN"/>
        </w:rPr>
        <w:t>净化空调</w:t>
      </w:r>
      <w:r>
        <w:rPr>
          <w:rFonts w:hint="eastAsia" w:ascii="仿宋" w:hAnsi="仿宋" w:eastAsia="仿宋" w:cs="仿宋"/>
          <w:sz w:val="24"/>
          <w:szCs w:val="24"/>
        </w:rPr>
        <w:t>管理</w:t>
      </w:r>
      <w:r>
        <w:rPr>
          <w:rFonts w:hint="eastAsia" w:ascii="仿宋" w:hAnsi="仿宋" w:eastAsia="仿宋" w:cs="仿宋"/>
          <w:sz w:val="24"/>
          <w:szCs w:val="24"/>
          <w:lang w:val="en-US" w:eastAsia="zh-CN"/>
        </w:rPr>
        <w:t>要求</w:t>
      </w:r>
      <w:r>
        <w:rPr>
          <w:rFonts w:hint="eastAsia" w:ascii="仿宋" w:hAnsi="仿宋" w:eastAsia="仿宋" w:cs="仿宋"/>
          <w:sz w:val="24"/>
          <w:szCs w:val="24"/>
        </w:rPr>
        <w:t>进行维护</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维修工作</w:t>
      </w:r>
      <w:r>
        <w:rPr>
          <w:rFonts w:hint="eastAsia" w:ascii="仿宋" w:hAnsi="仿宋" w:eastAsia="仿宋" w:cs="仿宋"/>
          <w:sz w:val="24"/>
          <w:szCs w:val="24"/>
        </w:rPr>
        <w:t>并做好</w:t>
      </w:r>
      <w:r>
        <w:rPr>
          <w:rFonts w:hint="eastAsia" w:ascii="仿宋" w:hAnsi="仿宋" w:eastAsia="仿宋" w:cs="仿宋"/>
          <w:sz w:val="24"/>
          <w:szCs w:val="24"/>
          <w:lang w:val="en-US" w:eastAsia="zh-CN"/>
        </w:rPr>
        <w:t>相关</w:t>
      </w:r>
      <w:r>
        <w:rPr>
          <w:rFonts w:hint="eastAsia" w:ascii="仿宋" w:hAnsi="仿宋" w:eastAsia="仿宋" w:cs="仿宋"/>
          <w:sz w:val="24"/>
          <w:szCs w:val="24"/>
        </w:rPr>
        <w:t>现场记录，</w:t>
      </w:r>
      <w:r>
        <w:rPr>
          <w:rFonts w:hint="eastAsia" w:ascii="仿宋" w:hAnsi="仿宋" w:eastAsia="仿宋" w:cs="仿宋"/>
          <w:sz w:val="24"/>
          <w:szCs w:val="24"/>
          <w:lang w:val="en-US" w:eastAsia="zh-CN"/>
        </w:rPr>
        <w:t>原始工作记录</w:t>
      </w:r>
      <w:r>
        <w:rPr>
          <w:rFonts w:hint="eastAsia" w:ascii="仿宋" w:hAnsi="仿宋" w:eastAsia="仿宋" w:cs="仿宋"/>
          <w:sz w:val="24"/>
          <w:szCs w:val="24"/>
        </w:rPr>
        <w:t>送呈</w:t>
      </w:r>
      <w:r>
        <w:rPr>
          <w:rFonts w:hint="eastAsia" w:ascii="仿宋" w:hAnsi="仿宋" w:eastAsia="仿宋" w:cs="仿宋"/>
          <w:sz w:val="24"/>
          <w:szCs w:val="24"/>
          <w:lang w:val="en-US" w:eastAsia="zh-CN"/>
        </w:rPr>
        <w:t>采购人的主管部门</w:t>
      </w:r>
      <w:r>
        <w:rPr>
          <w:rFonts w:hint="eastAsia" w:ascii="仿宋" w:hAnsi="仿宋" w:eastAsia="仿宋" w:cs="仿宋"/>
          <w:color w:val="auto"/>
          <w:sz w:val="24"/>
          <w:szCs w:val="24"/>
          <w:lang w:val="en-US" w:eastAsia="zh-CN"/>
        </w:rPr>
        <w:t>存档备查；</w:t>
      </w:r>
    </w:p>
    <w:p w14:paraId="3A3A603F">
      <w:pPr>
        <w:numPr>
          <w:ilvl w:val="0"/>
          <w:numId w:val="0"/>
        </w:numPr>
        <w:spacing w:line="360" w:lineRule="auto"/>
        <w:ind w:firstLine="480" w:firstLineChars="20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6.</w:t>
      </w:r>
      <w:r>
        <w:rPr>
          <w:rFonts w:hint="eastAsia" w:ascii="仿宋" w:hAnsi="仿宋" w:eastAsia="仿宋" w:cs="仿宋"/>
          <w:color w:val="000000"/>
          <w:sz w:val="24"/>
          <w:szCs w:val="24"/>
        </w:rPr>
        <w:t>3</w:t>
      </w:r>
      <w:r>
        <w:rPr>
          <w:rFonts w:hint="eastAsia" w:ascii="仿宋" w:hAnsi="仿宋" w:eastAsia="仿宋" w:cs="仿宋"/>
          <w:color w:val="000000"/>
          <w:sz w:val="24"/>
          <w:szCs w:val="24"/>
          <w:lang w:val="en-US" w:eastAsia="zh-CN"/>
        </w:rPr>
        <w:t>维保期间发生价值</w:t>
      </w:r>
      <w:r>
        <w:rPr>
          <w:rFonts w:hint="eastAsia" w:ascii="仿宋" w:hAnsi="仿宋" w:eastAsia="仿宋" w:cs="仿宋"/>
          <w:color w:val="000000"/>
          <w:sz w:val="24"/>
          <w:szCs w:val="24"/>
        </w:rPr>
        <w:t>低于</w:t>
      </w:r>
      <w:r>
        <w:rPr>
          <w:rFonts w:hint="eastAsia" w:ascii="仿宋" w:hAnsi="仿宋" w:eastAsia="仿宋" w:cs="仿宋"/>
          <w:color w:val="000000"/>
          <w:sz w:val="24"/>
          <w:szCs w:val="24"/>
          <w:lang w:val="en-US" w:eastAsia="zh-CN"/>
        </w:rPr>
        <w:t>1000</w:t>
      </w:r>
      <w:r>
        <w:rPr>
          <w:rFonts w:hint="eastAsia" w:ascii="仿宋" w:hAnsi="仿宋" w:eastAsia="仿宋" w:cs="仿宋"/>
          <w:color w:val="000000"/>
          <w:sz w:val="24"/>
          <w:szCs w:val="24"/>
        </w:rPr>
        <w:t>元</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lang w:val="en-US" w:eastAsia="zh-CN"/>
        </w:rPr>
        <w:t>含1000元</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的</w:t>
      </w:r>
      <w:r>
        <w:rPr>
          <w:rFonts w:hint="eastAsia" w:ascii="仿宋" w:hAnsi="仿宋" w:eastAsia="仿宋" w:cs="仿宋"/>
          <w:color w:val="000000"/>
          <w:sz w:val="24"/>
          <w:szCs w:val="24"/>
          <w:lang w:val="en-US" w:eastAsia="zh-CN"/>
        </w:rPr>
        <w:t>单个维修材料费用</w:t>
      </w:r>
      <w:r>
        <w:rPr>
          <w:rFonts w:hint="eastAsia" w:ascii="仿宋" w:hAnsi="仿宋" w:eastAsia="仿宋" w:cs="仿宋"/>
          <w:color w:val="000000"/>
          <w:sz w:val="24"/>
          <w:szCs w:val="24"/>
        </w:rPr>
        <w:t>由</w:t>
      </w:r>
      <w:r>
        <w:rPr>
          <w:rFonts w:hint="eastAsia" w:ascii="仿宋" w:hAnsi="仿宋" w:eastAsia="仿宋" w:cs="仿宋"/>
          <w:color w:val="000000"/>
          <w:sz w:val="24"/>
          <w:szCs w:val="24"/>
          <w:lang w:val="en-US" w:eastAsia="zh-CN"/>
        </w:rPr>
        <w:t>中标人无条件承担</w:t>
      </w:r>
      <w:r>
        <w:rPr>
          <w:rFonts w:hint="eastAsia" w:ascii="仿宋" w:hAnsi="仿宋" w:eastAsia="仿宋" w:cs="仿宋"/>
          <w:color w:val="000000"/>
          <w:sz w:val="24"/>
          <w:szCs w:val="24"/>
        </w:rPr>
        <w:t>。</w:t>
      </w:r>
      <w:r>
        <w:rPr>
          <w:rFonts w:hint="eastAsia" w:ascii="仿宋" w:hAnsi="仿宋" w:eastAsia="仿宋" w:cs="仿宋"/>
          <w:color w:val="000000"/>
          <w:sz w:val="24"/>
          <w:szCs w:val="24"/>
          <w:lang w:val="en-US" w:eastAsia="zh-CN"/>
        </w:rPr>
        <w:t>发生价值10</w:t>
      </w:r>
      <w:r>
        <w:rPr>
          <w:rFonts w:hint="eastAsia" w:ascii="仿宋" w:hAnsi="仿宋" w:eastAsia="仿宋" w:cs="仿宋"/>
          <w:color w:val="000000"/>
          <w:sz w:val="24"/>
          <w:szCs w:val="24"/>
        </w:rPr>
        <w:t>00元以上</w:t>
      </w:r>
      <w:r>
        <w:rPr>
          <w:rFonts w:hint="eastAsia" w:ascii="仿宋" w:hAnsi="仿宋" w:eastAsia="仿宋" w:cs="仿宋"/>
          <w:color w:val="000000"/>
          <w:sz w:val="24"/>
          <w:szCs w:val="24"/>
          <w:lang w:eastAsia="zh-CN"/>
        </w:rPr>
        <w:t>的</w:t>
      </w:r>
      <w:r>
        <w:rPr>
          <w:rFonts w:hint="eastAsia" w:ascii="仿宋" w:hAnsi="仿宋" w:eastAsia="仿宋" w:cs="仿宋"/>
          <w:color w:val="000000"/>
          <w:sz w:val="24"/>
          <w:szCs w:val="24"/>
          <w:lang w:val="en-US" w:eastAsia="zh-CN"/>
        </w:rPr>
        <w:t>单个维修</w:t>
      </w:r>
      <w:r>
        <w:rPr>
          <w:rFonts w:hint="eastAsia" w:ascii="仿宋" w:hAnsi="仿宋" w:eastAsia="仿宋" w:cs="仿宋"/>
          <w:color w:val="000000"/>
          <w:sz w:val="24"/>
          <w:szCs w:val="24"/>
        </w:rPr>
        <w:t>材料</w:t>
      </w:r>
      <w:r>
        <w:rPr>
          <w:rFonts w:hint="eastAsia" w:ascii="仿宋" w:hAnsi="仿宋" w:eastAsia="仿宋" w:cs="仿宋"/>
          <w:color w:val="000000"/>
          <w:sz w:val="24"/>
          <w:szCs w:val="24"/>
          <w:lang w:val="en-US" w:eastAsia="zh-CN"/>
        </w:rPr>
        <w:t>费用由</w:t>
      </w:r>
      <w:r>
        <w:rPr>
          <w:rFonts w:hint="eastAsia" w:ascii="仿宋" w:hAnsi="仿宋" w:eastAsia="仿宋" w:cs="仿宋"/>
          <w:color w:val="000000"/>
          <w:sz w:val="24"/>
          <w:szCs w:val="24"/>
          <w:lang w:eastAsia="zh-CN"/>
        </w:rPr>
        <w:t>中标人</w:t>
      </w:r>
      <w:r>
        <w:rPr>
          <w:rFonts w:hint="eastAsia" w:ascii="仿宋" w:hAnsi="仿宋" w:eastAsia="仿宋" w:cs="仿宋"/>
          <w:color w:val="000000"/>
          <w:sz w:val="24"/>
          <w:szCs w:val="24"/>
        </w:rPr>
        <w:t>列</w:t>
      </w:r>
      <w:r>
        <w:rPr>
          <w:rFonts w:hint="eastAsia" w:ascii="仿宋" w:hAnsi="仿宋" w:eastAsia="仿宋" w:cs="仿宋"/>
          <w:color w:val="000000"/>
          <w:sz w:val="24"/>
          <w:szCs w:val="24"/>
          <w:lang w:val="en-US" w:eastAsia="zh-CN"/>
        </w:rPr>
        <w:t>明</w:t>
      </w:r>
      <w:r>
        <w:rPr>
          <w:rFonts w:hint="eastAsia" w:ascii="仿宋" w:hAnsi="仿宋" w:eastAsia="仿宋" w:cs="仿宋"/>
          <w:color w:val="000000"/>
          <w:sz w:val="24"/>
          <w:szCs w:val="24"/>
        </w:rPr>
        <w:t>具体材料清单</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含型号、数量</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报价</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w:t>
      </w:r>
      <w:r>
        <w:rPr>
          <w:rFonts w:hint="eastAsia" w:ascii="仿宋" w:hAnsi="仿宋" w:eastAsia="仿宋" w:cs="仿宋"/>
          <w:color w:val="000000"/>
          <w:sz w:val="24"/>
          <w:szCs w:val="24"/>
          <w:lang w:val="en-US" w:eastAsia="zh-CN"/>
        </w:rPr>
        <w:t>经采购人的主管部门书面</w:t>
      </w:r>
      <w:r>
        <w:rPr>
          <w:rFonts w:hint="eastAsia" w:ascii="仿宋" w:hAnsi="仿宋" w:eastAsia="仿宋" w:cs="仿宋"/>
          <w:color w:val="000000"/>
          <w:sz w:val="24"/>
          <w:szCs w:val="24"/>
        </w:rPr>
        <w:t>认可</w:t>
      </w:r>
      <w:r>
        <w:rPr>
          <w:rFonts w:hint="eastAsia" w:ascii="仿宋" w:hAnsi="仿宋" w:eastAsia="仿宋" w:cs="仿宋"/>
          <w:color w:val="000000"/>
          <w:sz w:val="24"/>
          <w:szCs w:val="24"/>
          <w:lang w:val="en-US" w:eastAsia="zh-CN"/>
        </w:rPr>
        <w:t>后方可更换；中标人不得故意拖延和累积后再行维修。</w:t>
      </w:r>
    </w:p>
    <w:p w14:paraId="04C77CC4">
      <w:pPr>
        <w:numPr>
          <w:ilvl w:val="0"/>
          <w:numId w:val="0"/>
        </w:numPr>
        <w:spacing w:line="360" w:lineRule="auto"/>
        <w:ind w:firstLine="480" w:firstLineChars="200"/>
        <w:jc w:val="both"/>
        <w:rPr>
          <w:rFonts w:hint="eastAsia" w:ascii="仿宋" w:hAnsi="仿宋" w:eastAsia="仿宋" w:cs="仿宋"/>
          <w:sz w:val="24"/>
          <w:szCs w:val="24"/>
          <w:lang w:val="en-US" w:eastAsia="zh-CN"/>
        </w:rPr>
      </w:pPr>
      <w:r>
        <w:rPr>
          <w:rFonts w:hint="eastAsia" w:ascii="仿宋" w:hAnsi="仿宋" w:eastAsia="仿宋" w:cs="仿宋"/>
          <w:color w:val="auto"/>
          <w:sz w:val="24"/>
          <w:szCs w:val="24"/>
          <w:lang w:val="en-US" w:eastAsia="zh-CN"/>
        </w:rPr>
        <w:t>6.4中标人零配件的供货价格不得高于同期市场价或往年维保服务供货的最低价格。如因中标人零配件供货价格不能满足上述要求，采购人</w:t>
      </w:r>
      <w:r>
        <w:rPr>
          <w:rFonts w:hint="eastAsia" w:ascii="仿宋" w:hAnsi="仿宋" w:eastAsia="仿宋" w:cs="仿宋"/>
          <w:bCs/>
          <w:color w:val="auto"/>
          <w:kern w:val="0"/>
          <w:sz w:val="24"/>
          <w:szCs w:val="24"/>
          <w:lang w:val="en-US" w:eastAsia="zh-CN"/>
        </w:rPr>
        <w:t>有权自主选择</w:t>
      </w:r>
      <w:r>
        <w:rPr>
          <w:rFonts w:hint="eastAsia" w:ascii="仿宋" w:hAnsi="仿宋" w:eastAsia="仿宋" w:cs="仿宋"/>
          <w:color w:val="auto"/>
          <w:sz w:val="24"/>
          <w:szCs w:val="24"/>
          <w:lang w:val="en-US" w:eastAsia="zh-CN"/>
        </w:rPr>
        <w:t>零配件供应商，包括但不限于厂家或第三方，中标人不得以任何理由</w:t>
      </w:r>
      <w:r>
        <w:rPr>
          <w:rFonts w:hint="eastAsia" w:ascii="仿宋" w:hAnsi="仿宋" w:eastAsia="仿宋" w:cs="仿宋"/>
          <w:bCs/>
          <w:color w:val="auto"/>
          <w:sz w:val="24"/>
          <w:szCs w:val="24"/>
          <w:highlight w:val="none"/>
          <w:shd w:val="clear" w:color="auto" w:fill="auto"/>
        </w:rPr>
        <w:t>延</w:t>
      </w:r>
      <w:r>
        <w:rPr>
          <w:rFonts w:hint="eastAsia" w:ascii="仿宋" w:hAnsi="仿宋" w:eastAsia="仿宋" w:cs="仿宋"/>
          <w:bCs/>
          <w:color w:val="auto"/>
          <w:sz w:val="24"/>
          <w:szCs w:val="24"/>
          <w:highlight w:val="none"/>
          <w:shd w:val="clear" w:color="auto" w:fill="auto"/>
          <w:lang w:val="en-US" w:eastAsia="zh-CN"/>
        </w:rPr>
        <w:t>误</w:t>
      </w:r>
      <w:r>
        <w:rPr>
          <w:rFonts w:hint="eastAsia" w:ascii="仿宋" w:hAnsi="仿宋" w:eastAsia="仿宋" w:cs="仿宋"/>
          <w:color w:val="auto"/>
          <w:sz w:val="24"/>
          <w:szCs w:val="24"/>
          <w:lang w:val="en-US" w:eastAsia="zh-CN"/>
        </w:rPr>
        <w:t>或拒绝予以维保；</w:t>
      </w:r>
    </w:p>
    <w:p w14:paraId="037838B4">
      <w:pPr>
        <w:widowControl w:val="0"/>
        <w:spacing w:line="360" w:lineRule="auto"/>
        <w:ind w:firstLine="480" w:firstLineChars="200"/>
        <w:jc w:val="both"/>
        <w:rPr>
          <w:rFonts w:hint="eastAsia" w:ascii="仿宋" w:hAnsi="仿宋" w:eastAsia="仿宋" w:cs="仿宋"/>
          <w:color w:val="auto"/>
          <w:kern w:val="2"/>
          <w:sz w:val="24"/>
          <w:szCs w:val="24"/>
          <w:lang w:val="en-US" w:eastAsia="zh-CN" w:bidi="ar-SA"/>
        </w:rPr>
      </w:pPr>
      <w:r>
        <w:rPr>
          <w:rFonts w:hint="eastAsia" w:ascii="仿宋" w:hAnsi="仿宋" w:eastAsia="仿宋" w:cs="仿宋"/>
          <w:kern w:val="2"/>
          <w:sz w:val="24"/>
          <w:szCs w:val="24"/>
          <w:lang w:val="en-US" w:eastAsia="zh-CN" w:bidi="ar-SA"/>
        </w:rPr>
        <w:t>6.5中标人保证维保所需的零配件及耗品耗材应为全新、合格的原厂件，产品</w:t>
      </w:r>
      <w:r>
        <w:rPr>
          <w:rFonts w:hint="eastAsia" w:ascii="仿宋" w:hAnsi="仿宋" w:eastAsia="仿宋" w:cs="仿宋"/>
          <w:color w:val="auto"/>
          <w:kern w:val="2"/>
          <w:sz w:val="24"/>
          <w:szCs w:val="24"/>
          <w:lang w:val="en-US" w:eastAsia="zh-CN" w:bidi="ar-SA"/>
        </w:rPr>
        <w:t>质量符合国家或行业的相关标准要求；</w:t>
      </w:r>
    </w:p>
    <w:p w14:paraId="7AA36842">
      <w:pPr>
        <w:widowControl w:val="0"/>
        <w:spacing w:line="360" w:lineRule="auto"/>
        <w:ind w:firstLine="480" w:firstLineChars="200"/>
        <w:jc w:val="both"/>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6.6中标人应储备有足够数量与满足服务需要的易损耗品及配件，保证一般故障4小时内排除，大故障2个工作日内排除，特大故障（压缩机、表冷器损坏等）最长停机时间不得超过</w:t>
      </w:r>
      <w:r>
        <w:rPr>
          <w:rFonts w:hint="eastAsia" w:ascii="仿宋" w:hAnsi="仿宋" w:eastAsia="仿宋" w:cs="仿宋"/>
          <w:color w:val="000000"/>
          <w:kern w:val="2"/>
          <w:sz w:val="24"/>
          <w:szCs w:val="24"/>
          <w:lang w:val="en-US" w:eastAsia="zh-CN" w:bidi="ar-SA"/>
        </w:rPr>
        <w:t>7个工作日；</w:t>
      </w:r>
    </w:p>
    <w:p w14:paraId="67F7BA5F">
      <w:pPr>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6.7中标人保证维保设备无故障开机率≥95%，按一年365天，每天24小时计算；若无故障开机率低于95%，停机时间每超过一天，维保期则顺延五天。</w:t>
      </w:r>
    </w:p>
    <w:p w14:paraId="313615C1">
      <w:pPr>
        <w:spacing w:line="360" w:lineRule="auto"/>
        <w:ind w:firstLine="482" w:firstLineChars="200"/>
        <w:rPr>
          <w:rFonts w:hint="eastAsia" w:ascii="仿宋" w:hAnsi="仿宋" w:eastAsia="仿宋" w:cs="仿宋"/>
          <w:b/>
          <w:bCs/>
          <w:sz w:val="24"/>
          <w:szCs w:val="24"/>
          <w:lang w:val="en-US" w:eastAsia="zh-CN"/>
        </w:rPr>
      </w:pPr>
    </w:p>
    <w:p w14:paraId="1944D611">
      <w:pPr>
        <w:spacing w:line="360" w:lineRule="auto"/>
        <w:rPr>
          <w:rFonts w:hint="eastAsia" w:ascii="仿宋" w:hAnsi="仿宋" w:eastAsia="仿宋" w:cs="仿宋"/>
          <w:sz w:val="24"/>
          <w:szCs w:val="24"/>
          <w:lang w:eastAsia="zh-CN"/>
        </w:rPr>
      </w:pPr>
      <w:r>
        <w:rPr>
          <w:rFonts w:hint="eastAsia" w:ascii="仿宋" w:hAnsi="仿宋" w:eastAsia="仿宋" w:cs="仿宋"/>
          <w:b/>
          <w:bCs/>
          <w:sz w:val="24"/>
          <w:szCs w:val="24"/>
          <w:lang w:val="en-US" w:eastAsia="zh-CN"/>
        </w:rPr>
        <w:t>七、服务</w:t>
      </w:r>
      <w:r>
        <w:rPr>
          <w:rFonts w:hint="eastAsia" w:ascii="仿宋" w:hAnsi="仿宋" w:eastAsia="仿宋" w:cs="仿宋"/>
          <w:b/>
          <w:bCs/>
          <w:sz w:val="24"/>
          <w:szCs w:val="24"/>
        </w:rPr>
        <w:t>责任</w:t>
      </w:r>
      <w:r>
        <w:rPr>
          <w:rFonts w:hint="eastAsia" w:ascii="仿宋" w:hAnsi="仿宋" w:eastAsia="仿宋" w:cs="仿宋"/>
          <w:b/>
          <w:bCs/>
          <w:sz w:val="24"/>
          <w:szCs w:val="24"/>
          <w:lang w:eastAsia="zh-CN"/>
        </w:rPr>
        <w:t>：</w:t>
      </w:r>
    </w:p>
    <w:p w14:paraId="79D88A02">
      <w:pPr>
        <w:widowControl w:val="0"/>
        <w:spacing w:line="360" w:lineRule="auto"/>
        <w:ind w:firstLine="480" w:firstLineChars="200"/>
        <w:jc w:val="both"/>
        <w:rPr>
          <w:rFonts w:hint="eastAsia" w:ascii="仿宋" w:hAnsi="仿宋" w:eastAsia="仿宋" w:cs="仿宋"/>
          <w:color w:val="auto"/>
          <w:kern w:val="2"/>
          <w:sz w:val="24"/>
          <w:szCs w:val="24"/>
          <w:lang w:val="en-US" w:eastAsia="zh-CN" w:bidi="ar-SA"/>
        </w:rPr>
      </w:pPr>
      <w:r>
        <w:rPr>
          <w:rFonts w:hint="eastAsia" w:ascii="仿宋" w:hAnsi="仿宋" w:eastAsia="仿宋" w:cs="仿宋"/>
          <w:kern w:val="2"/>
          <w:sz w:val="24"/>
          <w:szCs w:val="24"/>
          <w:lang w:val="en-US" w:eastAsia="zh-CN" w:bidi="ar-SA"/>
        </w:rPr>
        <w:t>7.1</w:t>
      </w:r>
      <w:r>
        <w:rPr>
          <w:rFonts w:hint="eastAsia" w:ascii="仿宋" w:hAnsi="仿宋" w:eastAsia="仿宋" w:cs="仿宋"/>
          <w:color w:val="auto"/>
          <w:kern w:val="2"/>
          <w:sz w:val="24"/>
          <w:szCs w:val="24"/>
          <w:lang w:val="en-US" w:eastAsia="zh-CN" w:bidi="ar-SA"/>
        </w:rPr>
        <w:t>中标人无条件承担派驻岗位人员及管理范围内设备设施的安全生产责任，</w:t>
      </w:r>
      <w:r>
        <w:rPr>
          <w:rFonts w:hint="eastAsia" w:ascii="仿宋" w:hAnsi="仿宋" w:eastAsia="仿宋" w:cs="仿宋"/>
          <w:color w:val="auto"/>
          <w:kern w:val="0"/>
          <w:sz w:val="24"/>
          <w:szCs w:val="24"/>
          <w:u w:val="none"/>
          <w:lang w:val="en-US" w:eastAsia="zh-CN" w:bidi="ar-SA"/>
        </w:rPr>
        <w:t>因违章操作、措施不当、质量缺陷或服务能力等问题，</w:t>
      </w:r>
      <w:r>
        <w:rPr>
          <w:rFonts w:hint="eastAsia" w:ascii="仿宋" w:hAnsi="仿宋" w:eastAsia="仿宋" w:cs="仿宋"/>
          <w:color w:val="auto"/>
          <w:kern w:val="2"/>
          <w:sz w:val="24"/>
          <w:szCs w:val="24"/>
          <w:lang w:val="en-US" w:eastAsia="zh-CN" w:bidi="ar-SA"/>
        </w:rPr>
        <w:t>造成的直接损失或间接损失，采购人有权要求中标人承担全部赔偿责任；</w:t>
      </w:r>
    </w:p>
    <w:p w14:paraId="51E5A669">
      <w:pPr>
        <w:spacing w:line="360" w:lineRule="auto"/>
        <w:ind w:firstLine="480" w:firstLineChars="200"/>
        <w:rPr>
          <w:rFonts w:hint="eastAsia" w:ascii="仿宋" w:hAnsi="仿宋" w:eastAsia="仿宋" w:cs="仿宋"/>
          <w:sz w:val="24"/>
          <w:szCs w:val="24"/>
          <w:lang w:eastAsia="zh-CN"/>
        </w:rPr>
      </w:pPr>
      <w:r>
        <w:rPr>
          <w:rFonts w:hint="eastAsia" w:ascii="仿宋" w:hAnsi="仿宋" w:eastAsia="仿宋" w:cs="仿宋"/>
          <w:sz w:val="24"/>
          <w:szCs w:val="24"/>
          <w:lang w:val="en-US" w:eastAsia="zh-CN"/>
        </w:rPr>
        <w:t>7.2</w:t>
      </w:r>
      <w:r>
        <w:rPr>
          <w:rFonts w:hint="eastAsia" w:ascii="仿宋" w:hAnsi="仿宋" w:eastAsia="仿宋" w:cs="仿宋"/>
          <w:sz w:val="24"/>
          <w:szCs w:val="24"/>
          <w:lang w:eastAsia="zh-CN"/>
        </w:rPr>
        <w:t>中标人</w:t>
      </w:r>
      <w:r>
        <w:rPr>
          <w:rFonts w:hint="eastAsia" w:ascii="仿宋" w:hAnsi="仿宋" w:eastAsia="仿宋" w:cs="仿宋"/>
          <w:sz w:val="24"/>
          <w:szCs w:val="24"/>
        </w:rPr>
        <w:t>必须严格按照安全</w:t>
      </w:r>
      <w:r>
        <w:rPr>
          <w:rFonts w:hint="eastAsia" w:ascii="仿宋" w:hAnsi="仿宋" w:eastAsia="仿宋" w:cs="仿宋"/>
          <w:sz w:val="24"/>
          <w:szCs w:val="24"/>
          <w:lang w:val="en-US" w:eastAsia="zh-CN"/>
        </w:rPr>
        <w:t>生产</w:t>
      </w:r>
      <w:r>
        <w:rPr>
          <w:rFonts w:hint="eastAsia" w:ascii="仿宋" w:hAnsi="仿宋" w:eastAsia="仿宋" w:cs="仿宋"/>
          <w:sz w:val="24"/>
          <w:szCs w:val="24"/>
        </w:rPr>
        <w:t>规程进行操作，</w:t>
      </w:r>
      <w:r>
        <w:rPr>
          <w:rFonts w:hint="eastAsia" w:ascii="仿宋" w:hAnsi="仿宋" w:eastAsia="仿宋" w:cs="仿宋"/>
          <w:sz w:val="24"/>
          <w:szCs w:val="24"/>
          <w:lang w:val="en-US" w:eastAsia="zh-CN"/>
        </w:rPr>
        <w:t>保证</w:t>
      </w:r>
      <w:r>
        <w:rPr>
          <w:rFonts w:hint="eastAsia" w:ascii="仿宋" w:hAnsi="仿宋" w:eastAsia="仿宋" w:cs="仿宋"/>
          <w:sz w:val="24"/>
          <w:szCs w:val="24"/>
        </w:rPr>
        <w:t>设备安全和人身安全，未经</w:t>
      </w:r>
      <w:r>
        <w:rPr>
          <w:rFonts w:hint="eastAsia" w:ascii="仿宋" w:hAnsi="仿宋" w:eastAsia="仿宋" w:cs="仿宋"/>
          <w:sz w:val="24"/>
          <w:szCs w:val="24"/>
          <w:lang w:val="en-US" w:eastAsia="zh-CN"/>
        </w:rPr>
        <w:t>采购人</w:t>
      </w:r>
      <w:r>
        <w:rPr>
          <w:rFonts w:hint="eastAsia" w:ascii="仿宋" w:hAnsi="仿宋" w:eastAsia="仿宋" w:cs="仿宋"/>
          <w:sz w:val="24"/>
          <w:szCs w:val="24"/>
        </w:rPr>
        <w:t>同意不</w:t>
      </w:r>
      <w:r>
        <w:rPr>
          <w:rFonts w:hint="eastAsia" w:ascii="仿宋" w:hAnsi="仿宋" w:eastAsia="仿宋" w:cs="仿宋"/>
          <w:sz w:val="24"/>
          <w:szCs w:val="24"/>
          <w:lang w:val="en-US" w:eastAsia="zh-CN"/>
        </w:rPr>
        <w:t>得</w:t>
      </w:r>
      <w:r>
        <w:rPr>
          <w:rFonts w:hint="eastAsia" w:ascii="仿宋" w:hAnsi="仿宋" w:eastAsia="仿宋" w:cs="仿宋"/>
          <w:sz w:val="24"/>
          <w:szCs w:val="24"/>
        </w:rPr>
        <w:t>在</w:t>
      </w:r>
      <w:r>
        <w:rPr>
          <w:rFonts w:hint="eastAsia" w:ascii="仿宋" w:hAnsi="仿宋" w:eastAsia="仿宋" w:cs="仿宋"/>
          <w:sz w:val="24"/>
          <w:szCs w:val="24"/>
          <w:lang w:val="en-US" w:eastAsia="zh-CN"/>
        </w:rPr>
        <w:t>任何区域内进行</w:t>
      </w:r>
      <w:r>
        <w:rPr>
          <w:rFonts w:hint="eastAsia" w:ascii="仿宋" w:hAnsi="仿宋" w:eastAsia="仿宋" w:cs="仿宋"/>
          <w:sz w:val="24"/>
          <w:szCs w:val="24"/>
        </w:rPr>
        <w:t>动火</w:t>
      </w:r>
      <w:r>
        <w:rPr>
          <w:rFonts w:hint="eastAsia" w:ascii="仿宋" w:hAnsi="仿宋" w:eastAsia="仿宋" w:cs="仿宋"/>
          <w:sz w:val="24"/>
          <w:szCs w:val="24"/>
          <w:lang w:val="en-US" w:eastAsia="zh-CN"/>
        </w:rPr>
        <w:t>或</w:t>
      </w:r>
      <w:r>
        <w:rPr>
          <w:rFonts w:hint="eastAsia" w:ascii="仿宋" w:hAnsi="仿宋" w:eastAsia="仿宋" w:cs="仿宋"/>
          <w:sz w:val="24"/>
          <w:szCs w:val="24"/>
        </w:rPr>
        <w:t>电焊等操作，违章</w:t>
      </w:r>
      <w:r>
        <w:rPr>
          <w:rFonts w:hint="eastAsia" w:ascii="仿宋" w:hAnsi="仿宋" w:eastAsia="仿宋" w:cs="仿宋"/>
          <w:sz w:val="24"/>
          <w:szCs w:val="24"/>
          <w:lang w:val="en-US" w:eastAsia="zh-CN"/>
        </w:rPr>
        <w:t>作业</w:t>
      </w:r>
      <w:r>
        <w:rPr>
          <w:rFonts w:hint="eastAsia" w:ascii="仿宋" w:hAnsi="仿宋" w:eastAsia="仿宋" w:cs="仿宋"/>
          <w:sz w:val="24"/>
          <w:szCs w:val="24"/>
        </w:rPr>
        <w:t>所引起的一切</w:t>
      </w:r>
      <w:r>
        <w:rPr>
          <w:rFonts w:hint="eastAsia" w:ascii="仿宋" w:hAnsi="仿宋" w:eastAsia="仿宋" w:cs="仿宋"/>
          <w:sz w:val="24"/>
          <w:szCs w:val="24"/>
          <w:lang w:val="en-US" w:eastAsia="zh-CN"/>
        </w:rPr>
        <w:t>法律</w:t>
      </w:r>
      <w:r>
        <w:rPr>
          <w:rFonts w:hint="eastAsia" w:ascii="仿宋" w:hAnsi="仿宋" w:eastAsia="仿宋" w:cs="仿宋"/>
          <w:sz w:val="24"/>
          <w:szCs w:val="24"/>
        </w:rPr>
        <w:t>后果</w:t>
      </w:r>
      <w:r>
        <w:rPr>
          <w:rFonts w:hint="eastAsia" w:ascii="仿宋" w:hAnsi="仿宋" w:eastAsia="仿宋" w:cs="仿宋"/>
          <w:sz w:val="24"/>
          <w:szCs w:val="24"/>
          <w:lang w:eastAsia="zh-CN"/>
        </w:rPr>
        <w:t>和</w:t>
      </w:r>
      <w:r>
        <w:rPr>
          <w:rFonts w:hint="eastAsia" w:ascii="仿宋" w:hAnsi="仿宋" w:eastAsia="仿宋" w:cs="仿宋"/>
          <w:sz w:val="24"/>
          <w:szCs w:val="24"/>
        </w:rPr>
        <w:t>经济损失</w:t>
      </w:r>
      <w:r>
        <w:rPr>
          <w:rFonts w:hint="eastAsia" w:ascii="仿宋" w:hAnsi="仿宋" w:eastAsia="仿宋" w:cs="仿宋"/>
          <w:sz w:val="24"/>
          <w:szCs w:val="24"/>
          <w:lang w:val="en-US" w:eastAsia="zh-CN"/>
        </w:rPr>
        <w:t>应</w:t>
      </w:r>
      <w:r>
        <w:rPr>
          <w:rFonts w:hint="eastAsia" w:ascii="仿宋" w:hAnsi="仿宋" w:eastAsia="仿宋" w:cs="仿宋"/>
          <w:sz w:val="24"/>
          <w:szCs w:val="24"/>
        </w:rPr>
        <w:t>由</w:t>
      </w:r>
      <w:r>
        <w:rPr>
          <w:rFonts w:hint="eastAsia" w:ascii="仿宋" w:hAnsi="仿宋" w:eastAsia="仿宋" w:cs="仿宋"/>
          <w:sz w:val="24"/>
          <w:szCs w:val="24"/>
          <w:lang w:eastAsia="zh-CN"/>
        </w:rPr>
        <w:t>中标人</w:t>
      </w:r>
      <w:r>
        <w:rPr>
          <w:rFonts w:hint="eastAsia" w:ascii="仿宋" w:hAnsi="仿宋" w:eastAsia="仿宋" w:cs="仿宋"/>
          <w:sz w:val="24"/>
          <w:szCs w:val="24"/>
        </w:rPr>
        <w:t>承担</w:t>
      </w:r>
      <w:r>
        <w:rPr>
          <w:rFonts w:hint="eastAsia" w:ascii="仿宋" w:hAnsi="仿宋" w:eastAsia="仿宋" w:cs="仿宋"/>
          <w:sz w:val="24"/>
          <w:szCs w:val="24"/>
          <w:lang w:eastAsia="zh-CN"/>
        </w:rPr>
        <w:t>；</w:t>
      </w:r>
    </w:p>
    <w:p w14:paraId="50D8A74A">
      <w:pPr>
        <w:spacing w:line="360" w:lineRule="auto"/>
        <w:ind w:firstLine="480" w:firstLineChars="200"/>
        <w:rPr>
          <w:rFonts w:hint="eastAsia" w:ascii="仿宋" w:hAnsi="仿宋" w:eastAsia="仿宋" w:cs="仿宋"/>
          <w:b/>
          <w:bCs/>
          <w:color w:val="000000"/>
          <w:sz w:val="24"/>
          <w:szCs w:val="24"/>
          <w:lang w:val="en-US" w:eastAsia="zh-CN"/>
        </w:rPr>
      </w:pPr>
      <w:r>
        <w:rPr>
          <w:rFonts w:hint="eastAsia" w:ascii="仿宋" w:hAnsi="仿宋" w:eastAsia="仿宋" w:cs="仿宋"/>
          <w:sz w:val="24"/>
          <w:szCs w:val="24"/>
          <w:lang w:val="en-US" w:eastAsia="zh-CN"/>
        </w:rPr>
        <w:t>7.3因中标人履约不及时、不到位或服务</w:t>
      </w:r>
      <w:r>
        <w:rPr>
          <w:rFonts w:hint="eastAsia" w:ascii="仿宋" w:hAnsi="仿宋" w:eastAsia="仿宋" w:cs="仿宋"/>
          <w:color w:val="000000"/>
          <w:sz w:val="24"/>
          <w:szCs w:val="24"/>
          <w:lang w:val="en-US" w:eastAsia="zh-CN"/>
        </w:rPr>
        <w:t>能力缺陷，造成洁净度指标检测不合格，中标人应无条件对不合格问题和安全隐患进行整改，全部整改费用和复检费用由中标人承担</w:t>
      </w:r>
      <w:r>
        <w:rPr>
          <w:rFonts w:hint="eastAsia" w:ascii="仿宋" w:hAnsi="仿宋" w:eastAsia="仿宋" w:cs="仿宋"/>
          <w:color w:val="auto"/>
          <w:sz w:val="24"/>
          <w:szCs w:val="24"/>
          <w:lang w:val="en-US" w:eastAsia="zh-CN"/>
        </w:rPr>
        <w:t>，如整改不到位或拒不整改，采购人有权中止或解除合同；</w:t>
      </w:r>
    </w:p>
    <w:p w14:paraId="32FD4F04">
      <w:pPr>
        <w:numPr>
          <w:ilvl w:val="0"/>
          <w:numId w:val="0"/>
        </w:numPr>
        <w:spacing w:line="360" w:lineRule="auto"/>
        <w:ind w:right="-22" w:rightChars="0" w:firstLine="480" w:firstLineChars="200"/>
        <w:rPr>
          <w:rFonts w:hint="eastAsia" w:ascii="仿宋" w:hAnsi="仿宋" w:eastAsia="仿宋" w:cs="仿宋"/>
          <w:color w:val="000000"/>
          <w:sz w:val="24"/>
          <w:szCs w:val="24"/>
          <w:lang w:val="en-US" w:eastAsia="zh-CN"/>
        </w:rPr>
      </w:pPr>
      <w:bookmarkStart w:id="0" w:name="_Toc20651211"/>
      <w:r>
        <w:rPr>
          <w:rFonts w:hint="eastAsia" w:ascii="仿宋" w:hAnsi="仿宋" w:eastAsia="仿宋" w:cs="仿宋"/>
          <w:color w:val="000000"/>
          <w:sz w:val="24"/>
          <w:szCs w:val="24"/>
          <w:lang w:val="en-US" w:eastAsia="zh-CN"/>
        </w:rPr>
        <w:t>7.4因中标人原因造成采</w:t>
      </w:r>
      <w:r>
        <w:rPr>
          <w:rFonts w:hint="eastAsia" w:ascii="仿宋" w:hAnsi="仿宋" w:eastAsia="仿宋" w:cs="仿宋"/>
          <w:color w:val="auto"/>
          <w:sz w:val="24"/>
          <w:szCs w:val="24"/>
          <w:lang w:val="en-US" w:eastAsia="zh-CN"/>
        </w:rPr>
        <w:t>购人发生院感不良事件或安全生产事故，全部经济损失与法律责任应由中标人承担，采购人有权中止或解除合同；采购人的经济损失优先从合同款项中扣除，</w:t>
      </w:r>
      <w:r>
        <w:rPr>
          <w:rStyle w:val="4"/>
          <w:rFonts w:hint="eastAsia" w:ascii="仿宋" w:hAnsi="仿宋" w:eastAsia="仿宋" w:cs="仿宋"/>
          <w:b w:val="0"/>
          <w:bCs w:val="0"/>
          <w:color w:val="000000"/>
          <w:kern w:val="0"/>
          <w:sz w:val="24"/>
          <w:szCs w:val="24"/>
          <w:lang w:val="en-US" w:eastAsia="zh-CN"/>
        </w:rPr>
        <w:t>采购人保留追偿直接与间接损失的权利</w:t>
      </w:r>
      <w:r>
        <w:rPr>
          <w:rFonts w:hint="eastAsia" w:ascii="仿宋" w:hAnsi="仿宋" w:eastAsia="仿宋" w:cs="仿宋"/>
          <w:color w:val="auto"/>
          <w:sz w:val="24"/>
          <w:szCs w:val="24"/>
          <w:lang w:val="en-US" w:eastAsia="zh-CN"/>
        </w:rPr>
        <w:t>。</w:t>
      </w:r>
    </w:p>
    <w:p w14:paraId="12E7B2E4">
      <w:pPr>
        <w:widowControl w:val="0"/>
        <w:spacing w:line="360" w:lineRule="auto"/>
        <w:ind w:firstLine="482" w:firstLineChars="200"/>
        <w:jc w:val="both"/>
        <w:rPr>
          <w:rFonts w:hint="eastAsia" w:ascii="仿宋" w:hAnsi="仿宋" w:eastAsia="仿宋" w:cs="仿宋"/>
          <w:b/>
          <w:bCs/>
          <w:kern w:val="2"/>
          <w:sz w:val="24"/>
          <w:szCs w:val="24"/>
          <w:lang w:val="en-US" w:eastAsia="zh-CN" w:bidi="ar-SA"/>
        </w:rPr>
      </w:pPr>
    </w:p>
    <w:p w14:paraId="0DF74D1F">
      <w:pPr>
        <w:widowControl w:val="0"/>
        <w:spacing w:line="360" w:lineRule="auto"/>
        <w:jc w:val="both"/>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八、安全和其他要求：</w:t>
      </w:r>
    </w:p>
    <w:p w14:paraId="67C55DE4">
      <w:pPr>
        <w:widowControl w:val="0"/>
        <w:spacing w:line="360" w:lineRule="auto"/>
        <w:ind w:firstLine="480" w:firstLineChars="200"/>
        <w:jc w:val="both"/>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8.1采购人全程对维保实施的进度、质量、安全及效果等方面进行监督，如维保人未完全履行责任与义务，出现质量或安全等重大隐患，采购人有权以书面通知方式解除合同，而无需因合同解除承担任何赔偿责任；</w:t>
      </w:r>
    </w:p>
    <w:p w14:paraId="1AB1204E">
      <w:pPr>
        <w:widowControl w:val="0"/>
        <w:spacing w:line="360" w:lineRule="auto"/>
        <w:ind w:firstLine="480" w:firstLineChars="200"/>
        <w:jc w:val="both"/>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8.2中标人应对采购人原有设备设施进行必要和妥善的保护，不得对其构成损害或加速其老化，在维保实施过程中发生的任何损坏，中标人应无条件予以赔偿或修复；</w:t>
      </w:r>
    </w:p>
    <w:p w14:paraId="61D077AD">
      <w:pPr>
        <w:widowControl w:val="0"/>
        <w:spacing w:line="360" w:lineRule="auto"/>
        <w:ind w:firstLine="480" w:firstLineChars="200"/>
        <w:jc w:val="both"/>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8.3维修更换的配件或部件的所有权归属采购人，中标人不得私自变卖、处置或挪作他用，拆除的物件应交由采购人处置，由此产生的搬运费用由中标人无条件承担（限院内）；</w:t>
      </w:r>
    </w:p>
    <w:p w14:paraId="391ED4C0">
      <w:pPr>
        <w:widowControl w:val="0"/>
        <w:spacing w:line="360" w:lineRule="auto"/>
        <w:ind w:firstLine="480" w:firstLineChars="200"/>
        <w:jc w:val="both"/>
        <w:rPr>
          <w:rFonts w:hint="eastAsia" w:ascii="仿宋" w:hAnsi="仿宋" w:eastAsia="仿宋" w:cs="仿宋"/>
          <w:kern w:val="2"/>
          <w:sz w:val="24"/>
          <w:szCs w:val="24"/>
          <w:lang w:val="en-US" w:eastAsia="zh-CN" w:bidi="ar-SA"/>
        </w:rPr>
      </w:pPr>
      <w:r>
        <w:rPr>
          <w:rFonts w:hint="eastAsia" w:ascii="仿宋" w:hAnsi="仿宋" w:eastAsia="仿宋" w:cs="仿宋"/>
          <w:color w:val="auto"/>
          <w:kern w:val="2"/>
          <w:sz w:val="24"/>
          <w:szCs w:val="24"/>
          <w:lang w:val="en-US" w:eastAsia="zh-CN" w:bidi="ar-SA"/>
        </w:rPr>
        <w:t>8.4维护或维修更换的废旧过滤器，由中标人规范处置。中标人处置废旧过滤器不得违反相关法律法规，以及其他相关政府部门政策和规定。因中标人违规处置导致的所有责任，由中标人承担，与采购人无关；</w:t>
      </w:r>
    </w:p>
    <w:p w14:paraId="4169E24B">
      <w:pPr>
        <w:widowControl w:val="0"/>
        <w:spacing w:line="360" w:lineRule="auto"/>
        <w:ind w:firstLine="480" w:firstLineChars="200"/>
        <w:jc w:val="both"/>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8.5</w:t>
      </w:r>
      <w:r>
        <w:rPr>
          <w:rStyle w:val="4"/>
          <w:rFonts w:hint="eastAsia" w:ascii="仿宋" w:hAnsi="仿宋" w:eastAsia="仿宋" w:cs="仿宋"/>
          <w:b w:val="0"/>
          <w:bCs w:val="0"/>
          <w:color w:val="000000"/>
          <w:kern w:val="0"/>
          <w:sz w:val="24"/>
          <w:szCs w:val="24"/>
          <w:lang w:val="en-US" w:eastAsia="zh-CN" w:bidi="ar-SA"/>
        </w:rPr>
        <w:t>中标人服务人员与采购人无任何人事劳动关系，其人身安全及工资福利待遇与采购人无关，其服务人员在合同期内或服务过程中所发生的病、死、伤（残）、事故等，全部责任与经济损失由中标人承担，与采购人无关。中标人应为其驻场工作人员购买人身意外保险；</w:t>
      </w:r>
    </w:p>
    <w:p w14:paraId="44F45B31">
      <w:pPr>
        <w:spacing w:line="360" w:lineRule="auto"/>
        <w:ind w:firstLine="480" w:firstLineChars="200"/>
        <w:rPr>
          <w:rStyle w:val="4"/>
          <w:rFonts w:hint="eastAsia" w:ascii="仿宋" w:hAnsi="仿宋" w:eastAsia="仿宋" w:cs="仿宋"/>
          <w:kern w:val="0"/>
          <w:sz w:val="24"/>
          <w:szCs w:val="24"/>
          <w:lang w:eastAsia="zh-CN"/>
        </w:rPr>
      </w:pPr>
      <w:r>
        <w:rPr>
          <w:rStyle w:val="4"/>
          <w:rFonts w:hint="eastAsia" w:ascii="仿宋" w:hAnsi="仿宋" w:eastAsia="仿宋" w:cs="仿宋"/>
          <w:kern w:val="0"/>
          <w:sz w:val="24"/>
          <w:szCs w:val="24"/>
          <w:lang w:val="en-US" w:eastAsia="zh-CN"/>
        </w:rPr>
        <w:t>8.6</w:t>
      </w:r>
      <w:r>
        <w:rPr>
          <w:rStyle w:val="4"/>
          <w:rFonts w:hint="eastAsia" w:ascii="仿宋" w:hAnsi="仿宋" w:eastAsia="仿宋" w:cs="仿宋"/>
          <w:kern w:val="0"/>
          <w:sz w:val="24"/>
          <w:szCs w:val="24"/>
        </w:rPr>
        <w:t>未经采购人事先书面同意，</w:t>
      </w:r>
      <w:r>
        <w:rPr>
          <w:rStyle w:val="4"/>
          <w:rFonts w:hint="eastAsia" w:ascii="仿宋" w:hAnsi="仿宋" w:eastAsia="仿宋" w:cs="仿宋"/>
          <w:kern w:val="0"/>
          <w:sz w:val="24"/>
          <w:szCs w:val="24"/>
          <w:lang w:val="en-US" w:eastAsia="zh-CN"/>
        </w:rPr>
        <w:t>中标人</w:t>
      </w:r>
      <w:r>
        <w:rPr>
          <w:rStyle w:val="4"/>
          <w:rFonts w:hint="eastAsia" w:ascii="仿宋" w:hAnsi="仿宋" w:eastAsia="仿宋" w:cs="仿宋"/>
          <w:kern w:val="0"/>
          <w:sz w:val="24"/>
          <w:szCs w:val="24"/>
        </w:rPr>
        <w:t>不得转让本项目合同或其项下的任何权利</w:t>
      </w:r>
      <w:r>
        <w:rPr>
          <w:rStyle w:val="4"/>
          <w:rFonts w:hint="eastAsia" w:ascii="仿宋" w:hAnsi="仿宋" w:eastAsia="仿宋" w:cs="仿宋"/>
          <w:kern w:val="0"/>
          <w:sz w:val="24"/>
          <w:szCs w:val="24"/>
          <w:lang w:val="en-US" w:eastAsia="zh-CN"/>
        </w:rPr>
        <w:t>和</w:t>
      </w:r>
      <w:r>
        <w:rPr>
          <w:rStyle w:val="4"/>
          <w:rFonts w:hint="eastAsia" w:ascii="仿宋" w:hAnsi="仿宋" w:eastAsia="仿宋" w:cs="仿宋"/>
          <w:kern w:val="0"/>
          <w:sz w:val="24"/>
          <w:szCs w:val="24"/>
        </w:rPr>
        <w:t>义务</w:t>
      </w:r>
      <w:r>
        <w:rPr>
          <w:rStyle w:val="4"/>
          <w:rFonts w:hint="eastAsia" w:ascii="仿宋" w:hAnsi="仿宋" w:eastAsia="仿宋" w:cs="仿宋"/>
          <w:kern w:val="0"/>
          <w:sz w:val="24"/>
          <w:szCs w:val="24"/>
          <w:lang w:eastAsia="zh-CN"/>
        </w:rPr>
        <w:t>。</w:t>
      </w:r>
    </w:p>
    <w:p w14:paraId="7B8B750A">
      <w:pPr>
        <w:widowControl w:val="0"/>
        <w:spacing w:line="360" w:lineRule="auto"/>
        <w:ind w:firstLine="482" w:firstLineChars="200"/>
        <w:jc w:val="both"/>
        <w:rPr>
          <w:rFonts w:hint="eastAsia" w:ascii="仿宋" w:hAnsi="仿宋" w:eastAsia="仿宋" w:cs="仿宋"/>
          <w:b/>
          <w:bCs/>
          <w:color w:val="000000"/>
          <w:kern w:val="2"/>
          <w:sz w:val="24"/>
          <w:szCs w:val="24"/>
          <w:lang w:val="en-US" w:eastAsia="zh-CN" w:bidi="ar-SA"/>
        </w:rPr>
      </w:pPr>
    </w:p>
    <w:p w14:paraId="20175061">
      <w:pPr>
        <w:widowControl w:val="0"/>
        <w:spacing w:line="360" w:lineRule="auto"/>
        <w:jc w:val="both"/>
        <w:rPr>
          <w:rFonts w:hint="eastAsia" w:ascii="仿宋" w:hAnsi="仿宋" w:eastAsia="仿宋" w:cs="仿宋"/>
          <w:color w:val="000000"/>
          <w:kern w:val="2"/>
          <w:sz w:val="24"/>
          <w:szCs w:val="24"/>
          <w:lang w:val="en-US" w:eastAsia="zh-CN" w:bidi="ar-SA"/>
        </w:rPr>
      </w:pPr>
      <w:r>
        <w:rPr>
          <w:rFonts w:hint="eastAsia" w:ascii="仿宋" w:hAnsi="仿宋" w:eastAsia="仿宋" w:cs="仿宋"/>
          <w:b/>
          <w:bCs/>
          <w:color w:val="000000"/>
          <w:kern w:val="2"/>
          <w:sz w:val="24"/>
          <w:szCs w:val="24"/>
          <w:lang w:val="en-US" w:eastAsia="zh-CN" w:bidi="ar-SA"/>
        </w:rPr>
        <w:t>九、付款方式：</w:t>
      </w:r>
      <w:r>
        <w:rPr>
          <w:rFonts w:hint="eastAsia" w:ascii="仿宋" w:hAnsi="仿宋" w:eastAsia="仿宋" w:cs="仿宋"/>
          <w:color w:val="000000"/>
          <w:kern w:val="2"/>
          <w:sz w:val="24"/>
          <w:szCs w:val="24"/>
          <w:lang w:val="en-US" w:eastAsia="zh-CN" w:bidi="ar-SA"/>
        </w:rPr>
        <w:t>银行电汇。</w:t>
      </w:r>
    </w:p>
    <w:p w14:paraId="557C86DE">
      <w:pPr>
        <w:widowControl w:val="0"/>
        <w:spacing w:line="360" w:lineRule="auto"/>
        <w:ind w:firstLine="482" w:firstLineChars="200"/>
        <w:jc w:val="both"/>
        <w:rPr>
          <w:rFonts w:hint="eastAsia" w:ascii="仿宋" w:hAnsi="仿宋" w:eastAsia="仿宋" w:cs="仿宋"/>
          <w:b/>
          <w:bCs/>
          <w:color w:val="000000"/>
          <w:kern w:val="2"/>
          <w:sz w:val="24"/>
          <w:szCs w:val="24"/>
          <w:lang w:val="en-US" w:eastAsia="zh-CN" w:bidi="ar-SA"/>
        </w:rPr>
      </w:pPr>
    </w:p>
    <w:p w14:paraId="0F61788D">
      <w:pPr>
        <w:widowControl w:val="0"/>
        <w:spacing w:line="360" w:lineRule="auto"/>
        <w:jc w:val="both"/>
        <w:rPr>
          <w:rFonts w:hint="eastAsia" w:ascii="仿宋" w:hAnsi="仿宋" w:eastAsia="仿宋" w:cs="仿宋"/>
          <w:b/>
          <w:bCs/>
          <w:color w:val="000000"/>
          <w:kern w:val="2"/>
          <w:sz w:val="24"/>
          <w:szCs w:val="24"/>
          <w:lang w:val="en-US" w:eastAsia="zh-CN" w:bidi="ar-SA"/>
        </w:rPr>
      </w:pPr>
      <w:r>
        <w:rPr>
          <w:rFonts w:hint="eastAsia" w:ascii="仿宋" w:hAnsi="仿宋" w:eastAsia="仿宋" w:cs="仿宋"/>
          <w:b/>
          <w:bCs/>
          <w:color w:val="000000"/>
          <w:kern w:val="2"/>
          <w:sz w:val="24"/>
          <w:szCs w:val="24"/>
          <w:lang w:val="en-US" w:eastAsia="zh-CN" w:bidi="ar-SA"/>
        </w:rPr>
        <w:t>十、付款时间：</w:t>
      </w:r>
    </w:p>
    <w:p w14:paraId="4B8F60E1">
      <w:pPr>
        <w:numPr>
          <w:ilvl w:val="0"/>
          <w:numId w:val="0"/>
        </w:numPr>
        <w:spacing w:line="360" w:lineRule="auto"/>
        <w:ind w:right="-22" w:rightChars="0" w:firstLine="480" w:firstLineChars="200"/>
        <w:rPr>
          <w:rStyle w:val="4"/>
          <w:rFonts w:hint="eastAsia" w:ascii="仿宋" w:hAnsi="仿宋" w:eastAsia="仿宋" w:cs="仿宋"/>
          <w:b w:val="0"/>
          <w:bCs w:val="0"/>
          <w:color w:val="000000"/>
          <w:kern w:val="0"/>
          <w:sz w:val="24"/>
          <w:szCs w:val="24"/>
          <w:lang w:val="en-US" w:eastAsia="zh-CN"/>
        </w:rPr>
      </w:pPr>
      <w:r>
        <w:rPr>
          <w:rStyle w:val="4"/>
          <w:rFonts w:hint="eastAsia" w:ascii="仿宋" w:hAnsi="仿宋" w:eastAsia="仿宋" w:cs="仿宋"/>
          <w:b w:val="0"/>
          <w:bCs w:val="0"/>
          <w:color w:val="000000"/>
          <w:kern w:val="0"/>
          <w:sz w:val="24"/>
          <w:szCs w:val="24"/>
          <w:lang w:val="en-US" w:eastAsia="zh-CN"/>
        </w:rPr>
        <w:t>10.1合同签订生效后，每年度维保服务价款按季度分四次进行支付；即每季度经采购人考评合格且维保设备运行正常，凭合同、发票、考评报告及洁净度自检报告，采购人向中标人支付年度合同总金额25％的款项，尾款支付时间不得早于合同到期日；</w:t>
      </w:r>
    </w:p>
    <w:p w14:paraId="087624D0">
      <w:pPr>
        <w:numPr>
          <w:ilvl w:val="0"/>
          <w:numId w:val="0"/>
        </w:numPr>
        <w:spacing w:line="360" w:lineRule="auto"/>
        <w:ind w:right="-22" w:rightChars="0" w:firstLine="480" w:firstLineChars="200"/>
        <w:rPr>
          <w:rStyle w:val="4"/>
          <w:rFonts w:hint="eastAsia" w:ascii="仿宋" w:hAnsi="仿宋" w:eastAsia="仿宋" w:cs="仿宋"/>
          <w:b w:val="0"/>
          <w:bCs w:val="0"/>
          <w:color w:val="000000"/>
          <w:kern w:val="0"/>
          <w:sz w:val="24"/>
          <w:szCs w:val="24"/>
          <w:lang w:val="en-US" w:eastAsia="zh-CN"/>
        </w:rPr>
      </w:pPr>
      <w:r>
        <w:rPr>
          <w:rStyle w:val="4"/>
          <w:rFonts w:hint="eastAsia" w:ascii="仿宋" w:hAnsi="仿宋" w:eastAsia="仿宋" w:cs="仿宋"/>
          <w:b w:val="0"/>
          <w:bCs w:val="0"/>
          <w:color w:val="000000"/>
          <w:kern w:val="0"/>
          <w:sz w:val="24"/>
          <w:szCs w:val="24"/>
          <w:lang w:val="en-US" w:eastAsia="zh-CN"/>
        </w:rPr>
        <w:t>10.2采购人收到中标人票据，按照采购人财务管理制度通过银行转账方式将款项支付至中标人指定的银行账户。因采购人财务审批、封账等原因导致迟延支付的，采购人不承担任何责任，但中标人不得以采购人逾期付款为由拒绝或怠于履行合同义务；</w:t>
      </w:r>
    </w:p>
    <w:p w14:paraId="23E986BD">
      <w:pPr>
        <w:numPr>
          <w:ilvl w:val="0"/>
          <w:numId w:val="0"/>
        </w:numPr>
        <w:spacing w:line="360" w:lineRule="auto"/>
        <w:ind w:right="-22" w:rightChars="0" w:firstLine="480" w:firstLineChars="200"/>
        <w:rPr>
          <w:rStyle w:val="4"/>
          <w:rFonts w:hint="eastAsia" w:ascii="仿宋" w:hAnsi="仿宋" w:eastAsia="仿宋" w:cs="仿宋"/>
          <w:b w:val="0"/>
          <w:bCs w:val="0"/>
          <w:color w:val="000000"/>
          <w:kern w:val="0"/>
          <w:sz w:val="24"/>
          <w:szCs w:val="24"/>
          <w:lang w:val="en-US" w:eastAsia="zh-CN"/>
        </w:rPr>
      </w:pPr>
      <w:r>
        <w:rPr>
          <w:rStyle w:val="4"/>
          <w:rFonts w:hint="eastAsia" w:ascii="仿宋" w:hAnsi="仿宋" w:eastAsia="仿宋" w:cs="仿宋"/>
          <w:b w:val="0"/>
          <w:bCs w:val="0"/>
          <w:color w:val="000000"/>
          <w:kern w:val="0"/>
          <w:sz w:val="24"/>
          <w:szCs w:val="24"/>
          <w:lang w:val="en-US" w:eastAsia="zh-CN"/>
        </w:rPr>
        <w:t>10.3付款均凭正式税务发票，发票须由中标人按采购人财务要求开具，否则采购人有权延迟付款且不承担违约责任；</w:t>
      </w:r>
    </w:p>
    <w:p w14:paraId="54BCD3D3">
      <w:pPr>
        <w:numPr>
          <w:ilvl w:val="0"/>
          <w:numId w:val="0"/>
        </w:numPr>
        <w:spacing w:line="360" w:lineRule="auto"/>
        <w:ind w:right="-22" w:rightChars="0" w:firstLine="480" w:firstLineChars="200"/>
        <w:rPr>
          <w:rStyle w:val="4"/>
          <w:rFonts w:hint="eastAsia" w:ascii="仿宋" w:hAnsi="仿宋" w:eastAsia="仿宋" w:cs="仿宋"/>
          <w:b w:val="0"/>
          <w:bCs w:val="0"/>
          <w:color w:val="000000"/>
          <w:kern w:val="0"/>
          <w:sz w:val="24"/>
          <w:szCs w:val="24"/>
          <w:lang w:val="en-US" w:eastAsia="zh-CN"/>
        </w:rPr>
      </w:pPr>
      <w:r>
        <w:rPr>
          <w:rStyle w:val="4"/>
          <w:rFonts w:hint="eastAsia" w:ascii="仿宋" w:hAnsi="仿宋" w:eastAsia="仿宋" w:cs="仿宋"/>
          <w:b w:val="0"/>
          <w:bCs w:val="0"/>
          <w:color w:val="000000"/>
          <w:kern w:val="0"/>
          <w:sz w:val="24"/>
          <w:szCs w:val="24"/>
          <w:lang w:val="en-US" w:eastAsia="zh-CN"/>
        </w:rPr>
        <w:t>10.4维保期内，如果采购人维保设备报废或更新，采购人提前30个日历日书面通知中标人后，有权将报废或更新的设备从该维保服务合同中删除。在此情况下，自上述通知期届满之日起，采购人按照维保服务时间据实结算（单台/套设备年度维保费=中标价总价÷3年÷41台；如当年某台/套设备有偿维保时间不足一年的，维保费以发生实际天数计算，每日维保费=单台/套设备年度维保费÷12÷当月天数）。</w:t>
      </w:r>
    </w:p>
    <w:p w14:paraId="38CF02FA">
      <w:pPr>
        <w:numPr>
          <w:ilvl w:val="0"/>
          <w:numId w:val="0"/>
        </w:numPr>
        <w:spacing w:line="360" w:lineRule="auto"/>
        <w:ind w:right="-22" w:rightChars="0" w:firstLine="482" w:firstLineChars="200"/>
        <w:rPr>
          <w:rStyle w:val="4"/>
          <w:rFonts w:hint="eastAsia" w:ascii="仿宋" w:hAnsi="仿宋" w:eastAsia="仿宋" w:cs="仿宋"/>
          <w:b/>
          <w:bCs/>
          <w:color w:val="000000"/>
          <w:kern w:val="0"/>
          <w:sz w:val="24"/>
          <w:szCs w:val="24"/>
          <w:lang w:val="en-US" w:eastAsia="zh-CN"/>
        </w:rPr>
      </w:pPr>
    </w:p>
    <w:p w14:paraId="716EE1C0">
      <w:pPr>
        <w:numPr>
          <w:ilvl w:val="0"/>
          <w:numId w:val="0"/>
        </w:numPr>
        <w:spacing w:line="360" w:lineRule="auto"/>
        <w:ind w:right="-22" w:rightChars="0"/>
        <w:rPr>
          <w:rStyle w:val="4"/>
          <w:rFonts w:hint="eastAsia" w:ascii="仿宋" w:hAnsi="仿宋" w:eastAsia="仿宋" w:cs="仿宋"/>
          <w:b/>
          <w:bCs/>
          <w:color w:val="000000"/>
          <w:kern w:val="0"/>
          <w:sz w:val="24"/>
          <w:szCs w:val="24"/>
          <w:lang w:val="en-US" w:eastAsia="zh-CN"/>
        </w:rPr>
      </w:pPr>
      <w:r>
        <w:rPr>
          <w:rStyle w:val="4"/>
          <w:rFonts w:hint="eastAsia" w:ascii="仿宋" w:hAnsi="仿宋" w:eastAsia="仿宋" w:cs="仿宋"/>
          <w:b/>
          <w:bCs/>
          <w:color w:val="000000"/>
          <w:kern w:val="0"/>
          <w:sz w:val="24"/>
          <w:szCs w:val="24"/>
          <w:lang w:val="en-US" w:eastAsia="zh-CN"/>
        </w:rPr>
        <w:t>十一、履约保证：</w:t>
      </w:r>
    </w:p>
    <w:p w14:paraId="652528BB">
      <w:pPr>
        <w:numPr>
          <w:ilvl w:val="0"/>
          <w:numId w:val="0"/>
        </w:numPr>
        <w:spacing w:line="360" w:lineRule="auto"/>
        <w:ind w:right="-22" w:rightChars="0" w:firstLine="480" w:firstLineChars="200"/>
        <w:rPr>
          <w:rStyle w:val="4"/>
          <w:rFonts w:hint="eastAsia" w:ascii="仿宋" w:hAnsi="仿宋" w:eastAsia="仿宋" w:cs="仿宋"/>
          <w:b w:val="0"/>
          <w:bCs w:val="0"/>
          <w:color w:val="000000"/>
          <w:kern w:val="0"/>
          <w:sz w:val="24"/>
          <w:szCs w:val="24"/>
          <w:lang w:val="en-US" w:eastAsia="zh-CN"/>
        </w:rPr>
      </w:pPr>
      <w:r>
        <w:rPr>
          <w:rStyle w:val="4"/>
          <w:rFonts w:hint="eastAsia" w:ascii="仿宋" w:hAnsi="仿宋" w:eastAsia="仿宋" w:cs="仿宋"/>
          <w:b w:val="0"/>
          <w:bCs w:val="0"/>
          <w:color w:val="000000"/>
          <w:kern w:val="0"/>
          <w:sz w:val="24"/>
          <w:szCs w:val="24"/>
          <w:lang w:val="en-US" w:eastAsia="zh-CN"/>
        </w:rPr>
        <w:t>合同签订生效前三个工作日，中标人应向采购人缴纳履约保证金，履约保证金为年度中标执行价的10%。合同期内，中标人若无违约行为及经济与法律纠纷，采购人在合同期满一个月内将履约保证金一次性无息退还。合同期间内，中标人存在毁约或违约行为，采购人有权不退还履约保证金。</w:t>
      </w:r>
    </w:p>
    <w:p w14:paraId="6CEE32A2">
      <w:pPr>
        <w:numPr>
          <w:ilvl w:val="0"/>
          <w:numId w:val="0"/>
        </w:numPr>
        <w:spacing w:line="360" w:lineRule="auto"/>
        <w:ind w:right="-22" w:rightChars="0" w:firstLine="482" w:firstLineChars="200"/>
        <w:rPr>
          <w:rFonts w:hint="eastAsia" w:ascii="仿宋" w:hAnsi="仿宋" w:eastAsia="仿宋" w:cs="仿宋"/>
          <w:b/>
          <w:bCs/>
          <w:color w:val="auto"/>
          <w:sz w:val="24"/>
          <w:szCs w:val="24"/>
          <w:lang w:val="en-US" w:eastAsia="zh-CN"/>
        </w:rPr>
      </w:pPr>
    </w:p>
    <w:p w14:paraId="2BC03959">
      <w:pPr>
        <w:numPr>
          <w:ilvl w:val="0"/>
          <w:numId w:val="0"/>
        </w:numPr>
        <w:spacing w:line="360" w:lineRule="auto"/>
        <w:ind w:right="-22" w:rightChars="0"/>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十二、考核办法：</w:t>
      </w:r>
    </w:p>
    <w:p w14:paraId="23236872">
      <w:pPr>
        <w:numPr>
          <w:ilvl w:val="0"/>
          <w:numId w:val="0"/>
        </w:numPr>
        <w:spacing w:line="360" w:lineRule="auto"/>
        <w:ind w:right="-22" w:rightChars="0" w:firstLine="480" w:firstLineChars="200"/>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12.1维保期内，采购人依据</w:t>
      </w:r>
      <w:r>
        <w:rPr>
          <w:rStyle w:val="4"/>
          <w:rFonts w:hint="eastAsia" w:ascii="仿宋" w:hAnsi="仿宋" w:eastAsia="仿宋" w:cs="仿宋"/>
          <w:b w:val="0"/>
          <w:bCs w:val="0"/>
          <w:color w:val="000000"/>
          <w:kern w:val="0"/>
          <w:sz w:val="24"/>
          <w:szCs w:val="24"/>
          <w:lang w:val="en-US" w:eastAsia="zh-CN"/>
        </w:rPr>
        <w:t>维保服务月度考核表</w:t>
      </w:r>
      <w:r>
        <w:rPr>
          <w:rFonts w:hint="eastAsia" w:ascii="仿宋" w:hAnsi="仿宋" w:eastAsia="仿宋" w:cs="仿宋"/>
          <w:b w:val="0"/>
          <w:bCs w:val="0"/>
          <w:color w:val="auto"/>
          <w:sz w:val="24"/>
          <w:szCs w:val="24"/>
          <w:lang w:val="en-US" w:eastAsia="zh-CN"/>
        </w:rPr>
        <w:t>对中标人提供的服务质量进行考核和评价，</w:t>
      </w:r>
      <w:r>
        <w:rPr>
          <w:rFonts w:hint="eastAsia" w:ascii="仿宋" w:hAnsi="仿宋" w:eastAsia="仿宋" w:cs="仿宋"/>
          <w:b w:val="0"/>
          <w:bCs w:val="0"/>
          <w:color w:val="auto"/>
          <w:spacing w:val="-2"/>
          <w:sz w:val="24"/>
          <w:szCs w:val="24"/>
          <w:lang w:val="en-US" w:eastAsia="zh-CN"/>
        </w:rPr>
        <w:t>考核细则详见本文十四条款。</w:t>
      </w:r>
      <w:r>
        <w:rPr>
          <w:rFonts w:hint="eastAsia" w:ascii="仿宋" w:hAnsi="仿宋" w:eastAsia="仿宋" w:cs="仿宋"/>
          <w:b w:val="0"/>
          <w:bCs w:val="0"/>
          <w:color w:val="auto"/>
          <w:sz w:val="24"/>
          <w:szCs w:val="24"/>
        </w:rPr>
        <w:t>考评结果</w:t>
      </w:r>
      <w:r>
        <w:rPr>
          <w:rFonts w:hint="eastAsia" w:ascii="仿宋" w:hAnsi="仿宋" w:eastAsia="仿宋" w:cs="仿宋"/>
          <w:b w:val="0"/>
          <w:bCs w:val="0"/>
          <w:color w:val="auto"/>
          <w:sz w:val="24"/>
          <w:szCs w:val="24"/>
          <w:lang w:val="en-US" w:eastAsia="zh-CN"/>
        </w:rPr>
        <w:t>将</w:t>
      </w:r>
      <w:r>
        <w:rPr>
          <w:rFonts w:hint="eastAsia" w:ascii="仿宋" w:hAnsi="仿宋" w:eastAsia="仿宋" w:cs="仿宋"/>
          <w:b w:val="0"/>
          <w:bCs w:val="0"/>
          <w:color w:val="auto"/>
          <w:sz w:val="24"/>
          <w:szCs w:val="24"/>
        </w:rPr>
        <w:t>作为履行合同</w:t>
      </w:r>
      <w:r>
        <w:rPr>
          <w:rFonts w:hint="eastAsia" w:ascii="仿宋" w:hAnsi="仿宋" w:eastAsia="仿宋" w:cs="仿宋"/>
          <w:b w:val="0"/>
          <w:bCs w:val="0"/>
          <w:color w:val="auto"/>
          <w:sz w:val="24"/>
          <w:szCs w:val="24"/>
          <w:lang w:eastAsia="zh-CN"/>
        </w:rPr>
        <w:t>和</w:t>
      </w:r>
      <w:r>
        <w:rPr>
          <w:rFonts w:hint="eastAsia" w:ascii="仿宋" w:hAnsi="仿宋" w:eastAsia="仿宋" w:cs="仿宋"/>
          <w:b w:val="0"/>
          <w:bCs w:val="0"/>
          <w:sz w:val="24"/>
          <w:szCs w:val="24"/>
          <w:lang w:val="en-US" w:eastAsia="zh-CN"/>
        </w:rPr>
        <w:t>进行处罚</w:t>
      </w:r>
      <w:r>
        <w:rPr>
          <w:rFonts w:hint="eastAsia" w:ascii="仿宋" w:hAnsi="仿宋" w:eastAsia="仿宋" w:cs="仿宋"/>
          <w:b w:val="0"/>
          <w:bCs w:val="0"/>
          <w:color w:val="auto"/>
          <w:sz w:val="24"/>
          <w:szCs w:val="24"/>
        </w:rPr>
        <w:t>的依据。</w:t>
      </w:r>
    </w:p>
    <w:p w14:paraId="7B9AF26E">
      <w:pPr>
        <w:keepNext w:val="0"/>
        <w:keepLines w:val="0"/>
        <w:widowControl/>
        <w:suppressLineNumbers w:val="0"/>
        <w:spacing w:line="360" w:lineRule="auto"/>
        <w:ind w:firstLine="480" w:firstLineChars="200"/>
        <w:jc w:val="left"/>
        <w:rPr>
          <w:rFonts w:hint="eastAsia" w:ascii="仿宋" w:hAnsi="仿宋" w:eastAsia="仿宋" w:cs="仿宋"/>
          <w:b w:val="0"/>
          <w:bCs w:val="0"/>
          <w:color w:val="auto"/>
          <w:sz w:val="24"/>
          <w:szCs w:val="24"/>
          <w:lang w:eastAsia="zh-CN"/>
        </w:rPr>
      </w:pPr>
      <w:r>
        <w:rPr>
          <w:rFonts w:hint="eastAsia" w:ascii="仿宋" w:hAnsi="仿宋" w:eastAsia="仿宋" w:cs="仿宋"/>
          <w:b w:val="0"/>
          <w:bCs w:val="0"/>
          <w:color w:val="auto"/>
          <w:sz w:val="24"/>
          <w:szCs w:val="24"/>
          <w:lang w:val="en-US" w:eastAsia="zh-CN"/>
        </w:rPr>
        <w:t>12.2</w:t>
      </w:r>
      <w:r>
        <w:rPr>
          <w:rFonts w:hint="eastAsia" w:ascii="仿宋" w:hAnsi="仿宋" w:eastAsia="仿宋" w:cs="仿宋"/>
          <w:b w:val="0"/>
          <w:bCs w:val="0"/>
          <w:color w:val="auto"/>
          <w:sz w:val="24"/>
          <w:szCs w:val="24"/>
        </w:rPr>
        <w:t>若</w:t>
      </w:r>
      <w:r>
        <w:rPr>
          <w:rFonts w:hint="eastAsia" w:ascii="仿宋" w:hAnsi="仿宋" w:eastAsia="仿宋" w:cs="仿宋"/>
          <w:b w:val="0"/>
          <w:bCs w:val="0"/>
          <w:color w:val="auto"/>
          <w:sz w:val="24"/>
          <w:szCs w:val="24"/>
          <w:lang w:val="en-US" w:eastAsia="zh-CN"/>
        </w:rPr>
        <w:t>中标人</w:t>
      </w:r>
      <w:r>
        <w:rPr>
          <w:rFonts w:hint="eastAsia" w:ascii="仿宋" w:hAnsi="仿宋" w:eastAsia="仿宋" w:cs="仿宋"/>
          <w:b w:val="0"/>
          <w:bCs w:val="0"/>
          <w:color w:val="auto"/>
          <w:sz w:val="24"/>
          <w:szCs w:val="24"/>
          <w:lang w:eastAsia="zh-CN"/>
        </w:rPr>
        <w:t>月</w:t>
      </w:r>
      <w:r>
        <w:rPr>
          <w:rFonts w:hint="eastAsia" w:ascii="仿宋" w:hAnsi="仿宋" w:eastAsia="仿宋" w:cs="仿宋"/>
          <w:b w:val="0"/>
          <w:bCs w:val="0"/>
          <w:color w:val="auto"/>
          <w:sz w:val="24"/>
          <w:szCs w:val="24"/>
        </w:rPr>
        <w:t>考核</w:t>
      </w:r>
      <w:r>
        <w:rPr>
          <w:rFonts w:hint="eastAsia" w:ascii="仿宋" w:hAnsi="仿宋" w:eastAsia="仿宋" w:cs="仿宋"/>
          <w:b w:val="0"/>
          <w:bCs w:val="0"/>
          <w:color w:val="auto"/>
          <w:sz w:val="24"/>
          <w:szCs w:val="24"/>
          <w:lang w:val="en-US" w:eastAsia="zh-CN"/>
        </w:rPr>
        <w:t>连续三个月</w:t>
      </w:r>
      <w:r>
        <w:rPr>
          <w:rFonts w:hint="eastAsia" w:ascii="仿宋" w:hAnsi="仿宋" w:eastAsia="仿宋" w:cs="仿宋"/>
          <w:b w:val="0"/>
          <w:bCs w:val="0"/>
          <w:color w:val="auto"/>
          <w:sz w:val="24"/>
          <w:szCs w:val="24"/>
        </w:rPr>
        <w:t>不合格，</w:t>
      </w:r>
      <w:r>
        <w:rPr>
          <w:rFonts w:hint="eastAsia" w:ascii="仿宋" w:hAnsi="仿宋" w:eastAsia="仿宋" w:cs="仿宋"/>
          <w:b w:val="0"/>
          <w:bCs w:val="0"/>
          <w:color w:val="auto"/>
          <w:sz w:val="24"/>
          <w:szCs w:val="24"/>
          <w:lang w:val="en-US" w:eastAsia="zh-CN"/>
        </w:rPr>
        <w:t>采购人将</w:t>
      </w:r>
      <w:r>
        <w:rPr>
          <w:rFonts w:hint="eastAsia" w:ascii="仿宋" w:hAnsi="仿宋" w:eastAsia="仿宋" w:cs="仿宋"/>
          <w:b w:val="0"/>
          <w:bCs w:val="0"/>
          <w:color w:val="auto"/>
          <w:spacing w:val="-11"/>
          <w:sz w:val="24"/>
          <w:szCs w:val="24"/>
          <w:lang w:val="en-US" w:eastAsia="zh-CN"/>
        </w:rPr>
        <w:t>不予支付当季发生的维保费用，</w:t>
      </w:r>
      <w:r>
        <w:rPr>
          <w:rFonts w:hint="eastAsia" w:ascii="仿宋" w:hAnsi="仿宋" w:eastAsia="仿宋" w:cs="仿宋"/>
          <w:b w:val="0"/>
          <w:bCs w:val="0"/>
          <w:color w:val="auto"/>
          <w:sz w:val="24"/>
          <w:szCs w:val="24"/>
          <w:lang w:val="en-US" w:eastAsia="zh-CN"/>
        </w:rPr>
        <w:t>采购人有权以书面通知方式中止或解除合同，而无需因中止或解除合同承担任何赔偿责任，</w:t>
      </w:r>
      <w:r>
        <w:rPr>
          <w:rFonts w:hint="eastAsia" w:ascii="仿宋" w:hAnsi="仿宋" w:eastAsia="仿宋" w:cs="仿宋"/>
          <w:b w:val="0"/>
          <w:bCs w:val="0"/>
          <w:color w:val="auto"/>
          <w:sz w:val="24"/>
          <w:szCs w:val="24"/>
          <w:lang w:eastAsia="zh-CN"/>
        </w:rPr>
        <w:t>若</w:t>
      </w:r>
      <w:r>
        <w:rPr>
          <w:rFonts w:hint="eastAsia" w:ascii="仿宋" w:hAnsi="仿宋" w:eastAsia="仿宋" w:cs="仿宋"/>
          <w:b w:val="0"/>
          <w:bCs w:val="0"/>
          <w:color w:val="auto"/>
          <w:sz w:val="24"/>
          <w:szCs w:val="24"/>
        </w:rPr>
        <w:t>造成</w:t>
      </w:r>
      <w:r>
        <w:rPr>
          <w:rFonts w:hint="eastAsia" w:ascii="仿宋" w:hAnsi="仿宋" w:eastAsia="仿宋" w:cs="仿宋"/>
          <w:b w:val="0"/>
          <w:bCs w:val="0"/>
          <w:color w:val="auto"/>
          <w:sz w:val="24"/>
          <w:szCs w:val="24"/>
          <w:lang w:val="en-US" w:eastAsia="zh-CN"/>
        </w:rPr>
        <w:t>采购人</w:t>
      </w:r>
      <w:r>
        <w:rPr>
          <w:rFonts w:hint="eastAsia" w:ascii="仿宋" w:hAnsi="仿宋" w:eastAsia="仿宋" w:cs="仿宋"/>
          <w:b w:val="0"/>
          <w:bCs w:val="0"/>
          <w:color w:val="auto"/>
          <w:sz w:val="24"/>
          <w:szCs w:val="24"/>
        </w:rPr>
        <w:t>损失的，</w:t>
      </w:r>
      <w:r>
        <w:rPr>
          <w:rFonts w:hint="eastAsia" w:ascii="仿宋" w:hAnsi="仿宋" w:eastAsia="仿宋" w:cs="仿宋"/>
          <w:b w:val="0"/>
          <w:bCs w:val="0"/>
          <w:color w:val="auto"/>
          <w:sz w:val="24"/>
          <w:szCs w:val="24"/>
          <w:lang w:val="en-US" w:eastAsia="zh-CN"/>
        </w:rPr>
        <w:t>中标人无条件</w:t>
      </w:r>
      <w:r>
        <w:rPr>
          <w:rFonts w:hint="eastAsia" w:ascii="仿宋" w:hAnsi="仿宋" w:eastAsia="仿宋" w:cs="仿宋"/>
          <w:b w:val="0"/>
          <w:bCs w:val="0"/>
          <w:color w:val="auto"/>
          <w:sz w:val="24"/>
          <w:szCs w:val="24"/>
        </w:rPr>
        <w:t>承担</w:t>
      </w:r>
      <w:r>
        <w:rPr>
          <w:rFonts w:hint="eastAsia" w:ascii="仿宋" w:hAnsi="仿宋" w:eastAsia="仿宋" w:cs="仿宋"/>
          <w:b w:val="0"/>
          <w:bCs w:val="0"/>
          <w:color w:val="auto"/>
          <w:sz w:val="24"/>
          <w:szCs w:val="24"/>
          <w:lang w:val="en-US" w:eastAsia="zh-CN"/>
        </w:rPr>
        <w:t>全部</w:t>
      </w:r>
      <w:r>
        <w:rPr>
          <w:rFonts w:hint="eastAsia" w:ascii="仿宋" w:hAnsi="仿宋" w:eastAsia="仿宋" w:cs="仿宋"/>
          <w:b w:val="0"/>
          <w:bCs w:val="0"/>
          <w:color w:val="auto"/>
          <w:sz w:val="24"/>
          <w:szCs w:val="24"/>
        </w:rPr>
        <w:t>损害</w:t>
      </w:r>
      <w:r>
        <w:rPr>
          <w:rFonts w:hint="eastAsia" w:ascii="仿宋" w:hAnsi="仿宋" w:eastAsia="仿宋" w:cs="仿宋"/>
          <w:b w:val="0"/>
          <w:bCs w:val="0"/>
          <w:color w:val="auto"/>
          <w:sz w:val="24"/>
          <w:szCs w:val="24"/>
          <w:lang w:val="en-US" w:eastAsia="zh-CN"/>
        </w:rPr>
        <w:t>与</w:t>
      </w:r>
      <w:r>
        <w:rPr>
          <w:rFonts w:hint="eastAsia" w:ascii="仿宋" w:hAnsi="仿宋" w:eastAsia="仿宋" w:cs="仿宋"/>
          <w:b w:val="0"/>
          <w:bCs w:val="0"/>
          <w:color w:val="auto"/>
          <w:sz w:val="24"/>
          <w:szCs w:val="24"/>
        </w:rPr>
        <w:t>赔偿责任</w:t>
      </w:r>
      <w:r>
        <w:rPr>
          <w:rFonts w:hint="eastAsia" w:ascii="仿宋" w:hAnsi="仿宋" w:eastAsia="仿宋" w:cs="仿宋"/>
          <w:b w:val="0"/>
          <w:bCs w:val="0"/>
          <w:color w:val="auto"/>
          <w:sz w:val="24"/>
          <w:szCs w:val="24"/>
          <w:lang w:eastAsia="zh-CN"/>
        </w:rPr>
        <w:t>。</w:t>
      </w:r>
    </w:p>
    <w:p w14:paraId="2BEACCB4">
      <w:pPr>
        <w:numPr>
          <w:ilvl w:val="0"/>
          <w:numId w:val="0"/>
        </w:numPr>
        <w:spacing w:line="360" w:lineRule="auto"/>
        <w:ind w:right="-22" w:rightChars="0" w:firstLine="482" w:firstLineChars="200"/>
        <w:rPr>
          <w:rFonts w:hint="eastAsia" w:ascii="仿宋" w:hAnsi="仿宋" w:eastAsia="仿宋" w:cs="仿宋"/>
          <w:b/>
          <w:bCs/>
          <w:sz w:val="24"/>
          <w:szCs w:val="24"/>
          <w:lang w:val="en-US" w:eastAsia="zh-CN"/>
        </w:rPr>
      </w:pPr>
    </w:p>
    <w:p w14:paraId="33AE557F">
      <w:pPr>
        <w:numPr>
          <w:ilvl w:val="0"/>
          <w:numId w:val="0"/>
        </w:numPr>
        <w:spacing w:line="360" w:lineRule="auto"/>
        <w:ind w:right="-22" w:rightChars="0"/>
        <w:rPr>
          <w:rStyle w:val="4"/>
          <w:rFonts w:hint="eastAsia" w:ascii="仿宋" w:hAnsi="仿宋" w:eastAsia="仿宋" w:cs="仿宋"/>
          <w:b/>
          <w:bCs/>
          <w:color w:val="000000"/>
          <w:kern w:val="0"/>
          <w:sz w:val="24"/>
          <w:szCs w:val="24"/>
          <w:lang w:val="en-US" w:eastAsia="zh-CN"/>
        </w:rPr>
      </w:pPr>
      <w:r>
        <w:rPr>
          <w:rFonts w:hint="eastAsia" w:ascii="仿宋" w:hAnsi="仿宋" w:eastAsia="仿宋" w:cs="仿宋"/>
          <w:b/>
          <w:bCs/>
          <w:sz w:val="24"/>
          <w:szCs w:val="24"/>
          <w:lang w:val="en-US" w:eastAsia="zh-CN"/>
        </w:rPr>
        <w:t>十三、</w:t>
      </w:r>
      <w:r>
        <w:rPr>
          <w:rStyle w:val="4"/>
          <w:rFonts w:hint="eastAsia" w:ascii="仿宋" w:hAnsi="仿宋" w:eastAsia="仿宋" w:cs="仿宋"/>
          <w:b/>
          <w:bCs/>
          <w:color w:val="000000"/>
          <w:kern w:val="0"/>
          <w:sz w:val="24"/>
          <w:szCs w:val="24"/>
          <w:lang w:val="en-US" w:eastAsia="zh-CN"/>
        </w:rPr>
        <w:t>违约责任：</w:t>
      </w:r>
    </w:p>
    <w:p w14:paraId="03FAA089">
      <w:pPr>
        <w:numPr>
          <w:ilvl w:val="0"/>
          <w:numId w:val="0"/>
        </w:numPr>
        <w:spacing w:line="360" w:lineRule="auto"/>
        <w:ind w:right="-22" w:rightChars="0" w:firstLine="480" w:firstLineChars="200"/>
        <w:rPr>
          <w:rStyle w:val="4"/>
          <w:rFonts w:hint="eastAsia" w:ascii="仿宋" w:hAnsi="仿宋" w:eastAsia="仿宋" w:cs="仿宋"/>
          <w:b w:val="0"/>
          <w:bCs w:val="0"/>
          <w:color w:val="000000"/>
          <w:kern w:val="0"/>
          <w:sz w:val="24"/>
          <w:szCs w:val="24"/>
          <w:lang w:val="en-AU" w:eastAsia="zh-CN"/>
        </w:rPr>
      </w:pPr>
      <w:r>
        <w:rPr>
          <w:rStyle w:val="4"/>
          <w:rFonts w:hint="eastAsia" w:ascii="仿宋" w:hAnsi="仿宋" w:eastAsia="仿宋" w:cs="仿宋"/>
          <w:b w:val="0"/>
          <w:bCs w:val="0"/>
          <w:color w:val="000000"/>
          <w:kern w:val="0"/>
          <w:sz w:val="24"/>
          <w:szCs w:val="24"/>
          <w:lang w:val="en-US" w:eastAsia="zh-CN"/>
        </w:rPr>
        <w:t>13.1维保合同生效后，双方均应全面履行本合同约定的责任和义务，任何不履行或者不完全履行本合同约定的，应当承担相应的违约责任，并且赔偿由此给守约方造成的一切损失，包括守约方为实现债务而支付的律师费、公证费、鉴定费、保全费和诉讼费，守约方</w:t>
      </w:r>
      <w:r>
        <w:rPr>
          <w:rStyle w:val="4"/>
          <w:rFonts w:hint="eastAsia" w:ascii="仿宋" w:hAnsi="仿宋" w:eastAsia="仿宋" w:cs="仿宋"/>
          <w:b w:val="0"/>
          <w:bCs w:val="0"/>
          <w:color w:val="000000"/>
          <w:kern w:val="0"/>
          <w:sz w:val="24"/>
          <w:szCs w:val="24"/>
          <w:lang w:val="en-AU" w:eastAsia="zh-CN"/>
        </w:rPr>
        <w:t>有权单方面解除本合同。</w:t>
      </w:r>
    </w:p>
    <w:p w14:paraId="719B501F">
      <w:pPr>
        <w:numPr>
          <w:ilvl w:val="0"/>
          <w:numId w:val="0"/>
        </w:numPr>
        <w:spacing w:line="360" w:lineRule="auto"/>
        <w:ind w:right="-22" w:rightChars="0" w:firstLine="480" w:firstLineChars="200"/>
        <w:rPr>
          <w:rStyle w:val="4"/>
          <w:rFonts w:hint="eastAsia" w:ascii="仿宋" w:hAnsi="仿宋" w:eastAsia="仿宋" w:cs="仿宋"/>
          <w:b w:val="0"/>
          <w:bCs w:val="0"/>
          <w:color w:val="000000"/>
          <w:kern w:val="0"/>
          <w:sz w:val="24"/>
          <w:szCs w:val="24"/>
          <w:lang w:val="en-US" w:eastAsia="zh-CN"/>
        </w:rPr>
      </w:pPr>
      <w:r>
        <w:rPr>
          <w:rStyle w:val="4"/>
          <w:rFonts w:hint="eastAsia" w:ascii="仿宋" w:hAnsi="仿宋" w:eastAsia="仿宋" w:cs="仿宋"/>
          <w:b w:val="0"/>
          <w:bCs w:val="0"/>
          <w:color w:val="000000"/>
          <w:kern w:val="0"/>
          <w:sz w:val="24"/>
          <w:szCs w:val="24"/>
          <w:lang w:val="en-US" w:eastAsia="zh-CN"/>
        </w:rPr>
        <w:t>13.2维保合同期内，中标人连续三个月考核不合格或服务质量存在重大安全隐患，视同中标人违约，采购人有权单方面解除合同，而无需因解除合同承担任何赔偿责任，采购人保留追偿直接与间接损失的权利。</w:t>
      </w:r>
    </w:p>
    <w:p w14:paraId="0379F82F">
      <w:pPr>
        <w:widowControl w:val="0"/>
        <w:numPr>
          <w:ilvl w:val="0"/>
          <w:numId w:val="0"/>
        </w:numPr>
        <w:spacing w:line="360" w:lineRule="auto"/>
        <w:ind w:firstLine="241" w:firstLineChars="100"/>
        <w:jc w:val="both"/>
        <w:rPr>
          <w:rStyle w:val="4"/>
          <w:rFonts w:hint="eastAsia" w:ascii="仿宋" w:hAnsi="仿宋" w:eastAsia="仿宋" w:cs="仿宋"/>
          <w:b/>
          <w:bCs/>
          <w:color w:val="000000"/>
          <w:kern w:val="0"/>
          <w:sz w:val="24"/>
          <w:szCs w:val="24"/>
          <w:lang w:val="en-US" w:eastAsia="zh-CN" w:bidi="ar-SA"/>
        </w:rPr>
      </w:pPr>
    </w:p>
    <w:p w14:paraId="2EC29F1C">
      <w:pPr>
        <w:widowControl w:val="0"/>
        <w:numPr>
          <w:ilvl w:val="0"/>
          <w:numId w:val="0"/>
        </w:numPr>
        <w:spacing w:line="360" w:lineRule="auto"/>
        <w:jc w:val="both"/>
        <w:rPr>
          <w:rStyle w:val="4"/>
          <w:rFonts w:hint="eastAsia" w:ascii="仿宋" w:hAnsi="仿宋" w:eastAsia="仿宋" w:cs="仿宋"/>
          <w:b w:val="0"/>
          <w:bCs w:val="0"/>
          <w:color w:val="000000"/>
          <w:kern w:val="0"/>
          <w:sz w:val="24"/>
          <w:szCs w:val="24"/>
          <w:lang w:val="en-US" w:eastAsia="zh-CN" w:bidi="ar-SA"/>
        </w:rPr>
      </w:pPr>
      <w:r>
        <w:rPr>
          <w:rStyle w:val="4"/>
          <w:rFonts w:hint="eastAsia" w:ascii="仿宋" w:hAnsi="仿宋" w:eastAsia="仿宋" w:cs="仿宋"/>
          <w:b/>
          <w:bCs/>
          <w:color w:val="000000"/>
          <w:kern w:val="0"/>
          <w:sz w:val="24"/>
          <w:szCs w:val="24"/>
          <w:lang w:val="en-US" w:eastAsia="zh-CN" w:bidi="ar-SA"/>
        </w:rPr>
        <w:br w:type="page"/>
      </w:r>
      <w:r>
        <w:rPr>
          <w:rStyle w:val="4"/>
          <w:rFonts w:hint="eastAsia" w:ascii="仿宋" w:hAnsi="仿宋" w:eastAsia="仿宋" w:cs="仿宋"/>
          <w:b/>
          <w:bCs/>
          <w:color w:val="000000"/>
          <w:kern w:val="0"/>
          <w:sz w:val="24"/>
          <w:szCs w:val="24"/>
          <w:lang w:val="en-US" w:eastAsia="zh-CN" w:bidi="ar-SA"/>
        </w:rPr>
        <w:t>十四、考核与评价：</w:t>
      </w:r>
    </w:p>
    <w:p w14:paraId="0ACBF921">
      <w:pPr>
        <w:numPr>
          <w:ilvl w:val="0"/>
          <w:numId w:val="0"/>
        </w:numPr>
        <w:spacing w:line="360" w:lineRule="auto"/>
        <w:ind w:right="-22" w:rightChars="0" w:firstLine="480" w:firstLineChars="200"/>
        <w:rPr>
          <w:rStyle w:val="4"/>
          <w:rFonts w:hint="eastAsia" w:ascii="仿宋" w:hAnsi="仿宋" w:eastAsia="仿宋" w:cs="仿宋"/>
          <w:b w:val="0"/>
          <w:bCs w:val="0"/>
          <w:color w:val="000000"/>
          <w:kern w:val="0"/>
          <w:sz w:val="24"/>
          <w:szCs w:val="24"/>
          <w:lang w:val="en-US" w:eastAsia="zh-CN"/>
        </w:rPr>
      </w:pPr>
      <w:r>
        <w:rPr>
          <w:rStyle w:val="4"/>
          <w:rFonts w:hint="eastAsia" w:ascii="仿宋" w:hAnsi="仿宋" w:eastAsia="仿宋" w:cs="仿宋"/>
          <w:b w:val="0"/>
          <w:bCs w:val="0"/>
          <w:color w:val="000000"/>
          <w:kern w:val="0"/>
          <w:sz w:val="24"/>
          <w:szCs w:val="24"/>
          <w:lang w:val="en-US" w:eastAsia="zh-CN"/>
        </w:rPr>
        <w:t xml:space="preserve">14.1 考核评价表              </w:t>
      </w:r>
    </w:p>
    <w:p w14:paraId="50BEE348">
      <w:pPr>
        <w:numPr>
          <w:ilvl w:val="0"/>
          <w:numId w:val="0"/>
        </w:numPr>
        <w:spacing w:line="360" w:lineRule="auto"/>
        <w:ind w:right="-22" w:rightChars="0" w:firstLine="482" w:firstLineChars="200"/>
        <w:jc w:val="center"/>
        <w:rPr>
          <w:rStyle w:val="4"/>
          <w:rFonts w:hint="eastAsia" w:ascii="仿宋" w:hAnsi="仿宋" w:eastAsia="仿宋" w:cs="仿宋"/>
          <w:b/>
          <w:bCs/>
          <w:color w:val="000000"/>
          <w:kern w:val="0"/>
          <w:sz w:val="24"/>
          <w:szCs w:val="24"/>
          <w:lang w:val="en-US" w:eastAsia="zh-CN"/>
        </w:rPr>
      </w:pPr>
      <w:r>
        <w:rPr>
          <w:rStyle w:val="4"/>
          <w:rFonts w:hint="eastAsia" w:ascii="仿宋" w:hAnsi="仿宋" w:eastAsia="仿宋" w:cs="仿宋"/>
          <w:b/>
          <w:bCs/>
          <w:color w:val="000000"/>
          <w:kern w:val="0"/>
          <w:sz w:val="24"/>
          <w:szCs w:val="24"/>
          <w:lang w:val="en-US" w:eastAsia="zh-CN"/>
        </w:rPr>
        <w:t>净化空调维保服务月度考核评价表</w:t>
      </w:r>
    </w:p>
    <w:p w14:paraId="6B994252">
      <w:pPr>
        <w:numPr>
          <w:ilvl w:val="0"/>
          <w:numId w:val="0"/>
        </w:numPr>
        <w:spacing w:line="360" w:lineRule="auto"/>
        <w:ind w:right="-22" w:rightChars="0"/>
        <w:rPr>
          <w:rStyle w:val="4"/>
          <w:rFonts w:hint="eastAsia" w:ascii="仿宋" w:hAnsi="仿宋" w:eastAsia="仿宋" w:cs="仿宋"/>
          <w:b w:val="0"/>
          <w:bCs w:val="0"/>
          <w:color w:val="000000"/>
          <w:kern w:val="0"/>
          <w:sz w:val="24"/>
          <w:szCs w:val="24"/>
          <w:lang w:val="en-US" w:eastAsia="zh-CN"/>
        </w:rPr>
      </w:pPr>
      <w:r>
        <w:rPr>
          <w:rStyle w:val="4"/>
          <w:rFonts w:hint="eastAsia" w:ascii="仿宋" w:hAnsi="仿宋" w:eastAsia="仿宋" w:cs="仿宋"/>
          <w:b w:val="0"/>
          <w:bCs w:val="0"/>
          <w:color w:val="000000"/>
          <w:kern w:val="0"/>
          <w:sz w:val="24"/>
          <w:szCs w:val="24"/>
          <w:lang w:val="en-US" w:eastAsia="zh-CN"/>
        </w:rPr>
        <w:t>考核单位（甲方）：湘西自治州人民医院</w:t>
      </w:r>
      <w:r>
        <w:rPr>
          <w:rStyle w:val="4"/>
          <w:rFonts w:hint="eastAsia" w:ascii="仿宋" w:hAnsi="仿宋" w:eastAsia="仿宋" w:cs="仿宋"/>
          <w:b w:val="0"/>
          <w:bCs w:val="0"/>
          <w:color w:val="000000"/>
          <w:kern w:val="0"/>
          <w:sz w:val="24"/>
          <w:szCs w:val="24"/>
          <w:lang w:val="en-US" w:eastAsia="zh-CN"/>
        </w:rPr>
        <w:tab/>
      </w:r>
      <w:r>
        <w:rPr>
          <w:rStyle w:val="4"/>
          <w:rFonts w:hint="eastAsia" w:ascii="仿宋" w:hAnsi="仿宋" w:eastAsia="仿宋" w:cs="仿宋"/>
          <w:b w:val="0"/>
          <w:bCs w:val="0"/>
          <w:color w:val="000000"/>
          <w:kern w:val="0"/>
          <w:sz w:val="24"/>
          <w:szCs w:val="24"/>
          <w:lang w:val="en-US" w:eastAsia="zh-CN"/>
        </w:rPr>
        <w:t xml:space="preserve">          </w:t>
      </w:r>
    </w:p>
    <w:p w14:paraId="16D348D6">
      <w:pPr>
        <w:numPr>
          <w:ilvl w:val="0"/>
          <w:numId w:val="0"/>
        </w:numPr>
        <w:spacing w:line="360" w:lineRule="auto"/>
        <w:ind w:right="-22" w:rightChars="0"/>
        <w:rPr>
          <w:rStyle w:val="4"/>
          <w:rFonts w:hint="eastAsia" w:ascii="仿宋" w:hAnsi="仿宋" w:eastAsia="仿宋" w:cs="仿宋"/>
          <w:b w:val="0"/>
          <w:bCs w:val="0"/>
          <w:color w:val="000000"/>
          <w:kern w:val="0"/>
          <w:sz w:val="24"/>
          <w:szCs w:val="24"/>
          <w:lang w:val="en-US" w:eastAsia="zh-CN"/>
        </w:rPr>
      </w:pPr>
      <w:r>
        <w:rPr>
          <w:rStyle w:val="4"/>
          <w:rFonts w:hint="eastAsia" w:ascii="仿宋" w:hAnsi="仿宋" w:eastAsia="仿宋" w:cs="仿宋"/>
          <w:b w:val="0"/>
          <w:bCs w:val="0"/>
          <w:color w:val="000000"/>
          <w:kern w:val="0"/>
          <w:sz w:val="24"/>
          <w:szCs w:val="24"/>
          <w:lang w:val="en-US" w:eastAsia="zh-CN"/>
        </w:rPr>
        <w:t>被考核单位（乙方）：</w:t>
      </w:r>
      <w:r>
        <w:rPr>
          <w:rStyle w:val="4"/>
          <w:rFonts w:hint="eastAsia" w:ascii="仿宋" w:hAnsi="仿宋" w:eastAsia="仿宋" w:cs="仿宋"/>
          <w:b w:val="0"/>
          <w:bCs w:val="0"/>
          <w:color w:val="000000"/>
          <w:kern w:val="0"/>
          <w:sz w:val="24"/>
          <w:szCs w:val="24"/>
          <w:lang w:val="en-US" w:eastAsia="zh-CN"/>
        </w:rPr>
        <w:tab/>
      </w:r>
    </w:p>
    <w:tbl>
      <w:tblPr>
        <w:tblStyle w:val="2"/>
        <w:tblW w:w="8522" w:type="dxa"/>
        <w:jc w:val="center"/>
        <w:tblLayout w:type="autofit"/>
        <w:tblCellMar>
          <w:top w:w="0" w:type="dxa"/>
          <w:left w:w="30" w:type="dxa"/>
          <w:bottom w:w="0" w:type="dxa"/>
          <w:right w:w="30" w:type="dxa"/>
        </w:tblCellMar>
      </w:tblPr>
      <w:tblGrid>
        <w:gridCol w:w="300"/>
        <w:gridCol w:w="716"/>
        <w:gridCol w:w="6609"/>
        <w:gridCol w:w="457"/>
        <w:gridCol w:w="440"/>
      </w:tblGrid>
      <w:tr w14:paraId="68798AF9">
        <w:tblPrEx>
          <w:tblCellMar>
            <w:top w:w="0" w:type="dxa"/>
            <w:left w:w="30" w:type="dxa"/>
            <w:bottom w:w="0" w:type="dxa"/>
            <w:right w:w="30" w:type="dxa"/>
          </w:tblCellMar>
        </w:tblPrEx>
        <w:trPr>
          <w:trHeight w:val="0" w:hRule="atLeast"/>
          <w:tblHeader/>
          <w:jc w:val="center"/>
        </w:trPr>
        <w:tc>
          <w:tcPr>
            <w:tcW w:w="1016" w:type="dxa"/>
            <w:gridSpan w:val="2"/>
            <w:tcBorders>
              <w:top w:val="single" w:color="auto" w:sz="6" w:space="0"/>
              <w:left w:val="single" w:color="auto" w:sz="6" w:space="0"/>
              <w:bottom w:val="nil"/>
              <w:right w:val="single" w:color="auto" w:sz="6" w:space="0"/>
            </w:tcBorders>
            <w:noWrap w:val="0"/>
            <w:vAlign w:val="center"/>
          </w:tcPr>
          <w:p w14:paraId="3122AE2D">
            <w:pPr>
              <w:autoSpaceDE w:val="0"/>
              <w:autoSpaceDN w:val="0"/>
              <w:snapToGrid w:val="0"/>
              <w:ind w:left="0" w:leftChars="0" w:right="0" w:rightChars="0" w:firstLine="0" w:firstLineChars="0"/>
              <w:jc w:val="center"/>
              <w:rPr>
                <w:rFonts w:hint="eastAsia" w:ascii="仿宋" w:hAnsi="仿宋" w:eastAsia="仿宋" w:cs="仿宋"/>
                <w:b/>
                <w:bCs/>
                <w:color w:val="auto"/>
                <w:kern w:val="0"/>
                <w:sz w:val="24"/>
                <w:szCs w:val="24"/>
              </w:rPr>
            </w:pPr>
            <w:r>
              <w:rPr>
                <w:rFonts w:hint="eastAsia" w:ascii="仿宋" w:hAnsi="仿宋" w:eastAsia="仿宋" w:cs="仿宋"/>
                <w:b/>
                <w:bCs/>
                <w:color w:val="auto"/>
                <w:kern w:val="0"/>
                <w:sz w:val="24"/>
                <w:szCs w:val="24"/>
                <w:lang w:val="en-US" w:eastAsia="zh-CN"/>
              </w:rPr>
              <w:t>考核与评价</w:t>
            </w:r>
          </w:p>
        </w:tc>
        <w:tc>
          <w:tcPr>
            <w:tcW w:w="6609" w:type="dxa"/>
            <w:tcBorders>
              <w:top w:val="single" w:color="auto" w:sz="6" w:space="0"/>
              <w:left w:val="single" w:color="auto" w:sz="6" w:space="0"/>
              <w:bottom w:val="nil"/>
              <w:right w:val="single" w:color="auto" w:sz="6" w:space="0"/>
            </w:tcBorders>
            <w:noWrap w:val="0"/>
            <w:vAlign w:val="center"/>
          </w:tcPr>
          <w:p w14:paraId="5C44FBC1">
            <w:pPr>
              <w:autoSpaceDE w:val="0"/>
              <w:autoSpaceDN w:val="0"/>
              <w:snapToGrid w:val="0"/>
              <w:ind w:left="0" w:leftChars="0" w:right="0" w:rightChars="0" w:firstLine="0" w:firstLineChars="0"/>
              <w:jc w:val="center"/>
              <w:rPr>
                <w:rFonts w:hint="eastAsia" w:ascii="仿宋" w:hAnsi="仿宋" w:eastAsia="仿宋" w:cs="仿宋"/>
                <w:b/>
                <w:bCs/>
                <w:color w:val="auto"/>
                <w:kern w:val="0"/>
                <w:sz w:val="24"/>
                <w:szCs w:val="24"/>
                <w:lang w:val="en-US"/>
              </w:rPr>
            </w:pPr>
            <w:r>
              <w:rPr>
                <w:rFonts w:hint="eastAsia" w:ascii="仿宋" w:hAnsi="仿宋" w:eastAsia="仿宋" w:cs="仿宋"/>
                <w:b/>
                <w:bCs/>
                <w:color w:val="auto"/>
                <w:kern w:val="0"/>
                <w:sz w:val="24"/>
                <w:szCs w:val="24"/>
              </w:rPr>
              <w:t>扣分</w:t>
            </w:r>
            <w:r>
              <w:rPr>
                <w:rFonts w:hint="eastAsia" w:ascii="仿宋" w:hAnsi="仿宋" w:eastAsia="仿宋" w:cs="仿宋"/>
                <w:b/>
                <w:bCs/>
                <w:color w:val="auto"/>
                <w:kern w:val="0"/>
                <w:sz w:val="24"/>
                <w:szCs w:val="24"/>
                <w:lang w:val="en-US" w:eastAsia="zh-CN"/>
              </w:rPr>
              <w:t>及处罚标准</w:t>
            </w:r>
          </w:p>
        </w:tc>
        <w:tc>
          <w:tcPr>
            <w:tcW w:w="0" w:type="auto"/>
            <w:tcBorders>
              <w:top w:val="single" w:color="auto" w:sz="6" w:space="0"/>
              <w:left w:val="single" w:color="auto" w:sz="6" w:space="0"/>
              <w:bottom w:val="single" w:color="000000" w:sz="2" w:space="0"/>
              <w:right w:val="single" w:color="auto" w:sz="6" w:space="0"/>
            </w:tcBorders>
            <w:noWrap w:val="0"/>
            <w:vAlign w:val="center"/>
          </w:tcPr>
          <w:p w14:paraId="3DF1D768">
            <w:pPr>
              <w:autoSpaceDE w:val="0"/>
              <w:autoSpaceDN w:val="0"/>
              <w:snapToGrid w:val="0"/>
              <w:ind w:left="0" w:leftChars="0" w:right="0" w:rightChars="0" w:firstLine="0" w:firstLineChars="0"/>
              <w:jc w:val="center"/>
              <w:rPr>
                <w:rFonts w:hint="eastAsia" w:ascii="仿宋" w:hAnsi="仿宋" w:eastAsia="仿宋" w:cs="仿宋"/>
                <w:b/>
                <w:bCs/>
                <w:color w:val="auto"/>
                <w:kern w:val="0"/>
                <w:sz w:val="24"/>
                <w:szCs w:val="24"/>
                <w:lang w:val="en-US" w:eastAsia="zh-CN"/>
              </w:rPr>
            </w:pPr>
            <w:r>
              <w:rPr>
                <w:rFonts w:hint="eastAsia" w:ascii="仿宋" w:hAnsi="仿宋" w:eastAsia="仿宋" w:cs="仿宋"/>
                <w:b/>
                <w:bCs/>
                <w:color w:val="auto"/>
                <w:kern w:val="0"/>
                <w:sz w:val="24"/>
                <w:szCs w:val="24"/>
                <w:lang w:val="en-US" w:eastAsia="zh-CN"/>
              </w:rPr>
              <w:t>扣分</w:t>
            </w:r>
          </w:p>
        </w:tc>
        <w:tc>
          <w:tcPr>
            <w:tcW w:w="440" w:type="dxa"/>
            <w:tcBorders>
              <w:top w:val="single" w:color="auto" w:sz="6" w:space="0"/>
              <w:left w:val="single" w:color="auto" w:sz="6" w:space="0"/>
              <w:bottom w:val="single" w:color="000000" w:sz="2" w:space="0"/>
              <w:right w:val="single" w:color="auto" w:sz="6" w:space="0"/>
            </w:tcBorders>
            <w:noWrap w:val="0"/>
            <w:vAlign w:val="center"/>
          </w:tcPr>
          <w:p w14:paraId="3CC62C15">
            <w:pPr>
              <w:autoSpaceDE w:val="0"/>
              <w:autoSpaceDN w:val="0"/>
              <w:snapToGrid w:val="0"/>
              <w:ind w:left="0" w:leftChars="0" w:right="0" w:rightChars="0" w:firstLine="0" w:firstLineChars="0"/>
              <w:jc w:val="center"/>
              <w:rPr>
                <w:rFonts w:hint="eastAsia" w:ascii="仿宋" w:hAnsi="仿宋" w:eastAsia="仿宋" w:cs="仿宋"/>
                <w:b/>
                <w:bCs/>
                <w:color w:val="auto"/>
                <w:kern w:val="0"/>
                <w:sz w:val="24"/>
                <w:szCs w:val="24"/>
                <w:lang w:val="en-US" w:eastAsia="zh-CN"/>
              </w:rPr>
            </w:pPr>
            <w:r>
              <w:rPr>
                <w:rFonts w:hint="eastAsia" w:ascii="仿宋" w:hAnsi="仿宋" w:eastAsia="仿宋" w:cs="仿宋"/>
                <w:b/>
                <w:bCs/>
                <w:color w:val="auto"/>
                <w:kern w:val="0"/>
                <w:sz w:val="24"/>
                <w:szCs w:val="24"/>
                <w:lang w:val="en-US" w:eastAsia="zh-CN"/>
              </w:rPr>
              <w:t>处罚</w:t>
            </w:r>
          </w:p>
        </w:tc>
      </w:tr>
      <w:tr w14:paraId="78C1DE25">
        <w:tblPrEx>
          <w:tblCellMar>
            <w:top w:w="0" w:type="dxa"/>
            <w:left w:w="30" w:type="dxa"/>
            <w:bottom w:w="0" w:type="dxa"/>
            <w:right w:w="30" w:type="dxa"/>
          </w:tblCellMar>
        </w:tblPrEx>
        <w:trPr>
          <w:trHeight w:val="0" w:hRule="atLeast"/>
          <w:jc w:val="center"/>
        </w:trPr>
        <w:tc>
          <w:tcPr>
            <w:tcW w:w="300" w:type="dxa"/>
            <w:tcBorders>
              <w:top w:val="single" w:color="auto" w:sz="6" w:space="0"/>
              <w:left w:val="single" w:color="auto" w:sz="6" w:space="0"/>
              <w:bottom w:val="single" w:color="auto" w:sz="6" w:space="0"/>
              <w:right w:val="single" w:color="auto" w:sz="6" w:space="0"/>
            </w:tcBorders>
            <w:noWrap w:val="0"/>
            <w:vAlign w:val="center"/>
          </w:tcPr>
          <w:p w14:paraId="7BA0A0B9">
            <w:pPr>
              <w:autoSpaceDE w:val="0"/>
              <w:autoSpaceDN w:val="0"/>
              <w:snapToGrid w:val="0"/>
              <w:ind w:left="0" w:leftChars="0" w:right="0" w:rightChars="0" w:firstLine="0" w:firstLineChars="0"/>
              <w:jc w:val="center"/>
              <w:rPr>
                <w:rFonts w:hint="eastAsia" w:ascii="仿宋" w:hAnsi="仿宋" w:eastAsia="仿宋" w:cs="仿宋"/>
                <w:b w:val="0"/>
                <w:bCs/>
                <w:color w:val="auto"/>
                <w:kern w:val="0"/>
                <w:sz w:val="24"/>
                <w:szCs w:val="24"/>
                <w:lang w:val="en-US" w:eastAsia="zh-CN"/>
              </w:rPr>
            </w:pPr>
            <w:r>
              <w:rPr>
                <w:rFonts w:hint="eastAsia" w:ascii="仿宋" w:hAnsi="仿宋" w:eastAsia="仿宋" w:cs="仿宋"/>
                <w:b w:val="0"/>
                <w:bCs/>
                <w:color w:val="auto"/>
                <w:kern w:val="0"/>
                <w:sz w:val="24"/>
                <w:szCs w:val="24"/>
                <w:lang w:val="en-US" w:eastAsia="zh-CN"/>
              </w:rPr>
              <w:t>1</w:t>
            </w:r>
          </w:p>
        </w:tc>
        <w:tc>
          <w:tcPr>
            <w:tcW w:w="716" w:type="dxa"/>
            <w:tcBorders>
              <w:top w:val="single" w:color="auto" w:sz="6" w:space="0"/>
              <w:left w:val="single" w:color="auto" w:sz="6" w:space="0"/>
              <w:bottom w:val="single" w:color="auto" w:sz="6" w:space="0"/>
              <w:right w:val="single" w:color="auto" w:sz="6" w:space="0"/>
            </w:tcBorders>
            <w:noWrap w:val="0"/>
            <w:vAlign w:val="center"/>
          </w:tcPr>
          <w:p w14:paraId="76BFFD7F">
            <w:pPr>
              <w:autoSpaceDE w:val="0"/>
              <w:autoSpaceDN w:val="0"/>
              <w:snapToGrid w:val="0"/>
              <w:ind w:left="0" w:leftChars="0" w:right="0" w:rightChars="0" w:firstLine="0" w:firstLineChars="0"/>
              <w:jc w:val="center"/>
              <w:rPr>
                <w:rFonts w:hint="eastAsia" w:ascii="仿宋" w:hAnsi="仿宋" w:eastAsia="仿宋" w:cs="仿宋"/>
                <w:b w:val="0"/>
                <w:bCs/>
                <w:color w:val="auto"/>
                <w:kern w:val="0"/>
                <w:sz w:val="24"/>
                <w:szCs w:val="24"/>
                <w:lang w:val="en-US" w:eastAsia="zh-CN"/>
              </w:rPr>
            </w:pPr>
            <w:r>
              <w:rPr>
                <w:rFonts w:hint="eastAsia" w:ascii="仿宋" w:hAnsi="仿宋" w:eastAsia="仿宋" w:cs="仿宋"/>
                <w:b w:val="0"/>
                <w:bCs/>
                <w:color w:val="auto"/>
                <w:kern w:val="0"/>
                <w:sz w:val="24"/>
                <w:szCs w:val="24"/>
                <w:lang w:val="en-US" w:eastAsia="zh-CN"/>
              </w:rPr>
              <w:t>维护保养</w:t>
            </w:r>
          </w:p>
        </w:tc>
        <w:tc>
          <w:tcPr>
            <w:tcW w:w="6609" w:type="dxa"/>
            <w:tcBorders>
              <w:top w:val="single" w:color="auto" w:sz="6" w:space="0"/>
              <w:left w:val="single" w:color="auto" w:sz="6" w:space="0"/>
              <w:bottom w:val="single" w:color="auto" w:sz="6" w:space="0"/>
              <w:right w:val="single" w:color="auto" w:sz="4" w:space="0"/>
            </w:tcBorders>
            <w:noWrap w:val="0"/>
            <w:vAlign w:val="center"/>
          </w:tcPr>
          <w:p w14:paraId="4EBFAC76">
            <w:pPr>
              <w:autoSpaceDE w:val="0"/>
              <w:autoSpaceDN w:val="0"/>
              <w:snapToGrid w:val="0"/>
              <w:ind w:left="0" w:leftChars="0" w:right="0" w:rightChars="0" w:firstLine="0" w:firstLineChars="0"/>
              <w:jc w:val="left"/>
              <w:rPr>
                <w:rFonts w:hint="eastAsia" w:ascii="仿宋" w:hAnsi="仿宋" w:eastAsia="仿宋" w:cs="仿宋"/>
                <w:b w:val="0"/>
                <w:bCs/>
                <w:color w:val="auto"/>
                <w:kern w:val="0"/>
                <w:sz w:val="24"/>
                <w:szCs w:val="24"/>
                <w:lang w:val="en-US" w:eastAsia="zh-CN"/>
              </w:rPr>
            </w:pPr>
            <w:r>
              <w:rPr>
                <w:rFonts w:hint="eastAsia" w:ascii="仿宋" w:hAnsi="仿宋" w:eastAsia="仿宋" w:cs="仿宋"/>
                <w:b w:val="0"/>
                <w:bCs/>
                <w:color w:val="auto"/>
                <w:kern w:val="0"/>
                <w:sz w:val="24"/>
                <w:szCs w:val="24"/>
                <w:lang w:val="en-US" w:eastAsia="zh-CN"/>
              </w:rPr>
              <w:t>（1）未按要求进行维护保养，每次扣0.5分；处罚50元。</w:t>
            </w:r>
          </w:p>
          <w:p w14:paraId="57585A69">
            <w:pPr>
              <w:autoSpaceDE w:val="0"/>
              <w:autoSpaceDN w:val="0"/>
              <w:snapToGrid w:val="0"/>
              <w:ind w:left="0" w:leftChars="0" w:right="0" w:rightChars="0" w:firstLine="0" w:firstLineChars="0"/>
              <w:jc w:val="left"/>
              <w:rPr>
                <w:rFonts w:hint="eastAsia" w:ascii="仿宋" w:hAnsi="仿宋" w:eastAsia="仿宋" w:cs="仿宋"/>
                <w:b w:val="0"/>
                <w:bCs/>
                <w:color w:val="auto"/>
                <w:kern w:val="0"/>
                <w:sz w:val="24"/>
                <w:szCs w:val="24"/>
                <w:lang w:val="en-US" w:eastAsia="zh-CN"/>
              </w:rPr>
            </w:pPr>
            <w:r>
              <w:rPr>
                <w:rFonts w:hint="eastAsia" w:ascii="仿宋" w:hAnsi="仿宋" w:eastAsia="仿宋" w:cs="仿宋"/>
                <w:b w:val="0"/>
                <w:bCs/>
                <w:color w:val="auto"/>
                <w:kern w:val="0"/>
                <w:sz w:val="24"/>
                <w:szCs w:val="24"/>
                <w:lang w:val="en-US" w:eastAsia="zh-CN"/>
              </w:rPr>
              <w:t>（2）原始工作记录不全，每次扣0.5分；处罚50元。</w:t>
            </w:r>
          </w:p>
        </w:tc>
        <w:tc>
          <w:tcPr>
            <w:tcW w:w="0" w:type="auto"/>
            <w:tcBorders>
              <w:top w:val="single" w:color="auto" w:sz="6" w:space="0"/>
              <w:left w:val="single" w:color="auto" w:sz="4" w:space="0"/>
              <w:bottom w:val="single" w:color="auto" w:sz="6" w:space="0"/>
              <w:right w:val="single" w:color="auto" w:sz="6" w:space="0"/>
            </w:tcBorders>
            <w:noWrap w:val="0"/>
            <w:vAlign w:val="center"/>
          </w:tcPr>
          <w:p w14:paraId="5A9D8202">
            <w:pPr>
              <w:autoSpaceDE w:val="0"/>
              <w:autoSpaceDN w:val="0"/>
              <w:snapToGrid w:val="0"/>
              <w:ind w:left="0" w:leftChars="0" w:right="0" w:rightChars="0" w:firstLine="0" w:firstLineChars="0"/>
              <w:jc w:val="left"/>
              <w:rPr>
                <w:rFonts w:hint="eastAsia" w:ascii="仿宋" w:hAnsi="仿宋" w:eastAsia="仿宋" w:cs="仿宋"/>
                <w:b w:val="0"/>
                <w:bCs/>
                <w:color w:val="auto"/>
                <w:kern w:val="0"/>
                <w:sz w:val="24"/>
                <w:szCs w:val="24"/>
                <w:lang w:val="en-US" w:eastAsia="zh-CN"/>
              </w:rPr>
            </w:pPr>
          </w:p>
        </w:tc>
        <w:tc>
          <w:tcPr>
            <w:tcW w:w="440" w:type="dxa"/>
            <w:tcBorders>
              <w:top w:val="single" w:color="auto" w:sz="6" w:space="0"/>
              <w:left w:val="single" w:color="auto" w:sz="4" w:space="0"/>
              <w:bottom w:val="single" w:color="auto" w:sz="6" w:space="0"/>
              <w:right w:val="single" w:color="auto" w:sz="6" w:space="0"/>
            </w:tcBorders>
            <w:noWrap w:val="0"/>
            <w:vAlign w:val="center"/>
          </w:tcPr>
          <w:p w14:paraId="3D1DE803">
            <w:pPr>
              <w:autoSpaceDE w:val="0"/>
              <w:autoSpaceDN w:val="0"/>
              <w:snapToGrid w:val="0"/>
              <w:ind w:left="0" w:leftChars="0" w:right="0" w:rightChars="0" w:firstLine="0" w:firstLineChars="0"/>
              <w:jc w:val="right"/>
              <w:rPr>
                <w:rFonts w:hint="eastAsia" w:ascii="仿宋" w:hAnsi="仿宋" w:eastAsia="仿宋" w:cs="仿宋"/>
                <w:b w:val="0"/>
                <w:bCs/>
                <w:color w:val="auto"/>
                <w:kern w:val="0"/>
                <w:sz w:val="24"/>
                <w:szCs w:val="24"/>
                <w:lang w:val="en-US" w:eastAsia="zh-CN"/>
              </w:rPr>
            </w:pPr>
          </w:p>
        </w:tc>
      </w:tr>
      <w:tr w14:paraId="7BBE1829">
        <w:tblPrEx>
          <w:tblCellMar>
            <w:top w:w="0" w:type="dxa"/>
            <w:left w:w="30" w:type="dxa"/>
            <w:bottom w:w="0" w:type="dxa"/>
            <w:right w:w="30" w:type="dxa"/>
          </w:tblCellMar>
        </w:tblPrEx>
        <w:trPr>
          <w:trHeight w:val="0" w:hRule="atLeast"/>
          <w:jc w:val="center"/>
        </w:trPr>
        <w:tc>
          <w:tcPr>
            <w:tcW w:w="300" w:type="dxa"/>
            <w:tcBorders>
              <w:top w:val="single" w:color="auto" w:sz="6" w:space="0"/>
              <w:left w:val="single" w:color="auto" w:sz="6" w:space="0"/>
              <w:bottom w:val="nil"/>
              <w:right w:val="single" w:color="auto" w:sz="6" w:space="0"/>
            </w:tcBorders>
            <w:noWrap w:val="0"/>
            <w:vAlign w:val="center"/>
          </w:tcPr>
          <w:p w14:paraId="5EDFF93A">
            <w:pPr>
              <w:autoSpaceDE w:val="0"/>
              <w:autoSpaceDN w:val="0"/>
              <w:snapToGrid w:val="0"/>
              <w:ind w:left="0" w:leftChars="0" w:right="0" w:rightChars="0" w:firstLine="0" w:firstLineChars="0"/>
              <w:jc w:val="center"/>
              <w:rPr>
                <w:rFonts w:hint="eastAsia" w:ascii="仿宋" w:hAnsi="仿宋" w:eastAsia="仿宋" w:cs="仿宋"/>
                <w:b w:val="0"/>
                <w:bCs/>
                <w:color w:val="auto"/>
                <w:kern w:val="0"/>
                <w:sz w:val="24"/>
                <w:szCs w:val="24"/>
                <w:lang w:val="en-US" w:eastAsia="zh-CN"/>
              </w:rPr>
            </w:pPr>
            <w:r>
              <w:rPr>
                <w:rFonts w:hint="eastAsia" w:ascii="仿宋" w:hAnsi="仿宋" w:eastAsia="仿宋" w:cs="仿宋"/>
                <w:b w:val="0"/>
                <w:bCs/>
                <w:color w:val="auto"/>
                <w:kern w:val="0"/>
                <w:sz w:val="24"/>
                <w:szCs w:val="24"/>
                <w:lang w:val="en-US" w:eastAsia="zh-CN"/>
              </w:rPr>
              <w:t>2</w:t>
            </w:r>
          </w:p>
        </w:tc>
        <w:tc>
          <w:tcPr>
            <w:tcW w:w="716" w:type="dxa"/>
            <w:tcBorders>
              <w:top w:val="single" w:color="auto" w:sz="6" w:space="0"/>
              <w:left w:val="single" w:color="auto" w:sz="6" w:space="0"/>
              <w:bottom w:val="nil"/>
              <w:right w:val="single" w:color="auto" w:sz="6" w:space="0"/>
            </w:tcBorders>
            <w:noWrap w:val="0"/>
            <w:vAlign w:val="center"/>
          </w:tcPr>
          <w:p w14:paraId="68751A7C">
            <w:pPr>
              <w:autoSpaceDE w:val="0"/>
              <w:autoSpaceDN w:val="0"/>
              <w:snapToGrid w:val="0"/>
              <w:ind w:left="0" w:leftChars="0" w:right="0" w:rightChars="0" w:firstLine="0" w:firstLineChars="0"/>
              <w:jc w:val="center"/>
              <w:rPr>
                <w:rFonts w:hint="eastAsia" w:ascii="仿宋" w:hAnsi="仿宋" w:eastAsia="仿宋" w:cs="仿宋"/>
                <w:b w:val="0"/>
                <w:bCs/>
                <w:color w:val="auto"/>
                <w:kern w:val="0"/>
                <w:sz w:val="24"/>
                <w:szCs w:val="24"/>
                <w:lang w:val="en-US" w:eastAsia="zh-CN"/>
              </w:rPr>
            </w:pPr>
            <w:r>
              <w:rPr>
                <w:rFonts w:hint="eastAsia" w:ascii="仿宋" w:hAnsi="仿宋" w:eastAsia="仿宋" w:cs="仿宋"/>
                <w:b w:val="0"/>
                <w:bCs/>
                <w:color w:val="auto"/>
                <w:kern w:val="0"/>
                <w:sz w:val="24"/>
                <w:szCs w:val="24"/>
                <w:lang w:val="en-US" w:eastAsia="zh-CN"/>
              </w:rPr>
              <w:t>工作记录</w:t>
            </w:r>
          </w:p>
        </w:tc>
        <w:tc>
          <w:tcPr>
            <w:tcW w:w="6609" w:type="dxa"/>
            <w:tcBorders>
              <w:top w:val="single" w:color="auto" w:sz="6" w:space="0"/>
              <w:left w:val="single" w:color="auto" w:sz="6" w:space="0"/>
              <w:bottom w:val="nil"/>
              <w:right w:val="single" w:color="auto" w:sz="6" w:space="0"/>
            </w:tcBorders>
            <w:noWrap w:val="0"/>
            <w:vAlign w:val="center"/>
          </w:tcPr>
          <w:p w14:paraId="08015BAE">
            <w:pPr>
              <w:autoSpaceDE w:val="0"/>
              <w:autoSpaceDN w:val="0"/>
              <w:snapToGrid w:val="0"/>
              <w:ind w:left="0" w:leftChars="0" w:right="0" w:rightChars="0" w:firstLine="0" w:firstLineChars="0"/>
              <w:jc w:val="left"/>
              <w:rPr>
                <w:rFonts w:hint="eastAsia" w:ascii="仿宋" w:hAnsi="仿宋" w:eastAsia="仿宋" w:cs="仿宋"/>
                <w:b w:val="0"/>
                <w:bCs/>
                <w:color w:val="auto"/>
                <w:kern w:val="0"/>
                <w:sz w:val="24"/>
                <w:szCs w:val="24"/>
                <w:lang w:val="en-US" w:eastAsia="zh-CN"/>
              </w:rPr>
            </w:pPr>
            <w:r>
              <w:rPr>
                <w:rFonts w:hint="eastAsia" w:ascii="仿宋" w:hAnsi="仿宋" w:eastAsia="仿宋" w:cs="仿宋"/>
                <w:b w:val="0"/>
                <w:bCs/>
                <w:color w:val="auto"/>
                <w:kern w:val="0"/>
                <w:sz w:val="24"/>
                <w:szCs w:val="24"/>
                <w:lang w:val="en-US" w:eastAsia="zh-CN"/>
              </w:rPr>
              <w:t>（1）未执行日巡查巡检或巡检记录缺失、造假，每次扣1分；处罚100元。</w:t>
            </w:r>
          </w:p>
          <w:p w14:paraId="156666BC">
            <w:pPr>
              <w:autoSpaceDE w:val="0"/>
              <w:autoSpaceDN w:val="0"/>
              <w:snapToGrid w:val="0"/>
              <w:ind w:left="0" w:leftChars="0" w:right="0" w:rightChars="0" w:firstLine="0" w:firstLineChars="0"/>
              <w:jc w:val="left"/>
              <w:rPr>
                <w:rFonts w:hint="eastAsia" w:ascii="仿宋" w:hAnsi="仿宋" w:eastAsia="仿宋" w:cs="仿宋"/>
                <w:b w:val="0"/>
                <w:bCs/>
                <w:color w:val="auto"/>
                <w:kern w:val="0"/>
                <w:sz w:val="24"/>
                <w:szCs w:val="24"/>
                <w:lang w:val="en-US" w:eastAsia="zh-CN"/>
              </w:rPr>
            </w:pPr>
            <w:r>
              <w:rPr>
                <w:rFonts w:hint="eastAsia" w:ascii="仿宋" w:hAnsi="仿宋" w:eastAsia="仿宋" w:cs="仿宋"/>
                <w:b w:val="0"/>
                <w:bCs/>
                <w:color w:val="auto"/>
                <w:kern w:val="0"/>
                <w:sz w:val="24"/>
                <w:szCs w:val="24"/>
                <w:lang w:val="en-US" w:eastAsia="zh-CN"/>
              </w:rPr>
              <w:t>（2）未如实登记维修、维护、应急处置等记录，发生不登、漏登、错登；每次扣0.5分；处罚50元。</w:t>
            </w:r>
          </w:p>
        </w:tc>
        <w:tc>
          <w:tcPr>
            <w:tcW w:w="0" w:type="auto"/>
            <w:tcBorders>
              <w:top w:val="single" w:color="auto" w:sz="6" w:space="0"/>
              <w:left w:val="single" w:color="auto" w:sz="6" w:space="0"/>
              <w:bottom w:val="nil"/>
              <w:right w:val="single" w:color="auto" w:sz="6" w:space="0"/>
            </w:tcBorders>
            <w:noWrap w:val="0"/>
            <w:vAlign w:val="center"/>
          </w:tcPr>
          <w:p w14:paraId="09F5EF08">
            <w:pPr>
              <w:autoSpaceDE w:val="0"/>
              <w:autoSpaceDN w:val="0"/>
              <w:snapToGrid w:val="0"/>
              <w:ind w:left="0" w:leftChars="0" w:right="0" w:rightChars="0" w:firstLine="0" w:firstLineChars="0"/>
              <w:jc w:val="left"/>
              <w:rPr>
                <w:rFonts w:hint="eastAsia" w:ascii="仿宋" w:hAnsi="仿宋" w:eastAsia="仿宋" w:cs="仿宋"/>
                <w:b w:val="0"/>
                <w:bCs/>
                <w:color w:val="auto"/>
                <w:kern w:val="0"/>
                <w:sz w:val="24"/>
                <w:szCs w:val="24"/>
                <w:lang w:val="en-US" w:eastAsia="zh-CN"/>
              </w:rPr>
            </w:pPr>
          </w:p>
        </w:tc>
        <w:tc>
          <w:tcPr>
            <w:tcW w:w="440" w:type="dxa"/>
            <w:tcBorders>
              <w:top w:val="single" w:color="auto" w:sz="6" w:space="0"/>
              <w:left w:val="single" w:color="auto" w:sz="6" w:space="0"/>
              <w:bottom w:val="nil"/>
              <w:right w:val="single" w:color="auto" w:sz="6" w:space="0"/>
            </w:tcBorders>
            <w:noWrap w:val="0"/>
            <w:vAlign w:val="center"/>
          </w:tcPr>
          <w:p w14:paraId="75787A21">
            <w:pPr>
              <w:autoSpaceDE w:val="0"/>
              <w:autoSpaceDN w:val="0"/>
              <w:snapToGrid w:val="0"/>
              <w:ind w:left="0" w:leftChars="0" w:right="0" w:rightChars="0" w:firstLine="0" w:firstLineChars="0"/>
              <w:jc w:val="right"/>
              <w:rPr>
                <w:rFonts w:hint="eastAsia" w:ascii="仿宋" w:hAnsi="仿宋" w:eastAsia="仿宋" w:cs="仿宋"/>
                <w:b w:val="0"/>
                <w:bCs/>
                <w:color w:val="auto"/>
                <w:kern w:val="0"/>
                <w:sz w:val="24"/>
                <w:szCs w:val="24"/>
                <w:lang w:val="en-US" w:eastAsia="zh-CN"/>
              </w:rPr>
            </w:pPr>
          </w:p>
        </w:tc>
      </w:tr>
      <w:tr w14:paraId="75556036">
        <w:tblPrEx>
          <w:tblCellMar>
            <w:top w:w="0" w:type="dxa"/>
            <w:left w:w="30" w:type="dxa"/>
            <w:bottom w:w="0" w:type="dxa"/>
            <w:right w:w="30" w:type="dxa"/>
          </w:tblCellMar>
        </w:tblPrEx>
        <w:trPr>
          <w:trHeight w:val="0" w:hRule="atLeast"/>
          <w:jc w:val="center"/>
        </w:trPr>
        <w:tc>
          <w:tcPr>
            <w:tcW w:w="300" w:type="dxa"/>
            <w:tcBorders>
              <w:top w:val="single" w:color="auto" w:sz="6" w:space="0"/>
              <w:left w:val="single" w:color="auto" w:sz="6" w:space="0"/>
              <w:bottom w:val="nil"/>
              <w:right w:val="single" w:color="auto" w:sz="6" w:space="0"/>
            </w:tcBorders>
            <w:noWrap w:val="0"/>
            <w:vAlign w:val="center"/>
          </w:tcPr>
          <w:p w14:paraId="7F1EC0BD">
            <w:pPr>
              <w:autoSpaceDE w:val="0"/>
              <w:autoSpaceDN w:val="0"/>
              <w:snapToGrid w:val="0"/>
              <w:ind w:left="0" w:leftChars="0" w:right="0" w:rightChars="0" w:firstLine="0" w:firstLineChars="0"/>
              <w:jc w:val="center"/>
              <w:rPr>
                <w:rFonts w:hint="eastAsia" w:ascii="仿宋" w:hAnsi="仿宋" w:eastAsia="仿宋" w:cs="仿宋"/>
                <w:b w:val="0"/>
                <w:bCs/>
                <w:color w:val="auto"/>
                <w:kern w:val="0"/>
                <w:sz w:val="24"/>
                <w:szCs w:val="24"/>
                <w:lang w:val="en-US" w:eastAsia="zh-CN"/>
              </w:rPr>
            </w:pPr>
            <w:r>
              <w:rPr>
                <w:rFonts w:hint="eastAsia" w:ascii="仿宋" w:hAnsi="仿宋" w:eastAsia="仿宋" w:cs="仿宋"/>
                <w:b w:val="0"/>
                <w:bCs/>
                <w:color w:val="auto"/>
                <w:kern w:val="0"/>
                <w:sz w:val="24"/>
                <w:szCs w:val="24"/>
                <w:lang w:val="en-US" w:eastAsia="zh-CN"/>
              </w:rPr>
              <w:t>3</w:t>
            </w:r>
          </w:p>
        </w:tc>
        <w:tc>
          <w:tcPr>
            <w:tcW w:w="716" w:type="dxa"/>
            <w:tcBorders>
              <w:top w:val="single" w:color="auto" w:sz="6" w:space="0"/>
              <w:left w:val="single" w:color="auto" w:sz="6" w:space="0"/>
              <w:bottom w:val="nil"/>
              <w:right w:val="single" w:color="auto" w:sz="6" w:space="0"/>
            </w:tcBorders>
            <w:noWrap w:val="0"/>
            <w:vAlign w:val="center"/>
          </w:tcPr>
          <w:p w14:paraId="2BD47EEA">
            <w:pPr>
              <w:autoSpaceDE w:val="0"/>
              <w:autoSpaceDN w:val="0"/>
              <w:snapToGrid w:val="0"/>
              <w:ind w:left="0" w:leftChars="0" w:right="0" w:rightChars="0" w:firstLine="0" w:firstLineChars="0"/>
              <w:jc w:val="center"/>
              <w:rPr>
                <w:rFonts w:hint="eastAsia" w:ascii="仿宋" w:hAnsi="仿宋" w:eastAsia="仿宋" w:cs="仿宋"/>
                <w:b w:val="0"/>
                <w:bCs/>
                <w:color w:val="auto"/>
                <w:kern w:val="0"/>
                <w:sz w:val="24"/>
                <w:szCs w:val="24"/>
                <w:lang w:val="en-US" w:eastAsia="zh-CN"/>
              </w:rPr>
            </w:pPr>
            <w:r>
              <w:rPr>
                <w:rFonts w:hint="eastAsia" w:ascii="仿宋" w:hAnsi="仿宋" w:eastAsia="仿宋" w:cs="仿宋"/>
                <w:b w:val="0"/>
                <w:bCs/>
                <w:color w:val="auto"/>
                <w:kern w:val="0"/>
                <w:sz w:val="24"/>
                <w:szCs w:val="24"/>
                <w:lang w:val="en-US" w:eastAsia="zh-CN"/>
              </w:rPr>
              <w:t>服务质量</w:t>
            </w:r>
          </w:p>
        </w:tc>
        <w:tc>
          <w:tcPr>
            <w:tcW w:w="6609" w:type="dxa"/>
            <w:tcBorders>
              <w:top w:val="single" w:color="auto" w:sz="6" w:space="0"/>
              <w:left w:val="single" w:color="auto" w:sz="6" w:space="0"/>
              <w:bottom w:val="nil"/>
              <w:right w:val="single" w:color="auto" w:sz="4" w:space="0"/>
            </w:tcBorders>
            <w:noWrap w:val="0"/>
            <w:vAlign w:val="center"/>
          </w:tcPr>
          <w:p w14:paraId="3DBD1BA9">
            <w:pPr>
              <w:autoSpaceDE w:val="0"/>
              <w:autoSpaceDN w:val="0"/>
              <w:snapToGrid w:val="0"/>
              <w:ind w:left="0" w:leftChars="0" w:right="0" w:rightChars="0" w:firstLine="0" w:firstLineChars="0"/>
              <w:jc w:val="left"/>
              <w:rPr>
                <w:rFonts w:hint="eastAsia" w:ascii="仿宋" w:hAnsi="仿宋" w:eastAsia="仿宋" w:cs="仿宋"/>
                <w:b w:val="0"/>
                <w:bCs/>
                <w:color w:val="auto"/>
                <w:kern w:val="0"/>
                <w:sz w:val="24"/>
                <w:szCs w:val="24"/>
                <w:lang w:val="en-US" w:eastAsia="zh-CN"/>
              </w:rPr>
            </w:pPr>
            <w:r>
              <w:rPr>
                <w:rFonts w:hint="eastAsia" w:ascii="仿宋" w:hAnsi="仿宋" w:eastAsia="仿宋" w:cs="仿宋"/>
                <w:b w:val="0"/>
                <w:bCs/>
                <w:color w:val="auto"/>
                <w:kern w:val="0"/>
                <w:sz w:val="24"/>
                <w:szCs w:val="24"/>
                <w:lang w:val="en-US" w:eastAsia="zh-CN"/>
              </w:rPr>
              <w:t>根据采购需求第六节“服务要求”第6.6条规定，未及时修复故障，设备带病运行；每次扣3分；处罚300元。</w:t>
            </w:r>
          </w:p>
        </w:tc>
        <w:tc>
          <w:tcPr>
            <w:tcW w:w="0" w:type="auto"/>
            <w:tcBorders>
              <w:top w:val="single" w:color="auto" w:sz="6" w:space="0"/>
              <w:left w:val="single" w:color="auto" w:sz="4" w:space="0"/>
              <w:bottom w:val="nil"/>
              <w:right w:val="single" w:color="auto" w:sz="6" w:space="0"/>
            </w:tcBorders>
            <w:noWrap w:val="0"/>
            <w:vAlign w:val="center"/>
          </w:tcPr>
          <w:p w14:paraId="0F47939E">
            <w:pPr>
              <w:autoSpaceDE w:val="0"/>
              <w:autoSpaceDN w:val="0"/>
              <w:snapToGrid w:val="0"/>
              <w:ind w:left="0" w:leftChars="0" w:right="0" w:rightChars="0" w:firstLine="0" w:firstLineChars="0"/>
              <w:jc w:val="left"/>
              <w:rPr>
                <w:rFonts w:hint="eastAsia" w:ascii="仿宋" w:hAnsi="仿宋" w:eastAsia="仿宋" w:cs="仿宋"/>
                <w:b w:val="0"/>
                <w:bCs/>
                <w:color w:val="auto"/>
                <w:kern w:val="0"/>
                <w:sz w:val="24"/>
                <w:szCs w:val="24"/>
                <w:lang w:val="en-US" w:eastAsia="zh-CN"/>
              </w:rPr>
            </w:pPr>
          </w:p>
        </w:tc>
        <w:tc>
          <w:tcPr>
            <w:tcW w:w="440" w:type="dxa"/>
            <w:tcBorders>
              <w:top w:val="single" w:color="auto" w:sz="6" w:space="0"/>
              <w:left w:val="single" w:color="auto" w:sz="4" w:space="0"/>
              <w:bottom w:val="nil"/>
              <w:right w:val="single" w:color="auto" w:sz="6" w:space="0"/>
            </w:tcBorders>
            <w:noWrap w:val="0"/>
            <w:vAlign w:val="center"/>
          </w:tcPr>
          <w:p w14:paraId="3087F5B3">
            <w:pPr>
              <w:autoSpaceDE w:val="0"/>
              <w:autoSpaceDN w:val="0"/>
              <w:snapToGrid w:val="0"/>
              <w:ind w:left="0" w:leftChars="0" w:right="0" w:rightChars="0" w:firstLine="0" w:firstLineChars="0"/>
              <w:jc w:val="right"/>
              <w:rPr>
                <w:rFonts w:hint="eastAsia" w:ascii="仿宋" w:hAnsi="仿宋" w:eastAsia="仿宋" w:cs="仿宋"/>
                <w:b w:val="0"/>
                <w:bCs/>
                <w:color w:val="auto"/>
                <w:kern w:val="0"/>
                <w:sz w:val="24"/>
                <w:szCs w:val="24"/>
                <w:lang w:val="en-US" w:eastAsia="zh-CN"/>
              </w:rPr>
            </w:pPr>
          </w:p>
        </w:tc>
      </w:tr>
      <w:tr w14:paraId="581D0175">
        <w:tblPrEx>
          <w:tblCellMar>
            <w:top w:w="0" w:type="dxa"/>
            <w:left w:w="30" w:type="dxa"/>
            <w:bottom w:w="0" w:type="dxa"/>
            <w:right w:w="30" w:type="dxa"/>
          </w:tblCellMar>
        </w:tblPrEx>
        <w:trPr>
          <w:trHeight w:val="0" w:hRule="atLeast"/>
          <w:jc w:val="center"/>
        </w:trPr>
        <w:tc>
          <w:tcPr>
            <w:tcW w:w="300" w:type="dxa"/>
            <w:tcBorders>
              <w:top w:val="single" w:color="auto" w:sz="6" w:space="0"/>
              <w:left w:val="single" w:color="auto" w:sz="6" w:space="0"/>
              <w:bottom w:val="nil"/>
              <w:right w:val="single" w:color="auto" w:sz="6" w:space="0"/>
            </w:tcBorders>
            <w:noWrap w:val="0"/>
            <w:vAlign w:val="center"/>
          </w:tcPr>
          <w:p w14:paraId="5CD0B95C">
            <w:pPr>
              <w:autoSpaceDE w:val="0"/>
              <w:autoSpaceDN w:val="0"/>
              <w:snapToGrid w:val="0"/>
              <w:ind w:left="0" w:leftChars="0" w:right="0" w:rightChars="0" w:firstLine="0" w:firstLineChars="0"/>
              <w:jc w:val="center"/>
              <w:rPr>
                <w:rFonts w:hint="eastAsia" w:ascii="仿宋" w:hAnsi="仿宋" w:eastAsia="仿宋" w:cs="仿宋"/>
                <w:b w:val="0"/>
                <w:bCs/>
                <w:color w:val="auto"/>
                <w:kern w:val="0"/>
                <w:sz w:val="24"/>
                <w:szCs w:val="24"/>
                <w:lang w:val="en-US" w:eastAsia="zh-CN"/>
              </w:rPr>
            </w:pPr>
            <w:r>
              <w:rPr>
                <w:rFonts w:hint="eastAsia" w:ascii="仿宋" w:hAnsi="仿宋" w:eastAsia="仿宋" w:cs="仿宋"/>
                <w:b w:val="0"/>
                <w:bCs/>
                <w:color w:val="auto"/>
                <w:kern w:val="0"/>
                <w:sz w:val="24"/>
                <w:szCs w:val="24"/>
                <w:lang w:val="en-US" w:eastAsia="zh-CN"/>
              </w:rPr>
              <w:t>4</w:t>
            </w:r>
          </w:p>
        </w:tc>
        <w:tc>
          <w:tcPr>
            <w:tcW w:w="716" w:type="dxa"/>
            <w:tcBorders>
              <w:top w:val="single" w:color="auto" w:sz="6" w:space="0"/>
              <w:left w:val="single" w:color="auto" w:sz="6" w:space="0"/>
              <w:bottom w:val="nil"/>
              <w:right w:val="single" w:color="auto" w:sz="6" w:space="0"/>
            </w:tcBorders>
            <w:noWrap w:val="0"/>
            <w:vAlign w:val="center"/>
          </w:tcPr>
          <w:p w14:paraId="7033F3F5">
            <w:pPr>
              <w:autoSpaceDE w:val="0"/>
              <w:autoSpaceDN w:val="0"/>
              <w:snapToGrid w:val="0"/>
              <w:ind w:left="0" w:leftChars="0" w:right="0" w:rightChars="0" w:firstLine="0" w:firstLineChars="0"/>
              <w:jc w:val="center"/>
              <w:rPr>
                <w:rFonts w:hint="eastAsia" w:ascii="仿宋" w:hAnsi="仿宋" w:eastAsia="仿宋" w:cs="仿宋"/>
                <w:b w:val="0"/>
                <w:bCs/>
                <w:color w:val="auto"/>
                <w:kern w:val="0"/>
                <w:sz w:val="24"/>
                <w:szCs w:val="24"/>
                <w:lang w:val="en-US" w:eastAsia="zh-CN"/>
              </w:rPr>
            </w:pPr>
            <w:r>
              <w:rPr>
                <w:rFonts w:hint="eastAsia" w:ascii="仿宋" w:hAnsi="仿宋" w:eastAsia="仿宋" w:cs="仿宋"/>
                <w:b w:val="0"/>
                <w:bCs/>
                <w:color w:val="auto"/>
                <w:kern w:val="0"/>
                <w:sz w:val="24"/>
                <w:szCs w:val="24"/>
                <w:lang w:val="en-US" w:eastAsia="zh-CN"/>
              </w:rPr>
              <w:t>开机率</w:t>
            </w:r>
          </w:p>
        </w:tc>
        <w:tc>
          <w:tcPr>
            <w:tcW w:w="6609" w:type="dxa"/>
            <w:tcBorders>
              <w:top w:val="single" w:color="auto" w:sz="6" w:space="0"/>
              <w:left w:val="single" w:color="auto" w:sz="6" w:space="0"/>
              <w:bottom w:val="nil"/>
              <w:right w:val="single" w:color="auto" w:sz="4" w:space="0"/>
            </w:tcBorders>
            <w:noWrap w:val="0"/>
            <w:vAlign w:val="center"/>
          </w:tcPr>
          <w:p w14:paraId="569BF6AA">
            <w:pPr>
              <w:autoSpaceDE w:val="0"/>
              <w:autoSpaceDN w:val="0"/>
              <w:snapToGrid w:val="0"/>
              <w:ind w:left="0" w:leftChars="0" w:right="0" w:rightChars="0" w:firstLine="0" w:firstLineChars="0"/>
              <w:jc w:val="left"/>
              <w:rPr>
                <w:rFonts w:hint="eastAsia" w:ascii="仿宋" w:hAnsi="仿宋" w:eastAsia="仿宋" w:cs="仿宋"/>
                <w:b w:val="0"/>
                <w:bCs/>
                <w:color w:val="auto"/>
                <w:kern w:val="0"/>
                <w:sz w:val="24"/>
                <w:szCs w:val="24"/>
                <w:lang w:val="en-US" w:eastAsia="zh-CN"/>
              </w:rPr>
            </w:pPr>
            <w:r>
              <w:rPr>
                <w:rFonts w:hint="eastAsia" w:ascii="仿宋" w:hAnsi="仿宋" w:eastAsia="仿宋" w:cs="仿宋"/>
                <w:b w:val="0"/>
                <w:bCs/>
                <w:color w:val="auto"/>
                <w:kern w:val="0"/>
                <w:sz w:val="24"/>
                <w:szCs w:val="24"/>
                <w:lang w:val="en-US" w:eastAsia="zh-CN"/>
              </w:rPr>
              <w:t>每月设备无故障开机率低于95%（特殊情况除外），每次扣5分；处罚500元。</w:t>
            </w:r>
          </w:p>
        </w:tc>
        <w:tc>
          <w:tcPr>
            <w:tcW w:w="0" w:type="auto"/>
            <w:tcBorders>
              <w:top w:val="single" w:color="auto" w:sz="6" w:space="0"/>
              <w:left w:val="single" w:color="auto" w:sz="4" w:space="0"/>
              <w:bottom w:val="nil"/>
              <w:right w:val="single" w:color="auto" w:sz="6" w:space="0"/>
            </w:tcBorders>
            <w:noWrap w:val="0"/>
            <w:vAlign w:val="center"/>
          </w:tcPr>
          <w:p w14:paraId="49B8CE1F">
            <w:pPr>
              <w:autoSpaceDE w:val="0"/>
              <w:autoSpaceDN w:val="0"/>
              <w:snapToGrid w:val="0"/>
              <w:ind w:left="0" w:leftChars="0" w:right="0" w:rightChars="0" w:firstLine="0" w:firstLineChars="0"/>
              <w:jc w:val="left"/>
              <w:rPr>
                <w:rFonts w:hint="eastAsia" w:ascii="仿宋" w:hAnsi="仿宋" w:eastAsia="仿宋" w:cs="仿宋"/>
                <w:b w:val="0"/>
                <w:bCs/>
                <w:color w:val="auto"/>
                <w:kern w:val="0"/>
                <w:sz w:val="24"/>
                <w:szCs w:val="24"/>
                <w:lang w:val="en-US" w:eastAsia="zh-CN"/>
              </w:rPr>
            </w:pPr>
          </w:p>
        </w:tc>
        <w:tc>
          <w:tcPr>
            <w:tcW w:w="440" w:type="dxa"/>
            <w:tcBorders>
              <w:top w:val="single" w:color="auto" w:sz="6" w:space="0"/>
              <w:left w:val="single" w:color="auto" w:sz="4" w:space="0"/>
              <w:bottom w:val="nil"/>
              <w:right w:val="single" w:color="auto" w:sz="6" w:space="0"/>
            </w:tcBorders>
            <w:noWrap w:val="0"/>
            <w:vAlign w:val="center"/>
          </w:tcPr>
          <w:p w14:paraId="63D2E5EE">
            <w:pPr>
              <w:autoSpaceDE w:val="0"/>
              <w:autoSpaceDN w:val="0"/>
              <w:snapToGrid w:val="0"/>
              <w:ind w:left="0" w:leftChars="0" w:right="0" w:rightChars="0" w:firstLine="0" w:firstLineChars="0"/>
              <w:jc w:val="right"/>
              <w:rPr>
                <w:rFonts w:hint="eastAsia" w:ascii="仿宋" w:hAnsi="仿宋" w:eastAsia="仿宋" w:cs="仿宋"/>
                <w:b w:val="0"/>
                <w:bCs/>
                <w:color w:val="auto"/>
                <w:kern w:val="0"/>
                <w:sz w:val="24"/>
                <w:szCs w:val="24"/>
                <w:lang w:val="en-US" w:eastAsia="zh-CN"/>
              </w:rPr>
            </w:pPr>
          </w:p>
        </w:tc>
      </w:tr>
      <w:tr w14:paraId="356058F6">
        <w:tblPrEx>
          <w:tblCellMar>
            <w:top w:w="0" w:type="dxa"/>
            <w:left w:w="30" w:type="dxa"/>
            <w:bottom w:w="0" w:type="dxa"/>
            <w:right w:w="30" w:type="dxa"/>
          </w:tblCellMar>
        </w:tblPrEx>
        <w:trPr>
          <w:trHeight w:val="0" w:hRule="atLeast"/>
          <w:jc w:val="center"/>
        </w:trPr>
        <w:tc>
          <w:tcPr>
            <w:tcW w:w="300" w:type="dxa"/>
            <w:tcBorders>
              <w:top w:val="single" w:color="auto" w:sz="6" w:space="0"/>
              <w:left w:val="single" w:color="auto" w:sz="6" w:space="0"/>
              <w:bottom w:val="single" w:color="auto" w:sz="6" w:space="0"/>
              <w:right w:val="single" w:color="auto" w:sz="6" w:space="0"/>
            </w:tcBorders>
            <w:noWrap w:val="0"/>
            <w:vAlign w:val="center"/>
          </w:tcPr>
          <w:p w14:paraId="7492DFEE">
            <w:pPr>
              <w:autoSpaceDE w:val="0"/>
              <w:autoSpaceDN w:val="0"/>
              <w:snapToGrid w:val="0"/>
              <w:ind w:left="0" w:leftChars="0" w:right="0" w:rightChars="0" w:firstLine="0" w:firstLineChars="0"/>
              <w:jc w:val="center"/>
              <w:rPr>
                <w:rFonts w:hint="eastAsia" w:ascii="仿宋" w:hAnsi="仿宋" w:eastAsia="仿宋" w:cs="仿宋"/>
                <w:b w:val="0"/>
                <w:bCs/>
                <w:color w:val="auto"/>
                <w:kern w:val="0"/>
                <w:sz w:val="24"/>
                <w:szCs w:val="24"/>
                <w:lang w:val="en-US" w:eastAsia="zh-CN"/>
              </w:rPr>
            </w:pPr>
            <w:r>
              <w:rPr>
                <w:rFonts w:hint="eastAsia" w:ascii="仿宋" w:hAnsi="仿宋" w:eastAsia="仿宋" w:cs="仿宋"/>
                <w:b w:val="0"/>
                <w:bCs/>
                <w:color w:val="auto"/>
                <w:kern w:val="0"/>
                <w:sz w:val="24"/>
                <w:szCs w:val="24"/>
                <w:lang w:val="en-US" w:eastAsia="zh-CN"/>
              </w:rPr>
              <w:t>5</w:t>
            </w:r>
          </w:p>
        </w:tc>
        <w:tc>
          <w:tcPr>
            <w:tcW w:w="716" w:type="dxa"/>
            <w:tcBorders>
              <w:top w:val="single" w:color="auto" w:sz="6" w:space="0"/>
              <w:left w:val="single" w:color="auto" w:sz="6" w:space="0"/>
              <w:bottom w:val="single" w:color="auto" w:sz="6" w:space="0"/>
              <w:right w:val="single" w:color="auto" w:sz="6" w:space="0"/>
            </w:tcBorders>
            <w:noWrap w:val="0"/>
            <w:vAlign w:val="center"/>
          </w:tcPr>
          <w:p w14:paraId="11CAC50D">
            <w:pPr>
              <w:autoSpaceDE w:val="0"/>
              <w:autoSpaceDN w:val="0"/>
              <w:snapToGrid w:val="0"/>
              <w:ind w:left="0" w:leftChars="0" w:right="0" w:rightChars="0" w:firstLine="0" w:firstLineChars="0"/>
              <w:jc w:val="center"/>
              <w:rPr>
                <w:rFonts w:hint="eastAsia" w:ascii="仿宋" w:hAnsi="仿宋" w:eastAsia="仿宋" w:cs="仿宋"/>
                <w:b w:val="0"/>
                <w:bCs/>
                <w:color w:val="auto"/>
                <w:kern w:val="0"/>
                <w:sz w:val="24"/>
                <w:szCs w:val="24"/>
                <w:lang w:val="en-US" w:eastAsia="zh-CN"/>
              </w:rPr>
            </w:pPr>
            <w:r>
              <w:rPr>
                <w:rFonts w:hint="eastAsia" w:ascii="仿宋" w:hAnsi="仿宋" w:eastAsia="仿宋" w:cs="仿宋"/>
                <w:b w:val="0"/>
                <w:bCs/>
                <w:color w:val="auto"/>
                <w:kern w:val="0"/>
                <w:sz w:val="24"/>
                <w:szCs w:val="24"/>
                <w:lang w:val="en-US" w:eastAsia="zh-CN"/>
              </w:rPr>
              <w:t>服务态度</w:t>
            </w:r>
          </w:p>
        </w:tc>
        <w:tc>
          <w:tcPr>
            <w:tcW w:w="6609" w:type="dxa"/>
            <w:tcBorders>
              <w:top w:val="single" w:color="auto" w:sz="6" w:space="0"/>
              <w:left w:val="single" w:color="auto" w:sz="6" w:space="0"/>
              <w:bottom w:val="single" w:color="auto" w:sz="6" w:space="0"/>
              <w:right w:val="single" w:color="auto" w:sz="6" w:space="0"/>
            </w:tcBorders>
            <w:noWrap w:val="0"/>
            <w:vAlign w:val="center"/>
          </w:tcPr>
          <w:p w14:paraId="3DA815AC">
            <w:pPr>
              <w:autoSpaceDE w:val="0"/>
              <w:autoSpaceDN w:val="0"/>
              <w:snapToGrid w:val="0"/>
              <w:ind w:left="0" w:leftChars="0" w:right="0" w:rightChars="0" w:firstLine="0" w:firstLineChars="0"/>
              <w:jc w:val="left"/>
              <w:rPr>
                <w:rFonts w:hint="eastAsia" w:ascii="仿宋" w:hAnsi="仿宋" w:eastAsia="仿宋" w:cs="仿宋"/>
                <w:b w:val="0"/>
                <w:bCs/>
                <w:color w:val="auto"/>
                <w:kern w:val="0"/>
                <w:sz w:val="24"/>
                <w:szCs w:val="24"/>
                <w:lang w:val="en-US" w:eastAsia="zh-CN"/>
              </w:rPr>
            </w:pPr>
            <w:r>
              <w:rPr>
                <w:rFonts w:hint="eastAsia" w:ascii="仿宋" w:hAnsi="仿宋" w:eastAsia="仿宋" w:cs="仿宋"/>
                <w:b w:val="0"/>
                <w:bCs/>
                <w:color w:val="auto"/>
                <w:kern w:val="0"/>
                <w:sz w:val="24"/>
                <w:szCs w:val="24"/>
                <w:lang w:val="en-US" w:eastAsia="zh-CN"/>
              </w:rPr>
              <w:t>（1）服务欠周到细致，每次扣0.5分；处罚50元。</w:t>
            </w:r>
          </w:p>
          <w:p w14:paraId="2383EFB1">
            <w:pPr>
              <w:autoSpaceDE w:val="0"/>
              <w:autoSpaceDN w:val="0"/>
              <w:snapToGrid w:val="0"/>
              <w:ind w:left="0" w:leftChars="0" w:right="0" w:rightChars="0" w:firstLine="0" w:firstLineChars="0"/>
              <w:jc w:val="left"/>
              <w:rPr>
                <w:rFonts w:hint="eastAsia" w:ascii="仿宋" w:hAnsi="仿宋" w:eastAsia="仿宋" w:cs="仿宋"/>
                <w:b w:val="0"/>
                <w:bCs/>
                <w:color w:val="auto"/>
                <w:kern w:val="0"/>
                <w:sz w:val="24"/>
                <w:szCs w:val="24"/>
                <w:lang w:val="en-US" w:eastAsia="zh-CN"/>
              </w:rPr>
            </w:pPr>
            <w:r>
              <w:rPr>
                <w:rFonts w:hint="eastAsia" w:ascii="仿宋" w:hAnsi="仿宋" w:eastAsia="仿宋" w:cs="仿宋"/>
                <w:b w:val="0"/>
                <w:bCs/>
                <w:color w:val="auto"/>
                <w:kern w:val="0"/>
                <w:sz w:val="24"/>
                <w:szCs w:val="24"/>
                <w:lang w:val="en-US" w:eastAsia="zh-CN"/>
              </w:rPr>
              <w:t>（2）延误维修或拒绝维修，每次扣5分；处罚500元。</w:t>
            </w:r>
          </w:p>
          <w:p w14:paraId="23E62BD4">
            <w:pPr>
              <w:autoSpaceDE w:val="0"/>
              <w:autoSpaceDN w:val="0"/>
              <w:snapToGrid w:val="0"/>
              <w:ind w:left="0" w:leftChars="0" w:right="0" w:rightChars="0" w:firstLine="0" w:firstLineChars="0"/>
              <w:jc w:val="left"/>
              <w:rPr>
                <w:rFonts w:hint="eastAsia" w:ascii="仿宋" w:hAnsi="仿宋" w:eastAsia="仿宋" w:cs="仿宋"/>
                <w:b w:val="0"/>
                <w:bCs/>
                <w:color w:val="auto"/>
                <w:kern w:val="0"/>
                <w:sz w:val="24"/>
                <w:szCs w:val="24"/>
                <w:lang w:val="en-US" w:eastAsia="zh-CN"/>
              </w:rPr>
            </w:pPr>
            <w:r>
              <w:rPr>
                <w:rFonts w:hint="eastAsia" w:ascii="仿宋" w:hAnsi="仿宋" w:eastAsia="仿宋" w:cs="仿宋"/>
                <w:b w:val="0"/>
                <w:bCs/>
                <w:color w:val="auto"/>
                <w:kern w:val="0"/>
                <w:sz w:val="24"/>
                <w:szCs w:val="24"/>
                <w:lang w:val="en-US" w:eastAsia="zh-CN"/>
              </w:rPr>
              <w:t>（3）与医患人员发生争执等，每次扣2分；处罚200元。</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3071713E">
            <w:pPr>
              <w:autoSpaceDE w:val="0"/>
              <w:autoSpaceDN w:val="0"/>
              <w:snapToGrid w:val="0"/>
              <w:ind w:left="0" w:leftChars="0" w:right="0" w:rightChars="0" w:firstLine="0" w:firstLineChars="0"/>
              <w:jc w:val="left"/>
              <w:rPr>
                <w:rFonts w:hint="eastAsia" w:ascii="仿宋" w:hAnsi="仿宋" w:eastAsia="仿宋" w:cs="仿宋"/>
                <w:b w:val="0"/>
                <w:bCs/>
                <w:color w:val="auto"/>
                <w:kern w:val="0"/>
                <w:sz w:val="24"/>
                <w:szCs w:val="24"/>
                <w:lang w:val="en-US" w:eastAsia="zh-CN"/>
              </w:rPr>
            </w:pPr>
          </w:p>
        </w:tc>
        <w:tc>
          <w:tcPr>
            <w:tcW w:w="440" w:type="dxa"/>
            <w:tcBorders>
              <w:top w:val="single" w:color="auto" w:sz="6" w:space="0"/>
              <w:left w:val="single" w:color="auto" w:sz="6" w:space="0"/>
              <w:bottom w:val="single" w:color="auto" w:sz="6" w:space="0"/>
              <w:right w:val="single" w:color="auto" w:sz="6" w:space="0"/>
            </w:tcBorders>
            <w:noWrap w:val="0"/>
            <w:vAlign w:val="center"/>
          </w:tcPr>
          <w:p w14:paraId="6DF9DCA2">
            <w:pPr>
              <w:autoSpaceDE w:val="0"/>
              <w:autoSpaceDN w:val="0"/>
              <w:snapToGrid w:val="0"/>
              <w:ind w:left="0" w:leftChars="0" w:right="0" w:rightChars="0" w:firstLine="0" w:firstLineChars="0"/>
              <w:jc w:val="right"/>
              <w:rPr>
                <w:rFonts w:hint="eastAsia" w:ascii="仿宋" w:hAnsi="仿宋" w:eastAsia="仿宋" w:cs="仿宋"/>
                <w:b w:val="0"/>
                <w:bCs/>
                <w:color w:val="auto"/>
                <w:kern w:val="0"/>
                <w:sz w:val="24"/>
                <w:szCs w:val="24"/>
                <w:lang w:val="en-US" w:eastAsia="zh-CN"/>
              </w:rPr>
            </w:pPr>
          </w:p>
        </w:tc>
      </w:tr>
      <w:tr w14:paraId="5CC30C8F">
        <w:tblPrEx>
          <w:tblCellMar>
            <w:top w:w="0" w:type="dxa"/>
            <w:left w:w="30" w:type="dxa"/>
            <w:bottom w:w="0" w:type="dxa"/>
            <w:right w:w="30" w:type="dxa"/>
          </w:tblCellMar>
        </w:tblPrEx>
        <w:trPr>
          <w:trHeight w:val="0" w:hRule="atLeast"/>
          <w:jc w:val="center"/>
        </w:trPr>
        <w:tc>
          <w:tcPr>
            <w:tcW w:w="300" w:type="dxa"/>
            <w:tcBorders>
              <w:top w:val="single" w:color="auto" w:sz="6" w:space="0"/>
              <w:left w:val="single" w:color="auto" w:sz="6" w:space="0"/>
              <w:bottom w:val="single" w:color="auto" w:sz="6" w:space="0"/>
              <w:right w:val="single" w:color="auto" w:sz="6" w:space="0"/>
            </w:tcBorders>
            <w:noWrap w:val="0"/>
            <w:vAlign w:val="center"/>
          </w:tcPr>
          <w:p w14:paraId="1D4FDB29">
            <w:pPr>
              <w:autoSpaceDE w:val="0"/>
              <w:autoSpaceDN w:val="0"/>
              <w:snapToGrid w:val="0"/>
              <w:ind w:left="0" w:leftChars="0" w:right="0" w:rightChars="0" w:firstLine="0" w:firstLineChars="0"/>
              <w:jc w:val="center"/>
              <w:rPr>
                <w:rFonts w:hint="eastAsia" w:ascii="仿宋" w:hAnsi="仿宋" w:eastAsia="仿宋" w:cs="仿宋"/>
                <w:b w:val="0"/>
                <w:bCs/>
                <w:color w:val="auto"/>
                <w:kern w:val="0"/>
                <w:sz w:val="24"/>
                <w:szCs w:val="24"/>
                <w:lang w:val="en-US" w:eastAsia="zh-CN"/>
              </w:rPr>
            </w:pPr>
            <w:r>
              <w:rPr>
                <w:rFonts w:hint="eastAsia" w:ascii="仿宋" w:hAnsi="仿宋" w:eastAsia="仿宋" w:cs="仿宋"/>
                <w:b w:val="0"/>
                <w:bCs/>
                <w:color w:val="auto"/>
                <w:kern w:val="0"/>
                <w:sz w:val="24"/>
                <w:szCs w:val="24"/>
                <w:lang w:val="en-US" w:eastAsia="zh-CN"/>
              </w:rPr>
              <w:t>6</w:t>
            </w:r>
          </w:p>
        </w:tc>
        <w:tc>
          <w:tcPr>
            <w:tcW w:w="716" w:type="dxa"/>
            <w:tcBorders>
              <w:top w:val="single" w:color="auto" w:sz="6" w:space="0"/>
              <w:left w:val="single" w:color="auto" w:sz="6" w:space="0"/>
              <w:bottom w:val="single" w:color="auto" w:sz="6" w:space="0"/>
              <w:right w:val="single" w:color="auto" w:sz="6" w:space="0"/>
            </w:tcBorders>
            <w:noWrap w:val="0"/>
            <w:vAlign w:val="center"/>
          </w:tcPr>
          <w:p w14:paraId="76E7CBE0">
            <w:pPr>
              <w:autoSpaceDE w:val="0"/>
              <w:autoSpaceDN w:val="0"/>
              <w:snapToGrid w:val="0"/>
              <w:ind w:left="0" w:leftChars="0" w:right="0" w:rightChars="0" w:firstLine="0" w:firstLineChars="0"/>
              <w:jc w:val="center"/>
              <w:rPr>
                <w:rFonts w:hint="eastAsia" w:ascii="仿宋" w:hAnsi="仿宋" w:eastAsia="仿宋" w:cs="仿宋"/>
                <w:b w:val="0"/>
                <w:bCs/>
                <w:color w:val="auto"/>
                <w:kern w:val="0"/>
                <w:sz w:val="24"/>
                <w:szCs w:val="24"/>
                <w:lang w:val="en-US" w:eastAsia="zh-CN"/>
              </w:rPr>
            </w:pPr>
            <w:r>
              <w:rPr>
                <w:rFonts w:hint="eastAsia" w:ascii="仿宋" w:hAnsi="仿宋" w:eastAsia="仿宋" w:cs="仿宋"/>
                <w:b w:val="0"/>
                <w:bCs/>
                <w:color w:val="auto"/>
                <w:kern w:val="0"/>
                <w:sz w:val="24"/>
                <w:szCs w:val="24"/>
                <w:lang w:val="en-US" w:eastAsia="zh-CN"/>
              </w:rPr>
              <w:t>投诉情况</w:t>
            </w:r>
          </w:p>
        </w:tc>
        <w:tc>
          <w:tcPr>
            <w:tcW w:w="6609" w:type="dxa"/>
            <w:tcBorders>
              <w:top w:val="single" w:color="auto" w:sz="6" w:space="0"/>
              <w:left w:val="single" w:color="auto" w:sz="6" w:space="0"/>
              <w:bottom w:val="single" w:color="auto" w:sz="6" w:space="0"/>
              <w:right w:val="single" w:color="auto" w:sz="6" w:space="0"/>
            </w:tcBorders>
            <w:noWrap w:val="0"/>
            <w:vAlign w:val="center"/>
          </w:tcPr>
          <w:p w14:paraId="71B3E4BB">
            <w:pPr>
              <w:autoSpaceDE w:val="0"/>
              <w:autoSpaceDN w:val="0"/>
              <w:snapToGrid w:val="0"/>
              <w:ind w:left="0" w:leftChars="0" w:right="0" w:rightChars="0" w:firstLine="0" w:firstLineChars="0"/>
              <w:jc w:val="left"/>
              <w:rPr>
                <w:rFonts w:hint="eastAsia" w:ascii="仿宋" w:hAnsi="仿宋" w:eastAsia="仿宋" w:cs="仿宋"/>
                <w:b w:val="0"/>
                <w:bCs/>
                <w:color w:val="auto"/>
                <w:kern w:val="0"/>
                <w:sz w:val="24"/>
                <w:szCs w:val="24"/>
                <w:lang w:val="en-US" w:eastAsia="zh-CN"/>
              </w:rPr>
            </w:pPr>
            <w:r>
              <w:rPr>
                <w:rFonts w:hint="eastAsia" w:ascii="仿宋" w:hAnsi="仿宋" w:eastAsia="仿宋" w:cs="仿宋"/>
                <w:b w:val="0"/>
                <w:bCs/>
                <w:color w:val="auto"/>
                <w:kern w:val="0"/>
                <w:sz w:val="24"/>
                <w:szCs w:val="24"/>
                <w:lang w:val="en-US" w:eastAsia="zh-CN"/>
              </w:rPr>
              <w:t>被使用科室投诉，经核实有效，每次扣1分；处罚100元。</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1A514651">
            <w:pPr>
              <w:autoSpaceDE w:val="0"/>
              <w:autoSpaceDN w:val="0"/>
              <w:snapToGrid w:val="0"/>
              <w:ind w:left="0" w:leftChars="0" w:right="0" w:rightChars="0" w:firstLine="0" w:firstLineChars="0"/>
              <w:jc w:val="left"/>
              <w:rPr>
                <w:rFonts w:hint="eastAsia" w:ascii="仿宋" w:hAnsi="仿宋" w:eastAsia="仿宋" w:cs="仿宋"/>
                <w:b w:val="0"/>
                <w:bCs/>
                <w:color w:val="auto"/>
                <w:kern w:val="0"/>
                <w:sz w:val="24"/>
                <w:szCs w:val="24"/>
                <w:lang w:val="en-US" w:eastAsia="zh-CN"/>
              </w:rPr>
            </w:pPr>
          </w:p>
        </w:tc>
        <w:tc>
          <w:tcPr>
            <w:tcW w:w="440" w:type="dxa"/>
            <w:tcBorders>
              <w:top w:val="single" w:color="auto" w:sz="6" w:space="0"/>
              <w:left w:val="single" w:color="auto" w:sz="6" w:space="0"/>
              <w:bottom w:val="single" w:color="auto" w:sz="6" w:space="0"/>
              <w:right w:val="single" w:color="auto" w:sz="6" w:space="0"/>
            </w:tcBorders>
            <w:noWrap w:val="0"/>
            <w:vAlign w:val="center"/>
          </w:tcPr>
          <w:p w14:paraId="679BAB93">
            <w:pPr>
              <w:autoSpaceDE w:val="0"/>
              <w:autoSpaceDN w:val="0"/>
              <w:snapToGrid w:val="0"/>
              <w:ind w:left="0" w:leftChars="0" w:right="0" w:rightChars="0" w:firstLine="0" w:firstLineChars="0"/>
              <w:jc w:val="right"/>
              <w:rPr>
                <w:rFonts w:hint="eastAsia" w:ascii="仿宋" w:hAnsi="仿宋" w:eastAsia="仿宋" w:cs="仿宋"/>
                <w:b w:val="0"/>
                <w:bCs/>
                <w:color w:val="auto"/>
                <w:kern w:val="0"/>
                <w:sz w:val="24"/>
                <w:szCs w:val="24"/>
                <w:lang w:val="en-US" w:eastAsia="zh-CN"/>
              </w:rPr>
            </w:pPr>
          </w:p>
        </w:tc>
      </w:tr>
      <w:tr w14:paraId="6FE65F13">
        <w:tblPrEx>
          <w:tblCellMar>
            <w:top w:w="0" w:type="dxa"/>
            <w:left w:w="30" w:type="dxa"/>
            <w:bottom w:w="0" w:type="dxa"/>
            <w:right w:w="30" w:type="dxa"/>
          </w:tblCellMar>
        </w:tblPrEx>
        <w:trPr>
          <w:trHeight w:val="0" w:hRule="atLeast"/>
          <w:jc w:val="center"/>
        </w:trPr>
        <w:tc>
          <w:tcPr>
            <w:tcW w:w="300" w:type="dxa"/>
            <w:tcBorders>
              <w:top w:val="single" w:color="auto" w:sz="6" w:space="0"/>
              <w:left w:val="single" w:color="auto" w:sz="6" w:space="0"/>
              <w:bottom w:val="single" w:color="auto" w:sz="6" w:space="0"/>
              <w:right w:val="single" w:color="auto" w:sz="6" w:space="0"/>
            </w:tcBorders>
            <w:noWrap w:val="0"/>
            <w:vAlign w:val="center"/>
          </w:tcPr>
          <w:p w14:paraId="295CAA10">
            <w:pPr>
              <w:autoSpaceDE w:val="0"/>
              <w:autoSpaceDN w:val="0"/>
              <w:snapToGrid w:val="0"/>
              <w:ind w:left="0" w:leftChars="0" w:right="0" w:rightChars="0" w:firstLine="0" w:firstLineChars="0"/>
              <w:jc w:val="center"/>
              <w:rPr>
                <w:rFonts w:hint="eastAsia" w:ascii="仿宋" w:hAnsi="仿宋" w:eastAsia="仿宋" w:cs="仿宋"/>
                <w:b w:val="0"/>
                <w:bCs/>
                <w:color w:val="auto"/>
                <w:kern w:val="0"/>
                <w:sz w:val="24"/>
                <w:szCs w:val="24"/>
                <w:lang w:val="en-US" w:eastAsia="zh-CN"/>
              </w:rPr>
            </w:pPr>
            <w:r>
              <w:rPr>
                <w:rFonts w:hint="eastAsia" w:ascii="仿宋" w:hAnsi="仿宋" w:eastAsia="仿宋" w:cs="仿宋"/>
                <w:b w:val="0"/>
                <w:bCs/>
                <w:color w:val="auto"/>
                <w:kern w:val="0"/>
                <w:sz w:val="24"/>
                <w:szCs w:val="24"/>
                <w:lang w:val="en-US" w:eastAsia="zh-CN"/>
              </w:rPr>
              <w:t>7</w:t>
            </w:r>
          </w:p>
        </w:tc>
        <w:tc>
          <w:tcPr>
            <w:tcW w:w="716" w:type="dxa"/>
            <w:tcBorders>
              <w:top w:val="single" w:color="auto" w:sz="6" w:space="0"/>
              <w:left w:val="single" w:color="auto" w:sz="6" w:space="0"/>
              <w:bottom w:val="single" w:color="auto" w:sz="6" w:space="0"/>
              <w:right w:val="single" w:color="auto" w:sz="6" w:space="0"/>
            </w:tcBorders>
            <w:noWrap w:val="0"/>
            <w:vAlign w:val="center"/>
          </w:tcPr>
          <w:p w14:paraId="3629DFE2">
            <w:pPr>
              <w:autoSpaceDE w:val="0"/>
              <w:autoSpaceDN w:val="0"/>
              <w:snapToGrid w:val="0"/>
              <w:ind w:left="0" w:leftChars="0" w:right="0" w:rightChars="0" w:firstLine="0" w:firstLineChars="0"/>
              <w:jc w:val="center"/>
              <w:rPr>
                <w:rFonts w:hint="eastAsia" w:ascii="仿宋" w:hAnsi="仿宋" w:eastAsia="仿宋" w:cs="仿宋"/>
                <w:b w:val="0"/>
                <w:bCs/>
                <w:color w:val="auto"/>
                <w:kern w:val="0"/>
                <w:sz w:val="24"/>
                <w:szCs w:val="24"/>
                <w:lang w:val="en-US" w:eastAsia="zh-CN"/>
              </w:rPr>
            </w:pPr>
            <w:r>
              <w:rPr>
                <w:rFonts w:hint="eastAsia" w:ascii="仿宋" w:hAnsi="仿宋" w:eastAsia="仿宋" w:cs="仿宋"/>
                <w:b w:val="0"/>
                <w:bCs/>
                <w:color w:val="auto"/>
                <w:kern w:val="0"/>
                <w:sz w:val="24"/>
                <w:szCs w:val="24"/>
                <w:lang w:val="en-US" w:eastAsia="zh-CN"/>
              </w:rPr>
              <w:t>现场响应</w:t>
            </w:r>
          </w:p>
        </w:tc>
        <w:tc>
          <w:tcPr>
            <w:tcW w:w="6609" w:type="dxa"/>
            <w:tcBorders>
              <w:top w:val="single" w:color="auto" w:sz="6" w:space="0"/>
              <w:left w:val="single" w:color="auto" w:sz="6" w:space="0"/>
              <w:bottom w:val="single" w:color="auto" w:sz="6" w:space="0"/>
              <w:right w:val="single" w:color="auto" w:sz="6" w:space="0"/>
            </w:tcBorders>
            <w:noWrap w:val="0"/>
            <w:vAlign w:val="center"/>
          </w:tcPr>
          <w:p w14:paraId="1DE64128">
            <w:pPr>
              <w:autoSpaceDE w:val="0"/>
              <w:autoSpaceDN w:val="0"/>
              <w:snapToGrid w:val="0"/>
              <w:ind w:left="0" w:leftChars="0" w:right="0" w:rightChars="0" w:firstLine="0" w:firstLineChars="0"/>
              <w:jc w:val="left"/>
              <w:rPr>
                <w:rFonts w:hint="eastAsia" w:ascii="仿宋" w:hAnsi="仿宋" w:eastAsia="仿宋" w:cs="仿宋"/>
                <w:b w:val="0"/>
                <w:bCs/>
                <w:color w:val="auto"/>
                <w:kern w:val="0"/>
                <w:sz w:val="24"/>
                <w:szCs w:val="24"/>
                <w:lang w:val="en-US" w:eastAsia="zh-CN"/>
              </w:rPr>
            </w:pPr>
            <w:r>
              <w:rPr>
                <w:rFonts w:hint="eastAsia" w:ascii="仿宋" w:hAnsi="仿宋" w:eastAsia="仿宋" w:cs="仿宋"/>
                <w:b w:val="0"/>
                <w:bCs/>
                <w:color w:val="auto"/>
                <w:kern w:val="0"/>
                <w:sz w:val="24"/>
                <w:szCs w:val="24"/>
                <w:lang w:val="en-US" w:eastAsia="zh-CN"/>
              </w:rPr>
              <w:t>现场响应不及时或不到位，每次扣1分（不可抗力除外）；处罚100元。</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3F95527D">
            <w:pPr>
              <w:autoSpaceDE w:val="0"/>
              <w:autoSpaceDN w:val="0"/>
              <w:snapToGrid w:val="0"/>
              <w:ind w:left="0" w:leftChars="0" w:right="0" w:rightChars="0" w:firstLine="0" w:firstLineChars="0"/>
              <w:jc w:val="left"/>
              <w:rPr>
                <w:rFonts w:hint="eastAsia" w:ascii="仿宋" w:hAnsi="仿宋" w:eastAsia="仿宋" w:cs="仿宋"/>
                <w:b w:val="0"/>
                <w:bCs/>
                <w:color w:val="auto"/>
                <w:kern w:val="0"/>
                <w:sz w:val="24"/>
                <w:szCs w:val="24"/>
                <w:lang w:val="en-US" w:eastAsia="zh-CN"/>
              </w:rPr>
            </w:pPr>
          </w:p>
        </w:tc>
        <w:tc>
          <w:tcPr>
            <w:tcW w:w="440" w:type="dxa"/>
            <w:tcBorders>
              <w:top w:val="single" w:color="auto" w:sz="6" w:space="0"/>
              <w:left w:val="single" w:color="auto" w:sz="6" w:space="0"/>
              <w:bottom w:val="single" w:color="auto" w:sz="6" w:space="0"/>
              <w:right w:val="single" w:color="auto" w:sz="6" w:space="0"/>
            </w:tcBorders>
            <w:noWrap w:val="0"/>
            <w:vAlign w:val="center"/>
          </w:tcPr>
          <w:p w14:paraId="0B338DD2">
            <w:pPr>
              <w:autoSpaceDE w:val="0"/>
              <w:autoSpaceDN w:val="0"/>
              <w:snapToGrid w:val="0"/>
              <w:ind w:left="0" w:leftChars="0" w:right="0" w:rightChars="0" w:firstLine="0" w:firstLineChars="0"/>
              <w:jc w:val="right"/>
              <w:rPr>
                <w:rFonts w:hint="eastAsia" w:ascii="仿宋" w:hAnsi="仿宋" w:eastAsia="仿宋" w:cs="仿宋"/>
                <w:b w:val="0"/>
                <w:bCs/>
                <w:color w:val="auto"/>
                <w:kern w:val="0"/>
                <w:sz w:val="24"/>
                <w:szCs w:val="24"/>
                <w:lang w:val="en-US" w:eastAsia="zh-CN"/>
              </w:rPr>
            </w:pPr>
          </w:p>
        </w:tc>
      </w:tr>
      <w:tr w14:paraId="5608FF43">
        <w:tblPrEx>
          <w:tblCellMar>
            <w:top w:w="0" w:type="dxa"/>
            <w:left w:w="30" w:type="dxa"/>
            <w:bottom w:w="0" w:type="dxa"/>
            <w:right w:w="30" w:type="dxa"/>
          </w:tblCellMar>
        </w:tblPrEx>
        <w:trPr>
          <w:trHeight w:val="0" w:hRule="atLeast"/>
          <w:jc w:val="center"/>
        </w:trPr>
        <w:tc>
          <w:tcPr>
            <w:tcW w:w="300" w:type="dxa"/>
            <w:tcBorders>
              <w:top w:val="single" w:color="auto" w:sz="6" w:space="0"/>
              <w:left w:val="single" w:color="auto" w:sz="6" w:space="0"/>
              <w:bottom w:val="single" w:color="auto" w:sz="6" w:space="0"/>
              <w:right w:val="single" w:color="auto" w:sz="6" w:space="0"/>
            </w:tcBorders>
            <w:noWrap w:val="0"/>
            <w:vAlign w:val="center"/>
          </w:tcPr>
          <w:p w14:paraId="7A6E80B2">
            <w:pPr>
              <w:autoSpaceDE w:val="0"/>
              <w:autoSpaceDN w:val="0"/>
              <w:snapToGrid w:val="0"/>
              <w:ind w:left="0" w:leftChars="0" w:right="0" w:rightChars="0" w:firstLine="0" w:firstLineChars="0"/>
              <w:jc w:val="center"/>
              <w:rPr>
                <w:rFonts w:hint="eastAsia" w:ascii="仿宋" w:hAnsi="仿宋" w:eastAsia="仿宋" w:cs="仿宋"/>
                <w:b w:val="0"/>
                <w:bCs/>
                <w:color w:val="auto"/>
                <w:kern w:val="0"/>
                <w:sz w:val="24"/>
                <w:szCs w:val="24"/>
                <w:lang w:val="en-US" w:eastAsia="zh-CN"/>
              </w:rPr>
            </w:pPr>
            <w:r>
              <w:rPr>
                <w:rFonts w:hint="eastAsia" w:ascii="仿宋" w:hAnsi="仿宋" w:eastAsia="仿宋" w:cs="仿宋"/>
                <w:b w:val="0"/>
                <w:bCs/>
                <w:color w:val="auto"/>
                <w:kern w:val="0"/>
                <w:sz w:val="24"/>
                <w:szCs w:val="24"/>
                <w:lang w:val="en-US" w:eastAsia="zh-CN"/>
              </w:rPr>
              <w:t>8</w:t>
            </w:r>
          </w:p>
        </w:tc>
        <w:tc>
          <w:tcPr>
            <w:tcW w:w="716" w:type="dxa"/>
            <w:tcBorders>
              <w:top w:val="single" w:color="auto" w:sz="6" w:space="0"/>
              <w:left w:val="single" w:color="auto" w:sz="6" w:space="0"/>
              <w:bottom w:val="single" w:color="auto" w:sz="6" w:space="0"/>
              <w:right w:val="single" w:color="auto" w:sz="6" w:space="0"/>
            </w:tcBorders>
            <w:noWrap w:val="0"/>
            <w:vAlign w:val="center"/>
          </w:tcPr>
          <w:p w14:paraId="789543EE">
            <w:pPr>
              <w:autoSpaceDE w:val="0"/>
              <w:autoSpaceDN w:val="0"/>
              <w:snapToGrid w:val="0"/>
              <w:ind w:left="0" w:leftChars="0" w:right="0" w:rightChars="0" w:firstLine="0" w:firstLineChars="0"/>
              <w:jc w:val="center"/>
              <w:rPr>
                <w:rFonts w:hint="eastAsia" w:ascii="仿宋" w:hAnsi="仿宋" w:eastAsia="仿宋" w:cs="仿宋"/>
                <w:b w:val="0"/>
                <w:bCs/>
                <w:color w:val="auto"/>
                <w:kern w:val="0"/>
                <w:sz w:val="24"/>
                <w:szCs w:val="24"/>
                <w:lang w:val="en-US" w:eastAsia="zh-CN"/>
              </w:rPr>
            </w:pPr>
            <w:r>
              <w:rPr>
                <w:rFonts w:hint="eastAsia" w:ascii="仿宋" w:hAnsi="仿宋" w:eastAsia="仿宋" w:cs="仿宋"/>
                <w:b w:val="0"/>
                <w:bCs/>
                <w:color w:val="auto"/>
                <w:kern w:val="0"/>
                <w:sz w:val="24"/>
                <w:szCs w:val="24"/>
                <w:lang w:val="en-US" w:eastAsia="zh-CN"/>
              </w:rPr>
              <w:t>安全生产</w:t>
            </w:r>
          </w:p>
        </w:tc>
        <w:tc>
          <w:tcPr>
            <w:tcW w:w="6609" w:type="dxa"/>
            <w:tcBorders>
              <w:top w:val="single" w:color="auto" w:sz="6" w:space="0"/>
              <w:left w:val="single" w:color="auto" w:sz="6" w:space="0"/>
              <w:bottom w:val="single" w:color="auto" w:sz="6" w:space="0"/>
              <w:right w:val="single" w:color="auto" w:sz="4" w:space="0"/>
            </w:tcBorders>
            <w:noWrap w:val="0"/>
            <w:vAlign w:val="center"/>
          </w:tcPr>
          <w:p w14:paraId="3718A27B">
            <w:pPr>
              <w:autoSpaceDE w:val="0"/>
              <w:autoSpaceDN w:val="0"/>
              <w:snapToGrid w:val="0"/>
              <w:ind w:left="0" w:leftChars="0" w:right="0" w:rightChars="0" w:firstLine="0" w:firstLineChars="0"/>
              <w:jc w:val="left"/>
              <w:rPr>
                <w:rFonts w:hint="eastAsia" w:ascii="仿宋" w:hAnsi="仿宋" w:eastAsia="仿宋" w:cs="仿宋"/>
                <w:b w:val="0"/>
                <w:bCs/>
                <w:color w:val="auto"/>
                <w:kern w:val="0"/>
                <w:sz w:val="24"/>
                <w:szCs w:val="24"/>
                <w:lang w:val="en-US" w:eastAsia="zh-CN"/>
              </w:rPr>
            </w:pPr>
            <w:r>
              <w:rPr>
                <w:rFonts w:hint="eastAsia" w:ascii="仿宋" w:hAnsi="仿宋" w:eastAsia="仿宋" w:cs="仿宋"/>
                <w:b w:val="0"/>
                <w:bCs/>
                <w:color w:val="auto"/>
                <w:kern w:val="0"/>
                <w:sz w:val="24"/>
                <w:szCs w:val="24"/>
                <w:lang w:val="en-US" w:eastAsia="zh-CN"/>
              </w:rPr>
              <w:t>（1）违规或违章作业，每次扣5分；处罚500元。</w:t>
            </w:r>
          </w:p>
          <w:p w14:paraId="1EAA9FB8">
            <w:pPr>
              <w:autoSpaceDE w:val="0"/>
              <w:autoSpaceDN w:val="0"/>
              <w:snapToGrid w:val="0"/>
              <w:ind w:left="0" w:leftChars="0" w:right="0" w:rightChars="0" w:firstLine="0" w:firstLineChars="0"/>
              <w:jc w:val="left"/>
              <w:rPr>
                <w:rFonts w:hint="eastAsia" w:ascii="仿宋" w:hAnsi="仿宋" w:eastAsia="仿宋" w:cs="仿宋"/>
                <w:b w:val="0"/>
                <w:bCs/>
                <w:color w:val="auto"/>
                <w:kern w:val="0"/>
                <w:sz w:val="24"/>
                <w:szCs w:val="24"/>
                <w:lang w:val="en-US" w:eastAsia="zh-CN"/>
              </w:rPr>
            </w:pPr>
            <w:r>
              <w:rPr>
                <w:rFonts w:hint="eastAsia" w:ascii="仿宋" w:hAnsi="仿宋" w:eastAsia="仿宋" w:cs="仿宋"/>
                <w:b w:val="0"/>
                <w:bCs/>
                <w:color w:val="auto"/>
                <w:kern w:val="0"/>
                <w:sz w:val="24"/>
                <w:szCs w:val="24"/>
                <w:lang w:val="en-US" w:eastAsia="zh-CN"/>
              </w:rPr>
              <w:t>（2）未经审批擅自作业，每次扣5分；处罚500元。</w:t>
            </w:r>
          </w:p>
        </w:tc>
        <w:tc>
          <w:tcPr>
            <w:tcW w:w="0" w:type="auto"/>
            <w:tcBorders>
              <w:top w:val="single" w:color="auto" w:sz="6" w:space="0"/>
              <w:left w:val="single" w:color="auto" w:sz="4" w:space="0"/>
              <w:bottom w:val="single" w:color="auto" w:sz="6" w:space="0"/>
              <w:right w:val="single" w:color="auto" w:sz="6" w:space="0"/>
            </w:tcBorders>
            <w:noWrap w:val="0"/>
            <w:vAlign w:val="center"/>
          </w:tcPr>
          <w:p w14:paraId="4CED2FA9">
            <w:pPr>
              <w:autoSpaceDE w:val="0"/>
              <w:autoSpaceDN w:val="0"/>
              <w:snapToGrid w:val="0"/>
              <w:ind w:left="0" w:leftChars="0" w:right="0" w:rightChars="0" w:firstLine="0" w:firstLineChars="0"/>
              <w:jc w:val="left"/>
              <w:rPr>
                <w:rFonts w:hint="eastAsia" w:ascii="仿宋" w:hAnsi="仿宋" w:eastAsia="仿宋" w:cs="仿宋"/>
                <w:b w:val="0"/>
                <w:bCs/>
                <w:color w:val="auto"/>
                <w:kern w:val="0"/>
                <w:sz w:val="24"/>
                <w:szCs w:val="24"/>
                <w:lang w:val="en-US" w:eastAsia="zh-CN"/>
              </w:rPr>
            </w:pPr>
          </w:p>
        </w:tc>
        <w:tc>
          <w:tcPr>
            <w:tcW w:w="440" w:type="dxa"/>
            <w:tcBorders>
              <w:top w:val="single" w:color="auto" w:sz="6" w:space="0"/>
              <w:left w:val="single" w:color="auto" w:sz="4" w:space="0"/>
              <w:bottom w:val="single" w:color="auto" w:sz="6" w:space="0"/>
              <w:right w:val="single" w:color="auto" w:sz="6" w:space="0"/>
            </w:tcBorders>
            <w:noWrap w:val="0"/>
            <w:vAlign w:val="center"/>
          </w:tcPr>
          <w:p w14:paraId="4F66E3FA">
            <w:pPr>
              <w:autoSpaceDE w:val="0"/>
              <w:autoSpaceDN w:val="0"/>
              <w:snapToGrid w:val="0"/>
              <w:ind w:left="0" w:leftChars="0" w:right="0" w:rightChars="0" w:firstLine="0" w:firstLineChars="0"/>
              <w:jc w:val="right"/>
              <w:rPr>
                <w:rFonts w:hint="eastAsia" w:ascii="仿宋" w:hAnsi="仿宋" w:eastAsia="仿宋" w:cs="仿宋"/>
                <w:b w:val="0"/>
                <w:bCs/>
                <w:color w:val="auto"/>
                <w:kern w:val="0"/>
                <w:sz w:val="24"/>
                <w:szCs w:val="24"/>
                <w:lang w:val="en-US" w:eastAsia="zh-CN"/>
              </w:rPr>
            </w:pPr>
          </w:p>
        </w:tc>
      </w:tr>
      <w:tr w14:paraId="0AB24B63">
        <w:tblPrEx>
          <w:tblCellMar>
            <w:top w:w="0" w:type="dxa"/>
            <w:left w:w="30" w:type="dxa"/>
            <w:bottom w:w="0" w:type="dxa"/>
            <w:right w:w="30" w:type="dxa"/>
          </w:tblCellMar>
        </w:tblPrEx>
        <w:trPr>
          <w:trHeight w:val="0" w:hRule="atLeast"/>
          <w:jc w:val="center"/>
        </w:trPr>
        <w:tc>
          <w:tcPr>
            <w:tcW w:w="300" w:type="dxa"/>
            <w:tcBorders>
              <w:top w:val="single" w:color="auto" w:sz="6" w:space="0"/>
              <w:left w:val="single" w:color="auto" w:sz="6" w:space="0"/>
              <w:bottom w:val="single" w:color="auto" w:sz="6" w:space="0"/>
              <w:right w:val="single" w:color="auto" w:sz="6" w:space="0"/>
            </w:tcBorders>
            <w:noWrap w:val="0"/>
            <w:vAlign w:val="center"/>
          </w:tcPr>
          <w:p w14:paraId="3F8A5CE5">
            <w:pPr>
              <w:autoSpaceDE w:val="0"/>
              <w:autoSpaceDN w:val="0"/>
              <w:snapToGrid w:val="0"/>
              <w:ind w:left="0" w:leftChars="0" w:right="0" w:rightChars="0" w:firstLine="0" w:firstLineChars="0"/>
              <w:jc w:val="center"/>
              <w:rPr>
                <w:rFonts w:hint="eastAsia" w:ascii="仿宋" w:hAnsi="仿宋" w:eastAsia="仿宋" w:cs="仿宋"/>
                <w:b w:val="0"/>
                <w:bCs/>
                <w:color w:val="auto"/>
                <w:kern w:val="0"/>
                <w:sz w:val="24"/>
                <w:szCs w:val="24"/>
                <w:lang w:val="en-US" w:eastAsia="zh-CN"/>
              </w:rPr>
            </w:pPr>
            <w:r>
              <w:rPr>
                <w:rFonts w:hint="eastAsia" w:ascii="仿宋" w:hAnsi="仿宋" w:eastAsia="仿宋" w:cs="仿宋"/>
                <w:b w:val="0"/>
                <w:bCs/>
                <w:color w:val="auto"/>
                <w:kern w:val="0"/>
                <w:sz w:val="24"/>
                <w:szCs w:val="24"/>
                <w:lang w:val="en-US" w:eastAsia="zh-CN"/>
              </w:rPr>
              <w:t>9</w:t>
            </w:r>
          </w:p>
        </w:tc>
        <w:tc>
          <w:tcPr>
            <w:tcW w:w="716" w:type="dxa"/>
            <w:tcBorders>
              <w:top w:val="single" w:color="auto" w:sz="6" w:space="0"/>
              <w:left w:val="single" w:color="auto" w:sz="6" w:space="0"/>
              <w:bottom w:val="single" w:color="auto" w:sz="6" w:space="0"/>
              <w:right w:val="single" w:color="auto" w:sz="6" w:space="0"/>
            </w:tcBorders>
            <w:noWrap w:val="0"/>
            <w:vAlign w:val="center"/>
          </w:tcPr>
          <w:p w14:paraId="1D3B1698">
            <w:pPr>
              <w:autoSpaceDE w:val="0"/>
              <w:autoSpaceDN w:val="0"/>
              <w:snapToGrid w:val="0"/>
              <w:ind w:left="0" w:leftChars="0" w:right="0" w:rightChars="0" w:firstLine="0" w:firstLineChars="0"/>
              <w:jc w:val="center"/>
              <w:rPr>
                <w:rFonts w:hint="eastAsia" w:ascii="仿宋" w:hAnsi="仿宋" w:eastAsia="仿宋" w:cs="仿宋"/>
                <w:b w:val="0"/>
                <w:bCs/>
                <w:color w:val="auto"/>
                <w:kern w:val="0"/>
                <w:sz w:val="24"/>
                <w:szCs w:val="24"/>
                <w:lang w:val="en-US" w:eastAsia="zh-CN"/>
              </w:rPr>
            </w:pPr>
            <w:r>
              <w:rPr>
                <w:rFonts w:hint="eastAsia" w:ascii="仿宋" w:hAnsi="仿宋" w:eastAsia="仿宋" w:cs="仿宋"/>
                <w:b w:val="0"/>
                <w:bCs/>
                <w:color w:val="auto"/>
                <w:kern w:val="0"/>
                <w:sz w:val="24"/>
                <w:szCs w:val="24"/>
                <w:lang w:val="en-US" w:eastAsia="zh-CN"/>
              </w:rPr>
              <w:t>现场驻点</w:t>
            </w:r>
          </w:p>
        </w:tc>
        <w:tc>
          <w:tcPr>
            <w:tcW w:w="6609" w:type="dxa"/>
            <w:tcBorders>
              <w:top w:val="single" w:color="auto" w:sz="6" w:space="0"/>
              <w:left w:val="single" w:color="auto" w:sz="6" w:space="0"/>
              <w:bottom w:val="single" w:color="auto" w:sz="6" w:space="0"/>
              <w:right w:val="single" w:color="auto" w:sz="4" w:space="0"/>
            </w:tcBorders>
            <w:noWrap w:val="0"/>
            <w:vAlign w:val="center"/>
          </w:tcPr>
          <w:p w14:paraId="54D025E6">
            <w:pPr>
              <w:autoSpaceDE w:val="0"/>
              <w:autoSpaceDN w:val="0"/>
              <w:snapToGrid w:val="0"/>
              <w:ind w:left="0" w:leftChars="0" w:right="0" w:rightChars="0" w:firstLine="0" w:firstLineChars="0"/>
              <w:jc w:val="left"/>
              <w:rPr>
                <w:rFonts w:hint="eastAsia" w:ascii="仿宋" w:hAnsi="仿宋" w:eastAsia="仿宋" w:cs="仿宋"/>
                <w:b w:val="0"/>
                <w:bCs/>
                <w:color w:val="auto"/>
                <w:kern w:val="0"/>
                <w:sz w:val="24"/>
                <w:szCs w:val="24"/>
                <w:lang w:val="en-US" w:eastAsia="zh-CN"/>
              </w:rPr>
            </w:pPr>
            <w:r>
              <w:rPr>
                <w:rFonts w:hint="eastAsia" w:ascii="仿宋" w:hAnsi="仿宋" w:eastAsia="仿宋" w:cs="仿宋"/>
                <w:b w:val="0"/>
                <w:bCs/>
                <w:color w:val="auto"/>
                <w:kern w:val="0"/>
                <w:sz w:val="24"/>
                <w:szCs w:val="24"/>
                <w:lang w:val="en-US" w:eastAsia="zh-CN"/>
              </w:rPr>
              <w:t>（1）驻点服务人员配置数量不足，每次扣2分；处罚200元。</w:t>
            </w:r>
          </w:p>
          <w:p w14:paraId="01B372C1">
            <w:pPr>
              <w:autoSpaceDE w:val="0"/>
              <w:autoSpaceDN w:val="0"/>
              <w:snapToGrid w:val="0"/>
              <w:ind w:left="0" w:leftChars="0" w:right="0" w:rightChars="0" w:firstLine="0" w:firstLineChars="0"/>
              <w:jc w:val="left"/>
              <w:rPr>
                <w:rFonts w:hint="eastAsia" w:ascii="仿宋" w:hAnsi="仿宋" w:eastAsia="仿宋" w:cs="仿宋"/>
                <w:b w:val="0"/>
                <w:bCs/>
                <w:color w:val="auto"/>
                <w:kern w:val="0"/>
                <w:sz w:val="24"/>
                <w:szCs w:val="24"/>
                <w:lang w:val="en-US" w:eastAsia="zh-CN"/>
              </w:rPr>
            </w:pPr>
            <w:r>
              <w:rPr>
                <w:rFonts w:hint="eastAsia" w:ascii="仿宋" w:hAnsi="仿宋" w:eastAsia="仿宋" w:cs="仿宋"/>
                <w:b w:val="0"/>
                <w:bCs/>
                <w:color w:val="auto"/>
                <w:kern w:val="0"/>
                <w:sz w:val="24"/>
                <w:szCs w:val="24"/>
                <w:lang w:val="en-US" w:eastAsia="zh-CN"/>
              </w:rPr>
              <w:t>（2）未经许可，私自调配驻点人员或值守人员擅自脱岗。每次扣2分；处罚200元。</w:t>
            </w:r>
          </w:p>
        </w:tc>
        <w:tc>
          <w:tcPr>
            <w:tcW w:w="0" w:type="auto"/>
            <w:tcBorders>
              <w:top w:val="single" w:color="auto" w:sz="6" w:space="0"/>
              <w:left w:val="single" w:color="auto" w:sz="4" w:space="0"/>
              <w:bottom w:val="single" w:color="auto" w:sz="6" w:space="0"/>
              <w:right w:val="single" w:color="auto" w:sz="6" w:space="0"/>
            </w:tcBorders>
            <w:noWrap w:val="0"/>
            <w:vAlign w:val="center"/>
          </w:tcPr>
          <w:p w14:paraId="6D0D301D">
            <w:pPr>
              <w:autoSpaceDE w:val="0"/>
              <w:autoSpaceDN w:val="0"/>
              <w:snapToGrid w:val="0"/>
              <w:ind w:left="0" w:leftChars="0" w:right="0" w:rightChars="0" w:firstLine="0" w:firstLineChars="0"/>
              <w:jc w:val="left"/>
              <w:rPr>
                <w:rFonts w:hint="eastAsia" w:ascii="仿宋" w:hAnsi="仿宋" w:eastAsia="仿宋" w:cs="仿宋"/>
                <w:b w:val="0"/>
                <w:bCs/>
                <w:color w:val="auto"/>
                <w:kern w:val="0"/>
                <w:sz w:val="24"/>
                <w:szCs w:val="24"/>
                <w:lang w:val="en-US" w:eastAsia="zh-CN"/>
              </w:rPr>
            </w:pPr>
          </w:p>
        </w:tc>
        <w:tc>
          <w:tcPr>
            <w:tcW w:w="440" w:type="dxa"/>
            <w:tcBorders>
              <w:top w:val="single" w:color="auto" w:sz="6" w:space="0"/>
              <w:left w:val="single" w:color="auto" w:sz="4" w:space="0"/>
              <w:bottom w:val="single" w:color="auto" w:sz="6" w:space="0"/>
              <w:right w:val="single" w:color="auto" w:sz="6" w:space="0"/>
            </w:tcBorders>
            <w:noWrap w:val="0"/>
            <w:vAlign w:val="center"/>
          </w:tcPr>
          <w:p w14:paraId="53333F10">
            <w:pPr>
              <w:autoSpaceDE w:val="0"/>
              <w:autoSpaceDN w:val="0"/>
              <w:snapToGrid w:val="0"/>
              <w:ind w:left="0" w:leftChars="0" w:right="0" w:rightChars="0" w:firstLine="0" w:firstLineChars="0"/>
              <w:jc w:val="right"/>
              <w:rPr>
                <w:rFonts w:hint="eastAsia" w:ascii="仿宋" w:hAnsi="仿宋" w:eastAsia="仿宋" w:cs="仿宋"/>
                <w:b w:val="0"/>
                <w:bCs/>
                <w:color w:val="auto"/>
                <w:kern w:val="0"/>
                <w:sz w:val="24"/>
                <w:szCs w:val="24"/>
                <w:lang w:val="en-US" w:eastAsia="zh-CN"/>
              </w:rPr>
            </w:pPr>
          </w:p>
        </w:tc>
      </w:tr>
      <w:tr w14:paraId="77552F6A">
        <w:tblPrEx>
          <w:tblCellMar>
            <w:top w:w="0" w:type="dxa"/>
            <w:left w:w="30" w:type="dxa"/>
            <w:bottom w:w="0" w:type="dxa"/>
            <w:right w:w="30" w:type="dxa"/>
          </w:tblCellMar>
        </w:tblPrEx>
        <w:trPr>
          <w:trHeight w:val="0" w:hRule="atLeast"/>
          <w:jc w:val="center"/>
        </w:trPr>
        <w:tc>
          <w:tcPr>
            <w:tcW w:w="300" w:type="dxa"/>
            <w:tcBorders>
              <w:top w:val="single" w:color="auto" w:sz="6" w:space="0"/>
              <w:left w:val="single" w:color="auto" w:sz="6" w:space="0"/>
              <w:bottom w:val="single" w:color="auto" w:sz="6" w:space="0"/>
              <w:right w:val="single" w:color="auto" w:sz="6" w:space="0"/>
            </w:tcBorders>
            <w:noWrap w:val="0"/>
            <w:vAlign w:val="center"/>
          </w:tcPr>
          <w:p w14:paraId="103F58DC">
            <w:pPr>
              <w:autoSpaceDE w:val="0"/>
              <w:autoSpaceDN w:val="0"/>
              <w:snapToGrid w:val="0"/>
              <w:ind w:left="0" w:leftChars="0" w:right="0" w:rightChars="0" w:firstLine="0" w:firstLineChars="0"/>
              <w:jc w:val="center"/>
              <w:rPr>
                <w:rFonts w:hint="eastAsia" w:ascii="仿宋" w:hAnsi="仿宋" w:eastAsia="仿宋" w:cs="仿宋"/>
                <w:b w:val="0"/>
                <w:bCs/>
                <w:color w:val="auto"/>
                <w:kern w:val="0"/>
                <w:sz w:val="24"/>
                <w:szCs w:val="24"/>
                <w:lang w:val="en-US" w:eastAsia="zh-CN"/>
              </w:rPr>
            </w:pPr>
            <w:r>
              <w:rPr>
                <w:rFonts w:hint="eastAsia" w:ascii="仿宋" w:hAnsi="仿宋" w:eastAsia="仿宋" w:cs="仿宋"/>
                <w:b w:val="0"/>
                <w:bCs/>
                <w:color w:val="auto"/>
                <w:kern w:val="0"/>
                <w:sz w:val="24"/>
                <w:szCs w:val="24"/>
                <w:lang w:val="en-US" w:eastAsia="zh-CN"/>
              </w:rPr>
              <w:t>10</w:t>
            </w:r>
          </w:p>
        </w:tc>
        <w:tc>
          <w:tcPr>
            <w:tcW w:w="716" w:type="dxa"/>
            <w:tcBorders>
              <w:top w:val="single" w:color="auto" w:sz="6" w:space="0"/>
              <w:left w:val="single" w:color="auto" w:sz="6" w:space="0"/>
              <w:bottom w:val="single" w:color="auto" w:sz="6" w:space="0"/>
              <w:right w:val="single" w:color="auto" w:sz="6" w:space="0"/>
            </w:tcBorders>
            <w:noWrap w:val="0"/>
            <w:vAlign w:val="center"/>
          </w:tcPr>
          <w:p w14:paraId="313FC7E7">
            <w:pPr>
              <w:autoSpaceDE w:val="0"/>
              <w:autoSpaceDN w:val="0"/>
              <w:snapToGrid w:val="0"/>
              <w:ind w:left="0" w:leftChars="0" w:right="0" w:rightChars="0" w:firstLine="0" w:firstLineChars="0"/>
              <w:jc w:val="center"/>
              <w:rPr>
                <w:rFonts w:hint="eastAsia" w:ascii="仿宋" w:hAnsi="仿宋" w:eastAsia="仿宋" w:cs="仿宋"/>
                <w:b w:val="0"/>
                <w:bCs/>
                <w:color w:val="auto"/>
                <w:kern w:val="0"/>
                <w:sz w:val="24"/>
                <w:szCs w:val="24"/>
                <w:lang w:val="en-US" w:eastAsia="zh-CN"/>
              </w:rPr>
            </w:pPr>
            <w:r>
              <w:rPr>
                <w:rFonts w:hint="eastAsia" w:ascii="仿宋" w:hAnsi="仿宋" w:eastAsia="仿宋" w:cs="仿宋"/>
                <w:b w:val="0"/>
                <w:bCs/>
                <w:color w:val="auto"/>
                <w:kern w:val="0"/>
                <w:sz w:val="24"/>
                <w:szCs w:val="24"/>
                <w:lang w:val="en-US" w:eastAsia="zh-CN"/>
              </w:rPr>
              <w:t>检验检测</w:t>
            </w:r>
          </w:p>
        </w:tc>
        <w:tc>
          <w:tcPr>
            <w:tcW w:w="6609" w:type="dxa"/>
            <w:tcBorders>
              <w:top w:val="single" w:color="auto" w:sz="6" w:space="0"/>
              <w:left w:val="single" w:color="auto" w:sz="6" w:space="0"/>
              <w:bottom w:val="single" w:color="auto" w:sz="6" w:space="0"/>
              <w:right w:val="single" w:color="auto" w:sz="4" w:space="0"/>
            </w:tcBorders>
            <w:noWrap w:val="0"/>
            <w:vAlign w:val="center"/>
          </w:tcPr>
          <w:p w14:paraId="2038FE41">
            <w:pPr>
              <w:autoSpaceDE w:val="0"/>
              <w:autoSpaceDN w:val="0"/>
              <w:snapToGrid w:val="0"/>
              <w:ind w:left="0" w:leftChars="0" w:right="0" w:rightChars="0" w:firstLine="0" w:firstLineChars="0"/>
              <w:jc w:val="left"/>
              <w:rPr>
                <w:rFonts w:hint="eastAsia" w:ascii="仿宋" w:hAnsi="仿宋" w:eastAsia="仿宋" w:cs="仿宋"/>
                <w:b w:val="0"/>
                <w:bCs/>
                <w:color w:val="auto"/>
                <w:kern w:val="0"/>
                <w:sz w:val="24"/>
                <w:szCs w:val="24"/>
                <w:lang w:val="en-US" w:eastAsia="zh-CN"/>
              </w:rPr>
            </w:pPr>
            <w:r>
              <w:rPr>
                <w:rFonts w:hint="eastAsia" w:ascii="仿宋" w:hAnsi="仿宋" w:eastAsia="仿宋" w:cs="仿宋"/>
                <w:b w:val="0"/>
                <w:bCs/>
                <w:color w:val="auto"/>
                <w:kern w:val="0"/>
                <w:sz w:val="24"/>
                <w:szCs w:val="24"/>
                <w:lang w:val="en-US" w:eastAsia="zh-CN"/>
              </w:rPr>
              <w:t>空气质量检测不合格或未按时提交检测报告，每次扣10分；处罚1000元。</w:t>
            </w:r>
          </w:p>
        </w:tc>
        <w:tc>
          <w:tcPr>
            <w:tcW w:w="0" w:type="auto"/>
            <w:tcBorders>
              <w:top w:val="single" w:color="auto" w:sz="6" w:space="0"/>
              <w:left w:val="single" w:color="auto" w:sz="4" w:space="0"/>
              <w:bottom w:val="single" w:color="auto" w:sz="6" w:space="0"/>
              <w:right w:val="single" w:color="auto" w:sz="6" w:space="0"/>
            </w:tcBorders>
            <w:noWrap w:val="0"/>
            <w:vAlign w:val="center"/>
          </w:tcPr>
          <w:p w14:paraId="7C317FBA">
            <w:pPr>
              <w:autoSpaceDE w:val="0"/>
              <w:autoSpaceDN w:val="0"/>
              <w:snapToGrid w:val="0"/>
              <w:ind w:left="0" w:leftChars="0" w:right="0" w:rightChars="0" w:firstLine="0" w:firstLineChars="0"/>
              <w:jc w:val="left"/>
              <w:rPr>
                <w:rFonts w:hint="eastAsia" w:ascii="仿宋" w:hAnsi="仿宋" w:eastAsia="仿宋" w:cs="仿宋"/>
                <w:b w:val="0"/>
                <w:bCs/>
                <w:color w:val="auto"/>
                <w:kern w:val="0"/>
                <w:sz w:val="24"/>
                <w:szCs w:val="24"/>
                <w:lang w:val="en-US" w:eastAsia="zh-CN"/>
              </w:rPr>
            </w:pPr>
          </w:p>
        </w:tc>
        <w:tc>
          <w:tcPr>
            <w:tcW w:w="440" w:type="dxa"/>
            <w:tcBorders>
              <w:top w:val="single" w:color="auto" w:sz="6" w:space="0"/>
              <w:left w:val="single" w:color="auto" w:sz="4" w:space="0"/>
              <w:bottom w:val="single" w:color="auto" w:sz="6" w:space="0"/>
              <w:right w:val="single" w:color="auto" w:sz="6" w:space="0"/>
            </w:tcBorders>
            <w:noWrap w:val="0"/>
            <w:vAlign w:val="center"/>
          </w:tcPr>
          <w:p w14:paraId="5B7A12D2">
            <w:pPr>
              <w:autoSpaceDE w:val="0"/>
              <w:autoSpaceDN w:val="0"/>
              <w:snapToGrid w:val="0"/>
              <w:ind w:left="0" w:leftChars="0" w:right="0" w:rightChars="0" w:firstLine="0" w:firstLineChars="0"/>
              <w:jc w:val="right"/>
              <w:rPr>
                <w:rFonts w:hint="eastAsia" w:ascii="仿宋" w:hAnsi="仿宋" w:eastAsia="仿宋" w:cs="仿宋"/>
                <w:b w:val="0"/>
                <w:bCs/>
                <w:color w:val="auto"/>
                <w:kern w:val="0"/>
                <w:sz w:val="24"/>
                <w:szCs w:val="24"/>
                <w:lang w:val="en-US" w:eastAsia="zh-CN"/>
              </w:rPr>
            </w:pPr>
          </w:p>
        </w:tc>
      </w:tr>
      <w:tr w14:paraId="00D35A7C">
        <w:tblPrEx>
          <w:tblCellMar>
            <w:top w:w="0" w:type="dxa"/>
            <w:left w:w="30" w:type="dxa"/>
            <w:bottom w:w="0" w:type="dxa"/>
            <w:right w:w="30" w:type="dxa"/>
          </w:tblCellMar>
        </w:tblPrEx>
        <w:trPr>
          <w:trHeight w:val="0" w:hRule="atLeast"/>
          <w:jc w:val="center"/>
        </w:trPr>
        <w:tc>
          <w:tcPr>
            <w:tcW w:w="300" w:type="dxa"/>
            <w:tcBorders>
              <w:top w:val="single" w:color="auto" w:sz="6" w:space="0"/>
              <w:left w:val="single" w:color="auto" w:sz="6" w:space="0"/>
              <w:bottom w:val="single" w:color="auto" w:sz="6" w:space="0"/>
              <w:right w:val="single" w:color="auto" w:sz="6" w:space="0"/>
            </w:tcBorders>
            <w:noWrap w:val="0"/>
            <w:vAlign w:val="center"/>
          </w:tcPr>
          <w:p w14:paraId="5242864F">
            <w:pPr>
              <w:autoSpaceDE w:val="0"/>
              <w:autoSpaceDN w:val="0"/>
              <w:snapToGrid w:val="0"/>
              <w:ind w:left="0" w:leftChars="0" w:right="0" w:rightChars="0" w:firstLine="0" w:firstLineChars="0"/>
              <w:jc w:val="center"/>
              <w:rPr>
                <w:rFonts w:hint="eastAsia" w:ascii="仿宋" w:hAnsi="仿宋" w:eastAsia="仿宋" w:cs="仿宋"/>
                <w:b w:val="0"/>
                <w:bCs/>
                <w:color w:val="auto"/>
                <w:kern w:val="0"/>
                <w:sz w:val="24"/>
                <w:szCs w:val="24"/>
                <w:lang w:val="en-US" w:eastAsia="zh-CN"/>
              </w:rPr>
            </w:pPr>
            <w:r>
              <w:rPr>
                <w:rFonts w:hint="eastAsia" w:ascii="仿宋" w:hAnsi="仿宋" w:eastAsia="仿宋" w:cs="仿宋"/>
                <w:b w:val="0"/>
                <w:bCs/>
                <w:color w:val="auto"/>
                <w:kern w:val="0"/>
                <w:sz w:val="24"/>
                <w:szCs w:val="24"/>
                <w:lang w:val="en-US" w:eastAsia="zh-CN"/>
              </w:rPr>
              <w:t>11</w:t>
            </w:r>
          </w:p>
        </w:tc>
        <w:tc>
          <w:tcPr>
            <w:tcW w:w="716" w:type="dxa"/>
            <w:tcBorders>
              <w:top w:val="single" w:color="auto" w:sz="6" w:space="0"/>
              <w:left w:val="single" w:color="auto" w:sz="6" w:space="0"/>
              <w:bottom w:val="single" w:color="auto" w:sz="6" w:space="0"/>
              <w:right w:val="single" w:color="auto" w:sz="6" w:space="0"/>
            </w:tcBorders>
            <w:noWrap w:val="0"/>
            <w:vAlign w:val="center"/>
          </w:tcPr>
          <w:p w14:paraId="77546F14">
            <w:pPr>
              <w:autoSpaceDE w:val="0"/>
              <w:autoSpaceDN w:val="0"/>
              <w:snapToGrid w:val="0"/>
              <w:ind w:left="0" w:leftChars="0" w:right="0" w:rightChars="0" w:firstLine="0" w:firstLineChars="0"/>
              <w:jc w:val="center"/>
              <w:rPr>
                <w:rFonts w:hint="eastAsia" w:ascii="仿宋" w:hAnsi="仿宋" w:eastAsia="仿宋" w:cs="仿宋"/>
                <w:b w:val="0"/>
                <w:bCs/>
                <w:color w:val="auto"/>
                <w:kern w:val="0"/>
                <w:sz w:val="24"/>
                <w:szCs w:val="24"/>
                <w:lang w:val="en-US" w:eastAsia="zh-CN"/>
              </w:rPr>
            </w:pPr>
            <w:r>
              <w:rPr>
                <w:rFonts w:hint="eastAsia" w:ascii="仿宋" w:hAnsi="仿宋" w:eastAsia="仿宋" w:cs="仿宋"/>
                <w:b w:val="0"/>
                <w:bCs/>
                <w:color w:val="auto"/>
                <w:kern w:val="0"/>
                <w:sz w:val="24"/>
                <w:szCs w:val="24"/>
                <w:lang w:val="en-US" w:eastAsia="zh-CN"/>
              </w:rPr>
              <w:t>配件质量</w:t>
            </w:r>
          </w:p>
        </w:tc>
        <w:tc>
          <w:tcPr>
            <w:tcW w:w="6609" w:type="dxa"/>
            <w:tcBorders>
              <w:top w:val="single" w:color="auto" w:sz="6" w:space="0"/>
              <w:left w:val="single" w:color="auto" w:sz="6" w:space="0"/>
              <w:bottom w:val="single" w:color="auto" w:sz="6" w:space="0"/>
              <w:right w:val="single" w:color="auto" w:sz="4" w:space="0"/>
            </w:tcBorders>
            <w:noWrap w:val="0"/>
            <w:vAlign w:val="center"/>
          </w:tcPr>
          <w:p w14:paraId="289D295E">
            <w:pPr>
              <w:autoSpaceDE w:val="0"/>
              <w:autoSpaceDN w:val="0"/>
              <w:snapToGrid w:val="0"/>
              <w:ind w:left="0" w:leftChars="0" w:right="0" w:rightChars="0" w:firstLine="0" w:firstLineChars="0"/>
              <w:jc w:val="left"/>
              <w:rPr>
                <w:rFonts w:hint="eastAsia" w:ascii="仿宋" w:hAnsi="仿宋" w:eastAsia="仿宋" w:cs="仿宋"/>
                <w:b w:val="0"/>
                <w:bCs/>
                <w:color w:val="auto"/>
                <w:kern w:val="0"/>
                <w:sz w:val="24"/>
                <w:szCs w:val="24"/>
                <w:lang w:val="en-US" w:eastAsia="zh-CN"/>
              </w:rPr>
            </w:pPr>
            <w:r>
              <w:rPr>
                <w:rFonts w:hint="eastAsia" w:ascii="仿宋" w:hAnsi="仿宋" w:eastAsia="仿宋" w:cs="仿宋"/>
                <w:b w:val="0"/>
                <w:bCs/>
                <w:color w:val="auto"/>
                <w:kern w:val="0"/>
                <w:sz w:val="24"/>
                <w:szCs w:val="24"/>
                <w:lang w:val="en-US" w:eastAsia="zh-CN"/>
              </w:rPr>
              <w:t>使用不合格或劣质备品配件，每次扣10分；处罚1000元。</w:t>
            </w:r>
          </w:p>
        </w:tc>
        <w:tc>
          <w:tcPr>
            <w:tcW w:w="0" w:type="auto"/>
            <w:tcBorders>
              <w:top w:val="single" w:color="auto" w:sz="6" w:space="0"/>
              <w:left w:val="single" w:color="auto" w:sz="4" w:space="0"/>
              <w:bottom w:val="single" w:color="auto" w:sz="6" w:space="0"/>
              <w:right w:val="single" w:color="auto" w:sz="6" w:space="0"/>
            </w:tcBorders>
            <w:noWrap w:val="0"/>
            <w:vAlign w:val="center"/>
          </w:tcPr>
          <w:p w14:paraId="60832B10">
            <w:pPr>
              <w:autoSpaceDE w:val="0"/>
              <w:autoSpaceDN w:val="0"/>
              <w:snapToGrid w:val="0"/>
              <w:ind w:left="0" w:leftChars="0" w:right="0" w:rightChars="0" w:firstLine="0" w:firstLineChars="0"/>
              <w:jc w:val="left"/>
              <w:rPr>
                <w:rFonts w:hint="eastAsia" w:ascii="仿宋" w:hAnsi="仿宋" w:eastAsia="仿宋" w:cs="仿宋"/>
                <w:b w:val="0"/>
                <w:bCs/>
                <w:color w:val="auto"/>
                <w:kern w:val="0"/>
                <w:sz w:val="24"/>
                <w:szCs w:val="24"/>
                <w:lang w:val="en-US" w:eastAsia="zh-CN"/>
              </w:rPr>
            </w:pPr>
          </w:p>
        </w:tc>
        <w:tc>
          <w:tcPr>
            <w:tcW w:w="440" w:type="dxa"/>
            <w:tcBorders>
              <w:top w:val="single" w:color="auto" w:sz="6" w:space="0"/>
              <w:left w:val="single" w:color="auto" w:sz="4" w:space="0"/>
              <w:bottom w:val="single" w:color="auto" w:sz="6" w:space="0"/>
              <w:right w:val="single" w:color="auto" w:sz="6" w:space="0"/>
            </w:tcBorders>
            <w:noWrap w:val="0"/>
            <w:vAlign w:val="center"/>
          </w:tcPr>
          <w:p w14:paraId="74B903F0">
            <w:pPr>
              <w:autoSpaceDE w:val="0"/>
              <w:autoSpaceDN w:val="0"/>
              <w:snapToGrid w:val="0"/>
              <w:ind w:left="0" w:leftChars="0" w:right="0" w:rightChars="0" w:firstLine="0" w:firstLineChars="0"/>
              <w:jc w:val="right"/>
              <w:rPr>
                <w:rFonts w:hint="eastAsia" w:ascii="仿宋" w:hAnsi="仿宋" w:eastAsia="仿宋" w:cs="仿宋"/>
                <w:b w:val="0"/>
                <w:bCs/>
                <w:color w:val="auto"/>
                <w:kern w:val="0"/>
                <w:sz w:val="24"/>
                <w:szCs w:val="24"/>
                <w:lang w:val="en-US" w:eastAsia="zh-CN"/>
              </w:rPr>
            </w:pPr>
          </w:p>
        </w:tc>
      </w:tr>
      <w:tr w14:paraId="27FD4966">
        <w:tblPrEx>
          <w:tblCellMar>
            <w:top w:w="0" w:type="dxa"/>
            <w:left w:w="30" w:type="dxa"/>
            <w:bottom w:w="0" w:type="dxa"/>
            <w:right w:w="30" w:type="dxa"/>
          </w:tblCellMar>
        </w:tblPrEx>
        <w:trPr>
          <w:trHeight w:val="0" w:hRule="atLeast"/>
          <w:jc w:val="center"/>
        </w:trPr>
        <w:tc>
          <w:tcPr>
            <w:tcW w:w="300" w:type="dxa"/>
            <w:tcBorders>
              <w:top w:val="single" w:color="auto" w:sz="6" w:space="0"/>
              <w:left w:val="single" w:color="auto" w:sz="6" w:space="0"/>
              <w:bottom w:val="single" w:color="auto" w:sz="6" w:space="0"/>
              <w:right w:val="single" w:color="auto" w:sz="6" w:space="0"/>
            </w:tcBorders>
            <w:noWrap w:val="0"/>
            <w:vAlign w:val="center"/>
          </w:tcPr>
          <w:p w14:paraId="6CA8F266">
            <w:pPr>
              <w:autoSpaceDE w:val="0"/>
              <w:autoSpaceDN w:val="0"/>
              <w:snapToGrid w:val="0"/>
              <w:ind w:left="0" w:leftChars="0" w:right="0" w:rightChars="0" w:firstLine="0" w:firstLineChars="0"/>
              <w:jc w:val="center"/>
              <w:rPr>
                <w:rFonts w:hint="eastAsia" w:ascii="仿宋" w:hAnsi="仿宋" w:eastAsia="仿宋" w:cs="仿宋"/>
                <w:b w:val="0"/>
                <w:bCs/>
                <w:color w:val="auto"/>
                <w:kern w:val="0"/>
                <w:sz w:val="24"/>
                <w:szCs w:val="24"/>
                <w:lang w:val="en-US" w:eastAsia="zh-CN"/>
              </w:rPr>
            </w:pPr>
            <w:r>
              <w:rPr>
                <w:rFonts w:hint="eastAsia" w:ascii="仿宋" w:hAnsi="仿宋" w:eastAsia="仿宋" w:cs="仿宋"/>
                <w:b w:val="0"/>
                <w:bCs/>
                <w:color w:val="auto"/>
                <w:kern w:val="0"/>
                <w:sz w:val="24"/>
                <w:szCs w:val="24"/>
                <w:lang w:val="en-US" w:eastAsia="zh-CN"/>
              </w:rPr>
              <w:t>12</w:t>
            </w:r>
          </w:p>
        </w:tc>
        <w:tc>
          <w:tcPr>
            <w:tcW w:w="716" w:type="dxa"/>
            <w:tcBorders>
              <w:top w:val="single" w:color="auto" w:sz="6" w:space="0"/>
              <w:left w:val="single" w:color="auto" w:sz="6" w:space="0"/>
              <w:bottom w:val="single" w:color="auto" w:sz="6" w:space="0"/>
              <w:right w:val="single" w:color="auto" w:sz="6" w:space="0"/>
            </w:tcBorders>
            <w:noWrap w:val="0"/>
            <w:vAlign w:val="center"/>
          </w:tcPr>
          <w:p w14:paraId="19C84E1A">
            <w:pPr>
              <w:autoSpaceDE w:val="0"/>
              <w:autoSpaceDN w:val="0"/>
              <w:snapToGrid w:val="0"/>
              <w:ind w:left="0" w:leftChars="0" w:right="0" w:rightChars="0" w:firstLine="0" w:firstLineChars="0"/>
              <w:jc w:val="center"/>
              <w:rPr>
                <w:rFonts w:hint="eastAsia" w:ascii="仿宋" w:hAnsi="仿宋" w:eastAsia="仿宋" w:cs="仿宋"/>
                <w:b w:val="0"/>
                <w:bCs/>
                <w:color w:val="auto"/>
                <w:kern w:val="0"/>
                <w:sz w:val="24"/>
                <w:szCs w:val="24"/>
                <w:lang w:val="en-US" w:eastAsia="zh-CN"/>
              </w:rPr>
            </w:pPr>
            <w:r>
              <w:rPr>
                <w:rFonts w:hint="eastAsia" w:ascii="仿宋" w:hAnsi="仿宋" w:eastAsia="仿宋" w:cs="仿宋"/>
                <w:b w:val="0"/>
                <w:bCs/>
                <w:color w:val="auto"/>
                <w:kern w:val="0"/>
                <w:sz w:val="24"/>
                <w:szCs w:val="24"/>
                <w:lang w:val="en-US" w:eastAsia="zh-CN"/>
              </w:rPr>
              <w:t>其他</w:t>
            </w:r>
          </w:p>
        </w:tc>
        <w:tc>
          <w:tcPr>
            <w:tcW w:w="6609" w:type="dxa"/>
            <w:tcBorders>
              <w:top w:val="single" w:color="auto" w:sz="6" w:space="0"/>
              <w:left w:val="single" w:color="auto" w:sz="6" w:space="0"/>
              <w:bottom w:val="single" w:color="auto" w:sz="6" w:space="0"/>
              <w:right w:val="single" w:color="auto" w:sz="4" w:space="0"/>
            </w:tcBorders>
            <w:noWrap w:val="0"/>
            <w:vAlign w:val="center"/>
          </w:tcPr>
          <w:p w14:paraId="3C2A9999">
            <w:pPr>
              <w:autoSpaceDE w:val="0"/>
              <w:autoSpaceDN w:val="0"/>
              <w:snapToGrid w:val="0"/>
              <w:ind w:left="0" w:leftChars="0" w:right="0" w:rightChars="0" w:firstLine="0" w:firstLineChars="0"/>
              <w:jc w:val="left"/>
              <w:rPr>
                <w:rFonts w:hint="eastAsia" w:ascii="仿宋" w:hAnsi="仿宋" w:eastAsia="仿宋" w:cs="仿宋"/>
                <w:b w:val="0"/>
                <w:bCs/>
                <w:color w:val="auto"/>
                <w:kern w:val="0"/>
                <w:sz w:val="24"/>
                <w:szCs w:val="24"/>
                <w:lang w:val="en-US" w:eastAsia="zh-CN"/>
              </w:rPr>
            </w:pPr>
            <w:r>
              <w:rPr>
                <w:rFonts w:hint="eastAsia" w:ascii="仿宋" w:hAnsi="仿宋" w:eastAsia="仿宋" w:cs="仿宋"/>
                <w:b w:val="0"/>
                <w:bCs/>
                <w:color w:val="auto"/>
                <w:kern w:val="0"/>
                <w:sz w:val="24"/>
                <w:szCs w:val="24"/>
                <w:lang w:val="en-US" w:eastAsia="zh-CN"/>
              </w:rPr>
              <w:t>（酌情扣分与处罚）</w:t>
            </w:r>
          </w:p>
        </w:tc>
        <w:tc>
          <w:tcPr>
            <w:tcW w:w="0" w:type="auto"/>
            <w:tcBorders>
              <w:top w:val="single" w:color="auto" w:sz="6" w:space="0"/>
              <w:left w:val="single" w:color="auto" w:sz="4" w:space="0"/>
              <w:bottom w:val="single" w:color="auto" w:sz="6" w:space="0"/>
              <w:right w:val="single" w:color="auto" w:sz="6" w:space="0"/>
            </w:tcBorders>
            <w:noWrap w:val="0"/>
            <w:vAlign w:val="center"/>
          </w:tcPr>
          <w:p w14:paraId="3D2A9345">
            <w:pPr>
              <w:autoSpaceDE w:val="0"/>
              <w:autoSpaceDN w:val="0"/>
              <w:snapToGrid w:val="0"/>
              <w:ind w:left="0" w:leftChars="0" w:right="0" w:rightChars="0" w:firstLine="0" w:firstLineChars="0"/>
              <w:jc w:val="left"/>
              <w:rPr>
                <w:rFonts w:hint="eastAsia" w:ascii="仿宋" w:hAnsi="仿宋" w:eastAsia="仿宋" w:cs="仿宋"/>
                <w:b w:val="0"/>
                <w:bCs/>
                <w:color w:val="auto"/>
                <w:kern w:val="0"/>
                <w:sz w:val="24"/>
                <w:szCs w:val="24"/>
                <w:lang w:val="en-US" w:eastAsia="zh-CN"/>
              </w:rPr>
            </w:pPr>
          </w:p>
        </w:tc>
        <w:tc>
          <w:tcPr>
            <w:tcW w:w="440" w:type="dxa"/>
            <w:tcBorders>
              <w:top w:val="single" w:color="auto" w:sz="6" w:space="0"/>
              <w:left w:val="single" w:color="auto" w:sz="4" w:space="0"/>
              <w:bottom w:val="single" w:color="auto" w:sz="6" w:space="0"/>
              <w:right w:val="single" w:color="auto" w:sz="6" w:space="0"/>
            </w:tcBorders>
            <w:noWrap w:val="0"/>
            <w:vAlign w:val="center"/>
          </w:tcPr>
          <w:p w14:paraId="60B771F9">
            <w:pPr>
              <w:autoSpaceDE w:val="0"/>
              <w:autoSpaceDN w:val="0"/>
              <w:snapToGrid w:val="0"/>
              <w:ind w:left="0" w:leftChars="0" w:right="0" w:rightChars="0" w:firstLine="0" w:firstLineChars="0"/>
              <w:jc w:val="right"/>
              <w:rPr>
                <w:rFonts w:hint="eastAsia" w:ascii="仿宋" w:hAnsi="仿宋" w:eastAsia="仿宋" w:cs="仿宋"/>
                <w:b w:val="0"/>
                <w:bCs/>
                <w:color w:val="auto"/>
                <w:kern w:val="0"/>
                <w:sz w:val="24"/>
                <w:szCs w:val="24"/>
                <w:lang w:val="en-US" w:eastAsia="zh-CN"/>
              </w:rPr>
            </w:pPr>
          </w:p>
        </w:tc>
      </w:tr>
      <w:tr w14:paraId="150BFCAE">
        <w:tblPrEx>
          <w:tblCellMar>
            <w:top w:w="0" w:type="dxa"/>
            <w:left w:w="30" w:type="dxa"/>
            <w:bottom w:w="0" w:type="dxa"/>
            <w:right w:w="30" w:type="dxa"/>
          </w:tblCellMar>
        </w:tblPrEx>
        <w:trPr>
          <w:trHeight w:val="0" w:hRule="atLeast"/>
          <w:jc w:val="center"/>
        </w:trPr>
        <w:tc>
          <w:tcPr>
            <w:tcW w:w="300" w:type="dxa"/>
            <w:tcBorders>
              <w:top w:val="single" w:color="auto" w:sz="6" w:space="0"/>
              <w:left w:val="single" w:color="auto" w:sz="6" w:space="0"/>
              <w:bottom w:val="single" w:color="auto" w:sz="6" w:space="0"/>
              <w:right w:val="single" w:color="auto" w:sz="6" w:space="0"/>
            </w:tcBorders>
            <w:noWrap w:val="0"/>
            <w:vAlign w:val="center"/>
          </w:tcPr>
          <w:p w14:paraId="2773E20F">
            <w:pPr>
              <w:autoSpaceDE w:val="0"/>
              <w:autoSpaceDN w:val="0"/>
              <w:snapToGrid w:val="0"/>
              <w:ind w:left="0" w:leftChars="0" w:right="0" w:rightChars="0" w:firstLine="0" w:firstLineChars="0"/>
              <w:jc w:val="center"/>
              <w:rPr>
                <w:rFonts w:hint="eastAsia" w:ascii="仿宋" w:hAnsi="仿宋" w:eastAsia="仿宋" w:cs="仿宋"/>
                <w:b w:val="0"/>
                <w:bCs/>
                <w:color w:val="auto"/>
                <w:kern w:val="0"/>
                <w:sz w:val="24"/>
                <w:szCs w:val="24"/>
                <w:lang w:val="en-US" w:eastAsia="zh-CN"/>
              </w:rPr>
            </w:pPr>
            <w:r>
              <w:rPr>
                <w:rFonts w:hint="eastAsia" w:ascii="仿宋" w:hAnsi="仿宋" w:eastAsia="仿宋" w:cs="仿宋"/>
                <w:b w:val="0"/>
                <w:bCs/>
                <w:color w:val="auto"/>
                <w:kern w:val="0"/>
                <w:sz w:val="24"/>
                <w:szCs w:val="24"/>
                <w:lang w:val="en-US" w:eastAsia="zh-CN"/>
              </w:rPr>
              <w:t>13</w:t>
            </w:r>
          </w:p>
        </w:tc>
        <w:tc>
          <w:tcPr>
            <w:tcW w:w="716" w:type="dxa"/>
            <w:tcBorders>
              <w:top w:val="single" w:color="auto" w:sz="6" w:space="0"/>
              <w:left w:val="single" w:color="auto" w:sz="6" w:space="0"/>
              <w:bottom w:val="single" w:color="auto" w:sz="6" w:space="0"/>
              <w:right w:val="single" w:color="auto" w:sz="6" w:space="0"/>
            </w:tcBorders>
            <w:noWrap w:val="0"/>
            <w:vAlign w:val="center"/>
          </w:tcPr>
          <w:p w14:paraId="55A10AD1">
            <w:pPr>
              <w:autoSpaceDE w:val="0"/>
              <w:autoSpaceDN w:val="0"/>
              <w:snapToGrid w:val="0"/>
              <w:ind w:left="0" w:leftChars="0" w:right="0" w:rightChars="0" w:firstLine="0" w:firstLineChars="0"/>
              <w:jc w:val="center"/>
              <w:rPr>
                <w:rFonts w:hint="eastAsia" w:ascii="仿宋" w:hAnsi="仿宋" w:eastAsia="仿宋" w:cs="仿宋"/>
                <w:b w:val="0"/>
                <w:bCs/>
                <w:color w:val="auto"/>
                <w:kern w:val="0"/>
                <w:sz w:val="24"/>
                <w:szCs w:val="24"/>
                <w:lang w:val="en-US" w:eastAsia="zh-CN"/>
              </w:rPr>
            </w:pPr>
            <w:r>
              <w:rPr>
                <w:rFonts w:hint="eastAsia" w:ascii="仿宋" w:hAnsi="仿宋" w:eastAsia="仿宋" w:cs="仿宋"/>
                <w:b w:val="0"/>
                <w:bCs/>
                <w:color w:val="auto"/>
                <w:kern w:val="0"/>
                <w:sz w:val="24"/>
                <w:szCs w:val="24"/>
                <w:lang w:val="en-US" w:eastAsia="zh-CN"/>
              </w:rPr>
              <w:t>考核得分</w:t>
            </w:r>
          </w:p>
        </w:tc>
        <w:tc>
          <w:tcPr>
            <w:tcW w:w="6609" w:type="dxa"/>
            <w:gridSpan w:val="3"/>
            <w:tcBorders>
              <w:top w:val="single" w:color="auto" w:sz="6" w:space="0"/>
              <w:left w:val="single" w:color="auto" w:sz="6" w:space="0"/>
              <w:bottom w:val="single" w:color="auto" w:sz="6" w:space="0"/>
              <w:right w:val="single" w:color="auto" w:sz="6" w:space="0"/>
            </w:tcBorders>
            <w:noWrap w:val="0"/>
            <w:vAlign w:val="center"/>
          </w:tcPr>
          <w:p w14:paraId="0BFA4355">
            <w:pPr>
              <w:autoSpaceDE w:val="0"/>
              <w:autoSpaceDN w:val="0"/>
              <w:snapToGrid w:val="0"/>
              <w:ind w:left="0" w:leftChars="0" w:right="0" w:rightChars="0" w:firstLine="0" w:firstLineChars="0"/>
              <w:jc w:val="center"/>
              <w:rPr>
                <w:rFonts w:hint="eastAsia" w:ascii="仿宋" w:hAnsi="仿宋" w:eastAsia="仿宋" w:cs="仿宋"/>
                <w:b w:val="0"/>
                <w:bCs/>
                <w:color w:val="auto"/>
                <w:kern w:val="0"/>
                <w:sz w:val="24"/>
                <w:szCs w:val="24"/>
                <w:lang w:val="en-US" w:eastAsia="zh-CN"/>
              </w:rPr>
            </w:pPr>
          </w:p>
        </w:tc>
      </w:tr>
      <w:tr w14:paraId="076B1809">
        <w:tblPrEx>
          <w:tblCellMar>
            <w:top w:w="0" w:type="dxa"/>
            <w:left w:w="30" w:type="dxa"/>
            <w:bottom w:w="0" w:type="dxa"/>
            <w:right w:w="30" w:type="dxa"/>
          </w:tblCellMar>
        </w:tblPrEx>
        <w:trPr>
          <w:trHeight w:val="0" w:hRule="atLeast"/>
          <w:jc w:val="center"/>
        </w:trPr>
        <w:tc>
          <w:tcPr>
            <w:tcW w:w="1016" w:type="dxa"/>
            <w:gridSpan w:val="2"/>
            <w:tcBorders>
              <w:top w:val="single" w:color="auto" w:sz="6" w:space="0"/>
              <w:left w:val="single" w:color="auto" w:sz="6" w:space="0"/>
              <w:bottom w:val="single" w:color="auto" w:sz="6" w:space="0"/>
              <w:right w:val="single" w:color="auto" w:sz="6" w:space="0"/>
            </w:tcBorders>
            <w:noWrap w:val="0"/>
            <w:vAlign w:val="center"/>
          </w:tcPr>
          <w:p w14:paraId="36516C66">
            <w:pPr>
              <w:autoSpaceDE w:val="0"/>
              <w:autoSpaceDN w:val="0"/>
              <w:snapToGrid w:val="0"/>
              <w:ind w:left="0" w:leftChars="0" w:right="0" w:rightChars="0" w:firstLine="0" w:firstLineChars="0"/>
              <w:jc w:val="center"/>
              <w:rPr>
                <w:rFonts w:hint="eastAsia" w:ascii="仿宋" w:hAnsi="仿宋" w:eastAsia="仿宋" w:cs="仿宋"/>
                <w:b w:val="0"/>
                <w:bCs/>
                <w:color w:val="auto"/>
                <w:kern w:val="0"/>
                <w:sz w:val="24"/>
                <w:szCs w:val="24"/>
                <w:lang w:val="en-US" w:eastAsia="zh-CN"/>
              </w:rPr>
            </w:pPr>
            <w:r>
              <w:rPr>
                <w:rFonts w:hint="eastAsia" w:ascii="仿宋" w:hAnsi="仿宋" w:eastAsia="仿宋" w:cs="仿宋"/>
                <w:b w:val="0"/>
                <w:bCs/>
                <w:color w:val="auto"/>
                <w:kern w:val="0"/>
                <w:sz w:val="24"/>
                <w:szCs w:val="24"/>
                <w:lang w:val="en-US" w:eastAsia="zh-CN"/>
              </w:rPr>
              <w:t>考核结论</w:t>
            </w:r>
          </w:p>
        </w:tc>
        <w:tc>
          <w:tcPr>
            <w:tcW w:w="6609" w:type="dxa"/>
            <w:gridSpan w:val="3"/>
            <w:tcBorders>
              <w:top w:val="single" w:color="auto" w:sz="6" w:space="0"/>
              <w:left w:val="single" w:color="auto" w:sz="6" w:space="0"/>
              <w:bottom w:val="single" w:color="auto" w:sz="6" w:space="0"/>
              <w:right w:val="single" w:color="auto" w:sz="6" w:space="0"/>
            </w:tcBorders>
            <w:noWrap w:val="0"/>
            <w:vAlign w:val="center"/>
          </w:tcPr>
          <w:p w14:paraId="68ADD404">
            <w:pPr>
              <w:autoSpaceDE w:val="0"/>
              <w:autoSpaceDN w:val="0"/>
              <w:snapToGrid w:val="0"/>
              <w:ind w:left="0" w:leftChars="0" w:right="0" w:rightChars="0" w:firstLine="0" w:firstLineChars="0"/>
              <w:jc w:val="center"/>
              <w:rPr>
                <w:rFonts w:hint="eastAsia" w:ascii="仿宋" w:hAnsi="仿宋" w:eastAsia="仿宋" w:cs="仿宋"/>
                <w:b w:val="0"/>
                <w:bCs/>
                <w:color w:val="auto"/>
                <w:kern w:val="0"/>
                <w:sz w:val="24"/>
                <w:szCs w:val="24"/>
                <w:lang w:val="en-US" w:eastAsia="zh-CN"/>
              </w:rPr>
            </w:pPr>
            <w:r>
              <w:rPr>
                <w:rFonts w:hint="eastAsia" w:ascii="仿宋" w:hAnsi="仿宋" w:eastAsia="仿宋" w:cs="仿宋"/>
                <w:b w:val="0"/>
                <w:bCs/>
                <w:color w:val="auto"/>
                <w:kern w:val="0"/>
                <w:sz w:val="24"/>
                <w:szCs w:val="24"/>
                <w:lang w:val="en-US" w:eastAsia="zh-CN"/>
              </w:rPr>
              <w:sym w:font="Wingdings 2" w:char="00A3"/>
            </w:r>
            <w:r>
              <w:rPr>
                <w:rFonts w:hint="eastAsia" w:ascii="仿宋" w:hAnsi="仿宋" w:eastAsia="仿宋" w:cs="仿宋"/>
                <w:b w:val="0"/>
                <w:bCs/>
                <w:color w:val="auto"/>
                <w:kern w:val="0"/>
                <w:sz w:val="24"/>
                <w:szCs w:val="24"/>
                <w:lang w:val="en-US" w:eastAsia="zh-CN"/>
              </w:rPr>
              <w:t xml:space="preserve">合格                    </w:t>
            </w:r>
            <w:r>
              <w:rPr>
                <w:rFonts w:hint="eastAsia" w:ascii="仿宋" w:hAnsi="仿宋" w:eastAsia="仿宋" w:cs="仿宋"/>
                <w:b w:val="0"/>
                <w:bCs/>
                <w:color w:val="auto"/>
                <w:kern w:val="0"/>
                <w:sz w:val="24"/>
                <w:szCs w:val="24"/>
                <w:lang w:val="en-US" w:eastAsia="zh-CN"/>
              </w:rPr>
              <w:sym w:font="Wingdings 2" w:char="00A3"/>
            </w:r>
            <w:r>
              <w:rPr>
                <w:rFonts w:hint="eastAsia" w:ascii="仿宋" w:hAnsi="仿宋" w:eastAsia="仿宋" w:cs="仿宋"/>
                <w:b w:val="0"/>
                <w:bCs/>
                <w:color w:val="auto"/>
                <w:kern w:val="0"/>
                <w:sz w:val="24"/>
                <w:szCs w:val="24"/>
                <w:lang w:val="en-US" w:eastAsia="zh-CN"/>
              </w:rPr>
              <w:t>不合格</w:t>
            </w:r>
          </w:p>
        </w:tc>
      </w:tr>
    </w:tbl>
    <w:p w14:paraId="55559599">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ind w:firstLine="240" w:firstLineChars="100"/>
        <w:textAlignment w:val="auto"/>
        <w:rPr>
          <w:rStyle w:val="4"/>
          <w:rFonts w:hint="eastAsia" w:ascii="仿宋" w:hAnsi="仿宋" w:eastAsia="仿宋" w:cs="仿宋"/>
          <w:b w:val="0"/>
          <w:bCs w:val="0"/>
          <w:color w:val="000000"/>
          <w:kern w:val="0"/>
          <w:sz w:val="24"/>
          <w:szCs w:val="24"/>
          <w:lang w:val="en-US" w:eastAsia="zh-CN"/>
        </w:rPr>
      </w:pPr>
      <w:r>
        <w:rPr>
          <w:rStyle w:val="4"/>
          <w:rFonts w:hint="eastAsia" w:ascii="仿宋" w:hAnsi="仿宋" w:eastAsia="仿宋" w:cs="仿宋"/>
          <w:b w:val="0"/>
          <w:bCs w:val="0"/>
          <w:color w:val="000000"/>
          <w:kern w:val="0"/>
          <w:sz w:val="24"/>
          <w:szCs w:val="24"/>
          <w:lang w:val="en-US" w:eastAsia="zh-CN"/>
        </w:rPr>
        <w:t>考核人签字：</w:t>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lang w:val="en-US" w:eastAsia="zh-CN"/>
        </w:rPr>
        <w:t xml:space="preserve">            </w:t>
      </w:r>
      <w:r>
        <w:rPr>
          <w:rStyle w:val="4"/>
          <w:rFonts w:hint="eastAsia" w:ascii="仿宋" w:hAnsi="仿宋" w:eastAsia="仿宋" w:cs="仿宋"/>
          <w:b w:val="0"/>
          <w:bCs w:val="0"/>
          <w:color w:val="000000"/>
          <w:kern w:val="0"/>
          <w:sz w:val="24"/>
          <w:szCs w:val="24"/>
          <w:lang w:val="en-US" w:eastAsia="zh-CN"/>
        </w:rPr>
        <w:t>被考核人签字：</w:t>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lang w:val="en-US" w:eastAsia="zh-CN"/>
        </w:rPr>
        <w:t xml:space="preserve">   </w:t>
      </w:r>
      <w:r>
        <w:rPr>
          <w:rStyle w:val="4"/>
          <w:rFonts w:hint="eastAsia" w:ascii="仿宋" w:hAnsi="仿宋" w:eastAsia="仿宋" w:cs="仿宋"/>
          <w:b w:val="0"/>
          <w:bCs w:val="0"/>
          <w:color w:val="000000"/>
          <w:kern w:val="0"/>
          <w:sz w:val="24"/>
          <w:szCs w:val="24"/>
          <w:lang w:val="en-US" w:eastAsia="zh-CN"/>
        </w:rPr>
        <w:t xml:space="preserve"> </w:t>
      </w:r>
    </w:p>
    <w:p w14:paraId="26AB3E65">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ind w:firstLine="4800" w:firstLineChars="2000"/>
        <w:textAlignment w:val="auto"/>
        <w:rPr>
          <w:rStyle w:val="4"/>
          <w:rFonts w:hint="eastAsia" w:ascii="仿宋" w:hAnsi="仿宋" w:eastAsia="仿宋" w:cs="仿宋"/>
          <w:b w:val="0"/>
          <w:bCs w:val="0"/>
          <w:color w:val="000000"/>
          <w:kern w:val="0"/>
          <w:sz w:val="24"/>
          <w:szCs w:val="24"/>
          <w:lang w:val="en-US" w:eastAsia="zh-CN"/>
        </w:rPr>
      </w:pPr>
      <w:r>
        <w:rPr>
          <w:rStyle w:val="4"/>
          <w:rFonts w:hint="eastAsia" w:ascii="仿宋" w:hAnsi="仿宋" w:eastAsia="仿宋" w:cs="仿宋"/>
          <w:b w:val="0"/>
          <w:bCs w:val="0"/>
          <w:color w:val="000000"/>
          <w:kern w:val="0"/>
          <w:sz w:val="24"/>
          <w:szCs w:val="24"/>
          <w:lang w:val="en-US" w:eastAsia="zh-CN"/>
        </w:rPr>
        <w:t>时间：    年   月   日</w:t>
      </w:r>
    </w:p>
    <w:p w14:paraId="47FDB8A8">
      <w:pPr>
        <w:numPr>
          <w:ilvl w:val="0"/>
          <w:numId w:val="0"/>
        </w:numPr>
        <w:spacing w:line="360" w:lineRule="auto"/>
        <w:ind w:right="-22" w:rightChars="0" w:firstLine="480" w:firstLineChars="200"/>
        <w:rPr>
          <w:rStyle w:val="4"/>
          <w:rFonts w:hint="eastAsia" w:ascii="仿宋" w:hAnsi="仿宋" w:eastAsia="仿宋" w:cs="仿宋"/>
          <w:b w:val="0"/>
          <w:bCs w:val="0"/>
          <w:color w:val="000000"/>
          <w:kern w:val="0"/>
          <w:sz w:val="24"/>
          <w:szCs w:val="24"/>
          <w:lang w:val="en-US" w:eastAsia="zh-CN"/>
        </w:rPr>
      </w:pPr>
      <w:r>
        <w:rPr>
          <w:rStyle w:val="4"/>
          <w:rFonts w:hint="eastAsia" w:ascii="仿宋" w:hAnsi="仿宋" w:eastAsia="仿宋" w:cs="仿宋"/>
          <w:b w:val="0"/>
          <w:bCs w:val="0"/>
          <w:color w:val="000000"/>
          <w:kern w:val="0"/>
          <w:sz w:val="24"/>
          <w:szCs w:val="24"/>
          <w:lang w:val="en-US" w:eastAsia="zh-CN"/>
        </w:rPr>
        <w:t>备注：此表仅为服务考核基础要求，采购人可根据实际情况进行调整。</w:t>
      </w:r>
    </w:p>
    <w:p w14:paraId="356C585B">
      <w:pPr>
        <w:numPr>
          <w:ilvl w:val="0"/>
          <w:numId w:val="0"/>
        </w:numPr>
        <w:spacing w:line="360" w:lineRule="auto"/>
        <w:ind w:right="-22" w:rightChars="0" w:firstLine="480" w:firstLineChars="200"/>
        <w:rPr>
          <w:rStyle w:val="4"/>
          <w:rFonts w:hint="eastAsia" w:ascii="仿宋" w:hAnsi="仿宋" w:eastAsia="仿宋" w:cs="仿宋"/>
          <w:b w:val="0"/>
          <w:bCs w:val="0"/>
          <w:color w:val="000000"/>
          <w:kern w:val="0"/>
          <w:sz w:val="24"/>
          <w:szCs w:val="24"/>
          <w:lang w:val="en-US" w:eastAsia="zh-CN"/>
        </w:rPr>
      </w:pPr>
      <w:r>
        <w:rPr>
          <w:rStyle w:val="4"/>
          <w:rFonts w:hint="eastAsia" w:ascii="仿宋" w:hAnsi="仿宋" w:eastAsia="仿宋" w:cs="仿宋"/>
          <w:b w:val="0"/>
          <w:bCs w:val="0"/>
          <w:color w:val="000000"/>
          <w:kern w:val="0"/>
          <w:sz w:val="24"/>
          <w:szCs w:val="24"/>
          <w:lang w:val="en-US" w:eastAsia="zh-CN"/>
        </w:rPr>
        <w:t>14.2考核与评价说明</w:t>
      </w:r>
    </w:p>
    <w:p w14:paraId="0FCBF2B8">
      <w:pPr>
        <w:numPr>
          <w:ilvl w:val="0"/>
          <w:numId w:val="0"/>
        </w:numPr>
        <w:spacing w:line="360" w:lineRule="auto"/>
        <w:ind w:right="-22" w:rightChars="0" w:firstLine="480" w:firstLineChars="200"/>
        <w:rPr>
          <w:rStyle w:val="4"/>
          <w:rFonts w:hint="eastAsia" w:ascii="仿宋" w:hAnsi="仿宋" w:eastAsia="仿宋" w:cs="仿宋"/>
          <w:b w:val="0"/>
          <w:bCs w:val="0"/>
          <w:color w:val="000000"/>
          <w:kern w:val="0"/>
          <w:sz w:val="24"/>
          <w:szCs w:val="24"/>
          <w:lang w:val="en-US" w:eastAsia="zh-CN"/>
        </w:rPr>
      </w:pPr>
      <w:r>
        <w:rPr>
          <w:rStyle w:val="4"/>
          <w:rFonts w:hint="eastAsia" w:ascii="仿宋" w:hAnsi="仿宋" w:eastAsia="仿宋" w:cs="仿宋"/>
          <w:b w:val="0"/>
          <w:bCs w:val="0"/>
          <w:color w:val="000000"/>
          <w:kern w:val="0"/>
          <w:sz w:val="24"/>
          <w:szCs w:val="24"/>
          <w:lang w:val="en-US" w:eastAsia="zh-CN"/>
        </w:rPr>
        <w:t>14.2.1甲方每月对乙方提供的合同履约质量进行考核与评价（采用百分制），包括但不限于：巡查巡检、服务态度、开机率、服务响应、服务质量、故障排除、安全管理及合同条款履约等方面。</w:t>
      </w:r>
    </w:p>
    <w:p w14:paraId="0C1E231C">
      <w:pPr>
        <w:numPr>
          <w:ilvl w:val="0"/>
          <w:numId w:val="0"/>
        </w:numPr>
        <w:spacing w:line="360" w:lineRule="auto"/>
        <w:ind w:right="-22" w:rightChars="0" w:firstLine="480" w:firstLineChars="200"/>
        <w:rPr>
          <w:rStyle w:val="4"/>
          <w:rFonts w:hint="eastAsia" w:ascii="仿宋" w:hAnsi="仿宋" w:eastAsia="仿宋" w:cs="仿宋"/>
          <w:b w:val="0"/>
          <w:bCs w:val="0"/>
          <w:color w:val="000000"/>
          <w:kern w:val="0"/>
          <w:sz w:val="24"/>
          <w:szCs w:val="24"/>
          <w:lang w:val="en-US" w:eastAsia="zh-CN"/>
        </w:rPr>
      </w:pPr>
      <w:r>
        <w:rPr>
          <w:rStyle w:val="4"/>
          <w:rFonts w:hint="eastAsia" w:ascii="仿宋" w:hAnsi="仿宋" w:eastAsia="仿宋" w:cs="仿宋"/>
          <w:b w:val="0"/>
          <w:bCs w:val="0"/>
          <w:color w:val="000000"/>
          <w:kern w:val="0"/>
          <w:sz w:val="24"/>
          <w:szCs w:val="24"/>
          <w:lang w:val="en-US" w:eastAsia="zh-CN"/>
        </w:rPr>
        <w:t>14.2.2考核结果将作为履行合同和进行经济处罚的依据，经济处罚从当季应付维保款项中予以扣除。</w:t>
      </w:r>
    </w:p>
    <w:p w14:paraId="019321F2">
      <w:pPr>
        <w:numPr>
          <w:ilvl w:val="0"/>
          <w:numId w:val="0"/>
        </w:numPr>
        <w:spacing w:line="360" w:lineRule="auto"/>
        <w:ind w:right="-22" w:rightChars="0" w:firstLine="480" w:firstLineChars="200"/>
        <w:rPr>
          <w:rStyle w:val="4"/>
          <w:rFonts w:hint="eastAsia" w:ascii="仿宋" w:hAnsi="仿宋" w:eastAsia="仿宋" w:cs="仿宋"/>
          <w:b w:val="0"/>
          <w:bCs w:val="0"/>
          <w:color w:val="000000"/>
          <w:kern w:val="0"/>
          <w:sz w:val="24"/>
          <w:szCs w:val="24"/>
          <w:lang w:val="en-US" w:eastAsia="zh-CN"/>
        </w:rPr>
      </w:pPr>
      <w:r>
        <w:rPr>
          <w:rStyle w:val="4"/>
          <w:rFonts w:hint="eastAsia" w:ascii="仿宋" w:hAnsi="仿宋" w:eastAsia="仿宋" w:cs="仿宋"/>
          <w:b w:val="0"/>
          <w:bCs w:val="0"/>
          <w:color w:val="000000"/>
          <w:kern w:val="0"/>
          <w:sz w:val="24"/>
          <w:szCs w:val="24"/>
          <w:lang w:val="en-US" w:eastAsia="zh-CN"/>
        </w:rPr>
        <w:t>14.2.3月考核得分≥80分为合格；月考核低于80分为不合格。乙方连续三个月考核不合格或服务质量存在重大安全隐患，甲方有权单方面解除合同，而无需因解除合同承担任何赔偿责任，甲方保留追偿直接与间接损失的权利。</w:t>
      </w:r>
    </w:p>
    <w:p w14:paraId="756C2060">
      <w:pPr>
        <w:numPr>
          <w:ilvl w:val="0"/>
          <w:numId w:val="0"/>
        </w:numPr>
        <w:spacing w:line="360" w:lineRule="auto"/>
        <w:ind w:left="0" w:leftChars="0" w:right="-22" w:rightChars="0" w:firstLine="422" w:firstLineChars="200"/>
        <w:rPr>
          <w:rFonts w:hint="eastAsia" w:ascii="仿宋" w:hAnsi="仿宋" w:eastAsia="仿宋" w:cs="仿宋"/>
          <w:b/>
          <w:bCs/>
          <w:kern w:val="2"/>
          <w:sz w:val="21"/>
          <w:szCs w:val="24"/>
          <w:lang w:val="en-US" w:eastAsia="zh-CN" w:bidi="ar-SA"/>
        </w:rPr>
      </w:pPr>
    </w:p>
    <w:p w14:paraId="3EAB44A5">
      <w:pPr>
        <w:numPr>
          <w:ilvl w:val="0"/>
          <w:numId w:val="0"/>
        </w:numPr>
        <w:spacing w:line="360" w:lineRule="auto"/>
        <w:ind w:right="-22" w:rightChars="0"/>
        <w:rPr>
          <w:rFonts w:hint="eastAsia" w:ascii="仿宋" w:hAnsi="仿宋" w:eastAsia="仿宋" w:cs="仿宋"/>
          <w:b/>
          <w:bCs/>
          <w:lang w:val="en-US" w:eastAsia="zh-CN"/>
        </w:rPr>
      </w:pPr>
      <w:r>
        <w:rPr>
          <w:rFonts w:hint="eastAsia" w:ascii="仿宋" w:hAnsi="仿宋" w:eastAsia="仿宋" w:cs="仿宋"/>
          <w:b/>
          <w:bCs/>
          <w:color w:val="000000"/>
          <w:sz w:val="24"/>
          <w:szCs w:val="24"/>
          <w:lang w:val="en-US" w:eastAsia="zh-CN"/>
        </w:rPr>
        <w:t>十五、耗材更换明细、数量与频次（包括但不限于）：</w:t>
      </w:r>
    </w:p>
    <w:tbl>
      <w:tblPr>
        <w:tblStyle w:val="3"/>
        <w:tblW w:w="0" w:type="auto"/>
        <w:tblInd w:w="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2"/>
        <w:gridCol w:w="2430"/>
        <w:gridCol w:w="1783"/>
        <w:gridCol w:w="2417"/>
      </w:tblGrid>
      <w:tr w14:paraId="74B5E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2" w:type="dxa"/>
            <w:noWrap w:val="0"/>
            <w:vAlign w:val="center"/>
          </w:tcPr>
          <w:p w14:paraId="5939F7F8">
            <w:pPr>
              <w:numPr>
                <w:ilvl w:val="0"/>
                <w:numId w:val="0"/>
              </w:numPr>
              <w:spacing w:line="360" w:lineRule="auto"/>
              <w:ind w:leftChars="200" w:right="-22" w:rightChars="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 名称</w:t>
            </w:r>
          </w:p>
        </w:tc>
        <w:tc>
          <w:tcPr>
            <w:tcW w:w="2430" w:type="dxa"/>
            <w:noWrap w:val="0"/>
            <w:vAlign w:val="center"/>
          </w:tcPr>
          <w:p w14:paraId="716FE19E">
            <w:pPr>
              <w:numPr>
                <w:ilvl w:val="0"/>
                <w:numId w:val="0"/>
              </w:numPr>
              <w:spacing w:line="360" w:lineRule="auto"/>
              <w:ind w:leftChars="0"/>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规格型号</w:t>
            </w:r>
          </w:p>
        </w:tc>
        <w:tc>
          <w:tcPr>
            <w:tcW w:w="1783" w:type="dxa"/>
            <w:noWrap w:val="0"/>
            <w:vAlign w:val="center"/>
          </w:tcPr>
          <w:p w14:paraId="0638278E">
            <w:pPr>
              <w:numPr>
                <w:ilvl w:val="0"/>
                <w:numId w:val="0"/>
              </w:numPr>
              <w:spacing w:line="360" w:lineRule="auto"/>
              <w:ind w:leftChars="0"/>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数量</w:t>
            </w:r>
          </w:p>
        </w:tc>
        <w:tc>
          <w:tcPr>
            <w:tcW w:w="2417" w:type="dxa"/>
            <w:noWrap w:val="0"/>
            <w:vAlign w:val="center"/>
          </w:tcPr>
          <w:p w14:paraId="7B96E168">
            <w:pPr>
              <w:numPr>
                <w:ilvl w:val="0"/>
                <w:numId w:val="0"/>
              </w:numPr>
              <w:spacing w:line="360" w:lineRule="auto"/>
              <w:ind w:leftChars="0"/>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更换频次</w:t>
            </w:r>
          </w:p>
        </w:tc>
      </w:tr>
      <w:tr w14:paraId="610BB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2" w:type="dxa"/>
            <w:vMerge w:val="restart"/>
            <w:noWrap w:val="0"/>
            <w:vAlign w:val="center"/>
          </w:tcPr>
          <w:p w14:paraId="10540BFA">
            <w:pPr>
              <w:numPr>
                <w:ilvl w:val="0"/>
                <w:numId w:val="0"/>
              </w:numPr>
              <w:spacing w:line="360" w:lineRule="auto"/>
              <w:ind w:leftChars="0"/>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初效过滤器（板式）</w:t>
            </w:r>
          </w:p>
          <w:p w14:paraId="3C53D864">
            <w:pPr>
              <w:numPr>
                <w:ilvl w:val="0"/>
                <w:numId w:val="0"/>
              </w:numPr>
              <w:spacing w:line="360" w:lineRule="auto"/>
              <w:ind w:leftChars="0"/>
              <w:jc w:val="center"/>
              <w:rPr>
                <w:rFonts w:hint="eastAsia" w:ascii="仿宋" w:hAnsi="仿宋" w:eastAsia="仿宋" w:cs="仿宋"/>
                <w:color w:val="000000"/>
                <w:sz w:val="24"/>
                <w:szCs w:val="24"/>
                <w:lang w:val="en-US" w:eastAsia="zh-CN"/>
              </w:rPr>
            </w:pPr>
          </w:p>
        </w:tc>
        <w:tc>
          <w:tcPr>
            <w:tcW w:w="2430" w:type="dxa"/>
            <w:noWrap w:val="0"/>
            <w:vAlign w:val="center"/>
          </w:tcPr>
          <w:p w14:paraId="07AB6852">
            <w:pPr>
              <w:numPr>
                <w:ilvl w:val="0"/>
                <w:numId w:val="0"/>
              </w:numPr>
              <w:spacing w:line="360" w:lineRule="auto"/>
              <w:ind w:leftChars="0"/>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490*592*46</w:t>
            </w:r>
          </w:p>
        </w:tc>
        <w:tc>
          <w:tcPr>
            <w:tcW w:w="1783" w:type="dxa"/>
            <w:noWrap w:val="0"/>
            <w:vAlign w:val="center"/>
          </w:tcPr>
          <w:p w14:paraId="6BD571AD">
            <w:pPr>
              <w:numPr>
                <w:ilvl w:val="0"/>
                <w:numId w:val="0"/>
              </w:numPr>
              <w:spacing w:line="360" w:lineRule="auto"/>
              <w:ind w:leftChars="0"/>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174</w:t>
            </w:r>
          </w:p>
        </w:tc>
        <w:tc>
          <w:tcPr>
            <w:tcW w:w="2417" w:type="dxa"/>
            <w:vMerge w:val="restart"/>
            <w:noWrap w:val="0"/>
            <w:vAlign w:val="center"/>
          </w:tcPr>
          <w:p w14:paraId="7715EFBC">
            <w:pPr>
              <w:numPr>
                <w:ilvl w:val="0"/>
                <w:numId w:val="0"/>
              </w:numPr>
              <w:spacing w:line="360" w:lineRule="auto"/>
              <w:ind w:leftChars="0"/>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2个月至少更换1次</w:t>
            </w:r>
          </w:p>
        </w:tc>
      </w:tr>
      <w:tr w14:paraId="6D40F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2" w:type="dxa"/>
            <w:vMerge w:val="continue"/>
            <w:noWrap w:val="0"/>
            <w:vAlign w:val="center"/>
          </w:tcPr>
          <w:p w14:paraId="2F3BD196">
            <w:pPr>
              <w:numPr>
                <w:ilvl w:val="0"/>
                <w:numId w:val="0"/>
              </w:numPr>
              <w:spacing w:line="360" w:lineRule="auto"/>
              <w:ind w:leftChars="0"/>
              <w:jc w:val="center"/>
              <w:rPr>
                <w:rFonts w:hint="eastAsia" w:ascii="仿宋" w:hAnsi="仿宋" w:eastAsia="仿宋" w:cs="仿宋"/>
                <w:color w:val="000000"/>
                <w:sz w:val="24"/>
                <w:szCs w:val="24"/>
                <w:lang w:val="en-US" w:eastAsia="zh-CN"/>
              </w:rPr>
            </w:pPr>
          </w:p>
        </w:tc>
        <w:tc>
          <w:tcPr>
            <w:tcW w:w="2430" w:type="dxa"/>
            <w:noWrap w:val="0"/>
            <w:vAlign w:val="center"/>
          </w:tcPr>
          <w:p w14:paraId="69A34B00">
            <w:pPr>
              <w:numPr>
                <w:ilvl w:val="0"/>
                <w:numId w:val="0"/>
              </w:numPr>
              <w:spacing w:line="360" w:lineRule="auto"/>
              <w:ind w:leftChars="0"/>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287*493*46</w:t>
            </w:r>
          </w:p>
        </w:tc>
        <w:tc>
          <w:tcPr>
            <w:tcW w:w="1783" w:type="dxa"/>
            <w:noWrap w:val="0"/>
            <w:vAlign w:val="center"/>
          </w:tcPr>
          <w:p w14:paraId="22AF5431">
            <w:pPr>
              <w:numPr>
                <w:ilvl w:val="0"/>
                <w:numId w:val="0"/>
              </w:numPr>
              <w:spacing w:line="360" w:lineRule="auto"/>
              <w:ind w:leftChars="0"/>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6</w:t>
            </w:r>
          </w:p>
        </w:tc>
        <w:tc>
          <w:tcPr>
            <w:tcW w:w="2417" w:type="dxa"/>
            <w:vMerge w:val="continue"/>
            <w:noWrap w:val="0"/>
            <w:vAlign w:val="center"/>
          </w:tcPr>
          <w:p w14:paraId="250D8BD1">
            <w:pPr>
              <w:numPr>
                <w:ilvl w:val="0"/>
                <w:numId w:val="0"/>
              </w:numPr>
              <w:spacing w:line="360" w:lineRule="auto"/>
              <w:ind w:leftChars="0"/>
              <w:jc w:val="center"/>
              <w:rPr>
                <w:rFonts w:hint="eastAsia" w:ascii="仿宋" w:hAnsi="仿宋" w:eastAsia="仿宋" w:cs="仿宋"/>
                <w:color w:val="000000"/>
                <w:sz w:val="24"/>
                <w:szCs w:val="24"/>
                <w:lang w:val="en-US" w:eastAsia="zh-CN"/>
              </w:rPr>
            </w:pPr>
          </w:p>
        </w:tc>
      </w:tr>
      <w:tr w14:paraId="1ACB2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2" w:type="dxa"/>
            <w:vMerge w:val="continue"/>
            <w:noWrap w:val="0"/>
            <w:vAlign w:val="center"/>
          </w:tcPr>
          <w:p w14:paraId="244485D5">
            <w:pPr>
              <w:numPr>
                <w:ilvl w:val="0"/>
                <w:numId w:val="0"/>
              </w:numPr>
              <w:spacing w:line="360" w:lineRule="auto"/>
              <w:ind w:leftChars="0"/>
              <w:jc w:val="center"/>
              <w:rPr>
                <w:rFonts w:hint="eastAsia" w:ascii="仿宋" w:hAnsi="仿宋" w:eastAsia="仿宋" w:cs="仿宋"/>
                <w:color w:val="000000"/>
                <w:sz w:val="24"/>
                <w:szCs w:val="24"/>
                <w:lang w:val="en-US" w:eastAsia="zh-CN"/>
              </w:rPr>
            </w:pPr>
          </w:p>
        </w:tc>
        <w:tc>
          <w:tcPr>
            <w:tcW w:w="2430" w:type="dxa"/>
            <w:noWrap w:val="0"/>
            <w:vAlign w:val="center"/>
          </w:tcPr>
          <w:p w14:paraId="37CC5741">
            <w:pPr>
              <w:numPr>
                <w:ilvl w:val="0"/>
                <w:numId w:val="0"/>
              </w:numPr>
              <w:spacing w:line="360" w:lineRule="auto"/>
              <w:ind w:leftChars="0"/>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287*592*46</w:t>
            </w:r>
          </w:p>
        </w:tc>
        <w:tc>
          <w:tcPr>
            <w:tcW w:w="1783" w:type="dxa"/>
            <w:noWrap w:val="0"/>
            <w:vAlign w:val="center"/>
          </w:tcPr>
          <w:p w14:paraId="3C483256">
            <w:pPr>
              <w:numPr>
                <w:ilvl w:val="0"/>
                <w:numId w:val="0"/>
              </w:numPr>
              <w:spacing w:line="360" w:lineRule="auto"/>
              <w:ind w:leftChars="0"/>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228</w:t>
            </w:r>
          </w:p>
        </w:tc>
        <w:tc>
          <w:tcPr>
            <w:tcW w:w="2417" w:type="dxa"/>
            <w:vMerge w:val="continue"/>
            <w:noWrap w:val="0"/>
            <w:vAlign w:val="center"/>
          </w:tcPr>
          <w:p w14:paraId="7D1B0C34">
            <w:pPr>
              <w:numPr>
                <w:ilvl w:val="0"/>
                <w:numId w:val="0"/>
              </w:numPr>
              <w:spacing w:line="360" w:lineRule="auto"/>
              <w:ind w:leftChars="0"/>
              <w:jc w:val="center"/>
              <w:rPr>
                <w:rFonts w:hint="eastAsia" w:ascii="仿宋" w:hAnsi="仿宋" w:eastAsia="仿宋" w:cs="仿宋"/>
                <w:color w:val="000000"/>
                <w:sz w:val="24"/>
                <w:szCs w:val="24"/>
                <w:lang w:val="en-US" w:eastAsia="zh-CN"/>
              </w:rPr>
            </w:pPr>
          </w:p>
        </w:tc>
      </w:tr>
      <w:tr w14:paraId="18783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2" w:type="dxa"/>
            <w:vMerge w:val="continue"/>
            <w:noWrap w:val="0"/>
            <w:vAlign w:val="center"/>
          </w:tcPr>
          <w:p w14:paraId="5927F3A5">
            <w:pPr>
              <w:numPr>
                <w:ilvl w:val="0"/>
                <w:numId w:val="0"/>
              </w:numPr>
              <w:spacing w:line="360" w:lineRule="auto"/>
              <w:ind w:leftChars="0"/>
              <w:jc w:val="center"/>
              <w:rPr>
                <w:rFonts w:hint="eastAsia" w:ascii="仿宋" w:hAnsi="仿宋" w:eastAsia="仿宋" w:cs="仿宋"/>
                <w:color w:val="000000"/>
                <w:sz w:val="24"/>
                <w:szCs w:val="24"/>
                <w:lang w:val="en-US" w:eastAsia="zh-CN"/>
              </w:rPr>
            </w:pPr>
          </w:p>
        </w:tc>
        <w:tc>
          <w:tcPr>
            <w:tcW w:w="2430" w:type="dxa"/>
            <w:noWrap w:val="0"/>
            <w:vAlign w:val="center"/>
          </w:tcPr>
          <w:p w14:paraId="0530504B">
            <w:pPr>
              <w:numPr>
                <w:ilvl w:val="0"/>
                <w:numId w:val="0"/>
              </w:numPr>
              <w:spacing w:line="360" w:lineRule="auto"/>
              <w:ind w:leftChars="0"/>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592*592*46</w:t>
            </w:r>
          </w:p>
        </w:tc>
        <w:tc>
          <w:tcPr>
            <w:tcW w:w="1783" w:type="dxa"/>
            <w:noWrap w:val="0"/>
            <w:vAlign w:val="center"/>
          </w:tcPr>
          <w:p w14:paraId="3B095928">
            <w:pPr>
              <w:numPr>
                <w:ilvl w:val="0"/>
                <w:numId w:val="0"/>
              </w:numPr>
              <w:spacing w:line="360" w:lineRule="auto"/>
              <w:ind w:leftChars="0"/>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96</w:t>
            </w:r>
          </w:p>
        </w:tc>
        <w:tc>
          <w:tcPr>
            <w:tcW w:w="2417" w:type="dxa"/>
            <w:vMerge w:val="continue"/>
            <w:noWrap w:val="0"/>
            <w:vAlign w:val="center"/>
          </w:tcPr>
          <w:p w14:paraId="3DB347F5">
            <w:pPr>
              <w:numPr>
                <w:ilvl w:val="0"/>
                <w:numId w:val="0"/>
              </w:numPr>
              <w:spacing w:line="360" w:lineRule="auto"/>
              <w:ind w:leftChars="0"/>
              <w:jc w:val="center"/>
              <w:rPr>
                <w:rFonts w:hint="eastAsia" w:ascii="仿宋" w:hAnsi="仿宋" w:eastAsia="仿宋" w:cs="仿宋"/>
                <w:color w:val="000000"/>
                <w:sz w:val="24"/>
                <w:szCs w:val="24"/>
                <w:lang w:val="en-US" w:eastAsia="zh-CN"/>
              </w:rPr>
            </w:pPr>
          </w:p>
        </w:tc>
      </w:tr>
      <w:tr w14:paraId="2A54E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2" w:type="dxa"/>
            <w:vMerge w:val="continue"/>
            <w:noWrap w:val="0"/>
            <w:vAlign w:val="center"/>
          </w:tcPr>
          <w:p w14:paraId="2797B703">
            <w:pPr>
              <w:numPr>
                <w:ilvl w:val="0"/>
                <w:numId w:val="0"/>
              </w:numPr>
              <w:spacing w:line="360" w:lineRule="auto"/>
              <w:ind w:leftChars="0"/>
              <w:jc w:val="center"/>
              <w:rPr>
                <w:rFonts w:hint="eastAsia" w:ascii="仿宋" w:hAnsi="仿宋" w:eastAsia="仿宋" w:cs="仿宋"/>
                <w:color w:val="000000"/>
                <w:sz w:val="24"/>
                <w:szCs w:val="24"/>
                <w:lang w:val="en-US" w:eastAsia="zh-CN"/>
              </w:rPr>
            </w:pPr>
          </w:p>
        </w:tc>
        <w:tc>
          <w:tcPr>
            <w:tcW w:w="2430" w:type="dxa"/>
            <w:noWrap w:val="0"/>
            <w:vAlign w:val="center"/>
          </w:tcPr>
          <w:p w14:paraId="6FA96D98">
            <w:pPr>
              <w:numPr>
                <w:ilvl w:val="0"/>
                <w:numId w:val="0"/>
              </w:numPr>
              <w:spacing w:line="360" w:lineRule="auto"/>
              <w:ind w:leftChars="0"/>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572*829*21</w:t>
            </w:r>
          </w:p>
        </w:tc>
        <w:tc>
          <w:tcPr>
            <w:tcW w:w="1783" w:type="dxa"/>
            <w:noWrap w:val="0"/>
            <w:vAlign w:val="center"/>
          </w:tcPr>
          <w:p w14:paraId="4E780F70">
            <w:pPr>
              <w:numPr>
                <w:ilvl w:val="0"/>
                <w:numId w:val="0"/>
              </w:numPr>
              <w:spacing w:line="360" w:lineRule="auto"/>
              <w:ind w:leftChars="0"/>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36</w:t>
            </w:r>
          </w:p>
        </w:tc>
        <w:tc>
          <w:tcPr>
            <w:tcW w:w="2417" w:type="dxa"/>
            <w:vMerge w:val="continue"/>
            <w:noWrap w:val="0"/>
            <w:vAlign w:val="center"/>
          </w:tcPr>
          <w:p w14:paraId="211D0882">
            <w:pPr>
              <w:numPr>
                <w:ilvl w:val="0"/>
                <w:numId w:val="0"/>
              </w:numPr>
              <w:spacing w:line="360" w:lineRule="auto"/>
              <w:ind w:leftChars="0"/>
              <w:jc w:val="center"/>
              <w:rPr>
                <w:rFonts w:hint="eastAsia" w:ascii="仿宋" w:hAnsi="仿宋" w:eastAsia="仿宋" w:cs="仿宋"/>
                <w:color w:val="000000"/>
                <w:sz w:val="24"/>
                <w:szCs w:val="24"/>
                <w:lang w:val="en-US" w:eastAsia="zh-CN"/>
              </w:rPr>
            </w:pPr>
          </w:p>
        </w:tc>
      </w:tr>
      <w:tr w14:paraId="42B8B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2" w:type="dxa"/>
            <w:vMerge w:val="continue"/>
            <w:noWrap w:val="0"/>
            <w:vAlign w:val="center"/>
          </w:tcPr>
          <w:p w14:paraId="03775242">
            <w:pPr>
              <w:numPr>
                <w:ilvl w:val="0"/>
                <w:numId w:val="0"/>
              </w:numPr>
              <w:spacing w:line="360" w:lineRule="auto"/>
              <w:ind w:leftChars="0"/>
              <w:jc w:val="center"/>
              <w:rPr>
                <w:rFonts w:hint="eastAsia" w:ascii="仿宋" w:hAnsi="仿宋" w:eastAsia="仿宋" w:cs="仿宋"/>
                <w:color w:val="000000"/>
                <w:sz w:val="24"/>
                <w:szCs w:val="24"/>
                <w:lang w:val="en-US" w:eastAsia="zh-CN"/>
              </w:rPr>
            </w:pPr>
          </w:p>
        </w:tc>
        <w:tc>
          <w:tcPr>
            <w:tcW w:w="2430" w:type="dxa"/>
            <w:noWrap w:val="0"/>
            <w:vAlign w:val="center"/>
          </w:tcPr>
          <w:p w14:paraId="6D834A73">
            <w:pPr>
              <w:numPr>
                <w:ilvl w:val="0"/>
                <w:numId w:val="0"/>
              </w:numPr>
              <w:spacing w:line="360" w:lineRule="auto"/>
              <w:ind w:leftChars="0"/>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572*854*21</w:t>
            </w:r>
          </w:p>
        </w:tc>
        <w:tc>
          <w:tcPr>
            <w:tcW w:w="1783" w:type="dxa"/>
            <w:noWrap w:val="0"/>
            <w:vAlign w:val="center"/>
          </w:tcPr>
          <w:p w14:paraId="2A5C3710">
            <w:pPr>
              <w:numPr>
                <w:ilvl w:val="0"/>
                <w:numId w:val="0"/>
              </w:numPr>
              <w:spacing w:line="360" w:lineRule="auto"/>
              <w:ind w:leftChars="0"/>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36</w:t>
            </w:r>
          </w:p>
        </w:tc>
        <w:tc>
          <w:tcPr>
            <w:tcW w:w="2417" w:type="dxa"/>
            <w:vMerge w:val="continue"/>
            <w:noWrap w:val="0"/>
            <w:vAlign w:val="center"/>
          </w:tcPr>
          <w:p w14:paraId="41A84AE3">
            <w:pPr>
              <w:numPr>
                <w:ilvl w:val="0"/>
                <w:numId w:val="0"/>
              </w:numPr>
              <w:spacing w:line="360" w:lineRule="auto"/>
              <w:ind w:leftChars="0"/>
              <w:jc w:val="center"/>
              <w:rPr>
                <w:rFonts w:hint="eastAsia" w:ascii="仿宋" w:hAnsi="仿宋" w:eastAsia="仿宋" w:cs="仿宋"/>
                <w:color w:val="000000"/>
                <w:sz w:val="24"/>
                <w:szCs w:val="24"/>
                <w:lang w:val="en-US" w:eastAsia="zh-CN"/>
              </w:rPr>
            </w:pPr>
          </w:p>
        </w:tc>
      </w:tr>
      <w:tr w14:paraId="43140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2" w:type="dxa"/>
            <w:vMerge w:val="restart"/>
            <w:noWrap w:val="0"/>
            <w:vAlign w:val="center"/>
          </w:tcPr>
          <w:p w14:paraId="19B04F7C">
            <w:pPr>
              <w:numPr>
                <w:ilvl w:val="0"/>
                <w:numId w:val="0"/>
              </w:numPr>
              <w:spacing w:line="360" w:lineRule="auto"/>
              <w:ind w:leftChars="0"/>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中效过滤器（袋式）</w:t>
            </w:r>
          </w:p>
          <w:p w14:paraId="1F4ACF6A">
            <w:pPr>
              <w:numPr>
                <w:ilvl w:val="0"/>
                <w:numId w:val="0"/>
              </w:numPr>
              <w:spacing w:line="360" w:lineRule="auto"/>
              <w:ind w:leftChars="0"/>
              <w:jc w:val="center"/>
              <w:rPr>
                <w:rFonts w:hint="eastAsia" w:ascii="仿宋" w:hAnsi="仿宋" w:eastAsia="仿宋" w:cs="仿宋"/>
                <w:color w:val="000000"/>
                <w:sz w:val="24"/>
                <w:szCs w:val="24"/>
                <w:lang w:val="en-US" w:eastAsia="zh-CN"/>
              </w:rPr>
            </w:pPr>
          </w:p>
        </w:tc>
        <w:tc>
          <w:tcPr>
            <w:tcW w:w="2430" w:type="dxa"/>
            <w:noWrap w:val="0"/>
            <w:vAlign w:val="center"/>
          </w:tcPr>
          <w:p w14:paraId="46B3DA7D">
            <w:pPr>
              <w:numPr>
                <w:ilvl w:val="0"/>
                <w:numId w:val="0"/>
              </w:numPr>
              <w:spacing w:line="360" w:lineRule="auto"/>
              <w:ind w:leftChars="0"/>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490*592*381*5P</w:t>
            </w:r>
          </w:p>
        </w:tc>
        <w:tc>
          <w:tcPr>
            <w:tcW w:w="1783" w:type="dxa"/>
            <w:noWrap w:val="0"/>
            <w:vAlign w:val="center"/>
          </w:tcPr>
          <w:p w14:paraId="0071D8BD">
            <w:pPr>
              <w:numPr>
                <w:ilvl w:val="0"/>
                <w:numId w:val="0"/>
              </w:numPr>
              <w:spacing w:line="360" w:lineRule="auto"/>
              <w:ind w:leftChars="0"/>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76</w:t>
            </w:r>
          </w:p>
        </w:tc>
        <w:tc>
          <w:tcPr>
            <w:tcW w:w="2417" w:type="dxa"/>
            <w:vMerge w:val="restart"/>
            <w:noWrap w:val="0"/>
            <w:vAlign w:val="center"/>
          </w:tcPr>
          <w:p w14:paraId="3390CC51">
            <w:pPr>
              <w:numPr>
                <w:ilvl w:val="0"/>
                <w:numId w:val="0"/>
              </w:numPr>
              <w:spacing w:line="360" w:lineRule="auto"/>
              <w:ind w:leftChars="0"/>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3个月至少更换1次</w:t>
            </w:r>
          </w:p>
        </w:tc>
      </w:tr>
      <w:tr w14:paraId="0B3BD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2" w:type="dxa"/>
            <w:vMerge w:val="continue"/>
            <w:noWrap w:val="0"/>
            <w:vAlign w:val="center"/>
          </w:tcPr>
          <w:p w14:paraId="3A4DA75E">
            <w:pPr>
              <w:numPr>
                <w:ilvl w:val="0"/>
                <w:numId w:val="0"/>
              </w:numPr>
              <w:spacing w:line="360" w:lineRule="auto"/>
              <w:ind w:leftChars="0"/>
              <w:jc w:val="center"/>
              <w:rPr>
                <w:rFonts w:hint="eastAsia" w:ascii="仿宋" w:hAnsi="仿宋" w:eastAsia="仿宋" w:cs="仿宋"/>
                <w:color w:val="000000"/>
                <w:sz w:val="24"/>
                <w:szCs w:val="24"/>
                <w:lang w:val="en-US" w:eastAsia="zh-CN"/>
              </w:rPr>
            </w:pPr>
          </w:p>
        </w:tc>
        <w:tc>
          <w:tcPr>
            <w:tcW w:w="2430" w:type="dxa"/>
            <w:noWrap w:val="0"/>
            <w:vAlign w:val="center"/>
          </w:tcPr>
          <w:p w14:paraId="71A53D24">
            <w:pPr>
              <w:numPr>
                <w:ilvl w:val="0"/>
                <w:numId w:val="0"/>
              </w:numPr>
              <w:spacing w:line="360" w:lineRule="auto"/>
              <w:ind w:leftChars="0"/>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490*592*381*6P</w:t>
            </w:r>
          </w:p>
        </w:tc>
        <w:tc>
          <w:tcPr>
            <w:tcW w:w="1783" w:type="dxa"/>
            <w:noWrap w:val="0"/>
            <w:vAlign w:val="center"/>
          </w:tcPr>
          <w:p w14:paraId="5A658C46">
            <w:pPr>
              <w:numPr>
                <w:ilvl w:val="0"/>
                <w:numId w:val="0"/>
              </w:numPr>
              <w:spacing w:line="360" w:lineRule="auto"/>
              <w:ind w:leftChars="0"/>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64</w:t>
            </w:r>
          </w:p>
        </w:tc>
        <w:tc>
          <w:tcPr>
            <w:tcW w:w="2417" w:type="dxa"/>
            <w:vMerge w:val="continue"/>
            <w:noWrap w:val="0"/>
            <w:vAlign w:val="center"/>
          </w:tcPr>
          <w:p w14:paraId="2E40AEFC">
            <w:pPr>
              <w:numPr>
                <w:ilvl w:val="0"/>
                <w:numId w:val="0"/>
              </w:numPr>
              <w:spacing w:line="360" w:lineRule="auto"/>
              <w:ind w:leftChars="0"/>
              <w:jc w:val="center"/>
              <w:rPr>
                <w:rFonts w:hint="eastAsia" w:ascii="仿宋" w:hAnsi="仿宋" w:eastAsia="仿宋" w:cs="仿宋"/>
                <w:color w:val="000000"/>
                <w:sz w:val="24"/>
                <w:szCs w:val="24"/>
                <w:lang w:val="en-US" w:eastAsia="zh-CN"/>
              </w:rPr>
            </w:pPr>
          </w:p>
        </w:tc>
      </w:tr>
      <w:tr w14:paraId="6E066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2" w:type="dxa"/>
            <w:vMerge w:val="continue"/>
            <w:noWrap w:val="0"/>
            <w:vAlign w:val="center"/>
          </w:tcPr>
          <w:p w14:paraId="13960F10">
            <w:pPr>
              <w:numPr>
                <w:ilvl w:val="0"/>
                <w:numId w:val="0"/>
              </w:numPr>
              <w:spacing w:line="360" w:lineRule="auto"/>
              <w:ind w:leftChars="0"/>
              <w:jc w:val="center"/>
              <w:rPr>
                <w:rFonts w:hint="eastAsia" w:ascii="仿宋" w:hAnsi="仿宋" w:eastAsia="仿宋" w:cs="仿宋"/>
                <w:color w:val="000000"/>
                <w:sz w:val="24"/>
                <w:szCs w:val="24"/>
                <w:lang w:val="en-US" w:eastAsia="zh-CN"/>
              </w:rPr>
            </w:pPr>
          </w:p>
        </w:tc>
        <w:tc>
          <w:tcPr>
            <w:tcW w:w="2430" w:type="dxa"/>
            <w:noWrap w:val="0"/>
            <w:vAlign w:val="center"/>
          </w:tcPr>
          <w:p w14:paraId="4B211118">
            <w:pPr>
              <w:numPr>
                <w:ilvl w:val="0"/>
                <w:numId w:val="0"/>
              </w:numPr>
              <w:spacing w:line="360" w:lineRule="auto"/>
              <w:ind w:leftChars="0"/>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287*592*381*3P</w:t>
            </w:r>
          </w:p>
        </w:tc>
        <w:tc>
          <w:tcPr>
            <w:tcW w:w="1783" w:type="dxa"/>
            <w:noWrap w:val="0"/>
            <w:vAlign w:val="center"/>
          </w:tcPr>
          <w:p w14:paraId="222ACECF">
            <w:pPr>
              <w:numPr>
                <w:ilvl w:val="0"/>
                <w:numId w:val="0"/>
              </w:numPr>
              <w:spacing w:line="360" w:lineRule="auto"/>
              <w:ind w:leftChars="0"/>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128</w:t>
            </w:r>
          </w:p>
        </w:tc>
        <w:tc>
          <w:tcPr>
            <w:tcW w:w="2417" w:type="dxa"/>
            <w:vMerge w:val="continue"/>
            <w:noWrap w:val="0"/>
            <w:vAlign w:val="center"/>
          </w:tcPr>
          <w:p w14:paraId="3BA88361">
            <w:pPr>
              <w:numPr>
                <w:ilvl w:val="0"/>
                <w:numId w:val="0"/>
              </w:numPr>
              <w:spacing w:line="360" w:lineRule="auto"/>
              <w:ind w:leftChars="0"/>
              <w:jc w:val="center"/>
              <w:rPr>
                <w:rFonts w:hint="eastAsia" w:ascii="仿宋" w:hAnsi="仿宋" w:eastAsia="仿宋" w:cs="仿宋"/>
                <w:color w:val="000000"/>
                <w:sz w:val="24"/>
                <w:szCs w:val="24"/>
                <w:lang w:val="en-US" w:eastAsia="zh-CN"/>
              </w:rPr>
            </w:pPr>
          </w:p>
        </w:tc>
      </w:tr>
      <w:tr w14:paraId="05469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2" w:type="dxa"/>
            <w:vMerge w:val="continue"/>
            <w:noWrap w:val="0"/>
            <w:vAlign w:val="center"/>
          </w:tcPr>
          <w:p w14:paraId="3BA2A6A5">
            <w:pPr>
              <w:numPr>
                <w:ilvl w:val="0"/>
                <w:numId w:val="0"/>
              </w:numPr>
              <w:spacing w:line="360" w:lineRule="auto"/>
              <w:ind w:leftChars="0"/>
              <w:jc w:val="center"/>
              <w:rPr>
                <w:rFonts w:hint="eastAsia" w:ascii="仿宋" w:hAnsi="仿宋" w:eastAsia="仿宋" w:cs="仿宋"/>
                <w:color w:val="000000"/>
                <w:sz w:val="24"/>
                <w:szCs w:val="24"/>
                <w:lang w:val="en-US" w:eastAsia="zh-CN"/>
              </w:rPr>
            </w:pPr>
          </w:p>
        </w:tc>
        <w:tc>
          <w:tcPr>
            <w:tcW w:w="2430" w:type="dxa"/>
            <w:noWrap w:val="0"/>
            <w:vAlign w:val="center"/>
          </w:tcPr>
          <w:p w14:paraId="55EF4145">
            <w:pPr>
              <w:numPr>
                <w:ilvl w:val="0"/>
                <w:numId w:val="0"/>
              </w:numPr>
              <w:spacing w:line="360" w:lineRule="auto"/>
              <w:ind w:leftChars="0"/>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287*493*381*3P</w:t>
            </w:r>
          </w:p>
        </w:tc>
        <w:tc>
          <w:tcPr>
            <w:tcW w:w="1783" w:type="dxa"/>
            <w:noWrap w:val="0"/>
            <w:vAlign w:val="center"/>
          </w:tcPr>
          <w:p w14:paraId="2F1C5BCB">
            <w:pPr>
              <w:numPr>
                <w:ilvl w:val="0"/>
                <w:numId w:val="0"/>
              </w:numPr>
              <w:spacing w:line="360" w:lineRule="auto"/>
              <w:ind w:leftChars="0"/>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4</w:t>
            </w:r>
          </w:p>
        </w:tc>
        <w:tc>
          <w:tcPr>
            <w:tcW w:w="2417" w:type="dxa"/>
            <w:vMerge w:val="continue"/>
            <w:noWrap w:val="0"/>
            <w:vAlign w:val="center"/>
          </w:tcPr>
          <w:p w14:paraId="25CFF6AC">
            <w:pPr>
              <w:numPr>
                <w:ilvl w:val="0"/>
                <w:numId w:val="0"/>
              </w:numPr>
              <w:spacing w:line="360" w:lineRule="auto"/>
              <w:ind w:leftChars="0"/>
              <w:jc w:val="center"/>
              <w:rPr>
                <w:rFonts w:hint="eastAsia" w:ascii="仿宋" w:hAnsi="仿宋" w:eastAsia="仿宋" w:cs="仿宋"/>
                <w:color w:val="000000"/>
                <w:sz w:val="24"/>
                <w:szCs w:val="24"/>
                <w:lang w:val="en-US" w:eastAsia="zh-CN"/>
              </w:rPr>
            </w:pPr>
          </w:p>
        </w:tc>
      </w:tr>
      <w:tr w14:paraId="13F76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2" w:type="dxa"/>
            <w:vMerge w:val="continue"/>
            <w:noWrap w:val="0"/>
            <w:vAlign w:val="center"/>
          </w:tcPr>
          <w:p w14:paraId="2C6E4021">
            <w:pPr>
              <w:numPr>
                <w:ilvl w:val="0"/>
                <w:numId w:val="0"/>
              </w:numPr>
              <w:spacing w:line="360" w:lineRule="auto"/>
              <w:ind w:leftChars="0"/>
              <w:jc w:val="center"/>
              <w:rPr>
                <w:rFonts w:hint="eastAsia" w:ascii="仿宋" w:hAnsi="仿宋" w:eastAsia="仿宋" w:cs="仿宋"/>
                <w:color w:val="000000"/>
                <w:sz w:val="24"/>
                <w:szCs w:val="24"/>
                <w:lang w:val="en-US" w:eastAsia="zh-CN"/>
              </w:rPr>
            </w:pPr>
          </w:p>
        </w:tc>
        <w:tc>
          <w:tcPr>
            <w:tcW w:w="2430" w:type="dxa"/>
            <w:noWrap w:val="0"/>
            <w:vAlign w:val="center"/>
          </w:tcPr>
          <w:p w14:paraId="3F85BB3C">
            <w:pPr>
              <w:numPr>
                <w:ilvl w:val="0"/>
                <w:numId w:val="0"/>
              </w:numPr>
              <w:spacing w:line="360" w:lineRule="auto"/>
              <w:ind w:leftChars="0"/>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287*592*381*4P</w:t>
            </w:r>
          </w:p>
        </w:tc>
        <w:tc>
          <w:tcPr>
            <w:tcW w:w="1783" w:type="dxa"/>
            <w:noWrap w:val="0"/>
            <w:vAlign w:val="center"/>
          </w:tcPr>
          <w:p w14:paraId="02D9C334">
            <w:pPr>
              <w:numPr>
                <w:ilvl w:val="0"/>
                <w:numId w:val="0"/>
              </w:numPr>
              <w:spacing w:line="360" w:lineRule="auto"/>
              <w:ind w:leftChars="0"/>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20</w:t>
            </w:r>
          </w:p>
        </w:tc>
        <w:tc>
          <w:tcPr>
            <w:tcW w:w="2417" w:type="dxa"/>
            <w:vMerge w:val="continue"/>
            <w:noWrap w:val="0"/>
            <w:vAlign w:val="center"/>
          </w:tcPr>
          <w:p w14:paraId="4E3F6038">
            <w:pPr>
              <w:numPr>
                <w:ilvl w:val="0"/>
                <w:numId w:val="0"/>
              </w:numPr>
              <w:spacing w:line="360" w:lineRule="auto"/>
              <w:ind w:leftChars="0"/>
              <w:jc w:val="center"/>
              <w:rPr>
                <w:rFonts w:hint="eastAsia" w:ascii="仿宋" w:hAnsi="仿宋" w:eastAsia="仿宋" w:cs="仿宋"/>
                <w:color w:val="000000"/>
                <w:sz w:val="24"/>
                <w:szCs w:val="24"/>
                <w:lang w:val="en-US" w:eastAsia="zh-CN"/>
              </w:rPr>
            </w:pPr>
          </w:p>
        </w:tc>
      </w:tr>
      <w:tr w14:paraId="0241A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2" w:type="dxa"/>
            <w:vMerge w:val="continue"/>
            <w:noWrap w:val="0"/>
            <w:vAlign w:val="center"/>
          </w:tcPr>
          <w:p w14:paraId="55BBB8BD">
            <w:pPr>
              <w:numPr>
                <w:ilvl w:val="0"/>
                <w:numId w:val="0"/>
              </w:numPr>
              <w:spacing w:line="360" w:lineRule="auto"/>
              <w:ind w:leftChars="0"/>
              <w:jc w:val="center"/>
              <w:rPr>
                <w:rFonts w:hint="eastAsia" w:ascii="仿宋" w:hAnsi="仿宋" w:eastAsia="仿宋" w:cs="仿宋"/>
                <w:color w:val="000000"/>
                <w:sz w:val="24"/>
                <w:szCs w:val="24"/>
                <w:lang w:val="en-US" w:eastAsia="zh-CN"/>
              </w:rPr>
            </w:pPr>
          </w:p>
        </w:tc>
        <w:tc>
          <w:tcPr>
            <w:tcW w:w="2430" w:type="dxa"/>
            <w:noWrap w:val="0"/>
            <w:vAlign w:val="center"/>
          </w:tcPr>
          <w:p w14:paraId="2BD505BB">
            <w:pPr>
              <w:numPr>
                <w:ilvl w:val="0"/>
                <w:numId w:val="0"/>
              </w:numPr>
              <w:spacing w:line="360" w:lineRule="auto"/>
              <w:ind w:leftChars="0"/>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287*592*381*6P</w:t>
            </w:r>
          </w:p>
        </w:tc>
        <w:tc>
          <w:tcPr>
            <w:tcW w:w="1783" w:type="dxa"/>
            <w:noWrap w:val="0"/>
            <w:vAlign w:val="center"/>
          </w:tcPr>
          <w:p w14:paraId="4058737B">
            <w:pPr>
              <w:numPr>
                <w:ilvl w:val="0"/>
                <w:numId w:val="0"/>
              </w:numPr>
              <w:spacing w:line="360" w:lineRule="auto"/>
              <w:ind w:leftChars="0"/>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4</w:t>
            </w:r>
          </w:p>
        </w:tc>
        <w:tc>
          <w:tcPr>
            <w:tcW w:w="2417" w:type="dxa"/>
            <w:vMerge w:val="continue"/>
            <w:noWrap w:val="0"/>
            <w:vAlign w:val="center"/>
          </w:tcPr>
          <w:p w14:paraId="297F74C3">
            <w:pPr>
              <w:numPr>
                <w:ilvl w:val="0"/>
                <w:numId w:val="0"/>
              </w:numPr>
              <w:spacing w:line="360" w:lineRule="auto"/>
              <w:ind w:leftChars="0"/>
              <w:jc w:val="center"/>
              <w:rPr>
                <w:rFonts w:hint="eastAsia" w:ascii="仿宋" w:hAnsi="仿宋" w:eastAsia="仿宋" w:cs="仿宋"/>
                <w:color w:val="000000"/>
                <w:sz w:val="24"/>
                <w:szCs w:val="24"/>
                <w:lang w:val="en-US" w:eastAsia="zh-CN"/>
              </w:rPr>
            </w:pPr>
          </w:p>
        </w:tc>
      </w:tr>
      <w:tr w14:paraId="47275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2" w:type="dxa"/>
            <w:vMerge w:val="continue"/>
            <w:noWrap w:val="0"/>
            <w:vAlign w:val="center"/>
          </w:tcPr>
          <w:p w14:paraId="1CAAE6FB">
            <w:pPr>
              <w:numPr>
                <w:ilvl w:val="0"/>
                <w:numId w:val="0"/>
              </w:numPr>
              <w:spacing w:line="360" w:lineRule="auto"/>
              <w:ind w:leftChars="0"/>
              <w:jc w:val="center"/>
              <w:rPr>
                <w:rFonts w:hint="eastAsia" w:ascii="仿宋" w:hAnsi="仿宋" w:eastAsia="仿宋" w:cs="仿宋"/>
                <w:color w:val="000000"/>
                <w:sz w:val="24"/>
                <w:szCs w:val="24"/>
                <w:lang w:val="en-US" w:eastAsia="zh-CN"/>
              </w:rPr>
            </w:pPr>
          </w:p>
        </w:tc>
        <w:tc>
          <w:tcPr>
            <w:tcW w:w="2430" w:type="dxa"/>
            <w:noWrap w:val="0"/>
            <w:vAlign w:val="center"/>
          </w:tcPr>
          <w:p w14:paraId="3F25F1C0">
            <w:pPr>
              <w:numPr>
                <w:ilvl w:val="0"/>
                <w:numId w:val="0"/>
              </w:numPr>
              <w:spacing w:line="360" w:lineRule="auto"/>
              <w:ind w:leftChars="0"/>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592*592*381*6P</w:t>
            </w:r>
          </w:p>
        </w:tc>
        <w:tc>
          <w:tcPr>
            <w:tcW w:w="1783" w:type="dxa"/>
            <w:noWrap w:val="0"/>
            <w:vAlign w:val="center"/>
          </w:tcPr>
          <w:p w14:paraId="24C1557B">
            <w:pPr>
              <w:numPr>
                <w:ilvl w:val="0"/>
                <w:numId w:val="0"/>
              </w:numPr>
              <w:spacing w:line="360" w:lineRule="auto"/>
              <w:ind w:leftChars="0"/>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84</w:t>
            </w:r>
          </w:p>
        </w:tc>
        <w:tc>
          <w:tcPr>
            <w:tcW w:w="2417" w:type="dxa"/>
            <w:vMerge w:val="continue"/>
            <w:noWrap w:val="0"/>
            <w:vAlign w:val="center"/>
          </w:tcPr>
          <w:p w14:paraId="586B724F">
            <w:pPr>
              <w:numPr>
                <w:ilvl w:val="0"/>
                <w:numId w:val="0"/>
              </w:numPr>
              <w:spacing w:line="360" w:lineRule="auto"/>
              <w:ind w:leftChars="0"/>
              <w:jc w:val="center"/>
              <w:rPr>
                <w:rFonts w:hint="eastAsia" w:ascii="仿宋" w:hAnsi="仿宋" w:eastAsia="仿宋" w:cs="仿宋"/>
                <w:color w:val="000000"/>
                <w:sz w:val="24"/>
                <w:szCs w:val="24"/>
                <w:lang w:val="en-US" w:eastAsia="zh-CN"/>
              </w:rPr>
            </w:pPr>
          </w:p>
        </w:tc>
      </w:tr>
      <w:tr w14:paraId="1CE00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2" w:type="dxa"/>
            <w:vMerge w:val="continue"/>
            <w:noWrap w:val="0"/>
            <w:vAlign w:val="center"/>
          </w:tcPr>
          <w:p w14:paraId="7435E441">
            <w:pPr>
              <w:numPr>
                <w:ilvl w:val="0"/>
                <w:numId w:val="0"/>
              </w:numPr>
              <w:spacing w:line="360" w:lineRule="auto"/>
              <w:ind w:leftChars="0"/>
              <w:jc w:val="center"/>
              <w:rPr>
                <w:rFonts w:hint="eastAsia" w:ascii="仿宋" w:hAnsi="仿宋" w:eastAsia="仿宋" w:cs="仿宋"/>
                <w:color w:val="000000"/>
                <w:sz w:val="24"/>
                <w:szCs w:val="24"/>
                <w:lang w:val="en-US" w:eastAsia="zh-CN"/>
              </w:rPr>
            </w:pPr>
          </w:p>
        </w:tc>
        <w:tc>
          <w:tcPr>
            <w:tcW w:w="2430" w:type="dxa"/>
            <w:noWrap w:val="0"/>
            <w:vAlign w:val="center"/>
          </w:tcPr>
          <w:p w14:paraId="3461955B">
            <w:pPr>
              <w:numPr>
                <w:ilvl w:val="0"/>
                <w:numId w:val="0"/>
              </w:numPr>
              <w:spacing w:line="360" w:lineRule="auto"/>
              <w:ind w:leftChars="0"/>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592*592*381*8P</w:t>
            </w:r>
          </w:p>
        </w:tc>
        <w:tc>
          <w:tcPr>
            <w:tcW w:w="1783" w:type="dxa"/>
            <w:noWrap w:val="0"/>
            <w:vAlign w:val="center"/>
          </w:tcPr>
          <w:p w14:paraId="27765D12">
            <w:pPr>
              <w:numPr>
                <w:ilvl w:val="0"/>
                <w:numId w:val="0"/>
              </w:numPr>
              <w:spacing w:line="360" w:lineRule="auto"/>
              <w:ind w:leftChars="0"/>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4</w:t>
            </w:r>
          </w:p>
        </w:tc>
        <w:tc>
          <w:tcPr>
            <w:tcW w:w="2417" w:type="dxa"/>
            <w:vMerge w:val="continue"/>
            <w:noWrap w:val="0"/>
            <w:vAlign w:val="center"/>
          </w:tcPr>
          <w:p w14:paraId="6473711B">
            <w:pPr>
              <w:numPr>
                <w:ilvl w:val="0"/>
                <w:numId w:val="0"/>
              </w:numPr>
              <w:spacing w:line="360" w:lineRule="auto"/>
              <w:ind w:leftChars="0"/>
              <w:jc w:val="center"/>
              <w:rPr>
                <w:rFonts w:hint="eastAsia" w:ascii="仿宋" w:hAnsi="仿宋" w:eastAsia="仿宋" w:cs="仿宋"/>
                <w:color w:val="000000"/>
                <w:sz w:val="24"/>
                <w:szCs w:val="24"/>
                <w:lang w:val="en-US" w:eastAsia="zh-CN"/>
              </w:rPr>
            </w:pPr>
          </w:p>
        </w:tc>
      </w:tr>
      <w:tr w14:paraId="7AB79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2" w:type="dxa"/>
            <w:vMerge w:val="continue"/>
            <w:noWrap w:val="0"/>
            <w:vAlign w:val="center"/>
          </w:tcPr>
          <w:p w14:paraId="74080F61">
            <w:pPr>
              <w:numPr>
                <w:ilvl w:val="0"/>
                <w:numId w:val="0"/>
              </w:numPr>
              <w:spacing w:line="360" w:lineRule="auto"/>
              <w:ind w:leftChars="0"/>
              <w:jc w:val="center"/>
              <w:rPr>
                <w:rFonts w:hint="eastAsia" w:ascii="仿宋" w:hAnsi="仿宋" w:eastAsia="仿宋" w:cs="仿宋"/>
                <w:color w:val="000000"/>
                <w:sz w:val="24"/>
                <w:szCs w:val="24"/>
                <w:lang w:val="en-US" w:eastAsia="zh-CN"/>
              </w:rPr>
            </w:pPr>
          </w:p>
        </w:tc>
        <w:tc>
          <w:tcPr>
            <w:tcW w:w="2430" w:type="dxa"/>
            <w:noWrap w:val="0"/>
            <w:vAlign w:val="center"/>
          </w:tcPr>
          <w:p w14:paraId="12AF79D8">
            <w:pPr>
              <w:numPr>
                <w:ilvl w:val="0"/>
                <w:numId w:val="0"/>
              </w:numPr>
              <w:spacing w:line="360" w:lineRule="auto"/>
              <w:ind w:leftChars="0"/>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287*592*550*3P</w:t>
            </w:r>
          </w:p>
        </w:tc>
        <w:tc>
          <w:tcPr>
            <w:tcW w:w="1783" w:type="dxa"/>
            <w:noWrap w:val="0"/>
            <w:vAlign w:val="center"/>
          </w:tcPr>
          <w:p w14:paraId="691BDD36">
            <w:pPr>
              <w:numPr>
                <w:ilvl w:val="0"/>
                <w:numId w:val="0"/>
              </w:numPr>
              <w:spacing w:line="360" w:lineRule="auto"/>
              <w:ind w:leftChars="0"/>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16</w:t>
            </w:r>
          </w:p>
        </w:tc>
        <w:tc>
          <w:tcPr>
            <w:tcW w:w="2417" w:type="dxa"/>
            <w:vMerge w:val="continue"/>
            <w:noWrap w:val="0"/>
            <w:vAlign w:val="center"/>
          </w:tcPr>
          <w:p w14:paraId="13532D7E">
            <w:pPr>
              <w:numPr>
                <w:ilvl w:val="0"/>
                <w:numId w:val="0"/>
              </w:numPr>
              <w:spacing w:line="360" w:lineRule="auto"/>
              <w:ind w:leftChars="0"/>
              <w:jc w:val="center"/>
              <w:rPr>
                <w:rFonts w:hint="eastAsia" w:ascii="仿宋" w:hAnsi="仿宋" w:eastAsia="仿宋" w:cs="仿宋"/>
                <w:color w:val="000000"/>
                <w:sz w:val="24"/>
                <w:szCs w:val="24"/>
                <w:lang w:val="en-US" w:eastAsia="zh-CN"/>
              </w:rPr>
            </w:pPr>
          </w:p>
        </w:tc>
      </w:tr>
      <w:tr w14:paraId="5F1E7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2" w:type="dxa"/>
            <w:vMerge w:val="continue"/>
            <w:noWrap w:val="0"/>
            <w:vAlign w:val="center"/>
          </w:tcPr>
          <w:p w14:paraId="59B26156">
            <w:pPr>
              <w:numPr>
                <w:ilvl w:val="0"/>
                <w:numId w:val="0"/>
              </w:numPr>
              <w:spacing w:line="360" w:lineRule="auto"/>
              <w:ind w:leftChars="0"/>
              <w:jc w:val="center"/>
              <w:rPr>
                <w:rFonts w:hint="eastAsia" w:ascii="仿宋" w:hAnsi="仿宋" w:eastAsia="仿宋" w:cs="仿宋"/>
                <w:color w:val="000000"/>
                <w:sz w:val="24"/>
                <w:szCs w:val="24"/>
                <w:lang w:val="en-US" w:eastAsia="zh-CN"/>
              </w:rPr>
            </w:pPr>
          </w:p>
        </w:tc>
        <w:tc>
          <w:tcPr>
            <w:tcW w:w="2430" w:type="dxa"/>
            <w:noWrap w:val="0"/>
            <w:vAlign w:val="center"/>
          </w:tcPr>
          <w:p w14:paraId="5800FD25">
            <w:pPr>
              <w:numPr>
                <w:ilvl w:val="0"/>
                <w:numId w:val="0"/>
              </w:numPr>
              <w:spacing w:line="360" w:lineRule="auto"/>
              <w:ind w:leftChars="0"/>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592*592*550*6P</w:t>
            </w:r>
          </w:p>
        </w:tc>
        <w:tc>
          <w:tcPr>
            <w:tcW w:w="1783" w:type="dxa"/>
            <w:noWrap w:val="0"/>
            <w:vAlign w:val="center"/>
          </w:tcPr>
          <w:p w14:paraId="656B8001">
            <w:pPr>
              <w:numPr>
                <w:ilvl w:val="0"/>
                <w:numId w:val="0"/>
              </w:numPr>
              <w:spacing w:line="360" w:lineRule="auto"/>
              <w:ind w:leftChars="0"/>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32</w:t>
            </w:r>
          </w:p>
        </w:tc>
        <w:tc>
          <w:tcPr>
            <w:tcW w:w="2417" w:type="dxa"/>
            <w:vMerge w:val="continue"/>
            <w:noWrap w:val="0"/>
            <w:vAlign w:val="center"/>
          </w:tcPr>
          <w:p w14:paraId="585FEB3A">
            <w:pPr>
              <w:numPr>
                <w:ilvl w:val="0"/>
                <w:numId w:val="0"/>
              </w:numPr>
              <w:spacing w:line="360" w:lineRule="auto"/>
              <w:ind w:leftChars="0"/>
              <w:jc w:val="center"/>
              <w:rPr>
                <w:rFonts w:hint="eastAsia" w:ascii="仿宋" w:hAnsi="仿宋" w:eastAsia="仿宋" w:cs="仿宋"/>
                <w:color w:val="000000"/>
                <w:sz w:val="24"/>
                <w:szCs w:val="24"/>
                <w:lang w:val="en-US" w:eastAsia="zh-CN"/>
              </w:rPr>
            </w:pPr>
          </w:p>
        </w:tc>
      </w:tr>
      <w:tr w14:paraId="3D2D2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2" w:type="dxa"/>
            <w:vMerge w:val="restart"/>
            <w:noWrap w:val="0"/>
            <w:vAlign w:val="center"/>
          </w:tcPr>
          <w:p w14:paraId="50521320">
            <w:pPr>
              <w:numPr>
                <w:ilvl w:val="0"/>
                <w:numId w:val="0"/>
              </w:numPr>
              <w:spacing w:line="360" w:lineRule="auto"/>
              <w:ind w:leftChars="0"/>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亚高效过滤器（密褶式）</w:t>
            </w:r>
          </w:p>
          <w:p w14:paraId="33239E6C">
            <w:pPr>
              <w:numPr>
                <w:ilvl w:val="0"/>
                <w:numId w:val="0"/>
              </w:numPr>
              <w:spacing w:line="360" w:lineRule="auto"/>
              <w:ind w:leftChars="0"/>
              <w:jc w:val="center"/>
              <w:rPr>
                <w:rFonts w:hint="eastAsia" w:ascii="仿宋" w:hAnsi="仿宋" w:eastAsia="仿宋" w:cs="仿宋"/>
                <w:color w:val="000000"/>
                <w:sz w:val="24"/>
                <w:szCs w:val="24"/>
                <w:lang w:val="en-US" w:eastAsia="zh-CN"/>
              </w:rPr>
            </w:pPr>
          </w:p>
        </w:tc>
        <w:tc>
          <w:tcPr>
            <w:tcW w:w="2430" w:type="dxa"/>
            <w:noWrap w:val="0"/>
            <w:vAlign w:val="center"/>
          </w:tcPr>
          <w:p w14:paraId="726E1C3A">
            <w:pPr>
              <w:numPr>
                <w:ilvl w:val="0"/>
                <w:numId w:val="0"/>
              </w:numPr>
              <w:spacing w:line="360" w:lineRule="auto"/>
              <w:ind w:leftChars="0"/>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490*592*292*4V</w:t>
            </w:r>
          </w:p>
        </w:tc>
        <w:tc>
          <w:tcPr>
            <w:tcW w:w="1783" w:type="dxa"/>
            <w:noWrap w:val="0"/>
            <w:vAlign w:val="center"/>
          </w:tcPr>
          <w:p w14:paraId="0CC89D9A">
            <w:pPr>
              <w:numPr>
                <w:ilvl w:val="0"/>
                <w:numId w:val="0"/>
              </w:numPr>
              <w:spacing w:line="360" w:lineRule="auto"/>
              <w:ind w:leftChars="0"/>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6</w:t>
            </w:r>
          </w:p>
        </w:tc>
        <w:tc>
          <w:tcPr>
            <w:tcW w:w="2417" w:type="dxa"/>
            <w:vMerge w:val="restart"/>
            <w:noWrap w:val="0"/>
            <w:vAlign w:val="center"/>
          </w:tcPr>
          <w:p w14:paraId="5ADC005C">
            <w:pPr>
              <w:numPr>
                <w:ilvl w:val="0"/>
                <w:numId w:val="0"/>
              </w:numPr>
              <w:spacing w:line="360" w:lineRule="auto"/>
              <w:ind w:leftChars="0"/>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1年至少更换1次</w:t>
            </w:r>
          </w:p>
        </w:tc>
      </w:tr>
      <w:tr w14:paraId="045F7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2" w:type="dxa"/>
            <w:vMerge w:val="continue"/>
            <w:noWrap w:val="0"/>
            <w:vAlign w:val="center"/>
          </w:tcPr>
          <w:p w14:paraId="42453839">
            <w:pPr>
              <w:numPr>
                <w:ilvl w:val="0"/>
                <w:numId w:val="0"/>
              </w:numPr>
              <w:spacing w:line="360" w:lineRule="auto"/>
              <w:ind w:leftChars="0"/>
              <w:jc w:val="center"/>
              <w:rPr>
                <w:rFonts w:hint="eastAsia" w:ascii="仿宋" w:hAnsi="仿宋" w:eastAsia="仿宋" w:cs="仿宋"/>
                <w:color w:val="000000"/>
                <w:sz w:val="24"/>
                <w:szCs w:val="24"/>
                <w:lang w:val="en-US" w:eastAsia="zh-CN"/>
              </w:rPr>
            </w:pPr>
          </w:p>
        </w:tc>
        <w:tc>
          <w:tcPr>
            <w:tcW w:w="2430" w:type="dxa"/>
            <w:noWrap w:val="0"/>
            <w:vAlign w:val="center"/>
          </w:tcPr>
          <w:p w14:paraId="2295610C">
            <w:pPr>
              <w:numPr>
                <w:ilvl w:val="0"/>
                <w:numId w:val="0"/>
              </w:numPr>
              <w:spacing w:line="360" w:lineRule="auto"/>
              <w:ind w:leftChars="0"/>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592*592*292*4V</w:t>
            </w:r>
          </w:p>
        </w:tc>
        <w:tc>
          <w:tcPr>
            <w:tcW w:w="1783" w:type="dxa"/>
            <w:noWrap w:val="0"/>
            <w:vAlign w:val="center"/>
          </w:tcPr>
          <w:p w14:paraId="3A9B67C7">
            <w:pPr>
              <w:numPr>
                <w:ilvl w:val="0"/>
                <w:numId w:val="0"/>
              </w:numPr>
              <w:spacing w:line="360" w:lineRule="auto"/>
              <w:ind w:leftChars="0"/>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7</w:t>
            </w:r>
          </w:p>
        </w:tc>
        <w:tc>
          <w:tcPr>
            <w:tcW w:w="2417" w:type="dxa"/>
            <w:vMerge w:val="continue"/>
            <w:noWrap w:val="0"/>
            <w:vAlign w:val="center"/>
          </w:tcPr>
          <w:p w14:paraId="33BC15C1">
            <w:pPr>
              <w:numPr>
                <w:ilvl w:val="0"/>
                <w:numId w:val="0"/>
              </w:numPr>
              <w:spacing w:line="360" w:lineRule="auto"/>
              <w:ind w:leftChars="0"/>
              <w:jc w:val="center"/>
              <w:rPr>
                <w:rFonts w:hint="eastAsia" w:ascii="仿宋" w:hAnsi="仿宋" w:eastAsia="仿宋" w:cs="仿宋"/>
                <w:color w:val="000000"/>
                <w:sz w:val="24"/>
                <w:szCs w:val="24"/>
                <w:lang w:val="en-US" w:eastAsia="zh-CN"/>
              </w:rPr>
            </w:pPr>
          </w:p>
        </w:tc>
      </w:tr>
      <w:tr w14:paraId="47D05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2" w:type="dxa"/>
            <w:vMerge w:val="continue"/>
            <w:noWrap w:val="0"/>
            <w:vAlign w:val="center"/>
          </w:tcPr>
          <w:p w14:paraId="2288A41E">
            <w:pPr>
              <w:numPr>
                <w:ilvl w:val="0"/>
                <w:numId w:val="0"/>
              </w:numPr>
              <w:spacing w:line="360" w:lineRule="auto"/>
              <w:ind w:leftChars="0"/>
              <w:jc w:val="center"/>
              <w:rPr>
                <w:rFonts w:hint="eastAsia" w:ascii="仿宋" w:hAnsi="仿宋" w:eastAsia="仿宋" w:cs="仿宋"/>
                <w:color w:val="000000"/>
                <w:sz w:val="24"/>
                <w:szCs w:val="24"/>
                <w:lang w:val="en-US" w:eastAsia="zh-CN"/>
              </w:rPr>
            </w:pPr>
          </w:p>
        </w:tc>
        <w:tc>
          <w:tcPr>
            <w:tcW w:w="2430" w:type="dxa"/>
            <w:noWrap w:val="0"/>
            <w:vAlign w:val="center"/>
          </w:tcPr>
          <w:p w14:paraId="65C3B695">
            <w:pPr>
              <w:numPr>
                <w:ilvl w:val="0"/>
                <w:numId w:val="0"/>
              </w:numPr>
              <w:spacing w:line="360" w:lineRule="auto"/>
              <w:ind w:leftChars="0"/>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592*287*292*4V</w:t>
            </w:r>
          </w:p>
        </w:tc>
        <w:tc>
          <w:tcPr>
            <w:tcW w:w="1783" w:type="dxa"/>
            <w:noWrap w:val="0"/>
            <w:vAlign w:val="center"/>
          </w:tcPr>
          <w:p w14:paraId="304EF04D">
            <w:pPr>
              <w:numPr>
                <w:ilvl w:val="0"/>
                <w:numId w:val="0"/>
              </w:numPr>
              <w:spacing w:line="360" w:lineRule="auto"/>
              <w:ind w:leftChars="0"/>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2</w:t>
            </w:r>
          </w:p>
        </w:tc>
        <w:tc>
          <w:tcPr>
            <w:tcW w:w="2417" w:type="dxa"/>
            <w:vMerge w:val="continue"/>
            <w:noWrap w:val="0"/>
            <w:vAlign w:val="center"/>
          </w:tcPr>
          <w:p w14:paraId="0479C943">
            <w:pPr>
              <w:numPr>
                <w:ilvl w:val="0"/>
                <w:numId w:val="0"/>
              </w:numPr>
              <w:spacing w:line="360" w:lineRule="auto"/>
              <w:ind w:leftChars="0"/>
              <w:rPr>
                <w:rFonts w:hint="eastAsia" w:ascii="仿宋" w:hAnsi="仿宋" w:eastAsia="仿宋" w:cs="仿宋"/>
                <w:color w:val="000000"/>
                <w:sz w:val="24"/>
                <w:szCs w:val="24"/>
                <w:lang w:val="en-US" w:eastAsia="zh-CN"/>
              </w:rPr>
            </w:pPr>
          </w:p>
        </w:tc>
      </w:tr>
      <w:tr w14:paraId="370CA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trPr>
        <w:tc>
          <w:tcPr>
            <w:tcW w:w="1652" w:type="dxa"/>
            <w:vMerge w:val="restart"/>
            <w:noWrap w:val="0"/>
            <w:vAlign w:val="center"/>
          </w:tcPr>
          <w:p w14:paraId="2C40801A">
            <w:pPr>
              <w:numPr>
                <w:ilvl w:val="0"/>
                <w:numId w:val="0"/>
              </w:numPr>
              <w:spacing w:line="360" w:lineRule="auto"/>
              <w:ind w:leftChars="0"/>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排风中效过滤器（板式）</w:t>
            </w:r>
          </w:p>
        </w:tc>
        <w:tc>
          <w:tcPr>
            <w:tcW w:w="2430" w:type="dxa"/>
            <w:noWrap w:val="0"/>
            <w:vAlign w:val="center"/>
          </w:tcPr>
          <w:p w14:paraId="54B842FC">
            <w:pPr>
              <w:numPr>
                <w:ilvl w:val="0"/>
                <w:numId w:val="0"/>
              </w:numPr>
              <w:spacing w:line="360" w:lineRule="auto"/>
              <w:ind w:leftChars="0"/>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465*290*69</w:t>
            </w:r>
          </w:p>
        </w:tc>
        <w:tc>
          <w:tcPr>
            <w:tcW w:w="1783" w:type="dxa"/>
            <w:noWrap w:val="0"/>
            <w:vAlign w:val="center"/>
          </w:tcPr>
          <w:p w14:paraId="35E9EBDE">
            <w:pPr>
              <w:numPr>
                <w:ilvl w:val="0"/>
                <w:numId w:val="0"/>
              </w:numPr>
              <w:spacing w:line="360" w:lineRule="auto"/>
              <w:ind w:leftChars="0"/>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20</w:t>
            </w:r>
          </w:p>
        </w:tc>
        <w:tc>
          <w:tcPr>
            <w:tcW w:w="2417" w:type="dxa"/>
            <w:vMerge w:val="continue"/>
            <w:noWrap w:val="0"/>
            <w:vAlign w:val="center"/>
          </w:tcPr>
          <w:p w14:paraId="77B298B9">
            <w:pPr>
              <w:numPr>
                <w:ilvl w:val="0"/>
                <w:numId w:val="0"/>
              </w:numPr>
              <w:spacing w:line="360" w:lineRule="auto"/>
              <w:ind w:leftChars="0"/>
              <w:rPr>
                <w:rFonts w:hint="eastAsia" w:ascii="仿宋" w:hAnsi="仿宋" w:eastAsia="仿宋" w:cs="仿宋"/>
                <w:color w:val="000000"/>
                <w:sz w:val="24"/>
                <w:szCs w:val="24"/>
                <w:lang w:val="en-US" w:eastAsia="zh-CN"/>
              </w:rPr>
            </w:pPr>
          </w:p>
        </w:tc>
      </w:tr>
      <w:tr w14:paraId="1A50C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2" w:type="dxa"/>
            <w:vMerge w:val="restart"/>
            <w:noWrap w:val="0"/>
            <w:vAlign w:val="center"/>
          </w:tcPr>
          <w:p w14:paraId="2FF0D16E">
            <w:pPr>
              <w:numPr>
                <w:ilvl w:val="0"/>
                <w:numId w:val="0"/>
              </w:numPr>
              <w:spacing w:line="360" w:lineRule="auto"/>
              <w:ind w:leftChars="0"/>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回风口过滤网</w:t>
            </w:r>
          </w:p>
        </w:tc>
        <w:tc>
          <w:tcPr>
            <w:tcW w:w="2430" w:type="dxa"/>
            <w:noWrap w:val="0"/>
            <w:vAlign w:val="center"/>
          </w:tcPr>
          <w:p w14:paraId="2B89FD2F">
            <w:pPr>
              <w:numPr>
                <w:ilvl w:val="0"/>
                <w:numId w:val="0"/>
              </w:numPr>
              <w:spacing w:line="360" w:lineRule="auto"/>
              <w:ind w:leftChars="0"/>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1"/>
                <w:szCs w:val="21"/>
                <w:lang w:val="en-US" w:eastAsia="zh-CN"/>
              </w:rPr>
              <w:t>740</w:t>
            </w:r>
            <w:r>
              <w:rPr>
                <w:rFonts w:hint="eastAsia" w:ascii="仿宋" w:hAnsi="仿宋" w:eastAsia="仿宋" w:cs="仿宋"/>
                <w:color w:val="000000"/>
                <w:sz w:val="21"/>
                <w:szCs w:val="21"/>
              </w:rPr>
              <w:t>×</w:t>
            </w:r>
            <w:r>
              <w:rPr>
                <w:rFonts w:hint="eastAsia" w:ascii="仿宋" w:hAnsi="仿宋" w:eastAsia="仿宋" w:cs="仿宋"/>
                <w:color w:val="000000"/>
                <w:sz w:val="21"/>
                <w:szCs w:val="21"/>
                <w:lang w:val="en-US" w:eastAsia="zh-CN"/>
              </w:rPr>
              <w:t>285</w:t>
            </w:r>
          </w:p>
        </w:tc>
        <w:tc>
          <w:tcPr>
            <w:tcW w:w="1783" w:type="dxa"/>
            <w:noWrap w:val="0"/>
            <w:vAlign w:val="center"/>
          </w:tcPr>
          <w:p w14:paraId="340E112A">
            <w:pPr>
              <w:numPr>
                <w:ilvl w:val="0"/>
                <w:numId w:val="0"/>
              </w:numPr>
              <w:spacing w:line="360" w:lineRule="auto"/>
              <w:ind w:leftChars="0"/>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2</w:t>
            </w:r>
          </w:p>
        </w:tc>
        <w:tc>
          <w:tcPr>
            <w:tcW w:w="2417" w:type="dxa"/>
            <w:vMerge w:val="continue"/>
            <w:noWrap w:val="0"/>
            <w:vAlign w:val="center"/>
          </w:tcPr>
          <w:p w14:paraId="7A3D3A89">
            <w:pPr>
              <w:numPr>
                <w:ilvl w:val="0"/>
                <w:numId w:val="0"/>
              </w:numPr>
              <w:spacing w:line="360" w:lineRule="auto"/>
              <w:ind w:leftChars="0"/>
              <w:rPr>
                <w:rFonts w:hint="eastAsia" w:ascii="仿宋" w:hAnsi="仿宋" w:eastAsia="仿宋" w:cs="仿宋"/>
                <w:color w:val="000000"/>
                <w:sz w:val="24"/>
                <w:szCs w:val="24"/>
                <w:lang w:val="en-US" w:eastAsia="zh-CN"/>
              </w:rPr>
            </w:pPr>
          </w:p>
        </w:tc>
      </w:tr>
      <w:tr w14:paraId="0F4F6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2" w:type="dxa"/>
            <w:vMerge w:val="continue"/>
            <w:noWrap w:val="0"/>
            <w:vAlign w:val="center"/>
          </w:tcPr>
          <w:p w14:paraId="16C72961">
            <w:pPr>
              <w:numPr>
                <w:ilvl w:val="0"/>
                <w:numId w:val="0"/>
              </w:numPr>
              <w:spacing w:line="360" w:lineRule="auto"/>
              <w:ind w:leftChars="0"/>
              <w:jc w:val="center"/>
              <w:rPr>
                <w:rFonts w:hint="eastAsia" w:ascii="仿宋" w:hAnsi="仿宋" w:eastAsia="仿宋" w:cs="仿宋"/>
                <w:color w:val="000000"/>
                <w:sz w:val="24"/>
                <w:szCs w:val="24"/>
                <w:lang w:val="en-US" w:eastAsia="zh-CN"/>
              </w:rPr>
            </w:pPr>
          </w:p>
        </w:tc>
        <w:tc>
          <w:tcPr>
            <w:tcW w:w="2430" w:type="dxa"/>
            <w:noWrap w:val="0"/>
            <w:vAlign w:val="center"/>
          </w:tcPr>
          <w:p w14:paraId="5A7F41C0">
            <w:pPr>
              <w:numPr>
                <w:ilvl w:val="0"/>
                <w:numId w:val="0"/>
              </w:numPr>
              <w:spacing w:line="360" w:lineRule="auto"/>
              <w:ind w:leftChars="0"/>
              <w:jc w:val="center"/>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790</w:t>
            </w:r>
            <w:r>
              <w:rPr>
                <w:rFonts w:hint="eastAsia" w:ascii="仿宋" w:hAnsi="仿宋" w:eastAsia="仿宋" w:cs="仿宋"/>
                <w:color w:val="000000"/>
                <w:sz w:val="21"/>
                <w:szCs w:val="21"/>
              </w:rPr>
              <w:t>×</w:t>
            </w:r>
            <w:r>
              <w:rPr>
                <w:rFonts w:hint="eastAsia" w:ascii="仿宋" w:hAnsi="仿宋" w:eastAsia="仿宋" w:cs="仿宋"/>
                <w:color w:val="000000"/>
                <w:sz w:val="21"/>
                <w:szCs w:val="21"/>
                <w:lang w:val="en-US" w:eastAsia="zh-CN"/>
              </w:rPr>
              <w:t>285</w:t>
            </w:r>
          </w:p>
        </w:tc>
        <w:tc>
          <w:tcPr>
            <w:tcW w:w="1783" w:type="dxa"/>
            <w:noWrap w:val="0"/>
            <w:vAlign w:val="center"/>
          </w:tcPr>
          <w:p w14:paraId="670B2BA1">
            <w:pPr>
              <w:numPr>
                <w:ilvl w:val="0"/>
                <w:numId w:val="0"/>
              </w:numPr>
              <w:spacing w:line="360" w:lineRule="auto"/>
              <w:ind w:leftChars="0"/>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40</w:t>
            </w:r>
          </w:p>
        </w:tc>
        <w:tc>
          <w:tcPr>
            <w:tcW w:w="2417" w:type="dxa"/>
            <w:vMerge w:val="continue"/>
            <w:noWrap w:val="0"/>
            <w:vAlign w:val="center"/>
          </w:tcPr>
          <w:p w14:paraId="1FE4445C">
            <w:pPr>
              <w:numPr>
                <w:ilvl w:val="0"/>
                <w:numId w:val="0"/>
              </w:numPr>
              <w:spacing w:line="360" w:lineRule="auto"/>
              <w:ind w:leftChars="0"/>
              <w:rPr>
                <w:rFonts w:hint="eastAsia" w:ascii="仿宋" w:hAnsi="仿宋" w:eastAsia="仿宋" w:cs="仿宋"/>
                <w:color w:val="000000"/>
                <w:sz w:val="24"/>
                <w:szCs w:val="24"/>
                <w:lang w:val="en-US" w:eastAsia="zh-CN"/>
              </w:rPr>
            </w:pPr>
          </w:p>
        </w:tc>
      </w:tr>
      <w:tr w14:paraId="7B373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2" w:type="dxa"/>
            <w:vMerge w:val="continue"/>
            <w:noWrap w:val="0"/>
            <w:vAlign w:val="center"/>
          </w:tcPr>
          <w:p w14:paraId="2B699D7E">
            <w:pPr>
              <w:numPr>
                <w:ilvl w:val="0"/>
                <w:numId w:val="0"/>
              </w:numPr>
              <w:spacing w:line="360" w:lineRule="auto"/>
              <w:ind w:leftChars="0"/>
              <w:jc w:val="center"/>
              <w:rPr>
                <w:rFonts w:hint="eastAsia" w:ascii="仿宋" w:hAnsi="仿宋" w:eastAsia="仿宋" w:cs="仿宋"/>
                <w:color w:val="000000"/>
                <w:sz w:val="24"/>
                <w:szCs w:val="24"/>
                <w:lang w:val="en-US" w:eastAsia="zh-CN"/>
              </w:rPr>
            </w:pPr>
          </w:p>
        </w:tc>
        <w:tc>
          <w:tcPr>
            <w:tcW w:w="2430" w:type="dxa"/>
            <w:noWrap w:val="0"/>
            <w:vAlign w:val="center"/>
          </w:tcPr>
          <w:p w14:paraId="0FA414BC">
            <w:pPr>
              <w:numPr>
                <w:ilvl w:val="0"/>
                <w:numId w:val="0"/>
              </w:numPr>
              <w:spacing w:line="360" w:lineRule="auto"/>
              <w:ind w:leftChars="0"/>
              <w:jc w:val="center"/>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530</w:t>
            </w:r>
            <w:r>
              <w:rPr>
                <w:rFonts w:hint="eastAsia" w:ascii="仿宋" w:hAnsi="仿宋" w:eastAsia="仿宋" w:cs="仿宋"/>
                <w:color w:val="000000"/>
                <w:sz w:val="21"/>
                <w:szCs w:val="21"/>
              </w:rPr>
              <w:t>×</w:t>
            </w:r>
            <w:r>
              <w:rPr>
                <w:rFonts w:hint="eastAsia" w:ascii="仿宋" w:hAnsi="仿宋" w:eastAsia="仿宋" w:cs="仿宋"/>
                <w:color w:val="000000"/>
                <w:sz w:val="21"/>
                <w:szCs w:val="21"/>
                <w:lang w:val="en-US" w:eastAsia="zh-CN"/>
              </w:rPr>
              <w:t>270</w:t>
            </w:r>
          </w:p>
        </w:tc>
        <w:tc>
          <w:tcPr>
            <w:tcW w:w="1783" w:type="dxa"/>
            <w:noWrap w:val="0"/>
            <w:vAlign w:val="center"/>
          </w:tcPr>
          <w:p w14:paraId="21E45912">
            <w:pPr>
              <w:numPr>
                <w:ilvl w:val="0"/>
                <w:numId w:val="0"/>
              </w:numPr>
              <w:spacing w:line="360" w:lineRule="auto"/>
              <w:ind w:leftChars="0"/>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18</w:t>
            </w:r>
          </w:p>
        </w:tc>
        <w:tc>
          <w:tcPr>
            <w:tcW w:w="2417" w:type="dxa"/>
            <w:vMerge w:val="continue"/>
            <w:noWrap w:val="0"/>
            <w:vAlign w:val="center"/>
          </w:tcPr>
          <w:p w14:paraId="5643A309">
            <w:pPr>
              <w:numPr>
                <w:ilvl w:val="0"/>
                <w:numId w:val="0"/>
              </w:numPr>
              <w:spacing w:line="360" w:lineRule="auto"/>
              <w:ind w:leftChars="0"/>
              <w:rPr>
                <w:rFonts w:hint="eastAsia" w:ascii="仿宋" w:hAnsi="仿宋" w:eastAsia="仿宋" w:cs="仿宋"/>
                <w:color w:val="000000"/>
                <w:sz w:val="24"/>
                <w:szCs w:val="24"/>
                <w:lang w:val="en-US" w:eastAsia="zh-CN"/>
              </w:rPr>
            </w:pPr>
          </w:p>
        </w:tc>
      </w:tr>
      <w:tr w14:paraId="41157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2" w:type="dxa"/>
            <w:vMerge w:val="continue"/>
            <w:noWrap w:val="0"/>
            <w:vAlign w:val="center"/>
          </w:tcPr>
          <w:p w14:paraId="03D068CB">
            <w:pPr>
              <w:numPr>
                <w:ilvl w:val="0"/>
                <w:numId w:val="0"/>
              </w:numPr>
              <w:spacing w:line="360" w:lineRule="auto"/>
              <w:ind w:leftChars="0"/>
              <w:jc w:val="center"/>
              <w:rPr>
                <w:rFonts w:hint="eastAsia" w:ascii="仿宋" w:hAnsi="仿宋" w:eastAsia="仿宋" w:cs="仿宋"/>
                <w:color w:val="000000"/>
                <w:sz w:val="24"/>
                <w:szCs w:val="24"/>
                <w:lang w:val="en-US" w:eastAsia="zh-CN"/>
              </w:rPr>
            </w:pPr>
          </w:p>
        </w:tc>
        <w:tc>
          <w:tcPr>
            <w:tcW w:w="2430" w:type="dxa"/>
            <w:noWrap w:val="0"/>
            <w:vAlign w:val="center"/>
          </w:tcPr>
          <w:p w14:paraId="653DD49F">
            <w:pPr>
              <w:numPr>
                <w:ilvl w:val="0"/>
                <w:numId w:val="0"/>
              </w:numPr>
              <w:spacing w:line="360" w:lineRule="auto"/>
              <w:ind w:leftChars="0"/>
              <w:jc w:val="center"/>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720</w:t>
            </w:r>
            <w:r>
              <w:rPr>
                <w:rFonts w:hint="eastAsia" w:ascii="仿宋" w:hAnsi="仿宋" w:eastAsia="仿宋" w:cs="仿宋"/>
                <w:color w:val="000000"/>
                <w:sz w:val="21"/>
                <w:szCs w:val="21"/>
              </w:rPr>
              <w:t>×</w:t>
            </w:r>
            <w:r>
              <w:rPr>
                <w:rFonts w:hint="eastAsia" w:ascii="仿宋" w:hAnsi="仿宋" w:eastAsia="仿宋" w:cs="仿宋"/>
                <w:color w:val="000000"/>
                <w:sz w:val="21"/>
                <w:szCs w:val="21"/>
                <w:lang w:val="en-US" w:eastAsia="zh-CN"/>
              </w:rPr>
              <w:t>270</w:t>
            </w:r>
          </w:p>
        </w:tc>
        <w:tc>
          <w:tcPr>
            <w:tcW w:w="1783" w:type="dxa"/>
            <w:noWrap w:val="0"/>
            <w:vAlign w:val="center"/>
          </w:tcPr>
          <w:p w14:paraId="408F7D87">
            <w:pPr>
              <w:numPr>
                <w:ilvl w:val="0"/>
                <w:numId w:val="0"/>
              </w:numPr>
              <w:spacing w:line="360" w:lineRule="auto"/>
              <w:ind w:leftChars="0"/>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18</w:t>
            </w:r>
          </w:p>
        </w:tc>
        <w:tc>
          <w:tcPr>
            <w:tcW w:w="2417" w:type="dxa"/>
            <w:vMerge w:val="continue"/>
            <w:noWrap w:val="0"/>
            <w:vAlign w:val="center"/>
          </w:tcPr>
          <w:p w14:paraId="6185674B">
            <w:pPr>
              <w:numPr>
                <w:ilvl w:val="0"/>
                <w:numId w:val="0"/>
              </w:numPr>
              <w:spacing w:line="360" w:lineRule="auto"/>
              <w:ind w:leftChars="0"/>
              <w:rPr>
                <w:rFonts w:hint="eastAsia" w:ascii="仿宋" w:hAnsi="仿宋" w:eastAsia="仿宋" w:cs="仿宋"/>
                <w:color w:val="000000"/>
                <w:sz w:val="24"/>
                <w:szCs w:val="24"/>
                <w:lang w:val="en-US" w:eastAsia="zh-CN"/>
              </w:rPr>
            </w:pPr>
          </w:p>
        </w:tc>
      </w:tr>
      <w:tr w14:paraId="3403E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2" w:type="dxa"/>
            <w:vMerge w:val="continue"/>
            <w:noWrap w:val="0"/>
            <w:vAlign w:val="center"/>
          </w:tcPr>
          <w:p w14:paraId="2578AD93">
            <w:pPr>
              <w:numPr>
                <w:ilvl w:val="0"/>
                <w:numId w:val="0"/>
              </w:numPr>
              <w:spacing w:line="360" w:lineRule="auto"/>
              <w:ind w:leftChars="0"/>
              <w:jc w:val="center"/>
              <w:rPr>
                <w:rFonts w:hint="eastAsia" w:ascii="仿宋" w:hAnsi="仿宋" w:eastAsia="仿宋" w:cs="仿宋"/>
                <w:color w:val="000000"/>
                <w:sz w:val="24"/>
                <w:szCs w:val="24"/>
                <w:lang w:val="en-US" w:eastAsia="zh-CN"/>
              </w:rPr>
            </w:pPr>
          </w:p>
        </w:tc>
        <w:tc>
          <w:tcPr>
            <w:tcW w:w="2430" w:type="dxa"/>
            <w:noWrap w:val="0"/>
            <w:vAlign w:val="center"/>
          </w:tcPr>
          <w:p w14:paraId="0D3C301F">
            <w:pPr>
              <w:numPr>
                <w:ilvl w:val="0"/>
                <w:numId w:val="0"/>
              </w:numPr>
              <w:spacing w:line="360" w:lineRule="auto"/>
              <w:ind w:leftChars="0"/>
              <w:jc w:val="center"/>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1090</w:t>
            </w:r>
            <w:r>
              <w:rPr>
                <w:rFonts w:hint="eastAsia" w:ascii="仿宋" w:hAnsi="仿宋" w:eastAsia="仿宋" w:cs="仿宋"/>
                <w:color w:val="000000"/>
                <w:sz w:val="21"/>
                <w:szCs w:val="21"/>
              </w:rPr>
              <w:t>×</w:t>
            </w:r>
            <w:r>
              <w:rPr>
                <w:rFonts w:hint="eastAsia" w:ascii="仿宋" w:hAnsi="仿宋" w:eastAsia="仿宋" w:cs="仿宋"/>
                <w:color w:val="000000"/>
                <w:sz w:val="21"/>
                <w:szCs w:val="21"/>
                <w:lang w:val="en-US" w:eastAsia="zh-CN"/>
              </w:rPr>
              <w:t>285</w:t>
            </w:r>
          </w:p>
        </w:tc>
        <w:tc>
          <w:tcPr>
            <w:tcW w:w="1783" w:type="dxa"/>
            <w:noWrap w:val="0"/>
            <w:vAlign w:val="center"/>
          </w:tcPr>
          <w:p w14:paraId="38ED0EB0">
            <w:pPr>
              <w:numPr>
                <w:ilvl w:val="0"/>
                <w:numId w:val="0"/>
              </w:numPr>
              <w:spacing w:line="360" w:lineRule="auto"/>
              <w:ind w:leftChars="0"/>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22</w:t>
            </w:r>
          </w:p>
        </w:tc>
        <w:tc>
          <w:tcPr>
            <w:tcW w:w="2417" w:type="dxa"/>
            <w:vMerge w:val="continue"/>
            <w:noWrap w:val="0"/>
            <w:vAlign w:val="center"/>
          </w:tcPr>
          <w:p w14:paraId="45D04D11">
            <w:pPr>
              <w:numPr>
                <w:ilvl w:val="0"/>
                <w:numId w:val="0"/>
              </w:numPr>
              <w:spacing w:line="360" w:lineRule="auto"/>
              <w:ind w:leftChars="0"/>
              <w:rPr>
                <w:rFonts w:hint="eastAsia" w:ascii="仿宋" w:hAnsi="仿宋" w:eastAsia="仿宋" w:cs="仿宋"/>
                <w:color w:val="000000"/>
                <w:sz w:val="24"/>
                <w:szCs w:val="24"/>
                <w:lang w:val="en-US" w:eastAsia="zh-CN"/>
              </w:rPr>
            </w:pPr>
          </w:p>
        </w:tc>
      </w:tr>
      <w:tr w14:paraId="40361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2" w:type="dxa"/>
            <w:vMerge w:val="continue"/>
            <w:noWrap w:val="0"/>
            <w:vAlign w:val="center"/>
          </w:tcPr>
          <w:p w14:paraId="618533AE">
            <w:pPr>
              <w:numPr>
                <w:ilvl w:val="0"/>
                <w:numId w:val="0"/>
              </w:numPr>
              <w:spacing w:line="360" w:lineRule="auto"/>
              <w:ind w:leftChars="0"/>
              <w:jc w:val="center"/>
              <w:rPr>
                <w:rFonts w:hint="eastAsia" w:ascii="仿宋" w:hAnsi="仿宋" w:eastAsia="仿宋" w:cs="仿宋"/>
                <w:color w:val="000000"/>
                <w:sz w:val="24"/>
                <w:szCs w:val="24"/>
                <w:lang w:val="en-US" w:eastAsia="zh-CN"/>
              </w:rPr>
            </w:pPr>
          </w:p>
        </w:tc>
        <w:tc>
          <w:tcPr>
            <w:tcW w:w="2430" w:type="dxa"/>
            <w:noWrap w:val="0"/>
            <w:vAlign w:val="center"/>
          </w:tcPr>
          <w:p w14:paraId="2CCA02F2">
            <w:pPr>
              <w:numPr>
                <w:ilvl w:val="0"/>
                <w:numId w:val="0"/>
              </w:numPr>
              <w:spacing w:line="360" w:lineRule="auto"/>
              <w:ind w:leftChars="0"/>
              <w:jc w:val="center"/>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585</w:t>
            </w:r>
            <w:r>
              <w:rPr>
                <w:rFonts w:hint="eastAsia" w:ascii="仿宋" w:hAnsi="仿宋" w:eastAsia="仿宋" w:cs="仿宋"/>
                <w:color w:val="000000"/>
                <w:sz w:val="21"/>
                <w:szCs w:val="21"/>
              </w:rPr>
              <w:t>×</w:t>
            </w:r>
            <w:r>
              <w:rPr>
                <w:rFonts w:hint="eastAsia" w:ascii="仿宋" w:hAnsi="仿宋" w:eastAsia="仿宋" w:cs="仿宋"/>
                <w:color w:val="000000"/>
                <w:sz w:val="21"/>
                <w:szCs w:val="21"/>
                <w:lang w:val="en-US" w:eastAsia="zh-CN"/>
              </w:rPr>
              <w:t>305</w:t>
            </w:r>
          </w:p>
        </w:tc>
        <w:tc>
          <w:tcPr>
            <w:tcW w:w="1783" w:type="dxa"/>
            <w:noWrap w:val="0"/>
            <w:vAlign w:val="center"/>
          </w:tcPr>
          <w:p w14:paraId="759721C4">
            <w:pPr>
              <w:numPr>
                <w:ilvl w:val="0"/>
                <w:numId w:val="0"/>
              </w:numPr>
              <w:spacing w:line="360" w:lineRule="auto"/>
              <w:ind w:leftChars="0"/>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6</w:t>
            </w:r>
          </w:p>
        </w:tc>
        <w:tc>
          <w:tcPr>
            <w:tcW w:w="2417" w:type="dxa"/>
            <w:vMerge w:val="continue"/>
            <w:noWrap w:val="0"/>
            <w:vAlign w:val="center"/>
          </w:tcPr>
          <w:p w14:paraId="3E7FC92F">
            <w:pPr>
              <w:numPr>
                <w:ilvl w:val="0"/>
                <w:numId w:val="0"/>
              </w:numPr>
              <w:spacing w:line="360" w:lineRule="auto"/>
              <w:ind w:leftChars="0"/>
              <w:rPr>
                <w:rFonts w:hint="eastAsia" w:ascii="仿宋" w:hAnsi="仿宋" w:eastAsia="仿宋" w:cs="仿宋"/>
                <w:color w:val="000000"/>
                <w:sz w:val="24"/>
                <w:szCs w:val="24"/>
                <w:lang w:val="en-US" w:eastAsia="zh-CN"/>
              </w:rPr>
            </w:pPr>
          </w:p>
        </w:tc>
      </w:tr>
      <w:tr w14:paraId="5FE0B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2" w:type="dxa"/>
            <w:vMerge w:val="continue"/>
            <w:noWrap w:val="0"/>
            <w:vAlign w:val="center"/>
          </w:tcPr>
          <w:p w14:paraId="2FDF3943">
            <w:pPr>
              <w:numPr>
                <w:ilvl w:val="0"/>
                <w:numId w:val="0"/>
              </w:numPr>
              <w:spacing w:line="360" w:lineRule="auto"/>
              <w:ind w:leftChars="0"/>
              <w:jc w:val="center"/>
              <w:rPr>
                <w:rFonts w:hint="eastAsia" w:ascii="仿宋" w:hAnsi="仿宋" w:eastAsia="仿宋" w:cs="仿宋"/>
                <w:color w:val="000000"/>
                <w:sz w:val="24"/>
                <w:szCs w:val="24"/>
                <w:lang w:val="en-US" w:eastAsia="zh-CN"/>
              </w:rPr>
            </w:pPr>
          </w:p>
        </w:tc>
        <w:tc>
          <w:tcPr>
            <w:tcW w:w="2430" w:type="dxa"/>
            <w:noWrap w:val="0"/>
            <w:vAlign w:val="center"/>
          </w:tcPr>
          <w:p w14:paraId="13F54F59">
            <w:pPr>
              <w:numPr>
                <w:ilvl w:val="0"/>
                <w:numId w:val="0"/>
              </w:numPr>
              <w:spacing w:line="360" w:lineRule="auto"/>
              <w:ind w:leftChars="0"/>
              <w:jc w:val="center"/>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480</w:t>
            </w:r>
            <w:r>
              <w:rPr>
                <w:rFonts w:hint="eastAsia" w:ascii="仿宋" w:hAnsi="仿宋" w:eastAsia="仿宋" w:cs="仿宋"/>
                <w:color w:val="000000"/>
                <w:sz w:val="21"/>
                <w:szCs w:val="21"/>
              </w:rPr>
              <w:t>×</w:t>
            </w:r>
            <w:r>
              <w:rPr>
                <w:rFonts w:hint="eastAsia" w:ascii="仿宋" w:hAnsi="仿宋" w:eastAsia="仿宋" w:cs="仿宋"/>
                <w:color w:val="000000"/>
                <w:sz w:val="21"/>
                <w:szCs w:val="21"/>
                <w:lang w:val="en-US" w:eastAsia="zh-CN"/>
              </w:rPr>
              <w:t>330</w:t>
            </w:r>
          </w:p>
        </w:tc>
        <w:tc>
          <w:tcPr>
            <w:tcW w:w="1783" w:type="dxa"/>
            <w:noWrap w:val="0"/>
            <w:vAlign w:val="center"/>
          </w:tcPr>
          <w:p w14:paraId="1B5CE3DA">
            <w:pPr>
              <w:numPr>
                <w:ilvl w:val="0"/>
                <w:numId w:val="0"/>
              </w:numPr>
              <w:spacing w:line="360" w:lineRule="auto"/>
              <w:ind w:leftChars="0"/>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2</w:t>
            </w:r>
          </w:p>
        </w:tc>
        <w:tc>
          <w:tcPr>
            <w:tcW w:w="2417" w:type="dxa"/>
            <w:vMerge w:val="continue"/>
            <w:noWrap w:val="0"/>
            <w:vAlign w:val="center"/>
          </w:tcPr>
          <w:p w14:paraId="49B4B160">
            <w:pPr>
              <w:numPr>
                <w:ilvl w:val="0"/>
                <w:numId w:val="0"/>
              </w:numPr>
              <w:spacing w:line="360" w:lineRule="auto"/>
              <w:ind w:leftChars="0"/>
              <w:rPr>
                <w:rFonts w:hint="eastAsia" w:ascii="仿宋" w:hAnsi="仿宋" w:eastAsia="仿宋" w:cs="仿宋"/>
                <w:color w:val="000000"/>
                <w:sz w:val="24"/>
                <w:szCs w:val="24"/>
                <w:lang w:val="en-US" w:eastAsia="zh-CN"/>
              </w:rPr>
            </w:pPr>
          </w:p>
        </w:tc>
      </w:tr>
      <w:tr w14:paraId="25431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2" w:type="dxa"/>
            <w:vMerge w:val="continue"/>
            <w:noWrap w:val="0"/>
            <w:vAlign w:val="center"/>
          </w:tcPr>
          <w:p w14:paraId="27C2A3EB">
            <w:pPr>
              <w:numPr>
                <w:ilvl w:val="0"/>
                <w:numId w:val="0"/>
              </w:numPr>
              <w:spacing w:line="360" w:lineRule="auto"/>
              <w:ind w:leftChars="0"/>
              <w:jc w:val="center"/>
              <w:rPr>
                <w:rFonts w:hint="eastAsia" w:ascii="仿宋" w:hAnsi="仿宋" w:eastAsia="仿宋" w:cs="仿宋"/>
                <w:color w:val="000000"/>
                <w:sz w:val="24"/>
                <w:szCs w:val="24"/>
                <w:lang w:val="en-US" w:eastAsia="zh-CN"/>
              </w:rPr>
            </w:pPr>
          </w:p>
        </w:tc>
        <w:tc>
          <w:tcPr>
            <w:tcW w:w="2430" w:type="dxa"/>
            <w:noWrap w:val="0"/>
            <w:vAlign w:val="center"/>
          </w:tcPr>
          <w:p w14:paraId="2DBB714D">
            <w:pPr>
              <w:numPr>
                <w:ilvl w:val="0"/>
                <w:numId w:val="0"/>
              </w:numPr>
              <w:spacing w:line="360" w:lineRule="auto"/>
              <w:ind w:leftChars="0"/>
              <w:jc w:val="center"/>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380</w:t>
            </w:r>
            <w:r>
              <w:rPr>
                <w:rFonts w:hint="eastAsia" w:ascii="仿宋" w:hAnsi="仿宋" w:eastAsia="仿宋" w:cs="仿宋"/>
                <w:color w:val="000000"/>
                <w:sz w:val="21"/>
                <w:szCs w:val="21"/>
              </w:rPr>
              <w:t>×</w:t>
            </w:r>
            <w:r>
              <w:rPr>
                <w:rFonts w:hint="eastAsia" w:ascii="仿宋" w:hAnsi="仿宋" w:eastAsia="仿宋" w:cs="仿宋"/>
                <w:color w:val="000000"/>
                <w:sz w:val="21"/>
                <w:szCs w:val="21"/>
                <w:lang w:val="en-US" w:eastAsia="zh-CN"/>
              </w:rPr>
              <w:t>330</w:t>
            </w:r>
          </w:p>
        </w:tc>
        <w:tc>
          <w:tcPr>
            <w:tcW w:w="1783" w:type="dxa"/>
            <w:noWrap w:val="0"/>
            <w:vAlign w:val="center"/>
          </w:tcPr>
          <w:p w14:paraId="6C7791B6">
            <w:pPr>
              <w:numPr>
                <w:ilvl w:val="0"/>
                <w:numId w:val="0"/>
              </w:numPr>
              <w:spacing w:line="360" w:lineRule="auto"/>
              <w:ind w:leftChars="0"/>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2</w:t>
            </w:r>
          </w:p>
        </w:tc>
        <w:tc>
          <w:tcPr>
            <w:tcW w:w="2417" w:type="dxa"/>
            <w:vMerge w:val="continue"/>
            <w:noWrap w:val="0"/>
            <w:vAlign w:val="center"/>
          </w:tcPr>
          <w:p w14:paraId="43C2225B">
            <w:pPr>
              <w:numPr>
                <w:ilvl w:val="0"/>
                <w:numId w:val="0"/>
              </w:numPr>
              <w:spacing w:line="360" w:lineRule="auto"/>
              <w:ind w:leftChars="0"/>
              <w:rPr>
                <w:rFonts w:hint="eastAsia" w:ascii="仿宋" w:hAnsi="仿宋" w:eastAsia="仿宋" w:cs="仿宋"/>
                <w:color w:val="000000"/>
                <w:sz w:val="24"/>
                <w:szCs w:val="24"/>
                <w:lang w:val="en-US" w:eastAsia="zh-CN"/>
              </w:rPr>
            </w:pPr>
          </w:p>
        </w:tc>
      </w:tr>
      <w:tr w14:paraId="0C077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2" w:type="dxa"/>
            <w:vMerge w:val="continue"/>
            <w:noWrap w:val="0"/>
            <w:vAlign w:val="center"/>
          </w:tcPr>
          <w:p w14:paraId="1BB1EC7E">
            <w:pPr>
              <w:numPr>
                <w:ilvl w:val="0"/>
                <w:numId w:val="0"/>
              </w:numPr>
              <w:spacing w:line="360" w:lineRule="auto"/>
              <w:ind w:leftChars="0"/>
              <w:jc w:val="center"/>
              <w:rPr>
                <w:rFonts w:hint="eastAsia" w:ascii="仿宋" w:hAnsi="仿宋" w:eastAsia="仿宋" w:cs="仿宋"/>
                <w:color w:val="000000"/>
                <w:sz w:val="24"/>
                <w:szCs w:val="24"/>
                <w:lang w:val="en-US" w:eastAsia="zh-CN"/>
              </w:rPr>
            </w:pPr>
          </w:p>
        </w:tc>
        <w:tc>
          <w:tcPr>
            <w:tcW w:w="2430" w:type="dxa"/>
            <w:noWrap w:val="0"/>
            <w:vAlign w:val="center"/>
          </w:tcPr>
          <w:p w14:paraId="2538751B">
            <w:pPr>
              <w:numPr>
                <w:ilvl w:val="0"/>
                <w:numId w:val="0"/>
              </w:numPr>
              <w:spacing w:line="360" w:lineRule="auto"/>
              <w:ind w:leftChars="0"/>
              <w:jc w:val="center"/>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300</w:t>
            </w:r>
            <w:r>
              <w:rPr>
                <w:rFonts w:hint="eastAsia" w:ascii="仿宋" w:hAnsi="仿宋" w:eastAsia="仿宋" w:cs="仿宋"/>
                <w:color w:val="000000"/>
                <w:sz w:val="21"/>
                <w:szCs w:val="21"/>
              </w:rPr>
              <w:t>×</w:t>
            </w:r>
            <w:r>
              <w:rPr>
                <w:rFonts w:hint="eastAsia" w:ascii="仿宋" w:hAnsi="仿宋" w:eastAsia="仿宋" w:cs="仿宋"/>
                <w:color w:val="000000"/>
                <w:sz w:val="21"/>
                <w:szCs w:val="21"/>
                <w:lang w:val="en-US" w:eastAsia="zh-CN"/>
              </w:rPr>
              <w:t>180</w:t>
            </w:r>
          </w:p>
        </w:tc>
        <w:tc>
          <w:tcPr>
            <w:tcW w:w="1783" w:type="dxa"/>
            <w:noWrap w:val="0"/>
            <w:vAlign w:val="center"/>
          </w:tcPr>
          <w:p w14:paraId="63B4CD3F">
            <w:pPr>
              <w:numPr>
                <w:ilvl w:val="0"/>
                <w:numId w:val="0"/>
              </w:numPr>
              <w:spacing w:line="360" w:lineRule="auto"/>
              <w:ind w:leftChars="0"/>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3</w:t>
            </w:r>
          </w:p>
        </w:tc>
        <w:tc>
          <w:tcPr>
            <w:tcW w:w="2417" w:type="dxa"/>
            <w:vMerge w:val="continue"/>
            <w:noWrap w:val="0"/>
            <w:vAlign w:val="center"/>
          </w:tcPr>
          <w:p w14:paraId="54634759">
            <w:pPr>
              <w:numPr>
                <w:ilvl w:val="0"/>
                <w:numId w:val="0"/>
              </w:numPr>
              <w:spacing w:line="360" w:lineRule="auto"/>
              <w:ind w:leftChars="0"/>
              <w:rPr>
                <w:rFonts w:hint="eastAsia" w:ascii="仿宋" w:hAnsi="仿宋" w:eastAsia="仿宋" w:cs="仿宋"/>
                <w:color w:val="000000"/>
                <w:sz w:val="24"/>
                <w:szCs w:val="24"/>
                <w:lang w:val="en-US" w:eastAsia="zh-CN"/>
              </w:rPr>
            </w:pPr>
          </w:p>
        </w:tc>
      </w:tr>
      <w:tr w14:paraId="73B5C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2" w:type="dxa"/>
            <w:vMerge w:val="continue"/>
            <w:noWrap w:val="0"/>
            <w:vAlign w:val="center"/>
          </w:tcPr>
          <w:p w14:paraId="20B34641">
            <w:pPr>
              <w:numPr>
                <w:ilvl w:val="0"/>
                <w:numId w:val="0"/>
              </w:numPr>
              <w:spacing w:line="360" w:lineRule="auto"/>
              <w:ind w:leftChars="0"/>
              <w:jc w:val="center"/>
              <w:rPr>
                <w:rFonts w:hint="eastAsia" w:ascii="仿宋" w:hAnsi="仿宋" w:eastAsia="仿宋" w:cs="仿宋"/>
                <w:color w:val="000000"/>
                <w:sz w:val="24"/>
                <w:szCs w:val="24"/>
                <w:lang w:val="en-US" w:eastAsia="zh-CN"/>
              </w:rPr>
            </w:pPr>
          </w:p>
        </w:tc>
        <w:tc>
          <w:tcPr>
            <w:tcW w:w="2430" w:type="dxa"/>
            <w:noWrap w:val="0"/>
            <w:vAlign w:val="center"/>
          </w:tcPr>
          <w:p w14:paraId="626CCCB4">
            <w:pPr>
              <w:numPr>
                <w:ilvl w:val="0"/>
                <w:numId w:val="0"/>
              </w:numPr>
              <w:spacing w:line="360" w:lineRule="auto"/>
              <w:ind w:leftChars="0"/>
              <w:jc w:val="center"/>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390</w:t>
            </w:r>
            <w:r>
              <w:rPr>
                <w:rFonts w:hint="eastAsia" w:ascii="仿宋" w:hAnsi="仿宋" w:eastAsia="仿宋" w:cs="仿宋"/>
                <w:color w:val="000000"/>
                <w:sz w:val="21"/>
                <w:szCs w:val="21"/>
              </w:rPr>
              <w:t>×</w:t>
            </w:r>
            <w:r>
              <w:rPr>
                <w:rFonts w:hint="eastAsia" w:ascii="仿宋" w:hAnsi="仿宋" w:eastAsia="仿宋" w:cs="仿宋"/>
                <w:color w:val="000000"/>
                <w:sz w:val="21"/>
                <w:szCs w:val="21"/>
                <w:lang w:val="en-US" w:eastAsia="zh-CN"/>
              </w:rPr>
              <w:t>310</w:t>
            </w:r>
          </w:p>
        </w:tc>
        <w:tc>
          <w:tcPr>
            <w:tcW w:w="1783" w:type="dxa"/>
            <w:noWrap w:val="0"/>
            <w:vAlign w:val="center"/>
          </w:tcPr>
          <w:p w14:paraId="59167F52">
            <w:pPr>
              <w:numPr>
                <w:ilvl w:val="0"/>
                <w:numId w:val="0"/>
              </w:numPr>
              <w:spacing w:line="360" w:lineRule="auto"/>
              <w:ind w:leftChars="0"/>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4</w:t>
            </w:r>
          </w:p>
        </w:tc>
        <w:tc>
          <w:tcPr>
            <w:tcW w:w="2417" w:type="dxa"/>
            <w:vMerge w:val="continue"/>
            <w:noWrap w:val="0"/>
            <w:vAlign w:val="center"/>
          </w:tcPr>
          <w:p w14:paraId="2749CF15">
            <w:pPr>
              <w:numPr>
                <w:ilvl w:val="0"/>
                <w:numId w:val="0"/>
              </w:numPr>
              <w:spacing w:line="360" w:lineRule="auto"/>
              <w:ind w:leftChars="0"/>
              <w:rPr>
                <w:rFonts w:hint="eastAsia" w:ascii="仿宋" w:hAnsi="仿宋" w:eastAsia="仿宋" w:cs="仿宋"/>
                <w:color w:val="000000"/>
                <w:sz w:val="24"/>
                <w:szCs w:val="24"/>
                <w:lang w:val="en-US" w:eastAsia="zh-CN"/>
              </w:rPr>
            </w:pPr>
          </w:p>
        </w:tc>
      </w:tr>
      <w:tr w14:paraId="173AC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2" w:type="dxa"/>
            <w:vMerge w:val="continue"/>
            <w:noWrap w:val="0"/>
            <w:vAlign w:val="center"/>
          </w:tcPr>
          <w:p w14:paraId="0CEC08D5">
            <w:pPr>
              <w:numPr>
                <w:ilvl w:val="0"/>
                <w:numId w:val="0"/>
              </w:numPr>
              <w:spacing w:line="360" w:lineRule="auto"/>
              <w:ind w:leftChars="0"/>
              <w:jc w:val="center"/>
              <w:rPr>
                <w:rFonts w:hint="eastAsia" w:ascii="仿宋" w:hAnsi="仿宋" w:eastAsia="仿宋" w:cs="仿宋"/>
                <w:color w:val="000000"/>
                <w:sz w:val="24"/>
                <w:szCs w:val="24"/>
                <w:lang w:val="en-US" w:eastAsia="zh-CN"/>
              </w:rPr>
            </w:pPr>
          </w:p>
        </w:tc>
        <w:tc>
          <w:tcPr>
            <w:tcW w:w="2430" w:type="dxa"/>
            <w:noWrap w:val="0"/>
            <w:vAlign w:val="center"/>
          </w:tcPr>
          <w:p w14:paraId="0C10DE9E">
            <w:pPr>
              <w:numPr>
                <w:ilvl w:val="0"/>
                <w:numId w:val="0"/>
              </w:numPr>
              <w:spacing w:line="360" w:lineRule="auto"/>
              <w:ind w:leftChars="0"/>
              <w:jc w:val="center"/>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385</w:t>
            </w:r>
            <w:r>
              <w:rPr>
                <w:rFonts w:hint="eastAsia" w:ascii="仿宋" w:hAnsi="仿宋" w:eastAsia="仿宋" w:cs="仿宋"/>
                <w:color w:val="000000"/>
                <w:sz w:val="21"/>
                <w:szCs w:val="21"/>
              </w:rPr>
              <w:t>×</w:t>
            </w:r>
            <w:r>
              <w:rPr>
                <w:rFonts w:hint="eastAsia" w:ascii="仿宋" w:hAnsi="仿宋" w:eastAsia="仿宋" w:cs="仿宋"/>
                <w:color w:val="000000"/>
                <w:sz w:val="21"/>
                <w:szCs w:val="21"/>
                <w:lang w:val="en-US" w:eastAsia="zh-CN"/>
              </w:rPr>
              <w:t>305</w:t>
            </w:r>
          </w:p>
        </w:tc>
        <w:tc>
          <w:tcPr>
            <w:tcW w:w="1783" w:type="dxa"/>
            <w:noWrap w:val="0"/>
            <w:vAlign w:val="center"/>
          </w:tcPr>
          <w:p w14:paraId="030E71D4">
            <w:pPr>
              <w:numPr>
                <w:ilvl w:val="0"/>
                <w:numId w:val="0"/>
              </w:numPr>
              <w:spacing w:line="360" w:lineRule="auto"/>
              <w:ind w:leftChars="0"/>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3</w:t>
            </w:r>
          </w:p>
        </w:tc>
        <w:tc>
          <w:tcPr>
            <w:tcW w:w="2417" w:type="dxa"/>
            <w:vMerge w:val="continue"/>
            <w:noWrap w:val="0"/>
            <w:vAlign w:val="center"/>
          </w:tcPr>
          <w:p w14:paraId="36E92062">
            <w:pPr>
              <w:numPr>
                <w:ilvl w:val="0"/>
                <w:numId w:val="0"/>
              </w:numPr>
              <w:spacing w:line="360" w:lineRule="auto"/>
              <w:ind w:leftChars="0"/>
              <w:rPr>
                <w:rFonts w:hint="eastAsia" w:ascii="仿宋" w:hAnsi="仿宋" w:eastAsia="仿宋" w:cs="仿宋"/>
                <w:color w:val="000000"/>
                <w:sz w:val="24"/>
                <w:szCs w:val="24"/>
                <w:lang w:val="en-US" w:eastAsia="zh-CN"/>
              </w:rPr>
            </w:pPr>
          </w:p>
        </w:tc>
      </w:tr>
      <w:bookmarkEnd w:id="0"/>
    </w:tbl>
    <w:p w14:paraId="0AA280D8">
      <w:r>
        <w:rPr>
          <w:rFonts w:hint="eastAsia" w:ascii="仿宋" w:hAnsi="仿宋" w:eastAsia="仿宋" w:cs="仿宋"/>
          <w:color w:val="auto"/>
          <w:sz w:val="24"/>
          <w:szCs w:val="24"/>
        </w:rPr>
        <w:t>以上未涉及</w:t>
      </w:r>
      <w:r>
        <w:rPr>
          <w:rFonts w:hint="eastAsia" w:ascii="仿宋" w:hAnsi="仿宋" w:eastAsia="仿宋" w:cs="仿宋"/>
          <w:color w:val="auto"/>
          <w:sz w:val="24"/>
          <w:szCs w:val="24"/>
          <w:lang w:val="en-US" w:eastAsia="zh-CN"/>
        </w:rPr>
        <w:t>或</w:t>
      </w:r>
      <w:r>
        <w:rPr>
          <w:rFonts w:hint="eastAsia" w:ascii="仿宋" w:hAnsi="仿宋" w:eastAsia="仿宋" w:cs="仿宋"/>
          <w:color w:val="auto"/>
          <w:sz w:val="24"/>
          <w:szCs w:val="24"/>
        </w:rPr>
        <w:t>未明确</w:t>
      </w:r>
      <w:r>
        <w:rPr>
          <w:rFonts w:hint="eastAsia" w:ascii="仿宋" w:hAnsi="仿宋" w:eastAsia="仿宋" w:cs="仿宋"/>
          <w:color w:val="auto"/>
          <w:sz w:val="24"/>
          <w:szCs w:val="24"/>
          <w:lang w:eastAsia="zh-CN"/>
        </w:rPr>
        <w:t>的</w:t>
      </w:r>
      <w:r>
        <w:rPr>
          <w:rFonts w:hint="eastAsia" w:ascii="仿宋" w:hAnsi="仿宋" w:eastAsia="仿宋" w:cs="仿宋"/>
          <w:color w:val="auto"/>
          <w:sz w:val="24"/>
          <w:szCs w:val="24"/>
        </w:rPr>
        <w:t>事项一切以</w:t>
      </w:r>
      <w:r>
        <w:rPr>
          <w:rFonts w:hint="eastAsia" w:ascii="仿宋" w:hAnsi="仿宋" w:eastAsia="仿宋" w:cs="仿宋"/>
          <w:color w:val="auto"/>
          <w:sz w:val="24"/>
          <w:szCs w:val="24"/>
          <w:lang w:val="en-US" w:eastAsia="zh-CN"/>
        </w:rPr>
        <w:t>采购人管理</w:t>
      </w:r>
      <w:r>
        <w:rPr>
          <w:rFonts w:hint="eastAsia" w:ascii="仿宋" w:hAnsi="仿宋" w:eastAsia="仿宋" w:cs="仿宋"/>
          <w:color w:val="auto"/>
          <w:sz w:val="24"/>
          <w:szCs w:val="24"/>
        </w:rPr>
        <w:t>规定为准，本文所述要求，应视为保证涉及</w:t>
      </w:r>
      <w:r>
        <w:rPr>
          <w:rFonts w:hint="eastAsia" w:ascii="仿宋" w:hAnsi="仿宋" w:eastAsia="仿宋" w:cs="仿宋"/>
          <w:color w:val="auto"/>
          <w:sz w:val="24"/>
          <w:szCs w:val="24"/>
          <w:lang w:val="en-US" w:eastAsia="zh-CN"/>
        </w:rPr>
        <w:t>维保</w:t>
      </w:r>
      <w:r>
        <w:rPr>
          <w:rFonts w:hint="eastAsia" w:ascii="仿宋" w:hAnsi="仿宋" w:eastAsia="仿宋" w:cs="仿宋"/>
          <w:color w:val="auto"/>
          <w:sz w:val="24"/>
          <w:szCs w:val="24"/>
        </w:rPr>
        <w:t>所需的最低</w:t>
      </w:r>
      <w:r>
        <w:rPr>
          <w:rFonts w:hint="eastAsia" w:ascii="仿宋" w:hAnsi="仿宋" w:eastAsia="仿宋" w:cs="仿宋"/>
          <w:color w:val="auto"/>
          <w:sz w:val="24"/>
          <w:szCs w:val="24"/>
          <w:lang w:val="en-US" w:eastAsia="zh-CN"/>
        </w:rPr>
        <w:t>标准</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如有遗漏投标人应予</w:t>
      </w:r>
      <w:r>
        <w:rPr>
          <w:rFonts w:hint="eastAsia" w:ascii="仿宋" w:hAnsi="仿宋" w:eastAsia="仿宋" w:cs="仿宋"/>
          <w:color w:val="auto"/>
          <w:sz w:val="24"/>
          <w:szCs w:val="24"/>
          <w:lang w:val="en-US" w:eastAsia="zh-CN"/>
        </w:rPr>
        <w:t>以</w:t>
      </w:r>
      <w:r>
        <w:rPr>
          <w:rFonts w:hint="eastAsia" w:ascii="仿宋" w:hAnsi="仿宋" w:eastAsia="仿宋" w:cs="仿宋"/>
          <w:color w:val="auto"/>
          <w:sz w:val="24"/>
          <w:szCs w:val="24"/>
        </w:rPr>
        <w:t>补充</w:t>
      </w:r>
      <w:r>
        <w:rPr>
          <w:rFonts w:hint="eastAsia" w:ascii="仿宋" w:hAnsi="仿宋" w:eastAsia="仿宋" w:cs="仿宋"/>
          <w:color w:val="auto"/>
          <w:sz w:val="24"/>
          <w:szCs w:val="24"/>
          <w:lang w:eastAsia="zh-CN"/>
        </w:rPr>
        <w:t>和</w:t>
      </w:r>
      <w:r>
        <w:rPr>
          <w:rFonts w:hint="eastAsia" w:ascii="仿宋" w:hAnsi="仿宋" w:eastAsia="仿宋" w:cs="仿宋"/>
          <w:color w:val="auto"/>
          <w:sz w:val="24"/>
          <w:szCs w:val="24"/>
          <w:lang w:val="en-US" w:eastAsia="zh-CN"/>
        </w:rPr>
        <w:t>告知，并得到采购人认可</w:t>
      </w:r>
      <w:r>
        <w:rPr>
          <w:rFonts w:hint="eastAsia" w:ascii="仿宋" w:hAnsi="仿宋" w:eastAsia="仿宋" w:cs="仿宋"/>
          <w:color w:val="auto"/>
          <w:sz w:val="24"/>
          <w:szCs w:val="24"/>
        </w:rPr>
        <w:t>，否则一旦中标将视为投标人认同遗漏部分并</w:t>
      </w:r>
      <w:r>
        <w:rPr>
          <w:rFonts w:hint="eastAsia" w:ascii="仿宋" w:hAnsi="仿宋" w:eastAsia="仿宋" w:cs="仿宋"/>
          <w:color w:val="auto"/>
          <w:sz w:val="24"/>
          <w:szCs w:val="24"/>
          <w:lang w:val="en-US" w:eastAsia="zh-CN"/>
        </w:rPr>
        <w:t>无条件承担</w:t>
      </w:r>
      <w:r>
        <w:rPr>
          <w:rFonts w:hint="eastAsia" w:ascii="仿宋" w:hAnsi="仿宋" w:eastAsia="仿宋" w:cs="仿宋"/>
          <w:color w:val="auto"/>
          <w:sz w:val="24"/>
          <w:szCs w:val="24"/>
        </w:rPr>
        <w:t>。</w:t>
      </w:r>
      <w:bookmarkStart w:id="1" w:name="_GoBack"/>
      <w:bookmarkEnd w:id="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Wingdings 2">
    <w:panose1 w:val="05020102010507070707"/>
    <w:charset w:val="02"/>
    <w:family w:val="auto"/>
    <w:pitch w:val="default"/>
    <w:sig w:usb0="00000000" w:usb1="0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6B235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table" w:styleId="3">
    <w:name w:val="Table Grid"/>
    <w:basedOn w:val="2"/>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0</Words>
  <Characters>0</Characters>
  <Lines>0</Lines>
  <Paragraphs>0</Paragraphs>
  <TotalTime>0</TotalTime>
  <ScaleCrop>false</ScaleCrop>
  <LinksUpToDate>false</LinksUpToDate>
  <CharactersWithSpaces>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2026-05-11T03:15:25Z</dcterms:created>
  <dc:creator>74345</dc:creator>
  <cp:lastModifiedBy>74345</cp:lastModifiedBy>
  <dcterms:modified xsi:type="dcterms:W3CDTF">2026-05-11T03:15:29Z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eyJoZGlkIjoiMzEwNTM5NzYwMDRjMzkwZTVkZjY2ODkwMGIxNGU0OTUiLCJ1c2VySWQiOiI3MDg5NzMwNTEifQ==</vt:lpwstr>
  </property>
  <property fmtid="{D5CDD505-2E9C-101B-9397-08002B2CF9AE}" pid="4" name="ICV">
    <vt:lpwstr>EC9913FF70854E1DA90C27D9C4BCBE76_12</vt:lpwstr>
  </property>
</Properties>
</file>