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A6519A">
      <w:pPr>
        <w:numPr>
          <w:ilvl w:val="0"/>
          <w:numId w:val="1"/>
        </w:numPr>
        <w:adjustRightInd w:val="0"/>
        <w:snapToGrid w:val="0"/>
        <w:spacing w:line="360" w:lineRule="auto"/>
        <w:jc w:val="center"/>
        <w:outlineLvl w:val="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采购需求</w:t>
      </w:r>
    </w:p>
    <w:p w14:paraId="5EE2FC62">
      <w:pPr>
        <w:keepNext/>
        <w:keepLines/>
        <w:pageBreakBefore w:val="0"/>
        <w:widowControl w:val="0"/>
        <w:numPr>
          <w:ilvl w:val="0"/>
          <w:numId w:val="2"/>
        </w:numPr>
        <w:kinsoku/>
        <w:wordWrap/>
        <w:overflowPunct/>
        <w:topLinePunct w:val="0"/>
        <w:bidi w:val="0"/>
        <w:spacing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项目概况</w:t>
      </w:r>
    </w:p>
    <w:p w14:paraId="016BBBD1">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项目名称：湘麓轩厨房设备采购及安装</w:t>
      </w:r>
    </w:p>
    <w:p w14:paraId="20DA0089">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项目预算：</w:t>
      </w:r>
      <w:r>
        <w:rPr>
          <w:rFonts w:hint="eastAsia" w:ascii="Times New Roman" w:hAnsi="宋体" w:eastAsia="宋体" w:cs="Times New Roman"/>
          <w:color w:val="auto"/>
          <w:highlight w:val="none"/>
          <w:u w:val="none"/>
          <w:lang w:val="en-US" w:eastAsia="zh-CN"/>
        </w:rPr>
        <w:t>1697772</w:t>
      </w:r>
      <w:r>
        <w:rPr>
          <w:rFonts w:hint="eastAsia" w:ascii="Times New Roman" w:hAnsi="宋体" w:eastAsia="宋体" w:cs="Times New Roman"/>
          <w:color w:val="auto"/>
          <w:highlight w:val="none"/>
          <w:u w:val="none"/>
        </w:rPr>
        <w:t>元</w:t>
      </w:r>
      <w:r>
        <w:rPr>
          <w:rFonts w:hint="eastAsia" w:ascii="Times New Roman" w:hAnsi="宋体" w:eastAsia="宋体" w:cs="Times New Roman"/>
          <w:color w:val="auto"/>
          <w:highlight w:val="none"/>
          <w:u w:val="none"/>
          <w:lang w:val="en-US" w:eastAsia="zh-CN"/>
        </w:rPr>
        <w:t>（最高限价：1697772</w:t>
      </w:r>
      <w:r>
        <w:rPr>
          <w:rFonts w:hint="eastAsia" w:ascii="Times New Roman" w:hAnsi="宋体" w:eastAsia="宋体" w:cs="Times New Roman"/>
          <w:color w:val="auto"/>
          <w:highlight w:val="none"/>
          <w:u w:val="none"/>
        </w:rPr>
        <w:t>元</w:t>
      </w:r>
      <w:r>
        <w:rPr>
          <w:rFonts w:hint="eastAsia" w:ascii="Times New Roman" w:hAnsi="宋体" w:eastAsia="宋体" w:cs="Times New Roman"/>
          <w:color w:val="auto"/>
          <w:highlight w:val="none"/>
          <w:u w:val="none"/>
          <w:lang w:val="en-US" w:eastAsia="zh-CN"/>
        </w:rPr>
        <w:t>）</w:t>
      </w:r>
    </w:p>
    <w:p w14:paraId="6082A7F9">
      <w:pPr>
        <w:keepNext w:val="0"/>
        <w:keepLines w:val="0"/>
        <w:pageBreakBefore w:val="0"/>
        <w:widowControl w:val="0"/>
        <w:numPr>
          <w:ilvl w:val="0"/>
          <w:numId w:val="0"/>
        </w:numPr>
        <w:kinsoku/>
        <w:wordWrap/>
        <w:overflowPunct/>
        <w:topLinePunct w:val="0"/>
        <w:autoSpaceDE w:val="0"/>
        <w:autoSpaceDN w:val="0"/>
        <w:bidi w:val="0"/>
        <w:adjustRightInd w:val="0"/>
        <w:snapToGrid/>
        <w:spacing w:beforeAutospacing="0"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项目背景：本项目为东区</w:t>
      </w:r>
      <w:r>
        <w:rPr>
          <w:rFonts w:hint="eastAsia" w:ascii="宋体" w:hAnsi="宋体" w:eastAsia="宋体" w:cs="宋体"/>
          <w:b w:val="0"/>
          <w:bCs w:val="0"/>
          <w:color w:val="auto"/>
          <w:sz w:val="21"/>
          <w:szCs w:val="21"/>
          <w:highlight w:val="none"/>
          <w:lang w:val="en-US" w:eastAsia="zh-CN"/>
        </w:rPr>
        <w:t>湘麓轩</w:t>
      </w:r>
      <w:r>
        <w:rPr>
          <w:rFonts w:hint="eastAsia" w:ascii="宋体" w:hAnsi="宋体" w:eastAsia="宋体" w:cs="宋体"/>
          <w:color w:val="auto"/>
          <w:sz w:val="21"/>
          <w:szCs w:val="21"/>
          <w:highlight w:val="none"/>
          <w:lang w:val="en-US" w:eastAsia="zh-CN"/>
        </w:rPr>
        <w:t>改造工程的设备采购与配套安装，建成后为学员、教职工提供餐饮服务。</w:t>
      </w:r>
    </w:p>
    <w:p w14:paraId="750E608B">
      <w:pPr>
        <w:keepNext/>
        <w:keepLines/>
        <w:pageBreakBefore w:val="0"/>
        <w:widowControl w:val="0"/>
        <w:numPr>
          <w:ilvl w:val="0"/>
          <w:numId w:val="2"/>
        </w:numPr>
        <w:kinsoku/>
        <w:wordWrap/>
        <w:overflowPunct/>
        <w:topLinePunct w:val="0"/>
        <w:bidi w:val="0"/>
        <w:spacing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设备采购清单及主要规格参数</w:t>
      </w:r>
    </w:p>
    <w:tbl>
      <w:tblPr>
        <w:tblStyle w:val="2"/>
        <w:tblW w:w="51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5"/>
        <w:gridCol w:w="1439"/>
        <w:gridCol w:w="1272"/>
        <w:gridCol w:w="607"/>
        <w:gridCol w:w="440"/>
        <w:gridCol w:w="4299"/>
      </w:tblGrid>
      <w:tr w14:paraId="69A91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auto" w:sz="4" w:space="0"/>
              <w:right w:val="single" w:color="000000" w:sz="4" w:space="0"/>
            </w:tcBorders>
            <w:noWrap w:val="0"/>
            <w:vAlign w:val="center"/>
          </w:tcPr>
          <w:p w14:paraId="78C1AE8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序号</w:t>
            </w:r>
          </w:p>
        </w:tc>
        <w:tc>
          <w:tcPr>
            <w:tcW w:w="827" w:type="pct"/>
            <w:tcBorders>
              <w:top w:val="single" w:color="000000" w:sz="4" w:space="0"/>
              <w:left w:val="single" w:color="000000" w:sz="4" w:space="0"/>
              <w:bottom w:val="single" w:color="auto" w:sz="4" w:space="0"/>
              <w:right w:val="single" w:color="000000" w:sz="4" w:space="0"/>
            </w:tcBorders>
            <w:noWrap w:val="0"/>
            <w:vAlign w:val="center"/>
          </w:tcPr>
          <w:p w14:paraId="11D34787">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品名</w:t>
            </w:r>
          </w:p>
        </w:tc>
        <w:tc>
          <w:tcPr>
            <w:tcW w:w="731" w:type="pct"/>
            <w:tcBorders>
              <w:top w:val="single" w:color="000000" w:sz="4" w:space="0"/>
              <w:left w:val="single" w:color="000000" w:sz="4" w:space="0"/>
              <w:bottom w:val="single" w:color="auto" w:sz="4" w:space="0"/>
              <w:right w:val="single" w:color="000000" w:sz="4" w:space="0"/>
            </w:tcBorders>
            <w:noWrap/>
            <w:vAlign w:val="center"/>
          </w:tcPr>
          <w:p w14:paraId="7AA229F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规格</w:t>
            </w:r>
          </w:p>
        </w:tc>
        <w:tc>
          <w:tcPr>
            <w:tcW w:w="349" w:type="pct"/>
            <w:tcBorders>
              <w:top w:val="single" w:color="000000" w:sz="4" w:space="0"/>
              <w:left w:val="single" w:color="000000" w:sz="4" w:space="0"/>
              <w:bottom w:val="single" w:color="auto" w:sz="4" w:space="0"/>
              <w:right w:val="single" w:color="000000" w:sz="4" w:space="0"/>
            </w:tcBorders>
            <w:noWrap/>
            <w:vAlign w:val="center"/>
          </w:tcPr>
          <w:p w14:paraId="761253A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数量</w:t>
            </w:r>
          </w:p>
        </w:tc>
        <w:tc>
          <w:tcPr>
            <w:tcW w:w="253" w:type="pct"/>
            <w:tcBorders>
              <w:top w:val="single" w:color="000000" w:sz="4" w:space="0"/>
              <w:left w:val="single" w:color="000000" w:sz="4" w:space="0"/>
              <w:bottom w:val="single" w:color="auto" w:sz="4" w:space="0"/>
              <w:right w:val="single" w:color="000000" w:sz="4" w:space="0"/>
            </w:tcBorders>
            <w:noWrap/>
            <w:vAlign w:val="center"/>
          </w:tcPr>
          <w:p w14:paraId="475DD2D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单位</w:t>
            </w:r>
          </w:p>
        </w:tc>
        <w:tc>
          <w:tcPr>
            <w:tcW w:w="2472" w:type="pct"/>
            <w:tcBorders>
              <w:top w:val="single" w:color="000000" w:sz="4" w:space="0"/>
              <w:left w:val="single" w:color="000000" w:sz="4" w:space="0"/>
              <w:bottom w:val="single" w:color="auto" w:sz="4" w:space="0"/>
              <w:right w:val="single" w:color="000000" w:sz="4" w:space="0"/>
            </w:tcBorders>
            <w:noWrap/>
            <w:vAlign w:val="center"/>
          </w:tcPr>
          <w:p w14:paraId="499B6FB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rPr>
              <w:t>技术参数</w:t>
            </w:r>
          </w:p>
        </w:tc>
      </w:tr>
      <w:tr w14:paraId="64B71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auto" w:sz="4" w:space="0"/>
              <w:left w:val="single" w:color="auto" w:sz="4" w:space="0"/>
              <w:bottom w:val="single" w:color="auto" w:sz="4" w:space="0"/>
              <w:right w:val="single" w:color="auto" w:sz="4" w:space="0"/>
            </w:tcBorders>
            <w:noWrap/>
            <w:vAlign w:val="center"/>
          </w:tcPr>
          <w:p w14:paraId="3146486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一</w:t>
            </w:r>
          </w:p>
        </w:tc>
        <w:tc>
          <w:tcPr>
            <w:tcW w:w="827" w:type="pct"/>
            <w:tcBorders>
              <w:top w:val="single" w:color="auto" w:sz="4" w:space="0"/>
              <w:left w:val="single" w:color="auto" w:sz="4" w:space="0"/>
              <w:bottom w:val="single" w:color="auto" w:sz="4" w:space="0"/>
              <w:right w:val="single" w:color="auto" w:sz="4" w:space="0"/>
            </w:tcBorders>
            <w:noWrap/>
            <w:vAlign w:val="center"/>
          </w:tcPr>
          <w:p w14:paraId="228BC6A4">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rPr>
            </w:pPr>
            <w:r>
              <w:rPr>
                <w:rFonts w:hint="eastAsia" w:ascii="宋体" w:hAnsi="宋体" w:eastAsia="宋体" w:cs="宋体"/>
                <w:b/>
                <w:bCs/>
                <w:i w:val="0"/>
                <w:iCs w:val="0"/>
                <w:color w:val="auto"/>
                <w:kern w:val="0"/>
                <w:sz w:val="18"/>
                <w:szCs w:val="18"/>
                <w:highlight w:val="none"/>
                <w:u w:val="none"/>
                <w:lang w:val="en-US" w:eastAsia="zh-CN"/>
              </w:rPr>
              <w:t>电器类</w:t>
            </w:r>
          </w:p>
        </w:tc>
        <w:tc>
          <w:tcPr>
            <w:tcW w:w="731" w:type="pct"/>
            <w:tcBorders>
              <w:top w:val="single" w:color="auto" w:sz="4" w:space="0"/>
              <w:left w:val="single" w:color="auto" w:sz="4" w:space="0"/>
              <w:bottom w:val="single" w:color="auto" w:sz="4" w:space="0"/>
              <w:right w:val="single" w:color="auto" w:sz="4" w:space="0"/>
            </w:tcBorders>
            <w:noWrap/>
            <w:vAlign w:val="top"/>
          </w:tcPr>
          <w:p w14:paraId="50434996">
            <w:pPr>
              <w:jc w:val="center"/>
              <w:rPr>
                <w:rFonts w:hint="eastAsia" w:ascii="宋体" w:hAnsi="宋体" w:eastAsia="宋体" w:cs="宋体"/>
                <w:i w:val="0"/>
                <w:iCs w:val="0"/>
                <w:color w:val="auto"/>
                <w:sz w:val="18"/>
                <w:szCs w:val="18"/>
                <w:highlight w:val="none"/>
                <w:u w:val="none"/>
              </w:rPr>
            </w:pPr>
          </w:p>
        </w:tc>
        <w:tc>
          <w:tcPr>
            <w:tcW w:w="349" w:type="pct"/>
            <w:tcBorders>
              <w:top w:val="single" w:color="auto" w:sz="4" w:space="0"/>
              <w:left w:val="single" w:color="auto" w:sz="4" w:space="0"/>
              <w:bottom w:val="single" w:color="auto" w:sz="4" w:space="0"/>
              <w:right w:val="single" w:color="auto" w:sz="4" w:space="0"/>
            </w:tcBorders>
            <w:noWrap/>
            <w:vAlign w:val="top"/>
          </w:tcPr>
          <w:p w14:paraId="20F7A7AA">
            <w:pPr>
              <w:jc w:val="center"/>
              <w:rPr>
                <w:rFonts w:hint="eastAsia" w:ascii="宋体" w:hAnsi="宋体" w:eastAsia="宋体" w:cs="宋体"/>
                <w:i w:val="0"/>
                <w:iCs w:val="0"/>
                <w:color w:val="auto"/>
                <w:sz w:val="18"/>
                <w:szCs w:val="18"/>
                <w:highlight w:val="none"/>
                <w:u w:val="none"/>
              </w:rPr>
            </w:pPr>
          </w:p>
        </w:tc>
        <w:tc>
          <w:tcPr>
            <w:tcW w:w="253" w:type="pct"/>
            <w:tcBorders>
              <w:top w:val="single" w:color="auto" w:sz="4" w:space="0"/>
              <w:left w:val="single" w:color="auto" w:sz="4" w:space="0"/>
              <w:bottom w:val="single" w:color="auto" w:sz="4" w:space="0"/>
              <w:right w:val="single" w:color="auto" w:sz="4" w:space="0"/>
            </w:tcBorders>
            <w:noWrap/>
            <w:vAlign w:val="top"/>
          </w:tcPr>
          <w:p w14:paraId="2DAA00CC">
            <w:pPr>
              <w:jc w:val="center"/>
              <w:rPr>
                <w:rFonts w:hint="eastAsia" w:ascii="宋体" w:hAnsi="宋体" w:eastAsia="宋体" w:cs="宋体"/>
                <w:i w:val="0"/>
                <w:iCs w:val="0"/>
                <w:color w:val="auto"/>
                <w:sz w:val="18"/>
                <w:szCs w:val="18"/>
                <w:highlight w:val="none"/>
                <w:u w:val="none"/>
              </w:rPr>
            </w:pPr>
          </w:p>
        </w:tc>
        <w:tc>
          <w:tcPr>
            <w:tcW w:w="2472" w:type="pct"/>
            <w:tcBorders>
              <w:top w:val="single" w:color="auto" w:sz="4" w:space="0"/>
              <w:left w:val="single" w:color="auto" w:sz="4" w:space="0"/>
              <w:bottom w:val="single" w:color="auto" w:sz="4" w:space="0"/>
              <w:right w:val="single" w:color="auto" w:sz="4" w:space="0"/>
            </w:tcBorders>
            <w:noWrap/>
            <w:vAlign w:val="top"/>
          </w:tcPr>
          <w:p w14:paraId="5899CED3">
            <w:pPr>
              <w:jc w:val="center"/>
              <w:rPr>
                <w:rFonts w:hint="eastAsia" w:ascii="宋体" w:hAnsi="宋体" w:eastAsia="宋体" w:cs="宋体"/>
                <w:i w:val="0"/>
                <w:iCs w:val="0"/>
                <w:color w:val="auto"/>
                <w:sz w:val="18"/>
                <w:szCs w:val="18"/>
                <w:highlight w:val="none"/>
                <w:u w:val="none"/>
              </w:rPr>
            </w:pPr>
          </w:p>
        </w:tc>
      </w:tr>
      <w:tr w14:paraId="71DA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auto" w:sz="4" w:space="0"/>
              <w:left w:val="single" w:color="000000" w:sz="4" w:space="0"/>
              <w:bottom w:val="single" w:color="000000" w:sz="4" w:space="0"/>
              <w:right w:val="single" w:color="000000" w:sz="4" w:space="0"/>
            </w:tcBorders>
            <w:noWrap w:val="0"/>
            <w:vAlign w:val="center"/>
          </w:tcPr>
          <w:p w14:paraId="08B2B23D">
            <w:pPr>
              <w:numPr>
                <w:ilvl w:val="0"/>
                <w:numId w:val="3"/>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auto" w:sz="4" w:space="0"/>
              <w:left w:val="single" w:color="000000" w:sz="4" w:space="0"/>
              <w:bottom w:val="single" w:color="000000" w:sz="4" w:space="0"/>
              <w:right w:val="single" w:color="000000" w:sz="4" w:space="0"/>
            </w:tcBorders>
            <w:noWrap w:val="0"/>
            <w:vAlign w:val="center"/>
          </w:tcPr>
          <w:p w14:paraId="14E13B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粘捕式灭蝇灯</w:t>
            </w:r>
          </w:p>
        </w:tc>
        <w:tc>
          <w:tcPr>
            <w:tcW w:w="731" w:type="pct"/>
            <w:tcBorders>
              <w:top w:val="single" w:color="auto" w:sz="4" w:space="0"/>
              <w:left w:val="single" w:color="000000" w:sz="4" w:space="0"/>
              <w:bottom w:val="single" w:color="000000" w:sz="4" w:space="0"/>
              <w:right w:val="single" w:color="000000" w:sz="4" w:space="0"/>
            </w:tcBorders>
            <w:noWrap w:val="0"/>
            <w:vAlign w:val="center"/>
          </w:tcPr>
          <w:p w14:paraId="37F01CA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400mm×120mm×170mm</w:t>
            </w:r>
          </w:p>
        </w:tc>
        <w:tc>
          <w:tcPr>
            <w:tcW w:w="349" w:type="pct"/>
            <w:tcBorders>
              <w:top w:val="single" w:color="auto" w:sz="4" w:space="0"/>
              <w:left w:val="single" w:color="000000" w:sz="4" w:space="0"/>
              <w:bottom w:val="single" w:color="000000" w:sz="4" w:space="0"/>
              <w:right w:val="single" w:color="000000" w:sz="4" w:space="0"/>
            </w:tcBorders>
            <w:noWrap w:val="0"/>
            <w:vAlign w:val="center"/>
          </w:tcPr>
          <w:p w14:paraId="52A946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w:t>
            </w:r>
          </w:p>
        </w:tc>
        <w:tc>
          <w:tcPr>
            <w:tcW w:w="253" w:type="pct"/>
            <w:tcBorders>
              <w:top w:val="single" w:color="auto" w:sz="4" w:space="0"/>
              <w:left w:val="single" w:color="000000" w:sz="4" w:space="0"/>
              <w:bottom w:val="single" w:color="000000" w:sz="4" w:space="0"/>
              <w:right w:val="single" w:color="000000" w:sz="4" w:space="0"/>
            </w:tcBorders>
            <w:noWrap w:val="0"/>
            <w:vAlign w:val="center"/>
          </w:tcPr>
          <w:p w14:paraId="44A7D8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auto" w:sz="4" w:space="0"/>
              <w:left w:val="single" w:color="000000" w:sz="4" w:space="0"/>
              <w:bottom w:val="single" w:color="000000" w:sz="4" w:space="0"/>
              <w:right w:val="single" w:color="000000" w:sz="4" w:space="0"/>
            </w:tcBorders>
            <w:noWrap w:val="0"/>
            <w:vAlign w:val="center"/>
          </w:tcPr>
          <w:p w14:paraId="049D6AD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工作方式：粘捕式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额定功率：8W-15W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覆盖面积：30-50m</w:t>
            </w:r>
            <w:r>
              <w:rPr>
                <w:rFonts w:hint="eastAsia" w:ascii="宋体" w:hAnsi="宋体" w:eastAsia="宋体" w:cs="宋体"/>
                <w:i w:val="0"/>
                <w:iCs w:val="0"/>
                <w:color w:val="auto"/>
                <w:kern w:val="0"/>
                <w:sz w:val="18"/>
                <w:szCs w:val="18"/>
                <w:highlight w:val="none"/>
                <w:u w:val="none"/>
                <w:vertAlign w:val="superscript"/>
                <w:lang w:val="en-US" w:eastAsia="zh-CN"/>
              </w:rPr>
              <w:t>2</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额定电压：220V-50HZ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材料等级：ABS阻燃材料</w:t>
            </w:r>
          </w:p>
        </w:tc>
      </w:tr>
      <w:tr w14:paraId="78DD1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52397D">
            <w:pPr>
              <w:numPr>
                <w:ilvl w:val="0"/>
                <w:numId w:val="3"/>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EEBA5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电子秤</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BD1F6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300KG</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35F8C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DC03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FD274E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335FF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608FD3B6">
            <w:pPr>
              <w:numPr>
                <w:ilvl w:val="0"/>
                <w:numId w:val="3"/>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874F8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风幕机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A26C8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1500mm×212mm×226mm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02C7C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AC12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8CBBFB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功率：≥150W-160W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噪声：符合国家标准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风轮直径：100mm</w:t>
            </w:r>
          </w:p>
        </w:tc>
      </w:tr>
      <w:tr w14:paraId="5519D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0EF8E500">
            <w:p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DA5A7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61006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1200mm×212mm×226mm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2EAB31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A72BB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475118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功率：≥120W-130W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噪声：符合国家标准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风轮直径：100mm</w:t>
            </w:r>
          </w:p>
        </w:tc>
      </w:tr>
      <w:tr w14:paraId="624CF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AFFDC34">
            <w:pPr>
              <w:numPr>
                <w:ilvl w:val="0"/>
                <w:numId w:val="3"/>
              </w:numPr>
              <w:tabs>
                <w:tab w:val="left" w:pos="220"/>
              </w:tabs>
              <w:adjustRightInd w:val="0"/>
              <w:snapToGrid w:val="0"/>
              <w:spacing w:line="280" w:lineRule="exact"/>
              <w:ind w:firstLine="0"/>
              <w:jc w:val="center"/>
              <w:rPr>
                <w:rFonts w:hint="eastAsia" w:ascii="宋体" w:hAnsi="宋体" w:eastAsia="宋体" w:cs="宋体"/>
                <w:color w:val="auto"/>
                <w:sz w:val="18"/>
                <w:szCs w:val="18"/>
                <w:highlight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AB5AE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绞切肉机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179D1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630mm×430mm×800mm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2561F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363A3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D5F448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1、电压：220V~；功率：2.2kW；频率：50Hz；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▲2、采用触控面板，防尘能力≥IP6X，防水能力≥IPX8，符合GB/T4208-2017标准；产品具有耐燃和阻燃性能，火焰产生时间不超过2s；铁制零件具有防锈能力；器具不存在毒性或类似的危险，符合GB 4706.38-2008；切制的肉片、肉丝、肉丁应尺寸准确,厚薄均匀，每片厚度偏差不超过0.5mm，产品符合SB/T 10549-2009。</w:t>
            </w:r>
          </w:p>
        </w:tc>
      </w:tr>
      <w:tr w14:paraId="684B3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E0A5035">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2897BC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全能切菜机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18DCCC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1250mm×600mm×1300mm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0F59E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6D79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B7FBBC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1、电压：220V~；功率：≤3kW；频率：50Hz；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2、符合GB 4706.38-2008；有带电防护；仅允许触及由双重绝缘或加强绝缘与带电部件隔开的部件；装在器具内的电动机如果启动时间延长会导致危险，应在3s内启动完毕；器具承受可能出现的潮湿条件，潮湿处理≥24小时。</w:t>
            </w:r>
          </w:p>
        </w:tc>
      </w:tr>
      <w:tr w14:paraId="2BEBF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B2C2434">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0F4F2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24盘电力智能型蒸饭柜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EE0A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1405mm×650mm×1580mm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4877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71BF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16B8DF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蒸饭量：≥75kg</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可供人数：500~600人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蒸饭时间：≤60分钟</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功率：≥24kw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电压：380V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盆数：24盆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结构：双门双控</w:t>
            </w:r>
          </w:p>
        </w:tc>
      </w:tr>
      <w:tr w14:paraId="022E7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6D68078">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3834C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电海鲜蒸柜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09B0F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1200mm×1000mm×1900mm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0496A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C44E7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4F1BCC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1、一体成型柜体设计蒸汽U型通道设计，可自动排出冷凝水。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2、开门自动关闭蒸汽装置，外置排水开关。</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3、高水箱低水位，，双低水位保护与干烧保护配合。</w:t>
            </w:r>
          </w:p>
        </w:tc>
      </w:tr>
      <w:tr w14:paraId="06688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5F9A992">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EB25F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电磁六头煲仔炉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3772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FD4A5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B6B3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CB4337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1、铜芯线，均与分布线盘，热效率利用高，发热效率快，使用100000小时无损。</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2、采用具有耐高温耐冲击力微晶玻璃；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3、五档火力调节，一炉一控。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4、有散热风扇。</w:t>
            </w:r>
          </w:p>
        </w:tc>
      </w:tr>
      <w:tr w14:paraId="21D89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6F7D2EF">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B3BA4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60型单开门</w:t>
            </w:r>
          </w:p>
          <w:p w14:paraId="06C6D6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万能组合消毒柜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C8538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600mm×600mm×1800mm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29D10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9FE6B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7A4060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2、可容纳：厚度≤10厘米砧板4块，刀具、毛巾若干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3、刀具和砧板采用高温热风循环消毒</w:t>
            </w:r>
          </w:p>
        </w:tc>
      </w:tr>
      <w:tr w14:paraId="1422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2"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B79A8C5">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D233B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电可倾式夹层锅</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0F570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1650mm×1150mm×1000mm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6144D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9F5E9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31174E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1、全不锈钢结构，一体化设计；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2、智能数码显示，可操控火力大小；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3、电压/功率：380V/25KW；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4、锅内直径：900mm；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5、锅内深度：450mm。</w:t>
            </w:r>
          </w:p>
        </w:tc>
      </w:tr>
      <w:tr w14:paraId="30E4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780F7C5">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585C0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电热开水器</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4F0CE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430mm×290mm×770mm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0B14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F4986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6B7812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电源种类：50Hz 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产品功率：≥6KW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产品容量：≥42L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产品水咀：2个</w:t>
            </w:r>
          </w:p>
        </w:tc>
      </w:tr>
      <w:tr w14:paraId="4626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3"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2FA5F50">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93628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1C990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550mm×515mm×1700mm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5E880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7D585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123987E">
            <w:pPr>
              <w:keepNext w:val="0"/>
              <w:keepLines w:val="0"/>
              <w:widowControl/>
              <w:suppressLineNumbers w:val="0"/>
              <w:jc w:val="both"/>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电源种类：50Hz 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产品功率：≥3KW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产品容量：≥40L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产品水咀：2个</w:t>
            </w:r>
          </w:p>
        </w:tc>
      </w:tr>
      <w:tr w14:paraId="68D73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5738EB3">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75D1B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紫外线消毒灯</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0F33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920mm×130mm×80mm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65BF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9F5CD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F73B94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功率:100W</w:t>
            </w:r>
          </w:p>
        </w:tc>
      </w:tr>
      <w:tr w14:paraId="15D4E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CB7FD50">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5F007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干手器</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CD5F0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156mm×176mm×207mm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698A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3B841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B6554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壳采用一体成型，底部厚度大于19CM，可双面出风喷气，5-7秒时间实现干手，内置空气压缩箱，一边风干一边沥干，1000W功率电机，噪音低，启动性能好，内置金属涡轮增压风扇，金属结构，圆形风孔大于48个，带降噪音园弧，可以智能感应。</w:t>
            </w:r>
          </w:p>
        </w:tc>
      </w:tr>
      <w:tr w14:paraId="393F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B9384BA">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A4BAF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刀具消毒柜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D89D32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460mm×95mm×610mm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4B376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A09BB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BCA9C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2、可容纳：刀具、毛巾若干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3、刀具和砧板采用高温热风循环消毒</w:t>
            </w:r>
          </w:p>
        </w:tc>
      </w:tr>
      <w:tr w14:paraId="686F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175FFA1">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E94C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商用热风循环消毒柜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C1B15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1440mm×670mm×1940mm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8986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E1AD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8AE5B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1、功率/电压：≥4KW/220V；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2、外壳须采用无磁不锈钢板制作，高压整体发泡保温层，移动式层架，具有定温定时功能。</w:t>
            </w:r>
          </w:p>
        </w:tc>
      </w:tr>
      <w:tr w14:paraId="4FAC4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D537FF5">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DBA02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台式电扒炉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4E8C6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600mm×650mm×475mm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D2F0A7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54C11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B77954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功率（kw）：≥7</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电压（V）：380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温度范围（℃）：50-300℃</w:t>
            </w:r>
          </w:p>
        </w:tc>
      </w:tr>
      <w:tr w14:paraId="609CB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FA19CA8">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5885D5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长龙洗碗机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7A24F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4010mm×830mm×2150mm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B48E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DB1D2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0EC69D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1、功率参数：整机功率≤70KW(380V/50Hz）；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2、功能配置：强力清洗+高温漂洗消毒+热风烘干；</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3、温度：主洗温度55-65℃，漂洗80-90℃，稳定恒温清洗模式；烘干温度90-110℃；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4、清洗数量：1500-2000件（6寸碟/小时）；</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5、节能装置：多组特定的红外光电感应开关；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6、漂洗消毒方式：独有的侧漂洗设计，催干剂喷洒更均匀，高温水与餐具360°接触；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7、▲耐湿热、抗冲击、结构强度与材料特性、高低温冲击等性能满足GB/T 2423.3-2016、GB/T 2423.55-2023、GB/T2423.56-2023、GB/T 2423.22-2012。</w:t>
            </w:r>
          </w:p>
        </w:tc>
      </w:tr>
      <w:tr w14:paraId="63C20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C7024B3">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4CB26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电磁单头单尾小炒灶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28726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1100mm×1150mm×800mm+400mm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7710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E3359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0C16EAA">
            <w:pPr>
              <w:keepNext w:val="0"/>
              <w:keepLines w:val="0"/>
              <w:widowControl/>
              <w:numPr>
                <w:ilvl w:val="0"/>
                <w:numId w:val="4"/>
              </w:numPr>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机芯采用分层次散热结构，机芯外壳采用黑色汽车烤漆金属机箱达到拒绝导电效果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2、具有全中文显示故障代码功能，档位对应功率显示。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3、具有仿真模拟真火功能，不以单纯的数字显示火力大小。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4、采用防水等级大于IPX4（IPX7）大显示屏；</w:t>
            </w:r>
          </w:p>
          <w:p w14:paraId="20CB8964">
            <w:pPr>
              <w:keepNext w:val="0"/>
              <w:keepLines w:val="0"/>
              <w:widowControl/>
              <w:numPr>
                <w:ilvl w:val="0"/>
                <w:numId w:val="0"/>
              </w:numPr>
              <w:suppressLineNumbers w:val="0"/>
              <w:ind w:left="0" w:leftChars="0" w:firstLine="0" w:firstLineChars="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5、用电度数累计功能，即时察看节能用电信息；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6、高频铜线聚能线盘采用节能设计；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 移相铜条搭桥电路控制技术；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8、 配备符合食品安全国家标准的80cm口径铁锅</w:t>
            </w:r>
          </w:p>
        </w:tc>
      </w:tr>
      <w:tr w14:paraId="1BF89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50B6A7F">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BD175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微波炉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64A8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287mm×490mm×390mm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0A7F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7A74B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068021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1.容量：≥25L；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2.功率：≥1kW；</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3.电源：220V/50Hz；</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4.内胆材料：不锈钢材质。</w:t>
            </w:r>
          </w:p>
        </w:tc>
      </w:tr>
      <w:tr w14:paraId="5AEA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F1C2A35">
            <w:pPr>
              <w:numPr>
                <w:ilvl w:val="0"/>
                <w:numId w:val="0"/>
              </w:numPr>
              <w:tabs>
                <w:tab w:val="left" w:pos="220"/>
              </w:tabs>
              <w:adjustRightInd w:val="0"/>
              <w:snapToGrid w:val="0"/>
              <w:spacing w:line="280" w:lineRule="exact"/>
              <w:ind w:leftChars="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二</w:t>
            </w: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0488E45">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制冷类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C9FC8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BEA8B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BEC93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D795D4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C8A6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0506AC1">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83B5D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展示柜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64CA1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1220mm×760mm×1950mm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DFFDE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6D094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73F9F3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电压：220V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功率：1KW</w:t>
            </w:r>
          </w:p>
        </w:tc>
      </w:tr>
      <w:tr w14:paraId="31D5D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8A1F45C">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94ADFE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双门留样柜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C4DBE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1200mm×620mm×2040mm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A700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F2C8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072D90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多层搁板自由组合，角度可调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全景式设计，采用钢化中空玻璃</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化霜系统采用双温双控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温度：0~10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电源：220V/50Hz</w:t>
            </w:r>
          </w:p>
        </w:tc>
      </w:tr>
      <w:tr w14:paraId="1E94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5C25AA9A">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548EED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冷藏操作台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61997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B3ABC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AFD3B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4C49E5E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采用201不锈钢，内箱圆弧设计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外嵌式蒸发器，外挂防尘网</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28cm小机组设计， 3D立体回风系统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顶部斜45°出风设计，360° 风冷无霜循环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冷冻门框加装发热丝</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内箱尺寸(mm)：1380×570/410×590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控温类型：电子数字温控</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制冷剂：冷藏：R134a,冷冻：R404a</w:t>
            </w:r>
          </w:p>
        </w:tc>
      </w:tr>
      <w:tr w14:paraId="28103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15D2506">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7BC06E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06310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FF4EE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AD280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015107E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AB4B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CB52985">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restart"/>
            <w:tcBorders>
              <w:left w:val="single" w:color="000000" w:sz="4" w:space="0"/>
              <w:right w:val="single" w:color="000000" w:sz="4" w:space="0"/>
            </w:tcBorders>
            <w:noWrap w:val="0"/>
            <w:vAlign w:val="center"/>
          </w:tcPr>
          <w:p w14:paraId="426701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立式厨房柜</w:t>
            </w:r>
            <w:r>
              <w:rPr>
                <w:rFonts w:hint="eastAsia" w:ascii="宋体" w:hAnsi="宋体" w:eastAsia="宋体" w:cs="宋体"/>
                <w:i w:val="0"/>
                <w:iCs w:val="0"/>
                <w:color w:val="auto"/>
                <w:kern w:val="0"/>
                <w:sz w:val="18"/>
                <w:szCs w:val="18"/>
                <w:highlight w:val="none"/>
                <w:u w:val="none"/>
                <w:lang w:val="en-US" w:eastAsia="zh-CN"/>
              </w:rPr>
              <w:br w:type="textWrapping"/>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01A22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1200mm×700mm×1900mm</w:t>
            </w:r>
          </w:p>
          <w:p w14:paraId="077672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（四门双温）</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7A277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D17E2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left w:val="single" w:color="000000" w:sz="4" w:space="0"/>
              <w:right w:val="single" w:color="000000" w:sz="4" w:space="0"/>
            </w:tcBorders>
            <w:noWrap w:val="0"/>
            <w:vAlign w:val="center"/>
          </w:tcPr>
          <w:p w14:paraId="740612C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1、须采用按键式电子温控器，整机机身采用抗指纹板材，压缩机性能可以承担整体温控功能，中梁加热，两个定向轮、两个万向轮，</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2、0.5mm的箱体板材，50mm发泡层，钢回弹门，中梁加热，负载，内部采用喷塑金属承重层架。</w:t>
            </w:r>
          </w:p>
        </w:tc>
      </w:tr>
      <w:tr w14:paraId="56F6C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6E09ED4">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40F82E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35AFB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1800mm×700mm×1980mm</w:t>
            </w:r>
          </w:p>
          <w:p w14:paraId="72BD481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（六门双温）</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2300F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89A5B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D31AEA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A7B3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7" w:hRule="atLeast"/>
          <w:jc w:val="center"/>
        </w:trPr>
        <w:tc>
          <w:tcPr>
            <w:tcW w:w="365" w:type="pct"/>
            <w:tcBorders>
              <w:left w:val="single" w:color="000000" w:sz="4" w:space="0"/>
              <w:bottom w:val="single" w:color="000000" w:sz="4" w:space="0"/>
              <w:right w:val="single" w:color="000000" w:sz="4" w:space="0"/>
            </w:tcBorders>
            <w:noWrap w:val="0"/>
            <w:vAlign w:val="center"/>
          </w:tcPr>
          <w:p w14:paraId="19569013">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6530AB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保鲜库</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FCC7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3680mm×3700mm×2600mm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D987A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A6415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299670C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温度:+2～+6℃，保温:聚氨酯，</w:t>
            </w:r>
          </w:p>
          <w:p w14:paraId="60AEB7F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库板：采用SUS304不锈钢材料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防水:SBS沥青防水层2.5mm厚/地板覆压花铝板</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制冷:风冷全封涡漩压缩机采用电融霜指标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系统:外平衡式膨胀阀</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系统:电磁阀满足国家或行业标准</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冷媒:制冷剂R404a指标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管道:冷媒连接紫铜管，螺纹内壁铜管便于导热</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照明:冷库专用LED三防灯采用双灯管指标</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控制:微电脑全自动控制器带超温低温报警</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工艺要求:厨房配套工程-室内组合式冷库</w:t>
            </w:r>
          </w:p>
        </w:tc>
      </w:tr>
      <w:tr w14:paraId="29EC1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4" w:hRule="atLeast"/>
          <w:jc w:val="center"/>
        </w:trPr>
        <w:tc>
          <w:tcPr>
            <w:tcW w:w="365" w:type="pct"/>
            <w:tcBorders>
              <w:left w:val="single" w:color="000000" w:sz="4" w:space="0"/>
              <w:bottom w:val="single" w:color="000000" w:sz="4" w:space="0"/>
              <w:right w:val="single" w:color="000000" w:sz="4" w:space="0"/>
            </w:tcBorders>
            <w:noWrap w:val="0"/>
            <w:vAlign w:val="center"/>
          </w:tcPr>
          <w:p w14:paraId="480039B4">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34049F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冷冻库</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744D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3680mm×2000mm×2600mm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575900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23C0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0D3C458">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压缩机：采用涡旋机组</w:t>
            </w:r>
          </w:p>
          <w:p w14:paraId="51A543F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冷风机：常规</w:t>
            </w:r>
          </w:p>
          <w:p w14:paraId="2BF1A38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库板：采用SUS304不锈钢材料。</w:t>
            </w:r>
          </w:p>
          <w:p w14:paraId="6628269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电控柜：全自动数显温控、化霜、电动机综合保护器,相序保护装置，</w:t>
            </w:r>
          </w:p>
          <w:p w14:paraId="31F3BEC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制冷阀件：须选用质量可靠的配件技术</w:t>
            </w:r>
          </w:p>
          <w:p w14:paraId="7FAF5DFF">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冷库门：塑框门及安全锁</w:t>
            </w:r>
          </w:p>
        </w:tc>
      </w:tr>
      <w:tr w14:paraId="17CEE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7ADA25B2">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三</w:t>
            </w:r>
          </w:p>
        </w:tc>
        <w:tc>
          <w:tcPr>
            <w:tcW w:w="827" w:type="pct"/>
            <w:tcBorders>
              <w:left w:val="single" w:color="000000" w:sz="4" w:space="0"/>
              <w:bottom w:val="single" w:color="000000" w:sz="4" w:space="0"/>
              <w:right w:val="single" w:color="000000" w:sz="4" w:space="0"/>
            </w:tcBorders>
            <w:noWrap w:val="0"/>
            <w:vAlign w:val="center"/>
          </w:tcPr>
          <w:p w14:paraId="71C63E36">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食品安全检测类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0023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46D06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D3C82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4D63A6E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0BBA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4" w:hRule="atLeast"/>
          <w:jc w:val="center"/>
        </w:trPr>
        <w:tc>
          <w:tcPr>
            <w:tcW w:w="365" w:type="pct"/>
            <w:tcBorders>
              <w:left w:val="single" w:color="000000" w:sz="4" w:space="0"/>
              <w:bottom w:val="single" w:color="000000" w:sz="4" w:space="0"/>
              <w:right w:val="single" w:color="000000" w:sz="4" w:space="0"/>
            </w:tcBorders>
            <w:noWrap w:val="0"/>
            <w:vAlign w:val="center"/>
          </w:tcPr>
          <w:p w14:paraId="762DA56C">
            <w:pPr>
              <w:numPr>
                <w:ilvl w:val="0"/>
                <w:numId w:val="3"/>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402ACB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农药残留快速测试仪</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720C6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8通道</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BDAE1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E2C5C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34B2D0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波长配置：约410nm；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抑制率显示范围：0%～100%；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抑制率测量范围：0%～100%；</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透射比准确度：±1.5%；</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透射比重复性：≤0.5%；</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漂移：≤0.005Abs/3min；</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抑制率示值误差：≤10%</w:t>
            </w:r>
          </w:p>
        </w:tc>
      </w:tr>
      <w:tr w14:paraId="22087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jc w:val="center"/>
        </w:trPr>
        <w:tc>
          <w:tcPr>
            <w:tcW w:w="365" w:type="pct"/>
            <w:tcBorders>
              <w:left w:val="single" w:color="000000" w:sz="4" w:space="0"/>
              <w:bottom w:val="single" w:color="000000" w:sz="4" w:space="0"/>
              <w:right w:val="single" w:color="000000" w:sz="4" w:space="0"/>
            </w:tcBorders>
            <w:noWrap w:val="0"/>
            <w:vAlign w:val="center"/>
          </w:tcPr>
          <w:p w14:paraId="03FA1263">
            <w:pPr>
              <w:numPr>
                <w:ilvl w:val="0"/>
                <w:numId w:val="3"/>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16BB10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分体式壁挂净食机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CBEE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580mm×410mm×140mm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E2DCA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E615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477091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1、采用活氧+微纳米气泡+羟基自由基三层净化技术；</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2、可实现去除或降解农药残留、激素、防腐剂、添加剂、人工色素、嘌呤、细菌、病毒等有害物质功能；</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3、要求一键触控；</w:t>
            </w:r>
          </w:p>
        </w:tc>
      </w:tr>
      <w:tr w14:paraId="008EC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2B05C027">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四</w:t>
            </w:r>
          </w:p>
        </w:tc>
        <w:tc>
          <w:tcPr>
            <w:tcW w:w="827" w:type="pct"/>
            <w:tcBorders>
              <w:left w:val="single" w:color="000000" w:sz="4" w:space="0"/>
              <w:bottom w:val="single" w:color="000000" w:sz="4" w:space="0"/>
              <w:right w:val="single" w:color="000000" w:sz="4" w:space="0"/>
            </w:tcBorders>
            <w:noWrap w:val="0"/>
            <w:vAlign w:val="center"/>
          </w:tcPr>
          <w:p w14:paraId="695138BD">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消防类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DACC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9BBC7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95E6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760F6F5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8E14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55D92649">
            <w:pPr>
              <w:numPr>
                <w:ilvl w:val="0"/>
                <w:numId w:val="3"/>
              </w:numPr>
              <w:tabs>
                <w:tab w:val="left" w:pos="220"/>
              </w:tabs>
              <w:adjustRightInd w:val="0"/>
              <w:snapToGrid w:val="0"/>
              <w:spacing w:line="280" w:lineRule="exact"/>
              <w:ind w:firstLine="0"/>
              <w:jc w:val="center"/>
              <w:rPr>
                <w:rFonts w:hint="default"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4095C3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厨房灭火系统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19911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双瓶组</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E7916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671EB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left w:val="single" w:color="000000" w:sz="4" w:space="0"/>
              <w:bottom w:val="single" w:color="000000" w:sz="4" w:space="0"/>
              <w:right w:val="single" w:color="000000" w:sz="4" w:space="0"/>
            </w:tcBorders>
            <w:noWrap w:val="0"/>
            <w:vAlign w:val="center"/>
          </w:tcPr>
          <w:p w14:paraId="3A291052">
            <w:pPr>
              <w:keepNext w:val="0"/>
              <w:keepLines w:val="0"/>
              <w:widowControl/>
              <w:suppressLineNumbers w:val="0"/>
              <w:jc w:val="both"/>
              <w:textAlignment w:val="center"/>
              <w:rPr>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1.灭火装置采用CMJS机械式构造，在没有电源时也能正常工作；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2.驱动器由合金铸造，且氮气驱动瓶贮存压力不少于12Mpa；</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3.箱体由不锈钢制作；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4.连接管道用不锈钢钢管；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5.药剂瓶由304不锈钢焊接打磨而成，且需贮存有不少于2×11.5L食用油专用灭火药剂，灭火剂有效使用期</w:t>
            </w:r>
            <w:r>
              <w:rPr>
                <w:rFonts w:hint="default" w:ascii="Arial" w:hAnsi="Arial" w:eastAsia="宋体" w:cs="Arial"/>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t>5年；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6.灭火装置烟罩长度可配置雾化喷嘴数量</w:t>
            </w:r>
            <w:r>
              <w:rPr>
                <w:rFonts w:hint="default" w:ascii="Arial" w:hAnsi="Arial" w:eastAsia="宋体" w:cs="Arial"/>
                <w:i w:val="0"/>
                <w:iCs w:val="0"/>
                <w:color w:val="auto"/>
                <w:kern w:val="0"/>
                <w:sz w:val="18"/>
                <w:szCs w:val="18"/>
                <w:highlight w:val="none"/>
                <w:u w:val="none"/>
                <w:lang w:val="en-US" w:eastAsia="zh-CN"/>
              </w:rPr>
              <w:t>≥</w:t>
            </w:r>
            <w:r>
              <w:rPr>
                <w:rFonts w:hint="eastAsia" w:ascii="宋体" w:hAnsi="宋体" w:eastAsia="宋体" w:cs="宋体"/>
                <w:i w:val="0"/>
                <w:iCs w:val="0"/>
                <w:color w:val="auto"/>
                <w:kern w:val="0"/>
                <w:sz w:val="18"/>
                <w:szCs w:val="18"/>
                <w:highlight w:val="none"/>
                <w:u w:val="none"/>
                <w:lang w:val="en-US" w:eastAsia="zh-CN"/>
              </w:rPr>
              <w:t>20个；</w:t>
            </w:r>
          </w:p>
        </w:tc>
      </w:tr>
      <w:tr w14:paraId="555D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5F552D70">
            <w:pPr>
              <w:numPr>
                <w:ilvl w:val="0"/>
                <w:numId w:val="3"/>
              </w:numPr>
              <w:tabs>
                <w:tab w:val="left" w:pos="220"/>
              </w:tabs>
              <w:adjustRightInd w:val="0"/>
              <w:snapToGrid w:val="0"/>
              <w:spacing w:line="280" w:lineRule="exact"/>
              <w:ind w:firstLine="0"/>
              <w:jc w:val="center"/>
              <w:rPr>
                <w:rFonts w:hint="eastAsia" w:ascii="宋体" w:hAnsi="宋体" w:eastAsia="宋体" w:cs="宋体"/>
                <w:b w:val="0"/>
                <w:bCs w:val="0"/>
                <w:i w:val="0"/>
                <w:iCs w:val="0"/>
                <w:color w:val="auto"/>
                <w:kern w:val="0"/>
                <w:sz w:val="18"/>
                <w:szCs w:val="18"/>
                <w:highlight w:val="none"/>
                <w:u w:val="none"/>
                <w:lang w:val="en-US" w:eastAsia="zh-CN"/>
              </w:rPr>
            </w:pPr>
          </w:p>
        </w:tc>
        <w:tc>
          <w:tcPr>
            <w:tcW w:w="827" w:type="pct"/>
            <w:tcBorders>
              <w:left w:val="single" w:color="000000" w:sz="4" w:space="0"/>
              <w:bottom w:val="single" w:color="000000" w:sz="4" w:space="0"/>
              <w:right w:val="single" w:color="000000" w:sz="4" w:space="0"/>
            </w:tcBorders>
            <w:noWrap w:val="0"/>
            <w:vAlign w:val="center"/>
          </w:tcPr>
          <w:p w14:paraId="5AD272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防火阀</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0258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DCFD1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5BDC5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left w:val="single" w:color="000000" w:sz="4" w:space="0"/>
              <w:bottom w:val="single" w:color="000000" w:sz="4" w:space="0"/>
              <w:right w:val="single" w:color="000000" w:sz="4" w:space="0"/>
            </w:tcBorders>
            <w:noWrap w:val="0"/>
            <w:vAlign w:val="center"/>
          </w:tcPr>
          <w:p w14:paraId="40A40FD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280℃常开</w:t>
            </w:r>
          </w:p>
        </w:tc>
      </w:tr>
      <w:tr w14:paraId="49136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left w:val="single" w:color="000000" w:sz="4" w:space="0"/>
              <w:bottom w:val="single" w:color="000000" w:sz="4" w:space="0"/>
              <w:right w:val="single" w:color="000000" w:sz="4" w:space="0"/>
            </w:tcBorders>
            <w:noWrap w:val="0"/>
            <w:vAlign w:val="center"/>
          </w:tcPr>
          <w:p w14:paraId="2BE5310F">
            <w:pPr>
              <w:tabs>
                <w:tab w:val="left" w:pos="220"/>
              </w:tabs>
              <w:adjustRightInd w:val="0"/>
              <w:snapToGrid w:val="0"/>
              <w:spacing w:line="280" w:lineRule="exact"/>
              <w:ind w:firstLine="0"/>
              <w:jc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五</w:t>
            </w:r>
          </w:p>
        </w:tc>
        <w:tc>
          <w:tcPr>
            <w:tcW w:w="827" w:type="pct"/>
            <w:tcBorders>
              <w:left w:val="single" w:color="000000" w:sz="4" w:space="0"/>
              <w:bottom w:val="single" w:color="000000" w:sz="4" w:space="0"/>
              <w:right w:val="single" w:color="000000" w:sz="4" w:space="0"/>
            </w:tcBorders>
            <w:noWrap w:val="0"/>
            <w:vAlign w:val="center"/>
          </w:tcPr>
          <w:p w14:paraId="7D86D779">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清扫设施类</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1C74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E683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37D0C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left w:val="single" w:color="000000" w:sz="4" w:space="0"/>
              <w:bottom w:val="single" w:color="000000" w:sz="4" w:space="0"/>
              <w:right w:val="single" w:color="000000" w:sz="4" w:space="0"/>
            </w:tcBorders>
            <w:noWrap w:val="0"/>
            <w:vAlign w:val="center"/>
          </w:tcPr>
          <w:p w14:paraId="134EF27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C178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741126">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9F6C3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高压清洗机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5C0C8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CF52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63F49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092EA31">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rPr>
              <w:t>1、槽体选用304#T=2. 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2、功率: 9KW/220V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3、清洗能力: 2000碟/小时</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4、发声器内部核心配件须匹配产品整体性能要求;</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5、频率自动跟踪扫描功能;</w:t>
            </w:r>
          </w:p>
        </w:tc>
      </w:tr>
      <w:tr w14:paraId="552DD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306CAE0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B2313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洗地龙头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EF0F51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15米</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8E874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1CA8B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20573153">
            <w:pPr>
              <w:keepNext w:val="0"/>
              <w:keepLines w:val="0"/>
              <w:widowControl/>
              <w:numPr>
                <w:ilvl w:val="0"/>
                <w:numId w:val="5"/>
              </w:numPr>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冲洗枪头采用蓝色防滑硅胶包裹黄铜枪头机身，管长10米内部防爆钢丝液压管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2、进水主体为黄铜三通角阀</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3、360°活动快速接头，可自由旋转，管子不打结</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 xml:space="preserve">4、配弹簧自动回位功能，方便收纳 </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5、机身钢板锻压铸造，采用环保烤漆工艺附着表面，光滑平整，</w:t>
            </w:r>
          </w:p>
          <w:p w14:paraId="496ABB6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6、防湿耐潮性能符合GB/T 1741-2020；7天以上工作相对湿度（RH）≥90%，温度 25℃-~30℃的环境下，对黄曲霉、黑曲霉耐菌性不低于1级；强度、结构、抗冲击力、供水水压须满足GB 4706.1-2005。</w:t>
            </w:r>
          </w:p>
        </w:tc>
      </w:tr>
      <w:tr w14:paraId="26BD7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2365256">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898AB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54FC80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10米</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97FC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23582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56E3490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BF7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658C201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6D5EA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推车式洗地机</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44097B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50L</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52BBE1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1FE8F3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66914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清洁效率2800㎡/h、吸水趴宽度770mm、清洗宽度530mm、消/污水箱容量50L、电机功率550W；</w:t>
            </w:r>
          </w:p>
        </w:tc>
      </w:tr>
      <w:tr w14:paraId="46EE9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25730C76">
            <w:pPr>
              <w:numPr>
                <w:ilvl w:val="0"/>
                <w:numId w:val="0"/>
              </w:numPr>
              <w:tabs>
                <w:tab w:val="left" w:pos="220"/>
              </w:tabs>
              <w:adjustRightInd w:val="0"/>
              <w:snapToGrid w:val="0"/>
              <w:spacing w:line="280" w:lineRule="exact"/>
              <w:ind w:leftChars="0"/>
              <w:jc w:val="both"/>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六</w:t>
            </w: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BAF0C2F">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抽排烟系统</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99910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9647E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463A5F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FF4783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579D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70D73BBC">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168AB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低噪音风柜</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64FB3A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3EC37B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FE4FF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78BEAE8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1、风机外壳及叶片均采用镀锌钢板制造成全封闭形式。</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2、采用多翼式叶轮结构。</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3、蜗舌采用消声结构。</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4、轴承全部采用外球面滚动轴承。</w:t>
            </w:r>
          </w:p>
        </w:tc>
      </w:tr>
      <w:tr w14:paraId="62168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jc w:val="center"/>
        </w:trPr>
        <w:tc>
          <w:tcPr>
            <w:tcW w:w="365" w:type="pct"/>
            <w:vMerge w:val="continue"/>
            <w:tcBorders>
              <w:left w:val="single" w:color="000000" w:sz="4" w:space="0"/>
              <w:right w:val="single" w:color="000000" w:sz="4" w:space="0"/>
            </w:tcBorders>
            <w:noWrap/>
            <w:vAlign w:val="center"/>
          </w:tcPr>
          <w:p w14:paraId="2146BB8F">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C802F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2CE6F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22寸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67360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1C2C9F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C9E53B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A629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68346581">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DCFBD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71443D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18寸</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091DD2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BA99F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0A74121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2D3D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774F5423">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0679C5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风柜电机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131DE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380V/4KW</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4ACAE3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2D6B81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ign w:val="center"/>
          </w:tcPr>
          <w:p w14:paraId="6CBB70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44609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ign w:val="center"/>
          </w:tcPr>
          <w:p w14:paraId="302D2DAE">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1BB25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7700A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7.5KW/380V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7D0C21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52EC8F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ign w:val="center"/>
          </w:tcPr>
          <w:p w14:paraId="1D8272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31B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ign w:val="center"/>
          </w:tcPr>
          <w:p w14:paraId="02D393D2">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FC0F9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8AC20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1D1C87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2B5D34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ign w:val="center"/>
          </w:tcPr>
          <w:p w14:paraId="18BE40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54E3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56CD9737">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168B7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2783162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4KW/380V</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65E795C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7085AF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ign w:val="center"/>
          </w:tcPr>
          <w:p w14:paraId="74D4AFB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F93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ign w:val="center"/>
          </w:tcPr>
          <w:p w14:paraId="2F8BE58D">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D3A8D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控制箱</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5E5EE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15773C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ign w:val="center"/>
          </w:tcPr>
          <w:p w14:paraId="6928E2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35A7E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缺项保护。降压启动，</w:t>
            </w:r>
          </w:p>
        </w:tc>
      </w:tr>
      <w:tr w14:paraId="593B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ign w:val="center"/>
          </w:tcPr>
          <w:p w14:paraId="10D182BA">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6F3073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配电箱</w:t>
            </w: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78761E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不含电源线</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2E20B1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F4139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vMerge w:val="restart"/>
            <w:tcBorders>
              <w:top w:val="single" w:color="000000" w:sz="4" w:space="0"/>
              <w:left w:val="single" w:color="000000" w:sz="4" w:space="0"/>
              <w:right w:val="single" w:color="000000" w:sz="4" w:space="0"/>
            </w:tcBorders>
            <w:noWrap w:val="0"/>
            <w:vAlign w:val="center"/>
          </w:tcPr>
          <w:p w14:paraId="3BA8BCF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缺项保护。降压启动。</w:t>
            </w:r>
          </w:p>
        </w:tc>
      </w:tr>
      <w:tr w14:paraId="716C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ign w:val="center"/>
          </w:tcPr>
          <w:p w14:paraId="001DF42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67CDA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ign w:val="center"/>
          </w:tcPr>
          <w:p w14:paraId="3CA8BD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含电源线</w:t>
            </w:r>
          </w:p>
        </w:tc>
        <w:tc>
          <w:tcPr>
            <w:tcW w:w="349" w:type="pct"/>
            <w:tcBorders>
              <w:top w:val="single" w:color="000000" w:sz="4" w:space="0"/>
              <w:left w:val="single" w:color="000000" w:sz="4" w:space="0"/>
              <w:bottom w:val="single" w:color="000000" w:sz="4" w:space="0"/>
              <w:right w:val="single" w:color="000000" w:sz="4" w:space="0"/>
            </w:tcBorders>
            <w:noWrap/>
            <w:vAlign w:val="center"/>
          </w:tcPr>
          <w:p w14:paraId="2CD040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69D2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vMerge w:val="continue"/>
            <w:tcBorders>
              <w:left w:val="single" w:color="000000" w:sz="4" w:space="0"/>
              <w:bottom w:val="single" w:color="000000" w:sz="4" w:space="0"/>
              <w:right w:val="single" w:color="000000" w:sz="4" w:space="0"/>
            </w:tcBorders>
            <w:noWrap w:val="0"/>
            <w:vAlign w:val="center"/>
          </w:tcPr>
          <w:p w14:paraId="165CADD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BED8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461A1189">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C1644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油烟净化一体机</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122E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3400mm×1200mm×930mm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E217B8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C8DDBA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9E05F3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1、采用锈钢磨砂板1.2mm厚材质机身，内置净化单元（集抽、排、净化于一体），内部采用机械式物理动态工艺对油烟进行净化。</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2、采用包括但不限于拦截、静电等净化方式采用单台操作及控制系统（独立风机）</w:t>
            </w:r>
          </w:p>
        </w:tc>
      </w:tr>
      <w:tr w14:paraId="5894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5E0D8E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3C7D5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EFF0F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5000mm×1200mm×930mm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006DC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31B21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A07E51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C905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3180EC4">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427C0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EF9F0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14400mm×1400mm×930mm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6D40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7DE7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D451B0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0E2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4C2DC8E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785B11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4F803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4400mm×1000mm×930mm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EBF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40956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4672C61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23EA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4D1C940">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9948B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A8F4F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3600mm×1000mm×930mm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8A44C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68A7D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7A7332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04BE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A7A16C7">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812B8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D5C18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3200mm×1400mm×930mm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88D3B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73408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DF53D6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D36C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6EBBDA6B">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6F00F2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0E3FB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1800mm×1000mm×930mm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F61AA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02C3B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3CFF37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9E31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327DFF01">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0459CB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不锈钢风管</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1CD8F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CC820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201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BBC7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restart"/>
            <w:tcBorders>
              <w:top w:val="single" w:color="000000" w:sz="4" w:space="0"/>
              <w:left w:val="single" w:color="000000" w:sz="4" w:space="0"/>
              <w:right w:val="single" w:color="000000" w:sz="4" w:space="0"/>
            </w:tcBorders>
            <w:noWrap w:val="0"/>
            <w:vAlign w:val="center"/>
          </w:tcPr>
          <w:p w14:paraId="4BB6B22A">
            <w:pPr>
              <w:keepNext w:val="0"/>
              <w:keepLines w:val="0"/>
              <w:widowControl/>
              <w:suppressLineNumbers w:val="0"/>
              <w:jc w:val="both"/>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采用1.2mm厚304不锈钢板制作</w:t>
            </w:r>
          </w:p>
        </w:tc>
      </w:tr>
      <w:tr w14:paraId="65B5F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5FAC32A">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E69DE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0F88D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32C8E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98</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AB512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continue"/>
            <w:tcBorders>
              <w:left w:val="single" w:color="000000" w:sz="4" w:space="0"/>
              <w:right w:val="single" w:color="000000" w:sz="4" w:space="0"/>
            </w:tcBorders>
            <w:noWrap w:val="0"/>
            <w:vAlign w:val="center"/>
          </w:tcPr>
          <w:p w14:paraId="2EB4E48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C272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070E30E7">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6E2B9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80C21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7B4B0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E1C85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w:t>
            </w:r>
          </w:p>
        </w:tc>
        <w:tc>
          <w:tcPr>
            <w:tcW w:w="2472" w:type="pct"/>
            <w:vMerge w:val="continue"/>
            <w:tcBorders>
              <w:left w:val="single" w:color="000000" w:sz="4" w:space="0"/>
              <w:bottom w:val="single" w:color="000000" w:sz="4" w:space="0"/>
              <w:right w:val="single" w:color="000000" w:sz="4" w:space="0"/>
            </w:tcBorders>
            <w:noWrap w:val="0"/>
            <w:vAlign w:val="center"/>
          </w:tcPr>
          <w:p w14:paraId="451B88F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7BE2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A52177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96F28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不锈钢弯头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36374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4FC7F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55DBD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45025CF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采用1.2mm厚304不锈钢板。机械压制加强筋，采用法兰连接，内填密封材料，不漏油、漏风。</w:t>
            </w:r>
          </w:p>
        </w:tc>
      </w:tr>
      <w:tr w14:paraId="32018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962B0A3">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1A0FC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烟上烟下封墙板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88DD4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0620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8C6F9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799493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w:t>
            </w:r>
          </w:p>
        </w:tc>
      </w:tr>
      <w:tr w14:paraId="77D4A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B7E3304">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FD43F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风管内加强筋</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F7764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7DEB2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72628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E7CF4F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19不锈钢管</w:t>
            </w:r>
          </w:p>
        </w:tc>
      </w:tr>
      <w:tr w14:paraId="56D33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FA07B22">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A7769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防腐防漏组件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9E25B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E4D5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85B9F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0DCE68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防腐，耐高温材料，密封胶制作。</w:t>
            </w:r>
          </w:p>
        </w:tc>
      </w:tr>
      <w:tr w14:paraId="6E52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FBFCE3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FB8BC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不锈钢接油盆</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A6D34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FA02F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CA3A8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BD05AA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w:t>
            </w:r>
          </w:p>
        </w:tc>
      </w:tr>
      <w:tr w14:paraId="11851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0665B49D">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415DC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不锈钢大小头</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C27D1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1C93C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238BB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05818D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w:t>
            </w:r>
          </w:p>
        </w:tc>
      </w:tr>
      <w:tr w14:paraId="4EABC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4348C55">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F5A6D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镀锌法兰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E6BA4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DC82E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73AA5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7B75E0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30×3国标角铁</w:t>
            </w:r>
          </w:p>
        </w:tc>
      </w:tr>
      <w:tr w14:paraId="1D86B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58BBE75">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14C77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低噪音风柜防震装置</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5363F0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E6154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D3A45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阻</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D00CA5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采用液压减震</w:t>
            </w:r>
          </w:p>
        </w:tc>
      </w:tr>
      <w:tr w14:paraId="3D9E2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9539C7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D18BA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风管软接</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AFD7F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3D5FF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AD614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个</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972241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帆布</w:t>
            </w:r>
          </w:p>
        </w:tc>
      </w:tr>
      <w:tr w14:paraId="5057A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807AC1F">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691DD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烟上封墙板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78247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4CCD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13.6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23EDF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3E0055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w:t>
            </w:r>
          </w:p>
        </w:tc>
      </w:tr>
      <w:tr w14:paraId="7275F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61625AC">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98897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风机底座吊架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6F46B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F973E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DDFFC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套</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0BAE62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材料：100mm×100mm×4mm槽钢制作</w:t>
            </w:r>
          </w:p>
        </w:tc>
      </w:tr>
      <w:tr w14:paraId="5284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6090CB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40B99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输烟管支架、吊杆</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DBB83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跟风管/风机配套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BA47E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FA92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9CCA9F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采用Φ8-10mm螺杆制作，外套不锈钢圆管。</w:t>
            </w:r>
          </w:p>
        </w:tc>
      </w:tr>
      <w:tr w14:paraId="6CF7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F72D97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A83D6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烟下封墙板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7309F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A9CEA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7AF7D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米</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197D9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采用1.2mm不锈钢板</w:t>
            </w:r>
          </w:p>
        </w:tc>
      </w:tr>
      <w:tr w14:paraId="6040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83B8BE8">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47BBB2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外墙落地式风机支架连检修平台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14070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8CD8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AEFE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FD946D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50×5国标角钢制作并安装防震垫。</w:t>
            </w:r>
          </w:p>
        </w:tc>
      </w:tr>
      <w:tr w14:paraId="4EF98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92F0E3C">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7362E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外墙开孔</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39E2C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864BF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42DE3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E60939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F231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nil"/>
              <w:left w:val="nil"/>
              <w:bottom w:val="nil"/>
              <w:right w:val="nil"/>
            </w:tcBorders>
            <w:noWrap/>
            <w:vAlign w:val="center"/>
          </w:tcPr>
          <w:p w14:paraId="6211F12E">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七、</w:t>
            </w:r>
          </w:p>
        </w:tc>
        <w:tc>
          <w:tcPr>
            <w:tcW w:w="827" w:type="pct"/>
            <w:tcBorders>
              <w:top w:val="nil"/>
              <w:left w:val="nil"/>
              <w:bottom w:val="nil"/>
              <w:right w:val="nil"/>
            </w:tcBorders>
            <w:noWrap/>
            <w:vAlign w:val="center"/>
          </w:tcPr>
          <w:p w14:paraId="4D43709C">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不锈钢制品订制</w:t>
            </w:r>
          </w:p>
        </w:tc>
        <w:tc>
          <w:tcPr>
            <w:tcW w:w="731" w:type="pct"/>
            <w:tcBorders>
              <w:top w:val="nil"/>
              <w:left w:val="nil"/>
              <w:bottom w:val="nil"/>
              <w:right w:val="nil"/>
            </w:tcBorders>
            <w:noWrap/>
            <w:vAlign w:val="center"/>
          </w:tcPr>
          <w:p w14:paraId="05E615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349" w:type="pct"/>
            <w:tcBorders>
              <w:top w:val="nil"/>
              <w:left w:val="nil"/>
              <w:bottom w:val="nil"/>
              <w:right w:val="nil"/>
            </w:tcBorders>
            <w:noWrap/>
            <w:vAlign w:val="center"/>
          </w:tcPr>
          <w:p w14:paraId="02E2D0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253" w:type="pct"/>
            <w:tcBorders>
              <w:top w:val="nil"/>
              <w:left w:val="nil"/>
              <w:bottom w:val="nil"/>
              <w:right w:val="nil"/>
            </w:tcBorders>
            <w:noWrap/>
            <w:vAlign w:val="center"/>
          </w:tcPr>
          <w:p w14:paraId="437554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2472" w:type="pct"/>
            <w:tcBorders>
              <w:top w:val="nil"/>
              <w:left w:val="nil"/>
              <w:bottom w:val="nil"/>
              <w:right w:val="nil"/>
            </w:tcBorders>
            <w:noWrap/>
            <w:vAlign w:val="center"/>
          </w:tcPr>
          <w:p w14:paraId="037737BC">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lang w:val="en-US" w:eastAsia="zh-CN"/>
              </w:rPr>
            </w:pPr>
          </w:p>
        </w:tc>
      </w:tr>
      <w:tr w14:paraId="64DC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76A429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C2AF39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平板推车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96B83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500mm×1050mm×857mm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7E4B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730C1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1E315D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p>
        </w:tc>
      </w:tr>
      <w:tr w14:paraId="7C3F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9D9BD9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97BC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单通移门荷台柜带靠背</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06975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0F689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04D1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C7E3DC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整体采用1.2mm厚304不锈钢板材料制作；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w:t>
            </w:r>
          </w:p>
          <w:p w14:paraId="670B8E8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移门为双层架构。</w:t>
            </w:r>
          </w:p>
        </w:tc>
      </w:tr>
      <w:tr w14:paraId="14E56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AFEDC71">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35374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大单星盆水池</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89EC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D20F3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50FBA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5CCF959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p>
          <w:p w14:paraId="64FE432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立柱采用φ48×1.2mm圆通，配不锈钢可调子弹脚；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横撑采用φ32×1.2mm圆通</w:t>
            </w:r>
          </w:p>
        </w:tc>
      </w:tr>
      <w:tr w14:paraId="5F06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760B676B">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CF312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F7198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B71E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10F66A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180936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8ECD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82A2E8C">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E6EEB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单星盆水池</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C17D5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700mm×700mm×800mm+150mm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71E97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8E66AD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7C9C80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044B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right w:val="single" w:color="000000" w:sz="4" w:space="0"/>
            </w:tcBorders>
            <w:noWrap w:val="0"/>
            <w:vAlign w:val="center"/>
          </w:tcPr>
          <w:p w14:paraId="5525F768">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right w:val="single" w:color="000000" w:sz="4" w:space="0"/>
            </w:tcBorders>
            <w:noWrap w:val="0"/>
            <w:vAlign w:val="center"/>
          </w:tcPr>
          <w:p w14:paraId="0CEB23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单星工作台</w:t>
            </w:r>
          </w:p>
          <w:p w14:paraId="30032B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（左星）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6113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7400C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0B201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ED1BE0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9EA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26136334">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4D9C7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四层平板货架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BF07B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271B6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35787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3F20C6A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立柱采用φ48mm，1.2mm厚不锈钢圆管；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5252B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2D61C501">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79659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B5091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C085A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57498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AE9D15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B57D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4845A77C">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17853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77755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1500mm×500mm×1550mm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B7018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07282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8C3DE8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5A92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956C1A4">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469817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双层工作台带靠背（圆腿）</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D8E30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45FAD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FB642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3D68C4D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w:t>
            </w:r>
          </w:p>
          <w:p w14:paraId="6CD1D53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防水机制板用1.2mm厚不锈钢板折成加强筋加固；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0D51F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095A1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438FC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4859F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EF59B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613CF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26AEAB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B9B2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73A60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27358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B46A7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6CE60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33277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90667E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A445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663D2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61D7C3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A98C3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500mm×570mm×800mm+150mm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99C8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46BC7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E10A4A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D012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5BC3B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6C1A5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FDAD9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1290mm×700mm×800mm+150mm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AE76A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6F9CC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ECBDDC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FE18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3D14F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F7EFE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F1446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EA53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9A12E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75B62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70FD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112FC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569282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D686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13C3E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79412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63CE14A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A3F8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57FABB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8BB2B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E255D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A5940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1A9E9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0A8C5E6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7CF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78772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A6232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83788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1000mm×700mm×800mm+150mm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F6FB8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349AB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1C22746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B7AE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475BB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BA381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6B7DE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19D6B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F737D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B20A33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FB0B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C3B8F3F">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E53BB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25格水杯柜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26134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900mm×250mm×1800mm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117CE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29BC1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4B3D9A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移门为双层架构。</w:t>
            </w:r>
          </w:p>
        </w:tc>
      </w:tr>
      <w:tr w14:paraId="40DC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1460774B">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4CA5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燃气双头双尾小炒灶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3345D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2000mm×1150mm×800mm+400mm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62477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6A4AF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74E5E3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1、不锈钢板为SUS304#不锈钢板；</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2、炉面不锈钢厚1.2mm；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3、侧板、背板不锈钢厚1.0mm；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4、炉体骨架∠38x38x2mm厚镀锌方钢；</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5、面板与钢板中间垫防火保温隔热材料；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6、炉膛：采用耐火材料节能炉膛；</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7、炉头：采用节能燃气炉头，配熄火保护装置；</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8、炉脚：￠50无缝钢管外套不锈钢管；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9、配摇摆水龙头；</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10、功率/电压：2×0.25KW/220V。</w:t>
            </w:r>
          </w:p>
        </w:tc>
      </w:tr>
      <w:tr w14:paraId="7C95A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05335F8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C699D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炉拼台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C190F5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73CA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B47E4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09BDA34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304#不锈钢磨砂板，面板1.5mm、侧板1.2mm；横通采用￠25×1.2mm不锈钢管连接，立管采用￠38×1.2mm不锈钢管连可调节高度子弹脚。</w:t>
            </w:r>
          </w:p>
        </w:tc>
      </w:tr>
      <w:tr w14:paraId="76086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735131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1F63A3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E3AAA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300mm×1150mm×800mm+400mm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20B43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3732F9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320400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1FB5B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2570F8D">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4698C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吊天花双层架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F857B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1500mm×400mm×1500mm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FDA53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3319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8FC770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整体采用SUS304不锈钢材料，厚度1.2mm；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吊杆采用Ф48×1.2mm厚不锈钢圆管制作。</w:t>
            </w:r>
          </w:p>
        </w:tc>
      </w:tr>
      <w:tr w14:paraId="77FA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5BE1F64A">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6399CD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单通移门荷台柜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45447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17FCA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5CD6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067A46F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移门为双层结构。</w:t>
            </w:r>
          </w:p>
        </w:tc>
      </w:tr>
      <w:tr w14:paraId="72D26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DF8C7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F5E8C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FD3B84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F6471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B3E3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514211E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45A0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088A9B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D6C8D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668FC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69EF3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0318B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6122EB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CFC6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69632C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0DC162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323CA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683B3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B9B57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B630EC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F088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1390E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E9CF0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3702A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7D435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0E955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FC88DA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813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422E6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4BA8F07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8520C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1100mm×700mm×800mm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3E4A9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83B8A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1CE91B4">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A3F3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D8AB4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261072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A9647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271D2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EF72D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F4FFEB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F10C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4F1B8D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624A34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E5A4A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7C542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7D2CF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202E10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841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3A36C85F">
            <w:p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2C8D37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8BB31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1800mm×700mm×800mm+150mm</w:t>
            </w:r>
          </w:p>
          <w:p w14:paraId="4A6D80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(带靠背)</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A3DBB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362C8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1E86637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3FC32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784E2D0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1A8276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单通玻璃移门挂墙柜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316A5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1200mm×400mm×600mm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B5D1D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6583D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18D892F">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p>
          <w:p w14:paraId="3B6A766B">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移门采用钢化玻璃。</w:t>
            </w:r>
          </w:p>
        </w:tc>
      </w:tr>
      <w:tr w14:paraId="41233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D9B5027">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4FE73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312FC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1700mm×400mm×600mm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E534C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5F1A0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2DB1127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62F3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1723FB62">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2A6F6D0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单星带台面投递口垃圾台柜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4075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1700mm×700mm×800mm+150mm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47A05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4FF68C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636C8D7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背板、侧板、底板及门板厚1.2mm，斜拉门柜；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配不锈钢可调子弹脚；</w:t>
            </w:r>
          </w:p>
        </w:tc>
      </w:tr>
      <w:tr w14:paraId="666F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720648A0">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35D148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8EED4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52CB5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B7BFE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7CACB9B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59E63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206D41CA">
            <w:pPr>
              <w:numPr>
                <w:ilvl w:val="0"/>
                <w:numId w:val="3"/>
              </w:numPr>
              <w:tabs>
                <w:tab w:val="left" w:pos="220"/>
              </w:tabs>
              <w:adjustRightInd w:val="0"/>
              <w:snapToGrid w:val="0"/>
              <w:spacing w:line="280" w:lineRule="exact"/>
              <w:ind w:firstLine="0"/>
              <w:jc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02B5F27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465BF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1600mm×700mm×800mm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0EB73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18BB5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360D448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2892E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4A66B59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A4B88F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吊天花双层架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F62CF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1800mm×400mm×1500mm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73154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9B398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4DD80B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吊杆采用Ф48×1.2mm厚不锈钢圆管制作。</w:t>
            </w:r>
          </w:p>
        </w:tc>
      </w:tr>
      <w:tr w14:paraId="179D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209C0AB">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4D796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防蝇菜架</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5B0C5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1200mm×600mm×1550mm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33E2BB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EA754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B137E9C">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整体采用SUS304不锈钢材料；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层板、底板、侧板均采用1.2mm厚不锈钢板制作；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背板及门胆板不锈钢板厚1.2mm；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门面采用不锈钢纱网制成；</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3A511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414F5C7">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0B494E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洗手星</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357787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500mm×450mm×600mm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0FE48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5</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57C38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9C4BAF1">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w:t>
            </w:r>
          </w:p>
        </w:tc>
      </w:tr>
      <w:tr w14:paraId="015E9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7082EE9">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5A40F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单星茶水柜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1C960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1400mm×800mm×1800mm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AED3E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E6965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28B2B447">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台面厚度1.2mm，内衬4mm防水机制板并用1.2mm厚不锈钢板折成加强筋加固；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692DF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6B4D468A">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63B72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三层餐车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0061B7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850mm×450mm×900mm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3B032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B2691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C915489">
            <w:pPr>
              <w:keepNext w:val="0"/>
              <w:keepLines w:val="0"/>
              <w:widowControl/>
              <w:suppressLineNumbers w:val="0"/>
              <w:jc w:val="both"/>
              <w:textAlignment w:val="center"/>
              <w:rPr>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配静音万向轮，带刹车</w:t>
            </w:r>
          </w:p>
        </w:tc>
      </w:tr>
      <w:tr w14:paraId="69A0F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2B26B03F">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148A7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收碗车</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6DF099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800mm×560mm×933mm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3FDC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002D00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A81210D">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配静音万向轮，带刹车</w:t>
            </w:r>
          </w:p>
        </w:tc>
      </w:tr>
      <w:tr w14:paraId="002E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restart"/>
            <w:tcBorders>
              <w:top w:val="single" w:color="000000" w:sz="4" w:space="0"/>
              <w:left w:val="single" w:color="000000" w:sz="4" w:space="0"/>
              <w:right w:val="single" w:color="000000" w:sz="4" w:space="0"/>
            </w:tcBorders>
            <w:noWrap w:val="0"/>
            <w:vAlign w:val="center"/>
          </w:tcPr>
          <w:p w14:paraId="28F60E3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vMerge w:val="restart"/>
            <w:tcBorders>
              <w:top w:val="single" w:color="000000" w:sz="4" w:space="0"/>
              <w:left w:val="single" w:color="000000" w:sz="4" w:space="0"/>
              <w:right w:val="single" w:color="000000" w:sz="4" w:space="0"/>
            </w:tcBorders>
            <w:noWrap w:val="0"/>
            <w:vAlign w:val="center"/>
          </w:tcPr>
          <w:p w14:paraId="7736B3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活动双层平板工作台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2EECA3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1800mm×800mm×800mm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9AC1D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716A16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restart"/>
            <w:tcBorders>
              <w:top w:val="single" w:color="000000" w:sz="4" w:space="0"/>
              <w:left w:val="single" w:color="000000" w:sz="4" w:space="0"/>
              <w:right w:val="single" w:color="000000" w:sz="4" w:space="0"/>
            </w:tcBorders>
            <w:noWrap w:val="0"/>
            <w:vAlign w:val="center"/>
          </w:tcPr>
          <w:p w14:paraId="22BBAA85">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台面厚度1.2mm，内衬15mm防水机制板并用1.2mm厚不锈钢板折成加强筋加固；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下层板厚度1.2mm；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脚管采用38mm×38mm×1.2mm不锈钢方管；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配置刹车静音万向轮</w:t>
            </w:r>
          </w:p>
        </w:tc>
      </w:tr>
      <w:tr w14:paraId="71EE0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right w:val="single" w:color="000000" w:sz="4" w:space="0"/>
            </w:tcBorders>
            <w:noWrap w:val="0"/>
            <w:vAlign w:val="center"/>
          </w:tcPr>
          <w:p w14:paraId="1222ED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right w:val="single" w:color="000000" w:sz="4" w:space="0"/>
            </w:tcBorders>
            <w:noWrap w:val="0"/>
            <w:vAlign w:val="center"/>
          </w:tcPr>
          <w:p w14:paraId="1DF6C1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AC71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1200mm×600mm×800mm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9E4FD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2644B2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right w:val="single" w:color="000000" w:sz="4" w:space="0"/>
            </w:tcBorders>
            <w:noWrap w:val="0"/>
            <w:vAlign w:val="center"/>
          </w:tcPr>
          <w:p w14:paraId="35423BB6">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75FE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vMerge w:val="continue"/>
            <w:tcBorders>
              <w:left w:val="single" w:color="000000" w:sz="4" w:space="0"/>
              <w:bottom w:val="single" w:color="000000" w:sz="4" w:space="0"/>
              <w:right w:val="single" w:color="000000" w:sz="4" w:space="0"/>
            </w:tcBorders>
            <w:noWrap w:val="0"/>
            <w:vAlign w:val="center"/>
          </w:tcPr>
          <w:p w14:paraId="5666BE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827" w:type="pct"/>
            <w:vMerge w:val="continue"/>
            <w:tcBorders>
              <w:left w:val="single" w:color="000000" w:sz="4" w:space="0"/>
              <w:bottom w:val="single" w:color="000000" w:sz="4" w:space="0"/>
              <w:right w:val="single" w:color="000000" w:sz="4" w:space="0"/>
            </w:tcBorders>
            <w:noWrap w:val="0"/>
            <w:vAlign w:val="center"/>
          </w:tcPr>
          <w:p w14:paraId="3929AF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4D0A2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9E47F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18D08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vMerge w:val="continue"/>
            <w:tcBorders>
              <w:left w:val="single" w:color="000000" w:sz="4" w:space="0"/>
              <w:bottom w:val="single" w:color="000000" w:sz="4" w:space="0"/>
              <w:right w:val="single" w:color="000000" w:sz="4" w:space="0"/>
            </w:tcBorders>
            <w:noWrap w:val="0"/>
            <w:vAlign w:val="center"/>
          </w:tcPr>
          <w:p w14:paraId="7360B49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p>
        </w:tc>
      </w:tr>
      <w:tr w14:paraId="01EA5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4EC1F3F">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7BF0C7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收餐柜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E1F015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1DF90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197A6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A44AECE">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台面及星斗不锈钢厚度1.2mm；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下层、侧板板厚度1.2mm,并用1.2mm厚不锈钢板折成加强筋加固；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脚管采用Ф48×1.2mm厚不锈钢圆管；</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1D34A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3772959">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26EA64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牛角抽气罩</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4ABB58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与洗碗机配套</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83812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5937E2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1EBD9AE8">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常规</w:t>
            </w:r>
          </w:p>
        </w:tc>
      </w:tr>
      <w:tr w14:paraId="1B502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01393F6">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CC301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高身储物柜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F1CCE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1200mm×500mm×1800mm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E1CBC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4</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461A7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51676EE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顶板、层板、底板、侧板及面板采用1.0mm厚不锈钢板制作；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并用1.0mm厚不锈钢板折成加强筋加固；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27181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30D41B8">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6EF6A6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六门更衣柜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AF879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1240mm×500mm×1800mm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CB67F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6</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E23ED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73150FB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1、整体采用加厚烤漆板制作；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2、顶板、层板、底板、侧板及面板采用1.2mm厚板制作；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3、并用1.2mm厚板折成加强筋加固；</w:t>
            </w:r>
          </w:p>
        </w:tc>
      </w:tr>
      <w:tr w14:paraId="2CD7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7AE479AD">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58CE0D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单星宰杀台</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523105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1500mm×700mm×800mm+150mm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06249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38E702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60818E7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星盆斗厚1.2mm，配置提篮式不锈钢下水器；</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立柱采用Ф48×1.2mm圆通，配不锈钢可调子弹脚；</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横撑采用Ф32×1.2mm圆通</w:t>
            </w:r>
          </w:p>
        </w:tc>
      </w:tr>
      <w:tr w14:paraId="57B8C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5648E510">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3743EB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单星茶水柜</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7233AE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1500mm×800mm×1800mm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64FAC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10A89E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323C4820">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采用1.2mm厚304不锈钢板材料</w:t>
            </w:r>
          </w:p>
          <w:p w14:paraId="56AE13C3">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内衬4mm防水机制板并用1.2mm厚不锈钢板折成加强筋加固；</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层板、底板、侧板及门面采用1.2mm厚不锈钢板制作；</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加强筋厚度1.2mm；</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配置不锈钢可调子弹脚。</w:t>
            </w:r>
          </w:p>
        </w:tc>
      </w:tr>
      <w:tr w14:paraId="1F925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65" w:type="pct"/>
            <w:tcBorders>
              <w:top w:val="single" w:color="000000" w:sz="4" w:space="0"/>
              <w:left w:val="single" w:color="000000" w:sz="4" w:space="0"/>
              <w:bottom w:val="single" w:color="000000" w:sz="4" w:space="0"/>
              <w:right w:val="single" w:color="000000" w:sz="4" w:space="0"/>
            </w:tcBorders>
            <w:noWrap w:val="0"/>
            <w:vAlign w:val="center"/>
          </w:tcPr>
          <w:p w14:paraId="34FD0541">
            <w:pPr>
              <w:numPr>
                <w:ilvl w:val="0"/>
                <w:numId w:val="3"/>
              </w:numPr>
              <w:tabs>
                <w:tab w:val="left" w:pos="220"/>
              </w:tabs>
              <w:adjustRightInd w:val="0"/>
              <w:snapToGrid w:val="0"/>
              <w:spacing w:line="280" w:lineRule="exact"/>
              <w:ind w:firstLine="0"/>
              <w:jc w:val="center"/>
              <w:rPr>
                <w:rFonts w:hint="default" w:ascii="宋体" w:hAnsi="宋体" w:eastAsia="宋体" w:cs="宋体"/>
                <w:i w:val="0"/>
                <w:iCs w:val="0"/>
                <w:color w:val="auto"/>
                <w:kern w:val="0"/>
                <w:sz w:val="18"/>
                <w:szCs w:val="18"/>
                <w:highlight w:val="none"/>
                <w:u w:val="none"/>
                <w:lang w:val="en-US" w:eastAsia="zh-CN"/>
              </w:rPr>
            </w:pPr>
          </w:p>
        </w:tc>
        <w:tc>
          <w:tcPr>
            <w:tcW w:w="827" w:type="pct"/>
            <w:tcBorders>
              <w:top w:val="single" w:color="000000" w:sz="4" w:space="0"/>
              <w:left w:val="single" w:color="000000" w:sz="4" w:space="0"/>
              <w:bottom w:val="single" w:color="000000" w:sz="4" w:space="0"/>
              <w:right w:val="single" w:color="000000" w:sz="4" w:space="0"/>
            </w:tcBorders>
            <w:noWrap w:val="0"/>
            <w:vAlign w:val="center"/>
          </w:tcPr>
          <w:p w14:paraId="16A1DE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煮面熬汤组合炉</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14:paraId="14E0FC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1400mm×700mm×800mm</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D6AC4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253" w:type="pct"/>
            <w:tcBorders>
              <w:top w:val="single" w:color="000000" w:sz="4" w:space="0"/>
              <w:left w:val="single" w:color="000000" w:sz="4" w:space="0"/>
              <w:bottom w:val="single" w:color="000000" w:sz="4" w:space="0"/>
              <w:right w:val="single" w:color="000000" w:sz="4" w:space="0"/>
            </w:tcBorders>
            <w:noWrap w:val="0"/>
            <w:vAlign w:val="center"/>
          </w:tcPr>
          <w:p w14:paraId="6B8174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台</w:t>
            </w:r>
          </w:p>
        </w:tc>
        <w:tc>
          <w:tcPr>
            <w:tcW w:w="2472" w:type="pct"/>
            <w:tcBorders>
              <w:top w:val="single" w:color="000000" w:sz="4" w:space="0"/>
              <w:left w:val="single" w:color="000000" w:sz="4" w:space="0"/>
              <w:bottom w:val="single" w:color="000000" w:sz="4" w:space="0"/>
              <w:right w:val="single" w:color="000000" w:sz="4" w:space="0"/>
            </w:tcBorders>
            <w:noWrap w:val="0"/>
            <w:vAlign w:val="center"/>
          </w:tcPr>
          <w:p w14:paraId="0F70692A">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电压:380V</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功率:≥8kw×2</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尾铮容量:≥24L</w:t>
            </w:r>
            <w:r>
              <w:rPr>
                <w:rFonts w:hint="eastAsia" w:ascii="宋体" w:hAnsi="宋体" w:eastAsia="宋体" w:cs="宋体"/>
                <w:i w:val="0"/>
                <w:iCs w:val="0"/>
                <w:color w:val="auto"/>
                <w:kern w:val="0"/>
                <w:sz w:val="18"/>
                <w:szCs w:val="18"/>
                <w:highlight w:val="none"/>
                <w:u w:val="none"/>
                <w:lang w:val="en-US" w:eastAsia="zh-CN"/>
              </w:rPr>
              <w:br w:type="textWrapping"/>
            </w:r>
            <w:r>
              <w:rPr>
                <w:rFonts w:hint="eastAsia" w:ascii="宋体" w:hAnsi="宋体" w:eastAsia="宋体" w:cs="宋体"/>
                <w:i w:val="0"/>
                <w:iCs w:val="0"/>
                <w:color w:val="auto"/>
                <w:kern w:val="0"/>
                <w:sz w:val="18"/>
                <w:szCs w:val="18"/>
                <w:highlight w:val="none"/>
                <w:u w:val="none"/>
                <w:lang w:val="en-US" w:eastAsia="zh-CN"/>
              </w:rPr>
              <w:t>煮面框:4个</w:t>
            </w:r>
          </w:p>
        </w:tc>
      </w:tr>
      <w:tr w14:paraId="0C45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923A3A2">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▲项参数要求在评审因素和标准中有计分，未按要求提供会导致丢分。</w:t>
            </w:r>
          </w:p>
        </w:tc>
      </w:tr>
    </w:tbl>
    <w:p w14:paraId="78ECA3A4">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质量标准</w:t>
      </w:r>
    </w:p>
    <w:p w14:paraId="4512C324">
      <w:pPr>
        <w:pageBreakBefore w:val="0"/>
        <w:widowControl w:val="0"/>
        <w:kinsoku/>
        <w:wordWrap/>
        <w:overflowPunct/>
        <w:topLinePunct w:val="0"/>
        <w:autoSpaceDE/>
        <w:autoSpaceDN/>
        <w:bidi w:val="0"/>
        <w:spacing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所有产品及安装服务均遵照国家与行业相关标准。</w:t>
      </w:r>
    </w:p>
    <w:p w14:paraId="50C1F1B7">
      <w:pPr>
        <w:pageBreakBefore w:val="0"/>
        <w:widowControl w:val="0"/>
        <w:kinsoku/>
        <w:wordWrap/>
        <w:overflowPunct/>
        <w:topLinePunct w:val="0"/>
        <w:autoSpaceDE/>
        <w:autoSpaceDN/>
        <w:bidi w:val="0"/>
        <w:spacing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供应商提供的产品应是原装正品，符合国家质量技术检测标准，具有出厂合格证或国家鉴定合格证。</w:t>
      </w:r>
    </w:p>
    <w:p w14:paraId="67E3A899">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项目实施要求</w:t>
      </w:r>
    </w:p>
    <w:p w14:paraId="683FE108">
      <w:pPr>
        <w:keepNext/>
        <w:keepLines/>
        <w:pageBreakBefore w:val="0"/>
        <w:widowControl w:val="0"/>
        <w:numPr>
          <w:ilvl w:val="0"/>
          <w:numId w:val="6"/>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技术要求</w:t>
      </w:r>
    </w:p>
    <w:p w14:paraId="66C7D32F">
      <w:pPr>
        <w:pageBreakBefore w:val="0"/>
        <w:widowControl w:val="0"/>
        <w:kinsoku/>
        <w:wordWrap/>
        <w:overflowPunct/>
        <w:topLinePunct w:val="0"/>
        <w:autoSpaceDE/>
        <w:autoSpaceDN/>
        <w:bidi w:val="0"/>
        <w:spacing w:line="6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rPr>
        <w:t>供应商除具有必要的生产设备与技术之外，采购人鼓励供应商采用先进技术装备与优良工艺来实施本项目，以使本项目达到更快更优的目标。</w:t>
      </w:r>
    </w:p>
    <w:p w14:paraId="6B448AEA">
      <w:pPr>
        <w:keepNext/>
        <w:keepLines/>
        <w:pageBreakBefore w:val="0"/>
        <w:widowControl w:val="0"/>
        <w:numPr>
          <w:ilvl w:val="0"/>
          <w:numId w:val="6"/>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产品运输、保管保险</w:t>
      </w:r>
    </w:p>
    <w:p w14:paraId="63FF5A37">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供应商负责产品到施工地点的全部运输，包括装卸及现场搬运等。</w:t>
      </w:r>
    </w:p>
    <w:p w14:paraId="4ABA1A42">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供应商负责产品在施工地点的保管，直至项目验收合格。</w:t>
      </w:r>
    </w:p>
    <w:p w14:paraId="21E5B5BB">
      <w:pPr>
        <w:keepNext w:val="0"/>
        <w:keepLines w:val="0"/>
        <w:pageBreakBefore w:val="0"/>
        <w:widowControl w:val="0"/>
        <w:numPr>
          <w:ilvl w:val="0"/>
          <w:numId w:val="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供应商负责其派出的施工人员的人身意外保险。</w:t>
      </w:r>
    </w:p>
    <w:p w14:paraId="6EEDABCC">
      <w:pPr>
        <w:keepNext/>
        <w:keepLines/>
        <w:pageBreakBefore w:val="0"/>
        <w:widowControl w:val="0"/>
        <w:numPr>
          <w:ilvl w:val="0"/>
          <w:numId w:val="6"/>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安装调试及技术服务（含培训）要求</w:t>
      </w:r>
    </w:p>
    <w:p w14:paraId="1477944A">
      <w:pPr>
        <w:keepNext w:val="0"/>
        <w:keepLines w:val="0"/>
        <w:pageBreakBefore w:val="0"/>
        <w:widowControl w:val="0"/>
        <w:numPr>
          <w:ilvl w:val="0"/>
          <w:numId w:val="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设备安装调试要求</w:t>
      </w:r>
    </w:p>
    <w:p w14:paraId="7BC1F11D">
      <w:pPr>
        <w:keepNext w:val="0"/>
        <w:keepLines w:val="0"/>
        <w:pageBreakBefore w:val="0"/>
        <w:widowControl w:val="0"/>
        <w:numPr>
          <w:ilvl w:val="0"/>
          <w:numId w:val="9"/>
        </w:numPr>
        <w:kinsoku/>
        <w:wordWrap/>
        <w:overflowPunct/>
        <w:topLinePunct w:val="0"/>
        <w:autoSpaceDE/>
        <w:autoSpaceDN/>
        <w:bidi w:val="0"/>
        <w:spacing w:after="0" w:line="600" w:lineRule="exact"/>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设备安装调试必须按照国家质量技术标准和设计图纸执行。</w:t>
      </w:r>
    </w:p>
    <w:p w14:paraId="31D46E27">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项目安装施工及验收所需的所有材料均由供应商免费提供。</w:t>
      </w:r>
    </w:p>
    <w:p w14:paraId="2BB915C6">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供应商须加强施工的组织管理，所有施工人员须遵守文明安全施工的有关规章制度，持证上岗。</w:t>
      </w:r>
    </w:p>
    <w:p w14:paraId="17F2D837">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项目完成后，供应商应将项目有关的全部资料，包括产品资料、技术文档、施工图纸等，移交采购人。</w:t>
      </w:r>
    </w:p>
    <w:p w14:paraId="3E8E3DA5">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安装位置与空间要求:根据不同设备的尺寸和功能,选择合适的安装位置,确保设备安装后能顺利使用设备安装坐标位置的划定应该精准明确，必要时应该保留伸缩通道。</w:t>
      </w:r>
    </w:p>
    <w:p w14:paraId="7AFFD20A">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安装设备必须符合安全标准，如防火和防爆等要求，设备与导电体之间必须隔离应当选择具有安全保护功能的设备，并在使用前检查设备的安全性能。</w:t>
      </w:r>
    </w:p>
    <w:p w14:paraId="318E080F">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在安装设备前，应该确认管道的位置，如水管、下水管等,并根据不同设备的功能，选择不同规格型号的管材进行连接。</w:t>
      </w:r>
    </w:p>
    <w:p w14:paraId="6606729F">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源供应必须安全规范，设备电源线安装必须符合国家技术质量规范标准,具体规格型号须与设备使用的功率和电流相符合，确保设备正常运转用电功率大的设备须从电源箱接驳电源，用电功率小的设备从墙面插孔处接驳电源，接驳电源所需材料由供应商承担。</w:t>
      </w:r>
    </w:p>
    <w:p w14:paraId="6AFBBF73">
      <w:pPr>
        <w:keepNext w:val="0"/>
        <w:keepLines w:val="0"/>
        <w:pageBreakBefore w:val="0"/>
        <w:widowControl w:val="0"/>
        <w:numPr>
          <w:ilvl w:val="0"/>
          <w:numId w:val="9"/>
        </w:numPr>
        <w:kinsoku/>
        <w:wordWrap/>
        <w:overflowPunct/>
        <w:topLinePunct w:val="0"/>
        <w:autoSpaceDE/>
        <w:autoSpaceDN/>
        <w:bidi w:val="0"/>
        <w:spacing w:after="0" w:line="600" w:lineRule="exact"/>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供应商负责采购人原有抽排等利旧设备和管道的安装、连接与调试。</w:t>
      </w:r>
    </w:p>
    <w:p w14:paraId="264499FB">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在施工现场，需按有关规定保护现有的墙壁和地面,杜绝施工造成墙身和地面损坏，减少安装设备的噪声和振动。</w:t>
      </w:r>
    </w:p>
    <w:p w14:paraId="633BCC31">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不得出现人身安全事故，应对现场安装施工人员购置安全保险。</w:t>
      </w:r>
    </w:p>
    <w:p w14:paraId="4E1C112F">
      <w:pPr>
        <w:keepNext w:val="0"/>
        <w:keepLines w:val="0"/>
        <w:pageBreakBefore w:val="0"/>
        <w:widowControl w:val="0"/>
        <w:numPr>
          <w:ilvl w:val="0"/>
          <w:numId w:val="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技术支持要求</w:t>
      </w:r>
    </w:p>
    <w:p w14:paraId="2288CE5C">
      <w:pPr>
        <w:keepNext w:val="0"/>
        <w:keepLines w:val="0"/>
        <w:pageBreakBefore w:val="0"/>
        <w:widowControl w:val="0"/>
        <w:numPr>
          <w:ilvl w:val="0"/>
          <w:numId w:val="10"/>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提供24小时的技术咨询服务。</w:t>
      </w:r>
    </w:p>
    <w:p w14:paraId="0D60B506">
      <w:pPr>
        <w:keepNext w:val="0"/>
        <w:keepLines w:val="0"/>
        <w:pageBreakBefore w:val="0"/>
        <w:widowControl w:val="0"/>
        <w:numPr>
          <w:ilvl w:val="0"/>
          <w:numId w:val="10"/>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敏感时期、重大节假日提供技术人员值守服务。</w:t>
      </w:r>
    </w:p>
    <w:p w14:paraId="795BAEA7">
      <w:pPr>
        <w:keepNext w:val="0"/>
        <w:keepLines w:val="0"/>
        <w:pageBreakBefore w:val="0"/>
        <w:widowControl w:val="0"/>
        <w:numPr>
          <w:ilvl w:val="0"/>
          <w:numId w:val="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培训要求</w:t>
      </w:r>
    </w:p>
    <w:p w14:paraId="6A2C9C50">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按照采购人要求，提供设备操作与维护，至少需要现场6个课时以上的培训，让采购人具备熟练掌握产品性能、操作技能及排除一般故障的能力。</w:t>
      </w:r>
    </w:p>
    <w:p w14:paraId="21348BB5">
      <w:pPr>
        <w:keepNext/>
        <w:keepLines/>
        <w:pageBreakBefore w:val="0"/>
        <w:widowControl w:val="0"/>
        <w:numPr>
          <w:ilvl w:val="0"/>
          <w:numId w:val="6"/>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测试验收</w:t>
      </w:r>
    </w:p>
    <w:p w14:paraId="4517AB15">
      <w:pPr>
        <w:keepNext w:val="0"/>
        <w:keepLines w:val="0"/>
        <w:pageBreakBefore w:val="0"/>
        <w:widowControl w:val="0"/>
        <w:numPr>
          <w:ilvl w:val="0"/>
          <w:numId w:val="1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测试验收所需的所有材料均由供应商免费提供。</w:t>
      </w:r>
    </w:p>
    <w:p w14:paraId="606A0942">
      <w:pPr>
        <w:keepNext w:val="0"/>
        <w:keepLines w:val="0"/>
        <w:pageBreakBefore w:val="0"/>
        <w:widowControl w:val="0"/>
        <w:numPr>
          <w:ilvl w:val="0"/>
          <w:numId w:val="1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采用一般程序验收，由代理机构组织。</w:t>
      </w:r>
    </w:p>
    <w:p w14:paraId="22A1D7B9">
      <w:pPr>
        <w:keepNext w:val="0"/>
        <w:keepLines w:val="0"/>
        <w:pageBreakBefore w:val="0"/>
        <w:widowControl w:val="0"/>
        <w:numPr>
          <w:ilvl w:val="0"/>
          <w:numId w:val="1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项目验收国家有强制性规定的，按国家规定执行，验收费用由供应商承担，验收报告作为申请付款的凭证之一。</w:t>
      </w:r>
    </w:p>
    <w:p w14:paraId="2E6F7C11">
      <w:pPr>
        <w:keepNext w:val="0"/>
        <w:keepLines w:val="0"/>
        <w:pageBreakBefore w:val="0"/>
        <w:widowControl w:val="0"/>
        <w:numPr>
          <w:ilvl w:val="0"/>
          <w:numId w:val="1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验收过程中产生纠纷的，由质量技术监督部门认定的检测机构检测，如为供应商原因造成的，由供应商承担检测费用。</w:t>
      </w:r>
    </w:p>
    <w:p w14:paraId="0A4BD2FE">
      <w:pPr>
        <w:keepNext w:val="0"/>
        <w:keepLines w:val="0"/>
        <w:pageBreakBefore w:val="0"/>
        <w:widowControl w:val="0"/>
        <w:numPr>
          <w:ilvl w:val="0"/>
          <w:numId w:val="1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验收不合格，由供应商返工直至合格，有关返工、再行验收，以及给采购人造成的损失等费用由供应商承担连续两次项目验收不合格的，采购人可终止合同，另行按规定选择其他供应商采购，由此带来的一切损失由供应商承担。</w:t>
      </w:r>
    </w:p>
    <w:p w14:paraId="5BB7B331">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售后服务</w:t>
      </w:r>
    </w:p>
    <w:p w14:paraId="3B591DAA">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项目整体质保期为一年，自项目验收合格之日起计算。若原厂设备的生产厂家提供的质保期长于本项目质保期，则以生产厂家承诺的期限为准。</w:t>
      </w:r>
    </w:p>
    <w:p w14:paraId="2AC942D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质保期服务内容：</w:t>
      </w:r>
    </w:p>
    <w:p w14:paraId="050F80F9">
      <w:pPr>
        <w:keepNext w:val="0"/>
        <w:keepLines w:val="0"/>
        <w:pageBreakBefore w:val="0"/>
        <w:widowControl w:val="0"/>
        <w:numPr>
          <w:ilvl w:val="0"/>
          <w:numId w:val="12"/>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定期维护计划</w:t>
      </w:r>
    </w:p>
    <w:p w14:paraId="41D49577">
      <w:pPr>
        <w:keepNext w:val="0"/>
        <w:keepLines w:val="0"/>
        <w:pageBreakBefore w:val="0"/>
        <w:widowControl w:val="0"/>
        <w:numPr>
          <w:ilvl w:val="0"/>
          <w:numId w:val="12"/>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对采购人不定期维护要求的响应措施</w:t>
      </w:r>
    </w:p>
    <w:p w14:paraId="33B2D1E7">
      <w:pPr>
        <w:keepNext w:val="0"/>
        <w:keepLines w:val="0"/>
        <w:pageBreakBefore w:val="0"/>
        <w:widowControl w:val="0"/>
        <w:numPr>
          <w:ilvl w:val="0"/>
          <w:numId w:val="12"/>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对采购人修改设计要求的响应措施</w:t>
      </w:r>
    </w:p>
    <w:p w14:paraId="0CB053A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技术支持</w:t>
      </w:r>
    </w:p>
    <w:p w14:paraId="3BDEB3C4">
      <w:pPr>
        <w:keepNext w:val="0"/>
        <w:keepLines w:val="0"/>
        <w:pageBreakBefore w:val="0"/>
        <w:widowControl w:val="0"/>
        <w:numPr>
          <w:ilvl w:val="0"/>
          <w:numId w:val="13"/>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提供24小时的技术咨询服务；</w:t>
      </w:r>
    </w:p>
    <w:p w14:paraId="415A76BD">
      <w:pPr>
        <w:keepNext w:val="0"/>
        <w:keepLines w:val="0"/>
        <w:pageBreakBefore w:val="0"/>
        <w:widowControl w:val="0"/>
        <w:numPr>
          <w:ilvl w:val="0"/>
          <w:numId w:val="13"/>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敏感时期、重大节假日提供技术人员值守服务。</w:t>
      </w:r>
    </w:p>
    <w:p w14:paraId="2E594F7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故障响应</w:t>
      </w:r>
    </w:p>
    <w:p w14:paraId="760D5026">
      <w:pPr>
        <w:keepNext w:val="0"/>
        <w:keepLines w:val="0"/>
        <w:pageBreakBefore w:val="0"/>
        <w:widowControl w:val="0"/>
        <w:numPr>
          <w:ilvl w:val="0"/>
          <w:numId w:val="1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提供12小时的故障服务受理和故障排除</w:t>
      </w:r>
    </w:p>
    <w:p w14:paraId="69A0672B">
      <w:pPr>
        <w:keepNext w:val="0"/>
        <w:keepLines w:val="0"/>
        <w:pageBreakBefore w:val="0"/>
        <w:widowControl w:val="0"/>
        <w:numPr>
          <w:ilvl w:val="0"/>
          <w:numId w:val="1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对重大故障提供及时的现场支援，一般故障提供12小时的现场支援</w:t>
      </w:r>
    </w:p>
    <w:p w14:paraId="73402DDE">
      <w:pPr>
        <w:keepNext w:val="0"/>
        <w:keepLines w:val="0"/>
        <w:pageBreakBefore w:val="0"/>
        <w:widowControl w:val="0"/>
        <w:numPr>
          <w:ilvl w:val="0"/>
          <w:numId w:val="14"/>
        </w:numPr>
        <w:kinsoku/>
        <w:wordWrap/>
        <w:overflowPunct/>
        <w:topLinePunct w:val="0"/>
        <w:autoSpaceDE/>
        <w:autoSpaceDN/>
        <w:bidi w:val="0"/>
        <w:adjustRightInd w:val="0"/>
        <w:snapToGrid w:val="0"/>
        <w:spacing w:line="6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备件服务：遇到重大故障，提供系统所需更换的任何备件</w:t>
      </w:r>
    </w:p>
    <w:p w14:paraId="5AB4032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Times New Roman" w:hAnsi="Times New Roman" w:eastAsia="宋体" w:cs="Times New Roman"/>
          <w:color w:val="auto"/>
          <w:highlight w:val="none"/>
          <w:lang w:val="en-US" w:eastAsia="zh-CN"/>
        </w:rPr>
      </w:pPr>
      <w:r>
        <w:rPr>
          <w:rFonts w:hint="default"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质保期从验收合格后开始计算，质保期内所有维护等要求免费上门服务。</w:t>
      </w:r>
    </w:p>
    <w:p w14:paraId="621537D3">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质保期内出现任何质量问题（人为破坏或自然灾害等不可抗力除外），由供应商负责免费（免全部工时费、材料费、管理费、财务费等）更换或维修，质保期满后，无论采购人是否另行选择维保供应商，供应商应及时优惠提供所需的备品备件。</w:t>
      </w:r>
    </w:p>
    <w:p w14:paraId="1CC68431">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商务要求</w:t>
      </w:r>
    </w:p>
    <w:p w14:paraId="31107768">
      <w:pPr>
        <w:keepNext/>
        <w:keepLines/>
        <w:pageBreakBefore w:val="0"/>
        <w:widowControl w:val="0"/>
        <w:numPr>
          <w:ilvl w:val="0"/>
          <w:numId w:val="15"/>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交货时间与实施地点</w:t>
      </w:r>
    </w:p>
    <w:p w14:paraId="466C52C7">
      <w:pPr>
        <w:keepNext w:val="0"/>
        <w:keepLines w:val="0"/>
        <w:pageBreakBefore w:val="0"/>
        <w:widowControl w:val="0"/>
        <w:numPr>
          <w:ilvl w:val="0"/>
          <w:numId w:val="16"/>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Times New Roman" w:hAnsi="宋体" w:eastAsia="宋体" w:cs="Times New Roman"/>
          <w:color w:val="auto"/>
          <w:highlight w:val="none"/>
          <w:u w:val="none"/>
          <w:lang w:val="en-US" w:eastAsia="zh-CN"/>
        </w:rPr>
        <w:t>交货</w:t>
      </w:r>
      <w:r>
        <w:rPr>
          <w:rFonts w:hint="eastAsia" w:ascii="Times New Roman" w:hAnsi="宋体" w:eastAsia="宋体" w:cs="Times New Roman"/>
          <w:color w:val="auto"/>
          <w:highlight w:val="none"/>
          <w:u w:val="none"/>
        </w:rPr>
        <w:t>时间</w:t>
      </w:r>
      <w:r>
        <w:rPr>
          <w:rFonts w:hint="eastAsia" w:ascii="宋体" w:hAnsi="宋体" w:eastAsia="宋体" w:cs="宋体"/>
          <w:color w:val="auto"/>
          <w:sz w:val="21"/>
          <w:szCs w:val="21"/>
          <w:highlight w:val="none"/>
          <w:lang w:val="en-US" w:eastAsia="zh-CN"/>
        </w:rPr>
        <w:t>：8月25日前完成安装，调试。</w:t>
      </w:r>
    </w:p>
    <w:p w14:paraId="5158805E">
      <w:pPr>
        <w:keepNext w:val="0"/>
        <w:keepLines w:val="0"/>
        <w:pageBreakBefore w:val="0"/>
        <w:widowControl w:val="0"/>
        <w:numPr>
          <w:ilvl w:val="0"/>
          <w:numId w:val="16"/>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实施地点：中共湖南省委党校（湖南行政学院）指定地点</w:t>
      </w:r>
    </w:p>
    <w:p w14:paraId="071FA9F9">
      <w:pPr>
        <w:keepNext/>
        <w:keepLines/>
        <w:pageBreakBefore w:val="0"/>
        <w:widowControl w:val="0"/>
        <w:numPr>
          <w:ilvl w:val="0"/>
          <w:numId w:val="15"/>
        </w:numPr>
        <w:kinsoku/>
        <w:wordWrap/>
        <w:overflowPunct/>
        <w:topLinePunct w:val="0"/>
        <w:autoSpaceDE/>
        <w:autoSpaceDN/>
        <w:bidi w:val="0"/>
        <w:spacing w:before="0" w:after="0" w:line="600" w:lineRule="exact"/>
        <w:ind w:left="425" w:leftChars="0" w:hanging="425" w:firstLineChars="0"/>
        <w:jc w:val="both"/>
        <w:textAlignment w:val="auto"/>
        <w:outlineLvl w:val="2"/>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支付结算</w:t>
      </w:r>
    </w:p>
    <w:p w14:paraId="5B347C4E">
      <w:pPr>
        <w:keepNext w:val="0"/>
        <w:keepLines w:val="0"/>
        <w:pageBreakBefore w:val="0"/>
        <w:widowControl w:val="0"/>
        <w:numPr>
          <w:ilvl w:val="0"/>
          <w:numId w:val="1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付款人：中共湖南省委党校（湖南行政学院）（通过国库集中支付）</w:t>
      </w:r>
    </w:p>
    <w:p w14:paraId="3F09ECBF">
      <w:pPr>
        <w:keepNext w:val="0"/>
        <w:keepLines w:val="0"/>
        <w:pageBreakBefore w:val="0"/>
        <w:widowControl w:val="0"/>
        <w:numPr>
          <w:ilvl w:val="0"/>
          <w:numId w:val="1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付款方式：货到安装调试验收合格后支付合同金额的97%，验收合格满一年（无质量问题及其他争议）15个工作日内支付合同金额的3%。</w:t>
      </w:r>
    </w:p>
    <w:p w14:paraId="6A33B832">
      <w:pPr>
        <w:keepNext w:val="0"/>
        <w:keepLines w:val="0"/>
        <w:pageBreakBefore w:val="0"/>
        <w:widowControl w:val="0"/>
        <w:numPr>
          <w:ilvl w:val="0"/>
          <w:numId w:val="17"/>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w:t>
      </w:r>
      <w:r>
        <w:rPr>
          <w:rFonts w:hint="eastAsia" w:ascii="宋体" w:hAnsi="宋体" w:eastAsia="宋体" w:cs="宋体"/>
          <w:b w:val="0"/>
          <w:bCs w:val="0"/>
          <w:color w:val="auto"/>
          <w:sz w:val="21"/>
          <w:szCs w:val="21"/>
          <w:highlight w:val="none"/>
          <w:lang w:val="en-US" w:eastAsia="zh-CN"/>
        </w:rPr>
        <w:t>为总价合同，</w:t>
      </w:r>
      <w:r>
        <w:rPr>
          <w:rFonts w:hint="eastAsia" w:ascii="宋体" w:hAnsi="宋体" w:eastAsia="宋体" w:cs="宋体"/>
          <w:color w:val="auto"/>
          <w:sz w:val="21"/>
          <w:szCs w:val="21"/>
          <w:highlight w:val="none"/>
          <w:lang w:val="en-US" w:eastAsia="zh-CN"/>
        </w:rPr>
        <w:t>采用费用包干方式建设，供应商应根据项目要求和现场情况，详细列明项目所需的设备及材料购置，以及产品运输保险保管、项目安装调试、试运行测试通过验收、培训、质保期免费保修维护等所有人工、管理、财务等所有费用，如一旦成交，项目实施中出现任何遗漏，均由供应商免费提供，采购人不再支付任何费用</w:t>
      </w:r>
    </w:p>
    <w:p w14:paraId="18885D81">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其他</w:t>
      </w:r>
    </w:p>
    <w:p w14:paraId="511F11FA">
      <w:pPr>
        <w:keepNext w:val="0"/>
        <w:keepLines w:val="0"/>
        <w:pageBreakBefore w:val="0"/>
        <w:widowControl w:val="0"/>
        <w:numPr>
          <w:ilvl w:val="0"/>
          <w:numId w:val="1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供应商自行与采购人联系考察事宜。现场踏勘中获取的资料和数据作为供应商编制响应文件时使用，现场踏勘的一切费用供应商自理。</w:t>
      </w:r>
    </w:p>
    <w:p w14:paraId="6CF5D88D">
      <w:pPr>
        <w:keepNext w:val="0"/>
        <w:keepLines w:val="0"/>
        <w:pageBreakBefore w:val="0"/>
        <w:widowControl w:val="0"/>
        <w:numPr>
          <w:ilvl w:val="0"/>
          <w:numId w:val="1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报价要求：供应商报出总价同时，须按格式要求提供分项报价，不符要求者，响应无效。</w:t>
      </w:r>
    </w:p>
    <w:p w14:paraId="0E1CD510">
      <w:pPr>
        <w:keepNext w:val="0"/>
        <w:keepLines w:val="0"/>
        <w:pageBreakBefore w:val="0"/>
        <w:widowControl w:val="0"/>
        <w:numPr>
          <w:ilvl w:val="0"/>
          <w:numId w:val="18"/>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项目前期设计咨询费用（20000.00元）由成交供应商支付，供应商在报价时须将该部分费用直接纳入报价，不得优惠，否则报价无效。</w:t>
      </w:r>
    </w:p>
    <w:p w14:paraId="2C67C14A">
      <w:pPr>
        <w:keepNext/>
        <w:keepLines/>
        <w:pageBreakBefore w:val="0"/>
        <w:widowControl w:val="0"/>
        <w:numPr>
          <w:ilvl w:val="0"/>
          <w:numId w:val="2"/>
        </w:numPr>
        <w:kinsoku/>
        <w:wordWrap/>
        <w:overflowPunct/>
        <w:topLinePunct w:val="0"/>
        <w:autoSpaceDE/>
        <w:autoSpaceDN/>
        <w:bidi w:val="0"/>
        <w:spacing w:before="0" w:after="0" w:line="600" w:lineRule="exact"/>
        <w:jc w:val="both"/>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设计图纸</w:t>
      </w:r>
    </w:p>
    <w:p w14:paraId="45F25701">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宋体" w:hAnsi="宋体" w:eastAsia="宋体" w:cs="宋体"/>
          <w:b w:val="0"/>
          <w:bCs w:val="0"/>
          <w:color w:val="auto"/>
          <w:sz w:val="21"/>
          <w:szCs w:val="21"/>
          <w:highlight w:val="none"/>
          <w:lang w:val="en-US" w:eastAsia="zh-CN"/>
        </w:rPr>
        <w:t>另附</w:t>
      </w:r>
    </w:p>
    <w:p w14:paraId="2C2E266E">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注：本章均为实质性条款，供应商应在响应文件中进行响应，否则响应无效。</w:t>
      </w:r>
      <w:r>
        <w:rPr>
          <w:rFonts w:hint="eastAsia" w:ascii="宋体" w:hAnsi="宋体" w:eastAsia="宋体" w:cs="宋体"/>
          <w:color w:val="auto"/>
          <w:szCs w:val="21"/>
          <w:highlight w:val="none"/>
        </w:rPr>
        <w:t>供应商认为设计及</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清单</w:t>
      </w:r>
      <w:r>
        <w:rPr>
          <w:rFonts w:hint="eastAsia" w:ascii="宋体" w:hAnsi="宋体" w:eastAsia="宋体" w:cs="宋体"/>
          <w:color w:val="auto"/>
          <w:szCs w:val="21"/>
          <w:highlight w:val="none"/>
          <w:lang w:val="en-US" w:eastAsia="zh-CN"/>
        </w:rPr>
        <w:t>的参数</w:t>
      </w:r>
      <w:r>
        <w:rPr>
          <w:rFonts w:hint="eastAsia" w:ascii="宋体" w:hAnsi="宋体" w:eastAsia="宋体" w:cs="宋体"/>
          <w:color w:val="auto"/>
          <w:szCs w:val="21"/>
          <w:highlight w:val="none"/>
        </w:rPr>
        <w:t>存在错误，</w:t>
      </w:r>
      <w:r>
        <w:rPr>
          <w:rFonts w:hint="eastAsia" w:ascii="宋体" w:hAnsi="宋体" w:eastAsia="宋体" w:cs="宋体"/>
          <w:color w:val="auto"/>
          <w:szCs w:val="21"/>
          <w:highlight w:val="none"/>
          <w:lang w:val="en-US" w:eastAsia="zh-CN"/>
        </w:rPr>
        <w:t>应当在磋商前5日前来函告知</w:t>
      </w:r>
      <w:r>
        <w:rPr>
          <w:rFonts w:hint="eastAsia" w:ascii="宋体" w:hAnsi="宋体" w:eastAsia="宋体" w:cs="宋体"/>
          <w:color w:val="auto"/>
          <w:szCs w:val="21"/>
          <w:highlight w:val="none"/>
        </w:rPr>
        <w:t>。</w:t>
      </w:r>
    </w:p>
    <w:p w14:paraId="27D288FF">
      <w:pPr>
        <w:keepNext w:val="0"/>
        <w:keepLines w:val="0"/>
        <w:pageBreakBefore w:val="0"/>
        <w:widowControl w:val="0"/>
        <w:kinsoku/>
        <w:wordWrap/>
        <w:overflowPunct/>
        <w:topLinePunct w:val="0"/>
        <w:autoSpaceDE/>
        <w:autoSpaceDN/>
        <w:bidi w:val="0"/>
        <w:adjustRightInd w:val="0"/>
        <w:snapToGrid w:val="0"/>
        <w:spacing w:line="60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本项目的产品或材料允许等效替代，供应商响应产品与本章未完全一致者，只要其技术参数满足国家行业标准，性能等于或大于原指标，供应商提供的相关证明经磋商小组认可后视同满足。</w:t>
      </w:r>
    </w:p>
    <w:p w14:paraId="1DBE8F1B">
      <w:pPr>
        <w:widowControl w:val="0"/>
        <w:spacing w:line="360" w:lineRule="auto"/>
        <w:ind w:firstLine="480" w:firstLineChars="200"/>
        <w:jc w:val="both"/>
        <w:rPr>
          <w:rFonts w:ascii="Calibri" w:hAnsi="Calibri" w:eastAsia="宋体" w:cs="Times New Roman"/>
          <w:color w:val="auto"/>
          <w:kern w:val="2"/>
          <w:sz w:val="24"/>
          <w:szCs w:val="22"/>
          <w:highlight w:val="none"/>
          <w:lang w:val="en-US" w:eastAsia="zh-CN" w:bidi="ar-SA"/>
        </w:rPr>
      </w:pPr>
    </w:p>
    <w:p w14:paraId="68052182">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B8280">
    <w:pPr>
      <w:widowControl w:val="0"/>
      <w:tabs>
        <w:tab w:val="center" w:pos="4153"/>
        <w:tab w:val="left" w:pos="6761"/>
        <w:tab w:val="right" w:pos="8306"/>
      </w:tabs>
      <w:snapToGrid w:val="0"/>
      <w:jc w:val="right"/>
      <w:rPr>
        <w:rFonts w:ascii="宋体" w:hAnsi="宋体" w:eastAsia="宋体" w:cs="宋体"/>
        <w:kern w:val="2"/>
        <w:sz w:val="18"/>
        <w:szCs w:val="18"/>
        <w:lang w:val="en-US" w:eastAsia="zh-CN" w:bidi="ar-SA"/>
      </w:rPr>
    </w:pPr>
    <w:r>
      <w:rPr>
        <w:rFonts w:ascii="宋体" w:hAnsi="宋体" w:eastAsia="宋体" w:cs="宋体"/>
        <w:kern w:val="2"/>
        <w:sz w:val="18"/>
        <w:szCs w:val="18"/>
        <w:lang w:val="en-US" w:eastAsia="zh-CN" w:bidi="ar-SA"/>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3A5A52FA">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r>
                            <w:rPr>
                              <w:rFonts w:hint="eastAsia" w:ascii="Times New Roman" w:hAnsi="Times New Roman" w:eastAsia="宋体" w:cs="Times New Roman"/>
                              <w:kern w:val="2"/>
                              <w:sz w:val="18"/>
                              <w:szCs w:val="18"/>
                              <w:lang w:val="en-US" w:eastAsia="zh-CN" w:bidi="ar-SA"/>
                            </w:rPr>
                            <w:t xml:space="preserve"> 页</w:t>
                          </w:r>
                        </w:p>
                      </w:txbxContent>
                    </wps:txbx>
                    <wps:bodyPr vert="horz" wrap="none" lIns="0" tIns="0" rIns="0" bIns="0" anchor="t" anchorCtr="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l1uVLQAAAABQEAAA8AAAAAAAAAAQAgAAAA&#10;IgAAAGRycy9kb3ducmV2LnhtbFBLAQIUABQAAAAIAIdO4kCdPaIr2gEAALkDAAAOAAAAAAAAAAEA&#10;IAAAAB8BAABkcnMvZTJvRG9jLnhtbFBLBQYAAAAABgAGAFkBAABrBQAAAAA=&#10;">
              <v:fill on="f" focussize="0,0"/>
              <v:stroke on="f"/>
              <v:imagedata o:title=""/>
              <o:lock v:ext="edit" aspectratio="f"/>
              <v:textbox inset="0mm,0mm,0mm,0mm" style="mso-fit-shape-to-text:t;">
                <w:txbxContent>
                  <w:p w14:paraId="3A5A52FA">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r>
                      <w:rPr>
                        <w:rFonts w:hint="eastAsia" w:ascii="Times New Roman" w:hAnsi="Times New Roman" w:eastAsia="宋体" w:cs="Times New Roman"/>
                        <w:kern w:val="2"/>
                        <w:sz w:val="18"/>
                        <w:szCs w:val="18"/>
                        <w:lang w:val="en-US" w:eastAsia="zh-CN" w:bidi="ar-SA"/>
                      </w:rPr>
                      <w:t xml:space="preserve"> 页</w:t>
                    </w:r>
                  </w:p>
                </w:txbxContent>
              </v:textbox>
            </v:rect>
          </w:pict>
        </mc:Fallback>
      </mc:AlternateContent>
    </w:r>
    <w:r>
      <w:rPr>
        <w:rFonts w:hint="eastAsia" w:ascii="宋体" w:hAnsi="宋体" w:eastAsia="宋体" w:cs="宋体"/>
        <w:kern w:val="2"/>
        <w:sz w:val="18"/>
        <w:szCs w:val="18"/>
        <w:lang w:val="en-US" w:eastAsia="zh-CN" w:bidi="ar-SA"/>
      </w:rPr>
      <w:t>湖南军融创项目管理有限公司</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lvlText w:val="(%1)"/>
      <w:lvlJc w:val="left"/>
      <w:pPr>
        <w:ind w:left="425" w:hanging="425"/>
      </w:pPr>
      <w:rPr>
        <w:rFonts w:hint="default"/>
        <w:b w:val="0"/>
        <w:bCs w:val="0"/>
      </w:rPr>
    </w:lvl>
  </w:abstractNum>
  <w:abstractNum w:abstractNumId="1">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2">
    <w:nsid w:val="00000002"/>
    <w:multiLevelType w:val="singleLevel"/>
    <w:tmpl w:val="00000002"/>
    <w:lvl w:ilvl="0" w:tentative="0">
      <w:start w:val="1"/>
      <w:numFmt w:val="decimal"/>
      <w:lvlText w:val="%1."/>
      <w:lvlJc w:val="left"/>
      <w:pPr>
        <w:ind w:left="425" w:hanging="425"/>
      </w:pPr>
      <w:rPr>
        <w:rFonts w:hint="default"/>
      </w:rPr>
    </w:lvl>
  </w:abstractNum>
  <w:abstractNum w:abstractNumId="3">
    <w:nsid w:val="00000004"/>
    <w:multiLevelType w:val="singleLevel"/>
    <w:tmpl w:val="00000004"/>
    <w:lvl w:ilvl="0" w:tentative="0">
      <w:start w:val="1"/>
      <w:numFmt w:val="decimal"/>
      <w:lvlText w:val="%1."/>
      <w:lvlJc w:val="left"/>
      <w:pPr>
        <w:ind w:left="425" w:hanging="425"/>
      </w:pPr>
      <w:rPr>
        <w:rFonts w:hint="default"/>
      </w:rPr>
    </w:lvl>
  </w:abstractNum>
  <w:abstractNum w:abstractNumId="4">
    <w:nsid w:val="00000005"/>
    <w:multiLevelType w:val="singleLevel"/>
    <w:tmpl w:val="00000005"/>
    <w:lvl w:ilvl="0" w:tentative="0">
      <w:start w:val="1"/>
      <w:numFmt w:val="decimal"/>
      <w:lvlText w:val="(%1)"/>
      <w:lvlJc w:val="left"/>
      <w:pPr>
        <w:ind w:left="425" w:hanging="425"/>
      </w:pPr>
      <w:rPr>
        <w:rFonts w:hint="default"/>
      </w:rPr>
    </w:lvl>
  </w:abstractNum>
  <w:abstractNum w:abstractNumId="5">
    <w:nsid w:val="0000000A"/>
    <w:multiLevelType w:val="singleLevel"/>
    <w:tmpl w:val="0000000A"/>
    <w:lvl w:ilvl="0" w:tentative="0">
      <w:start w:val="1"/>
      <w:numFmt w:val="decimal"/>
      <w:lvlText w:val="(%1)"/>
      <w:lvlJc w:val="left"/>
      <w:pPr>
        <w:ind w:left="425" w:hanging="425"/>
      </w:pPr>
      <w:rPr>
        <w:rFonts w:hint="default"/>
      </w:rPr>
    </w:lvl>
  </w:abstractNum>
  <w:abstractNum w:abstractNumId="6">
    <w:nsid w:val="0000000B"/>
    <w:multiLevelType w:val="singleLevel"/>
    <w:tmpl w:val="0000000B"/>
    <w:lvl w:ilvl="0" w:tentative="0">
      <w:start w:val="1"/>
      <w:numFmt w:val="decimal"/>
      <w:lvlText w:val="(%1)"/>
      <w:lvlJc w:val="left"/>
      <w:pPr>
        <w:ind w:left="425" w:hanging="425"/>
      </w:pPr>
      <w:rPr>
        <w:rFonts w:hint="default"/>
      </w:rPr>
    </w:lvl>
  </w:abstractNum>
  <w:abstractNum w:abstractNumId="7">
    <w:nsid w:val="0000000C"/>
    <w:multiLevelType w:val="singleLevel"/>
    <w:tmpl w:val="0000000C"/>
    <w:lvl w:ilvl="0" w:tentative="0">
      <w:start w:val="1"/>
      <w:numFmt w:val="decimalEnclosedCircleChinese"/>
      <w:suff w:val="nothing"/>
      <w:lvlText w:val="%1　"/>
      <w:lvlJc w:val="left"/>
      <w:pPr>
        <w:ind w:left="0" w:firstLine="400"/>
      </w:pPr>
      <w:rPr>
        <w:rFonts w:hint="eastAsia"/>
      </w:rPr>
    </w:lvl>
  </w:abstractNum>
  <w:abstractNum w:abstractNumId="8">
    <w:nsid w:val="00000010"/>
    <w:multiLevelType w:val="singleLevel"/>
    <w:tmpl w:val="00000010"/>
    <w:lvl w:ilvl="0" w:tentative="0">
      <w:start w:val="4"/>
      <w:numFmt w:val="chineseCounting"/>
      <w:suff w:val="space"/>
      <w:lvlText w:val="第%1章"/>
      <w:lvlJc w:val="left"/>
      <w:rPr>
        <w:rFonts w:hint="eastAsia"/>
      </w:rPr>
    </w:lvl>
  </w:abstractNum>
  <w:abstractNum w:abstractNumId="9">
    <w:nsid w:val="00000015"/>
    <w:multiLevelType w:val="singleLevel"/>
    <w:tmpl w:val="00000015"/>
    <w:lvl w:ilvl="0" w:tentative="0">
      <w:start w:val="1"/>
      <w:numFmt w:val="decimal"/>
      <w:suff w:val="nothing"/>
      <w:lvlText w:val="%1"/>
      <w:lvlJc w:val="left"/>
      <w:pPr>
        <w:ind w:left="0" w:firstLine="403"/>
      </w:pPr>
      <w:rPr>
        <w:rFonts w:hint="default"/>
      </w:rPr>
    </w:lvl>
  </w:abstractNum>
  <w:abstractNum w:abstractNumId="10">
    <w:nsid w:val="00000017"/>
    <w:multiLevelType w:val="singleLevel"/>
    <w:tmpl w:val="00000017"/>
    <w:lvl w:ilvl="0" w:tentative="0">
      <w:start w:val="1"/>
      <w:numFmt w:val="chineseCounting"/>
      <w:suff w:val="nothing"/>
      <w:lvlText w:val="%1、"/>
      <w:lvlJc w:val="left"/>
      <w:rPr>
        <w:rFonts w:hint="eastAsia"/>
      </w:rPr>
    </w:lvl>
  </w:abstractNum>
  <w:abstractNum w:abstractNumId="11">
    <w:nsid w:val="00000018"/>
    <w:multiLevelType w:val="singleLevel"/>
    <w:tmpl w:val="00000018"/>
    <w:lvl w:ilvl="0" w:tentative="0">
      <w:start w:val="1"/>
      <w:numFmt w:val="decimal"/>
      <w:lvlText w:val="%1."/>
      <w:lvlJc w:val="left"/>
      <w:pPr>
        <w:ind w:left="425" w:hanging="425"/>
      </w:pPr>
      <w:rPr>
        <w:rFonts w:hint="default"/>
      </w:rPr>
    </w:lvl>
  </w:abstractNum>
  <w:abstractNum w:abstractNumId="12">
    <w:nsid w:val="00000019"/>
    <w:multiLevelType w:val="singleLevel"/>
    <w:tmpl w:val="00000019"/>
    <w:lvl w:ilvl="0" w:tentative="0">
      <w:start w:val="1"/>
      <w:numFmt w:val="decimal"/>
      <w:suff w:val="nothing"/>
      <w:lvlText w:val="%1、"/>
      <w:lvlJc w:val="left"/>
    </w:lvl>
  </w:abstractNum>
  <w:abstractNum w:abstractNumId="13">
    <w:nsid w:val="0000001B"/>
    <w:multiLevelType w:val="singleLevel"/>
    <w:tmpl w:val="0000001B"/>
    <w:lvl w:ilvl="0" w:tentative="0">
      <w:start w:val="1"/>
      <w:numFmt w:val="decimal"/>
      <w:suff w:val="nothing"/>
      <w:lvlText w:val="%1、"/>
      <w:lvlJc w:val="left"/>
    </w:lvl>
  </w:abstractNum>
  <w:abstractNum w:abstractNumId="14">
    <w:nsid w:val="0000001C"/>
    <w:multiLevelType w:val="singleLevel"/>
    <w:tmpl w:val="0000001C"/>
    <w:lvl w:ilvl="0" w:tentative="0">
      <w:start w:val="1"/>
      <w:numFmt w:val="decimalEnclosedCircleChinese"/>
      <w:suff w:val="nothing"/>
      <w:lvlText w:val="%1　"/>
      <w:lvlJc w:val="left"/>
      <w:pPr>
        <w:ind w:left="0" w:firstLine="400"/>
      </w:pPr>
      <w:rPr>
        <w:rFonts w:hint="eastAsia"/>
        <w:sz w:val="20"/>
        <w:szCs w:val="20"/>
      </w:rPr>
    </w:lvl>
  </w:abstractNum>
  <w:abstractNum w:abstractNumId="15">
    <w:nsid w:val="0000001D"/>
    <w:multiLevelType w:val="singleLevel"/>
    <w:tmpl w:val="0000001D"/>
    <w:lvl w:ilvl="0" w:tentative="0">
      <w:start w:val="1"/>
      <w:numFmt w:val="decimal"/>
      <w:lvlText w:val="(%1)"/>
      <w:lvlJc w:val="left"/>
      <w:pPr>
        <w:ind w:left="425" w:hanging="425"/>
      </w:pPr>
      <w:rPr>
        <w:rFonts w:hint="default"/>
      </w:rPr>
    </w:lvl>
  </w:abstractNum>
  <w:abstractNum w:abstractNumId="16">
    <w:nsid w:val="0000001E"/>
    <w:multiLevelType w:val="singleLevel"/>
    <w:tmpl w:val="0000001E"/>
    <w:lvl w:ilvl="0" w:tentative="0">
      <w:start w:val="1"/>
      <w:numFmt w:val="decimalEnclosedCircleChinese"/>
      <w:suff w:val="nothing"/>
      <w:lvlText w:val="%1　"/>
      <w:lvlJc w:val="left"/>
      <w:pPr>
        <w:ind w:left="0" w:firstLine="400"/>
      </w:pPr>
      <w:rPr>
        <w:rFonts w:hint="eastAsia"/>
      </w:rPr>
    </w:lvl>
  </w:abstractNum>
  <w:abstractNum w:abstractNumId="17">
    <w:nsid w:val="0000001F"/>
    <w:multiLevelType w:val="singleLevel"/>
    <w:tmpl w:val="0000001F"/>
    <w:lvl w:ilvl="0" w:tentative="0">
      <w:start w:val="1"/>
      <w:numFmt w:val="decimalEnclosedCircleChinese"/>
      <w:suff w:val="nothing"/>
      <w:lvlText w:val="%1　"/>
      <w:lvlJc w:val="left"/>
      <w:pPr>
        <w:ind w:left="0" w:firstLine="400"/>
      </w:pPr>
      <w:rPr>
        <w:rFonts w:hint="eastAsia"/>
      </w:rPr>
    </w:lvl>
  </w:abstractNum>
  <w:num w:numId="1">
    <w:abstractNumId w:val="8"/>
  </w:num>
  <w:num w:numId="2">
    <w:abstractNumId w:val="10"/>
  </w:num>
  <w:num w:numId="3">
    <w:abstractNumId w:val="9"/>
  </w:num>
  <w:num w:numId="4">
    <w:abstractNumId w:val="13"/>
  </w:num>
  <w:num w:numId="5">
    <w:abstractNumId w:val="12"/>
  </w:num>
  <w:num w:numId="6">
    <w:abstractNumId w:val="2"/>
  </w:num>
  <w:num w:numId="7">
    <w:abstractNumId w:val="4"/>
  </w:num>
  <w:num w:numId="8">
    <w:abstractNumId w:val="15"/>
  </w:num>
  <w:num w:numId="9">
    <w:abstractNumId w:val="14"/>
  </w:num>
  <w:num w:numId="10">
    <w:abstractNumId w:val="17"/>
  </w:num>
  <w:num w:numId="11">
    <w:abstractNumId w:val="0"/>
  </w:num>
  <w:num w:numId="12">
    <w:abstractNumId w:val="7"/>
  </w:num>
  <w:num w:numId="13">
    <w:abstractNumId w:val="16"/>
  </w:num>
  <w:num w:numId="14">
    <w:abstractNumId w:val="1"/>
  </w:num>
  <w:num w:numId="15">
    <w:abstractNumId w:val="3"/>
  </w:num>
  <w:num w:numId="16">
    <w:abstractNumId w:val="5"/>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F5BF7"/>
    <w:rsid w:val="390F5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2025-07-10T09:28:00Z</dcterms:created>
  <dc:creator>循蔼</dc:creator>
  <cp:lastModifiedBy>循蔼</cp:lastModifiedBy>
  <dcterms:modified xsi:type="dcterms:W3CDTF">2025-07-10T09:29:55Z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83778A57974C49E1877A49D9DC285FAE_11</vt:lpwstr>
  </property>
  <property fmtid="{D5CDD505-2E9C-101B-9397-08002B2CF9AE}" pid="4" name="KSOTemplateDocerSaveRecord">
    <vt:lpwstr>eyJoZGlkIjoiYjI5ZGJhMmY3M2RiYzc2NjBiNGFmMDQxNmY4YzU5YmIiLCJ1c2VySWQiOiIyMjE3OTE4MzcifQ==</vt:lpwstr>
  </property>
</Properties>
</file>