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版本号：240704001</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G247线隧道日常养护项目（黄土梁、水牛家1号、水牛家2号、牛角垭）(四次)</w:t>
      </w:r>
    </w:p>
    <w:p>
      <w:pPr>
        <w:pStyle w:val="null3"/>
        <w:jc w:val="center"/>
        <w:outlineLvl w:val="2"/>
      </w:pPr>
      <w:r>
        <w:rPr>
          <w:b/>
          <w:sz w:val="28"/>
        </w:rPr>
        <w:t>采购项目编号：</w:t>
      </w:r>
      <w:r>
        <w:rPr>
          <w:b/>
          <w:sz w:val="28"/>
        </w:rPr>
        <w:t>N5107272024000037</w:t>
      </w:r>
    </w:p>
    <w:p>
      <w:pPr>
        <w:pStyle w:val="null3"/>
        <w:jc w:val="left"/>
        <w:outlineLvl w:val="2"/>
      </w:pPr>
      <w:r>
        <w:rPr>
          <w:b/>
          <w:sz w:val="28"/>
        </w:rPr>
        <w:t>平武县交通运输局公路管理所</w:t>
      </w:r>
    </w:p>
    <w:p>
      <w:pPr>
        <w:pStyle w:val="null3"/>
        <w:jc w:val="center"/>
        <w:outlineLvl w:val="2"/>
      </w:pPr>
      <w:r>
        <w:rPr>
          <w:b/>
          <w:sz w:val="28"/>
        </w:rPr>
        <w:t>四川座标工程项目管理有限公司</w:t>
      </w:r>
      <w:r>
        <w:rPr>
          <w:b/>
          <w:sz w:val="28"/>
        </w:rPr>
        <w:t>共同编制</w:t>
      </w:r>
    </w:p>
    <w:p>
      <w:pPr>
        <w:pStyle w:val="null3"/>
        <w:jc w:val="center"/>
      </w:pPr>
      <w:r>
        <w:rPr/>
        <w:t>2024年07月03日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四川座标工程项目管理有限公司</w:t>
      </w:r>
      <w:r>
        <w:rPr/>
        <w:t xml:space="preserve"> （以下简称“代理机构”）受 </w:t>
      </w:r>
      <w:r>
        <w:rPr/>
        <w:t>平武县交通运输局公路管理所</w:t>
      </w:r>
      <w:r>
        <w:rPr/>
        <w:t xml:space="preserve"> 委托，拟对 </w:t>
      </w:r>
      <w:r>
        <w:rPr/>
        <w:t>G247线隧道日常养护项目（黄土梁、水牛家1号、水牛家2号、牛角垭）(四次)</w:t>
      </w:r>
      <w:r>
        <w:rPr/>
        <w:t xml:space="preserve"> 采用竞争性磋商采购方式进行采购，兹邀请符合资格条件的供应商参加磋商，本项目为四川省</w:t>
      </w:r>
      <w:r>
        <w:rPr/>
        <w:t>平武县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N5107272024000037</w:t>
      </w:r>
    </w:p>
    <w:p>
      <w:pPr>
        <w:pStyle w:val="null3"/>
        <w:jc w:val="left"/>
        <w:outlineLvl w:val="2"/>
      </w:pPr>
      <w:r>
        <w:rPr>
          <w:b/>
          <w:sz w:val="28"/>
        </w:rPr>
        <w:t>1.2.采购项目名称</w:t>
      </w:r>
      <w:r>
        <w:rPr>
          <w:b/>
          <w:sz w:val="28"/>
        </w:rPr>
        <w:t xml:space="preserve">： </w:t>
      </w:r>
      <w:r>
        <w:rPr>
          <w:b/>
          <w:sz w:val="28"/>
        </w:rPr>
        <w:t>G247线隧道日常养护项目（黄土梁、水牛家1号、水牛家2号、牛角垭）(四次)</w:t>
      </w:r>
    </w:p>
    <w:p>
      <w:pPr>
        <w:pStyle w:val="null3"/>
        <w:jc w:val="left"/>
        <w:outlineLvl w:val="2"/>
      </w:pPr>
      <w:r>
        <w:rPr>
          <w:b/>
          <w:sz w:val="28"/>
        </w:rPr>
        <w:t>1.3.磋商项目简介</w:t>
      </w:r>
    </w:p>
    <w:p>
      <w:pPr>
        <w:pStyle w:val="null3"/>
        <w:ind w:firstLine="480"/>
        <w:jc w:val="left"/>
      </w:pPr>
      <w:r>
        <w:rPr/>
        <w:t>本项目为G247线隧道日常养护，全长5469.5m，其中黄土梁隧道（2447.5m）、水牛角一号隧道（993m）、水牛家二号隧道（415m）、牛角垭隧道（1614m）。</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采购包1：</w:t>
      </w:r>
    </w:p>
    <w:p>
      <w:pPr>
        <w:pStyle w:val="null3"/>
        <w:jc w:val="left"/>
      </w:pPr>
      <w:r>
        <w:rPr/>
        <w:t>1、具有行政主管部门颁发的公路养护乙级及以上资质（路基路面乙级及以上资质或桥梁乙级及以上资质或隧道乙级及以上资质）（描述：具有行政主管部门颁发的公路养护乙级及以上资质（路基路面乙级及以上资质或桥梁乙级及以上资质或隧道乙级及以上资质）（提供有效期内的证书扫描件））</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平武县交通运输局公路管理所</w:t>
      </w:r>
    </w:p>
    <w:p>
      <w:pPr>
        <w:pStyle w:val="null3"/>
        <w:ind w:firstLine="480"/>
        <w:jc w:val="left"/>
      </w:pPr>
      <w:r>
        <w:rPr/>
        <w:t xml:space="preserve"> 地址： </w:t>
      </w:r>
      <w:r>
        <w:rPr/>
        <w:t>平武县龙安镇东皋湾新区</w:t>
      </w:r>
    </w:p>
    <w:p>
      <w:pPr>
        <w:pStyle w:val="null3"/>
        <w:jc w:val="left"/>
      </w:pPr>
      <w:r>
        <w:rPr/>
        <w:t xml:space="preserve"> 邮编： </w:t>
      </w:r>
      <w:r>
        <w:rPr/>
        <w:t>622550</w:t>
      </w:r>
    </w:p>
    <w:p>
      <w:pPr>
        <w:pStyle w:val="null3"/>
        <w:jc w:val="left"/>
      </w:pPr>
      <w:r>
        <w:rPr/>
        <w:t xml:space="preserve"> 联系人： </w:t>
      </w:r>
      <w:r>
        <w:rPr/>
        <w:t>傅熠</w:t>
      </w:r>
    </w:p>
    <w:p>
      <w:pPr>
        <w:pStyle w:val="null3"/>
        <w:jc w:val="left"/>
      </w:pPr>
      <w:r>
        <w:rPr/>
        <w:t xml:space="preserve"> 联系电话： </w:t>
      </w:r>
      <w:r>
        <w:rPr/>
        <w:t>0816-8822443</w:t>
      </w:r>
    </w:p>
    <w:p>
      <w:pPr>
        <w:pStyle w:val="null3"/>
        <w:ind w:firstLine="480"/>
        <w:jc w:val="left"/>
        <w:outlineLvl w:val="3"/>
      </w:pPr>
      <w:r>
        <w:rPr>
          <w:b/>
          <w:sz w:val="24"/>
        </w:rPr>
        <w:t>代理机构</w:t>
      </w:r>
      <w:r>
        <w:rPr>
          <w:b/>
          <w:sz w:val="24"/>
        </w:rPr>
        <w:t xml:space="preserve">： </w:t>
      </w:r>
      <w:r>
        <w:rPr>
          <w:b/>
          <w:sz w:val="24"/>
        </w:rPr>
        <w:t>四川座标工程项目管理有限公司</w:t>
      </w:r>
    </w:p>
    <w:p>
      <w:pPr>
        <w:pStyle w:val="null3"/>
        <w:ind w:firstLine="480"/>
        <w:jc w:val="left"/>
      </w:pPr>
      <w:r>
        <w:rPr/>
        <w:t xml:space="preserve"> 地址： </w:t>
      </w:r>
      <w:r>
        <w:rPr/>
        <w:t>四川省绵阳市涪城区御安街10号凯越诗蓝·御营广场2单元（B座）6楼1-11、31、32号</w:t>
      </w:r>
    </w:p>
    <w:p>
      <w:pPr>
        <w:pStyle w:val="null3"/>
        <w:jc w:val="left"/>
      </w:pPr>
      <w:r>
        <w:rPr/>
        <w:t xml:space="preserve"> 邮编： </w:t>
      </w:r>
      <w:r>
        <w:rPr/>
        <w:t>621000</w:t>
      </w:r>
    </w:p>
    <w:p>
      <w:pPr>
        <w:pStyle w:val="null3"/>
        <w:jc w:val="left"/>
      </w:pPr>
      <w:r>
        <w:rPr/>
        <w:t xml:space="preserve"> 联系人： </w:t>
      </w:r>
      <w:r>
        <w:rPr/>
        <w:t>杨艺铃</w:t>
      </w:r>
    </w:p>
    <w:p>
      <w:pPr>
        <w:pStyle w:val="null3"/>
        <w:jc w:val="left"/>
      </w:pPr>
      <w:r>
        <w:rPr/>
        <w:t xml:space="preserve"> 联系电话： </w:t>
      </w:r>
      <w:r>
        <w:rPr/>
        <w:t>0816-2389539</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采购包1：1,007,000.00元</w:t>
            </w:r>
          </w:p>
          <w:p>
            <w:pPr>
              <w:pStyle w:val="null3"/>
              <w:jc w:val="left"/>
            </w:pPr>
            <w:r>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本采购包履约保证金为合同金额的5.0%</w:t>
            </w:r>
          </w:p>
          <w:p>
            <w:pPr>
              <w:pStyle w:val="null3"/>
              <w:jc w:val="left"/>
            </w:pPr>
            <w:r>
              <w:rPr/>
              <w:t>交款方式：银行转账，支票/汇票/本票，保函/保险</w:t>
            </w:r>
          </w:p>
          <w:p>
            <w:pPr>
              <w:pStyle w:val="null3"/>
              <w:jc w:val="left"/>
            </w:pPr>
            <w:r>
              <w:rPr/>
              <w:t>成交供应商应在采购合同前向采购人缴纳履约保证金。</w:t>
              <w:br/>
              <w:t>交款方式：由成交供应商自行选择以银行转账，支票/汇票/本票，保函/保险等形式缴纳履约保证金。</w:t>
              <w:br/>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代理服务费收费标准：参照《国家发展改革委关于进一步放开建设项目专业服务价格的通知{发改价格【2015】299号}》第三条之规定，代理服务费按照中标金额×1.5%后，下浮20%收取</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本磋商文件所称的“以上”、“以下”、“内”、“以内”、“超过”、“少于”、“不少于”包括本数；所称的“不足”、“低于”、“不低于”不包括本数。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平武县交通运输局公路管理所</w:t>
      </w:r>
      <w:r>
        <w:rPr/>
        <w:t xml:space="preserve"> 和 </w:t>
      </w:r>
      <w:r>
        <w:rPr/>
        <w:t>四川座标工程项目管理有限公司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平武县交通运输局公路管理所</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四川座标工程项目管理有限公司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三、供应商根据更正公告、更正信息要求，重新获取磋商文件，进行响应文件编制。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并按无效响应处理。该响应报价作为合同价，在合同履行中原则上不得变更。</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响应文件提交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提交响应文件截止时间后，通过交易系统“开标/开启大厅”在线开启解密响应文件。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响应文件提交截止时间前的信用记录并保存信用记录结果网页截图，拒绝列入失信被执行人名单、重大税收违法案件当事人名单（重大税收违法失信主体）、政府采购严重违法失信行为记录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4"/>
      </w:pPr>
      <w:r>
        <w:rPr>
          <w:b/>
          <w:sz w:val="20"/>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严格按照《财政部关于进一步加强政府采购需求和履约验收管理的指导意见》（财库〔2016〕205 号）、《绵阳市财政局关于进一步加强履约验收管理的通知》(绵财采〔2019〕22号)及《绵阳市财政局关于进一步做好政府采购项目履约验收工作的通知》(绵财采〔2021〕15号)要求、采购文件的质量要求和技术指标、成交供应商的响应文件及承诺以及合同约定标准进行验收</w:t>
      </w:r>
      <w:r>
        <w:rPr/>
        <w:t xml:space="preserve"> ，达到验收条件起 </w:t>
      </w:r>
      <w:r>
        <w:rPr/>
        <w:t>30</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磋商文件有关质量及成果要求、技术指标、供应商响应文件及有关承诺、合同约定条款的所有条款。</w:t>
      </w:r>
    </w:p>
    <w:p>
      <w:pPr>
        <w:pStyle w:val="null3"/>
        <w:ind w:firstLine="480"/>
        <w:jc w:val="left"/>
      </w:pPr>
      <w:r>
        <w:rPr/>
        <w:t>十、商务履约验收内容：</w:t>
      </w:r>
    </w:p>
    <w:p>
      <w:pPr>
        <w:pStyle w:val="null3"/>
        <w:ind w:firstLine="480"/>
        <w:jc w:val="left"/>
      </w:pPr>
      <w:r>
        <w:rPr/>
        <w:t>采购包1：</w:t>
      </w:r>
      <w:r>
        <w:rPr/>
        <w:t>磋商文件有关商务要求、供应商响应文件及有关承诺、合同约定的所有条款。</w:t>
      </w:r>
    </w:p>
    <w:p>
      <w:pPr>
        <w:pStyle w:val="null3"/>
        <w:ind w:firstLine="480"/>
        <w:jc w:val="left"/>
      </w:pPr>
      <w:r>
        <w:rPr/>
        <w:t>十一、履约验收标准：</w:t>
      </w:r>
    </w:p>
    <w:p>
      <w:pPr>
        <w:pStyle w:val="null3"/>
        <w:ind w:firstLine="480"/>
        <w:jc w:val="left"/>
      </w:pPr>
      <w:r>
        <w:rPr/>
        <w:t>采购包1：</w:t>
      </w:r>
      <w:r>
        <w:rPr/>
        <w:t>严格按照《财政部关于进一步加强政府采购需求和履约验收管理的指导意见》（财库〔2016〕205 号）、《绵阳市财政局关于进一步加强履约验收管理的通知》(绵财采〔2019〕22号)及《绵阳市财政局关于进一步做好政府采购项目履约验收工作的通知》(绵财采〔2021〕15号)要求、采购文件的质量要求和技术指标、成交供应商的响应文件及承诺以及合同约定标准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五、向采购人或者代理机构、磋商小组成员行贿或者提供其他不正当利益；</w:t>
      </w:r>
    </w:p>
    <w:p>
      <w:pPr>
        <w:pStyle w:val="null3"/>
        <w:ind w:firstLine="480"/>
        <w:jc w:val="left"/>
      </w:pPr>
      <w:r>
        <w:rPr/>
        <w:t>六、成交后无正当理由拒不与采购人签订政府采购合同；</w:t>
      </w:r>
    </w:p>
    <w:p>
      <w:pPr>
        <w:pStyle w:val="null3"/>
        <w:ind w:firstLine="480"/>
        <w:jc w:val="left"/>
      </w:pPr>
      <w:r>
        <w:rPr/>
        <w:t>七、未按照磋商文件确定的事项签订政府采购合同；</w:t>
      </w:r>
    </w:p>
    <w:p>
      <w:pPr>
        <w:pStyle w:val="null3"/>
        <w:ind w:firstLine="480"/>
        <w:jc w:val="left"/>
      </w:pPr>
      <w:r>
        <w:rPr/>
        <w:t>八、将政府采购合同转包或者违规分包；</w:t>
      </w:r>
    </w:p>
    <w:p>
      <w:pPr>
        <w:pStyle w:val="null3"/>
        <w:ind w:firstLine="480"/>
        <w:jc w:val="left"/>
      </w:pPr>
      <w:r>
        <w:rPr/>
        <w:t>九、提供假冒伪劣产品；</w:t>
      </w:r>
    </w:p>
    <w:p>
      <w:pPr>
        <w:pStyle w:val="null3"/>
        <w:ind w:firstLine="480"/>
        <w:jc w:val="left"/>
      </w:pPr>
      <w:r>
        <w:rPr/>
        <w:t>十、擅自变更、中止或者终止政府采购合同；</w:t>
      </w:r>
    </w:p>
    <w:p>
      <w:pPr>
        <w:pStyle w:val="null3"/>
        <w:ind w:firstLine="480"/>
        <w:jc w:val="left"/>
      </w:pPr>
      <w:r>
        <w:rPr/>
        <w:t>十一、拒绝有关部门的监督检查或者向监督检查部门提供虚假情况；</w:t>
      </w:r>
    </w:p>
    <w:p>
      <w:pPr>
        <w:pStyle w:val="null3"/>
        <w:ind w:firstLine="480"/>
        <w:jc w:val="left"/>
      </w:pPr>
      <w:r>
        <w:rPr/>
        <w:t>十二、法律法规规定的其他禁止情形。</w:t>
      </w:r>
    </w:p>
    <w:p>
      <w:pPr>
        <w:pStyle w:val="null3"/>
        <w:ind w:firstLine="480"/>
        <w:jc w:val="left"/>
      </w:pPr>
      <w:r>
        <w:rPr/>
        <w:t>供应商有前述一至五条情形之一的，作无效响应处理。成交供应商有前述一至五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平武县交通运输局公路管理所</w:t>
      </w:r>
      <w:r>
        <w:rPr/>
        <w:t xml:space="preserve"> 负责答复；供应商对除采购需求外的磋商文件的询问、质疑由 </w:t>
      </w:r>
      <w:r>
        <w:rPr/>
        <w:t>四川座标工程项目管理有限公司</w:t>
      </w:r>
      <w:r>
        <w:rPr/>
        <w:t xml:space="preserve"> 负责答复；供应商对采购过程、采购结果的询问、质疑由 </w:t>
      </w:r>
      <w:r>
        <w:rPr/>
        <w:t>四川座标工程项目管理有限公司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联系人：杨女士</w:t>
      </w:r>
    </w:p>
    <w:p>
      <w:pPr>
        <w:pStyle w:val="null3"/>
        <w:jc w:val="left"/>
      </w:pPr>
      <w:r>
        <w:rPr/>
        <w:t>联系电话：0816-2389539</w:t>
      </w:r>
    </w:p>
    <w:p>
      <w:pPr>
        <w:pStyle w:val="null3"/>
        <w:jc w:val="left"/>
      </w:pPr>
      <w:r>
        <w:rPr/>
        <w:t>地址：四川省绵阳市涪城区御安街10号凯越诗蓝·御营广场2单元（B座）6楼1-11、31、32号</w:t>
      </w:r>
    </w:p>
    <w:p>
      <w:pPr>
        <w:pStyle w:val="null3"/>
        <w:jc w:val="left"/>
      </w:pPr>
      <w:r>
        <w:rPr/>
        <w:t>邮编：621000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jc w:val="left"/>
      </w:pPr>
      <w:r>
        <w:rPr/>
        <w:t>采购包1：本采购包无需提交样品</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本项目为G247线隧道日常养护，全长5469.5m，其中黄土梁隧道（2447.5m）、水牛角一号隧道（993m）、水牛家二号隧道（415m）、牛角垭隧道（1614m）。</w:t>
      </w:r>
    </w:p>
    <w:p>
      <w:pPr>
        <w:pStyle w:val="null3"/>
        <w:jc w:val="left"/>
        <w:outlineLvl w:val="2"/>
      </w:pPr>
      <w:r>
        <w:rPr>
          <w:b/>
          <w:sz w:val="28"/>
        </w:rPr>
        <w:t>3.2.采购内容</w:t>
      </w:r>
    </w:p>
    <w:p>
      <w:pPr>
        <w:pStyle w:val="null3"/>
        <w:jc w:val="left"/>
      </w:pPr>
      <w:r>
        <w:rPr/>
        <w:t>采购包1：</w:t>
      </w:r>
    </w:p>
    <w:p>
      <w:pPr>
        <w:pStyle w:val="null3"/>
        <w:jc w:val="left"/>
      </w:pPr>
      <w:r>
        <w:rPr/>
        <w:t>采购包预算金额（元）: 1,007,000.00</w:t>
      </w:r>
    </w:p>
    <w:p>
      <w:pPr>
        <w:pStyle w:val="null3"/>
        <w:jc w:val="left"/>
      </w:pPr>
      <w:r>
        <w:rPr/>
        <w:t>采购包最高限价（元）: 1,007,000.00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其他服务</w:t>
            </w:r>
          </w:p>
        </w:tc>
        <w:tc>
          <w:tcPr>
            <w:tcW w:type="dxa" w:w="821"/>
          </w:tcPr>
          <w:p>
            <w:pPr>
              <w:pStyle w:val="null3"/>
              <w:jc w:val="left"/>
            </w:pPr>
            <w:r>
              <w:rPr/>
              <w:t>G247线隧道日常养护项目（黄土梁、水牛家1号、水牛家2号、牛角垭）</w:t>
            </w:r>
          </w:p>
        </w:tc>
        <w:tc>
          <w:tcPr>
            <w:tcW w:type="dxa" w:w="821"/>
          </w:tcPr>
          <w:p>
            <w:pPr>
              <w:pStyle w:val="null3"/>
              <w:jc w:val="right"/>
            </w:pPr>
            <w:r>
              <w:rPr/>
              <w:t>1.00（项）</w:t>
            </w:r>
          </w:p>
        </w:tc>
        <w:tc>
          <w:tcPr>
            <w:tcW w:type="dxa" w:w="821"/>
          </w:tcPr>
          <w:p>
            <w:pPr>
              <w:pStyle w:val="null3"/>
              <w:jc w:val="right"/>
            </w:pPr>
            <w:r>
              <w:rPr/>
              <w:t>1,007,000.00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ind w:firstLine="480"/>
        <w:jc w:val="left"/>
        <w:outlineLvl w:val="3"/>
      </w:pPr>
      <w:r>
        <w:rPr>
          <w:b/>
          <w:sz w:val="24"/>
        </w:rPr>
        <w:t>报价要求</w:t>
      </w:r>
    </w:p>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G247线隧道日常养护项目（黄土梁、水牛家1号、水牛家2号、牛角垭）</w:t>
            </w:r>
          </w:p>
        </w:tc>
        <w:tc>
          <w:tcPr>
            <w:tcW w:type="dxa" w:w="977"/>
          </w:tcPr>
          <w:p>
            <w:pPr>
              <w:pStyle w:val="null3"/>
              <w:jc w:val="right"/>
            </w:pPr>
            <w:r>
              <w:rPr/>
              <w:t>1.00（项）</w:t>
            </w:r>
          </w:p>
        </w:tc>
        <w:tc>
          <w:tcPr>
            <w:tcW w:type="dxa" w:w="1173"/>
          </w:tcPr>
          <w:p>
            <w:pPr>
              <w:pStyle w:val="null3"/>
              <w:jc w:val="right"/>
            </w:pPr>
            <w:r>
              <w:rPr/>
              <w:t>1,007,000.00（元）</w:t>
            </w:r>
          </w:p>
        </w:tc>
        <w:tc>
          <w:tcPr>
            <w:tcW w:type="dxa" w:w="1173"/>
          </w:tcPr>
          <w:p>
            <w:pPr>
              <w:pStyle w:val="null3"/>
              <w:jc w:val="right"/>
            </w:pPr>
            <w:r>
              <w:rPr/>
              <w:t>1,007,000.00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ind w:firstLine="480"/>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ind w:firstLine="480"/>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ind w:firstLine="480"/>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ind w:firstLine="480"/>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标的名称：G247线隧道日常养护项目（黄土梁、水牛家1号、水牛家2号、牛角垭）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ind w:firstLine="600"/>
              <w:jc w:val="both"/>
            </w:pPr>
            <w:r>
              <w:rPr>
                <w:rFonts w:ascii="宋体" w:hAnsi="宋体" w:cs="宋体" w:eastAsia="宋体"/>
                <w:sz w:val="28"/>
              </w:rPr>
              <w:t>一、项目概况</w:t>
            </w:r>
          </w:p>
          <w:p>
            <w:pPr>
              <w:pStyle w:val="null3"/>
              <w:ind w:firstLine="600"/>
              <w:jc w:val="both"/>
            </w:pPr>
            <w:r>
              <w:rPr>
                <w:rFonts w:ascii="宋体" w:hAnsi="宋体" w:cs="宋体" w:eastAsia="宋体"/>
                <w:sz w:val="28"/>
              </w:rPr>
              <w:t>本项目为G247线隧道日常养护，全长5469.5m，其中黄土梁隧道（2447.5m）、水牛角一号隧道（993m）、水牛家二号隧道（415m）、牛角垭隧道（1614m）。</w:t>
            </w:r>
          </w:p>
          <w:p>
            <w:pPr>
              <w:pStyle w:val="null3"/>
              <w:ind w:firstLine="600"/>
              <w:jc w:val="both"/>
            </w:pPr>
            <w:r>
              <w:rPr>
                <w:rFonts w:ascii="&quot;times new roman&quot;, &quot;serif&quot;" w:hAnsi="&quot;times new roman&quot;, &quot;serif&quot;" w:cs="&quot;times new roman&quot;, &quot;serif&quot;" w:eastAsia="&quot;times new roman&quot;, &quot;serif&quot;"/>
                <w:sz w:val="27"/>
              </w:rPr>
              <w:t>二、技术要求</w:t>
            </w:r>
          </w:p>
          <w:p>
            <w:pPr>
              <w:pStyle w:val="null3"/>
              <w:ind w:firstLine="600"/>
              <w:jc w:val="both"/>
            </w:pPr>
            <w:r>
              <w:rPr>
                <w:rFonts w:ascii="宋体" w:hAnsi="宋体" w:cs="宋体" w:eastAsia="宋体"/>
                <w:sz w:val="28"/>
              </w:rPr>
              <w:t>1</w:t>
            </w:r>
            <w:r>
              <w:rPr>
                <w:rFonts w:ascii="宋体" w:hAnsi="宋体" w:cs="宋体" w:eastAsia="宋体"/>
                <w:sz w:val="28"/>
              </w:rPr>
              <w:t>、日常养护工作内容</w:t>
            </w:r>
          </w:p>
          <w:p>
            <w:pPr>
              <w:pStyle w:val="null3"/>
              <w:ind w:firstLine="600"/>
              <w:jc w:val="both"/>
            </w:pPr>
            <w:r>
              <w:rPr>
                <w:rFonts w:ascii="宋体" w:hAnsi="宋体" w:cs="宋体" w:eastAsia="宋体"/>
                <w:sz w:val="28"/>
              </w:rPr>
              <w:t>按照《四川省交通运输厅关于进一步规范公路养护市场管理的通知》(川交函〔2023〕251号）《绵阳市交通运输局公路管理处关于加强全市普通国省道日常养护作业市场化运行的指导意见》（绵交公发〔2023〕51号）等文件要求，进一步实现隧道养护市场化、专业化，对G247线牛角垭隧道、水牛家一号隧道、水牛家二号隧道、黄土梁隧道等4座隧道进行日常养护服务工作。</w:t>
            </w:r>
          </w:p>
          <w:p>
            <w:pPr>
              <w:pStyle w:val="null3"/>
              <w:ind w:firstLine="600"/>
              <w:jc w:val="both"/>
            </w:pPr>
            <w:r>
              <w:rPr>
                <w:rFonts w:ascii="宋体" w:hAnsi="宋体" w:cs="宋体" w:eastAsia="宋体"/>
                <w:sz w:val="28"/>
              </w:rPr>
              <w:t>★2、服务要求（实质性要求）</w:t>
            </w:r>
          </w:p>
          <w:p>
            <w:pPr>
              <w:pStyle w:val="null3"/>
              <w:ind w:firstLine="600"/>
              <w:jc w:val="both"/>
            </w:pPr>
            <w:r>
              <w:rPr>
                <w:rFonts w:ascii="宋体" w:hAnsi="宋体" w:cs="宋体" w:eastAsia="宋体"/>
                <w:sz w:val="28"/>
              </w:rPr>
              <w:t>G247 线牛角垭隧道、水牛角一号隧道、水牛家二号隧道、黄土梁隧道 4座隧道日常养护服务内容，应符合规范和标准要求，含盖土建结构、机电设施及其他工程设施等的日常养护工作。</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人员投入</w:t>
            </w:r>
          </w:p>
        </w:tc>
        <w:tc>
          <w:tcPr>
            <w:tcW w:type="dxa" w:w="2076"/>
          </w:tcPr>
          <w:p>
            <w:pPr>
              <w:pStyle w:val="null3"/>
              <w:jc w:val="left"/>
            </w:pPr>
            <w:r>
              <w:rPr/>
              <w:t>管养人员应不低于15人，其中：隧道养护工程师2人（土建和机电各1人）、管理人员1人、 后勤保障人员2人、养护工人10 人，黄土梁、牛角垭隧道监控应采取轮班方式进行24小时值守，黄土梁隧道每班值守人员应 不低于3人，牛角垭隧道每班值守人员应不低于2人。</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设备机具投入</w:t>
            </w:r>
          </w:p>
        </w:tc>
        <w:tc>
          <w:tcPr>
            <w:tcW w:type="dxa" w:w="2076"/>
          </w:tcPr>
          <w:p>
            <w:pPr>
              <w:pStyle w:val="null3"/>
              <w:jc w:val="left"/>
            </w:pPr>
            <w:r>
              <w:rPr/>
              <w:t>应配备巡查车1辆以及其他必要的养护和办公用具，隧道内路面清扫保洁应采用机械化作 业，相关设备纳入路线养护一并安排。</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自合同签订之日起365日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平武县境内</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严格按照《财政部关于进一步加强政府采购需求和履约验收管理的指导意见》（财库〔2016〕205 号）、《绵阳市财政局关于进一步加强履约验收管理的通知》(绵财采〔2019〕22号)及《绵阳市财政局关于进一步做好政府采购项目履约验收工作的通知》(绵财采〔2021〕15号)要求、采购文件的质量要求和技术指标、成交供应商的响应文件及承诺以及合同约定标准进行验收。</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1、合同签约后，达到付款条件起90日内，支付合同总金额的25.00%</w:t>
            </w:r>
          </w:p>
          <w:p>
            <w:pPr>
              <w:pStyle w:val="null3"/>
              <w:jc w:val="left"/>
            </w:pPr>
            <w:r>
              <w:rPr/>
              <w:t>2、养护工作完成后并经采购人组织考核合格后，达到付款条件起30日内，支付合同总金额的75.00%</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在采购合同履约过程中发生违约的或与本合同有关的争议，供应商与采购人应通过友好协商解决，协商或调解不成的，由当事人依法维护其合法权益。具体事项在签订合同时约定。</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1）供应商报价为综合报价，应当包括完成本项目可能发生的各项费用的总和，如本项目编制的招标控制清单费用、招标代理服务费、人工费、设备维修费、安装调试费、材料费、食宿及差旅费、税金、管理费用等一切费用，采购文件未列明而供应商认为其他必需的费用也须列入报价内。采购人不再另行支付成交金额以外的其他任何费用。 （2）供应商针对本项目提供以下内容：针对本项目提供的总体养护方案与服务措施（包含但不限于①项目概况、②项目人员安 排和组织、③主要养护技术措施、④项目重难点分析）等；针对本项目提供的养护质量管理体系与保证措施（包含但不限于① 养护质量目标、②质量管理体系、③质量控制方法、④质量保证措施）等；针对本项目提供的养护安全管理体系及保证措施 （包含但不限于①岗前培训、②安全目标、③安全管理体系、④安全保证措施）等；针对本项目提供的养护环境保护管理体系 与保证措施（包含但不限于①卫生保护措施、②施工扬尘控制措施、③污水处理措施、④降低噪音措施）等；针对本项目提供 的文明施工保障体系与措施（包含但不限于①文明施工保障体系、②文明施工管理体系、③文明施工措施、④文明施工准则） 等；针对本项目提供的保通保畅方案（包含但不限于①施工区域保障措施、②交通安全目标、③交通保障方案、④施工现场交 通事故处治预案）等；针对本项目提供的养护风险预测及应急预案（包含但不限于①风险及应急组织体系、②风险评估与管理办法、③风险预测及防范措施、④应急预案）等；项目类似业绩等。 以上所提供的内容按照综合评分明细表的规定进行评审。 （3）其他未尽事宜由采购人与成交供应商协商解决，在采购合同中约定。</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w:t>
      </w:r>
    </w:p>
    <w:p>
      <w:pPr>
        <w:pStyle w:val="null3"/>
        <w:ind w:firstLine="480"/>
        <w:jc w:val="left"/>
      </w:pPr>
      <w:r>
        <w:rPr/>
        <w:t>无</w:t>
      </w:r>
    </w:p>
    <w:p>
      <w:pPr>
        <w:pStyle w:val="null3"/>
        <w:ind w:firstLine="480"/>
        <w:jc w:val="left"/>
      </w:pPr>
      <w:r>
        <w:rPr/>
        <w:t>二、第七章“拟签订采购合同文本”：</w:t>
      </w:r>
    </w:p>
    <w:p>
      <w:pPr>
        <w:pStyle w:val="null3"/>
        <w:ind w:firstLine="480"/>
        <w:jc w:val="left"/>
      </w:pPr>
      <w:r>
        <w:rPr/>
        <w:t>见磋商文件第七章“拟签订采购合同文本”</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是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使用已身份认证并具备签章功能的证书，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四、磋商小组按照磋商文件规定的评审程序、评审方法和评审标准进行评审，并独立履行下列职责：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响应文件开启解密完成后，由磋商小组依据法律法规和磋商文件的规定，对成功解密的响应文件中供应商资格证明等进行审查并出具资格审查报告。资格审查标准及要求如下：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一、供应商需在项目电子化交易系统中按要求填写《投标（响应）函》完成承诺并进行电子签章。</w:t>
              <w:br/>
              <w:t xml:space="preserve"> 二、①供应商为企业（包括合伙企业）、个体工商户的,应提供工商营业执照或提供由市场监管部门核发的法人或者其他组织统一社会信用代码的营业执照（扫描件）；②供应商属于银行、保险、石油石化、电力、电信等有行业特殊情况的，提供企业分支机构营业执照或统一社会信用代码的营业执照（扫描件）；③供应商为其他组织的，提供事业单位法人证书或执业许可证等证明文件（扫描件）；④如为自然人的提供《中华人民共和国居民身份证》（扫描件）。</w:t>
            </w:r>
          </w:p>
        </w:tc>
        <w:tc>
          <w:tcPr>
            <w:tcW w:type="dxa" w:w="1910"/>
          </w:tcPr>
          <w:p>
            <w:pPr>
              <w:pStyle w:val="null3"/>
              <w:jc w:val="left"/>
            </w:pPr>
            <w:r>
              <w:rPr/>
              <w:t>响应文件封面 供应商应提交的相关资格证明材料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一、供应商需在项目电子化交易系统中按要求填写《投标（响应）函》完成承诺并进行电子签章。</w:t>
              <w:br/>
              <w:t>二、供应商是否有健全的财务会计制度提供以下任意一项证明材料：①提供书面承诺函；②提供近三年中任意一年的经审计的财务报告，至少包括“三表一注”，即资产负债表、利润表、现金流量表及其附注（扫描件）；③新成立的公司或非公司性质的供应商提供书面承诺函。供应商需在项目电子化交易系统中按要求上传相应证明文件并进行电子签章。</w:t>
            </w:r>
          </w:p>
        </w:tc>
        <w:tc>
          <w:tcPr>
            <w:tcW w:type="dxa" w:w="1910"/>
          </w:tcPr>
          <w:p>
            <w:pPr>
              <w:pStyle w:val="null3"/>
              <w:jc w:val="left"/>
            </w:pPr>
            <w:r>
              <w:rPr/>
              <w:t>供应商应提交的相关资格证明材料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一、供应商需在项目电子化交易系统中按要求填写《投标（响应）函》完成承诺并进行电子签章。</w:t>
              <w:br/>
              <w:t>二、供应商是否有依法缴纳税收和社会保障资金提供以下任意一项证明材料：①供应商应提供近一年内连续不少于 3 个月的缴纳税收的银行电子回单（票据）或税务部门出具的纳税证明或者纳税申报资料（扫描件），供应商近一年内连续不少于 3 个月的缴纳社保的银行电子回单（票据）或社保部门出具的社保缴纳证明材料（扫描件），或提供书面承诺函；②新成立公司不足6个月或自然人，供应商在参加采购活动时做出承诺 。供应商需在项目电子化交易系统中按要求上传相应证明文件并进行电子签章。</w:t>
            </w:r>
          </w:p>
        </w:tc>
        <w:tc>
          <w:tcPr>
            <w:tcW w:type="dxa" w:w="1910"/>
          </w:tcPr>
          <w:p>
            <w:pPr>
              <w:pStyle w:val="null3"/>
              <w:jc w:val="left"/>
            </w:pPr>
            <w:r>
              <w:rPr/>
              <w:t>供应商应提交的相关资格证明材料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不存在与单位负责人为同一人或者存在直接控股、管理关系的其他供应商参与同一合同项下的政府采购活动的行为。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具有行政主管部门颁发的公路养护乙级及以上资质（路基路面乙级及以上资质或桥梁乙级及以上资质或隧道乙级及以上资质）</w:t>
            </w:r>
          </w:p>
        </w:tc>
        <w:tc>
          <w:tcPr>
            <w:tcW w:type="dxa" w:w="3322"/>
          </w:tcPr>
          <w:p>
            <w:pPr>
              <w:pStyle w:val="null3"/>
              <w:jc w:val="left"/>
            </w:pPr>
            <w:r>
              <w:rPr/>
              <w:t>具有行政主管部门颁发的公路养护乙级及以上资质（路基路面乙级及以上资质或桥梁乙级及以上资质或隧道乙级及以上资质）（提供有效期内的证书扫描件）</w:t>
            </w:r>
          </w:p>
        </w:tc>
        <w:tc>
          <w:tcPr>
            <w:tcW w:type="dxa" w:w="1910"/>
          </w:tcPr>
          <w:p>
            <w:pPr>
              <w:pStyle w:val="null3"/>
              <w:jc w:val="left"/>
            </w:pPr>
            <w:r>
              <w:rPr/>
              <w:t>供应商应提交的相关资格证明材料</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在符合性审查过程中，如果出现磋商小组成员意见不一致的情况，按照少数服从多数的原则确定，但不得违背政府采购基本原则和磋商文件规定。</w:t>
      </w:r>
    </w:p>
    <w:p>
      <w:pPr>
        <w:pStyle w:val="null3"/>
        <w:ind w:firstLine="480"/>
        <w:jc w:val="left"/>
      </w:pPr>
      <w:r>
        <w:rPr/>
        <w:t>符合性审查标准见下表（按以下顺序审查）：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不正当竞争预防措施（实质性要求）</w:t>
            </w:r>
          </w:p>
        </w:tc>
        <w:tc>
          <w:tcPr>
            <w:tcW w:type="dxa" w:w="3322"/>
          </w:tcPr>
          <w:p>
            <w:pPr>
              <w:pStyle w:val="null3"/>
              <w:jc w:val="left"/>
            </w:pPr>
            <w:r>
              <w:rPr/>
              <w:t>1.在磋商过程中，磋商小组认为供应商报价低于最高限价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910"/>
          </w:tcPr>
          <w:p>
            <w:pPr>
              <w:pStyle w:val="null3"/>
              <w:jc w:val="left"/>
            </w:pPr>
            <w:r>
              <w:rPr/>
              <w:t>报价一览表 报价明细表</w:t>
            </w:r>
          </w:p>
        </w:tc>
      </w:tr>
      <w:tr>
        <w:tc>
          <w:tcPr>
            <w:tcW w:type="dxa" w:w="581"/>
          </w:tcPr>
          <w:p>
            <w:pPr>
              <w:pStyle w:val="null3"/>
              <w:jc w:val="center"/>
            </w:pPr>
            <w:r>
              <w:rPr/>
              <w:t>2</w:t>
            </w:r>
          </w:p>
        </w:tc>
        <w:tc>
          <w:tcPr>
            <w:tcW w:type="dxa" w:w="2492"/>
          </w:tcPr>
          <w:p>
            <w:pPr>
              <w:pStyle w:val="null3"/>
              <w:jc w:val="left"/>
            </w:pPr>
            <w:r>
              <w:rPr/>
              <w:t>服务内容及服务要求</w:t>
            </w:r>
          </w:p>
        </w:tc>
        <w:tc>
          <w:tcPr>
            <w:tcW w:type="dxa" w:w="3322"/>
          </w:tcPr>
          <w:p>
            <w:pPr>
              <w:pStyle w:val="null3"/>
              <w:jc w:val="left"/>
            </w:pPr>
            <w:r>
              <w:rPr/>
              <w:t>根据供应商对磋商文件第3章-“3.3技术要求、3.4.1服务内容要求”的响应情况进行评审。</w:t>
            </w:r>
          </w:p>
        </w:tc>
        <w:tc>
          <w:tcPr>
            <w:tcW w:type="dxa" w:w="1910"/>
          </w:tcPr>
          <w:p>
            <w:pPr>
              <w:pStyle w:val="null3"/>
              <w:jc w:val="left"/>
            </w:pPr>
            <w:r>
              <w:rPr/>
              <w:t>服务内容及服务要求应答表</w:t>
            </w:r>
          </w:p>
        </w:tc>
      </w:tr>
      <w:tr>
        <w:tc>
          <w:tcPr>
            <w:tcW w:type="dxa" w:w="581"/>
          </w:tcPr>
          <w:p>
            <w:pPr>
              <w:pStyle w:val="null3"/>
              <w:jc w:val="center"/>
            </w:pPr>
            <w:r>
              <w:rPr/>
              <w:t>3</w:t>
            </w:r>
          </w:p>
        </w:tc>
        <w:tc>
          <w:tcPr>
            <w:tcW w:type="dxa" w:w="2492"/>
          </w:tcPr>
          <w:p>
            <w:pPr>
              <w:pStyle w:val="null3"/>
              <w:jc w:val="left"/>
            </w:pPr>
            <w:r>
              <w:rPr/>
              <w:t>商务要求</w:t>
            </w:r>
          </w:p>
        </w:tc>
        <w:tc>
          <w:tcPr>
            <w:tcW w:type="dxa" w:w="3322"/>
          </w:tcPr>
          <w:p>
            <w:pPr>
              <w:pStyle w:val="null3"/>
              <w:jc w:val="left"/>
            </w:pPr>
            <w:r>
              <w:rPr/>
              <w:t>根据供应商对磋商文件第3章 “3.4.2商务要求”的响应情况进行评审。</w:t>
            </w:r>
          </w:p>
        </w:tc>
        <w:tc>
          <w:tcPr>
            <w:tcW w:type="dxa" w:w="1910"/>
          </w:tcPr>
          <w:p>
            <w:pPr>
              <w:pStyle w:val="null3"/>
              <w:jc w:val="left"/>
            </w:pPr>
            <w:r>
              <w:rPr/>
              <w:t>商务应答表</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jc w:val="left"/>
      </w:pPr>
      <w:r>
        <w:rPr/>
        <w:t>三、磋商小组可以根据磋商文件和磋商情况实质性变动第三章“技术、服务及其他要求”、第七章“拟签订采购合同文本”，但不得变动磋商文件中的其他内容。实质性变动的内容，须经采购人代表确认。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签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见磋商文件第3章</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性审查、符合性审查、对响应文件作无效响应处理的及其他需要共同认定的事项存在争议的，应当以少数服从多数的原则作出结论，但不得违背法律法规和磋商文件规定。有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ind w:firstLine="480"/>
        <w:jc w:val="left"/>
      </w:pPr>
      <w:r>
        <w:rPr/>
        <w:t>磋商小组成员应当按照客观、公正、审慎的原则，根据磋商文件规定的评审程序、评审方法和评审标准进行独立评审。</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详细评审85.00分</w:t>
            </w:r>
          </w:p>
          <w:p>
            <w:pPr>
              <w:pStyle w:val="null3"/>
              <w:jc w:val="left"/>
            </w:pPr>
            <w:r>
              <w:rPr/>
              <w:t>报价得分15.00分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服务方案</w:t>
            </w:r>
          </w:p>
        </w:tc>
        <w:tc>
          <w:tcPr>
            <w:tcW w:type="dxa" w:w="2575"/>
          </w:tcPr>
          <w:p>
            <w:pPr>
              <w:pStyle w:val="null3"/>
              <w:jc w:val="left"/>
            </w:pPr>
            <w:r>
              <w:rPr/>
              <w:t>1、总体养护方案与服务措施 根据供应商针对本项目提供的总体养护方案与服务措施（包含但不限于①项目概况、②项目人员安排和组织、③主要养护技术措施、④项目重难点分析）等内容；供应商针对上述4方面内容在响应文件中进行响应，其中每有一方面内容完整全面、与项目需求吻合、思路清晰、层次结构细化，有具体详细的阐述且符合项目要求的得10分，每缺少一项内容或每有一项内容不满足要求的扣2.5分；每有一处内容存在错误或不足的扣1.25分，扣完为止，本项最多得10分。 2、养护质量管理体系与保证措施 根据供应商针对本项目提供的养护质量管理体系与保证措施（包含但不限于①养护质量目标、②质量管理体系、③质量控制方法、④质量保证措施）等内容；供应商针对上述4方面内容在响应文件中进行响应，其中每有一方面内容完整全面、与项目需求吻合、思路清晰、层次结构细化，有具体详细的阐述且符合项目要求的得10分，每缺少一项内容或每有一项内容不满足要求的扣2.5分；每有一处内容存在错误或不足的扣1.25分，扣完为止，本项最多得10分。 3、养护安全管理体系及保证措施 根据供应商针对本项目提供的养护安全管理体系及保证措施（包含但不限于①岗前培训、②安全目标、③安全管理体系、④安全保证措施）等内容；供应商针对上述4方面内容在响应文件中进行响应，其中每有一方面内容完整全面、与项目需求吻合、思路清晰、层次结构细化，有具体详细的阐述且符合项目要求的得10分，每缺少一项内容或每有一项内容不满足要求的扣2.5分；每有一处内容存在错误或不足的扣1.25分，扣完为止，本项最多得10分。 4、养护环境保护管理体系与保证措施 根据供应商针对本项目提供的养护环境保护管理体系与保证措施（包含但不限于①卫生保护措施、②施工扬尘控制措施、③污水处理措施、④降低噪音措施）等内容；供应商针对上述4方面内容在响应文件中进行响应，其中每有一方面内容完整全面、与项目需求吻合、思路清晰、层次结构细化，有具体详细的阐述且符合项目要求的10分，每缺少一项内容或每有一项内容不满足要求的扣2.5分；每有一处内容存在错误或不足的扣1.25分，扣完为止，本项最多得10分。 5、文明施工保障体系与措施 根据供应商针对本项目提供的文明施工保障体系与措施（包含但不限于①文明施工保障体系、②文明施工管理体系、③文明施工措施、④文明施工准则）等内容；供应商针对上述4方面内容在响应文件中进行响应，其中每有一方面内容完整全面、与项目需求吻合、思路清晰、层次结构细化，有具体详细的阐述且符合项目要求的得10分，每缺少一项内容或每有一项内容不满足要求的扣2.5分；每有一处内容存在错误或不足的扣1.25分，扣完为止，本项最多得10分。 6、保通保畅方案 根据供应商针对本项目提供的保通保畅方案（包含但不限于①施工区域保障措施、②交通安全目标、③交通保障方案、④施工现场交通事故处治预案）等内容；供应商针对上述4方面内容在响应文件中进行响应，其中每有一方面内容完整全面、与项目需求吻合、思路清晰、层次结构细化，有具体详细的阐述且符合项目要求的得10分，每缺少一项内容或每有一项内容不满足要求的扣2.5分；每有一处内容存在错误或不足的扣1.25分，扣完为止，本项最多得10分。 7、养护风险预测及应急预案 根据供应商针对本项目提供的养护风险预测及应急预案（包含但不限于①风险及应急组织体系、②风险评估与管理办法、③风险预测及防范措施、④应急预案）等内容；供应商针对上述4方面内容在响应文件中进行响应，其中每有一方面内容完整全面、与项目需求吻合、思路清晰、层次结构细化，有具体详细的阐述且符合项目要求的得10分，每缺少一项内容或每有一项内容不满足要求的扣2.5分；每有一处内容存在错误或不足的扣1.25分，扣完为止，本项最多得10分。 注：1.以上内容满足要求是指①内容与项目技术服务需求吻合、层次细化，有具体详细的阐述；②阐述从实际出发，切合项目背景、项目需求以及市场供应情况发现问题并提出合理化专业建议或者解决方案；③内容符合国家、地方、行业标准、行业惯例以及项目特点、能有效落地执行和操作，保障项目高质量履约，实现采购目标。④内容清楚明了、表述规范、含义准确。 2.存在不足是指①内容生搬硬造，阐述存在逻辑错误，前后矛盾；②涉及内容无重点，未能体现出本项目的特点或与实际需求不完全相符；③语言错误或存在歧义，项目名称、实施地点、政策、规范标准与本项目不一致等情形。</w:t>
            </w:r>
          </w:p>
        </w:tc>
        <w:tc>
          <w:tcPr>
            <w:tcW w:type="dxa" w:w="831"/>
          </w:tcPr>
          <w:p>
            <w:pPr>
              <w:pStyle w:val="null3"/>
              <w:jc w:val="center"/>
            </w:pPr>
            <w:r>
              <w:rPr/>
              <w:t>70.00</w:t>
            </w:r>
          </w:p>
        </w:tc>
        <w:tc>
          <w:tcPr>
            <w:tcW w:type="dxa" w:w="748"/>
          </w:tcPr>
          <w:p>
            <w:pPr>
              <w:pStyle w:val="null3"/>
              <w:jc w:val="center"/>
            </w:pPr>
            <w:r>
              <w:rPr/>
              <w:t>主观</w:t>
            </w:r>
          </w:p>
        </w:tc>
        <w:tc>
          <w:tcPr>
            <w:tcW w:type="dxa" w:w="1661"/>
          </w:tcPr>
          <w:p>
            <w:pPr>
              <w:pStyle w:val="null3"/>
              <w:jc w:val="left"/>
            </w:pPr>
            <w:r>
              <w:rPr/>
              <w:t>服务方案</w:t>
            </w:r>
          </w:p>
        </w:tc>
      </w:tr>
      <w:tr>
        <w:tc>
          <w:tcPr>
            <w:tcW w:type="dxa" w:w="831"/>
            <w:vMerge/>
          </w:tcPr>
          <w:p/>
        </w:tc>
        <w:tc>
          <w:tcPr>
            <w:tcW w:type="dxa" w:w="1661"/>
          </w:tcPr>
          <w:p>
            <w:pPr>
              <w:pStyle w:val="null3"/>
              <w:jc w:val="left"/>
            </w:pPr>
            <w:r>
              <w:rPr/>
              <w:t>类似项目业绩</w:t>
            </w:r>
          </w:p>
        </w:tc>
        <w:tc>
          <w:tcPr>
            <w:tcW w:type="dxa" w:w="2575"/>
          </w:tcPr>
          <w:p>
            <w:pPr>
              <w:pStyle w:val="null3"/>
              <w:jc w:val="left"/>
            </w:pPr>
            <w:r>
              <w:rPr/>
              <w:t>供应商2021年1月1日至今具有1个类似项目业绩得5分，每增加一个类似项目业绩加5分，最多得15分。 注：提供合同或协议书或中标/成交通知书扫描件，否则不得分。</w:t>
            </w:r>
          </w:p>
        </w:tc>
        <w:tc>
          <w:tcPr>
            <w:tcW w:type="dxa" w:w="831"/>
          </w:tcPr>
          <w:p>
            <w:pPr>
              <w:pStyle w:val="null3"/>
              <w:jc w:val="center"/>
            </w:pPr>
            <w:r>
              <w:rPr/>
              <w:t>15.00</w:t>
            </w:r>
          </w:p>
        </w:tc>
        <w:tc>
          <w:tcPr>
            <w:tcW w:type="dxa" w:w="748"/>
          </w:tcPr>
          <w:p>
            <w:pPr>
              <w:pStyle w:val="null3"/>
              <w:jc w:val="center"/>
            </w:pPr>
            <w:r>
              <w:rPr/>
              <w:t>客观</w:t>
            </w:r>
          </w:p>
        </w:tc>
        <w:tc>
          <w:tcPr>
            <w:tcW w:type="dxa" w:w="1661"/>
          </w:tcPr>
          <w:p>
            <w:pPr>
              <w:pStyle w:val="null3"/>
              <w:jc w:val="left"/>
            </w:pPr>
            <w:r>
              <w:rPr/>
              <w:t>业绩</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1、评审价格=响应报价。2、经价格调整后的评审价格=响应报价×（1-价格调整比例）3、基准价=经价格调整后评审价格的最低值。1. 经磋商小组评审，通过资格和符合性审查，且响应报价最低的供应商的响应报价作为评审基准价。2.响应报价得分=(评审基准价／响应报价)×分值。</w:t>
            </w:r>
          </w:p>
        </w:tc>
        <w:tc>
          <w:tcPr>
            <w:tcW w:type="dxa" w:w="831"/>
          </w:tcPr>
          <w:p>
            <w:pPr>
              <w:pStyle w:val="null3"/>
              <w:jc w:val="center"/>
            </w:pPr>
            <w:r>
              <w:rPr/>
              <w:t>15.00</w:t>
            </w:r>
          </w:p>
        </w:tc>
        <w:tc>
          <w:tcPr>
            <w:tcW w:type="dxa" w:w="748"/>
          </w:tcPr>
          <w:p>
            <w:pPr>
              <w:pStyle w:val="null3"/>
              <w:jc w:val="center"/>
            </w:pPr>
            <w:r>
              <w:rPr/>
              <w:t>客观</w:t>
            </w:r>
          </w:p>
        </w:tc>
        <w:tc>
          <w:tcPr>
            <w:tcW w:type="dxa" w:w="1661"/>
          </w:tcPr>
          <w:p>
            <w:pPr>
              <w:pStyle w:val="null3"/>
              <w:jc w:val="left"/>
            </w:pPr>
            <w:r>
              <w:rPr/>
              <w:t>报价明细表</w:t>
            </w:r>
          </w:p>
          <w:p>
            <w:pPr>
              <w:pStyle w:val="null3"/>
              <w:jc w:val="left"/>
            </w:pPr>
            <w:r>
              <w:rPr/>
              <w:t>报价一览表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-20%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报价明细表 中小企业声明函 残疾人福利性单位声明函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三、除《政府采购竞争性磋商采购方式管理暂行办法》第二十一条第三款规定的情形外，在采购过程中符合要求的供应商或者报价未超过采购预算的供应商不足3家的。</w:t>
      </w:r>
    </w:p>
    <w:p>
      <w:pPr>
        <w:pStyle w:val="null3"/>
        <w:jc w:val="left"/>
        <w:outlineLvl w:val="2"/>
      </w:pPr>
      <w:r>
        <w:rPr>
          <w:b/>
          <w:sz w:val="28"/>
        </w:rPr>
        <w:t>5.6.确定成交供应商</w:t>
      </w:r>
    </w:p>
    <w:p>
      <w:pPr>
        <w:pStyle w:val="null3"/>
        <w:jc w:val="left"/>
      </w:pPr>
      <w:r>
        <w:rPr/>
        <w:t>一、评审结束后，代理机构在评审结束后2个工作日内将磋商报告送采购人。</w:t>
      </w:r>
    </w:p>
    <w:p>
      <w:pPr>
        <w:pStyle w:val="null3"/>
        <w:jc w:val="left"/>
      </w:pPr>
      <w:r>
        <w:rPr/>
        <w:t>二、采购人在收到磋商报告后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三、采购人或者代理机构应当自成交供应商确定之日起 2 个工作日内，在四川政府采购网上公告成交结果，磋商文件应当随成交结果同时公告。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详见附件：供应商应提交的相关资格证明材料</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详见附件：服务方案</w:t>
      </w:r>
    </w:p>
    <w:p>
      <w:pPr>
        <w:pStyle w:val="null3"/>
        <w:ind w:firstLine="960"/>
        <w:jc w:val="left"/>
      </w:pPr>
      <w:r>
        <w:rPr/>
        <w:t>详见附件：业绩</w:t>
      </w:r>
    </w:p>
    <w:p>
      <w:pPr>
        <w:pStyle w:val="null3"/>
        <w:ind w:firstLine="960"/>
        <w:jc w:val="left"/>
      </w:pPr>
      <w:r>
        <w:rPr/>
        <w:t>详见附件：服务内容及服务要求应答表</w:t>
      </w:r>
    </w:p>
    <w:p>
      <w:pPr>
        <w:pStyle w:val="null3"/>
        <w:ind w:firstLine="960"/>
        <w:jc w:val="left"/>
      </w:pPr>
      <w:r>
        <w:rPr/>
        <w:t>详见附件：报价明细表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政府采购合同（服务类）</w:t>
      </w:r>
      <w:r>
        <w:br/>
      </w:r>
    </w:p>
    <w:p>
      <w:pPr>
        <w:pStyle w:val="null3"/>
        <w:jc w:val="left"/>
      </w:pPr>
      <w:r>
        <w:rPr/>
        <w:t xml:space="preserve"> 政府采购合同编号： __________________</w:t>
      </w:r>
    </w:p>
    <w:p>
      <w:pPr>
        <w:pStyle w:val="null3"/>
        <w:jc w:val="left"/>
      </w:pPr>
      <w:r>
        <w:rPr/>
        <w:t xml:space="preserve"> 履约地点：__________________</w:t>
      </w:r>
    </w:p>
    <w:p>
      <w:pPr>
        <w:pStyle w:val="null3"/>
        <w:jc w:val="left"/>
      </w:pPr>
      <w:r>
        <w:rPr/>
        <w:t xml:space="preserve"> 签订日期：20___年___月___日</w:t>
      </w:r>
    </w:p>
    <w:p>
      <w:pPr>
        <w:pStyle w:val="null3"/>
        <w:jc w:val="left"/>
      </w:pPr>
      <w:r>
        <w:rPr/>
        <w:t xml:space="preserve"> 签订地点：__________________</w:t>
      </w:r>
    </w:p>
    <w:p>
      <w:pPr>
        <w:pStyle w:val="null3"/>
        <w:jc w:val="left"/>
      </w:pPr>
      <w:r>
        <w:rPr/>
        <w:t xml:space="preserve"> 采购人（甲方）：__________________</w:t>
      </w:r>
    </w:p>
    <w:p>
      <w:pPr>
        <w:pStyle w:val="null3"/>
        <w:jc w:val="left"/>
      </w:pPr>
      <w:r>
        <w:rPr/>
        <w:t xml:space="preserve"> 地址：__________________</w:t>
      </w:r>
    </w:p>
    <w:p>
      <w:pPr>
        <w:pStyle w:val="null3"/>
        <w:jc w:val="left"/>
      </w:pPr>
      <w:r>
        <w:rPr/>
        <w:t xml:space="preserve"> 供应商(乙方)：__________________</w:t>
      </w:r>
    </w:p>
    <w:p>
      <w:pPr>
        <w:pStyle w:val="null3"/>
        <w:jc w:val="left"/>
      </w:pPr>
      <w:r>
        <w:rPr/>
        <w:t xml:space="preserve"> 地址：__________________</w:t>
      </w:r>
    </w:p>
    <w:p>
      <w:pPr>
        <w:pStyle w:val="null3"/>
        <w:jc w:val="left"/>
      </w:pPr>
      <w:r>
        <w:rPr/>
        <w:t xml:space="preserve"> 依据《中华人民共和国民法典》《中华人民共和国政府采购法》与项目行业有关的法律法规，以及XXX采购项目的 </w:t>
      </w:r>
      <w:r>
        <w:rPr/>
        <w:t>《磋商文件》</w:t>
      </w:r>
      <w:r>
        <w:rPr/>
        <w:t>，乙方的《投标（响应）文件》及《中标（成交）通知书》，甲乙双方同意签订本合同。具体情况及要求如下</w:t>
      </w:r>
    </w:p>
    <w:p>
      <w:pPr>
        <w:pStyle w:val="null3"/>
        <w:jc w:val="left"/>
        <w:outlineLvl w:val="3"/>
      </w:pPr>
      <w:r>
        <w:rPr>
          <w:b/>
          <w:sz w:val="24"/>
        </w:rPr>
        <w:t xml:space="preserve"> 一、标的信息</w:t>
      </w:r>
      <w:r>
        <w:br/>
      </w:r>
    </w:p>
    <w:p>
      <w:pPr>
        <w:pStyle w:val="null3"/>
        <w:jc w:val="left"/>
        <w:outlineLvl w:val="3"/>
      </w:pPr>
      <w:r>
        <w:rPr>
          <w:b/>
          <w:sz w:val="24"/>
        </w:rPr>
        <w:t xml:space="preserve"> 二、服务要求</w:t>
      </w:r>
      <w:r>
        <w:br/>
      </w:r>
    </w:p>
    <w:p>
      <w:pPr>
        <w:pStyle w:val="null3"/>
        <w:jc w:val="left"/>
        <w:outlineLvl w:val="3"/>
      </w:pPr>
      <w:r>
        <w:rPr>
          <w:b/>
          <w:sz w:val="24"/>
        </w:rPr>
        <w:t xml:space="preserve"> 三、合同定价方式、付款进度和支付方式</w:t>
      </w:r>
      <w:r>
        <w:br/>
      </w:r>
    </w:p>
    <w:p>
      <w:pPr>
        <w:pStyle w:val="null3"/>
        <w:jc w:val="left"/>
        <w:outlineLvl w:val="3"/>
      </w:pPr>
      <w:r>
        <w:rPr>
          <w:b/>
          <w:sz w:val="24"/>
        </w:rPr>
        <w:t xml:space="preserve"> 四、履约保证金</w:t>
      </w:r>
      <w:r>
        <w:br/>
      </w:r>
    </w:p>
    <w:p>
      <w:pPr>
        <w:pStyle w:val="null3"/>
        <w:jc w:val="left"/>
        <w:outlineLvl w:val="3"/>
      </w:pPr>
      <w:r>
        <w:rPr>
          <w:b/>
          <w:sz w:val="24"/>
        </w:rPr>
        <w:t xml:space="preserve"> 五、验收标准和方法</w:t>
      </w:r>
      <w:r>
        <w:br/>
      </w:r>
    </w:p>
    <w:p>
      <w:pPr>
        <w:pStyle w:val="null3"/>
        <w:jc w:val="left"/>
        <w:outlineLvl w:val="3"/>
      </w:pPr>
      <w:r>
        <w:rPr>
          <w:b/>
          <w:sz w:val="24"/>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pPr>
      <w:r>
        <w:rPr/>
        <w:t>......</w:t>
      </w:r>
    </w:p>
    <w:p>
      <w:pPr>
        <w:pStyle w:val="null3"/>
        <w:jc w:val="left"/>
        <w:outlineLvl w:val="3"/>
      </w:pPr>
      <w:r>
        <w:rPr>
          <w:b/>
          <w:sz w:val="24"/>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3.国家法律、法规所规定由乙方承担的其它责任。</w:t>
      </w:r>
    </w:p>
    <w:p>
      <w:pPr>
        <w:pStyle w:val="null3"/>
        <w:jc w:val="left"/>
      </w:pPr>
      <w:r>
        <w:rPr/>
        <w:t>......</w:t>
      </w:r>
    </w:p>
    <w:p>
      <w:pPr>
        <w:pStyle w:val="null3"/>
        <w:jc w:val="left"/>
        <w:outlineLvl w:val="3"/>
      </w:pPr>
      <w:r>
        <w:rPr>
          <w:b/>
          <w:sz w:val="24"/>
        </w:rPr>
        <w:t xml:space="preserve"> 八、违约责任</w:t>
      </w:r>
    </w:p>
    <w:p>
      <w:pPr>
        <w:pStyle w:val="null3"/>
        <w:jc w:val="left"/>
      </w:pPr>
      <w:r>
        <w:rPr/>
        <w:t>1.若甲方未按照合同约定逾期向乙方支付货物费用，每逾期一天，按应支付金额的X‰作为违约金支付给乙方，直至实际支付之日</w:t>
      </w:r>
    </w:p>
    <w:p>
      <w:pPr>
        <w:pStyle w:val="null3"/>
        <w:jc w:val="left"/>
      </w:pPr>
      <w:r>
        <w:rPr/>
        <w:t>2.因甲方原因导致变更、中止或者终止政府采购合同的，应对乙方受到的损失予以赔偿或者补偿。</w:t>
      </w:r>
    </w:p>
    <w:p>
      <w:pPr>
        <w:pStyle w:val="null3"/>
        <w:jc w:val="left"/>
      </w:pPr>
      <w:r>
        <w:rPr/>
        <w:t>......</w:t>
      </w:r>
    </w:p>
    <w:p>
      <w:pPr>
        <w:pStyle w:val="null3"/>
        <w:jc w:val="left"/>
        <w:outlineLvl w:val="3"/>
      </w:pPr>
      <w:r>
        <w:rPr>
          <w:b/>
          <w:sz w:val="24"/>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2.受阻一方应在不可抗力事件发生后尽快用电话通知对方并于事故发生后XX天内将有关部门出具的证明文件等用特快专递或挂号信寄给对方审阅确认。</w:t>
      </w:r>
    </w:p>
    <w:p>
      <w:pPr>
        <w:pStyle w:val="null3"/>
        <w:jc w:val="left"/>
      </w:pPr>
      <w:r>
        <w:rPr/>
        <w:t>3.不可抗力事件延续XX天以上，双方应通过友好协商，确定是否继续履行合同</w:t>
      </w:r>
    </w:p>
    <w:p>
      <w:pPr>
        <w:pStyle w:val="null3"/>
        <w:jc w:val="left"/>
      </w:pPr>
      <w:r>
        <w:rPr/>
        <w:t>......</w:t>
      </w:r>
    </w:p>
    <w:p>
      <w:pPr>
        <w:pStyle w:val="null3"/>
        <w:jc w:val="left"/>
        <w:outlineLvl w:val="3"/>
      </w:pPr>
      <w:r>
        <w:rPr>
          <w:b/>
          <w:sz w:val="24"/>
        </w:rPr>
        <w:t xml:space="preserve"> 十、解决合同纠纷的方式</w:t>
      </w:r>
      <w:r>
        <w:br/>
      </w:r>
    </w:p>
    <w:p>
      <w:pPr>
        <w:pStyle w:val="null3"/>
        <w:jc w:val="left"/>
        <w:outlineLvl w:val="3"/>
      </w:pPr>
      <w:r>
        <w:rPr>
          <w:b/>
          <w:sz w:val="24"/>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法定（授权）代表人：</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签订日期： 年 月 日</w:t>
      </w:r>
    </w:p>
    <w:p>
      <w:pPr>
        <w:pStyle w:val="null3"/>
        <w:jc w:val="left"/>
      </w:pPr>
      <w:r>
        <w:rPr/>
        <w:t xml:space="preserve"> 乙方：(盖章）</w:t>
      </w:r>
    </w:p>
    <w:p>
      <w:pPr>
        <w:pStyle w:val="null3"/>
        <w:jc w:val="left"/>
      </w:pPr>
      <w:r>
        <w:rPr/>
        <w:t xml:space="preserve"> 法定（授权）代表人：</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签订日期：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