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A0F654">
      <w:pPr>
        <w:pStyle w:val="5"/>
        <w:numPr>
          <w:ilvl w:val="0"/>
          <w:numId w:val="0"/>
        </w:numPr>
        <w:spacing w:line="360" w:lineRule="exact"/>
        <w:rPr>
          <w:rFonts w:hint="eastAsia" w:ascii="宋体" w:hAnsi="宋体" w:eastAsia="宋体" w:cs="宋体"/>
          <w:sz w:val="24"/>
          <w:szCs w:val="24"/>
        </w:rPr>
      </w:pPr>
      <w:r>
        <w:rPr>
          <w:rFonts w:hint="eastAsia" w:ascii="宋体" w:hAnsi="宋体" w:eastAsia="宋体" w:cs="宋体"/>
          <w:sz w:val="24"/>
          <w:szCs w:val="24"/>
        </w:rPr>
        <w:t>合同主要条</w:t>
      </w:r>
      <w:r>
        <w:rPr>
          <w:rFonts w:hint="eastAsia" w:ascii="宋体" w:hAnsi="宋体" w:eastAsia="宋体" w:cs="宋体"/>
          <w:sz w:val="24"/>
          <w:szCs w:val="24"/>
          <w:highlight w:val="none"/>
        </w:rPr>
        <w:t>款</w:t>
      </w:r>
      <w:r>
        <w:rPr>
          <w:rFonts w:hint="eastAsia" w:ascii="宋体" w:hAnsi="宋体" w:eastAsia="宋体" w:cs="宋体"/>
          <w:sz w:val="24"/>
          <w:szCs w:val="24"/>
          <w:highlight w:val="none"/>
          <w:lang w:val="en-US" w:eastAsia="zh-CN"/>
        </w:rPr>
        <w:t xml:space="preserve"> </w:t>
      </w:r>
      <w:r>
        <w:rPr>
          <w:rFonts w:hint="eastAsia" w:ascii="宋体" w:hAnsi="宋体" w:eastAsia="宋体" w:cs="宋体"/>
          <w:b w:val="0"/>
          <w:bCs w:val="0"/>
          <w:sz w:val="24"/>
          <w:szCs w:val="24"/>
          <w:highlight w:val="none"/>
          <w:lang w:eastAsia="zh-CN"/>
        </w:rPr>
        <w:t>（拟签订采购合同文本）</w:t>
      </w:r>
    </w:p>
    <w:p w14:paraId="7A89BF7F">
      <w:pPr>
        <w:pStyle w:val="17"/>
        <w:jc w:val="center"/>
        <w:outlineLvl w:val="2"/>
        <w:rPr>
          <w:rFonts w:hint="eastAsia" w:cs="宋体"/>
          <w:sz w:val="24"/>
        </w:rPr>
      </w:pPr>
      <w:r>
        <w:rPr>
          <w:rFonts w:hint="eastAsia" w:ascii="宋体" w:hAnsi="宋体" w:eastAsia="宋体" w:cs="宋体"/>
          <w:b/>
          <w:sz w:val="48"/>
        </w:rPr>
        <w:t xml:space="preserve"> 政府采购合同（货物类）</w:t>
      </w:r>
    </w:p>
    <w:p w14:paraId="2946173A">
      <w:pPr>
        <w:pStyle w:val="18"/>
        <w:keepNext w:val="0"/>
        <w:keepLines w:val="0"/>
        <w:pageBreakBefore w:val="0"/>
        <w:tabs>
          <w:tab w:val="left" w:pos="240"/>
          <w:tab w:val="clear" w:pos="0"/>
        </w:tabs>
        <w:overflowPunct/>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合同编号：</w:t>
      </w:r>
    </w:p>
    <w:p w14:paraId="349F89CE">
      <w:pPr>
        <w:pStyle w:val="18"/>
        <w:keepNext w:val="0"/>
        <w:keepLines w:val="0"/>
        <w:pageBreakBefore w:val="0"/>
        <w:tabs>
          <w:tab w:val="left" w:pos="240"/>
          <w:tab w:val="clear" w:pos="0"/>
        </w:tabs>
        <w:overflowPunct/>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计划号/备案号：</w:t>
      </w:r>
    </w:p>
    <w:p w14:paraId="0AD18EE7">
      <w:pPr>
        <w:pStyle w:val="18"/>
        <w:keepNext w:val="0"/>
        <w:keepLines w:val="0"/>
        <w:pageBreakBefore w:val="0"/>
        <w:tabs>
          <w:tab w:val="left" w:pos="240"/>
          <w:tab w:val="clear" w:pos="0"/>
        </w:tabs>
        <w:overflowPunct/>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签订地点：</w:t>
      </w:r>
    </w:p>
    <w:p w14:paraId="37EF942F">
      <w:pPr>
        <w:pStyle w:val="18"/>
        <w:keepNext w:val="0"/>
        <w:keepLines w:val="0"/>
        <w:pageBreakBefore w:val="0"/>
        <w:tabs>
          <w:tab w:val="left" w:pos="240"/>
          <w:tab w:val="clear" w:pos="0"/>
        </w:tabs>
        <w:overflowPunct/>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签订时间：       年    月    日</w:t>
      </w:r>
    </w:p>
    <w:p w14:paraId="0CFFAEBB">
      <w:pPr>
        <w:pStyle w:val="18"/>
        <w:keepNext w:val="0"/>
        <w:keepLines w:val="0"/>
        <w:pageBreakBefore w:val="0"/>
        <w:tabs>
          <w:tab w:val="left" w:pos="240"/>
          <w:tab w:val="clear" w:pos="0"/>
        </w:tabs>
        <w:overflowPunct/>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采购人名称(甲方)：</w:t>
      </w:r>
    </w:p>
    <w:p w14:paraId="0A0418C4">
      <w:pPr>
        <w:pStyle w:val="18"/>
        <w:keepNext w:val="0"/>
        <w:keepLines w:val="0"/>
        <w:pageBreakBefore w:val="0"/>
        <w:tabs>
          <w:tab w:val="left" w:pos="240"/>
          <w:tab w:val="clear" w:pos="0"/>
        </w:tabs>
        <w:overflowPunct/>
        <w:bidi w:val="0"/>
        <w:adjustRightInd/>
        <w:snapToGrid/>
        <w:spacing w:line="360" w:lineRule="auto"/>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成交人名称(乙方)：                 </w:t>
      </w:r>
    </w:p>
    <w:p w14:paraId="357D88D3">
      <w:pPr>
        <w:pStyle w:val="18"/>
        <w:keepNext w:val="0"/>
        <w:keepLines w:val="0"/>
        <w:pageBreakBefore w:val="0"/>
        <w:tabs>
          <w:tab w:val="left" w:pos="240"/>
          <w:tab w:val="clear" w:pos="0"/>
        </w:tabs>
        <w:overflowPunct/>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根据《中华人民共和国民法典》、《中华人民共和国政府采购法》及</w:t>
      </w:r>
      <w:r>
        <w:rPr>
          <w:rFonts w:hint="eastAsia" w:ascii="宋体" w:hAnsi="宋体" w:eastAsia="宋体" w:cs="宋体"/>
          <w:color w:val="auto"/>
          <w:sz w:val="21"/>
          <w:szCs w:val="21"/>
          <w:highlight w:val="none"/>
          <w:u w:val="single"/>
        </w:rPr>
        <w:t xml:space="preserve">  此处填项目名称     </w:t>
      </w:r>
      <w:r>
        <w:rPr>
          <w:rFonts w:hint="eastAsia" w:ascii="宋体" w:hAnsi="宋体" w:eastAsia="宋体" w:cs="宋体"/>
          <w:color w:val="auto"/>
          <w:sz w:val="21"/>
          <w:szCs w:val="21"/>
          <w:highlight w:val="none"/>
        </w:rPr>
        <w:t>(项目编号：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的竞争性谈判文件、乙方的响应文件及成交通知书，甲、乙双方同意签订本合同。详细技术说明及其他有关合同项目的特定信息由合同附件予以说明，合同附件及本项目的竞争性谈判文件、响应文件、成交通知书等均为本合同不可分割的部分。双方同意共同遵守如下条款：</w:t>
      </w:r>
      <w:bookmarkStart w:id="0" w:name="_Toc984"/>
      <w:bookmarkStart w:id="1" w:name="_Toc20353"/>
      <w:bookmarkStart w:id="2" w:name="_Toc29921"/>
      <w:bookmarkStart w:id="3" w:name="_Toc26945"/>
      <w:bookmarkStart w:id="4" w:name="_Toc3094"/>
      <w:bookmarkStart w:id="5" w:name="_Toc15652"/>
      <w:bookmarkStart w:id="6" w:name="_Toc575"/>
      <w:bookmarkStart w:id="7" w:name="_Toc28607"/>
      <w:bookmarkStart w:id="8" w:name="_Toc217446107"/>
    </w:p>
    <w:p w14:paraId="38FB4DD9">
      <w:pPr>
        <w:pStyle w:val="18"/>
        <w:keepNext w:val="0"/>
        <w:keepLines w:val="0"/>
        <w:pageBreakBefore w:val="0"/>
        <w:numPr>
          <w:ilvl w:val="0"/>
          <w:numId w:val="4"/>
        </w:numPr>
        <w:tabs>
          <w:tab w:val="left" w:pos="240"/>
          <w:tab w:val="clear" w:pos="0"/>
        </w:tabs>
        <w:overflowPunct/>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合同</w:t>
      </w:r>
      <w:bookmarkEnd w:id="0"/>
      <w:bookmarkEnd w:id="1"/>
      <w:bookmarkEnd w:id="2"/>
      <w:bookmarkEnd w:id="3"/>
      <w:bookmarkEnd w:id="4"/>
      <w:bookmarkEnd w:id="5"/>
      <w:bookmarkEnd w:id="6"/>
      <w:bookmarkEnd w:id="7"/>
      <w:bookmarkEnd w:id="8"/>
      <w:r>
        <w:rPr>
          <w:rFonts w:hint="eastAsia" w:ascii="宋体" w:hAnsi="宋体" w:eastAsia="宋体" w:cs="宋体"/>
          <w:b/>
          <w:bCs/>
          <w:color w:val="auto"/>
          <w:sz w:val="21"/>
          <w:szCs w:val="21"/>
          <w:highlight w:val="none"/>
        </w:rPr>
        <w:t>货物</w:t>
      </w:r>
    </w:p>
    <w:p w14:paraId="07032322">
      <w:pPr>
        <w:pStyle w:val="18"/>
        <w:keepNext w:val="0"/>
        <w:keepLines w:val="0"/>
        <w:pageBreakBefore w:val="0"/>
        <w:tabs>
          <w:tab w:val="left" w:pos="240"/>
          <w:tab w:val="clear" w:pos="0"/>
        </w:tabs>
        <w:overflowPunct/>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详见附件2</w:t>
      </w:r>
      <w:bookmarkStart w:id="9" w:name="_Toc22308"/>
      <w:bookmarkStart w:id="10" w:name="_Toc217446108"/>
      <w:bookmarkStart w:id="11" w:name="_Toc2729"/>
      <w:bookmarkStart w:id="12" w:name="_Toc15734"/>
      <w:bookmarkStart w:id="13" w:name="_Toc27250"/>
      <w:bookmarkStart w:id="14" w:name="_Toc30639"/>
      <w:bookmarkStart w:id="15" w:name="_Toc8483"/>
      <w:bookmarkStart w:id="16" w:name="_Toc22148"/>
      <w:bookmarkStart w:id="17" w:name="_Toc31626"/>
      <w:r>
        <w:rPr>
          <w:rFonts w:hint="eastAsia" w:ascii="宋体" w:hAnsi="宋体" w:eastAsia="宋体" w:cs="宋体"/>
          <w:color w:val="auto"/>
          <w:sz w:val="21"/>
          <w:szCs w:val="21"/>
          <w:highlight w:val="none"/>
        </w:rPr>
        <w:t>。</w:t>
      </w:r>
    </w:p>
    <w:p w14:paraId="6A65336B">
      <w:pPr>
        <w:pStyle w:val="18"/>
        <w:keepNext w:val="0"/>
        <w:keepLines w:val="0"/>
        <w:pageBreakBefore w:val="0"/>
        <w:tabs>
          <w:tab w:val="left" w:pos="240"/>
          <w:tab w:val="clear" w:pos="0"/>
        </w:tabs>
        <w:overflowPunct/>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二、合同</w:t>
      </w:r>
      <w:bookmarkEnd w:id="9"/>
      <w:bookmarkEnd w:id="10"/>
      <w:bookmarkEnd w:id="11"/>
      <w:bookmarkEnd w:id="12"/>
      <w:r>
        <w:rPr>
          <w:rFonts w:hint="eastAsia" w:ascii="宋体" w:hAnsi="宋体" w:eastAsia="宋体" w:cs="宋体"/>
          <w:b/>
          <w:bCs/>
          <w:color w:val="auto"/>
          <w:sz w:val="21"/>
          <w:szCs w:val="21"/>
          <w:highlight w:val="none"/>
        </w:rPr>
        <w:t>价款</w:t>
      </w:r>
      <w:bookmarkEnd w:id="13"/>
      <w:bookmarkEnd w:id="14"/>
      <w:bookmarkEnd w:id="15"/>
      <w:bookmarkEnd w:id="16"/>
      <w:bookmarkEnd w:id="17"/>
    </w:p>
    <w:p w14:paraId="720425AF">
      <w:pPr>
        <w:pStyle w:val="18"/>
        <w:keepNext w:val="0"/>
        <w:keepLines w:val="0"/>
        <w:pageBreakBefore w:val="0"/>
        <w:overflowPunct/>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合同总价为人民币大写：</w:t>
      </w:r>
      <w:r>
        <w:rPr>
          <w:rFonts w:hint="eastAsia" w:ascii="宋体" w:hAnsi="宋体" w:eastAsia="宋体" w:cs="宋体"/>
          <w:color w:val="auto"/>
          <w:sz w:val="21"/>
          <w:szCs w:val="21"/>
          <w:highlight w:val="none"/>
          <w:u w:val="single"/>
        </w:rPr>
        <w:t xml:space="preserve">                 元整</w:t>
      </w:r>
      <w:r>
        <w:rPr>
          <w:rFonts w:hint="eastAsia" w:ascii="宋体" w:hAnsi="宋体" w:eastAsia="宋体" w:cs="宋体"/>
          <w:color w:val="auto"/>
          <w:sz w:val="21"/>
          <w:szCs w:val="21"/>
          <w:highlight w:val="none"/>
        </w:rPr>
        <w:t>，即RMB￥</w:t>
      </w:r>
      <w:r>
        <w:rPr>
          <w:rFonts w:hint="eastAsia" w:ascii="宋体" w:hAnsi="宋体" w:eastAsia="宋体" w:cs="宋体"/>
          <w:color w:val="auto"/>
          <w:sz w:val="21"/>
          <w:szCs w:val="21"/>
          <w:highlight w:val="none"/>
          <w:u w:val="single"/>
        </w:rPr>
        <w:t xml:space="preserve">          元</w:t>
      </w:r>
      <w:r>
        <w:rPr>
          <w:rFonts w:hint="eastAsia" w:ascii="宋体" w:hAnsi="宋体" w:eastAsia="宋体" w:cs="宋体"/>
          <w:color w:val="auto"/>
          <w:sz w:val="21"/>
          <w:szCs w:val="21"/>
          <w:highlight w:val="none"/>
        </w:rPr>
        <w:t>；该合同总价已包括货物设计、材料、生产制造、包装、运输、安装、调试、检测(含首次计量检测)、培训、风险、利润、验收合格交付使用之前及保修期内保修服务与备用物件等所有其他有关各项的含税费用。本合同执行期间合同总价不变，甲方无须另向乙方支付本合同规定之外的其他任何费用。</w:t>
      </w:r>
      <w:bookmarkStart w:id="18" w:name="_Toc217446109"/>
      <w:bookmarkStart w:id="19" w:name="_Toc30015"/>
      <w:bookmarkStart w:id="20" w:name="_Toc7853"/>
      <w:bookmarkStart w:id="21" w:name="_Toc8140"/>
      <w:bookmarkStart w:id="22" w:name="_Toc16934"/>
      <w:bookmarkStart w:id="23" w:name="_Toc12222"/>
      <w:bookmarkStart w:id="24" w:name="_Toc13646"/>
      <w:bookmarkStart w:id="25" w:name="_Toc12534"/>
      <w:bookmarkStart w:id="26" w:name="_Toc11736"/>
    </w:p>
    <w:p w14:paraId="026C524A">
      <w:pPr>
        <w:pStyle w:val="18"/>
        <w:keepNext w:val="0"/>
        <w:keepLines w:val="0"/>
        <w:pageBreakBefore w:val="0"/>
        <w:overflowPunct/>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三、质量要求</w:t>
      </w:r>
      <w:bookmarkEnd w:id="18"/>
      <w:bookmarkEnd w:id="19"/>
      <w:bookmarkEnd w:id="20"/>
      <w:bookmarkEnd w:id="21"/>
      <w:bookmarkEnd w:id="22"/>
      <w:bookmarkEnd w:id="23"/>
      <w:bookmarkEnd w:id="24"/>
      <w:bookmarkEnd w:id="25"/>
      <w:bookmarkEnd w:id="26"/>
    </w:p>
    <w:p w14:paraId="2530EE3F">
      <w:pPr>
        <w:pStyle w:val="2"/>
        <w:keepNext w:val="0"/>
        <w:keepLines w:val="0"/>
        <w:pageBreakBefore w:val="0"/>
        <w:tabs>
          <w:tab w:val="left" w:pos="0"/>
        </w:tabs>
        <w:overflowPunct/>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（一）乙方须提供全新的货物(含零部件、配件等)，来源渠道必须合法，表面无划伤、无碰撞痕迹，且权属清楚，不得侵害他人的知识产权。</w:t>
      </w:r>
    </w:p>
    <w:p w14:paraId="69523482">
      <w:pPr>
        <w:pStyle w:val="2"/>
        <w:keepNext w:val="0"/>
        <w:keepLines w:val="0"/>
        <w:pageBreakBefore w:val="0"/>
        <w:tabs>
          <w:tab w:val="left" w:pos="0"/>
        </w:tabs>
        <w:overflowPunct/>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（二）货物必须符合或优于国家(行业)相关标准，以及本项目竞争性谈判文件的质量要求和技术指标与出厂标准。</w:t>
      </w:r>
    </w:p>
    <w:p w14:paraId="5EB067BA">
      <w:pPr>
        <w:pStyle w:val="2"/>
        <w:keepNext w:val="0"/>
        <w:keepLines w:val="0"/>
        <w:pageBreakBefore w:val="0"/>
        <w:tabs>
          <w:tab w:val="left" w:pos="0"/>
        </w:tabs>
        <w:overflowPunct/>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（三）货物包装符合财办库（2020）123号文件的规定。</w:t>
      </w:r>
    </w:p>
    <w:p w14:paraId="7915175E">
      <w:pPr>
        <w:pStyle w:val="2"/>
        <w:keepNext w:val="0"/>
        <w:keepLines w:val="0"/>
        <w:pageBreakBefore w:val="0"/>
        <w:tabs>
          <w:tab w:val="left" w:pos="0"/>
        </w:tabs>
        <w:overflowPunct/>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（四）货物涉及样品有关事项时，乙方须在本合同签订生效之日起</w:t>
      </w:r>
      <w:r>
        <w:rPr>
          <w:rFonts w:hint="eastAsia" w:ascii="宋体" w:hAnsi="宋体" w:eastAsia="宋体" w:cs="宋体"/>
          <w:snapToGrid w:val="0"/>
          <w:color w:val="auto"/>
          <w:sz w:val="21"/>
          <w:szCs w:val="21"/>
          <w:highlight w:val="none"/>
          <w:u w:val="single"/>
        </w:rPr>
        <w:t>3</w:t>
      </w:r>
      <w:r>
        <w:rPr>
          <w:rFonts w:hint="eastAsia" w:ascii="宋体" w:hAnsi="宋体" w:eastAsia="宋体" w:cs="宋体"/>
          <w:color w:val="auto"/>
          <w:sz w:val="21"/>
          <w:szCs w:val="21"/>
          <w:highlight w:val="none"/>
        </w:rPr>
        <w:t>天内送交货物成品给甲方，送交货物成品必须与成交保留样品一致，在甲方出具样品确认书并封存成品样品后，乙方才能按样品生产，并以此样品作为验收样品，验收时只要不符合样品的视为不合格；每台货物上均应有产品质量检验合格标志。</w:t>
      </w:r>
    </w:p>
    <w:p w14:paraId="107361B4">
      <w:pPr>
        <w:pStyle w:val="19"/>
        <w:keepNext w:val="0"/>
        <w:keepLines w:val="0"/>
        <w:pageBreakBefore w:val="0"/>
        <w:numPr>
          <w:ilvl w:val="1"/>
          <w:numId w:val="0"/>
        </w:numPr>
        <w:overflowPunct/>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（四）货物制造质量出现问题，乙方应负责三包(包修、包换、包退)，费用由乙方负担，甲方有权到产品生产厂家生产场地检查货物质量和生产进度。</w:t>
      </w:r>
      <w:bookmarkStart w:id="27" w:name="_Toc30764"/>
      <w:bookmarkStart w:id="28" w:name="_Toc217446110"/>
      <w:bookmarkStart w:id="29" w:name="_Toc16918"/>
      <w:bookmarkStart w:id="30" w:name="_Toc910"/>
      <w:bookmarkStart w:id="31" w:name="_Toc13403"/>
      <w:bookmarkStart w:id="32" w:name="_Toc4208"/>
      <w:bookmarkStart w:id="33" w:name="_Toc24606"/>
      <w:bookmarkStart w:id="34" w:name="_Toc25341"/>
      <w:bookmarkStart w:id="35" w:name="_Toc14046"/>
    </w:p>
    <w:p w14:paraId="547F7473">
      <w:pPr>
        <w:pStyle w:val="19"/>
        <w:keepNext w:val="0"/>
        <w:keepLines w:val="0"/>
        <w:pageBreakBefore w:val="0"/>
        <w:numPr>
          <w:ilvl w:val="1"/>
          <w:numId w:val="0"/>
        </w:numPr>
        <w:overflowPunct/>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四、履行期限及地点和方式、验收</w:t>
      </w:r>
      <w:bookmarkEnd w:id="27"/>
      <w:bookmarkEnd w:id="28"/>
      <w:bookmarkEnd w:id="29"/>
      <w:bookmarkEnd w:id="30"/>
      <w:bookmarkEnd w:id="31"/>
      <w:bookmarkEnd w:id="32"/>
      <w:bookmarkEnd w:id="33"/>
      <w:bookmarkEnd w:id="34"/>
      <w:bookmarkEnd w:id="35"/>
    </w:p>
    <w:p w14:paraId="7A9A9E49">
      <w:pPr>
        <w:pStyle w:val="19"/>
        <w:keepNext w:val="0"/>
        <w:keepLines w:val="0"/>
        <w:pageBreakBefore w:val="0"/>
        <w:numPr>
          <w:ilvl w:val="1"/>
          <w:numId w:val="0"/>
        </w:numPr>
        <w:overflowPunct/>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（一）履约期限：在政府采购合同签订生效后</w:t>
      </w:r>
      <w:r>
        <w:rPr>
          <w:rFonts w:hint="eastAsia" w:ascii="宋体" w:hAnsi="宋体" w:eastAsia="宋体" w:cs="宋体"/>
          <w:color w:val="auto"/>
          <w:sz w:val="21"/>
          <w:szCs w:val="21"/>
          <w:highlight w:val="none"/>
          <w:lang w:val="en-US" w:eastAsia="zh-CN"/>
        </w:rPr>
        <w:t>3</w:t>
      </w:r>
      <w:r>
        <w:rPr>
          <w:rFonts w:hint="eastAsia"/>
          <w:strike w:val="0"/>
          <w:dstrike w:val="0"/>
          <w:color w:val="auto"/>
          <w:highlight w:val="none"/>
          <w:lang w:val="en-US" w:eastAsia="zh-CN"/>
        </w:rPr>
        <w:t>0</w:t>
      </w:r>
      <w:r>
        <w:rPr>
          <w:rFonts w:hint="eastAsia" w:ascii="宋体" w:hAnsi="宋体" w:eastAsia="宋体" w:cs="宋体"/>
          <w:color w:val="auto"/>
          <w:sz w:val="21"/>
          <w:szCs w:val="21"/>
          <w:highlight w:val="none"/>
        </w:rPr>
        <w:t>个日历天内，完成交货、安装调试、培训并进入试运行，正常运行1个月后组织验收(如由于采购人的原因造成合同延迟签订或验收的，时间顺延)，交货验收时须提供产品合格证明材料。</w:t>
      </w:r>
    </w:p>
    <w:p w14:paraId="3031A25E">
      <w:pPr>
        <w:pStyle w:val="19"/>
        <w:keepNext w:val="0"/>
        <w:keepLines w:val="0"/>
        <w:pageBreakBefore w:val="0"/>
        <w:numPr>
          <w:ilvl w:val="1"/>
          <w:numId w:val="0"/>
        </w:numPr>
        <w:overflowPunct/>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（二）履约地点：甲方指定地点。</w:t>
      </w:r>
    </w:p>
    <w:p w14:paraId="706A4116">
      <w:pPr>
        <w:pStyle w:val="19"/>
        <w:keepNext w:val="0"/>
        <w:keepLines w:val="0"/>
        <w:pageBreakBefore w:val="0"/>
        <w:numPr>
          <w:ilvl w:val="1"/>
          <w:numId w:val="0"/>
        </w:numPr>
        <w:overflowPunct/>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（三）验收由甲方组织，乙方配合进行： </w:t>
      </w:r>
    </w:p>
    <w:p w14:paraId="2143219D">
      <w:pPr>
        <w:pStyle w:val="19"/>
        <w:keepNext w:val="0"/>
        <w:keepLines w:val="0"/>
        <w:pageBreakBefore w:val="0"/>
        <w:numPr>
          <w:ilvl w:val="1"/>
          <w:numId w:val="0"/>
        </w:numPr>
        <w:overflowPunct/>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验收标准：按国家有关规定以及项目竞争性谈判文件的质量要求和技术指标、乙方的响应文件及承诺与本合同约定标准进行验收；甲乙双方如对质量要求和技术指标的约定标准有相互抵触或异议的事项，由甲方在乙方的响应文件中按质量要求和技术指标比较优胜的原则确定该项的约定标准进行验收；</w:t>
      </w:r>
    </w:p>
    <w:p w14:paraId="3E2590CD">
      <w:pPr>
        <w:pStyle w:val="19"/>
        <w:keepNext w:val="0"/>
        <w:keepLines w:val="0"/>
        <w:pageBreakBefore w:val="0"/>
        <w:numPr>
          <w:ilvl w:val="1"/>
          <w:numId w:val="0"/>
        </w:numPr>
        <w:overflowPunct/>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验收时如发现所交付的货物有短装、次品、损坏或其它不符合标准及本合同规定之情形者，甲方应做出详尽的现场记录，或由甲乙双签署备忘录，此现场记录或备忘录可用作补充、缺失和更换损坏部件的有效证据，由此产生的时间延误与有关费用由乙方承担，验收期限相应顺延；</w:t>
      </w:r>
    </w:p>
    <w:p w14:paraId="54FE902B">
      <w:pPr>
        <w:pStyle w:val="19"/>
        <w:keepNext w:val="0"/>
        <w:keepLines w:val="0"/>
        <w:pageBreakBefore w:val="0"/>
        <w:numPr>
          <w:ilvl w:val="1"/>
          <w:numId w:val="0"/>
        </w:numPr>
        <w:overflowPunct/>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3.试运行期间发生重大质量问题，直接更换新设备，试用期结束后3天内完成最终验收；</w:t>
      </w:r>
    </w:p>
    <w:p w14:paraId="0A020567">
      <w:pPr>
        <w:pStyle w:val="19"/>
        <w:keepNext w:val="0"/>
        <w:keepLines w:val="0"/>
        <w:pageBreakBefore w:val="0"/>
        <w:numPr>
          <w:ilvl w:val="1"/>
          <w:numId w:val="0"/>
        </w:numPr>
        <w:overflowPunct/>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4.如质量验收合格，双方签署质量验收报告。</w:t>
      </w:r>
    </w:p>
    <w:p w14:paraId="4DD06152">
      <w:pPr>
        <w:pStyle w:val="19"/>
        <w:keepNext w:val="0"/>
        <w:keepLines w:val="0"/>
        <w:pageBreakBefore w:val="0"/>
        <w:numPr>
          <w:ilvl w:val="1"/>
          <w:numId w:val="0"/>
        </w:numPr>
        <w:overflowPunct/>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（四）乙方应将所提供货物的装箱清单、配件、随机工具、用户使用手册、原厂保修卡等资料交付给甲方；乙方不能完整交付货物及本款规定的单证和工具的，必须负责补齐，否则视为未按合同约定交货。</w:t>
      </w:r>
    </w:p>
    <w:p w14:paraId="14F12FC1">
      <w:pPr>
        <w:pStyle w:val="19"/>
        <w:keepNext w:val="0"/>
        <w:keepLines w:val="0"/>
        <w:pageBreakBefore w:val="0"/>
        <w:numPr>
          <w:ilvl w:val="1"/>
          <w:numId w:val="0"/>
        </w:numPr>
        <w:overflowPunct/>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其他未尽事宜应严格按照《财政部关于进一步加强政府采购需求和履约验收管理的指导意见》(财库〔2016〕205号)的要求进行验收。须符合国家有关规定、竞争性谈判文件的质量要求和技术指标、乙方的响应文件及承诺以及合同条款。</w:t>
      </w:r>
      <w:bookmarkStart w:id="36" w:name="_Toc217446111"/>
      <w:bookmarkStart w:id="37" w:name="_Toc13487"/>
      <w:bookmarkStart w:id="38" w:name="_Toc12397"/>
      <w:bookmarkStart w:id="39" w:name="_Toc30836"/>
      <w:bookmarkStart w:id="40" w:name="_Toc23384"/>
      <w:bookmarkStart w:id="41" w:name="_Toc27038"/>
      <w:bookmarkStart w:id="42" w:name="_Toc24040"/>
      <w:bookmarkStart w:id="43" w:name="_Toc17842"/>
      <w:bookmarkStart w:id="44" w:name="_Toc27152"/>
    </w:p>
    <w:p w14:paraId="2CB65C52">
      <w:pPr>
        <w:pStyle w:val="19"/>
        <w:keepNext w:val="0"/>
        <w:keepLines w:val="0"/>
        <w:pageBreakBefore w:val="0"/>
        <w:numPr>
          <w:ilvl w:val="1"/>
          <w:numId w:val="0"/>
        </w:numPr>
        <w:overflowPunct/>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五、付款方式</w:t>
      </w:r>
      <w:bookmarkEnd w:id="36"/>
      <w:bookmarkEnd w:id="37"/>
      <w:bookmarkEnd w:id="38"/>
      <w:bookmarkEnd w:id="39"/>
      <w:bookmarkEnd w:id="40"/>
      <w:bookmarkEnd w:id="41"/>
      <w:bookmarkEnd w:id="42"/>
      <w:bookmarkEnd w:id="43"/>
      <w:bookmarkEnd w:id="44"/>
    </w:p>
    <w:p w14:paraId="4309FB11">
      <w:pPr>
        <w:pStyle w:val="2"/>
        <w:tabs>
          <w:tab w:val="left" w:pos="0"/>
        </w:tabs>
        <w:spacing w:after="0" w:line="360" w:lineRule="auto"/>
        <w:ind w:firstLine="420" w:firstLineChars="200"/>
        <w:rPr>
          <w:rFonts w:hint="eastAsia" w:ascii="宋体" w:hAnsi="宋体" w:eastAsia="宋体" w:cs="宋体"/>
          <w:b/>
          <w:bCs/>
          <w:strike/>
          <w:dstrike w:val="0"/>
          <w:color w:val="FF0000"/>
          <w:sz w:val="21"/>
          <w:szCs w:val="21"/>
          <w:highlight w:val="cyan"/>
          <w:u w:val="single"/>
        </w:rPr>
      </w:pPr>
      <w:r>
        <w:rPr>
          <w:rFonts w:hint="eastAsia" w:ascii="宋体" w:hAnsi="宋体" w:eastAsia="宋体" w:cs="宋体"/>
          <w:color w:val="auto"/>
          <w:sz w:val="21"/>
          <w:szCs w:val="21"/>
          <w:highlight w:val="none"/>
        </w:rPr>
        <w:t>（一）</w:t>
      </w:r>
      <w:r>
        <w:rPr>
          <w:rFonts w:hint="eastAsia" w:ascii="宋体" w:hAnsi="宋体" w:eastAsia="宋体" w:cs="宋体"/>
          <w:sz w:val="21"/>
          <w:szCs w:val="21"/>
          <w:highlight w:val="none"/>
          <w:lang w:val="en-US" w:eastAsia="zh-CN"/>
        </w:rPr>
        <w:t>货物安装调试完毕并初步验收合格，甲方收到乙方验收资料与票据凭证，通过甲方付款流程后14日内，甲方向乙方支付合同总价40%的款项；项目正式验收合格后，通过甲方付款审签流程后14日内甲方向乙方支付合同总价60%的款项。</w:t>
      </w:r>
    </w:p>
    <w:p w14:paraId="06AD6E8B">
      <w:pPr>
        <w:keepNext w:val="0"/>
        <w:keepLines w:val="0"/>
        <w:pageBreakBefore w:val="0"/>
        <w:tabs>
          <w:tab w:val="left" w:pos="0"/>
        </w:tabs>
        <w:overflowPunct/>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二</w:t>
      </w:r>
      <w:r>
        <w:rPr>
          <w:rFonts w:hint="eastAsia" w:ascii="宋体" w:hAnsi="宋体" w:eastAsia="宋体" w:cs="宋体"/>
          <w:color w:val="auto"/>
          <w:sz w:val="21"/>
          <w:szCs w:val="21"/>
          <w:highlight w:val="none"/>
        </w:rPr>
        <w:t>）乙方须向甲方出具合法有效完整的完税发票及凭证资料后甲方才按约定付款，付款方式均采用公对公的银行转账，乙方接受转账的开户信息以本合同载明的为准。</w:t>
      </w:r>
      <w:bookmarkStart w:id="45" w:name="_Toc30733"/>
      <w:bookmarkStart w:id="46" w:name="_Toc18045"/>
      <w:bookmarkStart w:id="47" w:name="_Toc9108"/>
      <w:bookmarkStart w:id="48" w:name="_Toc217446112"/>
      <w:bookmarkStart w:id="49" w:name="_Toc14851"/>
      <w:bookmarkStart w:id="50" w:name="_Toc8259"/>
      <w:bookmarkStart w:id="51" w:name="_Toc29807"/>
      <w:bookmarkStart w:id="52" w:name="_Toc2843"/>
      <w:bookmarkStart w:id="53" w:name="_Toc906"/>
      <w:r>
        <w:rPr>
          <w:rFonts w:hint="eastAsia" w:ascii="宋体" w:hAnsi="宋体" w:eastAsia="宋体" w:cs="宋体"/>
          <w:color w:val="auto"/>
          <w:sz w:val="21"/>
          <w:szCs w:val="21"/>
          <w:highlight w:val="none"/>
        </w:rPr>
        <w:t>如因乙方未按照要求提供合法有效的发票导致逾期付款的，不视为甲方违约，甲方不承担任何责任。</w:t>
      </w:r>
    </w:p>
    <w:p w14:paraId="01A0FF69">
      <w:pPr>
        <w:keepNext w:val="0"/>
        <w:keepLines w:val="0"/>
        <w:pageBreakBefore w:val="0"/>
        <w:tabs>
          <w:tab w:val="left" w:pos="0"/>
        </w:tabs>
        <w:overflowPunct/>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六、售后服务</w:t>
      </w:r>
      <w:bookmarkEnd w:id="45"/>
      <w:bookmarkEnd w:id="46"/>
      <w:bookmarkEnd w:id="47"/>
      <w:bookmarkEnd w:id="48"/>
      <w:bookmarkEnd w:id="49"/>
      <w:bookmarkEnd w:id="50"/>
      <w:bookmarkEnd w:id="51"/>
      <w:bookmarkEnd w:id="52"/>
      <w:bookmarkEnd w:id="53"/>
    </w:p>
    <w:p w14:paraId="1D53D89F">
      <w:pPr>
        <w:pStyle w:val="20"/>
        <w:keepNext w:val="0"/>
        <w:keepLines w:val="0"/>
        <w:pageBreakBefore w:val="0"/>
        <w:overflowPunct/>
        <w:bidi w:val="0"/>
        <w:adjustRightInd/>
        <w:snapToGrid/>
        <w:spacing w:line="360" w:lineRule="auto"/>
        <w:ind w:firstLine="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（一）质保期为</w:t>
      </w:r>
      <w:r>
        <w:rPr>
          <w:rFonts w:hint="eastAsia" w:ascii="宋体" w:hAnsi="宋体" w:eastAsia="宋体" w:cs="宋体"/>
          <w:color w:val="auto"/>
          <w:sz w:val="21"/>
          <w:szCs w:val="21"/>
          <w:highlight w:val="none"/>
          <w:u w:val="single"/>
        </w:rPr>
        <w:t xml:space="preserve"> </w:t>
      </w:r>
      <w:r>
        <w:rPr>
          <w:rFonts w:hint="eastAsia"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kern w:val="0"/>
          <w:sz w:val="21"/>
          <w:szCs w:val="21"/>
          <w:highlight w:val="none"/>
          <w:lang w:bidi="ar"/>
        </w:rPr>
        <w:t>（质保期为验收合格之日起开始计算）。</w:t>
      </w:r>
      <w:r>
        <w:rPr>
          <w:rFonts w:hint="eastAsia" w:ascii="宋体" w:hAnsi="宋体" w:eastAsia="宋体" w:cs="宋体"/>
          <w:snapToGrid w:val="0"/>
          <w:color w:val="auto"/>
          <w:sz w:val="21"/>
          <w:szCs w:val="21"/>
          <w:highlight w:val="none"/>
        </w:rPr>
        <w:t>质保期内出现质量问题，乙方应在接到通知后0.5小时内响应，4小时内到达现场，1个工作日内完成维修或更换并承担修理调换的费用，未完成则需提供备用机。1个工作日内未能提供备用机，乙方应向甲方支付合同总价1%的违约金。</w:t>
      </w:r>
    </w:p>
    <w:p w14:paraId="2F570C45">
      <w:pPr>
        <w:keepNext w:val="0"/>
        <w:keepLines w:val="0"/>
        <w:pageBreakBefore w:val="0"/>
        <w:widowControl/>
        <w:tabs>
          <w:tab w:val="left" w:pos="0"/>
        </w:tabs>
        <w:kinsoku w:val="0"/>
        <w:overflowPunct/>
        <w:autoSpaceDE w:val="0"/>
        <w:autoSpaceDN w:val="0"/>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(二)乙方应保证项目全部货物的各种部件齐备、充足，逾期未完成维修或更换的，甲方按合同履约保证金总额的百分之</w:t>
      </w:r>
      <w:r>
        <w:rPr>
          <w:rFonts w:hint="eastAsia" w:ascii="宋体" w:hAnsi="宋体" w:eastAsia="宋体" w:cs="宋体"/>
          <w:color w:val="auto"/>
          <w:sz w:val="21"/>
          <w:szCs w:val="21"/>
          <w:highlight w:val="none"/>
          <w:u w:val="single"/>
        </w:rPr>
        <w:t>壹</w:t>
      </w:r>
      <w:r>
        <w:rPr>
          <w:rFonts w:hint="eastAsia" w:ascii="宋体" w:hAnsi="宋体" w:eastAsia="宋体" w:cs="宋体"/>
          <w:color w:val="auto"/>
          <w:sz w:val="21"/>
          <w:szCs w:val="21"/>
          <w:highlight w:val="none"/>
        </w:rPr>
        <w:t>/天的违约金予以扣除。</w:t>
      </w:r>
    </w:p>
    <w:p w14:paraId="36F623F0">
      <w:pPr>
        <w:keepNext w:val="0"/>
        <w:keepLines w:val="0"/>
        <w:pageBreakBefore w:val="0"/>
        <w:widowControl/>
        <w:tabs>
          <w:tab w:val="left" w:pos="0"/>
        </w:tabs>
        <w:kinsoku w:val="0"/>
        <w:overflowPunct/>
        <w:autoSpaceDE w:val="0"/>
        <w:autoSpaceDN w:val="0"/>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bidi="ar"/>
        </w:rPr>
      </w:pPr>
      <w:r>
        <w:rPr>
          <w:rFonts w:hint="eastAsia" w:ascii="宋体" w:hAnsi="宋体" w:eastAsia="宋体" w:cs="宋体"/>
          <w:color w:val="auto"/>
          <w:sz w:val="21"/>
          <w:szCs w:val="21"/>
          <w:highlight w:val="none"/>
        </w:rPr>
        <w:t>（三）</w:t>
      </w:r>
      <w:r>
        <w:rPr>
          <w:rFonts w:hint="eastAsia" w:ascii="宋体" w:hAnsi="宋体" w:eastAsia="宋体" w:cs="宋体"/>
          <w:color w:val="auto"/>
          <w:kern w:val="0"/>
          <w:sz w:val="21"/>
          <w:szCs w:val="21"/>
          <w:highlight w:val="none"/>
          <w:lang w:bidi="ar"/>
        </w:rPr>
        <w:t>如货物经乙方</w:t>
      </w:r>
      <w:r>
        <w:rPr>
          <w:rFonts w:hint="eastAsia" w:ascii="宋体" w:hAnsi="宋体" w:eastAsia="宋体" w:cs="宋体"/>
          <w:color w:val="auto"/>
          <w:kern w:val="0"/>
          <w:sz w:val="21"/>
          <w:szCs w:val="21"/>
          <w:highlight w:val="none"/>
          <w:u w:val="single"/>
          <w:lang w:bidi="ar"/>
        </w:rPr>
        <w:t xml:space="preserve"> 2 </w:t>
      </w:r>
      <w:r>
        <w:rPr>
          <w:rFonts w:hint="eastAsia" w:ascii="宋体" w:hAnsi="宋体" w:eastAsia="宋体" w:cs="宋体"/>
          <w:color w:val="auto"/>
          <w:kern w:val="0"/>
          <w:sz w:val="21"/>
          <w:szCs w:val="21"/>
          <w:highlight w:val="none"/>
          <w:lang w:bidi="ar"/>
        </w:rPr>
        <w:t>次维修仍不能达到合同约定的质量标准，甲方有权退货，并视作乙方违约，甲方可依法依合同追究乙方的违约责任。</w:t>
      </w:r>
    </w:p>
    <w:p w14:paraId="048D954D">
      <w:pPr>
        <w:keepNext w:val="0"/>
        <w:keepLines w:val="0"/>
        <w:pageBreakBefore w:val="0"/>
        <w:widowControl/>
        <w:tabs>
          <w:tab w:val="left" w:pos="0"/>
        </w:tabs>
        <w:kinsoku w:val="0"/>
        <w:overflowPunct/>
        <w:autoSpaceDE w:val="0"/>
        <w:autoSpaceDN w:val="0"/>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（四）甲乙双方须指派专人负责联系服务事宜，甲方联系人：</w:t>
      </w:r>
      <w:r>
        <w:rPr>
          <w:rFonts w:hint="eastAsia" w:ascii="宋体" w:hAnsi="宋体" w:eastAsia="宋体" w:cs="宋体"/>
          <w:color w:val="auto"/>
          <w:kern w:val="0"/>
          <w:sz w:val="21"/>
          <w:szCs w:val="21"/>
          <w:highlight w:val="none"/>
          <w:u w:val="single"/>
          <w:lang w:bidi="ar"/>
        </w:rPr>
        <w:t xml:space="preserve"> </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bidi="ar"/>
        </w:rPr>
        <w:t xml:space="preserve"> </w:t>
      </w:r>
      <w:r>
        <w:rPr>
          <w:rFonts w:hint="eastAsia" w:ascii="宋体" w:hAnsi="宋体" w:eastAsia="宋体" w:cs="宋体"/>
          <w:color w:val="auto"/>
          <w:kern w:val="0"/>
          <w:sz w:val="21"/>
          <w:szCs w:val="21"/>
          <w:highlight w:val="none"/>
          <w:lang w:bidi="ar"/>
        </w:rPr>
        <w:t>，联系电话：</w:t>
      </w:r>
      <w:r>
        <w:rPr>
          <w:rFonts w:hint="eastAsia" w:ascii="宋体" w:hAnsi="宋体" w:eastAsia="宋体" w:cs="宋体"/>
          <w:color w:val="auto"/>
          <w:kern w:val="0"/>
          <w:sz w:val="21"/>
          <w:szCs w:val="21"/>
          <w:highlight w:val="none"/>
          <w:u w:val="single"/>
          <w:lang w:bidi="ar"/>
        </w:rPr>
        <w:t xml:space="preserve"> </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bidi="ar"/>
        </w:rPr>
        <w:t xml:space="preserve"> </w:t>
      </w:r>
      <w:r>
        <w:rPr>
          <w:rFonts w:hint="eastAsia" w:ascii="宋体" w:hAnsi="宋体" w:eastAsia="宋体" w:cs="宋体"/>
          <w:color w:val="auto"/>
          <w:kern w:val="0"/>
          <w:sz w:val="21"/>
          <w:szCs w:val="21"/>
          <w:highlight w:val="none"/>
          <w:lang w:bidi="ar"/>
        </w:rPr>
        <w:t>；乙方联系人：</w:t>
      </w:r>
      <w:r>
        <w:rPr>
          <w:rFonts w:hint="eastAsia" w:ascii="宋体" w:hAnsi="宋体" w:eastAsia="宋体" w:cs="宋体"/>
          <w:color w:val="auto"/>
          <w:kern w:val="0"/>
          <w:sz w:val="21"/>
          <w:szCs w:val="21"/>
          <w:highlight w:val="none"/>
          <w:u w:val="single"/>
          <w:lang w:bidi="ar"/>
        </w:rPr>
        <w:t xml:space="preserve">         </w:t>
      </w:r>
      <w:r>
        <w:rPr>
          <w:rFonts w:hint="eastAsia" w:ascii="宋体" w:hAnsi="宋体" w:eastAsia="宋体" w:cs="宋体"/>
          <w:color w:val="auto"/>
          <w:kern w:val="0"/>
          <w:sz w:val="21"/>
          <w:szCs w:val="21"/>
          <w:highlight w:val="none"/>
          <w:lang w:bidi="ar"/>
        </w:rPr>
        <w:t>，联系电话：</w:t>
      </w:r>
      <w:r>
        <w:rPr>
          <w:rFonts w:hint="eastAsia" w:ascii="宋体" w:hAnsi="宋体" w:eastAsia="宋体" w:cs="宋体"/>
          <w:color w:val="auto"/>
          <w:kern w:val="0"/>
          <w:sz w:val="21"/>
          <w:szCs w:val="21"/>
          <w:highlight w:val="none"/>
          <w:u w:val="single"/>
          <w:lang w:bidi="ar"/>
        </w:rPr>
        <w:t xml:space="preserve">             </w:t>
      </w:r>
      <w:r>
        <w:rPr>
          <w:rFonts w:hint="eastAsia" w:ascii="宋体" w:hAnsi="宋体" w:eastAsia="宋体" w:cs="宋体"/>
          <w:color w:val="auto"/>
          <w:kern w:val="0"/>
          <w:sz w:val="21"/>
          <w:szCs w:val="21"/>
          <w:highlight w:val="none"/>
          <w:lang w:bidi="ar"/>
        </w:rPr>
        <w:t>。</w:t>
      </w:r>
      <w:bookmarkStart w:id="54" w:name="_Toc5119"/>
      <w:bookmarkStart w:id="55" w:name="_Toc12161"/>
      <w:bookmarkStart w:id="56" w:name="_Toc217446113"/>
      <w:bookmarkStart w:id="57" w:name="_Toc29284"/>
      <w:bookmarkStart w:id="58" w:name="_Toc3029"/>
      <w:bookmarkStart w:id="59" w:name="_Toc7772"/>
      <w:bookmarkStart w:id="60" w:name="_Toc26396"/>
      <w:bookmarkStart w:id="61" w:name="_Toc22018"/>
    </w:p>
    <w:p w14:paraId="074F682C">
      <w:pPr>
        <w:keepNext w:val="0"/>
        <w:keepLines w:val="0"/>
        <w:pageBreakBefore w:val="0"/>
        <w:widowControl/>
        <w:tabs>
          <w:tab w:val="left" w:pos="0"/>
        </w:tabs>
        <w:kinsoku w:val="0"/>
        <w:overflowPunct/>
        <w:autoSpaceDE w:val="0"/>
        <w:autoSpaceDN w:val="0"/>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七、违约责任</w:t>
      </w:r>
      <w:bookmarkEnd w:id="54"/>
      <w:bookmarkEnd w:id="55"/>
      <w:bookmarkEnd w:id="56"/>
      <w:bookmarkEnd w:id="57"/>
      <w:bookmarkEnd w:id="58"/>
      <w:bookmarkEnd w:id="59"/>
      <w:bookmarkEnd w:id="60"/>
      <w:bookmarkEnd w:id="61"/>
    </w:p>
    <w:p w14:paraId="67E0EE50">
      <w:pPr>
        <w:keepNext w:val="0"/>
        <w:keepLines w:val="0"/>
        <w:pageBreakBefore w:val="0"/>
        <w:widowControl/>
        <w:tabs>
          <w:tab w:val="left" w:pos="0"/>
        </w:tabs>
        <w:kinsoku w:val="0"/>
        <w:overflowPunct/>
        <w:autoSpaceDE w:val="0"/>
        <w:autoSpaceDN w:val="0"/>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（一）甲方违约责任</w:t>
      </w:r>
    </w:p>
    <w:p w14:paraId="4EE3AB6D">
      <w:pPr>
        <w:pStyle w:val="21"/>
        <w:keepNext w:val="0"/>
        <w:keepLines w:val="0"/>
        <w:pageBreakBefore w:val="0"/>
        <w:numPr>
          <w:ilvl w:val="2"/>
          <w:numId w:val="0"/>
        </w:numPr>
        <w:overflowPunct/>
        <w:bidi w:val="0"/>
        <w:adjustRightInd/>
        <w:snapToGrid/>
        <w:spacing w:line="360" w:lineRule="auto"/>
        <w:ind w:firstLine="420" w:firstLineChars="200"/>
        <w:textAlignment w:val="auto"/>
        <w:rPr>
          <w:rFonts w:hint="eastAsia" w:ascii="宋体" w:hAnsi="宋体" w:eastAsia="宋体" w:cs="宋体"/>
          <w:strike w:val="0"/>
          <w:dstrike w:val="0"/>
          <w:color w:val="auto"/>
          <w:sz w:val="21"/>
          <w:szCs w:val="21"/>
          <w:highlight w:val="none"/>
        </w:rPr>
      </w:pPr>
      <w:r>
        <w:rPr>
          <w:rFonts w:hint="eastAsia" w:ascii="宋体" w:hAnsi="宋体" w:eastAsia="宋体" w:cs="宋体"/>
          <w:color w:val="auto"/>
          <w:sz w:val="21"/>
          <w:szCs w:val="21"/>
          <w:highlight w:val="none"/>
        </w:rPr>
        <w:t>1.甲方逾期支付货款的，</w:t>
      </w:r>
      <w:r>
        <w:rPr>
          <w:rFonts w:hint="eastAsia" w:ascii="宋体" w:hAnsi="宋体" w:eastAsia="宋体" w:cs="宋体"/>
          <w:strike w:val="0"/>
          <w:dstrike w:val="0"/>
          <w:color w:val="auto"/>
          <w:sz w:val="21"/>
          <w:szCs w:val="21"/>
          <w:highlight w:val="none"/>
        </w:rPr>
        <w:t>除应及时付足货款外，应向乙方偿付欠款总额万分之</w:t>
      </w:r>
      <w:r>
        <w:rPr>
          <w:rFonts w:hint="eastAsia" w:cs="宋体"/>
          <w:b/>
          <w:bCs/>
          <w:strike w:val="0"/>
          <w:dstrike w:val="0"/>
          <w:color w:val="auto"/>
          <w:sz w:val="21"/>
          <w:szCs w:val="21"/>
          <w:highlight w:val="none"/>
          <w:u w:val="single"/>
          <w:lang w:val="en-US" w:eastAsia="zh-CN"/>
        </w:rPr>
        <w:t xml:space="preserve">  </w:t>
      </w:r>
      <w:r>
        <w:rPr>
          <w:rFonts w:hint="eastAsia" w:ascii="宋体" w:hAnsi="宋体" w:eastAsia="宋体" w:cs="宋体"/>
          <w:strike w:val="0"/>
          <w:dstrike w:val="0"/>
          <w:color w:val="auto"/>
          <w:sz w:val="21"/>
          <w:szCs w:val="21"/>
          <w:highlight w:val="none"/>
        </w:rPr>
        <w:t>/天的违约金；逾期付款超过</w:t>
      </w:r>
      <w:r>
        <w:rPr>
          <w:rFonts w:hint="eastAsia" w:cs="宋体"/>
          <w:strike w:val="0"/>
          <w:dstrike w:val="0"/>
          <w:color w:val="auto"/>
          <w:sz w:val="21"/>
          <w:szCs w:val="21"/>
          <w:highlight w:val="none"/>
          <w:u w:val="single"/>
          <w:lang w:val="en-US" w:eastAsia="zh-CN"/>
        </w:rPr>
        <w:t xml:space="preserve">   </w:t>
      </w:r>
      <w:r>
        <w:rPr>
          <w:rFonts w:hint="eastAsia" w:ascii="宋体" w:hAnsi="宋体" w:eastAsia="宋体" w:cs="宋体"/>
          <w:strike w:val="0"/>
          <w:dstrike w:val="0"/>
          <w:color w:val="auto"/>
          <w:sz w:val="21"/>
          <w:szCs w:val="21"/>
          <w:highlight w:val="none"/>
        </w:rPr>
        <w:t>天的，乙方有权解除本合同；</w:t>
      </w:r>
    </w:p>
    <w:p w14:paraId="5222C8AE">
      <w:pPr>
        <w:pStyle w:val="19"/>
        <w:keepNext w:val="0"/>
        <w:keepLines w:val="0"/>
        <w:pageBreakBefore w:val="0"/>
        <w:numPr>
          <w:ilvl w:val="1"/>
          <w:numId w:val="0"/>
        </w:numPr>
        <w:overflowPunct/>
        <w:bidi w:val="0"/>
        <w:adjustRightInd/>
        <w:snapToGrid/>
        <w:spacing w:line="360" w:lineRule="auto"/>
        <w:ind w:firstLine="420" w:firstLineChars="200"/>
        <w:textAlignment w:val="auto"/>
        <w:rPr>
          <w:rFonts w:hint="eastAsia" w:ascii="宋体" w:hAnsi="宋体" w:eastAsia="宋体" w:cs="宋体"/>
          <w:strike w:val="0"/>
          <w:dstrike w:val="0"/>
          <w:color w:val="auto"/>
          <w:sz w:val="21"/>
          <w:szCs w:val="21"/>
          <w:highlight w:val="none"/>
        </w:rPr>
      </w:pPr>
      <w:r>
        <w:rPr>
          <w:rFonts w:hint="eastAsia" w:ascii="宋体" w:hAnsi="宋体" w:eastAsia="宋体" w:cs="宋体"/>
          <w:strike w:val="0"/>
          <w:dstrike w:val="0"/>
          <w:color w:val="auto"/>
          <w:sz w:val="21"/>
          <w:szCs w:val="21"/>
          <w:highlight w:val="none"/>
        </w:rPr>
        <w:t>（二）乙方违约责任</w:t>
      </w:r>
    </w:p>
    <w:p w14:paraId="664ED215">
      <w:pPr>
        <w:pStyle w:val="21"/>
        <w:keepNext w:val="0"/>
        <w:keepLines w:val="0"/>
        <w:pageBreakBefore w:val="0"/>
        <w:numPr>
          <w:ilvl w:val="2"/>
          <w:numId w:val="0"/>
        </w:numPr>
        <w:overflowPunct/>
        <w:bidi w:val="0"/>
        <w:adjustRightInd/>
        <w:snapToGrid/>
        <w:spacing w:line="360" w:lineRule="auto"/>
        <w:ind w:firstLine="420" w:firstLineChars="200"/>
        <w:textAlignment w:val="auto"/>
        <w:rPr>
          <w:rFonts w:hint="eastAsia" w:ascii="宋体" w:hAnsi="宋体" w:eastAsia="宋体" w:cs="宋体"/>
          <w:strike w:val="0"/>
          <w:dstrike w:val="0"/>
          <w:color w:val="auto"/>
          <w:sz w:val="21"/>
          <w:szCs w:val="21"/>
          <w:highlight w:val="none"/>
        </w:rPr>
      </w:pPr>
      <w:r>
        <w:rPr>
          <w:rFonts w:hint="eastAsia" w:ascii="宋体" w:hAnsi="宋体" w:eastAsia="宋体" w:cs="宋体"/>
          <w:strike w:val="0"/>
          <w:dstrike w:val="0"/>
          <w:color w:val="auto"/>
          <w:sz w:val="21"/>
          <w:szCs w:val="21"/>
          <w:highlight w:val="none"/>
        </w:rPr>
        <w:t>1.乙方交付的货物质量不符合合同规定的，乙方须在合同规定的交货时间内更换合格的货物给甲方，否则，视作乙方不能交付货物而违约，按本条本款下述第“2”项规定由乙方偿付违约金给甲方。</w:t>
      </w:r>
    </w:p>
    <w:p w14:paraId="21DAAC2D">
      <w:pPr>
        <w:pStyle w:val="21"/>
        <w:keepNext w:val="0"/>
        <w:keepLines w:val="0"/>
        <w:pageBreakBefore w:val="0"/>
        <w:numPr>
          <w:ilvl w:val="2"/>
          <w:numId w:val="0"/>
        </w:numPr>
        <w:overflowPunct/>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strike w:val="0"/>
          <w:dstrike w:val="0"/>
          <w:color w:val="auto"/>
          <w:sz w:val="21"/>
          <w:szCs w:val="21"/>
          <w:highlight w:val="none"/>
        </w:rPr>
        <w:t>2.乙方不能交付货物或逾期交付货物而违约的，除应及时交足货物外，应向甲方偿付逾期交货部分货款总额的万分之</w:t>
      </w:r>
      <w:r>
        <w:rPr>
          <w:rFonts w:hint="eastAsia" w:cs="宋体"/>
          <w:b/>
          <w:bCs/>
          <w:strike w:val="0"/>
          <w:dstrike w:val="0"/>
          <w:color w:val="auto"/>
          <w:sz w:val="21"/>
          <w:szCs w:val="21"/>
          <w:highlight w:val="none"/>
          <w:u w:val="single"/>
          <w:lang w:val="en-US" w:eastAsia="zh-CN"/>
        </w:rPr>
        <w:t xml:space="preserve">    </w:t>
      </w:r>
      <w:r>
        <w:rPr>
          <w:rFonts w:hint="eastAsia" w:ascii="宋体" w:hAnsi="宋体" w:eastAsia="宋体" w:cs="宋体"/>
          <w:strike w:val="0"/>
          <w:dstrike w:val="0"/>
          <w:color w:val="auto"/>
          <w:sz w:val="21"/>
          <w:szCs w:val="21"/>
          <w:highlight w:val="none"/>
        </w:rPr>
        <w:t>/天的违约金；逾期交货超过</w:t>
      </w:r>
      <w:r>
        <w:rPr>
          <w:rFonts w:hint="eastAsia" w:cs="宋体"/>
          <w:strike w:val="0"/>
          <w:dstrike w:val="0"/>
          <w:color w:val="auto"/>
          <w:sz w:val="21"/>
          <w:szCs w:val="21"/>
          <w:highlight w:val="none"/>
          <w:u w:val="single"/>
          <w:lang w:val="en-US" w:eastAsia="zh-CN"/>
        </w:rPr>
        <w:t xml:space="preserve">   </w:t>
      </w:r>
      <w:r>
        <w:rPr>
          <w:rFonts w:hint="eastAsia" w:ascii="宋体" w:hAnsi="宋体" w:eastAsia="宋体" w:cs="宋体"/>
          <w:strike w:val="0"/>
          <w:dstrike w:val="0"/>
          <w:color w:val="auto"/>
          <w:sz w:val="21"/>
          <w:szCs w:val="21"/>
          <w:highlight w:val="none"/>
        </w:rPr>
        <w:t>天，甲方有权解除合同，乙方则应按合同总价的百分之</w:t>
      </w:r>
      <w:r>
        <w:rPr>
          <w:rFonts w:hint="eastAsia" w:cs="宋体"/>
          <w:b/>
          <w:bCs/>
          <w:strike w:val="0"/>
          <w:dstrike w:val="0"/>
          <w:color w:val="auto"/>
          <w:sz w:val="21"/>
          <w:szCs w:val="21"/>
          <w:highlight w:val="none"/>
          <w:u w:val="single"/>
          <w:lang w:val="en-US" w:eastAsia="zh-CN"/>
        </w:rPr>
        <w:t xml:space="preserve">    </w:t>
      </w:r>
      <w:r>
        <w:rPr>
          <w:rFonts w:hint="eastAsia" w:ascii="宋体" w:hAnsi="宋体" w:eastAsia="宋体" w:cs="宋体"/>
          <w:strike w:val="0"/>
          <w:dstrike w:val="0"/>
          <w:color w:val="auto"/>
          <w:sz w:val="21"/>
          <w:szCs w:val="21"/>
          <w:highlight w:val="none"/>
        </w:rPr>
        <w:t>的款额向甲方偿付违约金，并须全额退还甲方已经付给乙方的货款及其利息。若造成相关损失的，</w:t>
      </w:r>
      <w:r>
        <w:rPr>
          <w:rFonts w:hint="eastAsia" w:ascii="宋体" w:hAnsi="宋体" w:eastAsia="宋体" w:cs="宋体"/>
          <w:color w:val="auto"/>
          <w:sz w:val="21"/>
          <w:szCs w:val="21"/>
          <w:highlight w:val="none"/>
        </w:rPr>
        <w:t>甲方有权要求乙方承担所有赔偿责任。</w:t>
      </w:r>
    </w:p>
    <w:p w14:paraId="357527F0">
      <w:pPr>
        <w:pStyle w:val="21"/>
        <w:keepNext w:val="0"/>
        <w:keepLines w:val="0"/>
        <w:pageBreakBefore w:val="0"/>
        <w:numPr>
          <w:ilvl w:val="0"/>
          <w:numId w:val="0"/>
        </w:numPr>
        <w:overflowPunct/>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3.乙方货物经甲方送交具有法定资格条件的质量技术监督机构检测后，如检测结果认定货物质量不符合本合同规定标准的，则视为乙方没有按时交货而违约，乙方须在</w:t>
      </w:r>
      <w:r>
        <w:rPr>
          <w:rFonts w:hint="eastAsia" w:ascii="宋体" w:hAnsi="宋体" w:eastAsia="宋体" w:cs="宋体"/>
          <w:color w:val="auto"/>
          <w:sz w:val="21"/>
          <w:szCs w:val="21"/>
          <w:highlight w:val="none"/>
          <w:u w:val="single"/>
        </w:rPr>
        <w:t>15</w:t>
      </w:r>
      <w:r>
        <w:rPr>
          <w:rFonts w:hint="eastAsia" w:ascii="宋体" w:hAnsi="宋体" w:eastAsia="宋体" w:cs="宋体"/>
          <w:color w:val="auto"/>
          <w:sz w:val="21"/>
          <w:szCs w:val="21"/>
          <w:highlight w:val="none"/>
        </w:rPr>
        <w:t>天内无条件更换合格的货物，如逾期不能更换合格的货物，甲方有权解除本合同，乙方还应按本条本款上述第“2”项规定向甲方承担赔偿责任。</w:t>
      </w:r>
    </w:p>
    <w:p w14:paraId="4F69B8E3">
      <w:pPr>
        <w:pStyle w:val="21"/>
        <w:keepNext w:val="0"/>
        <w:keepLines w:val="0"/>
        <w:pageBreakBefore w:val="0"/>
        <w:numPr>
          <w:ilvl w:val="0"/>
          <w:numId w:val="0"/>
        </w:numPr>
        <w:overflowPunct/>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乙方保证本合同货物的权利无瑕疵，包括货物所有权及知识产权等权利无瑕疵。如任何第三方经法院(或仲裁机构)裁决有权对上述货物主张权利或国家机关依法对货物进行没收查封的，乙方除应向甲方返还已收款项外，还应另按本条本款上述第“2”项规定向甲方承担赔偿责任。</w:t>
      </w:r>
      <w:bookmarkStart w:id="62" w:name="_Toc31181"/>
      <w:bookmarkStart w:id="63" w:name="_Toc7980"/>
      <w:bookmarkStart w:id="64" w:name="_Toc29862"/>
      <w:bookmarkStart w:id="65" w:name="_Toc22826"/>
      <w:bookmarkStart w:id="66" w:name="_Toc30469"/>
      <w:bookmarkStart w:id="67" w:name="_Toc217446114"/>
      <w:bookmarkStart w:id="68" w:name="_Toc7150"/>
      <w:bookmarkStart w:id="69" w:name="_Toc19721"/>
      <w:bookmarkStart w:id="70" w:name="_Toc25607"/>
    </w:p>
    <w:p w14:paraId="6FF994C9">
      <w:pPr>
        <w:pStyle w:val="21"/>
        <w:keepNext w:val="0"/>
        <w:keepLines w:val="0"/>
        <w:pageBreakBefore w:val="0"/>
        <w:numPr>
          <w:ilvl w:val="0"/>
          <w:numId w:val="0"/>
        </w:numPr>
        <w:overflowPunct/>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5.乙方赔付的违约金不足以弥补甲方损失的，还应按甲方损失尚未弥补的部分，支付赔偿金给甲方。</w:t>
      </w:r>
    </w:p>
    <w:p w14:paraId="4F925600">
      <w:pPr>
        <w:pStyle w:val="21"/>
        <w:keepNext w:val="0"/>
        <w:keepLines w:val="0"/>
        <w:pageBreakBefore w:val="0"/>
        <w:numPr>
          <w:ilvl w:val="0"/>
          <w:numId w:val="0"/>
        </w:numPr>
        <w:overflowPunct/>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八、争议解决的方法</w:t>
      </w:r>
      <w:bookmarkEnd w:id="62"/>
      <w:bookmarkEnd w:id="63"/>
      <w:bookmarkEnd w:id="64"/>
      <w:bookmarkEnd w:id="65"/>
      <w:bookmarkEnd w:id="66"/>
      <w:bookmarkEnd w:id="67"/>
      <w:bookmarkEnd w:id="68"/>
      <w:bookmarkEnd w:id="69"/>
      <w:bookmarkEnd w:id="70"/>
    </w:p>
    <w:p w14:paraId="60D8A181">
      <w:pPr>
        <w:pStyle w:val="22"/>
        <w:keepNext w:val="0"/>
        <w:keepLines w:val="0"/>
        <w:pageBreakBefore w:val="0"/>
        <w:wordWrap w:val="0"/>
        <w:overflowPunct/>
        <w:topLinePunct/>
        <w:bidi w:val="0"/>
        <w:adjustRightInd/>
        <w:snapToGrid/>
        <w:spacing w:line="360" w:lineRule="auto"/>
        <w:ind w:firstLine="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1.因货物的质量问题发生争议，由甲方或其指定的第三方机构进行质量鉴定。货物符合标准的，鉴定费由甲方承担；货物不符合质量标准的，鉴定费由乙方承担。</w:t>
      </w:r>
    </w:p>
    <w:p w14:paraId="7BB711AC">
      <w:pPr>
        <w:keepNext w:val="0"/>
        <w:keepLines w:val="0"/>
        <w:pageBreakBefore w:val="0"/>
        <w:tabs>
          <w:tab w:val="left" w:pos="0"/>
        </w:tabs>
        <w:overflowPunct/>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2.合同履行期间，若双方发生争议，可协商或由有关部门调解解决，协商或调解不成的，双方均可向屏山县人民法院起诉。</w:t>
      </w:r>
    </w:p>
    <w:p w14:paraId="681A2258">
      <w:pPr>
        <w:keepNext w:val="0"/>
        <w:keepLines w:val="0"/>
        <w:pageBreakBefore w:val="0"/>
        <w:tabs>
          <w:tab w:val="left" w:pos="0"/>
        </w:tabs>
        <w:overflowPunct/>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九、其他</w:t>
      </w:r>
    </w:p>
    <w:p w14:paraId="3D82C5A6">
      <w:pPr>
        <w:pStyle w:val="19"/>
        <w:keepNext w:val="0"/>
        <w:keepLines w:val="0"/>
        <w:pageBreakBefore w:val="0"/>
        <w:numPr>
          <w:ilvl w:val="1"/>
          <w:numId w:val="0"/>
        </w:numPr>
        <w:overflowPunct/>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1.如有未尽事宜，由双方依法订立补充合同。</w:t>
      </w:r>
    </w:p>
    <w:p w14:paraId="005A0A4F">
      <w:pPr>
        <w:pStyle w:val="19"/>
        <w:keepNext w:val="0"/>
        <w:keepLines w:val="0"/>
        <w:pageBreakBefore w:val="0"/>
        <w:numPr>
          <w:ilvl w:val="1"/>
          <w:numId w:val="0"/>
        </w:numPr>
        <w:overflowPunct/>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2.本合同一式六份，自双方签章之日起生效。甲方执四份，乙方和采购代理机构各执一份。</w:t>
      </w:r>
    </w:p>
    <w:tbl>
      <w:tblPr>
        <w:tblStyle w:val="15"/>
        <w:tblW w:w="878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47"/>
        <w:gridCol w:w="4534"/>
      </w:tblGrid>
      <w:tr w14:paraId="52C30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47" w:type="dxa"/>
            <w:noWrap w:val="0"/>
            <w:vAlign w:val="center"/>
          </w:tcPr>
          <w:p w14:paraId="19C74B13">
            <w:pPr>
              <w:pStyle w:val="18"/>
              <w:keepNext w:val="0"/>
              <w:keepLines w:val="0"/>
              <w:pageBreakBefore w:val="0"/>
              <w:overflowPunct/>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w:t>
            </w:r>
            <w:r>
              <w:rPr>
                <w:rFonts w:hint="eastAsia"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(盖章)</w:t>
            </w:r>
          </w:p>
        </w:tc>
        <w:tc>
          <w:tcPr>
            <w:tcW w:w="4534" w:type="dxa"/>
            <w:noWrap w:val="0"/>
            <w:vAlign w:val="center"/>
          </w:tcPr>
          <w:p w14:paraId="72544EAD">
            <w:pPr>
              <w:pStyle w:val="18"/>
              <w:keepNext w:val="0"/>
              <w:keepLines w:val="0"/>
              <w:pageBreakBefore w:val="0"/>
              <w:overflowPunct/>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                   (盖章)</w:t>
            </w:r>
          </w:p>
        </w:tc>
      </w:tr>
      <w:tr w14:paraId="54F9C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47" w:type="dxa"/>
            <w:noWrap w:val="0"/>
            <w:vAlign w:val="center"/>
          </w:tcPr>
          <w:p w14:paraId="1BC69E55">
            <w:pPr>
              <w:pStyle w:val="18"/>
              <w:keepNext w:val="0"/>
              <w:keepLines w:val="0"/>
              <w:pageBreakBefore w:val="0"/>
              <w:overflowPunct/>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法定代表人(授权代表)：</w:t>
            </w:r>
          </w:p>
        </w:tc>
        <w:tc>
          <w:tcPr>
            <w:tcW w:w="4534" w:type="dxa"/>
            <w:noWrap w:val="0"/>
            <w:vAlign w:val="center"/>
          </w:tcPr>
          <w:p w14:paraId="27633095">
            <w:pPr>
              <w:pStyle w:val="18"/>
              <w:keepNext w:val="0"/>
              <w:keepLines w:val="0"/>
              <w:pageBreakBefore w:val="0"/>
              <w:overflowPunct/>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法定代表人(授权代表)：</w:t>
            </w:r>
          </w:p>
        </w:tc>
      </w:tr>
      <w:tr w14:paraId="675D6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2" w:hRule="exact"/>
          <w:jc w:val="center"/>
        </w:trPr>
        <w:tc>
          <w:tcPr>
            <w:tcW w:w="4247" w:type="dxa"/>
            <w:noWrap w:val="0"/>
            <w:vAlign w:val="center"/>
          </w:tcPr>
          <w:p w14:paraId="23E60C36">
            <w:pPr>
              <w:pStyle w:val="18"/>
              <w:keepNext w:val="0"/>
              <w:keepLines w:val="0"/>
              <w:pageBreakBefore w:val="0"/>
              <w:overflowPunct/>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地址(住所)：</w:t>
            </w:r>
          </w:p>
        </w:tc>
        <w:tc>
          <w:tcPr>
            <w:tcW w:w="4534" w:type="dxa"/>
            <w:noWrap w:val="0"/>
            <w:vAlign w:val="center"/>
          </w:tcPr>
          <w:p w14:paraId="3F8C9616">
            <w:pPr>
              <w:pStyle w:val="18"/>
              <w:keepNext w:val="0"/>
              <w:keepLines w:val="0"/>
              <w:pageBreakBefore w:val="0"/>
              <w:overflowPunct/>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地址(住所)：                    </w:t>
            </w:r>
          </w:p>
        </w:tc>
      </w:tr>
      <w:tr w14:paraId="17C17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2" w:hRule="exact"/>
          <w:jc w:val="center"/>
        </w:trPr>
        <w:tc>
          <w:tcPr>
            <w:tcW w:w="4247" w:type="dxa"/>
            <w:noWrap w:val="0"/>
            <w:vAlign w:val="center"/>
          </w:tcPr>
          <w:p w14:paraId="5BF2A606">
            <w:pPr>
              <w:pStyle w:val="18"/>
              <w:keepNext w:val="0"/>
              <w:keepLines w:val="0"/>
              <w:pageBreakBefore w:val="0"/>
              <w:overflowPunct/>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c>
          <w:tcPr>
            <w:tcW w:w="4534" w:type="dxa"/>
            <w:noWrap w:val="0"/>
            <w:vAlign w:val="center"/>
          </w:tcPr>
          <w:p w14:paraId="19612FA0">
            <w:pPr>
              <w:pStyle w:val="18"/>
              <w:keepNext w:val="0"/>
              <w:keepLines w:val="0"/>
              <w:pageBreakBefore w:val="0"/>
              <w:overflowPunct/>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开户银行：                      </w:t>
            </w:r>
          </w:p>
        </w:tc>
      </w:tr>
      <w:tr w14:paraId="2902C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47" w:type="dxa"/>
            <w:noWrap w:val="0"/>
            <w:vAlign w:val="center"/>
          </w:tcPr>
          <w:p w14:paraId="6D37252A">
            <w:pPr>
              <w:pStyle w:val="18"/>
              <w:keepNext w:val="0"/>
              <w:keepLines w:val="0"/>
              <w:pageBreakBefore w:val="0"/>
              <w:overflowPunct/>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账号：</w:t>
            </w:r>
          </w:p>
        </w:tc>
        <w:tc>
          <w:tcPr>
            <w:tcW w:w="4534" w:type="dxa"/>
            <w:noWrap w:val="0"/>
            <w:vAlign w:val="center"/>
          </w:tcPr>
          <w:p w14:paraId="2CA9F0E3">
            <w:pPr>
              <w:keepNext w:val="0"/>
              <w:keepLines w:val="0"/>
              <w:pageBreakBefore w:val="0"/>
              <w:tabs>
                <w:tab w:val="left" w:pos="0"/>
              </w:tabs>
              <w:overflowPunct/>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账号：                    </w:t>
            </w:r>
          </w:p>
        </w:tc>
      </w:tr>
      <w:tr w14:paraId="3FD1C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47" w:type="dxa"/>
            <w:noWrap w:val="0"/>
            <w:vAlign w:val="center"/>
          </w:tcPr>
          <w:p w14:paraId="6AA7DC38">
            <w:pPr>
              <w:pStyle w:val="18"/>
              <w:keepNext w:val="0"/>
              <w:keepLines w:val="0"/>
              <w:pageBreakBefore w:val="0"/>
              <w:overflowPunct/>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tc>
        <w:tc>
          <w:tcPr>
            <w:tcW w:w="4534" w:type="dxa"/>
            <w:noWrap w:val="0"/>
            <w:vAlign w:val="center"/>
          </w:tcPr>
          <w:p w14:paraId="0E44D483">
            <w:pPr>
              <w:pStyle w:val="18"/>
              <w:keepNext w:val="0"/>
              <w:keepLines w:val="0"/>
              <w:pageBreakBefore w:val="0"/>
              <w:overflowPunct/>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r>
              <w:rPr>
                <w:rFonts w:hint="eastAsia" w:ascii="宋体" w:hAnsi="宋体" w:eastAsia="宋体" w:cs="宋体"/>
                <w:color w:val="auto"/>
                <w:kern w:val="0"/>
                <w:sz w:val="21"/>
                <w:szCs w:val="21"/>
                <w:highlight w:val="none"/>
                <w:lang w:bidi="ar"/>
              </w:rPr>
              <w:t xml:space="preserve">                       </w:t>
            </w:r>
          </w:p>
        </w:tc>
      </w:tr>
      <w:tr w14:paraId="3E3A4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47" w:type="dxa"/>
            <w:noWrap w:val="0"/>
            <w:vAlign w:val="center"/>
          </w:tcPr>
          <w:p w14:paraId="4E165CB9">
            <w:pPr>
              <w:pStyle w:val="18"/>
              <w:keepNext w:val="0"/>
              <w:keepLines w:val="0"/>
              <w:pageBreakBefore w:val="0"/>
              <w:overflowPunct/>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w:t>
            </w:r>
          </w:p>
        </w:tc>
        <w:tc>
          <w:tcPr>
            <w:tcW w:w="4534" w:type="dxa"/>
            <w:noWrap w:val="0"/>
            <w:vAlign w:val="center"/>
          </w:tcPr>
          <w:p w14:paraId="62562AC1">
            <w:pPr>
              <w:pStyle w:val="18"/>
              <w:keepNext w:val="0"/>
              <w:keepLines w:val="0"/>
              <w:pageBreakBefore w:val="0"/>
              <w:overflowPunct/>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传真：               </w:t>
            </w:r>
          </w:p>
        </w:tc>
      </w:tr>
      <w:tr w14:paraId="46E1C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47" w:type="dxa"/>
            <w:noWrap w:val="0"/>
            <w:vAlign w:val="center"/>
          </w:tcPr>
          <w:p w14:paraId="62DB7E20">
            <w:pPr>
              <w:pStyle w:val="18"/>
              <w:keepNext w:val="0"/>
              <w:keepLines w:val="0"/>
              <w:pageBreakBefore w:val="0"/>
              <w:overflowPunct/>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签约日期：      年    月    日</w:t>
            </w:r>
          </w:p>
        </w:tc>
        <w:tc>
          <w:tcPr>
            <w:tcW w:w="4534" w:type="dxa"/>
            <w:noWrap w:val="0"/>
            <w:vAlign w:val="center"/>
          </w:tcPr>
          <w:p w14:paraId="77F7391F">
            <w:pPr>
              <w:pStyle w:val="18"/>
              <w:keepNext w:val="0"/>
              <w:keepLines w:val="0"/>
              <w:pageBreakBefore w:val="0"/>
              <w:overflowPunct/>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签约日期：      年    月    日</w:t>
            </w:r>
          </w:p>
        </w:tc>
      </w:tr>
    </w:tbl>
    <w:p w14:paraId="1512204A">
      <w:pPr>
        <w:tabs>
          <w:tab w:val="left" w:pos="0"/>
        </w:tabs>
        <w:adjustRightInd/>
        <w:snapToGrid/>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0"/>
          <w:szCs w:val="20"/>
          <w:highlight w:val="none"/>
        </w:rPr>
        <w:t>附件1:廉洁合同</w:t>
      </w:r>
    </w:p>
    <w:p w14:paraId="6EAFD39E">
      <w:pPr>
        <w:tabs>
          <w:tab w:val="left" w:pos="0"/>
        </w:tabs>
        <w:jc w:val="center"/>
        <w:rPr>
          <w:rFonts w:hint="eastAsia" w:cs="宋体"/>
          <w:b/>
          <w:color w:val="auto"/>
          <w:sz w:val="28"/>
          <w:szCs w:val="28"/>
          <w:highlight w:val="none"/>
        </w:rPr>
      </w:pPr>
      <w:r>
        <w:rPr>
          <w:rFonts w:hint="eastAsia" w:cs="宋体"/>
          <w:b/>
          <w:color w:val="auto"/>
          <w:sz w:val="28"/>
          <w:szCs w:val="28"/>
          <w:highlight w:val="none"/>
        </w:rPr>
        <w:t>医疗卫生机构医疗器械廉洁购销合同</w:t>
      </w:r>
    </w:p>
    <w:p w14:paraId="77D79F4F">
      <w:pPr>
        <w:tabs>
          <w:tab w:val="left" w:pos="0"/>
        </w:tabs>
        <w:spacing w:line="4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甲方（医疗卫生机构）：</w:t>
      </w:r>
    </w:p>
    <w:p w14:paraId="3ACE5165">
      <w:pPr>
        <w:tabs>
          <w:tab w:val="left" w:pos="0"/>
        </w:tabs>
        <w:spacing w:line="420" w:lineRule="exac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乙方（医疗设备经营企业）：                       </w:t>
      </w:r>
    </w:p>
    <w:p w14:paraId="7D79EBF4">
      <w:pPr>
        <w:tabs>
          <w:tab w:val="left" w:pos="0"/>
        </w:tabs>
        <w:spacing w:line="4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为进一步加强医疗卫生行风建设，规范医疗卫生机构购销行为，有效防范商业贿赂行为，营造公平交易、诚实守信的购销环境，经甲、乙双方签订本合同，并共同遵守：</w:t>
      </w:r>
    </w:p>
    <w:p w14:paraId="169BC7DB">
      <w:pPr>
        <w:tabs>
          <w:tab w:val="left" w:pos="0"/>
        </w:tabs>
        <w:spacing w:line="4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一、甲乙双方按照《民法典》及医疗器械购销合同约定购销医疗器械。</w:t>
      </w:r>
    </w:p>
    <w:p w14:paraId="1D146FB8">
      <w:pPr>
        <w:tabs>
          <w:tab w:val="left" w:pos="0"/>
        </w:tabs>
        <w:spacing w:line="4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二、甲方应当严格执行医疗器械购销合同验收、入库制度，对采购医疗器械进行查验，不得违反有关规定合同外采购、违价采购或从非规定渠道采购。</w:t>
      </w:r>
    </w:p>
    <w:p w14:paraId="04ECA442">
      <w:pPr>
        <w:tabs>
          <w:tab w:val="left" w:pos="0"/>
        </w:tabs>
        <w:spacing w:line="4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14:paraId="185AB9E9">
      <w:pPr>
        <w:tabs>
          <w:tab w:val="left" w:pos="0"/>
        </w:tabs>
        <w:spacing w:line="4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四、乙方不得以回扣、宴请等方式影响甲方工作人员采购或使用医疗器械的选择权不得在学术活动中提供旅游，超标准支付食宿费用。</w:t>
      </w:r>
    </w:p>
    <w:p w14:paraId="6D9CB3BB">
      <w:pPr>
        <w:tabs>
          <w:tab w:val="left" w:pos="0"/>
        </w:tabs>
        <w:spacing w:line="4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五、乙方指定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作为销售代表洽谈业务。销售代表必须在工作时间到甲方指定地点联系商谈，不得到住院部、门诊部、医技科室等推销医疗器械，不得借故到甲方相关领导、部门负责人及相关工作人员家中访谈并提供任何好处费。</w:t>
      </w:r>
    </w:p>
    <w:p w14:paraId="6495F44E">
      <w:pPr>
        <w:tabs>
          <w:tab w:val="left" w:pos="0"/>
        </w:tabs>
        <w:spacing w:line="4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乙方如违反本合同，一经发现，甲方有权终止购销合同，并向有关卫生健康行政部门报告。如乙方被列入商业贿赂不良记录，则严格按照《国家卫生计生委关于建立医药网领域商业贿赂不良记录的规定》（国卫法制发【2013】50号）相关规定处理。</w:t>
      </w:r>
    </w:p>
    <w:p w14:paraId="242B3CA4">
      <w:pPr>
        <w:tabs>
          <w:tab w:val="left" w:pos="0"/>
        </w:tabs>
        <w:spacing w:line="4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七、本合同作为医疗器械购销合同的重要组成部分，与购销合同一并执行，具有同等的法律效力。</w:t>
      </w:r>
    </w:p>
    <w:p w14:paraId="6143856A">
      <w:pPr>
        <w:tabs>
          <w:tab w:val="left" w:pos="0"/>
        </w:tabs>
        <w:spacing w:line="4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八、本合同一式六份，甲方四份、乙方一份，甲方纪检监察部门（基层医疗卫生机上报上级卫生健康行政部门）执一份，并从签订之日起生效。</w:t>
      </w:r>
    </w:p>
    <w:p w14:paraId="1A1737A3">
      <w:pPr>
        <w:tabs>
          <w:tab w:val="left" w:pos="0"/>
        </w:tabs>
        <w:spacing w:line="420" w:lineRule="exact"/>
        <w:ind w:left="4584" w:leftChars="83" w:hanging="4410" w:hangingChars="2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甲方（盖章）：屏山县人民医院               乙方（盖章）：                         </w:t>
      </w:r>
    </w:p>
    <w:p w14:paraId="7CD17831">
      <w:pPr>
        <w:tabs>
          <w:tab w:val="left" w:pos="0"/>
        </w:tabs>
        <w:spacing w:line="420" w:lineRule="exact"/>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法定代表人（负责人）：                     法定代表人：</w:t>
      </w:r>
    </w:p>
    <w:p w14:paraId="1D540190">
      <w:pPr>
        <w:tabs>
          <w:tab w:val="left" w:pos="0"/>
        </w:tabs>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经办人签名：                               经办人签名：</w:t>
      </w:r>
    </w:p>
    <w:p w14:paraId="17E7CAE9">
      <w:pPr>
        <w:pageBreakBefore w:val="0"/>
        <w:tabs>
          <w:tab w:val="left" w:pos="0"/>
        </w:tabs>
        <w:overflowPunct/>
        <w:bidi w:val="0"/>
        <w:adjustRightInd/>
        <w:snapToGrid/>
        <w:spacing w:line="360" w:lineRule="auto"/>
        <w:ind w:firstLine="630" w:firstLineChars="3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1"/>
          <w:szCs w:val="21"/>
          <w:highlight w:val="none"/>
        </w:rPr>
        <w:t>年    月   日                              年    月   日</w:t>
      </w:r>
    </w:p>
    <w:p w14:paraId="77D246A8">
      <w:pPr>
        <w:pStyle w:val="2"/>
        <w:tabs>
          <w:tab w:val="left" w:pos="0"/>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r>
        <w:rPr>
          <w:rFonts w:hint="eastAsia" w:ascii="宋体" w:hAnsi="宋体" w:eastAsia="宋体" w:cs="宋体"/>
          <w:color w:val="auto"/>
          <w:sz w:val="20"/>
          <w:szCs w:val="20"/>
          <w:highlight w:val="none"/>
        </w:rPr>
        <w:t>附件2：合同货物清单</w:t>
      </w:r>
    </w:p>
    <w:tbl>
      <w:tblPr>
        <w:tblStyle w:val="14"/>
        <w:tblW w:w="9926" w:type="dxa"/>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580"/>
        <w:gridCol w:w="1917"/>
        <w:gridCol w:w="1543"/>
        <w:gridCol w:w="1457"/>
        <w:gridCol w:w="517"/>
        <w:gridCol w:w="450"/>
        <w:gridCol w:w="966"/>
        <w:gridCol w:w="963"/>
        <w:gridCol w:w="705"/>
        <w:gridCol w:w="311"/>
        <w:gridCol w:w="517"/>
      </w:tblGrid>
      <w:tr w14:paraId="1BEF516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83" w:hRule="atLeast"/>
          <w:jc w:val="center"/>
        </w:trPr>
        <w:tc>
          <w:tcPr>
            <w:tcW w:w="580" w:type="dxa"/>
            <w:tcBorders>
              <w:top w:val="single" w:color="000000" w:sz="4" w:space="0"/>
              <w:left w:val="single" w:color="000000" w:sz="4" w:space="0"/>
              <w:bottom w:val="single" w:color="000000" w:sz="4" w:space="0"/>
              <w:right w:val="single" w:color="000000" w:sz="4" w:space="0"/>
            </w:tcBorders>
            <w:noWrap w:val="0"/>
            <w:vAlign w:val="center"/>
          </w:tcPr>
          <w:p w14:paraId="6EACB593">
            <w:pPr>
              <w:tabs>
                <w:tab w:val="left" w:pos="0"/>
              </w:tabs>
              <w:spacing w:line="240" w:lineRule="auto"/>
              <w:jc w:val="center"/>
              <w:rPr>
                <w:rFonts w:hint="eastAsia" w:ascii="宋体" w:hAnsi="宋体" w:eastAsia="宋体" w:cs="宋体"/>
                <w:snapToGrid w:val="0"/>
                <w:color w:val="auto"/>
                <w:sz w:val="20"/>
                <w:szCs w:val="20"/>
                <w:highlight w:val="none"/>
              </w:rPr>
            </w:pPr>
            <w:r>
              <w:rPr>
                <w:rFonts w:hint="eastAsia" w:ascii="宋体" w:hAnsi="宋体" w:eastAsia="宋体" w:cs="宋体"/>
                <w:snapToGrid w:val="0"/>
                <w:color w:val="auto"/>
                <w:sz w:val="20"/>
                <w:szCs w:val="20"/>
                <w:highlight w:val="none"/>
              </w:rPr>
              <w:t>序号</w:t>
            </w:r>
          </w:p>
        </w:tc>
        <w:tc>
          <w:tcPr>
            <w:tcW w:w="1917" w:type="dxa"/>
            <w:tcBorders>
              <w:top w:val="single" w:color="000000" w:sz="4" w:space="0"/>
              <w:left w:val="single" w:color="000000" w:sz="4" w:space="0"/>
              <w:bottom w:val="single" w:color="000000" w:sz="4" w:space="0"/>
              <w:right w:val="single" w:color="000000" w:sz="4" w:space="0"/>
            </w:tcBorders>
            <w:noWrap w:val="0"/>
            <w:vAlign w:val="center"/>
          </w:tcPr>
          <w:p w14:paraId="27C56269">
            <w:pPr>
              <w:tabs>
                <w:tab w:val="left" w:pos="0"/>
              </w:tabs>
              <w:spacing w:line="240" w:lineRule="auto"/>
              <w:jc w:val="center"/>
              <w:rPr>
                <w:rFonts w:hint="eastAsia" w:ascii="宋体" w:hAnsi="宋体" w:eastAsia="宋体" w:cs="宋体"/>
                <w:snapToGrid w:val="0"/>
                <w:color w:val="auto"/>
                <w:sz w:val="20"/>
                <w:szCs w:val="20"/>
                <w:highlight w:val="none"/>
              </w:rPr>
            </w:pPr>
            <w:r>
              <w:rPr>
                <w:rFonts w:hint="eastAsia" w:ascii="宋体" w:hAnsi="宋体" w:eastAsia="宋体" w:cs="宋体"/>
                <w:snapToGrid w:val="0"/>
                <w:color w:val="auto"/>
                <w:sz w:val="20"/>
                <w:szCs w:val="20"/>
                <w:highlight w:val="none"/>
              </w:rPr>
              <w:t>货物品名</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14:paraId="32B4DE08">
            <w:pPr>
              <w:tabs>
                <w:tab w:val="left" w:pos="0"/>
              </w:tabs>
              <w:spacing w:line="240" w:lineRule="auto"/>
              <w:jc w:val="center"/>
              <w:rPr>
                <w:rFonts w:hint="eastAsia" w:ascii="宋体" w:hAnsi="宋体" w:eastAsia="宋体" w:cs="宋体"/>
                <w:snapToGrid w:val="0"/>
                <w:color w:val="auto"/>
                <w:sz w:val="20"/>
                <w:szCs w:val="20"/>
                <w:highlight w:val="none"/>
              </w:rPr>
            </w:pPr>
            <w:r>
              <w:rPr>
                <w:rFonts w:hint="eastAsia" w:ascii="宋体" w:hAnsi="宋体" w:eastAsia="宋体" w:cs="宋体"/>
                <w:snapToGrid w:val="0"/>
                <w:color w:val="auto"/>
                <w:sz w:val="20"/>
                <w:szCs w:val="20"/>
                <w:highlight w:val="none"/>
              </w:rPr>
              <w:t>规格型号</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1DB3B425">
            <w:pPr>
              <w:tabs>
                <w:tab w:val="left" w:pos="0"/>
              </w:tabs>
              <w:spacing w:line="240" w:lineRule="auto"/>
              <w:jc w:val="center"/>
              <w:rPr>
                <w:rFonts w:hint="eastAsia" w:ascii="宋体" w:hAnsi="宋体" w:eastAsia="宋体" w:cs="宋体"/>
                <w:snapToGrid w:val="0"/>
                <w:color w:val="auto"/>
                <w:sz w:val="20"/>
                <w:szCs w:val="20"/>
                <w:highlight w:val="none"/>
              </w:rPr>
            </w:pPr>
            <w:r>
              <w:rPr>
                <w:rFonts w:hint="eastAsia" w:ascii="宋体" w:hAnsi="宋体" w:eastAsia="宋体" w:cs="宋体"/>
                <w:snapToGrid w:val="0"/>
                <w:color w:val="auto"/>
                <w:sz w:val="20"/>
                <w:szCs w:val="20"/>
                <w:highlight w:val="none"/>
              </w:rPr>
              <w:t>生产厂家</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14DC9AF1">
            <w:pPr>
              <w:tabs>
                <w:tab w:val="left" w:pos="0"/>
              </w:tabs>
              <w:spacing w:line="240" w:lineRule="auto"/>
              <w:jc w:val="center"/>
              <w:rPr>
                <w:rFonts w:hint="eastAsia" w:ascii="宋体" w:hAnsi="宋体" w:eastAsia="宋体" w:cs="宋体"/>
                <w:snapToGrid w:val="0"/>
                <w:color w:val="auto"/>
                <w:sz w:val="20"/>
                <w:szCs w:val="20"/>
                <w:highlight w:val="none"/>
              </w:rPr>
            </w:pPr>
            <w:r>
              <w:rPr>
                <w:rFonts w:hint="eastAsia" w:ascii="宋体" w:hAnsi="宋体" w:eastAsia="宋体" w:cs="宋体"/>
                <w:snapToGrid w:val="0"/>
                <w:color w:val="auto"/>
                <w:sz w:val="20"/>
                <w:szCs w:val="20"/>
                <w:highlight w:val="none"/>
              </w:rPr>
              <w:t>单位</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3F77A71B">
            <w:pPr>
              <w:tabs>
                <w:tab w:val="left" w:pos="0"/>
              </w:tabs>
              <w:spacing w:line="240" w:lineRule="auto"/>
              <w:jc w:val="center"/>
              <w:rPr>
                <w:rFonts w:hint="eastAsia" w:ascii="宋体" w:hAnsi="宋体" w:eastAsia="宋体" w:cs="宋体"/>
                <w:snapToGrid w:val="0"/>
                <w:color w:val="auto"/>
                <w:sz w:val="20"/>
                <w:szCs w:val="20"/>
                <w:highlight w:val="none"/>
              </w:rPr>
            </w:pPr>
            <w:r>
              <w:rPr>
                <w:rFonts w:hint="eastAsia" w:ascii="宋体" w:hAnsi="宋体" w:eastAsia="宋体" w:cs="宋体"/>
                <w:snapToGrid w:val="0"/>
                <w:color w:val="auto"/>
                <w:sz w:val="20"/>
                <w:szCs w:val="20"/>
                <w:highlight w:val="none"/>
              </w:rPr>
              <w:t>数量</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36967606">
            <w:pPr>
              <w:tabs>
                <w:tab w:val="left" w:pos="0"/>
              </w:tabs>
              <w:spacing w:line="240" w:lineRule="auto"/>
              <w:jc w:val="center"/>
              <w:rPr>
                <w:rFonts w:hint="eastAsia" w:ascii="宋体" w:hAnsi="宋体" w:eastAsia="宋体" w:cs="宋体"/>
                <w:snapToGrid w:val="0"/>
                <w:color w:val="auto"/>
                <w:sz w:val="20"/>
                <w:szCs w:val="20"/>
                <w:highlight w:val="none"/>
              </w:rPr>
            </w:pPr>
            <w:r>
              <w:rPr>
                <w:rFonts w:hint="eastAsia" w:ascii="宋体" w:hAnsi="宋体" w:eastAsia="宋体" w:cs="宋体"/>
                <w:snapToGrid w:val="0"/>
                <w:color w:val="auto"/>
                <w:sz w:val="20"/>
                <w:szCs w:val="20"/>
                <w:highlight w:val="none"/>
              </w:rPr>
              <w:t>单价</w:t>
            </w:r>
          </w:p>
          <w:p w14:paraId="3362ABA2">
            <w:pPr>
              <w:tabs>
                <w:tab w:val="left" w:pos="0"/>
              </w:tabs>
              <w:spacing w:line="240" w:lineRule="auto"/>
              <w:jc w:val="center"/>
              <w:rPr>
                <w:rFonts w:hint="eastAsia" w:ascii="宋体" w:hAnsi="宋体" w:eastAsia="宋体" w:cs="宋体"/>
                <w:snapToGrid w:val="0"/>
                <w:color w:val="auto"/>
                <w:sz w:val="20"/>
                <w:szCs w:val="20"/>
                <w:highlight w:val="none"/>
              </w:rPr>
            </w:pPr>
            <w:r>
              <w:rPr>
                <w:rFonts w:hint="eastAsia" w:ascii="宋体" w:hAnsi="宋体" w:eastAsia="宋体" w:cs="宋体"/>
                <w:snapToGrid w:val="0"/>
                <w:color w:val="auto"/>
                <w:sz w:val="20"/>
                <w:szCs w:val="20"/>
                <w:highlight w:val="none"/>
              </w:rPr>
              <w:t>（万元）</w:t>
            </w: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49E9ADF5">
            <w:pPr>
              <w:tabs>
                <w:tab w:val="left" w:pos="0"/>
              </w:tabs>
              <w:spacing w:line="240" w:lineRule="auto"/>
              <w:jc w:val="center"/>
              <w:rPr>
                <w:rFonts w:hint="eastAsia" w:ascii="宋体" w:hAnsi="宋体" w:eastAsia="宋体" w:cs="宋体"/>
                <w:snapToGrid w:val="0"/>
                <w:color w:val="auto"/>
                <w:sz w:val="20"/>
                <w:szCs w:val="20"/>
                <w:highlight w:val="none"/>
              </w:rPr>
            </w:pPr>
            <w:r>
              <w:rPr>
                <w:rFonts w:hint="eastAsia" w:ascii="宋体" w:hAnsi="宋体" w:eastAsia="宋体" w:cs="宋体"/>
                <w:snapToGrid w:val="0"/>
                <w:color w:val="auto"/>
                <w:sz w:val="20"/>
                <w:szCs w:val="20"/>
                <w:highlight w:val="none"/>
              </w:rPr>
              <w:t>总价</w:t>
            </w:r>
          </w:p>
          <w:p w14:paraId="3FECDCB1">
            <w:pPr>
              <w:tabs>
                <w:tab w:val="left" w:pos="0"/>
              </w:tabs>
              <w:spacing w:line="240" w:lineRule="auto"/>
              <w:jc w:val="center"/>
              <w:rPr>
                <w:rFonts w:hint="eastAsia" w:ascii="宋体" w:hAnsi="宋体" w:eastAsia="宋体" w:cs="宋体"/>
                <w:snapToGrid w:val="0"/>
                <w:color w:val="auto"/>
                <w:sz w:val="20"/>
                <w:szCs w:val="20"/>
                <w:highlight w:val="none"/>
              </w:rPr>
            </w:pPr>
            <w:r>
              <w:rPr>
                <w:rFonts w:hint="eastAsia" w:ascii="宋体" w:hAnsi="宋体" w:eastAsia="宋体" w:cs="宋体"/>
                <w:snapToGrid w:val="0"/>
                <w:color w:val="auto"/>
                <w:sz w:val="20"/>
                <w:szCs w:val="20"/>
                <w:highlight w:val="none"/>
              </w:rPr>
              <w:t>（万元）</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14:paraId="50B31B49">
            <w:pPr>
              <w:tabs>
                <w:tab w:val="left" w:pos="0"/>
              </w:tabs>
              <w:spacing w:line="240" w:lineRule="auto"/>
              <w:jc w:val="center"/>
              <w:rPr>
                <w:rFonts w:hint="eastAsia" w:ascii="宋体" w:hAnsi="宋体" w:eastAsia="宋体" w:cs="宋体"/>
                <w:snapToGrid w:val="0"/>
                <w:color w:val="auto"/>
                <w:sz w:val="20"/>
                <w:szCs w:val="20"/>
                <w:highlight w:val="none"/>
              </w:rPr>
            </w:pPr>
            <w:r>
              <w:rPr>
                <w:rFonts w:hint="eastAsia" w:ascii="宋体" w:hAnsi="宋体" w:eastAsia="宋体" w:cs="宋体"/>
                <w:snapToGrid w:val="0"/>
                <w:color w:val="auto"/>
                <w:sz w:val="20"/>
                <w:szCs w:val="20"/>
                <w:highlight w:val="none"/>
              </w:rPr>
              <w:t>随机</w:t>
            </w:r>
          </w:p>
          <w:p w14:paraId="2AE7855F">
            <w:pPr>
              <w:tabs>
                <w:tab w:val="left" w:pos="0"/>
              </w:tabs>
              <w:spacing w:line="240" w:lineRule="auto"/>
              <w:jc w:val="center"/>
              <w:rPr>
                <w:rFonts w:hint="eastAsia" w:ascii="宋体" w:hAnsi="宋体" w:eastAsia="宋体" w:cs="宋体"/>
                <w:snapToGrid w:val="0"/>
                <w:color w:val="auto"/>
                <w:sz w:val="20"/>
                <w:szCs w:val="20"/>
                <w:highlight w:val="none"/>
              </w:rPr>
            </w:pPr>
            <w:r>
              <w:rPr>
                <w:rFonts w:hint="eastAsia" w:ascii="宋体" w:hAnsi="宋体" w:eastAsia="宋体" w:cs="宋体"/>
                <w:snapToGrid w:val="0"/>
                <w:color w:val="auto"/>
                <w:sz w:val="20"/>
                <w:szCs w:val="20"/>
                <w:highlight w:val="none"/>
              </w:rPr>
              <w:t>配件</w:t>
            </w:r>
          </w:p>
        </w:tc>
        <w:tc>
          <w:tcPr>
            <w:tcW w:w="828" w:type="dxa"/>
            <w:gridSpan w:val="2"/>
            <w:tcBorders>
              <w:top w:val="single" w:color="000000" w:sz="4" w:space="0"/>
              <w:left w:val="single" w:color="000000" w:sz="4" w:space="0"/>
              <w:bottom w:val="single" w:color="000000" w:sz="4" w:space="0"/>
              <w:right w:val="single" w:color="000000" w:sz="4" w:space="0"/>
            </w:tcBorders>
            <w:noWrap w:val="0"/>
            <w:vAlign w:val="center"/>
          </w:tcPr>
          <w:p w14:paraId="018C2727">
            <w:pPr>
              <w:tabs>
                <w:tab w:val="left" w:pos="0"/>
              </w:tabs>
              <w:spacing w:line="240" w:lineRule="auto"/>
              <w:jc w:val="center"/>
              <w:rPr>
                <w:rFonts w:hint="eastAsia" w:ascii="宋体" w:hAnsi="宋体" w:eastAsia="宋体" w:cs="宋体"/>
                <w:snapToGrid w:val="0"/>
                <w:color w:val="auto"/>
                <w:sz w:val="20"/>
                <w:szCs w:val="20"/>
                <w:highlight w:val="none"/>
              </w:rPr>
            </w:pPr>
            <w:r>
              <w:rPr>
                <w:rFonts w:hint="eastAsia" w:ascii="宋体" w:hAnsi="宋体" w:eastAsia="宋体" w:cs="宋体"/>
                <w:snapToGrid w:val="0"/>
                <w:color w:val="auto"/>
                <w:sz w:val="20"/>
                <w:szCs w:val="20"/>
                <w:highlight w:val="none"/>
              </w:rPr>
              <w:t>交货期</w:t>
            </w:r>
          </w:p>
        </w:tc>
      </w:tr>
      <w:tr w14:paraId="3E7A19D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070" w:hRule="exact"/>
          <w:jc w:val="center"/>
        </w:trPr>
        <w:tc>
          <w:tcPr>
            <w:tcW w:w="580" w:type="dxa"/>
            <w:tcBorders>
              <w:top w:val="single" w:color="000000" w:sz="4" w:space="0"/>
              <w:left w:val="single" w:color="000000" w:sz="4" w:space="0"/>
              <w:bottom w:val="single" w:color="000000" w:sz="4" w:space="0"/>
              <w:right w:val="single" w:color="000000" w:sz="4" w:space="0"/>
            </w:tcBorders>
            <w:noWrap w:val="0"/>
            <w:vAlign w:val="center"/>
          </w:tcPr>
          <w:p w14:paraId="26C8EF69">
            <w:pPr>
              <w:tabs>
                <w:tab w:val="left" w:pos="0"/>
              </w:tabs>
              <w:spacing w:line="240" w:lineRule="auto"/>
              <w:jc w:val="center"/>
              <w:rPr>
                <w:rFonts w:hint="eastAsia" w:ascii="宋体" w:hAnsi="宋体" w:eastAsia="宋体" w:cs="宋体"/>
                <w:snapToGrid w:val="0"/>
                <w:color w:val="auto"/>
                <w:sz w:val="20"/>
                <w:szCs w:val="20"/>
                <w:highlight w:val="none"/>
              </w:rPr>
            </w:pPr>
            <w:r>
              <w:rPr>
                <w:rFonts w:hint="eastAsia" w:ascii="宋体" w:hAnsi="宋体" w:eastAsia="宋体" w:cs="宋体"/>
                <w:snapToGrid w:val="0"/>
                <w:color w:val="auto"/>
                <w:sz w:val="20"/>
                <w:szCs w:val="20"/>
                <w:highlight w:val="none"/>
              </w:rPr>
              <w:t>1</w:t>
            </w:r>
          </w:p>
        </w:tc>
        <w:tc>
          <w:tcPr>
            <w:tcW w:w="1917" w:type="dxa"/>
            <w:tcBorders>
              <w:top w:val="single" w:color="000000" w:sz="4" w:space="0"/>
              <w:left w:val="single" w:color="000000" w:sz="4" w:space="0"/>
              <w:bottom w:val="single" w:color="000000" w:sz="4" w:space="0"/>
              <w:right w:val="single" w:color="000000" w:sz="4" w:space="0"/>
            </w:tcBorders>
            <w:noWrap w:val="0"/>
            <w:vAlign w:val="center"/>
          </w:tcPr>
          <w:p w14:paraId="3B49888C">
            <w:pPr>
              <w:tabs>
                <w:tab w:val="left" w:pos="0"/>
              </w:tabs>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14:paraId="15123CFE">
            <w:pPr>
              <w:widowControl/>
              <w:tabs>
                <w:tab w:val="left" w:pos="0"/>
              </w:tabs>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7276B270">
            <w:pPr>
              <w:widowControl/>
              <w:tabs>
                <w:tab w:val="left" w:pos="0"/>
              </w:tabs>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 xml:space="preserve"> </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4F20D888">
            <w:pPr>
              <w:tabs>
                <w:tab w:val="left" w:pos="0"/>
              </w:tabs>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6552C63D">
            <w:pPr>
              <w:tabs>
                <w:tab w:val="left" w:pos="0"/>
              </w:tabs>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3BC488BD">
            <w:pPr>
              <w:widowControl/>
              <w:tabs>
                <w:tab w:val="left" w:pos="0"/>
              </w:tabs>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06B689AD">
            <w:pPr>
              <w:widowControl/>
              <w:tabs>
                <w:tab w:val="left" w:pos="0"/>
              </w:tabs>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p>
        </w:tc>
        <w:tc>
          <w:tcPr>
            <w:tcW w:w="705" w:type="dxa"/>
            <w:vMerge w:val="restart"/>
            <w:tcBorders>
              <w:top w:val="single" w:color="000000" w:sz="4" w:space="0"/>
              <w:left w:val="single" w:color="000000" w:sz="4" w:space="0"/>
              <w:right w:val="single" w:color="000000" w:sz="4" w:space="0"/>
            </w:tcBorders>
            <w:noWrap w:val="0"/>
            <w:vAlign w:val="center"/>
          </w:tcPr>
          <w:p w14:paraId="37B5BFCE">
            <w:pPr>
              <w:tabs>
                <w:tab w:val="left" w:pos="0"/>
              </w:tabs>
              <w:spacing w:line="480" w:lineRule="exact"/>
              <w:jc w:val="center"/>
              <w:rPr>
                <w:rFonts w:hint="eastAsia" w:ascii="宋体" w:hAnsi="宋体" w:eastAsia="宋体" w:cs="宋体"/>
                <w:snapToGrid w:val="0"/>
                <w:color w:val="auto"/>
                <w:sz w:val="20"/>
                <w:szCs w:val="20"/>
                <w:highlight w:val="none"/>
                <w:u w:val="single"/>
              </w:rPr>
            </w:pPr>
            <w:r>
              <w:rPr>
                <w:rFonts w:hint="eastAsia" w:ascii="宋体" w:hAnsi="宋体" w:eastAsia="宋体" w:cs="宋体"/>
                <w:snapToGrid w:val="0"/>
                <w:color w:val="auto"/>
                <w:sz w:val="20"/>
                <w:szCs w:val="20"/>
                <w:highlight w:val="none"/>
              </w:rPr>
              <w:t>见附件</w:t>
            </w:r>
          </w:p>
        </w:tc>
        <w:tc>
          <w:tcPr>
            <w:tcW w:w="828" w:type="dxa"/>
            <w:gridSpan w:val="2"/>
            <w:vMerge w:val="restart"/>
            <w:tcBorders>
              <w:top w:val="single" w:color="000000" w:sz="4" w:space="0"/>
              <w:left w:val="single" w:color="000000" w:sz="4" w:space="0"/>
              <w:right w:val="single" w:color="000000" w:sz="4" w:space="0"/>
            </w:tcBorders>
            <w:noWrap w:val="0"/>
            <w:vAlign w:val="center"/>
          </w:tcPr>
          <w:p w14:paraId="3026D600">
            <w:pPr>
              <w:tabs>
                <w:tab w:val="left" w:pos="0"/>
              </w:tabs>
              <w:spacing w:line="480" w:lineRule="exact"/>
              <w:jc w:val="center"/>
              <w:rPr>
                <w:rFonts w:hint="eastAsia" w:ascii="宋体" w:hAnsi="宋体" w:eastAsia="宋体" w:cs="宋体"/>
                <w:snapToGrid w:val="0"/>
                <w:color w:val="auto"/>
                <w:sz w:val="20"/>
                <w:szCs w:val="20"/>
                <w:highlight w:val="none"/>
              </w:rPr>
            </w:pPr>
            <w:r>
              <w:rPr>
                <w:rFonts w:hint="eastAsia" w:ascii="宋体" w:hAnsi="宋体" w:eastAsia="宋体" w:cs="宋体"/>
                <w:snapToGrid w:val="0"/>
                <w:color w:val="auto"/>
                <w:sz w:val="20"/>
                <w:szCs w:val="20"/>
                <w:highlight w:val="none"/>
              </w:rPr>
              <w:t>签订合同后   天内交货并安装调试完毕</w:t>
            </w:r>
          </w:p>
          <w:p w14:paraId="107B4AC5">
            <w:pPr>
              <w:tabs>
                <w:tab w:val="left" w:pos="0"/>
              </w:tabs>
              <w:spacing w:line="480" w:lineRule="exact"/>
              <w:jc w:val="center"/>
              <w:rPr>
                <w:rFonts w:hint="eastAsia" w:ascii="宋体" w:hAnsi="宋体" w:eastAsia="宋体" w:cs="宋体"/>
                <w:snapToGrid w:val="0"/>
                <w:color w:val="auto"/>
                <w:sz w:val="20"/>
                <w:szCs w:val="20"/>
                <w:highlight w:val="none"/>
              </w:rPr>
            </w:pPr>
          </w:p>
          <w:p w14:paraId="302DCF19">
            <w:pPr>
              <w:tabs>
                <w:tab w:val="left" w:pos="0"/>
              </w:tabs>
              <w:spacing w:line="480" w:lineRule="exact"/>
              <w:jc w:val="center"/>
              <w:rPr>
                <w:rFonts w:hint="eastAsia" w:ascii="宋体" w:hAnsi="宋体" w:eastAsia="宋体" w:cs="宋体"/>
                <w:snapToGrid w:val="0"/>
                <w:color w:val="auto"/>
                <w:sz w:val="20"/>
                <w:szCs w:val="20"/>
                <w:highlight w:val="none"/>
              </w:rPr>
            </w:pPr>
          </w:p>
          <w:p w14:paraId="2EBFC334">
            <w:pPr>
              <w:tabs>
                <w:tab w:val="left" w:pos="0"/>
              </w:tabs>
              <w:spacing w:line="480" w:lineRule="exact"/>
              <w:jc w:val="center"/>
              <w:rPr>
                <w:rFonts w:hint="eastAsia" w:ascii="宋体" w:hAnsi="宋体" w:eastAsia="宋体" w:cs="宋体"/>
                <w:snapToGrid w:val="0"/>
                <w:color w:val="auto"/>
                <w:sz w:val="20"/>
                <w:szCs w:val="20"/>
                <w:highlight w:val="none"/>
              </w:rPr>
            </w:pPr>
          </w:p>
          <w:p w14:paraId="57544DE1">
            <w:pPr>
              <w:tabs>
                <w:tab w:val="left" w:pos="0"/>
              </w:tabs>
              <w:spacing w:line="480" w:lineRule="exact"/>
              <w:jc w:val="center"/>
              <w:rPr>
                <w:rFonts w:hint="eastAsia" w:ascii="宋体" w:hAnsi="宋体" w:eastAsia="宋体" w:cs="宋体"/>
                <w:snapToGrid w:val="0"/>
                <w:color w:val="auto"/>
                <w:sz w:val="20"/>
                <w:szCs w:val="20"/>
                <w:highlight w:val="none"/>
              </w:rPr>
            </w:pPr>
          </w:p>
        </w:tc>
      </w:tr>
      <w:tr w14:paraId="2999BCC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005" w:hRule="exact"/>
          <w:jc w:val="center"/>
        </w:trPr>
        <w:tc>
          <w:tcPr>
            <w:tcW w:w="580" w:type="dxa"/>
            <w:tcBorders>
              <w:top w:val="single" w:color="000000" w:sz="4" w:space="0"/>
              <w:left w:val="single" w:color="000000" w:sz="4" w:space="0"/>
              <w:bottom w:val="single" w:color="000000" w:sz="4" w:space="0"/>
              <w:right w:val="single" w:color="000000" w:sz="4" w:space="0"/>
            </w:tcBorders>
            <w:noWrap w:val="0"/>
            <w:vAlign w:val="center"/>
          </w:tcPr>
          <w:p w14:paraId="0B5AC75B">
            <w:pPr>
              <w:tabs>
                <w:tab w:val="left" w:pos="0"/>
              </w:tabs>
              <w:spacing w:before="165" w:after="165" w:line="240" w:lineRule="auto"/>
              <w:jc w:val="center"/>
              <w:rPr>
                <w:rFonts w:hint="eastAsia" w:ascii="宋体" w:hAnsi="宋体" w:eastAsia="宋体" w:cs="宋体"/>
                <w:snapToGrid w:val="0"/>
                <w:color w:val="auto"/>
                <w:sz w:val="20"/>
                <w:szCs w:val="20"/>
                <w:highlight w:val="none"/>
              </w:rPr>
            </w:pPr>
            <w:r>
              <w:rPr>
                <w:rFonts w:hint="eastAsia" w:ascii="宋体" w:hAnsi="宋体" w:eastAsia="宋体" w:cs="宋体"/>
                <w:snapToGrid w:val="0"/>
                <w:color w:val="auto"/>
                <w:sz w:val="20"/>
                <w:szCs w:val="20"/>
                <w:highlight w:val="none"/>
              </w:rPr>
              <w:t>2</w:t>
            </w:r>
          </w:p>
        </w:tc>
        <w:tc>
          <w:tcPr>
            <w:tcW w:w="1917" w:type="dxa"/>
            <w:tcBorders>
              <w:top w:val="single" w:color="000000" w:sz="4" w:space="0"/>
              <w:left w:val="single" w:color="000000" w:sz="4" w:space="0"/>
              <w:bottom w:val="single" w:color="000000" w:sz="4" w:space="0"/>
              <w:right w:val="single" w:color="000000" w:sz="4" w:space="0"/>
            </w:tcBorders>
            <w:noWrap w:val="0"/>
            <w:vAlign w:val="center"/>
          </w:tcPr>
          <w:p w14:paraId="79D17E2C">
            <w:pPr>
              <w:widowControl/>
              <w:tabs>
                <w:tab w:val="left" w:pos="0"/>
              </w:tabs>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14:paraId="3E617D75">
            <w:pPr>
              <w:widowControl/>
              <w:tabs>
                <w:tab w:val="left" w:pos="0"/>
              </w:tabs>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5D2CC84F">
            <w:pPr>
              <w:widowControl/>
              <w:tabs>
                <w:tab w:val="left" w:pos="0"/>
              </w:tabs>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3B94B239">
            <w:pPr>
              <w:widowControl/>
              <w:tabs>
                <w:tab w:val="left" w:pos="0"/>
              </w:tabs>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2167D8C8">
            <w:pPr>
              <w:tabs>
                <w:tab w:val="left" w:pos="0"/>
              </w:tabs>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69E99276">
            <w:pPr>
              <w:widowControl/>
              <w:tabs>
                <w:tab w:val="left" w:pos="0"/>
              </w:tabs>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04801694">
            <w:pPr>
              <w:widowControl/>
              <w:tabs>
                <w:tab w:val="left" w:pos="0"/>
              </w:tabs>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p>
        </w:tc>
        <w:tc>
          <w:tcPr>
            <w:tcW w:w="705" w:type="dxa"/>
            <w:vMerge w:val="continue"/>
            <w:tcBorders>
              <w:left w:val="single" w:color="000000" w:sz="4" w:space="0"/>
              <w:right w:val="single" w:color="000000" w:sz="4" w:space="0"/>
            </w:tcBorders>
            <w:noWrap w:val="0"/>
            <w:vAlign w:val="center"/>
          </w:tcPr>
          <w:p w14:paraId="2533CCEF">
            <w:pPr>
              <w:tabs>
                <w:tab w:val="left" w:pos="0"/>
              </w:tabs>
              <w:spacing w:before="165" w:after="165" w:line="360" w:lineRule="auto"/>
              <w:jc w:val="center"/>
              <w:rPr>
                <w:rFonts w:hint="eastAsia" w:ascii="宋体" w:hAnsi="宋体" w:eastAsia="宋体" w:cs="宋体"/>
                <w:snapToGrid w:val="0"/>
                <w:color w:val="auto"/>
                <w:sz w:val="20"/>
                <w:szCs w:val="20"/>
                <w:highlight w:val="none"/>
              </w:rPr>
            </w:pPr>
          </w:p>
        </w:tc>
        <w:tc>
          <w:tcPr>
            <w:tcW w:w="828" w:type="dxa"/>
            <w:gridSpan w:val="2"/>
            <w:vMerge w:val="continue"/>
            <w:tcBorders>
              <w:left w:val="single" w:color="000000" w:sz="4" w:space="0"/>
              <w:right w:val="single" w:color="000000" w:sz="4" w:space="0"/>
            </w:tcBorders>
            <w:noWrap w:val="0"/>
            <w:vAlign w:val="center"/>
          </w:tcPr>
          <w:p w14:paraId="03EF8FB8">
            <w:pPr>
              <w:tabs>
                <w:tab w:val="left" w:pos="0"/>
              </w:tabs>
              <w:spacing w:line="480" w:lineRule="exact"/>
              <w:jc w:val="center"/>
              <w:rPr>
                <w:rFonts w:hint="eastAsia" w:ascii="宋体" w:hAnsi="宋体" w:eastAsia="宋体" w:cs="宋体"/>
                <w:snapToGrid w:val="0"/>
                <w:color w:val="auto"/>
                <w:sz w:val="20"/>
                <w:szCs w:val="20"/>
                <w:highlight w:val="none"/>
              </w:rPr>
            </w:pPr>
          </w:p>
        </w:tc>
      </w:tr>
      <w:tr w14:paraId="6073C9D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303" w:hRule="exact"/>
          <w:jc w:val="center"/>
        </w:trPr>
        <w:tc>
          <w:tcPr>
            <w:tcW w:w="580" w:type="dxa"/>
            <w:tcBorders>
              <w:top w:val="single" w:color="000000" w:sz="4" w:space="0"/>
              <w:left w:val="single" w:color="000000" w:sz="4" w:space="0"/>
              <w:bottom w:val="single" w:color="000000" w:sz="4" w:space="0"/>
              <w:right w:val="single" w:color="000000" w:sz="4" w:space="0"/>
            </w:tcBorders>
            <w:noWrap w:val="0"/>
            <w:vAlign w:val="center"/>
          </w:tcPr>
          <w:p w14:paraId="4AF52112">
            <w:pPr>
              <w:tabs>
                <w:tab w:val="left" w:pos="0"/>
              </w:tabs>
              <w:spacing w:line="240" w:lineRule="auto"/>
              <w:jc w:val="center"/>
              <w:rPr>
                <w:rFonts w:hint="eastAsia" w:ascii="宋体" w:hAnsi="宋体" w:eastAsia="宋体" w:cs="宋体"/>
                <w:snapToGrid w:val="0"/>
                <w:color w:val="auto"/>
                <w:sz w:val="20"/>
                <w:szCs w:val="20"/>
                <w:highlight w:val="none"/>
              </w:rPr>
            </w:pPr>
            <w:r>
              <w:rPr>
                <w:rFonts w:hint="eastAsia" w:ascii="宋体" w:hAnsi="宋体" w:eastAsia="宋体" w:cs="宋体"/>
                <w:snapToGrid w:val="0"/>
                <w:color w:val="auto"/>
                <w:sz w:val="20"/>
                <w:szCs w:val="20"/>
                <w:highlight w:val="none"/>
              </w:rPr>
              <w:t>3</w:t>
            </w:r>
          </w:p>
        </w:tc>
        <w:tc>
          <w:tcPr>
            <w:tcW w:w="1917" w:type="dxa"/>
            <w:tcBorders>
              <w:top w:val="single" w:color="000000" w:sz="4" w:space="0"/>
              <w:left w:val="single" w:color="000000" w:sz="4" w:space="0"/>
              <w:bottom w:val="single" w:color="000000" w:sz="4" w:space="0"/>
              <w:right w:val="single" w:color="000000" w:sz="4" w:space="0"/>
            </w:tcBorders>
            <w:noWrap w:val="0"/>
            <w:vAlign w:val="center"/>
          </w:tcPr>
          <w:p w14:paraId="4E82CF97">
            <w:pPr>
              <w:widowControl/>
              <w:tabs>
                <w:tab w:val="left" w:pos="0"/>
              </w:tabs>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p>
        </w:tc>
        <w:tc>
          <w:tcPr>
            <w:tcW w:w="1543" w:type="dxa"/>
            <w:tcBorders>
              <w:top w:val="single" w:color="000000" w:sz="4" w:space="0"/>
              <w:left w:val="single" w:color="000000" w:sz="4" w:space="0"/>
              <w:bottom w:val="single" w:color="000000" w:sz="4" w:space="0"/>
              <w:right w:val="single" w:color="000000" w:sz="4" w:space="0"/>
            </w:tcBorders>
            <w:noWrap w:val="0"/>
            <w:vAlign w:val="center"/>
          </w:tcPr>
          <w:p w14:paraId="4ED8B4CF">
            <w:pPr>
              <w:widowControl/>
              <w:tabs>
                <w:tab w:val="left" w:pos="0"/>
              </w:tabs>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p>
        </w:tc>
        <w:tc>
          <w:tcPr>
            <w:tcW w:w="1457" w:type="dxa"/>
            <w:tcBorders>
              <w:top w:val="single" w:color="000000" w:sz="4" w:space="0"/>
              <w:left w:val="single" w:color="000000" w:sz="4" w:space="0"/>
              <w:bottom w:val="single" w:color="000000" w:sz="4" w:space="0"/>
              <w:right w:val="single" w:color="000000" w:sz="4" w:space="0"/>
            </w:tcBorders>
            <w:noWrap w:val="0"/>
            <w:vAlign w:val="center"/>
          </w:tcPr>
          <w:p w14:paraId="01CAE117">
            <w:pPr>
              <w:widowControl/>
              <w:tabs>
                <w:tab w:val="left" w:pos="0"/>
              </w:tabs>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p>
        </w:tc>
        <w:tc>
          <w:tcPr>
            <w:tcW w:w="517" w:type="dxa"/>
            <w:tcBorders>
              <w:top w:val="single" w:color="000000" w:sz="4" w:space="0"/>
              <w:left w:val="single" w:color="000000" w:sz="4" w:space="0"/>
              <w:bottom w:val="single" w:color="000000" w:sz="4" w:space="0"/>
              <w:right w:val="single" w:color="000000" w:sz="4" w:space="0"/>
            </w:tcBorders>
            <w:noWrap w:val="0"/>
            <w:vAlign w:val="center"/>
          </w:tcPr>
          <w:p w14:paraId="77EB7446">
            <w:pPr>
              <w:widowControl/>
              <w:tabs>
                <w:tab w:val="left" w:pos="0"/>
              </w:tabs>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14:paraId="1C2506AF">
            <w:pPr>
              <w:widowControl/>
              <w:tabs>
                <w:tab w:val="left" w:pos="0"/>
              </w:tabs>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4AF9912F">
            <w:pPr>
              <w:widowControl/>
              <w:tabs>
                <w:tab w:val="left" w:pos="0"/>
              </w:tabs>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p>
        </w:tc>
        <w:tc>
          <w:tcPr>
            <w:tcW w:w="963" w:type="dxa"/>
            <w:tcBorders>
              <w:top w:val="single" w:color="000000" w:sz="4" w:space="0"/>
              <w:left w:val="single" w:color="000000" w:sz="4" w:space="0"/>
              <w:bottom w:val="single" w:color="000000" w:sz="4" w:space="0"/>
              <w:right w:val="single" w:color="000000" w:sz="4" w:space="0"/>
            </w:tcBorders>
            <w:noWrap w:val="0"/>
            <w:vAlign w:val="center"/>
          </w:tcPr>
          <w:p w14:paraId="7E08D5D9">
            <w:pPr>
              <w:widowControl/>
              <w:tabs>
                <w:tab w:val="left" w:pos="0"/>
              </w:tabs>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p>
        </w:tc>
        <w:tc>
          <w:tcPr>
            <w:tcW w:w="705" w:type="dxa"/>
            <w:vMerge w:val="continue"/>
            <w:tcBorders>
              <w:left w:val="single" w:color="000000" w:sz="4" w:space="0"/>
              <w:right w:val="single" w:color="000000" w:sz="4" w:space="0"/>
            </w:tcBorders>
            <w:noWrap w:val="0"/>
            <w:vAlign w:val="center"/>
          </w:tcPr>
          <w:p w14:paraId="7F198322">
            <w:pPr>
              <w:tabs>
                <w:tab w:val="left" w:pos="0"/>
              </w:tabs>
              <w:spacing w:line="480" w:lineRule="exact"/>
              <w:jc w:val="center"/>
              <w:rPr>
                <w:rFonts w:hint="eastAsia" w:ascii="宋体" w:hAnsi="宋体" w:eastAsia="宋体" w:cs="宋体"/>
                <w:snapToGrid w:val="0"/>
                <w:color w:val="auto"/>
                <w:sz w:val="20"/>
                <w:szCs w:val="20"/>
                <w:highlight w:val="none"/>
              </w:rPr>
            </w:pPr>
          </w:p>
        </w:tc>
        <w:tc>
          <w:tcPr>
            <w:tcW w:w="828" w:type="dxa"/>
            <w:gridSpan w:val="2"/>
            <w:vMerge w:val="continue"/>
            <w:tcBorders>
              <w:left w:val="single" w:color="000000" w:sz="4" w:space="0"/>
              <w:right w:val="single" w:color="000000" w:sz="4" w:space="0"/>
            </w:tcBorders>
            <w:noWrap w:val="0"/>
            <w:vAlign w:val="center"/>
          </w:tcPr>
          <w:p w14:paraId="6ECA5D53">
            <w:pPr>
              <w:tabs>
                <w:tab w:val="left" w:pos="0"/>
              </w:tabs>
              <w:spacing w:line="480" w:lineRule="exact"/>
              <w:jc w:val="center"/>
              <w:rPr>
                <w:rFonts w:hint="eastAsia" w:ascii="宋体" w:hAnsi="宋体" w:eastAsia="宋体" w:cs="宋体"/>
                <w:snapToGrid w:val="0"/>
                <w:color w:val="auto"/>
                <w:sz w:val="20"/>
                <w:szCs w:val="20"/>
                <w:highlight w:val="none"/>
              </w:rPr>
            </w:pPr>
          </w:p>
        </w:tc>
      </w:tr>
      <w:tr w14:paraId="69B4E24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9409" w:type="dxa"/>
            <w:gridSpan w:val="10"/>
            <w:tcBorders>
              <w:top w:val="single" w:color="000000" w:sz="4" w:space="0"/>
              <w:left w:val="single" w:color="000000" w:sz="4" w:space="0"/>
              <w:bottom w:val="single" w:color="000000" w:sz="4" w:space="0"/>
              <w:right w:val="single" w:color="auto" w:sz="4" w:space="0"/>
            </w:tcBorders>
            <w:noWrap w:val="0"/>
            <w:vAlign w:val="center"/>
          </w:tcPr>
          <w:p w14:paraId="6F1B2DDB">
            <w:pPr>
              <w:tabs>
                <w:tab w:val="left" w:pos="0"/>
              </w:tabs>
              <w:spacing w:line="480" w:lineRule="exact"/>
              <w:jc w:val="center"/>
              <w:rPr>
                <w:rFonts w:hint="eastAsia" w:ascii="宋体" w:hAnsi="宋体" w:eastAsia="宋体" w:cs="宋体"/>
                <w:snapToGrid w:val="0"/>
                <w:color w:val="auto"/>
                <w:sz w:val="20"/>
                <w:szCs w:val="20"/>
                <w:highlight w:val="none"/>
              </w:rPr>
            </w:pPr>
            <w:r>
              <w:rPr>
                <w:rFonts w:hint="eastAsia" w:ascii="宋体" w:hAnsi="宋体" w:eastAsia="宋体" w:cs="宋体"/>
                <w:snapToGrid w:val="0"/>
                <w:color w:val="auto"/>
                <w:sz w:val="20"/>
                <w:szCs w:val="20"/>
                <w:highlight w:val="none"/>
              </w:rPr>
              <w:t>合计大写人民币:</w:t>
            </w:r>
            <w:r>
              <w:rPr>
                <w:rFonts w:hint="eastAsia" w:ascii="宋体" w:hAnsi="宋体" w:eastAsia="宋体" w:cs="宋体"/>
                <w:color w:val="auto"/>
                <w:sz w:val="20"/>
                <w:szCs w:val="20"/>
                <w:highlight w:val="none"/>
                <w:u w:val="single"/>
              </w:rPr>
              <w:t xml:space="preserve">           </w:t>
            </w:r>
            <w:r>
              <w:rPr>
                <w:rFonts w:hint="eastAsia" w:ascii="宋体" w:hAnsi="宋体" w:eastAsia="宋体" w:cs="宋体"/>
                <w:snapToGrid w:val="0"/>
                <w:color w:val="auto"/>
                <w:sz w:val="20"/>
                <w:szCs w:val="20"/>
                <w:highlight w:val="none"/>
                <w:u w:val="single"/>
              </w:rPr>
              <w:t>元整</w:t>
            </w:r>
            <w:r>
              <w:rPr>
                <w:rFonts w:hint="eastAsia" w:ascii="宋体" w:hAnsi="宋体" w:eastAsia="宋体" w:cs="宋体"/>
                <w:snapToGrid w:val="0"/>
                <w:color w:val="auto"/>
                <w:sz w:val="20"/>
                <w:szCs w:val="20"/>
                <w:highlight w:val="none"/>
              </w:rPr>
              <w:t>(</w:t>
            </w:r>
            <w:r>
              <w:rPr>
                <w:rFonts w:hint="eastAsia" w:ascii="宋体" w:hAnsi="宋体" w:eastAsia="宋体" w:cs="宋体"/>
                <w:snapToGrid w:val="0"/>
                <w:color w:val="auto"/>
                <w:sz w:val="20"/>
                <w:szCs w:val="20"/>
                <w:highlight w:val="none"/>
                <w:u w:val="single"/>
              </w:rPr>
              <w:t>￥:      元)</w:t>
            </w:r>
          </w:p>
        </w:tc>
        <w:tc>
          <w:tcPr>
            <w:tcW w:w="517" w:type="dxa"/>
            <w:tcBorders>
              <w:top w:val="single" w:color="000000" w:sz="4" w:space="0"/>
              <w:left w:val="single" w:color="000000" w:sz="4" w:space="0"/>
              <w:bottom w:val="single" w:color="000000" w:sz="4" w:space="0"/>
              <w:right w:val="single" w:color="auto" w:sz="4" w:space="0"/>
            </w:tcBorders>
            <w:noWrap w:val="0"/>
            <w:vAlign w:val="center"/>
          </w:tcPr>
          <w:p w14:paraId="06A6D48C">
            <w:pPr>
              <w:tabs>
                <w:tab w:val="left" w:pos="0"/>
              </w:tabs>
              <w:spacing w:line="480" w:lineRule="exact"/>
              <w:jc w:val="center"/>
              <w:rPr>
                <w:rFonts w:hint="eastAsia" w:ascii="宋体" w:hAnsi="宋体" w:eastAsia="宋体" w:cs="宋体"/>
                <w:snapToGrid w:val="0"/>
                <w:color w:val="auto"/>
                <w:sz w:val="20"/>
                <w:szCs w:val="20"/>
                <w:highlight w:val="none"/>
              </w:rPr>
            </w:pPr>
          </w:p>
        </w:tc>
      </w:tr>
    </w:tbl>
    <w:p w14:paraId="58DD69BB">
      <w:pPr>
        <w:pStyle w:val="17"/>
        <w:pageBreakBefore w:val="0"/>
        <w:kinsoku/>
        <w:wordWrap/>
        <w:overflowPunct/>
        <w:topLinePunct w:val="0"/>
        <w:autoSpaceDE/>
        <w:autoSpaceDN/>
        <w:bidi w:val="0"/>
        <w:adjustRightInd/>
        <w:snapToGrid/>
        <w:spacing w:line="360" w:lineRule="auto"/>
        <w:rPr>
          <w:rFonts w:hint="eastAsia" w:ascii="宋体" w:hAnsi="宋体"/>
          <w:b/>
          <w:color w:val="auto"/>
          <w:szCs w:val="21"/>
          <w:highlight w:val="none"/>
        </w:rPr>
      </w:pPr>
    </w:p>
    <w:p w14:paraId="070A8CD2">
      <w:bookmarkStart w:id="71" w:name="_GoBack"/>
      <w:bookmarkEnd w:id="71"/>
    </w:p>
    <w:sectPr>
      <w:footerReference r:id="rId3" w:type="default"/>
      <w:pgSz w:w="11906" w:h="16838"/>
      <w:pgMar w:top="1984" w:right="1474" w:bottom="1701"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FF9BA">
    <w:pPr>
      <w:pStyle w:val="13"/>
      <w:jc w:val="center"/>
    </w:pPr>
    <w:r>
      <w:fldChar w:fldCharType="begin"/>
    </w:r>
    <w:r>
      <w:instrText xml:space="preserve">PAGE   \* MERGEFORMAT</w:instrText>
    </w:r>
    <w:r>
      <w:fldChar w:fldCharType="separate"/>
    </w:r>
    <w:r>
      <w:rPr>
        <w:lang w:val="zh-CN"/>
      </w:rPr>
      <w:t>16</w:t>
    </w:r>
    <w:r>
      <w:fldChar w:fldCharType="end"/>
    </w:r>
  </w:p>
  <w:p w14:paraId="736FE433">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3940B8"/>
    <w:multiLevelType w:val="multilevel"/>
    <w:tmpl w:val="AE3940B8"/>
    <w:lvl w:ilvl="0" w:tentative="0">
      <w:start w:val="1"/>
      <w:numFmt w:val="chineseCounting"/>
      <w:pStyle w:val="4"/>
      <w:suff w:val="nothing"/>
      <w:lvlText w:val="%1、"/>
      <w:lvlJc w:val="left"/>
      <w:pPr>
        <w:ind w:left="0" w:firstLine="0"/>
      </w:pPr>
      <w:rPr>
        <w:rFonts w:hint="eastAsia"/>
      </w:rPr>
    </w:lvl>
    <w:lvl w:ilvl="1" w:tentative="0">
      <w:start w:val="1"/>
      <w:numFmt w:val="chineseCounting"/>
      <w:pStyle w:val="5"/>
      <w:suff w:val="nothing"/>
      <w:lvlText w:val="（%2）"/>
      <w:lvlJc w:val="left"/>
      <w:pPr>
        <w:ind w:left="0" w:firstLine="0"/>
      </w:pPr>
      <w:rPr>
        <w:rFonts w:hint="eastAsia"/>
      </w:rPr>
    </w:lvl>
    <w:lvl w:ilvl="2" w:tentative="0">
      <w:start w:val="1"/>
      <w:numFmt w:val="decimal"/>
      <w:pStyle w:val="6"/>
      <w:suff w:val="nothing"/>
      <w:lvlText w:val="%3．"/>
      <w:lvlJc w:val="left"/>
      <w:pPr>
        <w:ind w:left="0" w:firstLine="400"/>
      </w:pPr>
      <w:rPr>
        <w:rFonts w:hint="eastAsia"/>
      </w:rPr>
    </w:lvl>
    <w:lvl w:ilvl="3" w:tentative="0">
      <w:start w:val="1"/>
      <w:numFmt w:val="decimal"/>
      <w:pStyle w:val="7"/>
      <w:suff w:val="nothing"/>
      <w:lvlText w:val="（%4）"/>
      <w:lvlJc w:val="left"/>
      <w:pPr>
        <w:ind w:left="0" w:firstLine="402"/>
      </w:pPr>
      <w:rPr>
        <w:rFonts w:hint="eastAsia"/>
      </w:rPr>
    </w:lvl>
    <w:lvl w:ilvl="4" w:tentative="0">
      <w:start w:val="1"/>
      <w:numFmt w:val="decimalEnclosedCircleChinese"/>
      <w:pStyle w:val="8"/>
      <w:suff w:val="nothing"/>
      <w:lvlText w:val="%5"/>
      <w:lvlJc w:val="left"/>
      <w:pPr>
        <w:ind w:left="0" w:firstLine="402"/>
      </w:pPr>
      <w:rPr>
        <w:rFonts w:hint="eastAsia"/>
      </w:rPr>
    </w:lvl>
    <w:lvl w:ilvl="5" w:tentative="0">
      <w:start w:val="1"/>
      <w:numFmt w:val="decimal"/>
      <w:pStyle w:val="9"/>
      <w:suff w:val="nothing"/>
      <w:lvlText w:val="%6）"/>
      <w:lvlJc w:val="left"/>
      <w:pPr>
        <w:ind w:left="0" w:firstLine="402"/>
      </w:pPr>
      <w:rPr>
        <w:rFonts w:hint="eastAsia"/>
      </w:rPr>
    </w:lvl>
    <w:lvl w:ilvl="6" w:tentative="0">
      <w:start w:val="1"/>
      <w:numFmt w:val="lowerLetter"/>
      <w:pStyle w:val="10"/>
      <w:suff w:val="nothing"/>
      <w:lvlText w:val="%7．"/>
      <w:lvlJc w:val="left"/>
      <w:pPr>
        <w:ind w:left="0" w:firstLine="402"/>
      </w:pPr>
      <w:rPr>
        <w:rFonts w:hint="eastAsia"/>
      </w:rPr>
    </w:lvl>
    <w:lvl w:ilvl="7" w:tentative="0">
      <w:start w:val="1"/>
      <w:numFmt w:val="lowerLetter"/>
      <w:pStyle w:val="11"/>
      <w:suff w:val="nothing"/>
      <w:lvlText w:val="%8）"/>
      <w:lvlJc w:val="left"/>
      <w:pPr>
        <w:ind w:left="0" w:firstLine="402"/>
      </w:pPr>
      <w:rPr>
        <w:rFonts w:hint="eastAsia"/>
      </w:rPr>
    </w:lvl>
    <w:lvl w:ilvl="8" w:tentative="0">
      <w:start w:val="1"/>
      <w:numFmt w:val="lowerRoman"/>
      <w:pStyle w:val="12"/>
      <w:suff w:val="nothing"/>
      <w:lvlText w:val="%9 "/>
      <w:lvlJc w:val="left"/>
      <w:pPr>
        <w:ind w:left="0" w:firstLine="402"/>
      </w:pPr>
      <w:rPr>
        <w:rFonts w:hint="eastAsia"/>
      </w:rPr>
    </w:lvl>
  </w:abstractNum>
  <w:abstractNum w:abstractNumId="1">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720" w:firstLine="0"/>
      </w:pPr>
      <w:rPr>
        <w:rFonts w:hint="eastAsia" w:ascii="宋体" w:hAnsi="宋体" w:eastAsia="宋体" w:cs="宋体"/>
      </w:rPr>
    </w:lvl>
    <w:lvl w:ilvl="2" w:tentative="0">
      <w:start w:val="1"/>
      <w:numFmt w:val="decimal"/>
      <w:pStyle w:val="21"/>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27B85205"/>
    <w:multiLevelType w:val="singleLevel"/>
    <w:tmpl w:val="27B85205"/>
    <w:lvl w:ilvl="0" w:tentative="0">
      <w:start w:val="1"/>
      <w:numFmt w:val="chineseCounting"/>
      <w:suff w:val="nothing"/>
      <w:lvlText w:val="%1、"/>
      <w:lvlJc w:val="left"/>
      <w:rPr>
        <w:rFonts w:hint="eastAsia"/>
      </w:rPr>
    </w:lvl>
  </w:abstractNum>
  <w:abstractNum w:abstractNumId="3">
    <w:nsid w:val="42F61C54"/>
    <w:multiLevelType w:val="multilevel"/>
    <w:tmpl w:val="42F61C54"/>
    <w:lvl w:ilvl="0" w:tentative="0">
      <w:start w:val="1"/>
      <w:numFmt w:val="decimal"/>
      <w:lvlText w:val="%1."/>
      <w:lvlJc w:val="left"/>
      <w:pPr>
        <w:ind w:left="420" w:hanging="420"/>
      </w:pPr>
    </w:lvl>
    <w:lvl w:ilvl="1" w:tentative="0">
      <w:start w:val="1"/>
      <w:numFmt w:val="lowerLetter"/>
      <w:pStyle w:val="19"/>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0944C8"/>
    <w:rsid w:val="0D531121"/>
    <w:rsid w:val="0EF50B05"/>
    <w:rsid w:val="112417A4"/>
    <w:rsid w:val="1697345C"/>
    <w:rsid w:val="1A543B17"/>
    <w:rsid w:val="260F558C"/>
    <w:rsid w:val="38EF1907"/>
    <w:rsid w:val="39FC3754"/>
    <w:rsid w:val="3C6D73A0"/>
    <w:rsid w:val="41923435"/>
    <w:rsid w:val="4686308E"/>
    <w:rsid w:val="4DE76969"/>
    <w:rsid w:val="50DF2DE6"/>
    <w:rsid w:val="528F2C3E"/>
    <w:rsid w:val="59F4692A"/>
    <w:rsid w:val="5FBF076A"/>
    <w:rsid w:val="60D46471"/>
    <w:rsid w:val="62FA10DE"/>
    <w:rsid w:val="6E7A5662"/>
    <w:rsid w:val="6F4B0F13"/>
    <w:rsid w:val="70146A24"/>
    <w:rsid w:val="71D84103"/>
    <w:rsid w:val="74F57957"/>
    <w:rsid w:val="7F1B5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numPr>
        <w:ilvl w:val="0"/>
        <w:numId w:val="1"/>
      </w:numPr>
      <w:spacing w:beforeLines="0" w:beforeAutospacing="0" w:afterLines="0" w:afterAutospacing="0" w:line="360" w:lineRule="auto"/>
      <w:outlineLvl w:val="0"/>
    </w:pPr>
    <w:rPr>
      <w:rFonts w:ascii="宋体" w:hAnsi="宋体" w:eastAsia="仿宋" w:cs="Times New Roman"/>
      <w:b/>
      <w:kern w:val="44"/>
      <w:sz w:val="32"/>
    </w:rPr>
  </w:style>
  <w:style w:type="paragraph" w:styleId="5">
    <w:name w:val="heading 2"/>
    <w:basedOn w:val="1"/>
    <w:next w:val="1"/>
    <w:semiHidden/>
    <w:unhideWhenUsed/>
    <w:qFormat/>
    <w:uiPriority w:val="0"/>
    <w:pPr>
      <w:keepNext/>
      <w:keepLines/>
      <w:numPr>
        <w:ilvl w:val="1"/>
        <w:numId w:val="1"/>
      </w:numPr>
      <w:spacing w:beforeLines="0" w:beforeAutospacing="0" w:afterLines="0" w:afterAutospacing="0" w:line="360" w:lineRule="auto"/>
      <w:jc w:val="left"/>
      <w:outlineLvl w:val="1"/>
    </w:pPr>
    <w:rPr>
      <w:rFonts w:ascii="Arial" w:hAnsi="Arial" w:eastAsia="仿宋" w:cs="Times New Roman"/>
      <w:b/>
      <w:sz w:val="30"/>
    </w:rPr>
  </w:style>
  <w:style w:type="paragraph" w:styleId="6">
    <w:name w:val="heading 3"/>
    <w:basedOn w:val="1"/>
    <w:next w:val="1"/>
    <w:semiHidden/>
    <w:unhideWhenUsed/>
    <w:qFormat/>
    <w:uiPriority w:val="0"/>
    <w:pPr>
      <w:numPr>
        <w:ilvl w:val="2"/>
        <w:numId w:val="1"/>
      </w:numPr>
      <w:spacing w:before="0" w:beforeAutospacing="1" w:after="0" w:afterAutospacing="1" w:line="360" w:lineRule="auto"/>
      <w:ind w:firstLine="400"/>
      <w:jc w:val="left"/>
      <w:outlineLvl w:val="2"/>
    </w:pPr>
    <w:rPr>
      <w:rFonts w:hint="eastAsia" w:ascii="宋体" w:hAnsi="宋体" w:eastAsia="仿宋" w:cs="宋体"/>
      <w:b/>
      <w:bCs/>
      <w:sz w:val="28"/>
      <w:szCs w:val="27"/>
      <w:lang w:bidi="ar"/>
    </w:rPr>
  </w:style>
  <w:style w:type="paragraph" w:styleId="7">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0" w:firstLine="402"/>
      <w:outlineLvl w:val="3"/>
    </w:pPr>
    <w:rPr>
      <w:rFonts w:ascii="Arial" w:hAnsi="Arial" w:eastAsia="黑体"/>
      <w:b/>
      <w:sz w:val="28"/>
    </w:rPr>
  </w:style>
  <w:style w:type="paragraph" w:styleId="8">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0" w:firstLine="402"/>
      <w:outlineLvl w:val="4"/>
    </w:pPr>
    <w:rPr>
      <w:b/>
      <w:sz w:val="28"/>
    </w:rPr>
  </w:style>
  <w:style w:type="paragraph" w:styleId="9">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0" w:firstLine="402"/>
      <w:outlineLvl w:val="5"/>
    </w:pPr>
    <w:rPr>
      <w:rFonts w:ascii="Arial" w:hAnsi="Arial" w:eastAsia="黑体"/>
      <w:b/>
      <w:sz w:val="24"/>
    </w:rPr>
  </w:style>
  <w:style w:type="paragraph" w:styleId="10">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0" w:firstLine="402"/>
      <w:outlineLvl w:val="6"/>
    </w:pPr>
    <w:rPr>
      <w:b/>
      <w:sz w:val="24"/>
    </w:rPr>
  </w:style>
  <w:style w:type="paragraph" w:styleId="11">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0" w:firstLine="402"/>
      <w:outlineLvl w:val="7"/>
    </w:pPr>
    <w:rPr>
      <w:rFonts w:ascii="Arial" w:hAnsi="Arial" w:eastAsia="黑体"/>
      <w:sz w:val="24"/>
    </w:rPr>
  </w:style>
  <w:style w:type="paragraph" w:styleId="12">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0" w:firstLine="402"/>
      <w:outlineLvl w:val="8"/>
    </w:pPr>
    <w:rPr>
      <w:rFonts w:ascii="Arial" w:hAnsi="Arial" w:eastAsia="黑体"/>
      <w:sz w:val="21"/>
    </w:rPr>
  </w:style>
  <w:style w:type="character" w:default="1" w:styleId="16">
    <w:name w:val="Default Paragraph Font"/>
    <w:semiHidden/>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3"/>
    <w:uiPriority w:val="0"/>
    <w:pPr>
      <w:spacing w:after="120" w:afterLines="0" w:afterAutospacing="0"/>
    </w:pPr>
  </w:style>
  <w:style w:type="paragraph" w:styleId="3">
    <w:name w:val="Body Text First Indent"/>
    <w:basedOn w:val="2"/>
    <w:unhideWhenUsed/>
    <w:qFormat/>
    <w:uiPriority w:val="0"/>
    <w:pPr>
      <w:spacing w:line="259" w:lineRule="auto"/>
      <w:ind w:firstLine="420" w:firstLineChars="100"/>
    </w:pPr>
  </w:style>
  <w:style w:type="paragraph" w:styleId="13">
    <w:name w:val="footer"/>
    <w:basedOn w:val="1"/>
    <w:uiPriority w:val="99"/>
    <w:pPr>
      <w:tabs>
        <w:tab w:val="center" w:pos="4153"/>
        <w:tab w:val="right" w:pos="8306"/>
      </w:tabs>
      <w:snapToGrid w:val="0"/>
      <w:jc w:val="left"/>
    </w:pPr>
    <w:rPr>
      <w:sz w:val="18"/>
      <w:szCs w:val="18"/>
    </w:rPr>
  </w:style>
  <w:style w:type="table" w:styleId="15">
    <w:name w:val="Table Grid"/>
    <w:basedOn w:val="1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null3"/>
    <w:qFormat/>
    <w:uiPriority w:val="0"/>
    <w:rPr>
      <w:rFonts w:hint="eastAsia" w:ascii="Calibri" w:hAnsi="Calibri" w:eastAsia="宋体" w:cs="Times New Roman"/>
      <w:lang w:val="en-US" w:eastAsia="zh-Hans"/>
    </w:rPr>
  </w:style>
  <w:style w:type="paragraph" w:customStyle="1" w:styleId="18">
    <w:name w:val="01、普通正文"/>
    <w:basedOn w:val="1"/>
    <w:qFormat/>
    <w:uiPriority w:val="0"/>
    <w:pPr>
      <w:tabs>
        <w:tab w:val="left" w:pos="0"/>
      </w:tabs>
      <w:wordWrap w:val="0"/>
      <w:topLinePunct/>
      <w:ind w:firstLine="0" w:firstLineChars="0"/>
    </w:pPr>
    <w:rPr>
      <w:rFonts w:ascii="宋体" w:hAnsi="宋体" w:eastAsia="宋体"/>
      <w:snapToGrid w:val="0"/>
    </w:rPr>
  </w:style>
  <w:style w:type="paragraph" w:customStyle="1" w:styleId="19">
    <w:name w:val="05、“(一)”正文三级标题"/>
    <w:basedOn w:val="1"/>
    <w:qFormat/>
    <w:uiPriority w:val="0"/>
    <w:pPr>
      <w:numPr>
        <w:ilvl w:val="1"/>
        <w:numId w:val="2"/>
      </w:numPr>
      <w:tabs>
        <w:tab w:val="left" w:pos="0"/>
      </w:tabs>
      <w:wordWrap w:val="0"/>
      <w:topLinePunct/>
      <w:ind w:firstLine="803" w:firstLineChars="200"/>
    </w:pPr>
    <w:rPr>
      <w:rFonts w:ascii="宋体" w:hAnsi="宋体"/>
      <w:szCs w:val="22"/>
    </w:rPr>
  </w:style>
  <w:style w:type="paragraph" w:customStyle="1" w:styleId="20">
    <w:name w:val="02、首行缩进2字符正文"/>
    <w:basedOn w:val="1"/>
    <w:qFormat/>
    <w:uiPriority w:val="0"/>
    <w:pPr>
      <w:tabs>
        <w:tab w:val="left" w:pos="0"/>
      </w:tabs>
      <w:wordWrap w:val="0"/>
      <w:topLinePunct/>
      <w:ind w:firstLine="480" w:firstLineChars="200"/>
    </w:pPr>
    <w:rPr>
      <w:rFonts w:ascii="宋体" w:hAnsi="宋体" w:eastAsia="宋体"/>
    </w:rPr>
  </w:style>
  <w:style w:type="paragraph" w:customStyle="1" w:styleId="21">
    <w:name w:val="06、“1.”正文四级标题"/>
    <w:basedOn w:val="1"/>
    <w:qFormat/>
    <w:uiPriority w:val="0"/>
    <w:pPr>
      <w:numPr>
        <w:ilvl w:val="2"/>
        <w:numId w:val="3"/>
      </w:numPr>
      <w:tabs>
        <w:tab w:val="left" w:pos="0"/>
      </w:tabs>
      <w:wordWrap w:val="0"/>
      <w:topLinePunct/>
      <w:ind w:firstLine="803" w:firstLineChars="200"/>
    </w:pPr>
    <w:rPr>
      <w:rFonts w:ascii="宋体" w:hAnsi="宋体" w:eastAsia="宋体"/>
      <w:snapToGrid w:val="0"/>
    </w:rPr>
  </w:style>
  <w:style w:type="paragraph" w:customStyle="1" w:styleId="22">
    <w:name w:val="样式 首行缩进:  2 字符"/>
    <w:basedOn w:val="1"/>
    <w:qFormat/>
    <w:uiPriority w:val="0"/>
    <w:pPr>
      <w:tabs>
        <w:tab w:val="left" w:pos="0"/>
      </w:tabs>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2023-05-29T06:27:00Z</dcterms:created>
  <dc:creator>1</dc:creator>
  <cp:lastModifiedBy>1</cp:lastModifiedBy>
  <dcterms:modified xsi:type="dcterms:W3CDTF">2025-10-15T03:43:46Z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FB0B7F02846A4CAAB3800E86F39BB3BD_12</vt:lpwstr>
  </property>
  <property fmtid="{D5CDD505-2E9C-101B-9397-08002B2CF9AE}" pid="4" name="KSOTemplateDocerSaveRecord">
    <vt:lpwstr>eyJoZGlkIjoiODY5ZmQzOTNhMzM0ZDExNGM3NTkxODQ3MDA2ZmM2ZmIiLCJ1c2VySWQiOiIxNTc3MjQzNDQ2In0=</vt:lpwstr>
  </property>
</Properties>
</file>