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360" w:lineRule="auto"/>
        <w:jc w:val="both"/>
        <w:rPr>
          <w:rFonts w:hint="eastAsia" w:ascii="仿宋" w:hAnsi="仿宋" w:eastAsia="仿宋" w:cs="仿宋"/>
          <w:b/>
          <w:bCs/>
          <w:color w:val="000000" w:themeColor="text1"/>
          <w:kern w:val="0"/>
          <w:sz w:val="52"/>
          <w:szCs w:val="52"/>
          <w:highlight w:val="none"/>
          <w:lang w:val="en-US" w:eastAsia="zh"/>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Cs w:val="44"/>
          <w:highlight w:val="none"/>
          <w:lang w:val="en-US" w:eastAsia="zh-CN"/>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丽江市人民医院检验科第一批设备及配套试剂耗材采购项目（二次）公开招标</w:t>
      </w:r>
    </w:p>
    <w:p>
      <w:pPr>
        <w:shd w:val="clear"/>
        <w:spacing w:line="360" w:lineRule="auto"/>
        <w:rPr>
          <w:rFonts w:hint="eastAsia" w:ascii="仿宋" w:hAnsi="仿宋" w:eastAsia="仿宋" w:cs="仿宋"/>
          <w:color w:val="000000" w:themeColor="text1"/>
          <w:highlight w:val="none"/>
          <w14:textFill>
            <w14:solidFill>
              <w14:schemeClr w14:val="tx1"/>
            </w14:solidFill>
          </w14:textFill>
        </w:rPr>
      </w:pPr>
    </w:p>
    <w:p>
      <w:pPr>
        <w:pStyle w:val="2"/>
        <w:rPr>
          <w:rFonts w:hint="eastAsia" w:ascii="仿宋" w:hAnsi="仿宋" w:eastAsia="仿宋" w:cs="仿宋"/>
          <w:color w:val="000000" w:themeColor="text1"/>
          <w:highlight w:val="none"/>
          <w14:textFill>
            <w14:solidFill>
              <w14:schemeClr w14:val="tx1"/>
            </w14:solidFill>
          </w14:textFill>
        </w:rPr>
      </w:pPr>
    </w:p>
    <w:p>
      <w:pPr>
        <w:pStyle w:val="15"/>
        <w:rPr>
          <w:rFonts w:hint="eastAsia"/>
          <w:color w:val="000000" w:themeColor="text1"/>
          <w:highlight w:val="none"/>
          <w14:textFill>
            <w14:solidFill>
              <w14:schemeClr w14:val="tx1"/>
            </w14:solidFill>
          </w14:textFill>
        </w:rPr>
      </w:pPr>
    </w:p>
    <w:p>
      <w:pPr>
        <w:shd w:val="clear"/>
        <w:tabs>
          <w:tab w:val="left" w:pos="5190"/>
        </w:tabs>
        <w:spacing w:line="360" w:lineRule="auto"/>
        <w:jc w:val="center"/>
        <w:rPr>
          <w:rFonts w:hint="eastAsia" w:ascii="仿宋" w:hAnsi="仿宋" w:eastAsia="仿宋" w:cs="仿宋"/>
          <w:color w:val="000000" w:themeColor="text1"/>
          <w:sz w:val="36"/>
          <w:highlight w:val="none"/>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招标文件</w:t>
      </w:r>
    </w:p>
    <w:p>
      <w:pPr>
        <w:shd w:val="clear"/>
        <w:bidi w:val="0"/>
        <w:spacing w:line="360" w:lineRule="auto"/>
        <w:jc w:val="center"/>
        <w:rPr>
          <w:rFonts w:hint="eastAsia"/>
          <w:color w:val="000000" w:themeColor="text1"/>
          <w:highlight w:val="none"/>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项目编号：</w:t>
      </w:r>
      <w:r>
        <w:rPr>
          <w:rFonts w:hint="eastAsia" w:ascii="仿宋" w:hAnsi="仿宋" w:eastAsia="仿宋" w:cs="仿宋"/>
          <w:color w:val="000000" w:themeColor="text1"/>
          <w:sz w:val="32"/>
          <w:szCs w:val="32"/>
          <w:highlight w:val="none"/>
          <w:lang w:eastAsia="zh-CN"/>
          <w14:textFill>
            <w14:solidFill>
              <w14:schemeClr w14:val="tx1"/>
            </w14:solidFill>
          </w14:textFill>
        </w:rPr>
        <w:t xml:space="preserve"> LJZC2024-G1-00224-YNLB-0220</w:t>
      </w: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pStyle w:val="28"/>
        <w:rPr>
          <w:rFonts w:hint="eastAsia"/>
          <w:color w:val="000000" w:themeColor="text1"/>
          <w:highlight w:val="none"/>
          <w:lang w:eastAsia="zh-CN"/>
          <w14:textFill>
            <w14:solidFill>
              <w14:schemeClr w14:val="tx1"/>
            </w14:solidFill>
          </w14:textFill>
        </w:rPr>
      </w:pPr>
    </w:p>
    <w:p>
      <w:pPr>
        <w:pStyle w:val="2"/>
        <w:rPr>
          <w:rFonts w:hint="eastAsia" w:ascii="仿宋" w:hAnsi="仿宋" w:eastAsia="仿宋" w:cs="仿宋"/>
          <w:color w:val="000000" w:themeColor="text1"/>
          <w:sz w:val="32"/>
          <w:szCs w:val="32"/>
          <w:highlight w:val="none"/>
          <w:lang w:eastAsia="zh-CN"/>
          <w14:textFill>
            <w14:solidFill>
              <w14:schemeClr w14:val="tx1"/>
            </w14:solidFill>
          </w14:textFill>
        </w:rPr>
      </w:pPr>
    </w:p>
    <w:p>
      <w:pPr>
        <w:pStyle w:val="2"/>
        <w:rPr>
          <w:rFonts w:hint="eastAsia"/>
          <w:color w:val="000000" w:themeColor="text1"/>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6"/>
          <w:szCs w:val="36"/>
          <w:highlight w:val="none"/>
          <w:lang w:eastAsia="zh-CN"/>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招标人：</w:t>
      </w:r>
      <w:r>
        <w:rPr>
          <w:rFonts w:hint="eastAsia" w:ascii="仿宋" w:hAnsi="仿宋" w:eastAsia="仿宋" w:cs="仿宋"/>
          <w:color w:val="000000" w:themeColor="text1"/>
          <w:sz w:val="36"/>
          <w:szCs w:val="36"/>
          <w:highlight w:val="none"/>
          <w:lang w:eastAsia="zh-CN"/>
          <w14:textFill>
            <w14:solidFill>
              <w14:schemeClr w14:val="tx1"/>
            </w14:solidFill>
          </w14:textFill>
        </w:rPr>
        <w:t>丽江市人民医院</w:t>
      </w:r>
    </w:p>
    <w:p>
      <w:pPr>
        <w:shd w:val="clear"/>
        <w:bidi w:val="0"/>
        <w:spacing w:line="360" w:lineRule="auto"/>
        <w:jc w:val="center"/>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招标代理机构：云南蓝本招标咨询有限公司</w:t>
      </w:r>
    </w:p>
    <w:p>
      <w:pPr>
        <w:shd w:val="clear"/>
        <w:bidi w:val="0"/>
        <w:spacing w:line="360" w:lineRule="auto"/>
        <w:jc w:val="center"/>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日期：202</w:t>
      </w:r>
      <w:r>
        <w:rPr>
          <w:rFonts w:hint="eastAsia" w:ascii="仿宋" w:hAnsi="仿宋" w:eastAsia="仿宋" w:cs="仿宋"/>
          <w:color w:val="000000" w:themeColor="text1"/>
          <w:sz w:val="36"/>
          <w:szCs w:val="36"/>
          <w:highlight w:val="none"/>
          <w:lang w:val="en-US" w:eastAsia="zh-CN"/>
          <w14:textFill>
            <w14:solidFill>
              <w14:schemeClr w14:val="tx1"/>
            </w14:solidFill>
          </w14:textFill>
        </w:rPr>
        <w:t>4</w:t>
      </w:r>
      <w:r>
        <w:rPr>
          <w:rFonts w:hint="eastAsia" w:ascii="仿宋" w:hAnsi="仿宋" w:eastAsia="仿宋" w:cs="仿宋"/>
          <w:color w:val="000000" w:themeColor="text1"/>
          <w:sz w:val="36"/>
          <w:szCs w:val="36"/>
          <w:highlight w:val="none"/>
          <w14:textFill>
            <w14:solidFill>
              <w14:schemeClr w14:val="tx1"/>
            </w14:solidFill>
          </w14:textFill>
        </w:rPr>
        <w:t>年</w:t>
      </w:r>
      <w:r>
        <w:rPr>
          <w:rFonts w:hint="eastAsia" w:ascii="仿宋" w:hAnsi="仿宋" w:eastAsia="仿宋" w:cs="仿宋"/>
          <w:color w:val="000000" w:themeColor="text1"/>
          <w:sz w:val="36"/>
          <w:szCs w:val="36"/>
          <w:highlight w:val="none"/>
          <w:lang w:val="en-US" w:eastAsia="zh-CN"/>
          <w14:textFill>
            <w14:solidFill>
              <w14:schemeClr w14:val="tx1"/>
            </w14:solidFill>
          </w14:textFill>
        </w:rPr>
        <w:t>7</w:t>
      </w:r>
      <w:r>
        <w:rPr>
          <w:rFonts w:hint="eastAsia" w:ascii="仿宋" w:hAnsi="仿宋" w:eastAsia="仿宋" w:cs="仿宋"/>
          <w:color w:val="000000" w:themeColor="text1"/>
          <w:sz w:val="36"/>
          <w:szCs w:val="36"/>
          <w:highlight w:val="none"/>
          <w14:textFill>
            <w14:solidFill>
              <w14:schemeClr w14:val="tx1"/>
            </w14:solidFill>
          </w14:textFill>
        </w:rPr>
        <w:t>月</w:t>
      </w:r>
    </w:p>
    <w:p>
      <w:pPr>
        <w:shd w:val="clear"/>
        <w:rPr>
          <w:rFonts w:hint="eastAsia" w:ascii="仿宋" w:hAnsi="仿宋" w:eastAsia="仿宋" w:cs="仿宋"/>
          <w:bCs/>
          <w:color w:val="000000" w:themeColor="text1"/>
          <w:kern w:val="0"/>
          <w:sz w:val="44"/>
          <w:szCs w:val="44"/>
          <w:highlight w:val="none"/>
          <w14:textFill>
            <w14:solidFill>
              <w14:schemeClr w14:val="tx1"/>
            </w14:solidFill>
          </w14:textFill>
        </w:rPr>
      </w:pPr>
      <w:r>
        <w:rPr>
          <w:rFonts w:hint="eastAsia" w:ascii="仿宋" w:hAnsi="仿宋" w:eastAsia="仿宋" w:cs="仿宋"/>
          <w:bCs/>
          <w:color w:val="000000" w:themeColor="text1"/>
          <w:kern w:val="0"/>
          <w:sz w:val="44"/>
          <w:szCs w:val="44"/>
          <w:highlight w:val="none"/>
          <w14:textFill>
            <w14:solidFill>
              <w14:schemeClr w14:val="tx1"/>
            </w14:solidFill>
          </w14:textFill>
        </w:rPr>
        <w:br w:type="page"/>
      </w:r>
    </w:p>
    <w:p>
      <w:pPr>
        <w:pStyle w:val="14"/>
        <w:shd w:val="clear"/>
        <w:rPr>
          <w:rFonts w:hint="eastAsia" w:ascii="仿宋" w:hAnsi="仿宋" w:eastAsia="仿宋" w:cs="仿宋"/>
          <w:color w:val="000000" w:themeColor="text1"/>
          <w:highlight w:val="none"/>
          <w14:textFill>
            <w14:solidFill>
              <w14:schemeClr w14:val="tx1"/>
            </w14:solidFill>
          </w14:textFill>
        </w:rPr>
      </w:pPr>
    </w:p>
    <w:p>
      <w:pPr>
        <w:pStyle w:val="2"/>
        <w:shd w:val="clear"/>
        <w:rPr>
          <w:rFonts w:hint="eastAsia" w:ascii="仿宋" w:hAnsi="仿宋" w:eastAsia="仿宋" w:cs="仿宋"/>
          <w:color w:val="000000" w:themeColor="text1"/>
          <w:highlight w:val="none"/>
          <w14:textFill>
            <w14:solidFill>
              <w14:schemeClr w14:val="tx1"/>
            </w14:solidFill>
          </w14:textFill>
        </w:rPr>
      </w:pPr>
    </w:p>
    <w:tbl>
      <w:tblPr>
        <w:tblStyle w:val="22"/>
        <w:tblW w:w="102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3276"/>
        <w:gridCol w:w="3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69" w:hRule="atLeast"/>
          <w:jc w:val="center"/>
        </w:trPr>
        <w:tc>
          <w:tcPr>
            <w:tcW w:w="10280" w:type="dxa"/>
            <w:gridSpan w:val="3"/>
          </w:tcPr>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spacing w:line="360" w:lineRule="auto"/>
              <w:jc w:val="center"/>
              <w:rPr>
                <w:rFonts w:hint="eastAsia" w:ascii="仿宋" w:hAnsi="仿宋" w:eastAsia="仿宋" w:cs="仿宋"/>
                <w:color w:val="000000" w:themeColor="text1"/>
                <w:sz w:val="40"/>
                <w:szCs w:val="28"/>
                <w:highlight w:val="none"/>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丽江市人民医院检验科第一批设备及配套试剂耗材采购项目</w:t>
            </w:r>
          </w:p>
          <w:p>
            <w:pPr>
              <w:pStyle w:val="2"/>
              <w:shd w:val="clear"/>
              <w:spacing w:line="360" w:lineRule="auto"/>
              <w:rPr>
                <w:rFonts w:hint="eastAsia" w:ascii="仿宋" w:hAnsi="仿宋" w:eastAsia="仿宋" w:cs="仿宋"/>
                <w:color w:val="000000" w:themeColor="text1"/>
                <w:highlight w:val="none"/>
                <w14:textFill>
                  <w14:solidFill>
                    <w14:schemeClr w14:val="tx1"/>
                  </w14:solidFill>
                </w14:textFill>
              </w:rPr>
            </w:pPr>
          </w:p>
          <w:p>
            <w:pPr>
              <w:shd w:val="clear"/>
              <w:spacing w:line="360" w:lineRule="auto"/>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4" w:hRule="atLeast"/>
          <w:jc w:val="center"/>
        </w:trPr>
        <w:tc>
          <w:tcPr>
            <w:tcW w:w="10280" w:type="dxa"/>
            <w:gridSpan w:val="3"/>
            <w:vAlign w:val="center"/>
          </w:tcPr>
          <w:p>
            <w:pPr>
              <w:shd w:val="clear"/>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项目名称：</w:t>
            </w:r>
            <w:r>
              <w:rPr>
                <w:rFonts w:hint="eastAsia" w:ascii="仿宋" w:hAnsi="仿宋" w:eastAsia="仿宋" w:cs="仿宋"/>
                <w:color w:val="000000" w:themeColor="text1"/>
                <w:sz w:val="28"/>
                <w:highlight w:val="none"/>
                <w:lang w:eastAsia="zh-CN"/>
                <w14:textFill>
                  <w14:solidFill>
                    <w14:schemeClr w14:val="tx1"/>
                  </w14:solidFill>
                </w14:textFill>
              </w:rPr>
              <w:t>丽江市人民医院检验科第一批设备及配套试剂耗材采购项目</w:t>
            </w:r>
          </w:p>
          <w:p>
            <w:pPr>
              <w:shd w:val="clear"/>
              <w:rPr>
                <w:rFonts w:hint="eastAsia" w:ascii="仿宋" w:hAnsi="仿宋" w:eastAsia="仿宋" w:cs="仿宋"/>
                <w:b/>
                <w:bCs/>
                <w:color w:val="000000" w:themeColor="text1"/>
                <w:sz w:val="28"/>
                <w:szCs w:val="28"/>
                <w:highlight w:val="none"/>
                <w:u w:val="single"/>
                <w:lang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项目编号：</w:t>
            </w:r>
            <w:r>
              <w:rPr>
                <w:rFonts w:hint="eastAsia" w:ascii="仿宋" w:hAnsi="仿宋" w:eastAsia="仿宋" w:cs="仿宋"/>
                <w:color w:val="000000" w:themeColor="text1"/>
                <w:sz w:val="28"/>
                <w:highlight w:val="none"/>
                <w:lang w:eastAsia="zh-CN"/>
                <w14:textFill>
                  <w14:solidFill>
                    <w14:schemeClr w14:val="tx1"/>
                  </w14:solidFill>
                </w14:textFill>
              </w:rPr>
              <w:t xml:space="preserve"> LJZC2024-G1-00224-YNLB-0220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0" w:hRule="atLeast"/>
          <w:jc w:val="center"/>
        </w:trPr>
        <w:tc>
          <w:tcPr>
            <w:tcW w:w="3279" w:type="dxa"/>
            <w:vAlign w:val="center"/>
          </w:tcPr>
          <w:p>
            <w:pPr>
              <w:shd w:val="clear"/>
              <w:jc w:val="left"/>
              <w:rPr>
                <w:rFonts w:hint="eastAsia" w:ascii="仿宋" w:hAnsi="仿宋" w:eastAsia="仿宋" w:cs="仿宋"/>
                <w:color w:val="000000" w:themeColor="text1"/>
                <w:sz w:val="28"/>
                <w:highlight w:val="none"/>
                <w:lang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编制：</w:t>
            </w:r>
            <w:r>
              <w:rPr>
                <w:rFonts w:hint="eastAsia" w:ascii="仿宋" w:hAnsi="仿宋" w:eastAsia="仿宋" w:cs="仿宋"/>
                <w:color w:val="000000" w:themeColor="text1"/>
                <w:sz w:val="28"/>
                <w:highlight w:val="none"/>
                <w:lang w:val="en-US" w:eastAsia="zh-CN"/>
                <w14:textFill>
                  <w14:solidFill>
                    <w14:schemeClr w14:val="tx1"/>
                  </w14:solidFill>
                </w14:textFill>
              </w:rPr>
              <w:t>王易文</w:t>
            </w:r>
          </w:p>
        </w:tc>
        <w:tc>
          <w:tcPr>
            <w:tcW w:w="3276" w:type="dxa"/>
            <w:vAlign w:val="center"/>
          </w:tcPr>
          <w:p>
            <w:pPr>
              <w:pStyle w:val="14"/>
              <w:shd w:val="clear"/>
              <w:snapToGrid w:val="0"/>
              <w:jc w:val="left"/>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校核：</w:t>
            </w:r>
            <w:r>
              <w:rPr>
                <w:rFonts w:hint="eastAsia" w:ascii="仿宋" w:hAnsi="仿宋" w:eastAsia="仿宋" w:cs="仿宋"/>
                <w:color w:val="000000" w:themeColor="text1"/>
                <w:sz w:val="28"/>
                <w:highlight w:val="none"/>
                <w:lang w:val="en-US" w:eastAsia="zh-CN"/>
                <w14:textFill>
                  <w14:solidFill>
                    <w14:schemeClr w14:val="tx1"/>
                  </w14:solidFill>
                </w14:textFill>
              </w:rPr>
              <w:t>李宏英</w:t>
            </w:r>
          </w:p>
        </w:tc>
        <w:tc>
          <w:tcPr>
            <w:tcW w:w="3725" w:type="dxa"/>
            <w:vAlign w:val="center"/>
          </w:tcPr>
          <w:p>
            <w:pPr>
              <w:pStyle w:val="14"/>
              <w:shd w:val="clear"/>
              <w:snapToGrid w:val="0"/>
              <w:ind w:firstLine="562"/>
              <w:jc w:val="left"/>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复核：</w:t>
            </w:r>
            <w:r>
              <w:rPr>
                <w:rFonts w:hint="eastAsia" w:ascii="仿宋" w:hAnsi="仿宋" w:eastAsia="仿宋" w:cs="仿宋"/>
                <w:color w:val="000000" w:themeColor="text1"/>
                <w:sz w:val="28"/>
                <w:highlight w:val="none"/>
                <w:lang w:val="en-US" w:eastAsia="zh-CN"/>
                <w14:textFill>
                  <w14:solidFill>
                    <w14:schemeClr w14:val="tx1"/>
                  </w14:solidFill>
                </w14:textFill>
              </w:rPr>
              <w:t>王志芃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0" w:hRule="atLeast"/>
          <w:jc w:val="center"/>
        </w:trPr>
        <w:tc>
          <w:tcPr>
            <w:tcW w:w="10280" w:type="dxa"/>
            <w:gridSpan w:val="3"/>
            <w:vAlign w:val="center"/>
          </w:tcPr>
          <w:p>
            <w:pPr>
              <w:shd w:val="clear"/>
              <w:jc w:val="left"/>
              <w:rPr>
                <w:rFonts w:hint="eastAsia" w:ascii="仿宋" w:hAnsi="仿宋" w:eastAsia="仿宋" w:cs="仿宋"/>
                <w:b/>
                <w:bCs/>
                <w:color w:val="000000" w:themeColor="text1"/>
                <w:sz w:val="28"/>
                <w:highlight w:val="none"/>
                <w:u w:val="single"/>
                <w:lang w:eastAsia="zh-CN"/>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eastAsia="zh-CN"/>
                <w14:textFill>
                  <w14:solidFill>
                    <w14:schemeClr w14:val="tx1"/>
                  </w14:solidFill>
                </w14:textFill>
              </w:rPr>
              <w:t>丽江市人民医院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10280" w:type="dxa"/>
            <w:gridSpan w:val="3"/>
            <w:vAlign w:val="center"/>
          </w:tcPr>
          <w:p>
            <w:pPr>
              <w:shd w:val="clear"/>
              <w:spacing w:line="360" w:lineRule="auto"/>
              <w:jc w:val="left"/>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编制</w:t>
            </w:r>
            <w:r>
              <w:rPr>
                <w:rFonts w:hint="eastAsia" w:ascii="仿宋" w:hAnsi="仿宋" w:eastAsia="仿宋" w:cs="仿宋"/>
                <w:color w:val="000000" w:themeColor="text1"/>
                <w:sz w:val="28"/>
                <w:szCs w:val="28"/>
                <w:highlight w:val="none"/>
                <w14:textFill>
                  <w14:solidFill>
                    <w14:schemeClr w14:val="tx1"/>
                  </w14:solidFill>
                </w14:textFill>
              </w:rPr>
              <w:t>日期：202</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月</w:t>
            </w:r>
          </w:p>
        </w:tc>
      </w:tr>
    </w:tbl>
    <w:p>
      <w:pPr>
        <w:widowControl/>
        <w:shd w:val="clear"/>
        <w:jc w:val="center"/>
        <w:rPr>
          <w:rFonts w:hint="eastAsia" w:ascii="仿宋" w:hAnsi="仿宋" w:eastAsia="仿宋" w:cs="仿宋"/>
          <w:bCs/>
          <w:color w:val="000000" w:themeColor="text1"/>
          <w:kern w:val="0"/>
          <w:sz w:val="44"/>
          <w:szCs w:val="44"/>
          <w:highlight w:val="none"/>
          <w14:textFill>
            <w14:solidFill>
              <w14:schemeClr w14:val="tx1"/>
            </w14:solidFill>
          </w14:textFill>
        </w:rPr>
        <w:sectPr>
          <w:headerReference r:id="rId3" w:type="default"/>
          <w:footerReference r:id="rId4" w:type="default"/>
          <w:pgSz w:w="11906" w:h="16838"/>
          <w:pgMar w:top="1418" w:right="1247" w:bottom="1418" w:left="1247" w:header="680" w:footer="680" w:gutter="0"/>
          <w:pgNumType w:start="1"/>
          <w:cols w:space="720" w:num="1"/>
          <w:docGrid w:linePitch="312" w:charSpace="0"/>
        </w:sectPr>
      </w:pPr>
    </w:p>
    <w:p>
      <w:pPr>
        <w:widowControl/>
        <w:shd w:val="clear"/>
        <w:jc w:val="center"/>
        <w:rPr>
          <w:rFonts w:hint="eastAsia" w:ascii="仿宋" w:hAnsi="仿宋" w:eastAsia="仿宋" w:cs="仿宋"/>
          <w:bCs/>
          <w:color w:val="000000" w:themeColor="text1"/>
          <w:szCs w:val="21"/>
          <w:highlight w:val="none"/>
          <w14:textFill>
            <w14:solidFill>
              <w14:schemeClr w14:val="tx1"/>
            </w14:solidFill>
          </w14:textFill>
        </w:rPr>
      </w:pPr>
    </w:p>
    <w:p>
      <w:pPr>
        <w:shd w:val="clear"/>
        <w:bidi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目录</w:t>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TOC \o "1-2" \h \u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_Toc2752 </w:instrText>
      </w:r>
      <w:r>
        <w:rPr>
          <w:rFonts w:hint="eastAsia" w:ascii="仿宋" w:hAnsi="仿宋" w:eastAsia="仿宋" w:cs="仿宋"/>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招标公告</w:t>
      </w:r>
      <w:r>
        <w:tab/>
      </w:r>
      <w:r>
        <w:fldChar w:fldCharType="begin"/>
      </w:r>
      <w:r>
        <w:instrText xml:space="preserve"> PAGEREF _Toc2752 \h </w:instrText>
      </w:r>
      <w:r>
        <w:fldChar w:fldCharType="separate"/>
      </w:r>
      <w:r>
        <w:t>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_Toc185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一、项目基本情况</w:t>
      </w:r>
      <w:r>
        <w:tab/>
      </w:r>
      <w:r>
        <w:fldChar w:fldCharType="begin"/>
      </w:r>
      <w:r>
        <w:instrText xml:space="preserve"> PAGEREF _Toc185 \h </w:instrText>
      </w:r>
      <w:r>
        <w:fldChar w:fldCharType="separate"/>
      </w:r>
      <w:r>
        <w:t>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_Toc29968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二、申请人的资格要求</w:t>
      </w:r>
      <w:r>
        <w:tab/>
      </w:r>
      <w:r>
        <w:fldChar w:fldCharType="begin"/>
      </w:r>
      <w:r>
        <w:instrText xml:space="preserve"> PAGEREF _Toc29968 \h </w:instrText>
      </w:r>
      <w:r>
        <w:fldChar w:fldCharType="separate"/>
      </w:r>
      <w:r>
        <w:t>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_Toc4848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三、获取招标文件</w:t>
      </w:r>
      <w:r>
        <w:tab/>
      </w:r>
      <w:r>
        <w:fldChar w:fldCharType="begin"/>
      </w:r>
      <w:r>
        <w:instrText xml:space="preserve"> PAGEREF _Toc4848 \h </w:instrText>
      </w:r>
      <w:r>
        <w:fldChar w:fldCharType="separate"/>
      </w:r>
      <w:r>
        <w:t>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_Toc3986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四、提交投标文件截止时间、开标时间和地点</w:t>
      </w:r>
      <w:r>
        <w:tab/>
      </w:r>
      <w:r>
        <w:fldChar w:fldCharType="begin"/>
      </w:r>
      <w:r>
        <w:instrText xml:space="preserve"> PAGEREF _Toc3986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_Toc537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五、公告期限</w:t>
      </w:r>
      <w:r>
        <w:tab/>
      </w:r>
      <w:r>
        <w:fldChar w:fldCharType="begin"/>
      </w:r>
      <w:r>
        <w:instrText xml:space="preserve"> PAGEREF _Toc537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_Toc28591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六、其他补充事宜</w:t>
      </w:r>
      <w:r>
        <w:tab/>
      </w:r>
      <w:r>
        <w:fldChar w:fldCharType="begin"/>
      </w:r>
      <w:r>
        <w:instrText xml:space="preserve"> PAGEREF _Toc28591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_Toc7201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七、对本次招标提出询问，请按以下方式联系。</w:t>
      </w:r>
      <w:r>
        <w:tab/>
      </w:r>
      <w:r>
        <w:fldChar w:fldCharType="begin"/>
      </w:r>
      <w:r>
        <w:instrText xml:space="preserve"> PAGEREF _Toc7201 \h </w:instrText>
      </w:r>
      <w:r>
        <w:fldChar w:fldCharType="separate"/>
      </w:r>
      <w:r>
        <w:t>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_Toc10527 </w:instrText>
      </w:r>
      <w:r>
        <w:rPr>
          <w:rFonts w:hint="eastAsia" w:ascii="仿宋" w:hAnsi="仿宋" w:eastAsia="仿宋" w:cs="仿宋"/>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eastAsia="zh-CN"/>
        </w:rPr>
        <w:t xml:space="preserve">  </w:t>
      </w:r>
      <w:r>
        <w:rPr>
          <w:rFonts w:hint="eastAsia" w:ascii="仿宋" w:hAnsi="仿宋" w:eastAsia="仿宋" w:cs="仿宋"/>
          <w:spacing w:val="10"/>
          <w:highlight w:val="none"/>
        </w:rPr>
        <w:t>投标人</w:t>
      </w:r>
      <w:r>
        <w:rPr>
          <w:rFonts w:hint="eastAsia" w:ascii="仿宋" w:hAnsi="仿宋" w:eastAsia="仿宋" w:cs="仿宋"/>
          <w:highlight w:val="none"/>
        </w:rPr>
        <w:t>须知</w:t>
      </w:r>
      <w:r>
        <w:tab/>
      </w:r>
      <w:r>
        <w:fldChar w:fldCharType="begin"/>
      </w:r>
      <w:r>
        <w:instrText xml:space="preserve"> PAGEREF _Toc10527 \h </w:instrText>
      </w:r>
      <w:r>
        <w:fldChar w:fldCharType="separate"/>
      </w:r>
      <w:r>
        <w:t>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_Toc13653 </w:instrText>
      </w:r>
      <w:r>
        <w:rPr>
          <w:rFonts w:hint="eastAsia" w:ascii="仿宋" w:hAnsi="仿宋" w:eastAsia="仿宋" w:cs="仿宋"/>
          <w:highlight w:val="none"/>
        </w:rPr>
        <w:fldChar w:fldCharType="separate"/>
      </w:r>
      <w:r>
        <w:rPr>
          <w:rFonts w:hint="eastAsia" w:ascii="仿宋" w:hAnsi="仿宋" w:eastAsia="仿宋" w:cs="仿宋"/>
          <w:spacing w:val="10"/>
          <w:highlight w:val="none"/>
        </w:rPr>
        <w:t>投标人</w:t>
      </w:r>
      <w:r>
        <w:rPr>
          <w:rFonts w:hint="eastAsia" w:ascii="仿宋" w:hAnsi="仿宋" w:eastAsia="仿宋" w:cs="仿宋"/>
          <w:highlight w:val="none"/>
        </w:rPr>
        <w:t>须知前附表</w:t>
      </w:r>
      <w:r>
        <w:tab/>
      </w:r>
      <w:r>
        <w:fldChar w:fldCharType="begin"/>
      </w:r>
      <w:r>
        <w:instrText xml:space="preserve"> PAGEREF _Toc13653 \h </w:instrText>
      </w:r>
      <w:r>
        <w:fldChar w:fldCharType="separate"/>
      </w:r>
      <w:r>
        <w:t>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_Toc30862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一、总则</w:t>
      </w:r>
      <w:r>
        <w:tab/>
      </w:r>
      <w:r>
        <w:fldChar w:fldCharType="begin"/>
      </w:r>
      <w:r>
        <w:instrText xml:space="preserve"> PAGEREF _Toc30862 \h </w:instrText>
      </w:r>
      <w:r>
        <w:fldChar w:fldCharType="separate"/>
      </w:r>
      <w:r>
        <w:t>12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_Toc1085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二、招标文件</w:t>
      </w:r>
      <w:r>
        <w:tab/>
      </w:r>
      <w:r>
        <w:fldChar w:fldCharType="begin"/>
      </w:r>
      <w:r>
        <w:instrText xml:space="preserve"> PAGEREF _Toc1085 \h </w:instrText>
      </w:r>
      <w:r>
        <w:fldChar w:fldCharType="separate"/>
      </w:r>
      <w:r>
        <w:t>14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_Toc10238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三、投标文件</w:t>
      </w:r>
      <w:r>
        <w:tab/>
      </w:r>
      <w:r>
        <w:fldChar w:fldCharType="begin"/>
      </w:r>
      <w:r>
        <w:instrText xml:space="preserve"> PAGEREF _Toc10238 \h </w:instrText>
      </w:r>
      <w:r>
        <w:fldChar w:fldCharType="separate"/>
      </w:r>
      <w:r>
        <w:t>15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_Toc27348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四、投标</w:t>
      </w:r>
      <w:r>
        <w:tab/>
      </w:r>
      <w:r>
        <w:fldChar w:fldCharType="begin"/>
      </w:r>
      <w:r>
        <w:instrText xml:space="preserve"> PAGEREF _Toc27348 \h </w:instrText>
      </w:r>
      <w:r>
        <w:fldChar w:fldCharType="separate"/>
      </w:r>
      <w:r>
        <w:t>17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_Toc31415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五、开标</w:t>
      </w:r>
      <w:r>
        <w:tab/>
      </w:r>
      <w:r>
        <w:fldChar w:fldCharType="begin"/>
      </w:r>
      <w:r>
        <w:instrText xml:space="preserve"> PAGEREF _Toc31415 \h </w:instrText>
      </w:r>
      <w:r>
        <w:fldChar w:fldCharType="separate"/>
      </w:r>
      <w:r>
        <w:t>18</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_Toc22989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六、评标</w:t>
      </w:r>
      <w:r>
        <w:tab/>
      </w:r>
      <w:r>
        <w:fldChar w:fldCharType="begin"/>
      </w:r>
      <w:r>
        <w:instrText xml:space="preserve"> PAGEREF _Toc22989 \h </w:instrText>
      </w:r>
      <w:r>
        <w:fldChar w:fldCharType="separate"/>
      </w:r>
      <w:r>
        <w:t>19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_Toc2169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七、中标结果</w:t>
      </w:r>
      <w:r>
        <w:tab/>
      </w:r>
      <w:r>
        <w:fldChar w:fldCharType="begin"/>
      </w:r>
      <w:r>
        <w:instrText xml:space="preserve"> PAGEREF _Toc2169 \h </w:instrText>
      </w:r>
      <w:r>
        <w:fldChar w:fldCharType="separate"/>
      </w:r>
      <w:r>
        <w:t>20</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_Toc28698 </w:instrText>
      </w:r>
      <w:r>
        <w:rPr>
          <w:rFonts w:hint="eastAsia" w:ascii="仿宋" w:hAnsi="仿宋" w:eastAsia="仿宋" w:cs="仿宋"/>
          <w:highlight w:val="none"/>
        </w:rPr>
        <w:fldChar w:fldCharType="separate"/>
      </w:r>
      <w:r>
        <w:rPr>
          <w:rFonts w:hint="eastAsia" w:ascii="仿宋" w:hAnsi="仿宋" w:eastAsia="仿宋" w:cs="仿宋"/>
          <w:szCs w:val="30"/>
          <w:highlight w:val="none"/>
        </w:rPr>
        <w:t>八、其他事项</w:t>
      </w:r>
      <w:r>
        <w:tab/>
      </w:r>
      <w:r>
        <w:fldChar w:fldCharType="begin"/>
      </w:r>
      <w:r>
        <w:instrText xml:space="preserve"> PAGEREF _Toc28698 \h </w:instrText>
      </w:r>
      <w:r>
        <w:fldChar w:fldCharType="separate"/>
      </w:r>
      <w:r>
        <w:t>22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_Toc6143 </w:instrText>
      </w:r>
      <w:r>
        <w:rPr>
          <w:rFonts w:hint="eastAsia" w:ascii="仿宋" w:hAnsi="仿宋" w:eastAsia="仿宋" w:cs="仿宋"/>
          <w:highlight w:val="none"/>
        </w:rPr>
        <w:fldChar w:fldCharType="separate"/>
      </w:r>
      <w:r>
        <w:rPr>
          <w:rFonts w:hint="eastAsia" w:ascii="仿宋" w:hAnsi="仿宋" w:eastAsia="仿宋" w:cs="仿宋"/>
          <w:highlight w:val="none"/>
        </w:rPr>
        <w:t>第三章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合同书样式及主要条款</w:t>
      </w:r>
      <w:r>
        <w:tab/>
      </w:r>
      <w:r>
        <w:fldChar w:fldCharType="begin"/>
      </w:r>
      <w:r>
        <w:instrText xml:space="preserve"> PAGEREF _Toc6143 \h </w:instrText>
      </w:r>
      <w:r>
        <w:fldChar w:fldCharType="separate"/>
      </w:r>
      <w:r>
        <w:t>24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_Toc5862 </w:instrText>
      </w:r>
      <w:r>
        <w:rPr>
          <w:rFonts w:hint="eastAsia" w:ascii="仿宋" w:hAnsi="仿宋" w:eastAsia="仿宋" w:cs="仿宋"/>
          <w:highlight w:val="none"/>
        </w:rPr>
        <w:fldChar w:fldCharType="separate"/>
      </w:r>
      <w:r>
        <w:rPr>
          <w:rFonts w:hint="eastAsia" w:ascii="仿宋" w:hAnsi="仿宋" w:eastAsia="仿宋" w:cs="仿宋"/>
          <w:highlight w:val="none"/>
        </w:rPr>
        <w:t>第四章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投标文件格式</w:t>
      </w:r>
      <w:r>
        <w:tab/>
      </w:r>
      <w:r>
        <w:fldChar w:fldCharType="begin"/>
      </w:r>
      <w:r>
        <w:instrText xml:space="preserve"> PAGEREF _Toc5862 \h </w:instrText>
      </w:r>
      <w:r>
        <w:fldChar w:fldCharType="separate"/>
      </w:r>
      <w:r>
        <w:t>43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_Toc15770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一、投标文件封面</w:t>
      </w:r>
      <w:r>
        <w:tab/>
      </w:r>
      <w:r>
        <w:fldChar w:fldCharType="begin"/>
      </w:r>
      <w:r>
        <w:instrText xml:space="preserve"> PAGEREF _Toc15770 \h </w:instrText>
      </w:r>
      <w:r>
        <w:fldChar w:fldCharType="separate"/>
      </w:r>
      <w:r>
        <w:t>43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_Toc2486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二、开标一览表</w:t>
      </w:r>
      <w:r>
        <w:tab/>
      </w:r>
      <w:r>
        <w:fldChar w:fldCharType="begin"/>
      </w:r>
      <w:r>
        <w:instrText xml:space="preserve"> PAGEREF _Toc2486 \h </w:instrText>
      </w:r>
      <w:r>
        <w:fldChar w:fldCharType="separate"/>
      </w:r>
      <w:r>
        <w:t>44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_Toc9576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、资格审查文件部分</w:t>
      </w:r>
      <w:r>
        <w:tab/>
      </w:r>
      <w:r>
        <w:fldChar w:fldCharType="begin"/>
      </w:r>
      <w:r>
        <w:instrText xml:space="preserve"> PAGEREF _Toc9576 \h </w:instrText>
      </w:r>
      <w:r>
        <w:fldChar w:fldCharType="separate"/>
      </w:r>
      <w:r>
        <w:t>45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_Toc20528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、技术标部分</w:t>
      </w:r>
      <w:r>
        <w:tab/>
      </w:r>
      <w:r>
        <w:fldChar w:fldCharType="begin"/>
      </w:r>
      <w:r>
        <w:instrText xml:space="preserve"> PAGEREF _Toc20528 \h </w:instrText>
      </w:r>
      <w:r>
        <w:fldChar w:fldCharType="separate"/>
      </w:r>
      <w:r>
        <w:t>47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_Toc7285 </w:instrText>
      </w:r>
      <w:r>
        <w:rPr>
          <w:rFonts w:hint="eastAsia" w:ascii="仿宋" w:hAnsi="仿宋" w:eastAsia="仿宋" w:cs="仿宋"/>
          <w:highlight w:val="none"/>
        </w:rPr>
        <w:fldChar w:fldCharType="separate"/>
      </w:r>
      <w:r>
        <w:rPr>
          <w:rFonts w:hint="eastAsia" w:ascii="仿宋" w:hAnsi="仿宋" w:eastAsia="仿宋" w:cs="仿宋"/>
          <w:szCs w:val="30"/>
          <w:highlight w:val="none"/>
          <w:lang w:eastAsia="zh-CN"/>
        </w:rPr>
        <w:t>五</w:t>
      </w:r>
      <w:r>
        <w:rPr>
          <w:rFonts w:hint="eastAsia" w:ascii="仿宋" w:hAnsi="仿宋" w:eastAsia="仿宋" w:cs="仿宋"/>
          <w:szCs w:val="30"/>
          <w:highlight w:val="none"/>
        </w:rPr>
        <w:t>、商务标部分</w:t>
      </w:r>
      <w:r>
        <w:tab/>
      </w:r>
      <w:r>
        <w:fldChar w:fldCharType="begin"/>
      </w:r>
      <w:r>
        <w:instrText xml:space="preserve"> PAGEREF _Toc7285 \h </w:instrText>
      </w:r>
      <w:r>
        <w:fldChar w:fldCharType="separate"/>
      </w:r>
      <w:r>
        <w:t>49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_Toc16192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第五章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tab/>
      </w:r>
      <w:r>
        <w:fldChar w:fldCharType="begin"/>
      </w:r>
      <w:r>
        <w:instrText xml:space="preserve"> PAGEREF _Toc16192 \h </w:instrText>
      </w:r>
      <w:r>
        <w:fldChar w:fldCharType="separate"/>
      </w:r>
      <w:r>
        <w:t>66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_Toc14271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一、设备采购需求</w:t>
      </w:r>
      <w:r>
        <w:tab/>
      </w:r>
      <w:r>
        <w:fldChar w:fldCharType="begin"/>
      </w:r>
      <w:r>
        <w:instrText xml:space="preserve"> PAGEREF _Toc14271 \h </w:instrText>
      </w:r>
      <w:r>
        <w:fldChar w:fldCharType="separate"/>
      </w:r>
      <w:r>
        <w:t>66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_Toc1165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二、配套试剂耗材采购需求</w:t>
      </w:r>
      <w:r>
        <w:tab/>
      </w:r>
      <w:r>
        <w:fldChar w:fldCharType="begin"/>
      </w:r>
      <w:r>
        <w:instrText xml:space="preserve"> PAGEREF _Toc1165 \h </w:instrText>
      </w:r>
      <w:r>
        <w:fldChar w:fldCharType="separate"/>
      </w:r>
      <w:r>
        <w:t>79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_Toc12400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三、整体项目</w:t>
      </w:r>
      <w:r>
        <w:rPr>
          <w:rFonts w:hint="default" w:ascii="仿宋" w:hAnsi="仿宋" w:eastAsia="仿宋" w:cs="仿宋"/>
          <w:bCs w:val="0"/>
          <w:szCs w:val="30"/>
          <w:highlight w:val="none"/>
          <w:lang w:val="en-US" w:eastAsia="zh-CN"/>
        </w:rPr>
        <w:t>ISO15189医学实验室认可咨询及指导服务要求</w:t>
      </w:r>
      <w:r>
        <w:tab/>
      </w:r>
      <w:r>
        <w:fldChar w:fldCharType="begin"/>
      </w:r>
      <w:r>
        <w:instrText xml:space="preserve"> PAGEREF _Toc12400 \h </w:instrText>
      </w:r>
      <w:r>
        <w:fldChar w:fldCharType="separate"/>
      </w:r>
      <w:r>
        <w:t>85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_Toc5711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第六章</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评标办法</w:t>
      </w:r>
      <w:r>
        <w:tab/>
      </w:r>
      <w:r>
        <w:fldChar w:fldCharType="begin"/>
      </w:r>
      <w:r>
        <w:instrText xml:space="preserve"> PAGEREF _Toc5711 \h </w:instrText>
      </w:r>
      <w:r>
        <w:fldChar w:fldCharType="separate"/>
      </w:r>
      <w:r>
        <w:t>87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_Toc1739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_Toc1739 \h </w:instrText>
      </w:r>
      <w:r>
        <w:fldChar w:fldCharType="separate"/>
      </w:r>
      <w:r>
        <w:t>87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_Toc29439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一、评标方法</w:t>
      </w:r>
      <w:r>
        <w:tab/>
      </w:r>
      <w:r>
        <w:fldChar w:fldCharType="begin"/>
      </w:r>
      <w:r>
        <w:instrText xml:space="preserve"> PAGEREF _Toc29439 \h </w:instrText>
      </w:r>
      <w:r>
        <w:fldChar w:fldCharType="separate"/>
      </w:r>
      <w:r>
        <w:t>92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_Toc18845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二、评标委员会</w:t>
      </w:r>
      <w:r>
        <w:tab/>
      </w:r>
      <w:r>
        <w:fldChar w:fldCharType="begin"/>
      </w:r>
      <w:r>
        <w:instrText xml:space="preserve"> PAGEREF _Toc18845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_Toc14212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三、评标原则</w:t>
      </w:r>
      <w:r>
        <w:tab/>
      </w:r>
      <w:r>
        <w:fldChar w:fldCharType="begin"/>
      </w:r>
      <w:r>
        <w:instrText xml:space="preserve"> PAGEREF _Toc14212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_Toc3643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四、评标纪律</w:t>
      </w:r>
      <w:r>
        <w:tab/>
      </w:r>
      <w:r>
        <w:fldChar w:fldCharType="begin"/>
      </w:r>
      <w:r>
        <w:instrText xml:space="preserve"> PAGEREF _Toc3643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_Toc1990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五、评标程序和标准</w:t>
      </w:r>
      <w:r>
        <w:tab/>
      </w:r>
      <w:r>
        <w:fldChar w:fldCharType="begin"/>
      </w:r>
      <w:r>
        <w:instrText xml:space="preserve"> PAGEREF _Toc1990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0"/>
        <w:shd w:val="clear"/>
        <w:spacing w:before="0" w:line="300" w:lineRule="exact"/>
        <w:rPr>
          <w:rFonts w:hint="eastAsia" w:ascii="仿宋" w:hAnsi="仿宋" w:eastAsia="仿宋" w:cs="仿宋"/>
          <w:color w:val="000000" w:themeColor="text1"/>
          <w:highlight w:val="none"/>
          <w14:textFill>
            <w14:solidFill>
              <w14:schemeClr w14:val="tx1"/>
            </w14:solidFill>
          </w14:textFill>
        </w:rPr>
        <w:sectPr>
          <w:footerReference r:id="rId5" w:type="default"/>
          <w:pgSz w:w="11906" w:h="16838"/>
          <w:pgMar w:top="1418" w:right="1247" w:bottom="1418" w:left="1247" w:header="850" w:footer="851" w:gutter="0"/>
          <w:pgNumType w:start="1"/>
          <w:cols w:space="720" w:num="1"/>
          <w:docGrid w:linePitch="312" w:charSpace="0"/>
        </w:sectPr>
      </w:pPr>
      <w:r>
        <w:rPr>
          <w:rFonts w:hint="eastAsia" w:ascii="仿宋" w:hAnsi="仿宋" w:eastAsia="仿宋" w:cs="仿宋"/>
          <w:color w:val="000000" w:themeColor="text1"/>
          <w:highlight w:val="none"/>
          <w14:textFill>
            <w14:solidFill>
              <w14:schemeClr w14:val="tx1"/>
            </w14:solidFill>
          </w14:textFill>
        </w:rPr>
        <w:fldChar w:fldCharType="end"/>
      </w:r>
      <w:bookmarkStart w:id="0" w:name="_Toc244341279"/>
      <w:bookmarkStart w:id="1" w:name="_Toc364392598"/>
      <w:bookmarkStart w:id="2" w:name="_Toc13887"/>
      <w:bookmarkStart w:id="3" w:name="_Toc5293"/>
      <w:bookmarkStart w:id="4" w:name="_Toc18506"/>
      <w:bookmarkStart w:id="5" w:name="_Toc23332"/>
      <w:bookmarkStart w:id="6" w:name="_Toc4779"/>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7" w:name="_Toc2752"/>
      <w:r>
        <w:rPr>
          <w:rFonts w:hint="eastAsia" w:ascii="仿宋" w:hAnsi="仿宋" w:eastAsia="仿宋" w:cs="仿宋"/>
          <w:color w:val="000000" w:themeColor="text1"/>
          <w:highlight w:val="none"/>
          <w14:textFill>
            <w14:solidFill>
              <w14:schemeClr w14:val="tx1"/>
            </w14:solidFill>
          </w14:textFill>
        </w:rPr>
        <w:t>第一章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招标</w:t>
      </w:r>
      <w:bookmarkEnd w:id="0"/>
      <w:bookmarkEnd w:id="1"/>
      <w:r>
        <w:rPr>
          <w:rFonts w:hint="eastAsia" w:ascii="仿宋" w:hAnsi="仿宋" w:eastAsia="仿宋" w:cs="仿宋"/>
          <w:color w:val="000000" w:themeColor="text1"/>
          <w:highlight w:val="none"/>
          <w14:textFill>
            <w14:solidFill>
              <w14:schemeClr w14:val="tx1"/>
            </w14:solidFill>
          </w14:textFill>
        </w:rPr>
        <w:t>公告</w:t>
      </w:r>
      <w:bookmarkEnd w:id="2"/>
      <w:bookmarkEnd w:id="3"/>
      <w:bookmarkEnd w:id="4"/>
      <w:bookmarkEnd w:id="5"/>
      <w:bookmarkEnd w:id="6"/>
      <w:bookmarkEnd w:id="7"/>
    </w:p>
    <w:p>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right="0" w:rightChars="0"/>
        <w:jc w:val="center"/>
        <w:textAlignment w:val="auto"/>
        <w:rPr>
          <w:rFonts w:hint="default" w:ascii="仿宋" w:hAnsi="仿宋" w:eastAsia="仿宋" w:cs="仿宋"/>
          <w:b/>
          <w:color w:val="000000" w:themeColor="text1"/>
          <w:kern w:val="0"/>
          <w:sz w:val="24"/>
          <w:szCs w:val="22"/>
          <w:highlight w:val="none"/>
          <w:u w:val="none"/>
          <w:lang w:val="en-US" w:eastAsia="zh-CN"/>
          <w14:textFill>
            <w14:solidFill>
              <w14:schemeClr w14:val="tx1"/>
            </w14:solidFill>
          </w14:textFill>
        </w:rPr>
      </w:pPr>
      <w:bookmarkStart w:id="8" w:name="_Toc17257"/>
      <w:bookmarkStart w:id="9" w:name="_Toc13484"/>
      <w:bookmarkStart w:id="10" w:name="_Toc29102"/>
      <w:bookmarkStart w:id="11" w:name="_Toc1850"/>
      <w:bookmarkStart w:id="12" w:name="_Toc7911"/>
      <w:r>
        <w:rPr>
          <w:rFonts w:hint="eastAsia" w:ascii="仿宋" w:hAnsi="仿宋" w:eastAsia="仿宋" w:cs="仿宋"/>
          <w:b/>
          <w:color w:val="000000" w:themeColor="text1"/>
          <w:kern w:val="0"/>
          <w:sz w:val="24"/>
          <w:szCs w:val="22"/>
          <w:highlight w:val="none"/>
          <w:u w:val="none"/>
          <w:lang w:val="en-US" w:eastAsia="zh-CN"/>
          <w14:textFill>
            <w14:solidFill>
              <w14:schemeClr w14:val="tx1"/>
            </w14:solidFill>
          </w14:textFill>
        </w:rPr>
        <w:t>项目概况</w:t>
      </w:r>
    </w:p>
    <w:p>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0"/>
          <w:sz w:val="24"/>
          <w:szCs w:val="22"/>
          <w:highlight w:val="none"/>
          <w:u w:val="none"/>
          <w:lang w:eastAsia="zh-CN"/>
          <w14:textFill>
            <w14:solidFill>
              <w14:schemeClr w14:val="tx1"/>
            </w14:solidFill>
          </w14:textFill>
        </w:rPr>
        <w:t>丽江市人民医院检验科第一批设备及配套试剂耗材采购项目</w:t>
      </w:r>
      <w:r>
        <w:rPr>
          <w:rFonts w:hint="eastAsia" w:ascii="仿宋" w:hAnsi="仿宋" w:eastAsia="仿宋" w:cs="仿宋"/>
          <w:b/>
          <w:color w:val="000000" w:themeColor="text1"/>
          <w:kern w:val="0"/>
          <w:sz w:val="24"/>
          <w:szCs w:val="22"/>
          <w:highlight w:val="none"/>
          <w:u w:val="none"/>
          <w14:textFill>
            <w14:solidFill>
              <w14:schemeClr w14:val="tx1"/>
            </w14:solidFill>
          </w14:textFill>
        </w:rPr>
        <w:t>公开招标</w:t>
      </w:r>
      <w:r>
        <w:rPr>
          <w:rFonts w:hint="eastAsia" w:ascii="仿宋" w:hAnsi="仿宋" w:eastAsia="仿宋" w:cs="仿宋"/>
          <w:bCs/>
          <w:color w:val="000000" w:themeColor="text1"/>
          <w:kern w:val="0"/>
          <w:sz w:val="24"/>
          <w:szCs w:val="22"/>
          <w:highlight w:val="none"/>
          <w14:textFill>
            <w14:solidFill>
              <w14:schemeClr w14:val="tx1"/>
            </w14:solidFill>
          </w14:textFill>
        </w:rPr>
        <w:t>的潜在投标人</w:t>
      </w:r>
      <w:r>
        <w:rPr>
          <w:rFonts w:hint="eastAsia" w:ascii="仿宋" w:hAnsi="仿宋" w:eastAsia="仿宋" w:cs="仿宋"/>
          <w:bCs/>
          <w:color w:val="000000" w:themeColor="text1"/>
          <w:sz w:val="24"/>
          <w:highlight w:val="none"/>
          <w14:textFill>
            <w14:solidFill>
              <w14:schemeClr w14:val="tx1"/>
            </w14:solidFill>
          </w14:textFill>
        </w:rPr>
        <w:t>应</w:t>
      </w:r>
      <w:r>
        <w:rPr>
          <w:rFonts w:hint="eastAsia" w:ascii="仿宋" w:hAnsi="仿宋" w:eastAsia="仿宋" w:cs="仿宋"/>
          <w:b w:val="0"/>
          <w:bCs/>
          <w:color w:val="000000" w:themeColor="text1"/>
          <w:sz w:val="24"/>
          <w:highlight w:val="none"/>
          <w14:textFill>
            <w14:solidFill>
              <w14:schemeClr w14:val="tx1"/>
            </w14:solidFill>
          </w14:textFill>
        </w:rPr>
        <w:t>在</w:t>
      </w:r>
      <w:r>
        <w:rPr>
          <w:rFonts w:hint="eastAsia" w:ascii="仿宋" w:hAnsi="仿宋" w:eastAsia="仿宋" w:cs="仿宋"/>
          <w:b/>
          <w:bCs/>
          <w:color w:val="000000" w:themeColor="text1"/>
          <w:sz w:val="24"/>
          <w:highlight w:val="none"/>
          <w:lang w:eastAsia="zh-CN"/>
          <w14:textFill>
            <w14:solidFill>
              <w14:schemeClr w14:val="tx1"/>
            </w14:solidFill>
          </w14:textFill>
        </w:rPr>
        <w:t>政采云平台（https://www.zcygov.cn/）</w: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begin"/>
      </w:r>
      <w:r>
        <w:rPr>
          <w:rStyle w:val="26"/>
          <w:rFonts w:hint="eastAsia" w:ascii="仿宋" w:hAnsi="仿宋" w:eastAsia="仿宋" w:cs="仿宋"/>
          <w:b/>
          <w:color w:val="000000" w:themeColor="text1"/>
          <w:sz w:val="24"/>
          <w:szCs w:val="22"/>
          <w:highlight w:val="none"/>
          <w14:textFill>
            <w14:solidFill>
              <w14:schemeClr w14:val="tx1"/>
            </w14:solidFill>
          </w14:textFill>
        </w:rPr>
        <w:instrText xml:space="preserve"> HYPERLINK "http://116.55.195.54:8001/#/homePage，点击切换至\“丽江市\”）获取招标文件，并于2022年" </w:instrTex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separate"/>
      </w:r>
      <w:r>
        <w:rPr>
          <w:rStyle w:val="26"/>
          <w:rFonts w:hint="eastAsia" w:ascii="仿宋" w:hAnsi="仿宋" w:eastAsia="仿宋" w:cs="仿宋"/>
          <w:b w:val="0"/>
          <w:bCs/>
          <w:color w:val="000000" w:themeColor="text1"/>
          <w:sz w:val="24"/>
          <w:szCs w:val="22"/>
          <w:highlight w:val="none"/>
          <w14:textFill>
            <w14:solidFill>
              <w14:schemeClr w14:val="tx1"/>
            </w14:solidFill>
          </w14:textFill>
        </w:rPr>
        <w:t>获取招标文件，</w:t>
      </w:r>
      <w:r>
        <w:rPr>
          <w:rStyle w:val="26"/>
          <w:rFonts w:hint="eastAsia" w:ascii="仿宋" w:hAnsi="仿宋" w:eastAsia="仿宋" w:cs="仿宋"/>
          <w:b/>
          <w:color w:val="000000" w:themeColor="text1"/>
          <w:sz w:val="24"/>
          <w:szCs w:val="22"/>
          <w:highlight w:val="none"/>
          <w14:textFill>
            <w14:solidFill>
              <w14:schemeClr w14:val="tx1"/>
            </w14:solidFill>
          </w14:textFill>
        </w:rPr>
        <w:t>并于202</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4</w:t>
      </w:r>
      <w:r>
        <w:rPr>
          <w:rStyle w:val="26"/>
          <w:rFonts w:hint="eastAsia" w:ascii="仿宋" w:hAnsi="仿宋" w:eastAsia="仿宋" w:cs="仿宋"/>
          <w:b/>
          <w:color w:val="000000" w:themeColor="text1"/>
          <w:sz w:val="24"/>
          <w:szCs w:val="22"/>
          <w:highlight w:val="none"/>
          <w14:textFill>
            <w14:solidFill>
              <w14:schemeClr w14:val="tx1"/>
            </w14:solidFill>
          </w14:textFill>
        </w:rPr>
        <w:t>年</w: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end"/>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07</w:t>
      </w:r>
      <w:r>
        <w:rPr>
          <w:rStyle w:val="26"/>
          <w:rFonts w:hint="eastAsia" w:ascii="仿宋" w:hAnsi="仿宋" w:eastAsia="仿宋" w:cs="仿宋"/>
          <w:b/>
          <w:color w:val="000000" w:themeColor="text1"/>
          <w:sz w:val="24"/>
          <w:szCs w:val="22"/>
          <w:highlight w:val="none"/>
          <w14:textFill>
            <w14:solidFill>
              <w14:schemeClr w14:val="tx1"/>
            </w14:solidFill>
          </w14:textFill>
        </w:rPr>
        <w:t>月</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26</w:t>
      </w:r>
      <w:r>
        <w:rPr>
          <w:rStyle w:val="26"/>
          <w:rFonts w:hint="eastAsia" w:ascii="仿宋" w:hAnsi="仿宋" w:eastAsia="仿宋" w:cs="仿宋"/>
          <w:b/>
          <w:color w:val="000000" w:themeColor="text1"/>
          <w:sz w:val="24"/>
          <w:szCs w:val="22"/>
          <w:highlight w:val="none"/>
          <w14:textFill>
            <w14:solidFill>
              <w14:schemeClr w14:val="tx1"/>
            </w14:solidFill>
          </w14:textFill>
        </w:rPr>
        <w:t>日</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09</w:t>
      </w:r>
      <w:r>
        <w:rPr>
          <w:rStyle w:val="26"/>
          <w:rFonts w:hint="eastAsia" w:ascii="仿宋" w:hAnsi="仿宋" w:eastAsia="仿宋" w:cs="仿宋"/>
          <w:b/>
          <w:color w:val="000000" w:themeColor="text1"/>
          <w:sz w:val="24"/>
          <w:szCs w:val="22"/>
          <w:highlight w:val="none"/>
          <w14:textFill>
            <w14:solidFill>
              <w14:schemeClr w14:val="tx1"/>
            </w14:solidFill>
          </w14:textFill>
        </w:rPr>
        <w:t>点</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30</w:t>
      </w:r>
      <w:r>
        <w:rPr>
          <w:rStyle w:val="26"/>
          <w:rFonts w:hint="eastAsia" w:ascii="仿宋" w:hAnsi="仿宋" w:eastAsia="仿宋" w:cs="仿宋"/>
          <w:b/>
          <w:color w:val="000000" w:themeColor="text1"/>
          <w:sz w:val="24"/>
          <w:szCs w:val="22"/>
          <w:highlight w:val="none"/>
          <w14:textFill>
            <w14:solidFill>
              <w14:schemeClr w14:val="tx1"/>
            </w14:solidFill>
          </w14:textFill>
        </w:rPr>
        <w:t>分</w:t>
      </w:r>
      <w:r>
        <w:rPr>
          <w:rStyle w:val="26"/>
          <w:rFonts w:hint="eastAsia" w:ascii="仿宋" w:hAnsi="仿宋" w:eastAsia="仿宋" w:cs="仿宋"/>
          <w:b/>
          <w:color w:val="000000" w:themeColor="text1"/>
          <w:sz w:val="24"/>
          <w:szCs w:val="22"/>
          <w:highlight w:val="none"/>
          <w:u w:val="none"/>
          <w14:textFill>
            <w14:solidFill>
              <w14:schemeClr w14:val="tx1"/>
            </w14:solidFill>
          </w14:textFill>
        </w:rPr>
        <w:t>（</w:t>
      </w:r>
      <w:r>
        <w:rPr>
          <w:rFonts w:hint="eastAsia" w:ascii="仿宋" w:hAnsi="仿宋" w:eastAsia="仿宋" w:cs="仿宋"/>
          <w:b/>
          <w:color w:val="000000" w:themeColor="text1"/>
          <w:sz w:val="24"/>
          <w:highlight w:val="none"/>
          <w:u w:val="none"/>
          <w14:textFill>
            <w14:solidFill>
              <w14:schemeClr w14:val="tx1"/>
            </w14:solidFill>
          </w14:textFill>
        </w:rPr>
        <w:t>北京时间）</w:t>
      </w:r>
      <w:r>
        <w:rPr>
          <w:rFonts w:hint="eastAsia" w:ascii="仿宋" w:hAnsi="仿宋" w:eastAsia="仿宋" w:cs="仿宋"/>
          <w:bCs/>
          <w:color w:val="000000" w:themeColor="text1"/>
          <w:sz w:val="24"/>
          <w:highlight w:val="none"/>
          <w14:textFill>
            <w14:solidFill>
              <w14:schemeClr w14:val="tx1"/>
            </w14:solidFill>
          </w14:textFill>
        </w:rPr>
        <w:t>前提交投标文件。</w:t>
      </w:r>
    </w:p>
    <w:p>
      <w:pPr>
        <w:pStyle w:val="5"/>
        <w:shd w:val="clear"/>
        <w:spacing w:before="240" w:beforeLines="100" w:line="360" w:lineRule="auto"/>
        <w:ind w:firstLine="187" w:firstLineChars="62"/>
        <w:outlineLvl w:val="1"/>
        <w:rPr>
          <w:rFonts w:hint="eastAsia" w:ascii="仿宋" w:hAnsi="仿宋" w:eastAsia="仿宋" w:cs="仿宋"/>
          <w:color w:val="000000" w:themeColor="text1"/>
          <w:highlight w:val="none"/>
          <w14:textFill>
            <w14:solidFill>
              <w14:schemeClr w14:val="tx1"/>
            </w14:solidFill>
          </w14:textFill>
        </w:rPr>
      </w:pPr>
      <w:bookmarkStart w:id="13" w:name="_Toc185"/>
      <w:r>
        <w:rPr>
          <w:rFonts w:hint="eastAsia" w:ascii="仿宋" w:hAnsi="仿宋" w:eastAsia="仿宋" w:cs="仿宋"/>
          <w:color w:val="000000" w:themeColor="text1"/>
          <w:sz w:val="30"/>
          <w:szCs w:val="30"/>
          <w:highlight w:val="none"/>
          <w14:textFill>
            <w14:solidFill>
              <w14:schemeClr w14:val="tx1"/>
            </w14:solidFill>
          </w14:textFill>
        </w:rPr>
        <w:t>一、项目基本情况</w:t>
      </w:r>
      <w:bookmarkEnd w:id="8"/>
      <w:bookmarkEnd w:id="9"/>
      <w:bookmarkEnd w:id="10"/>
      <w:bookmarkEnd w:id="11"/>
      <w:bookmarkEnd w:id="13"/>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1.项目编号：</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 LJZC2024-G1-00224-YNLB-0220</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2.项目名称：</w:t>
      </w:r>
      <w:r>
        <w:rPr>
          <w:rFonts w:hint="eastAsia" w:ascii="仿宋" w:hAnsi="仿宋" w:eastAsia="仿宋" w:cs="仿宋"/>
          <w:color w:val="000000" w:themeColor="text1"/>
          <w:sz w:val="24"/>
          <w:szCs w:val="22"/>
          <w:highlight w:val="none"/>
          <w:lang w:eastAsia="zh-CN"/>
          <w14:textFill>
            <w14:solidFill>
              <w14:schemeClr w14:val="tx1"/>
            </w14:solidFill>
          </w14:textFill>
        </w:rPr>
        <w:t>丽江市人民医院检验科第一批设备及配套试剂耗材采购项目</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3.预算金额</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4.最高限价</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5.采购需求：</w:t>
      </w:r>
    </w:p>
    <w:tbl>
      <w:tblPr>
        <w:tblStyle w:val="22"/>
        <w:tblW w:w="9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2"/>
        <w:gridCol w:w="385"/>
        <w:gridCol w:w="566"/>
        <w:gridCol w:w="3680"/>
        <w:gridCol w:w="473"/>
        <w:gridCol w:w="577"/>
        <w:gridCol w:w="1518"/>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trPr>
        <w:tc>
          <w:tcPr>
            <w:tcW w:w="342"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序号</w:t>
            </w:r>
          </w:p>
        </w:tc>
        <w:tc>
          <w:tcPr>
            <w:tcW w:w="385" w:type="dxa"/>
            <w:vAlign w:val="center"/>
          </w:tcPr>
          <w:p>
            <w:pPr>
              <w:widowControl/>
              <w:shd w:val="clear"/>
              <w:jc w:val="center"/>
              <w:rPr>
                <w:rFonts w:hint="eastAsia" w:ascii="仿宋" w:hAnsi="仿宋" w:eastAsia="仿宋" w:cs="仿宋"/>
                <w:b/>
                <w:bCs/>
                <w:strike w:val="0"/>
                <w:dstrike w:val="0"/>
                <w:color w:val="000000" w:themeColor="text1"/>
                <w:kern w:val="0"/>
                <w:sz w:val="24"/>
                <w:szCs w:val="24"/>
                <w:highlight w:val="none"/>
                <w14:textFill>
                  <w14:solidFill>
                    <w14:schemeClr w14:val="tx1"/>
                  </w14:solidFill>
                </w14:textFill>
              </w:rPr>
            </w:pPr>
            <w:r>
              <w:rPr>
                <w:rFonts w:hint="eastAsia" w:ascii="仿宋" w:hAnsi="仿宋" w:eastAsia="仿宋" w:cs="仿宋"/>
                <w:b/>
                <w:bCs/>
                <w:strike w:val="0"/>
                <w:dstrike w:val="0"/>
                <w:color w:val="000000" w:themeColor="text1"/>
                <w:kern w:val="0"/>
                <w:sz w:val="24"/>
                <w:szCs w:val="24"/>
                <w:highlight w:val="none"/>
                <w14:textFill>
                  <w14:solidFill>
                    <w14:schemeClr w14:val="tx1"/>
                  </w14:solidFill>
                </w14:textFill>
              </w:rPr>
              <w:t>标段</w:t>
            </w:r>
          </w:p>
        </w:tc>
        <w:tc>
          <w:tcPr>
            <w:tcW w:w="566"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是否进口</w:t>
            </w:r>
          </w:p>
        </w:tc>
        <w:tc>
          <w:tcPr>
            <w:tcW w:w="3680"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eastAsia="zh-CN"/>
                <w14:textFill>
                  <w14:solidFill>
                    <w14:schemeClr w14:val="tx1"/>
                  </w14:solidFill>
                </w14:textFill>
              </w:rPr>
              <w:t>设备、配套试剂耗材名称</w:t>
            </w:r>
          </w:p>
        </w:tc>
        <w:tc>
          <w:tcPr>
            <w:tcW w:w="473"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数量</w:t>
            </w:r>
          </w:p>
        </w:tc>
        <w:tc>
          <w:tcPr>
            <w:tcW w:w="577"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计量单位</w:t>
            </w:r>
          </w:p>
        </w:tc>
        <w:tc>
          <w:tcPr>
            <w:tcW w:w="1518"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预算单价</w:t>
            </w:r>
            <w:r>
              <w:rPr>
                <w:rFonts w:hint="eastAsia" w:ascii="仿宋" w:hAnsi="仿宋" w:eastAsia="仿宋" w:cs="仿宋"/>
                <w:b/>
                <w:bCs/>
                <w:color w:val="000000" w:themeColor="text1"/>
                <w:kern w:val="0"/>
                <w:sz w:val="24"/>
                <w:szCs w:val="24"/>
                <w:highlight w:val="none"/>
                <w14:textFill>
                  <w14:solidFill>
                    <w14:schemeClr w14:val="tx1"/>
                  </w14:solidFill>
                </w14:textFill>
              </w:rPr>
              <w:t>(元)</w:t>
            </w:r>
          </w:p>
        </w:tc>
        <w:tc>
          <w:tcPr>
            <w:tcW w:w="1591" w:type="dxa"/>
            <w:vAlign w:val="center"/>
          </w:tcPr>
          <w:p>
            <w:pPr>
              <w:widowControl/>
              <w:shd w:val="clear"/>
              <w:jc w:val="cente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预算金额合计（元）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p>
        </w:tc>
        <w:tc>
          <w:tcPr>
            <w:tcW w:w="385" w:type="dxa"/>
            <w:vMerge w:val="restart"/>
            <w:vAlign w:val="center"/>
          </w:tcPr>
          <w:p>
            <w:pPr>
              <w:widowControl/>
              <w:shd w:val="clear"/>
              <w:jc w:val="center"/>
              <w:rPr>
                <w:rFonts w:hint="eastAsia" w:ascii="仿宋" w:hAnsi="仿宋" w:eastAsia="仿宋" w:cs="仿宋"/>
                <w:strike w:val="0"/>
                <w:dstrike w:val="0"/>
                <w:color w:val="000000" w:themeColor="text1"/>
                <w:kern w:val="0"/>
                <w:sz w:val="24"/>
                <w:szCs w:val="24"/>
                <w:highlight w:val="none"/>
                <w14:textFill>
                  <w14:solidFill>
                    <w14:schemeClr w14:val="tx1"/>
                  </w14:solidFill>
                </w14:textFill>
              </w:rPr>
            </w:pPr>
            <w:r>
              <w:rPr>
                <w:rFonts w:hint="eastAsia" w:ascii="仿宋" w:hAnsi="仿宋" w:eastAsia="仿宋" w:cs="仿宋"/>
                <w:strike w:val="0"/>
                <w:dstrike w:val="0"/>
                <w:color w:val="000000" w:themeColor="text1"/>
                <w:kern w:val="0"/>
                <w:sz w:val="24"/>
                <w:szCs w:val="24"/>
                <w:highlight w:val="none"/>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全自动模块式血液体液分析仪（血球流水线）</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2,600,000.00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全自动模块式血液体液分析仪（血球流水线）配套试剂耗材</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1,800,000.00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全自动凝血分析仪（血凝流水线）</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1200000.00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2,900,000.00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全自动凝血分析仪（血凝流水线）配套试剂耗材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1,700,000.00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全自动酶联免疫工作站</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850,000.00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全自动酶联免疫工作站配套试剂耗材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750,000.00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5"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全自动免疫印迹仪</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170,000.00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1,120,000.00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全自动免疫印迹仪配套试剂耗材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950,000.00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w:t>
            </w:r>
          </w:p>
        </w:tc>
        <w:tc>
          <w:tcPr>
            <w:tcW w:w="385"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全自动血沉压积测试仪</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55,000.00</w:t>
            </w:r>
          </w:p>
        </w:tc>
        <w:tc>
          <w:tcPr>
            <w:tcW w:w="1591"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246" w:firstLineChars="100"/>
              <w:jc w:val="both"/>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55,000.00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p>
        </w:tc>
        <w:tc>
          <w:tcPr>
            <w:tcW w:w="385"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干式恒温箱（金属浴）</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4,800.00</w:t>
            </w:r>
          </w:p>
        </w:tc>
        <w:tc>
          <w:tcPr>
            <w:tcW w:w="1591"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4,800.00</w:t>
            </w:r>
          </w:p>
        </w:tc>
      </w:tr>
    </w:tbl>
    <w:p>
      <w:pPr>
        <w:keepNext w:val="0"/>
        <w:keepLines w:val="0"/>
        <w:pageBreakBefore w:val="0"/>
        <w:widowControl w:val="0"/>
        <w:shd w:val="clear"/>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注：本项目分为1个标段投标人须对所投标段的产品进行整体投标报价，不得缺项漏项，否则按不响应招标文件实质性要求处理。本项目是否进口中标注“否”的产品不允许进口产品参与投标，</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进口产品是指通过中国海关报关验放进入中国境内且产自关境外的产品。</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6.合同履行期限：自合同签订之日起至质保期（配送服务期）结束。</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7.交货（供货）地点：丽江市人民医院指定地点。</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8.交货（供货）时限：</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（1）设备：设备送达招标人指定地点并按规范安装调试完毕时间为合同签订生效后7日历天内；</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（2）配套试剂耗材：按需、分批次供货，一般情况收到招标人订货通知后3天内送达指定地点，如遇紧急情况必须于1天内到货并验收合格。</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bookmarkStart w:id="14" w:name="_Toc27470"/>
      <w:bookmarkStart w:id="15" w:name="_Toc29812"/>
      <w:r>
        <w:rPr>
          <w:rFonts w:hint="eastAsia" w:ascii="仿宋" w:hAnsi="仿宋" w:eastAsia="仿宋" w:cs="仿宋"/>
          <w:color w:val="000000" w:themeColor="text1"/>
          <w:sz w:val="24"/>
          <w:szCs w:val="22"/>
          <w:highlight w:val="none"/>
          <w:lang w:val="en-US" w:eastAsia="zh-CN"/>
          <w14:textFill>
            <w14:solidFill>
              <w14:schemeClr w14:val="tx1"/>
            </w14:solidFill>
          </w14:textFill>
        </w:rPr>
        <w:t>9.质保期（有效期）：</w:t>
      </w:r>
      <w:bookmarkEnd w:id="14"/>
      <w:bookmarkEnd w:id="15"/>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strike w:val="0"/>
          <w:dstrike w:val="0"/>
          <w:color w:val="000000" w:themeColor="text1"/>
          <w:sz w:val="24"/>
          <w:szCs w:val="22"/>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2"/>
          <w:highlight w:val="none"/>
          <w:lang w:val="en-US" w:eastAsia="zh-CN"/>
          <w14:textFill>
            <w14:solidFill>
              <w14:schemeClr w14:val="tx1"/>
            </w14:solidFill>
          </w14:textFill>
        </w:rPr>
        <w:t>（1）设备：设备质保与设备设计使用年限一致，质保期自设备验收之日起算，终身负责维修，并保证设备在招标人报废前正常运行；</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（2）配套试剂耗材：配套试剂耗材应是最新生产且检验合格的产品，配套试剂耗材可供使用的期限为标示有效期的三分之二，最短不得少于二分之一。</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10.质量标准：符合现行国家相关规范、标准和规定，满足招标人的使用要求。</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11.本项目（否）接受联合体投标。</w:t>
      </w:r>
    </w:p>
    <w:p>
      <w:pPr>
        <w:pStyle w:val="5"/>
        <w:shd w:val="clear"/>
        <w:spacing w:line="360" w:lineRule="auto"/>
        <w:ind w:left="0" w:leftChars="0" w:firstLine="0" w:firstLineChars="0"/>
        <w:outlineLvl w:val="1"/>
        <w:rPr>
          <w:rFonts w:hint="eastAsia" w:ascii="仿宋" w:hAnsi="仿宋" w:eastAsia="仿宋" w:cs="仿宋"/>
          <w:color w:val="000000" w:themeColor="text1"/>
          <w:highlight w:val="none"/>
          <w14:textFill>
            <w14:solidFill>
              <w14:schemeClr w14:val="tx1"/>
            </w14:solidFill>
          </w14:textFill>
        </w:rPr>
      </w:pPr>
      <w:bookmarkStart w:id="16" w:name="_Toc13422"/>
      <w:bookmarkStart w:id="17" w:name="_Toc9535"/>
      <w:bookmarkStart w:id="18" w:name="_Toc27622"/>
      <w:bookmarkStart w:id="19" w:name="_Toc4204"/>
      <w:bookmarkStart w:id="20" w:name="_Toc24218"/>
      <w:bookmarkStart w:id="21" w:name="_Toc29968"/>
      <w:r>
        <w:rPr>
          <w:rFonts w:hint="eastAsia" w:ascii="仿宋" w:hAnsi="仿宋" w:eastAsia="仿宋" w:cs="仿宋"/>
          <w:color w:val="000000" w:themeColor="text1"/>
          <w:sz w:val="30"/>
          <w:szCs w:val="30"/>
          <w:highlight w:val="none"/>
          <w14:textFill>
            <w14:solidFill>
              <w14:schemeClr w14:val="tx1"/>
            </w14:solidFill>
          </w14:textFill>
        </w:rPr>
        <w:t>二、申请人的资格要求</w:t>
      </w:r>
      <w:bookmarkEnd w:id="16"/>
      <w:bookmarkEnd w:id="17"/>
      <w:bookmarkEnd w:id="18"/>
      <w:bookmarkEnd w:id="19"/>
      <w:bookmarkEnd w:id="20"/>
      <w:bookmarkEnd w:id="21"/>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符合《中华人民共和国政府采购法》第二十二条的规定</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1.1具有独立承担民事责任的能力；</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提供法人或者其他组织的营业执照等证明文件，自然人则提供身份证明</w:t>
      </w:r>
      <w:r>
        <w:rPr>
          <w:rFonts w:hint="eastAsia" w:ascii="仿宋" w:hAnsi="仿宋" w:eastAsia="仿宋" w:cs="仿宋"/>
          <w:color w:val="000000" w:themeColor="text1"/>
          <w:sz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1.2有良好的商业信誉和健全的财务会计制度；</w:t>
      </w:r>
      <w:r>
        <w:rPr>
          <w:rFonts w:hint="eastAsia" w:ascii="仿宋" w:hAnsi="仿宋" w:eastAsia="仿宋" w:cs="仿宋"/>
          <w:bCs/>
          <w:color w:val="000000" w:themeColor="text1"/>
          <w:sz w:val="24"/>
          <w:highlight w:val="none"/>
          <w:lang w:eastAsia="zh-CN"/>
          <w14:textFill>
            <w14:solidFill>
              <w14:schemeClr w14:val="tx1"/>
            </w14:solidFill>
          </w14:textFill>
        </w:rPr>
        <w:t>（提供2021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或有良好的商业信誉和健全的财务会计制度的自行承诺，成立不满1年的投标人提供自成立以来公司内部完整的财务报表（包括资产负债表、利润表、现金流量表）或开标日期前3个月内由银行开具的资信证明文件（或资金证明文件）或有良好的商业信誉和健全的财务会计制度的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1.3具有履行合同所必需的设备和专业技术能力；（投标人自行承诺）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1.4有依法缴纳税收和社会保障资金的良好记录；</w:t>
      </w:r>
      <w:r>
        <w:rPr>
          <w:rFonts w:hint="eastAsia" w:ascii="仿宋" w:hAnsi="仿宋" w:eastAsia="仿宋" w:cs="仿宋"/>
          <w:color w:val="000000" w:themeColor="text1"/>
          <w:sz w:val="24"/>
          <w:szCs w:val="22"/>
          <w:highlight w:val="none"/>
          <w:lang w:eastAsia="zh-CN"/>
          <w14:textFill>
            <w14:solidFill>
              <w14:schemeClr w14:val="tx1"/>
            </w14:solidFill>
          </w14:textFill>
        </w:rPr>
        <w:t>（提供2023年8月至投标文件提交截止时间（税款所属时期）任意连续3个月的税务局税收通用缴款书复印件或银行电子缴税（费）凭证或税务局出具纳税情况的相关证明或具有依法缴纳税收良好记录的承诺函及提供2023年8月至投标文件提交截止时间（费款所属时期）任意连续3个月的社会保险费缴款书复印件或银行电子缴税（费）凭证或社保管理部门出具的有效的缴款证明或具有依法缴纳社会保障资金良好记录的承诺函；成立未满3个月的的提供成立以来的税收和社会保障资金缴纳凭证或相关情况说明。（依法免税或不需要缴纳社会保障资金的投标人，应提供相应文件证明其依法免税或不需要缴纳社会保障资金））</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1.5</w:t>
      </w:r>
      <w:r>
        <w:rPr>
          <w:rFonts w:hint="eastAsia" w:ascii="仿宋" w:hAnsi="仿宋" w:eastAsia="仿宋" w:cs="仿宋"/>
          <w:color w:val="000000" w:themeColor="text1"/>
          <w:sz w:val="24"/>
          <w:szCs w:val="22"/>
          <w:highlight w:val="none"/>
          <w:lang w:eastAsia="zh-CN"/>
          <w14:textFill>
            <w14:solidFill>
              <w14:schemeClr w14:val="tx1"/>
            </w14:solidFill>
          </w14:textFill>
        </w:rPr>
        <w:t>参加政府采购活动前三年内，在经营活动中没有重大违法记录</w:t>
      </w: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1.6法律、行政法规规定的其他条件；</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lang w:eastAsia="zh-CN"/>
          <w14:textFill>
            <w14:solidFill>
              <w14:schemeClr w14:val="tx1"/>
            </w14:solidFill>
          </w14:textFill>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招标人或</w:t>
      </w:r>
      <w:r>
        <w:rPr>
          <w:rFonts w:hint="eastAsia" w:ascii="仿宋" w:hAnsi="仿宋" w:eastAsia="仿宋" w:cs="仿宋"/>
          <w:color w:val="000000" w:themeColor="text1"/>
          <w:sz w:val="24"/>
          <w:szCs w:val="22"/>
          <w:highlight w:val="none"/>
          <w:lang w:val="en-US" w:eastAsia="zh-CN"/>
          <w14:textFill>
            <w14:solidFill>
              <w14:schemeClr w14:val="tx1"/>
            </w14:solidFill>
          </w14:textFill>
        </w:rPr>
        <w:t>招标代理机构在开标当天</w:t>
      </w:r>
      <w:r>
        <w:rPr>
          <w:rFonts w:hint="eastAsia" w:ascii="仿宋" w:hAnsi="仿宋" w:eastAsia="仿宋" w:cs="仿宋"/>
          <w:color w:val="000000" w:themeColor="text1"/>
          <w:sz w:val="24"/>
          <w:szCs w:val="22"/>
          <w:highlight w:val="none"/>
          <w:lang w:eastAsia="zh-CN"/>
          <w14:textFill>
            <w14:solidFill>
              <w14:schemeClr w14:val="tx1"/>
            </w14:solidFill>
          </w14:textFill>
        </w:rPr>
        <w:t>进行查询）；</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）单位负责人为同一人或者存在直接控股、管理关系的不同</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，不得参加同一合同项下的政府采购活动；</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2．落实政府采购政策需满足的资格要求:</w:t>
      </w:r>
      <w:r>
        <w:rPr>
          <w:rFonts w:hint="eastAsia" w:ascii="仿宋" w:hAnsi="仿宋" w:eastAsia="仿宋" w:cs="仿宋"/>
          <w:color w:val="000000" w:themeColor="text1"/>
          <w:sz w:val="24"/>
          <w:szCs w:val="22"/>
          <w:highlight w:val="none"/>
          <w:lang w:val="en-US" w:eastAsia="zh-CN"/>
          <w14:textFill>
            <w14:solidFill>
              <w14:schemeClr w14:val="tx1"/>
            </w14:solidFill>
          </w14:textFill>
        </w:rPr>
        <w:t>无，</w:t>
      </w:r>
      <w:r>
        <w:rPr>
          <w:rFonts w:hint="eastAsia" w:ascii="仿宋" w:hAnsi="仿宋" w:eastAsia="仿宋" w:cs="仿宋"/>
          <w:color w:val="000000" w:themeColor="text1"/>
          <w:sz w:val="24"/>
          <w:szCs w:val="22"/>
          <w:highlight w:val="none"/>
          <w:lang w:eastAsia="zh-CN"/>
          <w14:textFill>
            <w14:solidFill>
              <w14:schemeClr w14:val="tx1"/>
            </w14:solidFill>
          </w14:textFill>
        </w:rPr>
        <w:t>本项目</w:t>
      </w:r>
      <w:r>
        <w:rPr>
          <w:rFonts w:hint="eastAsia" w:ascii="仿宋" w:hAnsi="仿宋" w:eastAsia="仿宋" w:cs="仿宋"/>
          <w:color w:val="000000" w:themeColor="text1"/>
          <w:sz w:val="24"/>
          <w:szCs w:val="22"/>
          <w:highlight w:val="none"/>
          <w:lang w:val="en-US" w:eastAsia="zh-CN"/>
          <w14:textFill>
            <w14:solidFill>
              <w14:schemeClr w14:val="tx1"/>
            </w14:solidFill>
          </w14:textFill>
        </w:rPr>
        <w:t>非</w:t>
      </w:r>
      <w:r>
        <w:rPr>
          <w:rFonts w:hint="eastAsia" w:ascii="仿宋" w:hAnsi="仿宋" w:eastAsia="仿宋" w:cs="仿宋"/>
          <w:color w:val="000000" w:themeColor="text1"/>
          <w:sz w:val="24"/>
          <w:szCs w:val="22"/>
          <w:highlight w:val="none"/>
          <w:lang w:eastAsia="zh-CN"/>
          <w14:textFill>
            <w14:solidFill>
              <w14:schemeClr w14:val="tx1"/>
            </w14:solidFill>
          </w14:textFill>
        </w:rPr>
        <w:t>专门面向中小微企业采购项目</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shd w:val="clear"/>
          <w14:textFill>
            <w14:solidFill>
              <w14:schemeClr w14:val="tx1"/>
            </w14:solidFill>
          </w14:textFill>
        </w:rPr>
        <w:t>3．本项目的特定资格要求：</w:t>
      </w:r>
      <w:r>
        <w:rPr>
          <w:rFonts w:hint="eastAsia" w:ascii="仿宋" w:hAnsi="仿宋" w:eastAsia="仿宋" w:cs="仿宋"/>
          <w:color w:val="000000" w:themeColor="text1"/>
          <w:sz w:val="24"/>
          <w:szCs w:val="22"/>
          <w:highlight w:val="none"/>
          <w:shd w:val="clear"/>
          <w:lang w:eastAsia="zh-CN"/>
          <w14:textFill>
            <w14:solidFill>
              <w14:schemeClr w14:val="tx1"/>
            </w14:solidFill>
          </w14:textFill>
        </w:rPr>
        <w:t>（</w:t>
      </w:r>
      <w:r>
        <w:rPr>
          <w:rFonts w:hint="eastAsia" w:ascii="仿宋" w:hAnsi="仿宋" w:eastAsia="仿宋" w:cs="仿宋"/>
          <w:color w:val="000000" w:themeColor="text1"/>
          <w:sz w:val="24"/>
          <w:szCs w:val="22"/>
          <w:highlight w:val="none"/>
          <w:shd w:val="clear"/>
          <w:lang w:val="en-US" w:eastAsia="zh-CN"/>
          <w14:textFill>
            <w14:solidFill>
              <w14:schemeClr w14:val="tx1"/>
            </w14:solidFill>
          </w14:textFill>
        </w:rPr>
        <w:t>1</w:t>
      </w:r>
      <w:r>
        <w:rPr>
          <w:rFonts w:hint="eastAsia" w:ascii="仿宋" w:hAnsi="仿宋" w:eastAsia="仿宋" w:cs="仿宋"/>
          <w:color w:val="000000" w:themeColor="text1"/>
          <w:sz w:val="24"/>
          <w:szCs w:val="22"/>
          <w:highlight w:val="none"/>
          <w:shd w:val="clear"/>
          <w:lang w:eastAsia="zh-CN"/>
          <w14:textFill>
            <w14:solidFill>
              <w14:schemeClr w14:val="tx1"/>
            </w14:solidFill>
          </w14:textFill>
        </w:rPr>
        <w:t>）投标人如果是代理商或</w:t>
      </w:r>
      <w:r>
        <w:rPr>
          <w:rFonts w:hint="eastAsia" w:ascii="仿宋" w:hAnsi="仿宋" w:eastAsia="仿宋" w:cs="仿宋"/>
          <w:color w:val="000000" w:themeColor="text1"/>
          <w:sz w:val="24"/>
          <w:szCs w:val="22"/>
          <w:highlight w:val="none"/>
          <w:shd w:val="clear"/>
          <w:lang w:val="en-US" w:eastAsia="zh-CN"/>
          <w14:textFill>
            <w14:solidFill>
              <w14:schemeClr w14:val="tx1"/>
            </w14:solidFill>
          </w14:textFill>
        </w:rPr>
        <w:t>经销商的，须提供医疗器械经营许</w:t>
      </w:r>
      <w:r>
        <w:rPr>
          <w:rFonts w:hint="eastAsia" w:ascii="仿宋" w:hAnsi="仿宋" w:eastAsia="仿宋" w:cs="仿宋"/>
          <w:color w:val="000000" w:themeColor="text1"/>
          <w:sz w:val="24"/>
          <w:szCs w:val="22"/>
          <w:highlight w:val="none"/>
          <w:lang w:val="en-US" w:eastAsia="zh-CN"/>
          <w14:textFill>
            <w14:solidFill>
              <w14:schemeClr w14:val="tx1"/>
            </w14:solidFill>
          </w14:textFill>
        </w:rPr>
        <w:t>可/备案证，所响应产品制造商医疗器械生产许可/备案证（制造商工商注册地在中华人民共和国境外的，不做此要求）、所响应产品的医疗器械注册证及附件；投标人如果是制造商的，须提供医疗器械生产许可/备案证（制造商工商注册地在中华人民共和国境外的，不做此要求）、所响应产品的医疗器械注册证及附件。医疗器械生产或经营许可/备案证生产或经营范围须覆盖所投第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（2）投标人如果是经销商，且所投产品属于药品的，须提供有效期内的《药品经营许可证》；投标人如果是生产商，且所投产品属于药品的，须提供有效期内的《药品生产许可证》。</w:t>
      </w:r>
    </w:p>
    <w:p>
      <w:pPr>
        <w:pStyle w:val="5"/>
        <w:shd w:val="clear"/>
        <w:spacing w:line="360" w:lineRule="auto"/>
        <w:ind w:firstLine="187" w:firstLineChars="62"/>
        <w:outlineLvl w:val="1"/>
        <w:rPr>
          <w:rFonts w:hint="eastAsia" w:ascii="仿宋" w:hAnsi="仿宋" w:eastAsia="仿宋" w:cs="仿宋"/>
          <w:color w:val="000000" w:themeColor="text1"/>
          <w:highlight w:val="none"/>
          <w14:textFill>
            <w14:solidFill>
              <w14:schemeClr w14:val="tx1"/>
            </w14:solidFill>
          </w14:textFill>
        </w:rPr>
      </w:pPr>
      <w:bookmarkStart w:id="22" w:name="_Toc31029"/>
      <w:bookmarkStart w:id="23" w:name="_Toc26584"/>
      <w:bookmarkStart w:id="24" w:name="_Toc4848"/>
      <w:bookmarkStart w:id="25" w:name="_Toc7408"/>
      <w:bookmarkStart w:id="26" w:name="_Toc32563"/>
      <w:r>
        <w:rPr>
          <w:rFonts w:hint="eastAsia" w:ascii="仿宋" w:hAnsi="仿宋" w:eastAsia="仿宋" w:cs="仿宋"/>
          <w:color w:val="000000" w:themeColor="text1"/>
          <w:sz w:val="30"/>
          <w:szCs w:val="30"/>
          <w:highlight w:val="none"/>
          <w14:textFill>
            <w14:solidFill>
              <w14:schemeClr w14:val="tx1"/>
            </w14:solidFill>
          </w14:textFill>
        </w:rPr>
        <w:t>三、获取招标文件</w:t>
      </w:r>
      <w:bookmarkEnd w:id="22"/>
      <w:bookmarkEnd w:id="23"/>
      <w:bookmarkEnd w:id="24"/>
      <w:bookmarkEnd w:id="25"/>
      <w:bookmarkEnd w:id="26"/>
    </w:p>
    <w:p>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时间：202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07-05  00:00</w:t>
      </w:r>
      <w:r>
        <w:rPr>
          <w:rFonts w:hint="eastAsia" w:ascii="仿宋" w:hAnsi="仿宋" w:eastAsia="仿宋" w:cs="仿宋"/>
          <w:color w:val="auto"/>
          <w:sz w:val="24"/>
          <w:szCs w:val="22"/>
          <w:highlight w:val="none"/>
        </w:rPr>
        <w:t>至202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07-12  12:00</w:t>
      </w:r>
      <w:r>
        <w:rPr>
          <w:rFonts w:hint="eastAsia" w:ascii="仿宋" w:hAnsi="仿宋" w:eastAsia="仿宋" w:cs="仿宋"/>
          <w:color w:val="auto"/>
          <w:sz w:val="24"/>
          <w:szCs w:val="22"/>
          <w:highlight w:val="none"/>
        </w:rPr>
        <w:t>，每天上午0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00</w:t>
      </w:r>
      <w:r>
        <w:rPr>
          <w:rFonts w:hint="eastAsia" w:ascii="仿宋" w:hAnsi="仿宋" w:eastAsia="仿宋" w:cs="仿宋"/>
          <w:color w:val="auto"/>
          <w:sz w:val="24"/>
          <w:szCs w:val="22"/>
          <w:highlight w:val="none"/>
        </w:rPr>
        <w:t>至12:00，下午12:0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至23:59（北京时间）</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投标者，须在政采云平台办理数字证书（CA），并在政采云绑定数字证书（CA）后线上获取采购文件及其它采购资料。CA申领链接：http://yzt.ynsmartcert.cn/cms/yztynlblj.html，CA申领后需登陆政采云平台完成数字证书（CA）绑定才可以使用，数字证书（CA）详见其办理流程。</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按上述要求获取文件的投标人视为合法获取了本项目采购文件，具备本项目的投标资格。</w:t>
      </w:r>
    </w:p>
    <w:p>
      <w:pPr>
        <w:shd w:val="clear"/>
        <w:spacing w:line="360" w:lineRule="auto"/>
        <w:ind w:firstLine="480" w:firstLineChars="200"/>
        <w:contextualSpacing/>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27" w:name="_Toc7802"/>
      <w:bookmarkStart w:id="28" w:name="_Toc28723"/>
      <w:bookmarkStart w:id="29" w:name="_Toc6222"/>
      <w:bookmarkStart w:id="30" w:name="_Toc17011"/>
      <w:bookmarkStart w:id="31" w:name="_Toc3986"/>
      <w:r>
        <w:rPr>
          <w:rFonts w:hint="eastAsia" w:ascii="仿宋" w:hAnsi="仿宋" w:eastAsia="仿宋" w:cs="仿宋"/>
          <w:color w:val="000000" w:themeColor="text1"/>
          <w:sz w:val="30"/>
          <w:szCs w:val="30"/>
          <w:highlight w:val="none"/>
          <w14:textFill>
            <w14:solidFill>
              <w14:schemeClr w14:val="tx1"/>
            </w14:solidFill>
          </w14:textFill>
        </w:rPr>
        <w:t>四、提交投标文件截止时间、开标时间和地点</w:t>
      </w:r>
      <w:bookmarkEnd w:id="27"/>
      <w:bookmarkEnd w:id="28"/>
      <w:bookmarkEnd w:id="29"/>
      <w:bookmarkEnd w:id="30"/>
      <w:bookmarkEnd w:id="31"/>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07-26  09:30</w:t>
      </w:r>
      <w:r>
        <w:rPr>
          <w:rFonts w:hint="eastAsia" w:ascii="仿宋" w:hAnsi="仿宋" w:eastAsia="仿宋" w:cs="仿宋"/>
          <w:color w:val="000000" w:themeColor="text1"/>
          <w:sz w:val="24"/>
          <w:szCs w:val="22"/>
          <w:highlight w:val="none"/>
          <w14:textFill>
            <w14:solidFill>
              <w14:schemeClr w14:val="tx1"/>
            </w14:solidFill>
          </w14:textFill>
        </w:rPr>
        <w:t>（北京时间）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val="en-US" w:eastAsia="zh-CN"/>
          <w14:textFill>
            <w14:solidFill>
              <w14:schemeClr w14:val="tx1"/>
            </w14:solidFill>
          </w14:textFill>
        </w:rPr>
        <w:t>请登录</w:t>
      </w:r>
      <w:r>
        <w:rPr>
          <w:rFonts w:hint="eastAsia" w:ascii="仿宋" w:hAnsi="仿宋" w:eastAsia="仿宋" w:cs="仿宋"/>
          <w:color w:val="000000" w:themeColor="text1"/>
          <w:sz w:val="24"/>
          <w:highlight w:val="none"/>
          <w14:textFill>
            <w14:solidFill>
              <w14:schemeClr w14:val="tx1"/>
            </w14:solidFill>
          </w14:textFill>
        </w:rPr>
        <w:t>政采云</w:t>
      </w:r>
      <w:r>
        <w:rPr>
          <w:rFonts w:hint="eastAsia" w:ascii="仿宋" w:hAnsi="仿宋" w:eastAsia="仿宋" w:cs="仿宋"/>
          <w:color w:val="000000" w:themeColor="text1"/>
          <w:sz w:val="24"/>
          <w:highlight w:val="none"/>
          <w:lang w:val="en-US" w:eastAsia="zh-CN"/>
          <w14:textFill>
            <w14:solidFill>
              <w14:schemeClr w14:val="tx1"/>
            </w14:solidFill>
          </w14:textFill>
        </w:rPr>
        <w:t>投标客户端投标</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应按照本项目采购文件和"政采云"平台的要求编制、加密后在</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提交截止时间前上传至"政采云"平台，</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提交截止时间前未完成</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上传的，视为撤回</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在“政采云"平台提交电子版</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时，请填写参加远程采购活动经办人联系方式。</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32" w:name="_Toc743"/>
      <w:bookmarkStart w:id="33" w:name="_Toc17353"/>
      <w:bookmarkStart w:id="34" w:name="_Toc26858"/>
      <w:bookmarkStart w:id="35" w:name="_Toc8786"/>
      <w:bookmarkStart w:id="36" w:name="_Toc537"/>
      <w:r>
        <w:rPr>
          <w:rFonts w:hint="eastAsia" w:ascii="仿宋" w:hAnsi="仿宋" w:eastAsia="仿宋" w:cs="仿宋"/>
          <w:color w:val="000000" w:themeColor="text1"/>
          <w:sz w:val="30"/>
          <w:szCs w:val="30"/>
          <w:highlight w:val="none"/>
          <w14:textFill>
            <w14:solidFill>
              <w14:schemeClr w14:val="tx1"/>
            </w14:solidFill>
          </w14:textFill>
        </w:rPr>
        <w:t>五、公告期限</w:t>
      </w:r>
      <w:bookmarkEnd w:id="32"/>
      <w:bookmarkEnd w:id="33"/>
      <w:bookmarkEnd w:id="34"/>
      <w:bookmarkEnd w:id="35"/>
      <w:bookmarkEnd w:id="36"/>
    </w:p>
    <w:p>
      <w:pPr>
        <w:shd w:val="clear"/>
        <w:spacing w:line="360" w:lineRule="auto"/>
        <w:ind w:firstLine="480" w:firstLineChars="200"/>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自本公告发布之日起5个工作日。</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37" w:name="_Toc1202"/>
      <w:bookmarkStart w:id="38" w:name="_Toc11949"/>
      <w:bookmarkStart w:id="39" w:name="_Toc31633"/>
      <w:bookmarkStart w:id="40" w:name="_Toc30287"/>
      <w:bookmarkStart w:id="41" w:name="_Toc28591"/>
      <w:r>
        <w:rPr>
          <w:rFonts w:hint="eastAsia" w:ascii="仿宋" w:hAnsi="仿宋" w:eastAsia="仿宋" w:cs="仿宋"/>
          <w:color w:val="000000" w:themeColor="text1"/>
          <w:sz w:val="30"/>
          <w:szCs w:val="30"/>
          <w:highlight w:val="none"/>
          <w14:textFill>
            <w14:solidFill>
              <w14:schemeClr w14:val="tx1"/>
            </w14:solidFill>
          </w14:textFill>
        </w:rPr>
        <w:t>六、其他补充事宜</w:t>
      </w:r>
      <w:bookmarkEnd w:id="37"/>
      <w:bookmarkEnd w:id="38"/>
      <w:bookmarkEnd w:id="39"/>
      <w:bookmarkEnd w:id="40"/>
      <w:bookmarkEnd w:id="41"/>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开标方式：</w:t>
      </w:r>
      <w:r>
        <w:rPr>
          <w:rFonts w:hint="eastAsia" w:ascii="仿宋" w:hAnsi="仿宋" w:eastAsia="仿宋" w:cs="仿宋"/>
          <w:color w:val="000000" w:themeColor="text1"/>
          <w:sz w:val="24"/>
          <w:szCs w:val="22"/>
          <w:highlight w:val="none"/>
          <w:lang w:val="en-US" w:eastAsia="zh-CN"/>
          <w14:textFill>
            <w14:solidFill>
              <w14:schemeClr w14:val="tx1"/>
            </w14:solidFill>
          </w14:textFill>
        </w:rPr>
        <w:t>网上</w:t>
      </w:r>
      <w:r>
        <w:rPr>
          <w:rFonts w:hint="eastAsia" w:ascii="仿宋" w:hAnsi="仿宋" w:eastAsia="仿宋" w:cs="仿宋"/>
          <w:color w:val="000000" w:themeColor="text1"/>
          <w:sz w:val="24"/>
          <w:szCs w:val="22"/>
          <w:highlight w:val="none"/>
          <w14:textFill>
            <w14:solidFill>
              <w14:schemeClr w14:val="tx1"/>
            </w14:solidFill>
          </w14:textFill>
        </w:rPr>
        <w:t>开标</w:t>
      </w:r>
    </w:p>
    <w:p>
      <w:pPr>
        <w:shd w:val="clear"/>
        <w:spacing w:line="360" w:lineRule="auto"/>
        <w:ind w:firstLine="480" w:firstLineChars="200"/>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是否需要缴纳投标保证金：是</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LJZC2024-G1-00224-YNLB-0220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丽江市人民医院检验科第一批设备及配套试剂耗材采购项目</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100000</w:t>
      </w:r>
      <w:r>
        <w:rPr>
          <w:rFonts w:hint="eastAsia" w:ascii="仿宋" w:hAnsi="仿宋" w:eastAsia="仿宋" w:cs="仿宋"/>
          <w:color w:val="000000" w:themeColor="text1"/>
          <w:sz w:val="24"/>
          <w:szCs w:val="22"/>
          <w:highlight w:val="none"/>
          <w14:textFill>
            <w14:solidFill>
              <w14:schemeClr w14:val="tx1"/>
            </w14:solidFill>
          </w14:textFill>
        </w:rPr>
        <w:t>（元）</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保证金缴纳方式：</w:t>
      </w:r>
      <w:r>
        <w:rPr>
          <w:rFonts w:hint="eastAsia" w:ascii="仿宋" w:hAnsi="仿宋" w:eastAsia="仿宋" w:cs="仿宋"/>
          <w:color w:val="000000" w:themeColor="text1"/>
          <w:sz w:val="24"/>
          <w:highlight w:val="none"/>
          <w:lang w:eastAsia="zh-CN"/>
          <w14:textFill>
            <w14:solidFill>
              <w14:schemeClr w14:val="tx1"/>
            </w14:solidFill>
          </w14:textFill>
        </w:rPr>
        <w:t>支票、汇票、本票或者金融机构、担保机构出具的保函等非现金形式</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保证金缴纳截止时间：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07-26  09:30</w:t>
      </w:r>
      <w:r>
        <w:rPr>
          <w:rFonts w:hint="eastAsia" w:ascii="仿宋" w:hAnsi="仿宋" w:eastAsia="仿宋" w:cs="仿宋"/>
          <w:color w:val="000000" w:themeColor="text1"/>
          <w:sz w:val="24"/>
          <w:szCs w:val="22"/>
          <w:highlight w:val="none"/>
          <w14:textFill>
            <w14:solidFill>
              <w14:schemeClr w14:val="tx1"/>
            </w14:solidFill>
          </w14:textFill>
        </w:rPr>
        <w:t>（北京时间）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本次招标公告在云南省政府采购网公布，请各供应商在提交投标文件前随时查看，以获取最新信息。因供应商不留意网站公告，导致后果由其自行负责，招标人及代理机构不承担任何责任。如有其它网站转载公告，招标人及代理机构不承担任何责任。 </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注：（1）供应商登录政采云平台（https://www.zcygov.cn/），按《供应商操作指南》（https://edu.zcygov.cn/luban/yunnan-dzjy-gys?utm=a0017.b3687.48.18.4b09ec80cbc911edb8a97356c5970511）完成远程投标文件解密等相关操作。本项目解密时间为60分钟，若供应商未在规定时间完成投标文件解密，则视为无效投标，不再进入评标阶段。</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（2）因开标系统、开标现场网络、设备及其他特殊原因，导致不能正常解密投标文件的，经核实和上报相关部门同意后，可再次下达网上解密指令来延长解密时间；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（3）异常处理：如供应商在开标时遗失CA或其他原因，供应商需将备份的或加密的投标文件提供给代理机构，代理机构通过“异常处理”端口上传、解密。</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42" w:name="_Toc6000"/>
      <w:bookmarkStart w:id="43" w:name="_Toc7201"/>
      <w:bookmarkStart w:id="44" w:name="_Toc9110"/>
      <w:bookmarkStart w:id="45" w:name="_Toc28015"/>
      <w:r>
        <w:rPr>
          <w:rFonts w:hint="eastAsia" w:ascii="仿宋" w:hAnsi="仿宋" w:eastAsia="仿宋" w:cs="仿宋"/>
          <w:color w:val="000000" w:themeColor="text1"/>
          <w:sz w:val="30"/>
          <w:szCs w:val="30"/>
          <w:highlight w:val="none"/>
          <w14:textFill>
            <w14:solidFill>
              <w14:schemeClr w14:val="tx1"/>
            </w14:solidFill>
          </w14:textFill>
        </w:rPr>
        <w:t>七、对本次招标提出询问，请按以下方式联系。</w:t>
      </w:r>
      <w:bookmarkEnd w:id="12"/>
      <w:bookmarkEnd w:id="42"/>
      <w:bookmarkEnd w:id="43"/>
      <w:bookmarkEnd w:id="44"/>
      <w:bookmarkEnd w:id="45"/>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1.招标人信息</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名称：丽江市人民医院</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地址：丽江市古城区福慧路526号</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联系方式：和成辉0888-5155328</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2.招标代理机构信息</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名称：云南蓝本招标咨询有限公司</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地址：云南省昆明市西山区环城南路668号东南亚商场写字楼A座17楼2、3号</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联系方式：0888-8880196</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3.项目联系方式</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项目联系人：王志芃、王易文、李宏英</w:t>
      </w:r>
    </w:p>
    <w:p>
      <w:pPr>
        <w:shd w:val="clear"/>
        <w:spacing w:line="360" w:lineRule="auto"/>
        <w:ind w:firstLine="480" w:firstLineChars="200"/>
        <w:contextualSpacing/>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电话：0888-8880196、18213100335</w:t>
      </w:r>
    </w:p>
    <w:p>
      <w:pPr>
        <w:pStyle w:val="29"/>
        <w:keepNext w:val="0"/>
        <w:keepLines w:val="0"/>
        <w:widowControl/>
        <w:suppressLineNumbers w:val="0"/>
        <w:shd w:val="clea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46" w:name="_Toc10527"/>
      <w:bookmarkStart w:id="47" w:name="_Toc24807"/>
      <w:bookmarkStart w:id="48" w:name="_Toc3323"/>
      <w:bookmarkStart w:id="49" w:name="_Toc244341280"/>
      <w:bookmarkStart w:id="50" w:name="_Toc364392607"/>
      <w:bookmarkStart w:id="51" w:name="_Toc32756"/>
      <w:bookmarkStart w:id="52" w:name="_Toc28043"/>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spacing w:val="10"/>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须知</w:t>
      </w:r>
      <w:bookmarkEnd w:id="46"/>
      <w:bookmarkEnd w:id="47"/>
      <w:bookmarkEnd w:id="48"/>
      <w:bookmarkEnd w:id="49"/>
      <w:bookmarkEnd w:id="50"/>
      <w:bookmarkEnd w:id="51"/>
      <w:bookmarkEnd w:id="52"/>
    </w:p>
    <w:p>
      <w:pPr>
        <w:pStyle w:val="5"/>
        <w:shd w:val="clear"/>
        <w:ind w:firstLine="0" w:firstLineChars="0"/>
        <w:jc w:val="center"/>
        <w:outlineLvl w:val="1"/>
        <w:rPr>
          <w:rFonts w:hint="eastAsia" w:ascii="仿宋" w:hAnsi="仿宋" w:eastAsia="仿宋" w:cs="仿宋"/>
          <w:color w:val="000000" w:themeColor="text1"/>
          <w:highlight w:val="none"/>
          <w14:textFill>
            <w14:solidFill>
              <w14:schemeClr w14:val="tx1"/>
            </w14:solidFill>
          </w14:textFill>
        </w:rPr>
      </w:pPr>
      <w:bookmarkStart w:id="53" w:name="_Toc17519"/>
      <w:bookmarkStart w:id="54" w:name="_Toc364392608"/>
      <w:bookmarkStart w:id="55" w:name="_Toc13653"/>
      <w:bookmarkStart w:id="56" w:name="_Toc31041"/>
      <w:bookmarkStart w:id="57" w:name="_Toc29357076"/>
      <w:r>
        <w:rPr>
          <w:rFonts w:hint="eastAsia" w:ascii="仿宋" w:hAnsi="仿宋" w:eastAsia="仿宋" w:cs="仿宋"/>
          <w:color w:val="000000" w:themeColor="text1"/>
          <w:spacing w:val="10"/>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须知前附表</w:t>
      </w:r>
      <w:bookmarkEnd w:id="53"/>
      <w:bookmarkEnd w:id="54"/>
      <w:bookmarkEnd w:id="55"/>
      <w:bookmarkEnd w:id="56"/>
    </w:p>
    <w:tbl>
      <w:tblPr>
        <w:tblStyle w:val="22"/>
        <w:tblW w:w="9511" w:type="dxa"/>
        <w:jc w:val="center"/>
        <w:tblInd w:w="0" w:type="dxa"/>
        <w:tblLayout w:type="fixed"/>
        <w:tblCellMar>
          <w:top w:w="0" w:type="dxa"/>
          <w:left w:w="108" w:type="dxa"/>
          <w:bottom w:w="0" w:type="dxa"/>
          <w:right w:w="108" w:type="dxa"/>
        </w:tblCellMar>
      </w:tblPr>
      <w:tblGrid>
        <w:gridCol w:w="949"/>
        <w:gridCol w:w="2108"/>
        <w:gridCol w:w="6454"/>
      </w:tblGrid>
      <w:tr>
        <w:tblPrEx>
          <w:tblLayout w:type="fixed"/>
          <w:tblCellMar>
            <w:top w:w="0" w:type="dxa"/>
            <w:left w:w="108" w:type="dxa"/>
            <w:bottom w:w="0" w:type="dxa"/>
            <w:right w:w="108" w:type="dxa"/>
          </w:tblCellMar>
        </w:tblPrEx>
        <w:trPr>
          <w:trHeight w:val="61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条款号</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编列内容</w:t>
            </w:r>
          </w:p>
        </w:tc>
      </w:tr>
      <w:tr>
        <w:tblPrEx>
          <w:tblLayout w:type="fixed"/>
          <w:tblCellMar>
            <w:top w:w="0" w:type="dxa"/>
            <w:left w:w="108" w:type="dxa"/>
            <w:bottom w:w="0" w:type="dxa"/>
            <w:right w:w="108" w:type="dxa"/>
          </w:tblCellMar>
        </w:tblPrEx>
        <w:trPr>
          <w:trHeight w:val="64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名称：丽江市人民医院</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地址：丽江市古城区福慧路526号</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联系方式：和成辉0888-5155328</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名称：云南蓝本招标咨询有限公司</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地址：云南省昆明市西山区环城南路668号东南亚商场写字楼A座17楼2、3号</w:t>
            </w:r>
          </w:p>
          <w:p>
            <w:pPr>
              <w:shd w:val="clear"/>
              <w:spacing w:line="360" w:lineRule="auto"/>
              <w:contextualSpacing/>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联系方式：李宏英、王志芃、王易文0888-8880196</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项目名称：丽江市人民医院检验科第一批设备及配套试剂耗材采购项目</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 LJZC2024-G1-00224-YNLB-0220</w:t>
            </w:r>
          </w:p>
        </w:tc>
      </w:tr>
      <w:tr>
        <w:tblPrEx>
          <w:tblLayout w:type="fixed"/>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预算金额</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tc>
      </w:tr>
      <w:tr>
        <w:tblPrEx>
          <w:tblLayout w:type="fixed"/>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详见招标文件第一章《招标公告》“一、项目基本情况”，具体要求等详见本招标文件第五章《采购需求》。</w:t>
            </w:r>
          </w:p>
        </w:tc>
      </w:tr>
      <w:tr>
        <w:tblPrEx>
          <w:tblLayout w:type="fixed"/>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7日历天内；配套试剂耗材：按需、分批次供货，一般情况收到招标人订货通知后3天内送达指定地点，如遇紧急情况必须于1天内到货并验收合格。</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3.5</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（1）设备：设备质保与设备设计使用年限一致，质保期自设备验收之日起算，终身负责维修，并保证设备在招标人报废前正常运行；</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（2）配套试剂耗材：配套试剂耗材应是最新生产且检验合格的产品，配套试剂耗材可供使用的期限为标示有效期的三分之二，最短不得少于二分之一。</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投标人资格要求</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详见招标文件第一章《招标公告》“二、投标人的资格要求”</w:t>
            </w:r>
          </w:p>
        </w:tc>
      </w:tr>
      <w:tr>
        <w:tblPrEx>
          <w:tblLayout w:type="fixed"/>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根据采购项目的特殊要求规定的特定条件</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hd w:val="clea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详见招标文件第一章《招标公告》“二、投标人的资格要求”</w:t>
            </w:r>
          </w:p>
        </w:tc>
      </w:tr>
      <w:tr>
        <w:tblPrEx>
          <w:tblLayout w:type="fixed"/>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hd w:val="clea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color w:val="000000" w:themeColor="text1"/>
                <w:sz w:val="24"/>
                <w:szCs w:val="24"/>
                <w:highlight w:val="none"/>
                <w14:textFill>
                  <w14:solidFill>
                    <w14:schemeClr w14:val="tx1"/>
                  </w14:solidFill>
                </w14:textFill>
              </w:rPr>
              <w:t>接受</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不组织</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不组织</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投标人应认真阅读招标文件，如有疑问的，投标人可以向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提出询问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在接到询问后的3个工作日内对投标人依法提出的询问作出答复，但答复的内容不涉及商业秘密。</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招标文件询问联系方式</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询问联系人：王易文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李宏英</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lang w:eastAsia="zh-CN"/>
                <w14:textFill>
                  <w14:solidFill>
                    <w14:schemeClr w14:val="tx1"/>
                  </w14:solidFill>
                </w14:textFill>
              </w:rPr>
              <w:t>0888-8880196、</w:t>
            </w:r>
            <w:r>
              <w:rPr>
                <w:rFonts w:hint="eastAsia" w:ascii="仿宋" w:hAnsi="仿宋" w:eastAsia="仿宋" w:cs="仿宋"/>
                <w:color w:val="000000" w:themeColor="text1"/>
                <w:sz w:val="24"/>
                <w:szCs w:val="24"/>
                <w:highlight w:val="none"/>
                <w:lang w:val="en-US" w:eastAsia="zh-CN"/>
                <w14:textFill>
                  <w14:solidFill>
                    <w14:schemeClr w14:val="tx1"/>
                  </w14:solidFill>
                </w14:textFill>
              </w:rPr>
              <w:t>13508806142</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可以对已发出的招标文件进行必要的澄清或者修改，澄清或者修改的内容作为招标文件的组成部分。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将在投标截止时间至少15日前，以网上电子文件形式通知所有接收招标文件的投标人，不足15日的，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将顺延提交投标文件的截止时间。投标人应在电子投标文件提交截止时间前及时登录</w:t>
            </w:r>
            <w:r>
              <w:rPr>
                <w:rFonts w:hint="eastAsia" w:ascii="仿宋" w:hAnsi="仿宋" w:eastAsia="仿宋" w:cs="仿宋"/>
                <w:b/>
                <w:bCs/>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b/>
                <w:bCs/>
                <w:color w:val="000000" w:themeColor="text1"/>
                <w:sz w:val="24"/>
                <w:highlight w:val="none"/>
                <w:lang w:val="en-US" w:eastAsia="zh-CN"/>
                <w14:textFill>
                  <w14:solidFill>
                    <w14:schemeClr w14:val="tx1"/>
                  </w14:solidFill>
                </w14:textFill>
              </w:rPr>
              <w:t>或云南省政府采购网（http://www.yngp.com/）</w:t>
            </w:r>
            <w:r>
              <w:rPr>
                <w:rFonts w:hint="eastAsia" w:ascii="仿宋" w:hAnsi="仿宋" w:eastAsia="仿宋" w:cs="仿宋"/>
                <w:color w:val="000000" w:themeColor="text1"/>
                <w:sz w:val="24"/>
                <w:szCs w:val="24"/>
                <w:highlight w:val="none"/>
                <w14:textFill>
                  <w14:solidFill>
                    <w14:schemeClr w14:val="tx1"/>
                  </w14:solidFill>
                </w14:textFill>
              </w:rPr>
              <w:t>查看有关该项目招标文件的澄清、修改内容。如因投标人自身原因导致未及时查看有关该项目招标文件的澄清、修改内容，由此造成的一切后果由投标自行承担。</w:t>
            </w:r>
          </w:p>
        </w:tc>
      </w:tr>
      <w:tr>
        <w:tblPrEx>
          <w:tblLayout w:type="fixed"/>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语言文字</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投标人的投标文件以及投标人与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就有关投标的所有来往函电统一使用中文（特别规定除外）。</w:t>
            </w:r>
          </w:p>
        </w:tc>
      </w:tr>
      <w:tr>
        <w:tblPrEx>
          <w:tblLayout w:type="fixed"/>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计量单位</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投标文件中使用的计量单位除招标文件中有特殊规定外，一律使用中国法定计量单位。</w:t>
            </w:r>
          </w:p>
        </w:tc>
      </w:tr>
      <w:tr>
        <w:tblPrEx>
          <w:tblLayout w:type="fixed"/>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构成投标文件的其他资料</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.第五章《采购需求》中要求提供的其他资料；</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.招标文件中所涉及到的相关资料及证明文件或投标人认为必须提供的其他相关资料。</w:t>
            </w:r>
          </w:p>
        </w:tc>
      </w:tr>
      <w:tr>
        <w:tblPrEx>
          <w:tblLayout w:type="fixed"/>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从提交投标文件截止之日起90日历天。</w:t>
            </w:r>
          </w:p>
        </w:tc>
      </w:tr>
      <w:tr>
        <w:tblPrEx>
          <w:tblLayout w:type="fixed"/>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18.1</w:t>
            </w:r>
          </w:p>
        </w:tc>
        <w:tc>
          <w:tcPr>
            <w:tcW w:w="210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投标保证金</w:t>
            </w:r>
          </w:p>
        </w:tc>
        <w:tc>
          <w:tcPr>
            <w:tcW w:w="6454" w:type="dxa"/>
            <w:tcBorders>
              <w:top w:val="single" w:color="auto" w:sz="4" w:space="0"/>
              <w:left w:val="single" w:color="auto" w:sz="4" w:space="0"/>
              <w:bottom w:val="single" w:color="auto" w:sz="4" w:space="0"/>
              <w:right w:val="single" w:color="auto" w:sz="4" w:space="0"/>
            </w:tcBorders>
            <w:vAlign w:val="center"/>
          </w:tcPr>
          <w:p>
            <w:pPr>
              <w:spacing w:before="10" w:after="10" w:line="500" w:lineRule="exact"/>
              <w:ind w:firstLine="480" w:firstLineChars="200"/>
              <w:contextualSpacing/>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各</w:t>
            </w:r>
            <w:r>
              <w:rPr>
                <w:rFonts w:hint="eastAsia" w:ascii="仿宋" w:hAnsi="仿宋" w:eastAsia="仿宋" w:cs="仿宋"/>
                <w:color w:val="000000" w:themeColor="text1"/>
                <w:sz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应向云南蓝本招标咨询有限公司提交：</w:t>
            </w:r>
            <w:r>
              <w:rPr>
                <w:rFonts w:hint="eastAsia" w:ascii="仿宋" w:hAnsi="仿宋" w:eastAsia="仿宋" w:cs="仿宋"/>
                <w:color w:val="000000" w:themeColor="text1"/>
                <w:sz w:val="24"/>
                <w:highlight w:val="none"/>
                <w:lang w:val="en-US" w:eastAsia="zh-CN"/>
                <w14:textFill>
                  <w14:solidFill>
                    <w14:schemeClr w14:val="tx1"/>
                  </w14:solidFill>
                </w14:textFill>
              </w:rPr>
              <w:t>100000</w:t>
            </w:r>
            <w:r>
              <w:rPr>
                <w:rFonts w:hint="eastAsia" w:ascii="仿宋" w:hAnsi="仿宋" w:eastAsia="仿宋" w:cs="仿宋"/>
                <w:color w:val="000000" w:themeColor="text1"/>
                <w:sz w:val="24"/>
                <w:highlight w:val="none"/>
                <w14:textFill>
                  <w14:solidFill>
                    <w14:schemeClr w14:val="tx1"/>
                  </w14:solidFill>
                </w14:textFill>
              </w:rPr>
              <w:t>元（大写：</w:t>
            </w:r>
            <w:r>
              <w:rPr>
                <w:rFonts w:hint="eastAsia" w:ascii="仿宋" w:hAnsi="仿宋" w:eastAsia="仿宋" w:cs="仿宋"/>
                <w:color w:val="000000" w:themeColor="text1"/>
                <w:sz w:val="24"/>
                <w:highlight w:val="none"/>
                <w:lang w:val="en-US" w:eastAsia="zh-CN"/>
                <w14:textFill>
                  <w14:solidFill>
                    <w14:schemeClr w14:val="tx1"/>
                  </w14:solidFill>
                </w14:textFill>
              </w:rPr>
              <w:t>壹拾万元</w:t>
            </w:r>
            <w:r>
              <w:rPr>
                <w:rFonts w:hint="eastAsia" w:ascii="仿宋" w:hAnsi="仿宋" w:eastAsia="仿宋" w:cs="仿宋"/>
                <w:color w:val="000000" w:themeColor="text1"/>
                <w:sz w:val="24"/>
                <w:highlight w:val="none"/>
                <w14:textFill>
                  <w14:solidFill>
                    <w14:schemeClr w14:val="tx1"/>
                  </w14:solidFill>
                </w14:textFill>
              </w:rPr>
              <w:t>整）</w:t>
            </w:r>
            <w:r>
              <w:rPr>
                <w:rFonts w:hint="eastAsia" w:ascii="仿宋" w:hAnsi="仿宋" w:eastAsia="仿宋" w:cs="仿宋"/>
                <w:color w:val="000000" w:themeColor="text1"/>
                <w:sz w:val="24"/>
                <w:highlight w:val="none"/>
                <w:lang w:val="en-US" w:eastAsia="zh-CN"/>
                <w14:textFill>
                  <w14:solidFill>
                    <w14:schemeClr w14:val="tx1"/>
                  </w14:solidFill>
                </w14:textFill>
              </w:rPr>
              <w:t>的保证金</w:t>
            </w:r>
            <w:r>
              <w:rPr>
                <w:rFonts w:hint="eastAsia" w:ascii="仿宋" w:hAnsi="仿宋" w:eastAsia="仿宋" w:cs="仿宋"/>
                <w:color w:val="000000" w:themeColor="text1"/>
                <w:sz w:val="24"/>
                <w:highlight w:val="none"/>
                <w:lang w:eastAsia="zh-CN"/>
                <w14:textFill>
                  <w14:solidFill>
                    <w14:schemeClr w14:val="tx1"/>
                  </w14:solidFill>
                </w14:textFill>
              </w:rPr>
              <w:t>，保证金应当以支票、汇票、本票或者金融机构、担保机构出具的保函等非现金形式提交</w:t>
            </w:r>
            <w:r>
              <w:rPr>
                <w:rFonts w:hint="eastAsia" w:ascii="仿宋" w:hAnsi="仿宋" w:eastAsia="仿宋" w:cs="仿宋"/>
                <w:color w:val="000000" w:themeColor="text1"/>
                <w:sz w:val="24"/>
                <w:highlight w:val="none"/>
                <w14:textFill>
                  <w14:solidFill>
                    <w14:schemeClr w14:val="tx1"/>
                  </w14:solidFill>
                </w14:textFill>
              </w:rPr>
              <w:t>，保证金递交截止时间为</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文件递交截止时间，逾期提交者、未到帐的均视同未提交保证金，不得参加本项目</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w:t>
            </w:r>
          </w:p>
          <w:p>
            <w:pPr>
              <w:autoSpaceDE w:val="0"/>
              <w:autoSpaceDN w:val="0"/>
              <w:adjustRightInd w:val="0"/>
              <w:spacing w:before="10" w:after="10" w:line="500" w:lineRule="exact"/>
              <w:ind w:firstLine="480" w:firstLineChars="200"/>
              <w:contextualSpacing/>
              <w:jc w:val="left"/>
              <w:rPr>
                <w:rFonts w:ascii="仿宋" w:hAnsi="仿宋" w:eastAsia="仿宋" w:cs="仿宋"/>
                <w:bCs/>
                <w:color w:val="000000" w:themeColor="text1"/>
                <w:kern w:val="0"/>
                <w:sz w:val="24"/>
                <w:highlight w:val="none"/>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开户行：招商银行丽江分行营业部</w:t>
            </w:r>
          </w:p>
          <w:p>
            <w:pPr>
              <w:autoSpaceDE w:val="0"/>
              <w:autoSpaceDN w:val="0"/>
              <w:adjustRightInd w:val="0"/>
              <w:spacing w:before="10" w:after="10" w:line="500" w:lineRule="exact"/>
              <w:ind w:firstLine="480" w:firstLineChars="200"/>
              <w:contextualSpacing/>
              <w:jc w:val="left"/>
              <w:rPr>
                <w:rFonts w:ascii="仿宋" w:hAnsi="仿宋" w:eastAsia="仿宋" w:cs="仿宋"/>
                <w:bCs/>
                <w:color w:val="000000" w:themeColor="text1"/>
                <w:kern w:val="0"/>
                <w:sz w:val="24"/>
                <w:highlight w:val="none"/>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户名：云南蓝本招标咨询有限公司丽江分公司</w:t>
            </w:r>
          </w:p>
          <w:p>
            <w:pPr>
              <w:spacing w:line="500" w:lineRule="exact"/>
              <w:ind w:firstLine="480" w:firstLineChars="20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银行账号：888900601510601</w:t>
            </w:r>
          </w:p>
        </w:tc>
      </w:tr>
      <w:tr>
        <w:tblPrEx>
          <w:tblLayout w:type="fixed"/>
          <w:tblCellMar>
            <w:top w:w="0" w:type="dxa"/>
            <w:left w:w="108" w:type="dxa"/>
            <w:bottom w:w="0" w:type="dxa"/>
            <w:right w:w="108" w:type="dxa"/>
          </w:tblCellMar>
        </w:tblPrEx>
        <w:trPr>
          <w:trHeight w:val="54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电子投标文件</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电子投标文件一份。</w:t>
            </w:r>
          </w:p>
        </w:tc>
      </w:tr>
      <w:tr>
        <w:tblPrEx>
          <w:tblLayout w:type="fixed"/>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报价</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投标报价包括但不限于完成本项目的</w:t>
            </w:r>
            <w:r>
              <w:rPr>
                <w:rFonts w:hint="eastAsia" w:ascii="仿宋" w:hAnsi="仿宋" w:eastAsia="仿宋" w:cs="仿宋"/>
                <w:color w:val="000000" w:themeColor="text1"/>
                <w:sz w:val="24"/>
                <w:highlight w:val="none"/>
                <w14:textFill>
                  <w14:solidFill>
                    <w14:schemeClr w14:val="tx1"/>
                  </w14:solidFill>
                </w14:textFill>
              </w:rPr>
              <w:t>人员、设备、税收、保险、利润</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中标服务费等其它</w:t>
            </w:r>
            <w:r>
              <w:rPr>
                <w:rFonts w:hint="eastAsia" w:ascii="仿宋" w:hAnsi="仿宋" w:eastAsia="仿宋" w:cs="仿宋"/>
                <w:color w:val="000000" w:themeColor="text1"/>
                <w:sz w:val="24"/>
                <w:highlight w:val="none"/>
                <w14:textFill>
                  <w14:solidFill>
                    <w14:schemeClr w14:val="tx1"/>
                  </w14:solidFill>
                </w14:textFill>
              </w:rPr>
              <w:t>项目实施的一切费用</w:t>
            </w:r>
            <w:r>
              <w:rPr>
                <w:rFonts w:hint="eastAsia" w:ascii="仿宋" w:hAnsi="仿宋" w:eastAsia="仿宋" w:cs="仿宋"/>
                <w:color w:val="000000" w:themeColor="text1"/>
                <w:sz w:val="24"/>
                <w:highlight w:val="none"/>
                <w:lang w:eastAsia="zh-CN"/>
                <w14:textFill>
                  <w14:solidFill>
                    <w14:schemeClr w14:val="tx1"/>
                  </w14:solidFill>
                </w14:textFill>
              </w:rPr>
              <w:t>。</w:t>
            </w:r>
          </w:p>
        </w:tc>
      </w:tr>
      <w:tr>
        <w:tblPrEx>
          <w:tblLayout w:type="fixed"/>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投标文件的密封</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登录“政采云”平台（https://www.zcygov.cn），投标人须在投标文件提交截止时间前完成投标文件的电子签章、加密及上传，投标文件提交截止时间前未完成投标文件上传的，视为撤回投标文件。</w:t>
            </w:r>
          </w:p>
        </w:tc>
      </w:tr>
      <w:tr>
        <w:tblPrEx>
          <w:tblLayout w:type="fixed"/>
          <w:tblCellMar>
            <w:top w:w="0" w:type="dxa"/>
            <w:left w:w="108" w:type="dxa"/>
            <w:bottom w:w="0" w:type="dxa"/>
            <w:right w:w="108" w:type="dxa"/>
          </w:tblCellMar>
        </w:tblPrEx>
        <w:trPr>
          <w:trHeight w:val="121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投标文件提交截止时间：详见第一章《招标公告》；</w:t>
            </w:r>
          </w:p>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提交投标文件的地点：详见第一章《招标公告》。</w:t>
            </w:r>
          </w:p>
        </w:tc>
      </w:tr>
      <w:tr>
        <w:tblPrEx>
          <w:tblLayout w:type="fixed"/>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24.1</w:t>
            </w:r>
          </w:p>
        </w:tc>
        <w:tc>
          <w:tcPr>
            <w:tcW w:w="2108"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开标时间和地点</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开标时间：同投标文件提交截止时间；</w:t>
            </w:r>
          </w:p>
          <w:p>
            <w:pPr>
              <w:pStyle w:val="14"/>
              <w:keepNext w:val="0"/>
              <w:keepLines w:val="0"/>
              <w:pageBreakBefore w:val="0"/>
              <w:shd w:val="clear"/>
              <w:kinsoku/>
              <w:wordWrap/>
              <w:overflowPunct/>
              <w:topLinePunct w:val="0"/>
              <w:autoSpaceDE/>
              <w:autoSpaceDN/>
              <w:bidi w:val="0"/>
              <w:adjustRightInd/>
              <w:snapToGrid/>
              <w:spacing w:line="440" w:lineRule="exact"/>
              <w:ind w:left="1200" w:hanging="1200" w:hangingChars="50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开标地点：同提交投标文件的地点。</w:t>
            </w:r>
          </w:p>
        </w:tc>
      </w:tr>
      <w:tr>
        <w:tblPrEx>
          <w:tblLayout w:type="fixed"/>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代表和评审专家组成，成员人数</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及以上单数，其中评审专家不得少于成员总数的三分之二。评标委员会应当推选组长，但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代表不得担任组长。</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25.5</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综合评分法</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w:t>
            </w:r>
            <w:r>
              <w:rPr>
                <w:rFonts w:hint="eastAsia" w:ascii="仿宋" w:hAnsi="仿宋" w:eastAsia="仿宋" w:cs="仿宋"/>
                <w:color w:val="000000" w:themeColor="text1"/>
                <w:sz w:val="24"/>
                <w:szCs w:val="22"/>
                <w:highlight w:val="none"/>
                <w14:textFill>
                  <w14:solidFill>
                    <w14:schemeClr w14:val="tx1"/>
                  </w14:solidFill>
                </w14:textFill>
              </w:rPr>
              <w:t>保证金的形式：支票、汇票、本票、保函、银行转账、保证保险等非现金形式</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履约保证金的金额：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2"/>
                <w:highlight w:val="none"/>
                <w:lang w:eastAsia="zh-CN"/>
                <w14:textFill>
                  <w14:solidFill>
                    <w14:schemeClr w14:val="tx1"/>
                  </w14:solidFill>
                </w14:textFill>
              </w:rPr>
              <w:t>合同金额的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5%；配套试剂耗材：预算</w:t>
            </w:r>
            <w:r>
              <w:rPr>
                <w:rFonts w:hint="eastAsia" w:ascii="仿宋" w:hAnsi="仿宋" w:eastAsia="仿宋" w:cs="仿宋"/>
                <w:color w:val="000000" w:themeColor="text1"/>
                <w:sz w:val="24"/>
                <w:szCs w:val="22"/>
                <w:highlight w:val="none"/>
                <w:lang w:eastAsia="zh-CN"/>
                <w14:textFill>
                  <w14:solidFill>
                    <w14:schemeClr w14:val="tx1"/>
                  </w14:solidFill>
                </w14:textFill>
              </w:rPr>
              <w:t>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中标人</w:t>
            </w:r>
            <w:r>
              <w:rPr>
                <w:rFonts w:hint="eastAsia" w:ascii="仿宋" w:hAnsi="仿宋" w:eastAsia="仿宋" w:cs="仿宋"/>
                <w:color w:val="000000" w:themeColor="text1"/>
                <w:sz w:val="24"/>
                <w:highlight w:val="none"/>
                <w14:textFill>
                  <w14:solidFill>
                    <w14:schemeClr w14:val="tx1"/>
                  </w14:solidFill>
                </w14:textFill>
              </w:rPr>
              <w:t>不按规定提交履约保证金</w:t>
            </w:r>
            <w:r>
              <w:rPr>
                <w:rFonts w:hint="eastAsia" w:ascii="仿宋" w:hAnsi="仿宋" w:eastAsia="仿宋" w:cs="仿宋"/>
                <w:color w:val="000000" w:themeColor="text1"/>
                <w:sz w:val="24"/>
                <w:highlight w:val="none"/>
                <w:lang w:val="en-US" w:eastAsia="zh-CN"/>
                <w14:textFill>
                  <w14:solidFill>
                    <w14:schemeClr w14:val="tx1"/>
                  </w14:solidFill>
                </w14:textFill>
              </w:rPr>
              <w:t>的，将按照相关法律法规执行</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color="auto" w:fill="auto"/>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履约保证金由甲方代管，</w:t>
            </w:r>
            <w:r>
              <w:rPr>
                <w:rFonts w:hint="eastAsia" w:ascii="仿宋" w:hAnsi="仿宋" w:eastAsia="仿宋" w:cs="仿宋"/>
                <w:color w:val="000000" w:themeColor="text1"/>
                <w:sz w:val="24"/>
                <w:highlight w:val="none"/>
                <w:lang w:eastAsia="zh-CN"/>
                <w14:textFill>
                  <w14:solidFill>
                    <w14:schemeClr w14:val="tx1"/>
                  </w14:solidFill>
                </w14:textFill>
              </w:rPr>
              <w:t>待合同有效期结束后若无违约行为，60个日历天内退还。</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p>
        </w:tc>
        <w:tc>
          <w:tcPr>
            <w:tcW w:w="6454" w:type="dxa"/>
            <w:tcBorders>
              <w:top w:val="single" w:color="auto" w:sz="4" w:space="0"/>
              <w:left w:val="single" w:color="auto" w:sz="4" w:space="0"/>
              <w:bottom w:val="single" w:color="auto" w:sz="4" w:space="0"/>
              <w:right w:val="single" w:color="auto" w:sz="4" w:space="0"/>
            </w:tcBorders>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1、本项目中标服务费由中标人支付，中标人收到中标通知书的同时，应向招标代理机构缴付中标服务费。</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2、本项目</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highlight w:val="none"/>
                <w14:textFill>
                  <w14:solidFill>
                    <w14:schemeClr w14:val="tx1"/>
                  </w14:solidFill>
                </w14:textFill>
              </w:rPr>
              <w:t>参照国家计委[2002]1980号文件规定的</w:t>
            </w:r>
            <w:r>
              <w:rPr>
                <w:rFonts w:hint="eastAsia" w:ascii="仿宋" w:hAnsi="仿宋" w:eastAsia="仿宋" w:cs="仿宋"/>
                <w:color w:val="000000" w:themeColor="text1"/>
                <w:sz w:val="24"/>
                <w:highlight w:val="none"/>
                <w:lang w:val="en-US" w:eastAsia="zh-CN"/>
                <w14:textFill>
                  <w14:solidFill>
                    <w14:schemeClr w14:val="tx1"/>
                  </w14:solidFill>
                </w14:textFill>
              </w:rPr>
              <w:t>货物</w:t>
            </w:r>
            <w:r>
              <w:rPr>
                <w:rFonts w:hint="eastAsia" w:ascii="仿宋" w:hAnsi="仿宋" w:eastAsia="仿宋" w:cs="仿宋"/>
                <w:color w:val="000000" w:themeColor="text1"/>
                <w:sz w:val="24"/>
                <w:highlight w:val="none"/>
                <w14:textFill>
                  <w14:solidFill>
                    <w14:schemeClr w14:val="tx1"/>
                  </w14:solidFill>
                </w14:textFill>
              </w:rPr>
              <w:t>收费标准</w:t>
            </w:r>
            <w:r>
              <w:rPr>
                <w:rFonts w:hint="eastAsia" w:ascii="仿宋" w:hAnsi="仿宋" w:eastAsia="仿宋" w:cs="仿宋"/>
                <w:color w:val="000000" w:themeColor="text1"/>
                <w:sz w:val="24"/>
                <w:highlight w:val="none"/>
                <w:lang w:val="en-US" w:eastAsia="zh-CN"/>
                <w14:textFill>
                  <w14:solidFill>
                    <w14:schemeClr w14:val="tx1"/>
                  </w14:solidFill>
                </w14:textFill>
              </w:rPr>
              <w:t>下浮20%</w:t>
            </w:r>
            <w:r>
              <w:rPr>
                <w:rFonts w:hint="eastAsia" w:ascii="仿宋" w:hAnsi="仿宋" w:eastAsia="仿宋" w:cs="仿宋"/>
                <w:color w:val="000000" w:themeColor="text1"/>
                <w:sz w:val="24"/>
                <w:highlight w:val="none"/>
                <w14:textFill>
                  <w14:solidFill>
                    <w14:schemeClr w14:val="tx1"/>
                  </w14:solidFill>
                </w14:textFill>
              </w:rPr>
              <w:t>收取（计算基准价为</w:t>
            </w:r>
            <w:r>
              <w:rPr>
                <w:rFonts w:hint="eastAsia" w:ascii="仿宋" w:hAnsi="仿宋" w:eastAsia="仿宋" w:cs="仿宋"/>
                <w:color w:val="000000" w:themeColor="text1"/>
                <w:sz w:val="24"/>
                <w:highlight w:val="none"/>
                <w:lang w:val="en-US" w:eastAsia="zh-CN"/>
                <w14:textFill>
                  <w14:solidFill>
                    <w14:schemeClr w14:val="tx1"/>
                  </w14:solidFill>
                </w14:textFill>
              </w:rPr>
              <w:t>设备中标价+配套试剂耗材预算价</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3、招标代理服务费接受以下形式：现金、银行电汇、网银。</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4、代理机构账号信息：</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户名：云南蓝本招标咨询有限公司丽江分公司</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开户行：招商银行丽江分行营业部</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账号：888900601510601</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35</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需要补充的其他内容</w:t>
            </w:r>
          </w:p>
        </w:tc>
        <w:tc>
          <w:tcPr>
            <w:tcW w:w="6454" w:type="dxa"/>
            <w:tcBorders>
              <w:top w:val="single" w:color="auto" w:sz="4" w:space="0"/>
              <w:left w:val="single" w:color="auto" w:sz="4" w:space="0"/>
              <w:bottom w:val="single" w:color="auto" w:sz="4" w:space="0"/>
              <w:right w:val="single" w:color="auto" w:sz="4" w:space="0"/>
            </w:tcBorders>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招标人将根据实际需要对项目进行调整，所带来的的风险各投标人需自行承担，可能产生的风险如下：</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（1）因国家政策调整导致采购规模差异较大的风险；</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（2）因其他非招标人原因导致的项目取消及终止风险。</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投标人必须保证在投标文件中所提供的商务文件、技术文件、资格证明文件的有关材料及自身所做出的相关承诺的真实性，不得弄虚作假，若所供材料有弄虚作假，故意欺骗的情况，一经发现，则取消该投标人的投标资格。</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根据《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凡涉及“中标价较大偏差”却不能合理解释或未提交相应证明材料的，评标委员会有权按照《政府采购货物和服务招标投标管理办法》第六十条规定判定其报价为低于成本价将其作为无效投标处理;若投标人认为自身报价可能明显低于其他投标人的，请自行准备报价合理性的证明材料，以便及时提交评标委员会进行审查。</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36</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本项目投标人为自然人的，应当由本人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；投标人为法人应当由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法定代表人（负责人）（电子签名或签章）</w:t>
            </w:r>
            <w:r>
              <w:rPr>
                <w:rFonts w:hint="eastAsia" w:ascii="仿宋" w:hAnsi="仿宋" w:eastAsia="仿宋" w:cs="仿宋"/>
                <w:color w:val="000000" w:themeColor="text1"/>
                <w:sz w:val="24"/>
                <w:szCs w:val="24"/>
                <w:highlight w:val="none"/>
                <w14:textFill>
                  <w14:solidFill>
                    <w14:schemeClr w14:val="tx1"/>
                  </w14:solidFill>
                </w14:textFill>
              </w:rPr>
              <w:t>；其他组织的应当由主要负责人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，并加盖电子公章。</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37</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其他内容</w:t>
            </w:r>
            <w:r>
              <w:rPr>
                <w:rFonts w:hint="eastAsia" w:ascii="仿宋" w:hAnsi="仿宋" w:eastAsia="仿宋" w:cs="仿宋"/>
                <w:color w:val="000000" w:themeColor="text1"/>
                <w:sz w:val="24"/>
                <w:szCs w:val="24"/>
                <w:highlight w:val="none"/>
                <w14:textFill>
                  <w14:solidFill>
                    <w14:schemeClr w14:val="tx1"/>
                  </w14:solidFill>
                </w14:textFill>
              </w:rPr>
              <w:t>：根据《财政部关于在政府采购活动中查询及使用信用记录有关问题的通知-财库〔2016〕125号》相关要求，</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对信用记录进行核实，对列入失信被执行人、重大税收违法案件当事人名单、政府采购严重违法失信行为记录名单及其他不符合《中华人民共和国政府采购法》第二十二条规定条件的投标人，拒绝其参与政府采购活动。</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pStyle w:val="14"/>
              <w:shd w:val="clea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采购项目行业划分：</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根据国家统计局关于印发《统计上大中小微型企业划分办法（2017）》的通知，本项目采购标的所属行业为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工业</w:t>
            </w:r>
            <w:r>
              <w:rPr>
                <w:rFonts w:hint="eastAsia" w:ascii="仿宋" w:hAnsi="仿宋" w:eastAsia="仿宋" w:cs="仿宋"/>
                <w:b/>
                <w:color w:val="000000" w:themeColor="text1"/>
                <w:sz w:val="24"/>
                <w:szCs w:val="24"/>
                <w:highlight w:val="none"/>
                <w:u w:val="single"/>
                <w14:textFill>
                  <w14:solidFill>
                    <w14:schemeClr w14:val="tx1"/>
                  </w14:solidFill>
                </w14:textFill>
              </w:rPr>
              <w:t>”。</w:t>
            </w:r>
          </w:p>
        </w:tc>
      </w:tr>
    </w:tbl>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Start w:id="58" w:name="_Toc30862"/>
      <w:bookmarkStart w:id="59" w:name="_Toc260"/>
      <w:bookmarkStart w:id="60" w:name="_Toc32463"/>
      <w:r>
        <w:rPr>
          <w:rFonts w:hint="eastAsia" w:ascii="仿宋" w:hAnsi="仿宋" w:eastAsia="仿宋" w:cs="仿宋"/>
          <w:color w:val="000000" w:themeColor="text1"/>
          <w:sz w:val="30"/>
          <w:szCs w:val="30"/>
          <w:highlight w:val="none"/>
          <w14:textFill>
            <w14:solidFill>
              <w14:schemeClr w14:val="tx1"/>
            </w14:solidFill>
          </w14:textFill>
        </w:rPr>
        <w:t>一、总则</w:t>
      </w:r>
      <w:bookmarkEnd w:id="58"/>
      <w:bookmarkEnd w:id="59"/>
      <w:bookmarkEnd w:id="60"/>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61" w:name="_Toc246996176"/>
      <w:bookmarkStart w:id="62" w:name="_Toc152042306"/>
      <w:bookmarkStart w:id="63" w:name="_Toc489145704"/>
      <w:bookmarkStart w:id="64" w:name="_Toc246996919"/>
      <w:bookmarkStart w:id="65" w:name="_Toc24232"/>
      <w:bookmarkStart w:id="66" w:name="_Toc31121"/>
      <w:bookmarkStart w:id="67" w:name="_Toc296602421"/>
      <w:bookmarkStart w:id="68" w:name="_Toc144974498"/>
      <w:bookmarkStart w:id="69" w:name="_Toc18164"/>
      <w:bookmarkStart w:id="70" w:name="_Toc247085690"/>
      <w:bookmarkStart w:id="71" w:name="_Toc489197808"/>
      <w:bookmarkStart w:id="72" w:name="_Toc179632547"/>
      <w:bookmarkStart w:id="73" w:name="_Toc152045530"/>
      <w:bookmarkStart w:id="74" w:name="_Toc528186453"/>
      <w:r>
        <w:rPr>
          <w:rFonts w:hint="eastAsia" w:ascii="仿宋" w:hAnsi="仿宋" w:eastAsia="仿宋" w:cs="仿宋"/>
          <w:color w:val="000000" w:themeColor="text1"/>
          <w:sz w:val="24"/>
          <w:szCs w:val="24"/>
          <w:highlight w:val="none"/>
          <w14:textFill>
            <w14:solidFill>
              <w14:schemeClr w14:val="tx1"/>
            </w14:solidFill>
          </w14:textFill>
        </w:rPr>
        <w:t>1.项目概况</w:t>
      </w:r>
      <w:bookmarkEnd w:id="61"/>
      <w:bookmarkEnd w:id="62"/>
      <w:bookmarkEnd w:id="63"/>
      <w:bookmarkEnd w:id="64"/>
      <w:bookmarkEnd w:id="65"/>
      <w:bookmarkEnd w:id="66"/>
      <w:bookmarkEnd w:id="67"/>
      <w:bookmarkEnd w:id="68"/>
      <w:bookmarkEnd w:id="69"/>
      <w:bookmarkEnd w:id="70"/>
      <w:bookmarkEnd w:id="71"/>
      <w:bookmarkEnd w:id="72"/>
      <w:bookmarkEnd w:id="73"/>
      <w:bookmarkEnd w:id="74"/>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1.1根据《中华人民共和国政府采购法》、《中华人民共和国政府采购法实施条例》、《政府采购货物和服务招标投标管理办法》（财政部令第87号）等有关</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的规定，本项目已具备招标条件，现对本项目进行公开招标。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1.2本项目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1.3本项目</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1.4本项目名称及项目编号：详见《投标人须知前附表》。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75" w:name="_Toc246996177"/>
      <w:bookmarkStart w:id="76" w:name="_Toc296602422"/>
      <w:bookmarkStart w:id="77" w:name="_Toc152045531"/>
      <w:bookmarkStart w:id="78" w:name="_Toc489145705"/>
      <w:bookmarkStart w:id="79" w:name="_Toc528186454"/>
      <w:bookmarkStart w:id="80" w:name="_Toc152042307"/>
      <w:bookmarkStart w:id="81" w:name="_Toc247085691"/>
      <w:bookmarkStart w:id="82" w:name="_Toc144974499"/>
      <w:bookmarkStart w:id="83" w:name="_Toc179632548"/>
      <w:bookmarkStart w:id="84" w:name="_Toc246996920"/>
      <w:bookmarkStart w:id="85" w:name="_Toc489197809"/>
      <w:bookmarkStart w:id="86" w:name="_Toc29064"/>
      <w:bookmarkStart w:id="87" w:name="_Toc9634"/>
      <w:bookmarkStart w:id="88" w:name="_Toc2063"/>
      <w:r>
        <w:rPr>
          <w:rFonts w:hint="eastAsia" w:ascii="仿宋" w:hAnsi="仿宋" w:eastAsia="仿宋" w:cs="仿宋"/>
          <w:color w:val="000000" w:themeColor="text1"/>
          <w:sz w:val="24"/>
          <w:szCs w:val="24"/>
          <w:highlight w:val="none"/>
          <w14:textFill>
            <w14:solidFill>
              <w14:schemeClr w14:val="tx1"/>
            </w14:solidFill>
          </w14:textFill>
        </w:rPr>
        <w:t>2.</w:t>
      </w:r>
      <w:bookmarkEnd w:id="75"/>
      <w:bookmarkEnd w:id="76"/>
      <w:bookmarkEnd w:id="77"/>
      <w:bookmarkEnd w:id="78"/>
      <w:bookmarkEnd w:id="79"/>
      <w:bookmarkEnd w:id="80"/>
      <w:bookmarkEnd w:id="81"/>
      <w:bookmarkEnd w:id="82"/>
      <w:bookmarkEnd w:id="83"/>
      <w:bookmarkEnd w:id="84"/>
      <w:bookmarkEnd w:id="85"/>
      <w:r>
        <w:rPr>
          <w:rFonts w:hint="eastAsia" w:ascii="仿宋" w:hAnsi="仿宋" w:eastAsia="仿宋" w:cs="仿宋"/>
          <w:color w:val="000000" w:themeColor="text1"/>
          <w:sz w:val="24"/>
          <w:szCs w:val="24"/>
          <w:highlight w:val="none"/>
          <w14:textFill>
            <w14:solidFill>
              <w14:schemeClr w14:val="tx1"/>
            </w14:solidFill>
          </w14:textFill>
        </w:rPr>
        <w:t>预算金额</w:t>
      </w:r>
      <w:bookmarkEnd w:id="86"/>
      <w:bookmarkEnd w:id="87"/>
      <w:bookmarkEnd w:id="88"/>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2.1预算金额：详见《投标人须知前附表》。</w:t>
      </w:r>
      <w:bookmarkStart w:id="89" w:name="_Toc152042308"/>
      <w:bookmarkStart w:id="90" w:name="_Toc152045532"/>
      <w:bookmarkStart w:id="91" w:name="_Toc179632549"/>
      <w:bookmarkStart w:id="92" w:name="_Toc296602423"/>
      <w:bookmarkStart w:id="93" w:name="_Toc246996178"/>
      <w:bookmarkStart w:id="94" w:name="_Toc246996921"/>
      <w:bookmarkStart w:id="95" w:name="_Toc144974500"/>
      <w:bookmarkStart w:id="96" w:name="_Toc247085692"/>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97" w:name="_Toc489197810"/>
      <w:bookmarkStart w:id="98" w:name="_Toc528186455"/>
      <w:bookmarkStart w:id="99" w:name="_Toc489145706"/>
      <w:bookmarkStart w:id="100" w:name="_Toc1203"/>
      <w:bookmarkStart w:id="101" w:name="_Toc9600"/>
      <w:bookmarkStart w:id="102" w:name="_Toc9355"/>
      <w:r>
        <w:rPr>
          <w:rFonts w:hint="eastAsia" w:ascii="仿宋" w:hAnsi="仿宋" w:eastAsia="仿宋" w:cs="仿宋"/>
          <w:color w:val="000000" w:themeColor="text1"/>
          <w:sz w:val="24"/>
          <w:szCs w:val="24"/>
          <w:highlight w:val="none"/>
          <w14:textFill>
            <w14:solidFill>
              <w14:schemeClr w14:val="tx1"/>
            </w14:solidFill>
          </w14:textFill>
        </w:rPr>
        <w:t>3.</w:t>
      </w:r>
      <w:bookmarkEnd w:id="89"/>
      <w:bookmarkEnd w:id="90"/>
      <w:bookmarkEnd w:id="91"/>
      <w:bookmarkEnd w:id="92"/>
      <w:bookmarkEnd w:id="93"/>
      <w:bookmarkEnd w:id="94"/>
      <w:bookmarkEnd w:id="95"/>
      <w:bookmarkEnd w:id="96"/>
      <w:bookmarkStart w:id="103" w:name="_Toc427056529"/>
      <w:bookmarkStart w:id="104" w:name="_Toc427056451"/>
      <w:bookmarkStart w:id="105" w:name="_Toc421541057"/>
      <w:r>
        <w:rPr>
          <w:rFonts w:hint="eastAsia" w:ascii="仿宋" w:hAnsi="仿宋" w:eastAsia="仿宋" w:cs="仿宋"/>
          <w:color w:val="000000" w:themeColor="text1"/>
          <w:sz w:val="24"/>
          <w:szCs w:val="24"/>
          <w:highlight w:val="none"/>
          <w14:textFill>
            <w14:solidFill>
              <w14:schemeClr w14:val="tx1"/>
            </w14:solidFill>
          </w14:textFill>
        </w:rPr>
        <w:t>采购需求及</w:t>
      </w:r>
      <w:bookmarkEnd w:id="97"/>
      <w:bookmarkEnd w:id="98"/>
      <w:bookmarkEnd w:id="99"/>
      <w:bookmarkEnd w:id="100"/>
      <w:bookmarkEnd w:id="101"/>
      <w:bookmarkEnd w:id="102"/>
      <w:bookmarkEnd w:id="103"/>
      <w:bookmarkEnd w:id="104"/>
      <w:bookmarkEnd w:id="105"/>
      <w:r>
        <w:rPr>
          <w:rFonts w:hint="eastAsia" w:ascii="仿宋" w:hAnsi="仿宋" w:eastAsia="仿宋" w:cs="仿宋"/>
          <w:color w:val="000000" w:themeColor="text1"/>
          <w:sz w:val="24"/>
          <w:szCs w:val="24"/>
          <w:highlight w:val="none"/>
          <w:lang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项目地点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3.1本项目采购需求：详见《投标人须知前附表》。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设备质保期（有效期）</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06" w:name="_Toc296602424"/>
      <w:bookmarkStart w:id="107" w:name="_Toc4535"/>
      <w:bookmarkStart w:id="108" w:name="_Toc489145707"/>
      <w:bookmarkStart w:id="109" w:name="_Toc246996922"/>
      <w:bookmarkStart w:id="110" w:name="_Toc179632551"/>
      <w:bookmarkStart w:id="111" w:name="_Toc489197811"/>
      <w:bookmarkStart w:id="112" w:name="_Toc246996179"/>
      <w:bookmarkStart w:id="113" w:name="_Toc247085693"/>
      <w:bookmarkStart w:id="114" w:name="_Toc144974502"/>
      <w:bookmarkStart w:id="115" w:name="_Toc152045534"/>
      <w:bookmarkStart w:id="116" w:name="_Toc16237"/>
      <w:bookmarkStart w:id="117" w:name="_Toc2077"/>
      <w:bookmarkStart w:id="118" w:name="_Toc528186456"/>
      <w:bookmarkStart w:id="119" w:name="_Toc152042310"/>
      <w:r>
        <w:rPr>
          <w:rFonts w:hint="eastAsia" w:ascii="仿宋" w:hAnsi="仿宋" w:eastAsia="仿宋" w:cs="仿宋"/>
          <w:color w:val="000000" w:themeColor="text1"/>
          <w:sz w:val="24"/>
          <w:szCs w:val="24"/>
          <w:highlight w:val="none"/>
          <w14:textFill>
            <w14:solidFill>
              <w14:schemeClr w14:val="tx1"/>
            </w14:solidFill>
          </w14:textFill>
        </w:rPr>
        <w:t>▲4.投标人资格要求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hint="eastAsia" w:ascii="仿宋" w:hAnsi="仿宋" w:eastAsia="仿宋" w:cs="仿宋"/>
          <w:color w:val="000000" w:themeColor="text1"/>
          <w:sz w:val="24"/>
          <w:szCs w:val="24"/>
          <w:highlight w:val="none"/>
          <w14:textFill>
            <w14:solidFill>
              <w14:schemeClr w14:val="tx1"/>
            </w14:solidFill>
          </w14:textFill>
        </w:rPr>
        <w:t>及其他要求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20" w:name="_Toc247085694"/>
      <w:bookmarkStart w:id="121" w:name="_Toc152042311"/>
      <w:bookmarkStart w:id="122" w:name="_Toc296602425"/>
      <w:bookmarkStart w:id="123" w:name="_Toc144974503"/>
      <w:bookmarkStart w:id="124" w:name="_Toc179632552"/>
      <w:bookmarkStart w:id="125" w:name="_Toc152045535"/>
      <w:bookmarkStart w:id="126" w:name="_Toc246996180"/>
      <w:bookmarkStart w:id="127" w:name="_Toc246996923"/>
      <w:r>
        <w:rPr>
          <w:rFonts w:hint="eastAsia" w:ascii="仿宋" w:hAnsi="仿宋" w:eastAsia="仿宋" w:cs="仿宋"/>
          <w:color w:val="000000" w:themeColor="text1"/>
          <w:sz w:val="24"/>
          <w:szCs w:val="24"/>
          <w:highlight w:val="none"/>
          <w14:textFill>
            <w14:solidFill>
              <w14:schemeClr w14:val="tx1"/>
            </w14:solidFill>
          </w14:textFill>
        </w:rPr>
        <w:t>4.1投标人资格要求：详见《投标人须知前附表》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根据采购项目的特殊要求规定的特定条件：详见《投标人须知前附表》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4.3是否接受联合体参加：</w:t>
      </w:r>
      <w:r>
        <w:rPr>
          <w:rFonts w:hint="eastAsia" w:ascii="仿宋" w:hAnsi="仿宋" w:eastAsia="仿宋" w:cs="仿宋"/>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color w:val="000000" w:themeColor="text1"/>
          <w:sz w:val="24"/>
          <w:szCs w:val="24"/>
          <w:highlight w:val="none"/>
          <w14:textFill>
            <w14:solidFill>
              <w14:schemeClr w14:val="tx1"/>
            </w14:solidFill>
          </w14:textFill>
        </w:rPr>
        <w:t>接受</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28" w:name="_Toc528186457"/>
      <w:bookmarkStart w:id="129" w:name="_Toc489145708"/>
      <w:bookmarkStart w:id="130" w:name="_Toc9786"/>
      <w:bookmarkStart w:id="131" w:name="_Toc29381"/>
      <w:bookmarkStart w:id="132" w:name="_Toc7517"/>
      <w:bookmarkStart w:id="133" w:name="_Toc489197812"/>
      <w:r>
        <w:rPr>
          <w:rFonts w:hint="eastAsia" w:ascii="仿宋" w:hAnsi="仿宋" w:eastAsia="仿宋" w:cs="仿宋"/>
          <w:color w:val="000000" w:themeColor="text1"/>
          <w:sz w:val="24"/>
          <w:szCs w:val="24"/>
          <w:highlight w:val="none"/>
          <w14:textFill>
            <w14:solidFill>
              <w14:schemeClr w14:val="tx1"/>
            </w14:solidFill>
          </w14:textFill>
        </w:rPr>
        <w:t>5.费用承担</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5.1不论投标结果如何，投标人均应自行承担所有与准备和参加投标活动有关的全部费用；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34" w:name="_Toc489145709"/>
      <w:bookmarkStart w:id="135" w:name="_Toc14617"/>
      <w:bookmarkStart w:id="136" w:name="_Toc528186458"/>
      <w:bookmarkStart w:id="137" w:name="_Toc29767"/>
      <w:bookmarkStart w:id="138" w:name="_Toc25690"/>
      <w:bookmarkStart w:id="139" w:name="_Toc489197813"/>
      <w:r>
        <w:rPr>
          <w:rFonts w:hint="eastAsia" w:ascii="仿宋" w:hAnsi="仿宋" w:eastAsia="仿宋" w:cs="仿宋"/>
          <w:color w:val="000000" w:themeColor="text1"/>
          <w:sz w:val="24"/>
          <w:szCs w:val="24"/>
          <w:highlight w:val="none"/>
          <w14:textFill>
            <w14:solidFill>
              <w14:schemeClr w14:val="tx1"/>
            </w14:solidFill>
          </w14:textFill>
        </w:rPr>
        <w:t>6.现场考察</w:t>
      </w:r>
      <w:bookmarkEnd w:id="134"/>
      <w:bookmarkEnd w:id="135"/>
      <w:bookmarkEnd w:id="136"/>
      <w:bookmarkEnd w:id="137"/>
      <w:bookmarkEnd w:id="138"/>
      <w:bookmarkEnd w:id="139"/>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6.1投标人须知前附表规定组织现场考察的，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按《投标人须知前附表》规定的时间、集中地点组织潜在投标人进行现场考察。</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6.2现场考察所发生的费用由潜在投标人自理。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6.3除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的原因外，潜在投标人自行负责在现场考察中所发生的人员伤亡和财产损失。</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6.4</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在现场考察中介绍的项目场地和相关的周边环境情况，供潜在投标人在编制投标文件时参考，</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不对潜在投标人据此作出的判断和决策负责。</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40" w:name="_Toc489145710"/>
      <w:bookmarkStart w:id="141" w:name="_Toc528186459"/>
      <w:bookmarkStart w:id="142" w:name="_Toc27813"/>
      <w:bookmarkStart w:id="143" w:name="_Toc23342"/>
      <w:bookmarkStart w:id="144" w:name="_Toc26130"/>
      <w:bookmarkStart w:id="145" w:name="_Toc489197814"/>
      <w:r>
        <w:rPr>
          <w:rFonts w:hint="eastAsia" w:ascii="仿宋" w:hAnsi="仿宋" w:eastAsia="仿宋" w:cs="仿宋"/>
          <w:color w:val="000000" w:themeColor="text1"/>
          <w:sz w:val="24"/>
          <w:szCs w:val="24"/>
          <w:highlight w:val="none"/>
          <w14:textFill>
            <w14:solidFill>
              <w14:schemeClr w14:val="tx1"/>
            </w14:solidFill>
          </w14:textFill>
        </w:rPr>
        <w:t>7.开标前答疑会</w:t>
      </w:r>
      <w:bookmarkEnd w:id="140"/>
      <w:bookmarkEnd w:id="141"/>
      <w:bookmarkEnd w:id="142"/>
      <w:bookmarkEnd w:id="143"/>
      <w:bookmarkEnd w:id="144"/>
      <w:bookmarkEnd w:id="145"/>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7.1投标人须知前附表规定召开开标前答疑会的，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按《投标人须知前附表》规定的时间和地点召开开标前答疑会，书面澄清潜在投标人提出的问题。</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46" w:name="_Toc4930"/>
      <w:bookmarkStart w:id="147" w:name="_Toc528186460"/>
      <w:bookmarkStart w:id="148" w:name="_Toc24436"/>
      <w:bookmarkStart w:id="149" w:name="_Toc2280"/>
      <w:bookmarkStart w:id="150" w:name="_Toc489145711"/>
      <w:bookmarkStart w:id="151" w:name="_Toc489197815"/>
      <w:r>
        <w:rPr>
          <w:rFonts w:hint="eastAsia" w:ascii="仿宋" w:hAnsi="仿宋" w:eastAsia="仿宋" w:cs="仿宋"/>
          <w:color w:val="000000" w:themeColor="text1"/>
          <w:sz w:val="24"/>
          <w:szCs w:val="24"/>
          <w:highlight w:val="none"/>
          <w14:textFill>
            <w14:solidFill>
              <w14:schemeClr w14:val="tx1"/>
            </w14:solidFill>
          </w14:textFill>
        </w:rPr>
        <w:t>8.质疑</w:t>
      </w:r>
      <w:bookmarkEnd w:id="146"/>
      <w:bookmarkEnd w:id="147"/>
      <w:bookmarkEnd w:id="148"/>
      <w:bookmarkEnd w:id="149"/>
      <w:bookmarkEnd w:id="150"/>
      <w:bookmarkEnd w:id="151"/>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52" w:name="_Toc489145712"/>
      <w:bookmarkStart w:id="153" w:name="_Toc489197816"/>
      <w:r>
        <w:rPr>
          <w:rFonts w:hint="eastAsia" w:ascii="仿宋" w:hAnsi="仿宋" w:eastAsia="仿宋" w:cs="仿宋"/>
          <w:color w:val="000000" w:themeColor="text1"/>
          <w:sz w:val="24"/>
          <w:szCs w:val="24"/>
          <w:highlight w:val="none"/>
          <w14:textFill>
            <w14:solidFill>
              <w14:schemeClr w14:val="tx1"/>
            </w14:solidFill>
          </w14:textFill>
        </w:rPr>
        <w:t>8.1投标人认为招标文件、采购过程、中标结果使自己的权益受到损害的，可以在知道或者应知其权益受到损害之日起7个工作日内，以书面形式向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提出质疑。投标人应在法定质疑期内一次性提出针对同一采购程序环节的质疑，否则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有权拒收。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8.2招标文件第二章《投标人须知》8.1条中“知道或者应知其权益受到损害之日”是指：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（一）对可以质疑的采购文件提出质疑的，为收到采购文件之日或者采购文件公告期限届满之日；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（二）对采购过程提出质疑的，为各采购程序环节结束之日；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（三）对中标或者成交结果提出质疑的，为中标或者成交结果公告期限届满之日。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8.3投标人可以委托代理人进行质疑。其授权委托书应当载明代理人的姓名或者名称、代理事项、具体权限、期限和相关事项。投标人为自然人的，应当由本人签字；投标人为法人或者其他组织的，应当由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、主要负责人签字或者盖章，并加盖公章。代理人提出质疑，应当提交投标人签署的授权委托书。</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提出质疑的投标人应当是参与所质疑项目采购活动的投标人。</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（一）投标人的姓名或者名称、地址、邮编、联系人及联系电话；</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（二）质疑项目的名称、编号；</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（三）具体、明确的质疑事项和与质疑事项相关的请求；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（四）事实依据；</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（五）必要的法律依据；</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（六）提出质疑的日期。</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投标人为自然人的，应当由本人签字；投标人为法人或者其他组织的，应当由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、主要负责人，或者其授权代表签字或者盖章，并加盖公章。</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8.5投标人不得捏造事实、提供虚假材料或者以非法手段取得证明材料。</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8.6质疑函应当使用中文。相关当事人提供外文书证或者外国语视听资料的，应当附有中文译本，由翻译机构盖章或者翻译人员签名。</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8.7</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将在收到投标人质疑函后七个工作日内作出答复，但质疑答复的内容不涉及商业秘密。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8.8投标人对评审过程、中标结果提出质疑的，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可以组织原评标委员会协助答复质疑。质疑答复导致中标结果改变的，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会将有关情况书面报告本级财政部门。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8.9接收质疑函的方式：书面方式；接收质疑函的部门：云南蓝本招标咨询有限公司；联系人：王易文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lang w:eastAsia="zh-CN"/>
          <w14:textFill>
            <w14:solidFill>
              <w14:schemeClr w14:val="tx1"/>
            </w14:solidFill>
          </w14:textFill>
        </w:rPr>
        <w:t>0888-8880196</w:t>
      </w:r>
      <w:r>
        <w:rPr>
          <w:rFonts w:hint="eastAsia" w:ascii="仿宋" w:hAnsi="仿宋" w:eastAsia="仿宋" w:cs="仿宋"/>
          <w:color w:val="000000" w:themeColor="text1"/>
          <w:sz w:val="24"/>
          <w:szCs w:val="24"/>
          <w:highlight w:val="none"/>
          <w14:textFill>
            <w14:solidFill>
              <w14:schemeClr w14:val="tx1"/>
            </w14:solidFill>
          </w14:textFill>
        </w:rPr>
        <w:t>；通讯地址：云南省丽江市古城区西安街道民主路红太阳广场旁玉水坊商业中心D1栋二楼</w:t>
      </w:r>
      <w:r>
        <w:rPr>
          <w:rFonts w:hint="eastAsia" w:ascii="仿宋" w:hAnsi="仿宋" w:eastAsia="仿宋" w:cs="仿宋"/>
          <w:color w:val="000000" w:themeColor="text1"/>
          <w:sz w:val="24"/>
          <w:szCs w:val="24"/>
          <w:highlight w:val="none"/>
          <w:lang w:val="en-US" w:eastAsia="zh-CN"/>
          <w14:textFill>
            <w14:solidFill>
              <w14:schemeClr w14:val="tx1"/>
            </w14:solidFill>
          </w14:textFill>
        </w:rPr>
        <w:t>203</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54" w:name="_Toc23864"/>
      <w:bookmarkStart w:id="155" w:name="_Toc21886"/>
      <w:bookmarkStart w:id="156" w:name="_Toc528186461"/>
      <w:bookmarkStart w:id="157" w:name="_Toc12771"/>
      <w:r>
        <w:rPr>
          <w:rFonts w:hint="eastAsia" w:ascii="仿宋" w:hAnsi="仿宋" w:eastAsia="仿宋" w:cs="仿宋"/>
          <w:color w:val="000000" w:themeColor="text1"/>
          <w:sz w:val="24"/>
          <w:szCs w:val="24"/>
          <w:highlight w:val="none"/>
          <w14:textFill>
            <w14:solidFill>
              <w14:schemeClr w14:val="tx1"/>
            </w14:solidFill>
          </w14:textFill>
        </w:rPr>
        <w:t>9.投诉</w:t>
      </w:r>
      <w:bookmarkEnd w:id="152"/>
      <w:bookmarkEnd w:id="153"/>
      <w:bookmarkEnd w:id="154"/>
      <w:bookmarkEnd w:id="155"/>
      <w:bookmarkEnd w:id="156"/>
      <w:bookmarkEnd w:id="15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9.1投诉必须首先经过质疑程序。质疑人对</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的答复不满意，或者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未在规定的时间内</w:t>
      </w:r>
      <w:r>
        <w:rPr>
          <w:rFonts w:hint="eastAsia" w:ascii="仿宋" w:hAnsi="仿宋" w:eastAsia="仿宋" w:cs="仿宋"/>
          <w:color w:val="000000" w:themeColor="text1"/>
          <w:sz w:val="24"/>
          <w:szCs w:val="24"/>
          <w:highlight w:val="none"/>
          <w:lang w:eastAsia="zh-CN"/>
          <w14:textFill>
            <w14:solidFill>
              <w14:schemeClr w14:val="tx1"/>
            </w14:solidFill>
          </w14:textFill>
        </w:rPr>
        <w:t>作出</w:t>
      </w:r>
      <w:r>
        <w:rPr>
          <w:rFonts w:hint="eastAsia" w:ascii="仿宋" w:hAnsi="仿宋" w:eastAsia="仿宋" w:cs="仿宋"/>
          <w:color w:val="000000" w:themeColor="text1"/>
          <w:sz w:val="24"/>
          <w:szCs w:val="24"/>
          <w:highlight w:val="none"/>
          <w14:textFill>
            <w14:solidFill>
              <w14:schemeClr w14:val="tx1"/>
            </w14:solidFill>
          </w14:textFill>
        </w:rPr>
        <w:t>答复的，可以在答复期满后十五个工作日内书面向同级财政部门提出投诉。</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158" w:name="_Toc5721"/>
      <w:bookmarkStart w:id="159" w:name="_Toc4164"/>
      <w:bookmarkStart w:id="160" w:name="_Toc401342135"/>
      <w:bookmarkStart w:id="161" w:name="_Toc9914"/>
      <w:bookmarkStart w:id="162" w:name="_Toc179632560"/>
      <w:bookmarkStart w:id="163" w:name="_Toc16145"/>
      <w:bookmarkStart w:id="164" w:name="_Toc152045542"/>
      <w:bookmarkStart w:id="165" w:name="_Toc247085701"/>
      <w:bookmarkStart w:id="166" w:name="_Toc144974510"/>
      <w:bookmarkStart w:id="167" w:name="_Toc246996930"/>
      <w:bookmarkStart w:id="168" w:name="_Toc17348"/>
      <w:bookmarkStart w:id="169" w:name="_Toc296602432"/>
      <w:bookmarkStart w:id="170" w:name="_Toc378239079"/>
      <w:bookmarkStart w:id="171" w:name="_Toc488633605"/>
      <w:bookmarkStart w:id="172" w:name="_Toc378239352"/>
      <w:bookmarkStart w:id="173" w:name="_Toc378239171"/>
      <w:bookmarkStart w:id="174" w:name="_Toc31081"/>
      <w:bookmarkStart w:id="175" w:name="_Toc246996187"/>
      <w:bookmarkStart w:id="176" w:name="_Toc480817644"/>
      <w:bookmarkStart w:id="177" w:name="_Toc489145713"/>
      <w:bookmarkStart w:id="178" w:name="_Toc528186462"/>
      <w:bookmarkStart w:id="179" w:name="_Toc1085"/>
      <w:bookmarkStart w:id="180" w:name="_Toc152042318"/>
      <w:bookmarkStart w:id="181" w:name="_Toc489197817"/>
      <w:r>
        <w:rPr>
          <w:rFonts w:hint="eastAsia" w:ascii="仿宋" w:hAnsi="仿宋" w:eastAsia="仿宋" w:cs="仿宋"/>
          <w:color w:val="000000" w:themeColor="text1"/>
          <w:sz w:val="30"/>
          <w:szCs w:val="30"/>
          <w:highlight w:val="none"/>
          <w14:textFill>
            <w14:solidFill>
              <w14:schemeClr w14:val="tx1"/>
            </w14:solidFill>
          </w14:textFill>
        </w:rPr>
        <w:t>二、招标文件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82" w:name="_Toc246996931"/>
      <w:bookmarkStart w:id="183" w:name="_Toc296602433"/>
      <w:bookmarkStart w:id="184" w:name="_Toc247085702"/>
      <w:bookmarkStart w:id="185" w:name="_Toc144974511"/>
      <w:bookmarkStart w:id="186" w:name="_Toc489145714"/>
      <w:bookmarkStart w:id="187" w:name="_Toc152045543"/>
      <w:bookmarkStart w:id="188" w:name="_Toc489197818"/>
      <w:bookmarkStart w:id="189" w:name="_Toc246996188"/>
      <w:bookmarkStart w:id="190" w:name="_Toc152042319"/>
      <w:bookmarkStart w:id="191" w:name="_Toc179632561"/>
      <w:bookmarkStart w:id="192" w:name="_Toc23589"/>
      <w:bookmarkStart w:id="193" w:name="_Toc528186463"/>
      <w:bookmarkStart w:id="194" w:name="_Toc32708"/>
      <w:bookmarkStart w:id="195" w:name="_Toc25201"/>
      <w:r>
        <w:rPr>
          <w:rFonts w:hint="eastAsia" w:ascii="仿宋" w:hAnsi="仿宋" w:eastAsia="仿宋" w:cs="仿宋"/>
          <w:color w:val="000000" w:themeColor="text1"/>
          <w:sz w:val="24"/>
          <w:szCs w:val="24"/>
          <w:highlight w:val="none"/>
          <w14:textFill>
            <w14:solidFill>
              <w14:schemeClr w14:val="tx1"/>
            </w14:solidFill>
          </w14:textFill>
        </w:rPr>
        <w:t>10.</w:t>
      </w:r>
      <w:bookmarkEnd w:id="182"/>
      <w:bookmarkEnd w:id="183"/>
      <w:bookmarkEnd w:id="184"/>
      <w:bookmarkEnd w:id="185"/>
      <w:bookmarkEnd w:id="186"/>
      <w:bookmarkEnd w:id="187"/>
      <w:bookmarkEnd w:id="188"/>
      <w:bookmarkEnd w:id="189"/>
      <w:bookmarkEnd w:id="190"/>
      <w:bookmarkEnd w:id="191"/>
      <w:bookmarkStart w:id="196" w:name="_Toc489197819"/>
      <w:bookmarkStart w:id="197" w:name="_Toc489145715"/>
      <w:r>
        <w:rPr>
          <w:rFonts w:hint="eastAsia" w:ascii="仿宋" w:hAnsi="仿宋" w:eastAsia="仿宋" w:cs="仿宋"/>
          <w:color w:val="000000" w:themeColor="text1"/>
          <w:sz w:val="24"/>
          <w:szCs w:val="24"/>
          <w:highlight w:val="none"/>
          <w14:textFill>
            <w14:solidFill>
              <w14:schemeClr w14:val="tx1"/>
            </w14:solidFill>
          </w14:textFill>
        </w:rPr>
        <w:t>招标文件的组成</w:t>
      </w:r>
      <w:bookmarkEnd w:id="192"/>
      <w:bookmarkEnd w:id="193"/>
      <w:bookmarkEnd w:id="194"/>
      <w:bookmarkEnd w:id="195"/>
      <w:bookmarkEnd w:id="196"/>
      <w:bookmarkEnd w:id="19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10.1</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要求提供的货物、工程或者服务、采购过程及合同条款在招标文件中均有说明，招标文件共六章，各章的内容如下：</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第一章公开招标公告</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第二章投标人须知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第三章合同书样式及主要条款</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第四章投标文件格式</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第五章采购需求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第六章评标方法（综合评分法）</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98" w:name="_Toc528186464"/>
      <w:bookmarkStart w:id="199" w:name="_Toc144974512"/>
      <w:bookmarkStart w:id="200" w:name="_Toc17717"/>
      <w:bookmarkStart w:id="201" w:name="_Toc152042320"/>
      <w:bookmarkStart w:id="202" w:name="_Toc179632562"/>
      <w:bookmarkStart w:id="203" w:name="_Toc489145716"/>
      <w:bookmarkStart w:id="204" w:name="_Toc246996932"/>
      <w:bookmarkStart w:id="205" w:name="_Toc489197820"/>
      <w:bookmarkStart w:id="206" w:name="_Toc246996189"/>
      <w:bookmarkStart w:id="207" w:name="_Toc247085703"/>
      <w:bookmarkStart w:id="208" w:name="_Toc152045544"/>
      <w:bookmarkStart w:id="209" w:name="_Toc11853"/>
      <w:bookmarkStart w:id="210" w:name="_Toc296602434"/>
      <w:bookmarkStart w:id="211" w:name="_Toc17915"/>
      <w:r>
        <w:rPr>
          <w:rFonts w:hint="eastAsia" w:ascii="仿宋" w:hAnsi="仿宋" w:eastAsia="仿宋" w:cs="仿宋"/>
          <w:color w:val="000000" w:themeColor="text1"/>
          <w:sz w:val="24"/>
          <w:szCs w:val="24"/>
          <w:highlight w:val="none"/>
          <w14:textFill>
            <w14:solidFill>
              <w14:schemeClr w14:val="tx1"/>
            </w14:solidFill>
          </w14:textFill>
        </w:rPr>
        <w:t>11.招标文件的询问、澄清、修改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bookmarkStart w:id="212" w:name="_Toc152045546"/>
      <w:bookmarkStart w:id="213" w:name="_Toc488633606"/>
      <w:bookmarkStart w:id="214" w:name="_Toc480817645"/>
      <w:bookmarkStart w:id="215" w:name="_Toc179632564"/>
      <w:bookmarkStart w:id="216" w:name="_Toc246996191"/>
      <w:bookmarkStart w:id="217" w:name="_Toc489197821"/>
      <w:bookmarkStart w:id="218" w:name="_Toc378239353"/>
      <w:bookmarkStart w:id="219" w:name="_Toc144974514"/>
      <w:bookmarkStart w:id="220" w:name="_Toc152042322"/>
      <w:bookmarkStart w:id="221" w:name="_Toc29509"/>
      <w:bookmarkStart w:id="222" w:name="_Toc378239080"/>
      <w:bookmarkStart w:id="223" w:name="_Toc489145717"/>
      <w:bookmarkStart w:id="224" w:name="_Toc378239172"/>
      <w:bookmarkStart w:id="225" w:name="_Toc401342136"/>
      <w:bookmarkStart w:id="226" w:name="_Toc246996934"/>
      <w:bookmarkStart w:id="227" w:name="_Toc296602436"/>
      <w:bookmarkStart w:id="228" w:name="_Toc247085705"/>
      <w:bookmarkStart w:id="229" w:name="_Toc528186465"/>
      <w:r>
        <w:rPr>
          <w:rFonts w:hint="eastAsia" w:ascii="仿宋" w:hAnsi="仿宋" w:eastAsia="仿宋" w:cs="仿宋"/>
          <w:color w:val="000000" w:themeColor="text1"/>
          <w:sz w:val="24"/>
          <w:szCs w:val="24"/>
          <w:highlight w:val="none"/>
          <w14:textFill>
            <w14:solidFill>
              <w14:schemeClr w14:val="tx1"/>
            </w14:solidFill>
          </w14:textFill>
        </w:rPr>
        <w:t>11.1投标人应认真阅读招标文件，如有疑问的，投标人可以向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提出询问，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在接到询问后的3个工作日内对投标人依法提出的询问作出答复，但答复的内容不涉及商业秘密。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11.2招标文件询问联系方式：详见《投标人须知前附表》。</w:t>
      </w:r>
    </w:p>
    <w:p>
      <w:pPr>
        <w:shd w:val="clear"/>
        <w:spacing w:line="360" w:lineRule="auto"/>
        <w:ind w:firstLine="42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11.3</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可以对已发出的招标文件进行必要的澄清或者修改，澄清或者修改的内容作为招标文件的组成部分。招标文件的澄清、修改文件内容均以网上电子文件为准，当招标文件、招标文件澄清、修改文件内容前后相互矛盾时，以最后发出的为准。澄清或者修改的内容可能影响投标文件编制的，</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将在投标截止时间至少15日前，以书面形式通知所有接收招标文件的潜在投标人，不足15日的，将顺延投标截止之日。投标人应在电子投标文件提交截止时间前及时登录</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或在云南省政府采购网（http://www.yngp.com/）</w:t>
      </w:r>
      <w:r>
        <w:rPr>
          <w:rFonts w:hint="eastAsia" w:ascii="仿宋" w:hAnsi="仿宋" w:eastAsia="仿宋" w:cs="仿宋"/>
          <w:b w:val="0"/>
          <w:bCs w:val="0"/>
          <w:color w:val="000000" w:themeColor="text1"/>
          <w:sz w:val="24"/>
          <w:szCs w:val="24"/>
          <w:highlight w:val="none"/>
          <w14:textFill>
            <w14:solidFill>
              <w14:schemeClr w14:val="tx1"/>
            </w14:solidFill>
          </w14:textFill>
        </w:rPr>
        <w:t>中查看有关该项目招标文件的澄清、修改内容。如因投标人自身原因导致未及时查看有关该项目招标文件的澄清、修改内容，由此造成的一切后果由投标人自行承担。</w:t>
      </w:r>
    </w:p>
    <w:p>
      <w:pPr>
        <w:shd w:val="clear"/>
        <w:spacing w:line="360" w:lineRule="auto"/>
        <w:ind w:firstLine="42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11.4投标人确认收到招标文件澄清、修改后，应在收到澄清、修改后24小时内以书面形式通知</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或</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，确认已收到该澄清、修改。</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230" w:name="_Toc11951"/>
      <w:bookmarkStart w:id="231" w:name="_Toc10238"/>
      <w:bookmarkStart w:id="232" w:name="_Toc17837"/>
      <w:bookmarkStart w:id="233" w:name="_Toc25733"/>
      <w:bookmarkStart w:id="234" w:name="_Toc5319"/>
      <w:bookmarkStart w:id="235" w:name="_Toc27280"/>
      <w:r>
        <w:rPr>
          <w:rFonts w:hint="eastAsia" w:ascii="仿宋" w:hAnsi="仿宋" w:eastAsia="仿宋" w:cs="仿宋"/>
          <w:color w:val="000000" w:themeColor="text1"/>
          <w:sz w:val="30"/>
          <w:szCs w:val="30"/>
          <w:highlight w:val="none"/>
          <w14:textFill>
            <w14:solidFill>
              <w14:schemeClr w14:val="tx1"/>
            </w14:solidFill>
          </w14:textFill>
        </w:rPr>
        <w:t>三、投标文件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36" w:name="_Toc528186466"/>
      <w:bookmarkStart w:id="237" w:name="_Toc5023"/>
      <w:bookmarkStart w:id="238" w:name="_Toc489197822"/>
      <w:bookmarkStart w:id="239" w:name="_Toc3974"/>
      <w:bookmarkStart w:id="240" w:name="_Toc489145718"/>
      <w:bookmarkStart w:id="241" w:name="_Toc19963"/>
      <w:r>
        <w:rPr>
          <w:rFonts w:hint="eastAsia" w:ascii="仿宋" w:hAnsi="仿宋" w:eastAsia="仿宋" w:cs="仿宋"/>
          <w:color w:val="000000" w:themeColor="text1"/>
          <w:sz w:val="24"/>
          <w:szCs w:val="24"/>
          <w:highlight w:val="none"/>
          <w14:textFill>
            <w14:solidFill>
              <w14:schemeClr w14:val="tx1"/>
            </w14:solidFill>
          </w14:textFill>
        </w:rPr>
        <w:t>12.投标文件编写注意事项</w:t>
      </w:r>
      <w:bookmarkEnd w:id="236"/>
      <w:bookmarkEnd w:id="237"/>
      <w:bookmarkEnd w:id="238"/>
      <w:bookmarkEnd w:id="239"/>
      <w:bookmarkEnd w:id="240"/>
      <w:bookmarkEnd w:id="241"/>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12.1投标人应仔细阅读招标文件，在完全了解采购内容、技术性能要求和商务条件后，根据招标文件要求编写投标文件。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12.2对招标文件提出的实质性要求和条件作出响应是指投标人的投标文件必须对招标文件中规定的实质性要求和条件作出满足或者优于原要求和条件的承诺，并提供相应的证明材料，否则按无效处理。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12.3提交投标文件截止时间前，潜在投标人放弃投标的，需向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以书面形式提交放弃函。</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42" w:name="_Toc15523"/>
      <w:bookmarkStart w:id="243" w:name="_Toc528186467"/>
      <w:bookmarkStart w:id="244" w:name="_Toc489197823"/>
      <w:bookmarkStart w:id="245" w:name="_Toc2537"/>
      <w:bookmarkStart w:id="246" w:name="_Toc18290"/>
      <w:bookmarkStart w:id="247" w:name="_Toc489145719"/>
      <w:r>
        <w:rPr>
          <w:rFonts w:hint="eastAsia" w:ascii="仿宋" w:hAnsi="仿宋" w:eastAsia="仿宋" w:cs="仿宋"/>
          <w:color w:val="000000" w:themeColor="text1"/>
          <w:sz w:val="24"/>
          <w:szCs w:val="24"/>
          <w:highlight w:val="none"/>
          <w14:textFill>
            <w14:solidFill>
              <w14:schemeClr w14:val="tx1"/>
            </w14:solidFill>
          </w14:textFill>
        </w:rPr>
        <w:t>13.语言文字</w:t>
      </w:r>
      <w:bookmarkEnd w:id="242"/>
      <w:bookmarkEnd w:id="243"/>
      <w:bookmarkEnd w:id="244"/>
      <w:bookmarkEnd w:id="245"/>
      <w:bookmarkEnd w:id="246"/>
      <w:bookmarkEnd w:id="24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13.1投标人的投标文件以及投标人与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就有关投标的所有来往函电统一使用中文（特别规定除外）。</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48" w:name="_Toc20259"/>
      <w:bookmarkStart w:id="249" w:name="_Toc489197824"/>
      <w:bookmarkStart w:id="250" w:name="_Toc22144"/>
      <w:bookmarkStart w:id="251" w:name="_Toc17992"/>
      <w:bookmarkStart w:id="252" w:name="_Toc489145720"/>
      <w:bookmarkStart w:id="253" w:name="_Toc528186468"/>
      <w:r>
        <w:rPr>
          <w:rFonts w:hint="eastAsia" w:ascii="仿宋" w:hAnsi="仿宋" w:eastAsia="仿宋" w:cs="仿宋"/>
          <w:color w:val="000000" w:themeColor="text1"/>
          <w:sz w:val="24"/>
          <w:szCs w:val="24"/>
          <w:highlight w:val="none"/>
          <w14:textFill>
            <w14:solidFill>
              <w14:schemeClr w14:val="tx1"/>
            </w14:solidFill>
          </w14:textFill>
        </w:rPr>
        <w:t>14.计量单位</w:t>
      </w:r>
      <w:bookmarkEnd w:id="248"/>
      <w:bookmarkEnd w:id="249"/>
      <w:bookmarkEnd w:id="250"/>
      <w:bookmarkEnd w:id="251"/>
      <w:bookmarkEnd w:id="252"/>
      <w:bookmarkEnd w:id="25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14.1投标文件中使用的计量单位除招标文件中有特殊规定外，一律使用中国法定计量单位。</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54" w:name="_Toc246996192"/>
      <w:bookmarkStart w:id="255" w:name="_Toc246996935"/>
      <w:bookmarkStart w:id="256" w:name="_Toc144974515"/>
      <w:bookmarkStart w:id="257" w:name="_Toc152042323"/>
      <w:bookmarkStart w:id="258" w:name="_Toc247085706"/>
      <w:bookmarkStart w:id="259" w:name="_Toc489145721"/>
      <w:bookmarkStart w:id="260" w:name="_Toc179632565"/>
      <w:bookmarkStart w:id="261" w:name="_Toc29156"/>
      <w:bookmarkStart w:id="262" w:name="_Toc152045547"/>
      <w:bookmarkStart w:id="263" w:name="_Toc296602437"/>
      <w:bookmarkStart w:id="264" w:name="_Toc528186469"/>
      <w:bookmarkStart w:id="265" w:name="_Toc14010"/>
      <w:bookmarkStart w:id="266" w:name="_Toc489197825"/>
      <w:bookmarkStart w:id="267" w:name="_Toc5834"/>
      <w:r>
        <w:rPr>
          <w:rFonts w:hint="eastAsia" w:ascii="仿宋" w:hAnsi="仿宋" w:eastAsia="仿宋" w:cs="仿宋"/>
          <w:color w:val="000000" w:themeColor="text1"/>
          <w:sz w:val="24"/>
          <w:szCs w:val="24"/>
          <w:highlight w:val="none"/>
          <w14:textFill>
            <w14:solidFill>
              <w14:schemeClr w14:val="tx1"/>
            </w14:solidFill>
          </w14:textFill>
        </w:rPr>
        <w:t>15.投标文件的组成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15.1投标人编写的投标文件应按第四章《投标文件格式》要求填写。有关文件的提交如未特别注明需提供原件的，可提供复印件或扫描件。投标人同时投多个标段（若分标段时）的，投标文件应按标段分别编制</w:t>
      </w:r>
      <w:r>
        <w:rPr>
          <w:rFonts w:hint="eastAsia" w:ascii="仿宋" w:hAnsi="仿宋" w:eastAsia="仿宋" w:cs="仿宋"/>
          <w:color w:val="000000" w:themeColor="text1"/>
          <w:sz w:val="24"/>
          <w:szCs w:val="24"/>
          <w:highlight w:val="none"/>
          <w:lang w:val="en-US" w:eastAsia="zh-CN"/>
          <w14:textFill>
            <w14:solidFill>
              <w14:schemeClr w14:val="tx1"/>
            </w14:solidFill>
          </w14:textFill>
        </w:rPr>
        <w:t>并加密提交</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15.2构成投标文件的其他资料：详见《投标人须知前附表》。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68" w:name="_Toc17304"/>
      <w:bookmarkStart w:id="269" w:name="_Toc528186470"/>
      <w:bookmarkStart w:id="270" w:name="_Toc489197826"/>
      <w:bookmarkStart w:id="271" w:name="_Toc10997"/>
      <w:bookmarkStart w:id="272" w:name="_Toc11820"/>
      <w:bookmarkStart w:id="273" w:name="_Toc489145722"/>
      <w:r>
        <w:rPr>
          <w:rFonts w:hint="eastAsia" w:ascii="仿宋" w:hAnsi="仿宋" w:eastAsia="仿宋" w:cs="仿宋"/>
          <w:color w:val="000000" w:themeColor="text1"/>
          <w:sz w:val="24"/>
          <w:szCs w:val="24"/>
          <w:highlight w:val="none"/>
          <w14:textFill>
            <w14:solidFill>
              <w14:schemeClr w14:val="tx1"/>
            </w14:solidFill>
          </w14:textFill>
        </w:rPr>
        <w:t>16.投标文件的格式要求</w:t>
      </w:r>
      <w:bookmarkEnd w:id="268"/>
      <w:bookmarkEnd w:id="269"/>
      <w:bookmarkEnd w:id="270"/>
      <w:bookmarkEnd w:id="271"/>
      <w:bookmarkEnd w:id="272"/>
      <w:bookmarkEnd w:id="27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16.1投标人应按第四章《投标文件格式》提供的格式完整地填写。</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74" w:name="_Toc16374"/>
      <w:bookmarkStart w:id="275" w:name="_Toc10823"/>
      <w:bookmarkStart w:id="276" w:name="_Toc29824"/>
      <w:bookmarkStart w:id="277" w:name="_Toc528186471"/>
      <w:bookmarkStart w:id="278" w:name="_Toc489145723"/>
      <w:bookmarkStart w:id="279" w:name="_Toc489197827"/>
      <w:r>
        <w:rPr>
          <w:rFonts w:hint="eastAsia" w:ascii="仿宋" w:hAnsi="仿宋" w:eastAsia="仿宋" w:cs="仿宋"/>
          <w:color w:val="000000" w:themeColor="text1"/>
          <w:sz w:val="24"/>
          <w:szCs w:val="24"/>
          <w:highlight w:val="none"/>
          <w14:textFill>
            <w14:solidFill>
              <w14:schemeClr w14:val="tx1"/>
            </w14:solidFill>
          </w14:textFill>
        </w:rPr>
        <w:t>▲17.投标有效期</w:t>
      </w:r>
      <w:bookmarkEnd w:id="274"/>
      <w:bookmarkEnd w:id="275"/>
      <w:bookmarkEnd w:id="276"/>
      <w:bookmarkEnd w:id="277"/>
      <w:bookmarkEnd w:id="278"/>
      <w:bookmarkEnd w:id="279"/>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280" w:name="_Toc247085708"/>
      <w:bookmarkStart w:id="281" w:name="_Toc246996937"/>
      <w:bookmarkStart w:id="282" w:name="_Toc152045549"/>
      <w:bookmarkStart w:id="283" w:name="_Toc296602439"/>
      <w:bookmarkStart w:id="284" w:name="_Toc179632567"/>
      <w:bookmarkStart w:id="285" w:name="_Toc246996194"/>
      <w:bookmarkStart w:id="286" w:name="_Toc152042325"/>
      <w:bookmarkStart w:id="287" w:name="_Toc144974517"/>
      <w:r>
        <w:rPr>
          <w:rFonts w:hint="eastAsia" w:ascii="仿宋" w:hAnsi="仿宋" w:eastAsia="仿宋" w:cs="仿宋"/>
          <w:color w:val="000000" w:themeColor="text1"/>
          <w:sz w:val="24"/>
          <w:szCs w:val="24"/>
          <w:highlight w:val="none"/>
          <w14:textFill>
            <w14:solidFill>
              <w14:schemeClr w14:val="tx1"/>
            </w14:solidFill>
          </w14:textFill>
        </w:rPr>
        <w:t>17.1在《投标</w:t>
      </w:r>
      <w:bookmarkEnd w:id="280"/>
      <w:bookmarkEnd w:id="281"/>
      <w:bookmarkEnd w:id="282"/>
      <w:bookmarkEnd w:id="283"/>
      <w:bookmarkEnd w:id="284"/>
      <w:bookmarkEnd w:id="285"/>
      <w:bookmarkEnd w:id="286"/>
      <w:bookmarkEnd w:id="287"/>
      <w:r>
        <w:rPr>
          <w:rFonts w:hint="eastAsia" w:ascii="仿宋" w:hAnsi="仿宋" w:eastAsia="仿宋" w:cs="仿宋"/>
          <w:color w:val="000000" w:themeColor="text1"/>
          <w:sz w:val="24"/>
          <w:szCs w:val="24"/>
          <w:highlight w:val="none"/>
          <w14:textFill>
            <w14:solidFill>
              <w14:schemeClr w14:val="tx1"/>
            </w14:solidFill>
          </w14:textFill>
        </w:rPr>
        <w:t>人须知前附表》规定的有效期内，投标人不得要求撤销或修改其投标文件。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17.2因特殊情况需要延长投标文件有效期的，</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pPr>
        <w:shd w:val="clear"/>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bookmarkStart w:id="288" w:name="_Toc89"/>
      <w:bookmarkStart w:id="289" w:name="_Toc489145724"/>
      <w:bookmarkStart w:id="290" w:name="_Toc1477"/>
      <w:bookmarkStart w:id="291" w:name="_Toc489197828"/>
      <w:bookmarkStart w:id="292" w:name="_Toc8378"/>
      <w:bookmarkStart w:id="293" w:name="_Toc528186472"/>
      <w:r>
        <w:rPr>
          <w:rFonts w:hint="eastAsia" w:ascii="仿宋" w:hAnsi="仿宋" w:eastAsia="仿宋" w:cs="仿宋"/>
          <w:color w:val="000000" w:themeColor="text1"/>
          <w:sz w:val="24"/>
          <w:szCs w:val="24"/>
          <w:highlight w:val="none"/>
          <w14:textFill>
            <w14:solidFill>
              <w14:schemeClr w14:val="tx1"/>
            </w14:solidFill>
          </w14:textFill>
        </w:rPr>
        <w:t>18.投标保证金</w:t>
      </w:r>
      <w:bookmarkEnd w:id="288"/>
      <w:bookmarkEnd w:id="289"/>
      <w:bookmarkEnd w:id="290"/>
      <w:bookmarkEnd w:id="291"/>
      <w:bookmarkEnd w:id="292"/>
      <w:bookmarkEnd w:id="29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bookmarkStart w:id="294" w:name="_Toc179632568"/>
      <w:bookmarkStart w:id="295" w:name="_Toc246996195"/>
      <w:bookmarkStart w:id="296" w:name="_Toc247085709"/>
      <w:bookmarkStart w:id="297" w:name="_Toc296602440"/>
      <w:bookmarkStart w:id="298" w:name="_Toc144974518"/>
      <w:bookmarkStart w:id="299" w:name="_Toc152042326"/>
      <w:bookmarkStart w:id="300" w:name="_Toc246996938"/>
      <w:bookmarkStart w:id="301" w:name="_Toc152045550"/>
      <w:r>
        <w:rPr>
          <w:rFonts w:hint="eastAsia" w:ascii="仿宋" w:hAnsi="仿宋" w:eastAsia="仿宋" w:cs="仿宋"/>
          <w:color w:val="000000" w:themeColor="text1"/>
          <w:sz w:val="24"/>
          <w:szCs w:val="24"/>
          <w:highlight w:val="none"/>
          <w14:textFill>
            <w14:solidFill>
              <w14:schemeClr w14:val="tx1"/>
            </w14:solidFill>
          </w14:textFill>
        </w:rPr>
        <w:t>8.1投标人应按《投标人须知前附表》</w:t>
      </w:r>
      <w:bookmarkEnd w:id="294"/>
      <w:bookmarkEnd w:id="295"/>
      <w:bookmarkEnd w:id="296"/>
      <w:bookmarkEnd w:id="297"/>
      <w:bookmarkEnd w:id="298"/>
      <w:bookmarkEnd w:id="299"/>
      <w:bookmarkEnd w:id="300"/>
      <w:bookmarkEnd w:id="301"/>
      <w:r>
        <w:rPr>
          <w:rFonts w:hint="eastAsia" w:ascii="仿宋" w:hAnsi="仿宋" w:eastAsia="仿宋" w:cs="仿宋"/>
          <w:color w:val="000000" w:themeColor="text1"/>
          <w:sz w:val="24"/>
          <w:szCs w:val="24"/>
          <w:highlight w:val="none"/>
          <w14:textFill>
            <w14:solidFill>
              <w14:schemeClr w14:val="tx1"/>
            </w14:solidFill>
          </w14:textFill>
        </w:rPr>
        <w:t>规定的金额、形式交纳投标保证金，投标保证金须在投标文件提交截止时间前从投标人基本账户</w:t>
      </w:r>
      <w:r>
        <w:rPr>
          <w:rFonts w:hint="eastAsia" w:ascii="仿宋" w:hAnsi="仿宋" w:eastAsia="仿宋" w:cs="仿宋"/>
          <w:color w:val="000000" w:themeColor="text1"/>
          <w:sz w:val="24"/>
          <w:szCs w:val="24"/>
          <w:highlight w:val="none"/>
          <w:lang w:eastAsia="zh-CN"/>
          <w14:textFill>
            <w14:solidFill>
              <w14:schemeClr w14:val="tx1"/>
            </w14:solidFill>
          </w14:textFill>
        </w:rPr>
        <w:t>缴纳</w:t>
      </w:r>
      <w:r>
        <w:rPr>
          <w:rFonts w:hint="eastAsia" w:ascii="仿宋" w:hAnsi="仿宋" w:eastAsia="仿宋" w:cs="仿宋"/>
          <w:color w:val="000000" w:themeColor="text1"/>
          <w:sz w:val="24"/>
          <w:szCs w:val="24"/>
          <w:highlight w:val="none"/>
          <w14:textFill>
            <w14:solidFill>
              <w14:schemeClr w14:val="tx1"/>
            </w14:solidFill>
          </w14:textFill>
        </w:rPr>
        <w:t>到《投标人须知前附表》规定的账户，投标人未按照招标文件要求提交投标保证金的，投标无效。</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（1）投标人在提交投标文件截止时间后撤销投标文件的；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（2）投标人在投标文件中提供虚假材料的；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（3）除因不可抗力或招标文件认可的情形以外，中标人不与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签订合同的；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、其他投标人或者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恶意串通的；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（5）招标文件规定的其他情形。</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02" w:name="_Toc528186473"/>
      <w:bookmarkStart w:id="303" w:name="_Toc20948"/>
      <w:bookmarkStart w:id="304" w:name="_Toc8756"/>
      <w:bookmarkStart w:id="305" w:name="_Toc489197829"/>
      <w:bookmarkStart w:id="306" w:name="_Toc7128"/>
      <w:bookmarkStart w:id="307" w:name="_Toc489145725"/>
      <w:r>
        <w:rPr>
          <w:rFonts w:hint="eastAsia" w:ascii="仿宋" w:hAnsi="仿宋" w:eastAsia="仿宋" w:cs="仿宋"/>
          <w:color w:val="000000" w:themeColor="text1"/>
          <w:sz w:val="24"/>
          <w:szCs w:val="24"/>
          <w:highlight w:val="none"/>
          <w14:textFill>
            <w14:solidFill>
              <w14:schemeClr w14:val="tx1"/>
            </w14:solidFill>
          </w14:textFill>
        </w:rPr>
        <w:t>19.投标文件的编制</w:t>
      </w:r>
      <w:bookmarkEnd w:id="302"/>
      <w:bookmarkEnd w:id="303"/>
      <w:bookmarkEnd w:id="304"/>
      <w:bookmarkEnd w:id="305"/>
      <w:bookmarkEnd w:id="306"/>
      <w:bookmarkEnd w:id="307"/>
      <w:bookmarkStart w:id="308" w:name="_Toc296602442"/>
    </w:p>
    <w:bookmarkEnd w:id="308"/>
    <w:p>
      <w:pPr>
        <w:shd w:val="clear"/>
        <w:spacing w:line="360" w:lineRule="auto"/>
        <w:ind w:firstLine="420"/>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309" w:name="_Toc489197830"/>
      <w:bookmarkStart w:id="310" w:name="_Toc528186474"/>
      <w:bookmarkStart w:id="311" w:name="_Toc489145726"/>
      <w:r>
        <w:rPr>
          <w:rFonts w:hint="eastAsia" w:ascii="仿宋" w:hAnsi="仿宋" w:eastAsia="仿宋" w:cs="仿宋"/>
          <w:color w:val="000000" w:themeColor="text1"/>
          <w:sz w:val="24"/>
          <w:szCs w:val="24"/>
          <w:highlight w:val="none"/>
          <w14:textFill>
            <w14:solidFill>
              <w14:schemeClr w14:val="tx1"/>
            </w14:solidFill>
          </w14:textFill>
        </w:rPr>
        <w:t>19.1电子投标文件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编制及加密应符合</w:t>
      </w:r>
      <w:r>
        <w:rPr>
          <w:rFonts w:hint="eastAsia" w:ascii="仿宋" w:hAnsi="仿宋" w:eastAsia="仿宋" w:cs="仿宋"/>
          <w:color w:val="000000" w:themeColor="text1"/>
          <w:sz w:val="24"/>
          <w:szCs w:val="24"/>
          <w:highlight w:val="none"/>
          <w14:textFill>
            <w14:solidFill>
              <w14:schemeClr w14:val="tx1"/>
            </w14:solidFill>
          </w14:textFill>
        </w:rPr>
        <w:t>政采云平台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要求。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19.2如投标人提交的电子投标文件不符合（19.1）要求或开标时无法读取导入或解密，其投标文件将不予受理。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19.3电子投标文件份数：详见《投标人须知前附表》。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19.4投标文件中提供的资料、关键内容必须清晰可辨，若出现字迹潦草、表达不清、未按要求填写而导致非唯一理解，视为未实质性响应招标采购文件，投标人投标文件将按无效处理。</w:t>
      </w:r>
    </w:p>
    <w:p>
      <w:pPr>
        <w:numPr>
          <w:ilvl w:val="0"/>
          <w:numId w:val="2"/>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12" w:name="_Toc6763"/>
      <w:bookmarkStart w:id="313" w:name="_Toc13058"/>
      <w:bookmarkStart w:id="314" w:name="_Toc16360"/>
      <w:r>
        <w:rPr>
          <w:rFonts w:hint="eastAsia" w:ascii="仿宋" w:hAnsi="仿宋" w:eastAsia="仿宋" w:cs="仿宋"/>
          <w:color w:val="000000" w:themeColor="text1"/>
          <w:sz w:val="24"/>
          <w:szCs w:val="24"/>
          <w:highlight w:val="none"/>
          <w14:textFill>
            <w14:solidFill>
              <w14:schemeClr w14:val="tx1"/>
            </w14:solidFill>
          </w14:textFill>
        </w:rPr>
        <w:t>投标报价和报价货币</w:t>
      </w:r>
      <w:bookmarkEnd w:id="309"/>
      <w:bookmarkEnd w:id="310"/>
      <w:bookmarkEnd w:id="311"/>
      <w:bookmarkEnd w:id="312"/>
      <w:bookmarkEnd w:id="313"/>
      <w:bookmarkEnd w:id="314"/>
      <w:bookmarkStart w:id="315" w:name="_Toc482343737"/>
      <w:bookmarkStart w:id="316" w:name="_Toc383175485"/>
      <w:bookmarkStart w:id="317" w:name="_Toc470507051"/>
      <w:bookmarkStart w:id="318" w:name="_Toc383175287"/>
      <w:bookmarkStart w:id="319" w:name="_Toc432106486"/>
      <w:bookmarkStart w:id="320" w:name="_Toc383175063"/>
      <w:bookmarkStart w:id="321" w:name="_Toc86124056"/>
      <w:bookmarkStart w:id="322" w:name="_Toc432194837"/>
      <w:bookmarkStart w:id="323" w:name="_Toc329810197"/>
    </w:p>
    <w:bookmarkEnd w:id="315"/>
    <w:bookmarkEnd w:id="316"/>
    <w:bookmarkEnd w:id="317"/>
    <w:bookmarkEnd w:id="318"/>
    <w:bookmarkEnd w:id="319"/>
    <w:bookmarkEnd w:id="320"/>
    <w:bookmarkEnd w:id="321"/>
    <w:bookmarkEnd w:id="322"/>
    <w:bookmarkEnd w:id="323"/>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20.1投标人必须对所投标段内所有内容作出完整唯一的投标报价，不得缺项、漏项，否则投标文件将按无效处理。</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20.2投标报价包括但不限于完成本项目的</w:t>
      </w:r>
      <w:r>
        <w:rPr>
          <w:rFonts w:hint="eastAsia" w:ascii="仿宋" w:hAnsi="仿宋" w:eastAsia="仿宋" w:cs="仿宋"/>
          <w:color w:val="000000" w:themeColor="text1"/>
          <w:sz w:val="24"/>
          <w:highlight w:val="none"/>
          <w14:textFill>
            <w14:solidFill>
              <w14:schemeClr w14:val="tx1"/>
            </w14:solidFill>
          </w14:textFill>
        </w:rPr>
        <w:t>人员、设备、税收、保险、利润</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中标服务费等其它</w:t>
      </w:r>
      <w:r>
        <w:rPr>
          <w:rFonts w:hint="eastAsia" w:ascii="仿宋" w:hAnsi="仿宋" w:eastAsia="仿宋" w:cs="仿宋"/>
          <w:color w:val="000000" w:themeColor="text1"/>
          <w:sz w:val="24"/>
          <w:highlight w:val="none"/>
          <w14:textFill>
            <w14:solidFill>
              <w14:schemeClr w14:val="tx1"/>
            </w14:solidFill>
          </w14:textFill>
        </w:rPr>
        <w:t>项目实施的一切费用</w:t>
      </w:r>
      <w:r>
        <w:rPr>
          <w:rFonts w:hint="eastAsia" w:ascii="仿宋" w:hAnsi="仿宋" w:eastAsia="仿宋" w:cs="仿宋"/>
          <w:color w:val="000000" w:themeColor="text1"/>
          <w:sz w:val="24"/>
          <w:szCs w:val="24"/>
          <w:highlight w:val="none"/>
          <w14:textFill>
            <w14:solidFill>
              <w14:schemeClr w14:val="tx1"/>
            </w14:solidFill>
          </w14:textFill>
        </w:rPr>
        <w:t>。该报价应考虑市场风险、政策性风险、汇率风险等因素</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应符合市场行情并能保证投标人完成履行合同所需的一切工作。合同一旦签订，投标报价在合同实施期间将不因市场价格等的变化而调整。</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投标人不得哄抬报价，也不应低于成本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投标人应保证其提供的货物、工程或者服务是全新的，投标人应保证其提供的货物、工程或者服务在</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使用期间不受第三方可能提出的所有权、用益物权、担保物权、占有等一切涉及物权及知识产权、商标权、专利权、著作权等相关权利的起诉。</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报价货币为人民币。</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324" w:name="_Toc6164"/>
      <w:bookmarkStart w:id="325" w:name="_Toc489145727"/>
      <w:bookmarkStart w:id="326" w:name="_Toc27900"/>
      <w:bookmarkStart w:id="327" w:name="_Toc11404"/>
      <w:bookmarkStart w:id="328" w:name="_Toc27348"/>
      <w:bookmarkStart w:id="329" w:name="_Toc12423"/>
      <w:bookmarkStart w:id="330" w:name="_Toc14345"/>
      <w:bookmarkStart w:id="331" w:name="_Toc488633607"/>
      <w:bookmarkStart w:id="332" w:name="_Toc489197831"/>
      <w:bookmarkStart w:id="333" w:name="_Toc528186475"/>
      <w:r>
        <w:rPr>
          <w:rFonts w:hint="eastAsia" w:ascii="仿宋" w:hAnsi="仿宋" w:eastAsia="仿宋" w:cs="仿宋"/>
          <w:color w:val="000000" w:themeColor="text1"/>
          <w:sz w:val="30"/>
          <w:szCs w:val="30"/>
          <w:highlight w:val="none"/>
          <w14:textFill>
            <w14:solidFill>
              <w14:schemeClr w14:val="tx1"/>
            </w14:solidFill>
          </w14:textFill>
        </w:rPr>
        <w:t>四、投标</w:t>
      </w:r>
      <w:bookmarkEnd w:id="324"/>
      <w:bookmarkEnd w:id="325"/>
      <w:bookmarkEnd w:id="326"/>
      <w:bookmarkEnd w:id="327"/>
      <w:bookmarkEnd w:id="328"/>
      <w:bookmarkEnd w:id="329"/>
      <w:bookmarkEnd w:id="330"/>
      <w:bookmarkEnd w:id="331"/>
      <w:bookmarkEnd w:id="332"/>
      <w:bookmarkEnd w:id="333"/>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34" w:name="_Toc528186476"/>
      <w:bookmarkStart w:id="335" w:name="_Toc12022"/>
      <w:bookmarkStart w:id="336" w:name="_Toc489197832"/>
      <w:bookmarkStart w:id="337" w:name="_Toc6233"/>
      <w:bookmarkStart w:id="338" w:name="_Toc489145728"/>
      <w:r>
        <w:rPr>
          <w:rFonts w:hint="eastAsia" w:ascii="仿宋" w:hAnsi="仿宋" w:eastAsia="仿宋" w:cs="仿宋"/>
          <w:color w:val="000000" w:themeColor="text1"/>
          <w:sz w:val="24"/>
          <w:szCs w:val="24"/>
          <w:highlight w:val="none"/>
          <w14:textFill>
            <w14:solidFill>
              <w14:schemeClr w14:val="tx1"/>
            </w14:solidFill>
          </w14:textFill>
        </w:rPr>
        <w:t>21.投标文</w:t>
      </w:r>
      <w:bookmarkStart w:id="339" w:name="_Toc4707"/>
      <w:bookmarkStart w:id="340" w:name="_Toc401342137"/>
      <w:bookmarkStart w:id="341" w:name="_Toc296602443"/>
      <w:bookmarkStart w:id="342" w:name="_Toc378239173"/>
      <w:bookmarkStart w:id="343" w:name="_Toc378239081"/>
      <w:bookmarkStart w:id="344" w:name="_Toc480817646"/>
      <w:bookmarkStart w:id="345" w:name="_Toc378239354"/>
      <w:r>
        <w:rPr>
          <w:rFonts w:hint="eastAsia" w:ascii="仿宋" w:hAnsi="仿宋" w:eastAsia="仿宋" w:cs="仿宋"/>
          <w:color w:val="000000" w:themeColor="text1"/>
          <w:sz w:val="24"/>
          <w:szCs w:val="24"/>
          <w:highlight w:val="none"/>
          <w14:textFill>
            <w14:solidFill>
              <w14:schemeClr w14:val="tx1"/>
            </w14:solidFill>
          </w14:textFill>
        </w:rPr>
        <w:t>件的密封</w:t>
      </w:r>
      <w:bookmarkEnd w:id="339"/>
      <w:bookmarkEnd w:id="340"/>
      <w:bookmarkEnd w:id="341"/>
      <w:bookmarkEnd w:id="342"/>
      <w:bookmarkEnd w:id="343"/>
      <w:bookmarkEnd w:id="344"/>
      <w:bookmarkEnd w:id="345"/>
      <w:r>
        <w:rPr>
          <w:rFonts w:hint="eastAsia" w:ascii="仿宋" w:hAnsi="仿宋" w:eastAsia="仿宋" w:cs="仿宋"/>
          <w:color w:val="000000" w:themeColor="text1"/>
          <w:sz w:val="24"/>
          <w:szCs w:val="24"/>
          <w:highlight w:val="none"/>
          <w14:textFill>
            <w14:solidFill>
              <w14:schemeClr w14:val="tx1"/>
            </w14:solidFill>
          </w14:textFill>
        </w:rPr>
        <w:t>和</w:t>
      </w:r>
      <w:bookmarkEnd w:id="334"/>
      <w:bookmarkEnd w:id="335"/>
      <w:bookmarkEnd w:id="336"/>
      <w:bookmarkEnd w:id="337"/>
      <w:bookmarkEnd w:id="338"/>
      <w:bookmarkStart w:id="346" w:name="_Toc152045556"/>
      <w:bookmarkStart w:id="347" w:name="_Toc152042332"/>
      <w:bookmarkStart w:id="348" w:name="_Toc246996943"/>
      <w:bookmarkStart w:id="349" w:name="_Toc179632574"/>
      <w:bookmarkStart w:id="350" w:name="_Toc247085714"/>
      <w:bookmarkStart w:id="351" w:name="_Toc246996200"/>
      <w:bookmarkStart w:id="352" w:name="_Toc144974524"/>
      <w:bookmarkStart w:id="353" w:name="_Toc296602444"/>
      <w:r>
        <w:rPr>
          <w:rFonts w:hint="eastAsia" w:ascii="仿宋" w:hAnsi="仿宋" w:eastAsia="仿宋" w:cs="仿宋"/>
          <w:color w:val="000000" w:themeColor="text1"/>
          <w:sz w:val="24"/>
          <w:szCs w:val="24"/>
          <w:highlight w:val="none"/>
          <w14:textFill>
            <w14:solidFill>
              <w14:schemeClr w14:val="tx1"/>
            </w14:solidFill>
          </w14:textFill>
        </w:rPr>
        <w:t>解密</w:t>
      </w:r>
    </w:p>
    <w:bookmarkEnd w:id="346"/>
    <w:bookmarkEnd w:id="347"/>
    <w:bookmarkEnd w:id="348"/>
    <w:bookmarkEnd w:id="349"/>
    <w:bookmarkEnd w:id="350"/>
    <w:bookmarkEnd w:id="351"/>
    <w:bookmarkEnd w:id="352"/>
    <w:bookmarkEnd w:id="353"/>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bookmarkStart w:id="354" w:name="_Toc489145729"/>
      <w:bookmarkStart w:id="355" w:name="_Toc489197833"/>
      <w:bookmarkStart w:id="356" w:name="_Toc528186477"/>
      <w:bookmarkStart w:id="357" w:name="_Toc246996944"/>
      <w:bookmarkStart w:id="358" w:name="_Toc152042333"/>
      <w:bookmarkStart w:id="359" w:name="_Toc247085715"/>
      <w:bookmarkStart w:id="360" w:name="_Toc144974525"/>
      <w:bookmarkStart w:id="361" w:name="_Toc152045557"/>
      <w:bookmarkStart w:id="362" w:name="_Toc179632575"/>
      <w:bookmarkStart w:id="363" w:name="_Toc246996201"/>
      <w:r>
        <w:rPr>
          <w:rFonts w:hint="eastAsia" w:ascii="仿宋" w:hAnsi="仿宋" w:eastAsia="仿宋" w:cs="仿宋"/>
          <w:color w:val="000000" w:themeColor="text1"/>
          <w:sz w:val="24"/>
          <w:szCs w:val="24"/>
          <w:highlight w:val="none"/>
          <w14:textFill>
            <w14:solidFill>
              <w14:schemeClr w14:val="tx1"/>
            </w14:solidFill>
          </w14:textFill>
        </w:rPr>
        <w:t>21.1投标文件的密封：投标人应将通</w:t>
      </w:r>
      <w:r>
        <w:rPr>
          <w:rFonts w:hint="eastAsia" w:ascii="仿宋" w:hAnsi="仿宋" w:eastAsia="仿宋" w:cs="仿宋"/>
          <w:b w:val="0"/>
          <w:bCs w:val="0"/>
          <w:color w:val="000000" w:themeColor="text1"/>
          <w:sz w:val="24"/>
          <w:szCs w:val="24"/>
          <w:highlight w:val="none"/>
          <w14:textFill>
            <w14:solidFill>
              <w14:schemeClr w14:val="tx1"/>
            </w14:solidFill>
          </w14:textFill>
        </w:rPr>
        <w:t>过</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提交加密的电子投标文件</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"http://www.ynggzyxx.gov.cn/zfcg-tb）提交的电子投标文件进行加密。"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w:t>
      </w:r>
      <w:bookmarkStart w:id="364" w:name="_Toc1260"/>
      <w:bookmarkStart w:id="365" w:name="_Toc34"/>
      <w:bookmarkStart w:id="366" w:name="_Toc17219"/>
      <w:r>
        <w:rPr>
          <w:rFonts w:hint="eastAsia" w:ascii="仿宋" w:hAnsi="仿宋" w:eastAsia="仿宋" w:cs="仿宋"/>
          <w:color w:val="000000" w:themeColor="text1"/>
          <w:sz w:val="24"/>
          <w:szCs w:val="24"/>
          <w:highlight w:val="none"/>
          <w14:textFill>
            <w14:solidFill>
              <w14:schemeClr w14:val="tx1"/>
            </w14:solidFill>
          </w14:textFill>
        </w:rPr>
        <w:fldChar w:fldCharType="end"/>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21.2网上开标及远程解密：</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（1）投标人登录</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，完成远程解密、查看开标一览表等相关操作。本项目解密时间为1小时，若投标人未在规定时间完成所有投标文件解密，则视为无效投标，不再进入评标阶段。</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（2）因开标系统、开标现场网络、设备及其他特殊原因，导致不能正常解密投标文件的，经核实和上报相关部门同意后，可再次下达网上解密指令来延长解密时间。</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（3）开标过程中如有问题，可以在线提出异议，由代理机构给予回复。在规定的异议询问时间内未提出异议的，则视为对开标结果无异议。</w:t>
      </w:r>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22.投标文件的提交</w:t>
      </w:r>
      <w:bookmarkEnd w:id="354"/>
      <w:bookmarkEnd w:id="355"/>
      <w:bookmarkEnd w:id="356"/>
      <w:bookmarkEnd w:id="364"/>
      <w:bookmarkEnd w:id="365"/>
      <w:bookmarkEnd w:id="366"/>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367" w:name="_Toc296602445"/>
      <w:r>
        <w:rPr>
          <w:rFonts w:hint="eastAsia" w:ascii="仿宋" w:hAnsi="仿宋" w:eastAsia="仿宋" w:cs="仿宋"/>
          <w:color w:val="000000" w:themeColor="text1"/>
          <w:sz w:val="24"/>
          <w:szCs w:val="24"/>
          <w:highlight w:val="none"/>
          <w14:textFill>
            <w14:solidFill>
              <w14:schemeClr w14:val="tx1"/>
            </w14:solidFill>
          </w14:textFill>
        </w:rPr>
        <w:t>22.1投标文件提</w:t>
      </w:r>
      <w:bookmarkEnd w:id="357"/>
      <w:bookmarkEnd w:id="358"/>
      <w:bookmarkEnd w:id="359"/>
      <w:bookmarkEnd w:id="360"/>
      <w:bookmarkEnd w:id="361"/>
      <w:bookmarkEnd w:id="362"/>
      <w:bookmarkEnd w:id="363"/>
      <w:bookmarkEnd w:id="367"/>
      <w:r>
        <w:rPr>
          <w:rFonts w:hint="eastAsia" w:ascii="仿宋" w:hAnsi="仿宋" w:eastAsia="仿宋" w:cs="仿宋"/>
          <w:color w:val="000000" w:themeColor="text1"/>
          <w:sz w:val="24"/>
          <w:szCs w:val="24"/>
          <w:highlight w:val="none"/>
          <w14:textFill>
            <w14:solidFill>
              <w14:schemeClr w14:val="tx1"/>
            </w14:solidFill>
          </w14:textFill>
        </w:rPr>
        <w:t>交截止时间、提交投标文件的地点：详见《投标人须知前附表》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22.2本项目采用电子招标投标，投标人电子投标文件通过</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提交，电子投标文件提交截止时间前未完成电子投标文件传输的，视为撤回投标文件。</w:t>
      </w:r>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68" w:name="_Toc489145730"/>
      <w:bookmarkStart w:id="369" w:name="_Toc8866"/>
      <w:bookmarkStart w:id="370" w:name="_Toc528186478"/>
      <w:bookmarkStart w:id="371" w:name="_Toc14578"/>
      <w:bookmarkStart w:id="372" w:name="_Toc489197834"/>
      <w:bookmarkStart w:id="373" w:name="_Toc21225"/>
      <w:r>
        <w:rPr>
          <w:rFonts w:hint="eastAsia" w:ascii="仿宋" w:hAnsi="仿宋" w:eastAsia="仿宋" w:cs="仿宋"/>
          <w:color w:val="000000" w:themeColor="text1"/>
          <w:sz w:val="24"/>
          <w:szCs w:val="24"/>
          <w:highlight w:val="none"/>
          <w14:textFill>
            <w14:solidFill>
              <w14:schemeClr w14:val="tx1"/>
            </w14:solidFill>
          </w14:textFill>
        </w:rPr>
        <w:t>23.投标文件的补充、</w:t>
      </w:r>
      <w:bookmarkStart w:id="374" w:name="_Toc246996945"/>
      <w:bookmarkStart w:id="375" w:name="_Toc152045558"/>
      <w:bookmarkStart w:id="376" w:name="_Toc152042334"/>
      <w:bookmarkStart w:id="377" w:name="_Toc144974526"/>
      <w:bookmarkStart w:id="378" w:name="_Toc296602446"/>
      <w:bookmarkStart w:id="379" w:name="_Toc246996202"/>
      <w:bookmarkStart w:id="380" w:name="_Toc179632576"/>
      <w:bookmarkStart w:id="381" w:name="_Toc247085716"/>
      <w:r>
        <w:rPr>
          <w:rFonts w:hint="eastAsia" w:ascii="仿宋" w:hAnsi="仿宋" w:eastAsia="仿宋" w:cs="仿宋"/>
          <w:color w:val="000000" w:themeColor="text1"/>
          <w:sz w:val="24"/>
          <w:szCs w:val="24"/>
          <w:highlight w:val="none"/>
          <w14:textFill>
            <w14:solidFill>
              <w14:schemeClr w14:val="tx1"/>
            </w14:solidFill>
          </w14:textFill>
        </w:rPr>
        <w:t>修改或者撤回</w:t>
      </w:r>
      <w:bookmarkEnd w:id="368"/>
      <w:bookmarkEnd w:id="369"/>
      <w:bookmarkEnd w:id="370"/>
      <w:bookmarkEnd w:id="371"/>
      <w:bookmarkEnd w:id="372"/>
      <w:bookmarkEnd w:id="37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w:t>
      </w:r>
      <w:bookmarkEnd w:id="374"/>
      <w:bookmarkEnd w:id="375"/>
      <w:bookmarkEnd w:id="376"/>
      <w:bookmarkEnd w:id="377"/>
      <w:bookmarkEnd w:id="378"/>
      <w:bookmarkEnd w:id="379"/>
      <w:bookmarkEnd w:id="380"/>
      <w:bookmarkEnd w:id="381"/>
      <w:r>
        <w:rPr>
          <w:rFonts w:hint="eastAsia" w:ascii="仿宋" w:hAnsi="仿宋" w:eastAsia="仿宋" w:cs="仿宋"/>
          <w:color w:val="000000" w:themeColor="text1"/>
          <w:sz w:val="24"/>
          <w:szCs w:val="24"/>
          <w:highlight w:val="none"/>
          <w14:textFill>
            <w14:solidFill>
              <w14:schemeClr w14:val="tx1"/>
            </w14:solidFill>
          </w14:textFill>
        </w:rPr>
        <w:t>.1投标人在投标截止时间前，可以对所提交的投标文件进行补充、修改或者撤回，并书面通知</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。补充、修改的内容应当按照招标文件要求签署、盖章、密封后，作为投标文件的组成部分。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23.2投标人在投标截止时间前撤回已提交的投标文件的，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将自收到投标人书面撤回通知之日起5个工作日内，退还已收取的投标保证金，但因投标人自身原因导致无法及时退还的除外。</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382" w:name="_Toc31068"/>
      <w:bookmarkStart w:id="383" w:name="_Toc17571"/>
      <w:bookmarkStart w:id="384" w:name="_Toc15436"/>
      <w:bookmarkStart w:id="385" w:name="_Toc528186479"/>
      <w:bookmarkStart w:id="386" w:name="_Toc26035"/>
      <w:bookmarkStart w:id="387" w:name="_Toc489145731"/>
      <w:bookmarkStart w:id="388" w:name="_Toc488633608"/>
      <w:bookmarkStart w:id="389" w:name="_Toc23680"/>
      <w:bookmarkStart w:id="390" w:name="_Toc489197835"/>
      <w:bookmarkStart w:id="391" w:name="_Toc31415"/>
      <w:r>
        <w:rPr>
          <w:rFonts w:hint="eastAsia" w:ascii="仿宋" w:hAnsi="仿宋" w:eastAsia="仿宋" w:cs="仿宋"/>
          <w:color w:val="000000" w:themeColor="text1"/>
          <w:sz w:val="30"/>
          <w:szCs w:val="30"/>
          <w:highlight w:val="none"/>
          <w14:textFill>
            <w14:solidFill>
              <w14:schemeClr w14:val="tx1"/>
            </w14:solidFill>
          </w14:textFill>
        </w:rPr>
        <w:t>五、开标</w:t>
      </w:r>
      <w:bookmarkEnd w:id="382"/>
      <w:bookmarkEnd w:id="383"/>
      <w:bookmarkEnd w:id="384"/>
      <w:bookmarkEnd w:id="385"/>
      <w:bookmarkEnd w:id="386"/>
      <w:bookmarkEnd w:id="387"/>
      <w:bookmarkEnd w:id="388"/>
      <w:bookmarkEnd w:id="389"/>
      <w:bookmarkEnd w:id="390"/>
      <w:bookmarkEnd w:id="391"/>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92" w:name="_Toc489197836"/>
      <w:bookmarkStart w:id="393" w:name="_Toc14962"/>
      <w:bookmarkStart w:id="394" w:name="_Toc489145732"/>
      <w:bookmarkStart w:id="395" w:name="_Toc28158"/>
      <w:bookmarkStart w:id="396" w:name="_Toc528186480"/>
      <w:bookmarkStart w:id="397" w:name="_Toc14804"/>
      <w:r>
        <w:rPr>
          <w:rFonts w:hint="eastAsia" w:ascii="仿宋" w:hAnsi="仿宋" w:eastAsia="仿宋" w:cs="仿宋"/>
          <w:color w:val="000000" w:themeColor="text1"/>
          <w:sz w:val="24"/>
          <w:szCs w:val="24"/>
          <w:highlight w:val="none"/>
          <w14:textFill>
            <w14:solidFill>
              <w14:schemeClr w14:val="tx1"/>
            </w14:solidFill>
          </w14:textFill>
        </w:rPr>
        <w:t>24.开标</w:t>
      </w:r>
      <w:bookmarkEnd w:id="392"/>
      <w:bookmarkEnd w:id="393"/>
      <w:bookmarkEnd w:id="394"/>
      <w:bookmarkEnd w:id="395"/>
      <w:bookmarkEnd w:id="396"/>
      <w:bookmarkEnd w:id="39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398" w:name="_Toc179632577"/>
      <w:bookmarkStart w:id="399" w:name="_Toc144974527"/>
      <w:bookmarkStart w:id="400" w:name="_Toc296602447"/>
      <w:bookmarkStart w:id="401" w:name="_Toc378239355"/>
      <w:bookmarkStart w:id="402" w:name="_Toc29395"/>
      <w:bookmarkStart w:id="403" w:name="_Toc246996946"/>
      <w:bookmarkStart w:id="404" w:name="_Toc401342138"/>
      <w:bookmarkStart w:id="405" w:name="_Toc152045559"/>
      <w:bookmarkStart w:id="406" w:name="_Toc152042335"/>
      <w:bookmarkStart w:id="407" w:name="_Toc246996203"/>
      <w:bookmarkStart w:id="408" w:name="_Toc480817647"/>
      <w:bookmarkStart w:id="409" w:name="_Toc378239174"/>
      <w:bookmarkStart w:id="410" w:name="_Toc378239082"/>
      <w:bookmarkStart w:id="411" w:name="_Toc247085717"/>
      <w:r>
        <w:rPr>
          <w:rFonts w:hint="eastAsia" w:ascii="仿宋" w:hAnsi="仿宋" w:eastAsia="仿宋" w:cs="仿宋"/>
          <w:color w:val="000000" w:themeColor="text1"/>
          <w:sz w:val="24"/>
          <w:szCs w:val="24"/>
          <w:highlight w:val="none"/>
          <w14:textFill>
            <w14:solidFill>
              <w14:schemeClr w14:val="tx1"/>
            </w14:solidFill>
          </w14:textFill>
        </w:rPr>
        <w:t>24.1</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仿宋" w:hAnsi="仿宋" w:eastAsia="仿宋" w:cs="仿宋"/>
          <w:color w:val="000000" w:themeColor="text1"/>
          <w:sz w:val="24"/>
          <w:szCs w:val="24"/>
          <w:highlight w:val="none"/>
          <w14:textFill>
            <w14:solidFill>
              <w14:schemeClr w14:val="tx1"/>
            </w14:solidFill>
          </w14:textFill>
        </w:rPr>
        <w:t>开</w:t>
      </w:r>
      <w:bookmarkStart w:id="412" w:name="_Toc246996947"/>
      <w:bookmarkStart w:id="413" w:name="_Toc144974528"/>
      <w:bookmarkStart w:id="414" w:name="_Toc246996204"/>
      <w:bookmarkStart w:id="415" w:name="_Toc152042336"/>
      <w:bookmarkStart w:id="416" w:name="_Toc247085718"/>
      <w:bookmarkStart w:id="417" w:name="_Toc179632578"/>
      <w:bookmarkStart w:id="418" w:name="_Toc152045560"/>
      <w:bookmarkStart w:id="419" w:name="_Toc296602448"/>
      <w:r>
        <w:rPr>
          <w:rFonts w:hint="eastAsia" w:ascii="仿宋" w:hAnsi="仿宋" w:eastAsia="仿宋" w:cs="仿宋"/>
          <w:color w:val="000000" w:themeColor="text1"/>
          <w:sz w:val="24"/>
          <w:szCs w:val="24"/>
          <w:highlight w:val="none"/>
          <w14:textFill>
            <w14:solidFill>
              <w14:schemeClr w14:val="tx1"/>
            </w14:solidFill>
          </w14:textFill>
        </w:rPr>
        <w:t>标将在招标文</w:t>
      </w:r>
      <w:bookmarkEnd w:id="412"/>
      <w:bookmarkEnd w:id="413"/>
      <w:bookmarkEnd w:id="414"/>
      <w:bookmarkEnd w:id="415"/>
      <w:bookmarkEnd w:id="416"/>
      <w:bookmarkEnd w:id="417"/>
      <w:bookmarkEnd w:id="418"/>
      <w:bookmarkEnd w:id="419"/>
      <w:r>
        <w:rPr>
          <w:rFonts w:hint="eastAsia" w:ascii="仿宋" w:hAnsi="仿宋" w:eastAsia="仿宋" w:cs="仿宋"/>
          <w:color w:val="000000" w:themeColor="text1"/>
          <w:sz w:val="24"/>
          <w:szCs w:val="24"/>
          <w:highlight w:val="none"/>
          <w14:textFill>
            <w14:solidFill>
              <w14:schemeClr w14:val="tx1"/>
            </w14:solidFill>
          </w14:textFill>
        </w:rPr>
        <w:t>件确定的提交投标文件截止时间的同一时间进行。开标地点为招标文件中预先确定的地点。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24.2开标时，由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工作人员当众宣布投标人名称、投标价格和招标文件规定的需要宣布的其他内容。投标人不足3家的，不得开标。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24.3投标人的</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或委托代理人应参加开标会，投标人代表对开标过程和开标记录有疑义，以及认为</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相关工作人员有需要回避的情形的，应当场提出询问或者回避申请。</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对投标人代表提出的询问或者回避申请将及时进行处理。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24.4如投标人代表未参加开标或未对开标过程和开标记录提出异议，视同认可开标结果，由此产生的后果由投标人自行负责。</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24.5开标程序</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主持，</w:t>
      </w:r>
      <w:r>
        <w:rPr>
          <w:rFonts w:hint="eastAsia" w:ascii="仿宋" w:hAnsi="仿宋" w:eastAsia="仿宋" w:cs="仿宋"/>
          <w:color w:val="000000" w:themeColor="text1"/>
          <w:sz w:val="24"/>
          <w:highlight w:val="none"/>
          <w14:textFill>
            <w14:solidFill>
              <w14:schemeClr w14:val="tx1"/>
            </w14:solidFill>
          </w14:textFill>
        </w:rPr>
        <w:t>开标时</w:t>
      </w:r>
      <w:r>
        <w:rPr>
          <w:rFonts w:hint="eastAsia" w:ascii="仿宋" w:hAnsi="仿宋" w:eastAsia="仿宋" w:cs="仿宋"/>
          <w:color w:val="000000" w:themeColor="text1"/>
          <w:sz w:val="24"/>
          <w:highlight w:val="none"/>
          <w:lang w:val="en-US" w:eastAsia="zh-CN"/>
          <w14:textFill>
            <w14:solidFill>
              <w14:schemeClr w14:val="tx1"/>
            </w14:solidFill>
          </w14:textFill>
        </w:rPr>
        <w:t>政采云平台</w:t>
      </w:r>
      <w:r>
        <w:rPr>
          <w:rFonts w:hint="eastAsia" w:ascii="仿宋" w:hAnsi="仿宋" w:eastAsia="仿宋" w:cs="仿宋"/>
          <w:color w:val="000000" w:themeColor="text1"/>
          <w:sz w:val="24"/>
          <w:highlight w:val="none"/>
          <w14:textFill>
            <w14:solidFill>
              <w14:schemeClr w14:val="tx1"/>
            </w14:solidFill>
          </w14:textFill>
        </w:rPr>
        <w:t>自动提取所有投标文件，提示招标人和投标人按招标文件规定方式按时在线解密。解密全部完成后，应当向所有投标人公布投标人名称、投标价格和招标文件规定的其他内容</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24.6投标文件报价出现前后不一致的，按照下列规定修正：</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（二）大写金额和小写金额不一致的，以大写金额为准；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（三）单价金额小数点或者百分比有明显错位的，以开标一览表的总价为准，并修改单价；</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（四）总价金额与按单价汇总金额不一致的，以单价金额计算结果为准。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420" w:name="_Toc22989"/>
      <w:r>
        <w:rPr>
          <w:rFonts w:hint="eastAsia" w:ascii="仿宋" w:hAnsi="仿宋" w:eastAsia="仿宋" w:cs="仿宋"/>
          <w:color w:val="000000" w:themeColor="text1"/>
          <w:sz w:val="30"/>
          <w:szCs w:val="30"/>
          <w:highlight w:val="none"/>
          <w14:textFill>
            <w14:solidFill>
              <w14:schemeClr w14:val="tx1"/>
            </w14:solidFill>
          </w14:textFill>
        </w:rPr>
        <w:t>六、评标</w:t>
      </w:r>
      <w:bookmarkEnd w:id="420"/>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21" w:name="_Toc32433"/>
      <w:bookmarkStart w:id="422" w:name="_Toc12001"/>
      <w:bookmarkStart w:id="423" w:name="_Toc11345"/>
      <w:bookmarkStart w:id="424" w:name="_Toc528186482"/>
      <w:bookmarkStart w:id="425" w:name="_Toc489197838"/>
      <w:bookmarkStart w:id="426" w:name="_Toc489145734"/>
      <w:r>
        <w:rPr>
          <w:rFonts w:hint="eastAsia" w:ascii="仿宋" w:hAnsi="仿宋" w:eastAsia="仿宋" w:cs="仿宋"/>
          <w:color w:val="000000" w:themeColor="text1"/>
          <w:sz w:val="24"/>
          <w:szCs w:val="24"/>
          <w:highlight w:val="none"/>
          <w14:textFill>
            <w14:solidFill>
              <w14:schemeClr w14:val="tx1"/>
            </w14:solidFill>
          </w14:textFill>
        </w:rPr>
        <w:t>25.评标</w:t>
      </w:r>
      <w:bookmarkEnd w:id="421"/>
      <w:bookmarkEnd w:id="422"/>
      <w:bookmarkEnd w:id="423"/>
      <w:bookmarkEnd w:id="424"/>
      <w:bookmarkEnd w:id="425"/>
      <w:bookmarkEnd w:id="426"/>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427" w:name="_Toc144974530"/>
      <w:bookmarkStart w:id="428" w:name="_Toc296602451"/>
      <w:bookmarkStart w:id="429" w:name="_Toc152045562"/>
      <w:bookmarkStart w:id="430" w:name="_Toc378239083"/>
      <w:bookmarkStart w:id="431" w:name="_Toc1045"/>
      <w:bookmarkStart w:id="432" w:name="_Toc401342139"/>
      <w:bookmarkStart w:id="433" w:name="_Toc480817648"/>
      <w:bookmarkStart w:id="434" w:name="_Toc247085720"/>
      <w:bookmarkStart w:id="435" w:name="_Toc152042338"/>
      <w:bookmarkStart w:id="436" w:name="_Toc246996949"/>
      <w:bookmarkStart w:id="437" w:name="_Toc378239175"/>
      <w:bookmarkStart w:id="438" w:name="_Toc179632580"/>
      <w:bookmarkStart w:id="439" w:name="_Toc378239356"/>
      <w:bookmarkStart w:id="440" w:name="_Toc246996206"/>
      <w:r>
        <w:rPr>
          <w:rFonts w:hint="eastAsia" w:ascii="仿宋" w:hAnsi="仿宋" w:eastAsia="仿宋" w:cs="仿宋"/>
          <w:color w:val="000000" w:themeColor="text1"/>
          <w:sz w:val="24"/>
          <w:szCs w:val="24"/>
          <w:highlight w:val="none"/>
          <w14:textFill>
            <w14:solidFill>
              <w14:schemeClr w14:val="tx1"/>
            </w14:solidFill>
          </w14:textFill>
        </w:rPr>
        <w:t>25.1</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hint="eastAsia" w:ascii="仿宋" w:hAnsi="仿宋" w:eastAsia="仿宋" w:cs="仿宋"/>
          <w:color w:val="000000" w:themeColor="text1"/>
          <w:sz w:val="24"/>
          <w:szCs w:val="24"/>
          <w:highlight w:val="none"/>
          <w14:textFill>
            <w14:solidFill>
              <w14:schemeClr w14:val="tx1"/>
            </w14:solidFill>
          </w14:textFill>
        </w:rPr>
        <w:t>开</w:t>
      </w:r>
      <w:bookmarkStart w:id="441" w:name="_Toc246996950"/>
      <w:bookmarkStart w:id="442" w:name="_Toc296602452"/>
      <w:bookmarkStart w:id="443" w:name="_Toc144974531"/>
      <w:bookmarkStart w:id="444" w:name="_Toc179632581"/>
      <w:bookmarkStart w:id="445" w:name="_Toc152042339"/>
      <w:bookmarkStart w:id="446" w:name="_Toc246996207"/>
      <w:bookmarkStart w:id="447" w:name="_Toc152045563"/>
      <w:bookmarkStart w:id="448" w:name="_Toc247085721"/>
      <w:r>
        <w:rPr>
          <w:rFonts w:hint="eastAsia" w:ascii="仿宋" w:hAnsi="仿宋" w:eastAsia="仿宋" w:cs="仿宋"/>
          <w:color w:val="000000" w:themeColor="text1"/>
          <w:sz w:val="24"/>
          <w:szCs w:val="24"/>
          <w:highlight w:val="none"/>
          <w14:textFill>
            <w14:solidFill>
              <w14:schemeClr w14:val="tx1"/>
            </w14:solidFill>
          </w14:textFill>
        </w:rPr>
        <w:t>标结束后，</w:t>
      </w:r>
      <w:bookmarkEnd w:id="441"/>
      <w:bookmarkEnd w:id="442"/>
      <w:bookmarkEnd w:id="443"/>
      <w:bookmarkEnd w:id="444"/>
      <w:bookmarkEnd w:id="445"/>
      <w:bookmarkEnd w:id="446"/>
      <w:bookmarkEnd w:id="447"/>
      <w:bookmarkEnd w:id="448"/>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将根据招标文件规定，依法对投标人的资格进行审查。合格投标人不足3家的，不得评标。</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25.2评标委员会由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代表和评审专家组成，成员人数</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及以上单数，其中评审专家不得少于成员总数的三分之二。评标委员会应当推选组长，但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代表不得担任组长。</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25.3</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委派代表参加评标委员会的，要向</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出具授权函。除授权代表外，</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可以委派纪检监察等相关人员进入评审现场，对评审工作实施监督，但不得超过2人。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25.4评标活动遵循公平</w:t>
      </w:r>
      <w:bookmarkStart w:id="449" w:name="_Toc152042341"/>
      <w:bookmarkStart w:id="450" w:name="_Toc144974533"/>
      <w:bookmarkStart w:id="451" w:name="_Toc246996952"/>
      <w:bookmarkStart w:id="452" w:name="_Toc296602454"/>
      <w:bookmarkStart w:id="453" w:name="_Toc246996209"/>
      <w:bookmarkStart w:id="454" w:name="_Toc179632583"/>
      <w:bookmarkStart w:id="455" w:name="_Toc247085723"/>
      <w:bookmarkStart w:id="456" w:name="_Toc152045565"/>
      <w:r>
        <w:rPr>
          <w:rFonts w:hint="eastAsia" w:ascii="仿宋" w:hAnsi="仿宋" w:eastAsia="仿宋" w:cs="仿宋"/>
          <w:color w:val="000000" w:themeColor="text1"/>
          <w:sz w:val="24"/>
          <w:szCs w:val="24"/>
          <w:highlight w:val="none"/>
          <w14:textFill>
            <w14:solidFill>
              <w14:schemeClr w14:val="tx1"/>
            </w14:solidFill>
          </w14:textFill>
        </w:rPr>
        <w:t>、公正、科学和择优的原则。</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25.5评标委员会各成员</w:t>
      </w:r>
      <w:bookmarkEnd w:id="449"/>
      <w:bookmarkEnd w:id="450"/>
      <w:bookmarkEnd w:id="451"/>
      <w:bookmarkEnd w:id="452"/>
      <w:bookmarkEnd w:id="453"/>
      <w:bookmarkEnd w:id="454"/>
      <w:bookmarkEnd w:id="455"/>
      <w:bookmarkEnd w:id="456"/>
      <w:r>
        <w:rPr>
          <w:rFonts w:hint="eastAsia" w:ascii="仿宋" w:hAnsi="仿宋" w:eastAsia="仿宋" w:cs="仿宋"/>
          <w:color w:val="000000" w:themeColor="text1"/>
          <w:sz w:val="24"/>
          <w:szCs w:val="24"/>
          <w:highlight w:val="none"/>
          <w14:textFill>
            <w14:solidFill>
              <w14:schemeClr w14:val="tx1"/>
            </w14:solidFill>
          </w14:textFill>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25.6评标过程的保密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457" w:name="_Toc417913976"/>
      <w:r>
        <w:rPr>
          <w:rFonts w:hint="eastAsia" w:ascii="仿宋" w:hAnsi="仿宋" w:eastAsia="仿宋" w:cs="仿宋"/>
          <w:color w:val="000000" w:themeColor="text1"/>
          <w:sz w:val="24"/>
          <w:szCs w:val="24"/>
          <w:highlight w:val="none"/>
          <w14:textFill>
            <w14:solidFill>
              <w14:schemeClr w14:val="tx1"/>
            </w14:solidFill>
          </w14:textFill>
        </w:rPr>
        <w:t>25.6.1评标在严格</w:t>
      </w:r>
      <w:bookmarkEnd w:id="457"/>
      <w:r>
        <w:rPr>
          <w:rFonts w:hint="eastAsia" w:ascii="仿宋" w:hAnsi="仿宋" w:eastAsia="仿宋" w:cs="仿宋"/>
          <w:color w:val="000000" w:themeColor="text1"/>
          <w:sz w:val="24"/>
          <w:szCs w:val="24"/>
          <w:highlight w:val="none"/>
          <w14:textFill>
            <w14:solidFill>
              <w14:schemeClr w14:val="tx1"/>
            </w14:solidFill>
          </w14:textFill>
        </w:rPr>
        <w:t>保密的情况下进行。除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代表、评标现场组织人员外，</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的其他工作人员以及与评标工作无关的人员不得进入评标现场。有关人员对评标情况以及在评标过程中获悉的国家秘密、商业秘密负有保密责任。</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25.6.2任何单位和个人不得非法干预、影响评审工作。</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和评审委员会在评审工作中，依法相互监督和制约，并自觉接受财政部门的监督。对非法干预评审工作等违法违规行为，将及时向财政部门报告。</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或其授权的代表签字。投标人的澄清、说明或者补正不得超出投标文件的范围或者改变投标文件的实质性内容。</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58" w:name="_Toc489145735"/>
      <w:bookmarkStart w:id="459" w:name="_Toc24802"/>
      <w:bookmarkStart w:id="460" w:name="_Toc489197839"/>
      <w:bookmarkStart w:id="461" w:name="_Toc8616"/>
      <w:bookmarkStart w:id="462" w:name="_Toc528186483"/>
      <w:bookmarkStart w:id="463" w:name="_Toc1803"/>
      <w:r>
        <w:rPr>
          <w:rFonts w:hint="eastAsia" w:ascii="仿宋" w:hAnsi="仿宋" w:eastAsia="仿宋" w:cs="仿宋"/>
          <w:color w:val="000000" w:themeColor="text1"/>
          <w:sz w:val="24"/>
          <w:szCs w:val="24"/>
          <w:highlight w:val="none"/>
          <w14:textFill>
            <w14:solidFill>
              <w14:schemeClr w14:val="tx1"/>
            </w14:solidFill>
          </w14:textFill>
        </w:rPr>
        <w:t>▲26.有下列情形之一的，视为投标人串通投标，其投标无效：</w:t>
      </w:r>
      <w:bookmarkEnd w:id="458"/>
      <w:bookmarkEnd w:id="459"/>
      <w:bookmarkEnd w:id="460"/>
      <w:bookmarkEnd w:id="461"/>
      <w:bookmarkEnd w:id="462"/>
      <w:bookmarkEnd w:id="463"/>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（一）不同投标人的投标文件由同一单位或者个人编制；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（二）不同投标人委托同一单位或者个人办理投标事宜；</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（三）不同投标人的投标文件载明的项目管理成员或者联系人员为同一人；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（四）不同投标人的投标文件异常一致或者投标报价呈规律性差异；</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（五）不同投标人的投标文件相互混装；</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（六）不同投标人的投标保证金从同一单位或者个人的账户转出。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投标人应当遵循公平竞争的原则，不得恶意串通，不得妨碍其他投标人的竞争行为，不得损害</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或者其他投标人的合法权益。</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在评标过程中发现投标人有上述情形的，评标委员会应当认定其投标无效，并书面报告本级财政部门。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64" w:name="_Toc489197840"/>
      <w:bookmarkStart w:id="465" w:name="_Toc13478"/>
      <w:bookmarkStart w:id="466" w:name="_Toc489145736"/>
      <w:bookmarkStart w:id="467" w:name="_Toc528186484"/>
      <w:bookmarkStart w:id="468" w:name="_Toc175"/>
      <w:bookmarkStart w:id="469" w:name="_Toc18744"/>
      <w:r>
        <w:rPr>
          <w:rFonts w:hint="eastAsia" w:ascii="仿宋" w:hAnsi="仿宋" w:eastAsia="仿宋" w:cs="仿宋"/>
          <w:color w:val="000000" w:themeColor="text1"/>
          <w:sz w:val="24"/>
          <w:szCs w:val="24"/>
          <w:highlight w:val="none"/>
          <w14:textFill>
            <w14:solidFill>
              <w14:schemeClr w14:val="tx1"/>
            </w14:solidFill>
          </w14:textFill>
        </w:rPr>
        <w:t>▲27.投标人存在下列情</w:t>
      </w:r>
      <w:bookmarkStart w:id="470" w:name="_Toc417913977"/>
      <w:r>
        <w:rPr>
          <w:rFonts w:hint="eastAsia" w:ascii="仿宋" w:hAnsi="仿宋" w:eastAsia="仿宋" w:cs="仿宋"/>
          <w:color w:val="000000" w:themeColor="text1"/>
          <w:sz w:val="24"/>
          <w:szCs w:val="24"/>
          <w:highlight w:val="none"/>
          <w14:textFill>
            <w14:solidFill>
              <w14:schemeClr w14:val="tx1"/>
            </w14:solidFill>
          </w14:textFill>
        </w:rPr>
        <w:t>况之一的，投标无效：</w:t>
      </w:r>
      <w:bookmarkEnd w:id="464"/>
      <w:bookmarkEnd w:id="465"/>
      <w:bookmarkEnd w:id="466"/>
      <w:bookmarkEnd w:id="467"/>
      <w:bookmarkEnd w:id="468"/>
      <w:bookmarkEnd w:id="469"/>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（一）未按照招标文件的</w:t>
      </w:r>
      <w:bookmarkEnd w:id="470"/>
      <w:r>
        <w:rPr>
          <w:rFonts w:hint="eastAsia" w:ascii="仿宋" w:hAnsi="仿宋" w:eastAsia="仿宋" w:cs="仿宋"/>
          <w:color w:val="000000" w:themeColor="text1"/>
          <w:sz w:val="24"/>
          <w:szCs w:val="24"/>
          <w:highlight w:val="none"/>
          <w14:textFill>
            <w14:solidFill>
              <w14:schemeClr w14:val="tx1"/>
            </w14:solidFill>
          </w14:textFill>
        </w:rPr>
        <w:t>规定提交投标保证金的；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（二）投标文件未按招标文件要求签署、盖章的；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（三）不具备招标文件中规定的资格要求的；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（四）报价超过招标文件中规定的预算金额或者最高限价的；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（五）投标文件含有</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不能接受的附加条件的</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（六）法律、法规和招标文件规定的其他无效情形。</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71" w:name="_Toc10276"/>
      <w:bookmarkStart w:id="472" w:name="_Toc528186485"/>
      <w:bookmarkStart w:id="473" w:name="_Toc489145737"/>
      <w:bookmarkStart w:id="474" w:name="_Toc25015"/>
      <w:bookmarkStart w:id="475" w:name="_Toc30832"/>
      <w:bookmarkStart w:id="476" w:name="_Toc489197841"/>
      <w:r>
        <w:rPr>
          <w:rFonts w:hint="eastAsia" w:ascii="仿宋" w:hAnsi="仿宋" w:eastAsia="仿宋" w:cs="仿宋"/>
          <w:color w:val="000000" w:themeColor="text1"/>
          <w:sz w:val="24"/>
          <w:szCs w:val="24"/>
          <w:highlight w:val="none"/>
          <w14:textFill>
            <w14:solidFill>
              <w14:schemeClr w14:val="tx1"/>
            </w14:solidFill>
          </w14:textFill>
        </w:rPr>
        <w:t>28.在招标采购中，出现下列情形之一的，应予废标：</w:t>
      </w:r>
      <w:bookmarkEnd w:id="471"/>
      <w:bookmarkEnd w:id="472"/>
      <w:bookmarkEnd w:id="473"/>
      <w:bookmarkEnd w:id="474"/>
      <w:bookmarkEnd w:id="475"/>
      <w:bookmarkEnd w:id="476"/>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（一）符合专业条件的投标人或者对招标文件作实质响应的投标人不足三家的；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（二）出现影响采购公正的违法、违规行为的；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（三）投标人的报价均超过了采购预算，</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不能支付的；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（四）因重大变故，采购任务取消的。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废标后，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应当将废标理由通知所有投标人。</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477" w:name="_Toc13118"/>
      <w:bookmarkStart w:id="478" w:name="_Toc30648"/>
      <w:bookmarkStart w:id="479" w:name="_Toc4598"/>
      <w:bookmarkStart w:id="480" w:name="_Toc15092"/>
      <w:bookmarkStart w:id="481" w:name="_Toc489197842"/>
      <w:bookmarkStart w:id="482" w:name="_Toc488633610"/>
      <w:bookmarkStart w:id="483" w:name="_Toc528186486"/>
      <w:bookmarkStart w:id="484" w:name="_Toc489145738"/>
      <w:bookmarkStart w:id="485" w:name="_Toc423"/>
      <w:bookmarkStart w:id="486" w:name="_Toc2169"/>
      <w:bookmarkStart w:id="487" w:name="_Toc6069"/>
      <w:r>
        <w:rPr>
          <w:rFonts w:hint="eastAsia" w:ascii="仿宋" w:hAnsi="仿宋" w:eastAsia="仿宋" w:cs="仿宋"/>
          <w:color w:val="000000" w:themeColor="text1"/>
          <w:sz w:val="30"/>
          <w:szCs w:val="30"/>
          <w:highlight w:val="none"/>
          <w14:textFill>
            <w14:solidFill>
              <w14:schemeClr w14:val="tx1"/>
            </w14:solidFill>
          </w14:textFill>
        </w:rPr>
        <w:t>七、中标结果</w:t>
      </w:r>
      <w:bookmarkEnd w:id="477"/>
      <w:bookmarkEnd w:id="478"/>
      <w:bookmarkEnd w:id="479"/>
      <w:bookmarkEnd w:id="480"/>
      <w:bookmarkEnd w:id="481"/>
      <w:bookmarkEnd w:id="482"/>
      <w:bookmarkEnd w:id="483"/>
      <w:bookmarkEnd w:id="484"/>
      <w:bookmarkEnd w:id="485"/>
      <w:bookmarkEnd w:id="486"/>
      <w:bookmarkEnd w:id="487"/>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88" w:name="_Toc12331"/>
      <w:bookmarkStart w:id="489" w:name="_Toc27751"/>
      <w:bookmarkStart w:id="490" w:name="_Toc489145739"/>
      <w:bookmarkStart w:id="491" w:name="_Toc26494"/>
      <w:bookmarkStart w:id="492" w:name="_Toc489197843"/>
      <w:bookmarkStart w:id="493" w:name="_Toc18071"/>
      <w:bookmarkStart w:id="494" w:name="_Toc528186487"/>
      <w:r>
        <w:rPr>
          <w:rFonts w:hint="eastAsia" w:ascii="仿宋" w:hAnsi="仿宋" w:eastAsia="仿宋" w:cs="仿宋"/>
          <w:color w:val="000000" w:themeColor="text1"/>
          <w:sz w:val="24"/>
          <w:szCs w:val="24"/>
          <w:highlight w:val="none"/>
          <w14:textFill>
            <w14:solidFill>
              <w14:schemeClr w14:val="tx1"/>
            </w14:solidFill>
          </w14:textFill>
        </w:rPr>
        <w:t>29.中</w:t>
      </w:r>
      <w:bookmarkStart w:id="495" w:name="_Toc401342140"/>
      <w:bookmarkStart w:id="496" w:name="_Toc246996953"/>
      <w:bookmarkStart w:id="497" w:name="_Toc296602455"/>
      <w:bookmarkStart w:id="498" w:name="_Toc247085724"/>
      <w:bookmarkStart w:id="499" w:name="_Toc378239084"/>
      <w:bookmarkStart w:id="500" w:name="_Toc246996210"/>
      <w:bookmarkStart w:id="501" w:name="_Toc179632584"/>
      <w:bookmarkStart w:id="502" w:name="_Toc144974534"/>
      <w:bookmarkStart w:id="503" w:name="_Toc378239176"/>
      <w:bookmarkStart w:id="504" w:name="_Toc378239357"/>
      <w:bookmarkStart w:id="505" w:name="_Toc152045566"/>
      <w:bookmarkStart w:id="506" w:name="_Toc152042342"/>
      <w:bookmarkStart w:id="507" w:name="_Toc480817649"/>
      <w:bookmarkStart w:id="508" w:name="_Toc13517"/>
      <w:r>
        <w:rPr>
          <w:rFonts w:hint="eastAsia" w:ascii="仿宋" w:hAnsi="仿宋" w:eastAsia="仿宋" w:cs="仿宋"/>
          <w:color w:val="000000" w:themeColor="text1"/>
          <w:sz w:val="24"/>
          <w:szCs w:val="24"/>
          <w:highlight w:val="none"/>
          <w14:textFill>
            <w14:solidFill>
              <w14:schemeClr w14:val="tx1"/>
            </w14:solidFill>
          </w14:textFill>
        </w:rPr>
        <w:t>标</w:t>
      </w:r>
      <w:bookmarkEnd w:id="495"/>
      <w:bookmarkEnd w:id="496"/>
      <w:bookmarkEnd w:id="497"/>
      <w:bookmarkEnd w:id="498"/>
      <w:bookmarkEnd w:id="499"/>
      <w:bookmarkEnd w:id="500"/>
      <w:bookmarkEnd w:id="501"/>
      <w:bookmarkEnd w:id="502"/>
      <w:bookmarkEnd w:id="503"/>
      <w:bookmarkEnd w:id="504"/>
      <w:bookmarkEnd w:id="505"/>
      <w:bookmarkEnd w:id="506"/>
      <w:r>
        <w:rPr>
          <w:rFonts w:hint="eastAsia" w:ascii="仿宋" w:hAnsi="仿宋" w:eastAsia="仿宋" w:cs="仿宋"/>
          <w:color w:val="000000" w:themeColor="text1"/>
          <w:sz w:val="24"/>
          <w:szCs w:val="24"/>
          <w:highlight w:val="none"/>
          <w14:textFill>
            <w14:solidFill>
              <w14:schemeClr w14:val="tx1"/>
            </w14:solidFill>
          </w14:textFill>
        </w:rPr>
        <w:t>人的</w:t>
      </w:r>
      <w:bookmarkEnd w:id="507"/>
      <w:bookmarkEnd w:id="508"/>
      <w:r>
        <w:rPr>
          <w:rFonts w:hint="eastAsia" w:ascii="仿宋" w:hAnsi="仿宋" w:eastAsia="仿宋" w:cs="仿宋"/>
          <w:color w:val="000000" w:themeColor="text1"/>
          <w:sz w:val="24"/>
          <w:szCs w:val="24"/>
          <w:highlight w:val="none"/>
          <w14:textFill>
            <w14:solidFill>
              <w14:schemeClr w14:val="tx1"/>
            </w14:solidFill>
          </w14:textFill>
        </w:rPr>
        <w:t>确</w:t>
      </w:r>
      <w:bookmarkStart w:id="509" w:name="_Toc296602456"/>
      <w:bookmarkStart w:id="510" w:name="_Toc152045567"/>
      <w:bookmarkStart w:id="511" w:name="_Toc246996954"/>
      <w:bookmarkStart w:id="512" w:name="_Toc246996211"/>
      <w:bookmarkStart w:id="513" w:name="_Toc144974535"/>
      <w:bookmarkStart w:id="514" w:name="_Toc179632585"/>
      <w:bookmarkStart w:id="515" w:name="_Toc152042343"/>
      <w:bookmarkStart w:id="516" w:name="_Toc247085725"/>
      <w:r>
        <w:rPr>
          <w:rFonts w:hint="eastAsia" w:ascii="仿宋" w:hAnsi="仿宋" w:eastAsia="仿宋" w:cs="仿宋"/>
          <w:color w:val="000000" w:themeColor="text1"/>
          <w:sz w:val="24"/>
          <w:szCs w:val="24"/>
          <w:highlight w:val="none"/>
          <w14:textFill>
            <w14:solidFill>
              <w14:schemeClr w14:val="tx1"/>
            </w14:solidFill>
          </w14:textFill>
        </w:rPr>
        <w:t>定</w:t>
      </w:r>
      <w:bookmarkEnd w:id="488"/>
      <w:bookmarkEnd w:id="489"/>
      <w:bookmarkEnd w:id="490"/>
      <w:bookmarkEnd w:id="491"/>
      <w:bookmarkEnd w:id="492"/>
      <w:bookmarkEnd w:id="493"/>
      <w:bookmarkEnd w:id="49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bookmarkStart w:id="517" w:name="_Toc417913979"/>
      <w:r>
        <w:rPr>
          <w:rFonts w:hint="eastAsia" w:ascii="仿宋" w:hAnsi="仿宋" w:eastAsia="仿宋" w:cs="仿宋"/>
          <w:color w:val="000000" w:themeColor="text1"/>
          <w:sz w:val="24"/>
          <w:szCs w:val="24"/>
          <w:highlight w:val="none"/>
          <w14:textFill>
            <w14:solidFill>
              <w14:schemeClr w14:val="tx1"/>
            </w14:solidFill>
          </w14:textFill>
        </w:rPr>
        <w:t>9.1</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应</w:t>
      </w:r>
      <w:bookmarkEnd w:id="509"/>
      <w:bookmarkEnd w:id="510"/>
      <w:bookmarkEnd w:id="511"/>
      <w:bookmarkEnd w:id="512"/>
      <w:bookmarkEnd w:id="513"/>
      <w:bookmarkEnd w:id="514"/>
      <w:bookmarkEnd w:id="515"/>
      <w:bookmarkEnd w:id="516"/>
      <w:bookmarkEnd w:id="517"/>
      <w:r>
        <w:rPr>
          <w:rFonts w:hint="eastAsia" w:ascii="仿宋" w:hAnsi="仿宋" w:eastAsia="仿宋" w:cs="仿宋"/>
          <w:color w:val="000000" w:themeColor="text1"/>
          <w:sz w:val="24"/>
          <w:szCs w:val="24"/>
          <w:highlight w:val="none"/>
          <w14:textFill>
            <w14:solidFill>
              <w14:schemeClr w14:val="tx1"/>
            </w14:solidFill>
          </w14:textFill>
        </w:rPr>
        <w:t>当在评标结束后2个工作日内将评标报告送</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29.2</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应当自收到评标报告之日起5个工作日内，在评标报告确定的中标候选人名单中按顺序确定中标人。中标候选人并列的，由评标委员会按照招标文件规定的方式确定中标人。</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18" w:name="_Toc9834"/>
      <w:bookmarkStart w:id="519" w:name="_Toc31584"/>
      <w:bookmarkStart w:id="520" w:name="_Toc489197844"/>
      <w:bookmarkStart w:id="521" w:name="_Toc16105"/>
      <w:bookmarkStart w:id="522" w:name="_Toc528186488"/>
      <w:bookmarkStart w:id="523" w:name="_Toc9879"/>
      <w:bookmarkStart w:id="524" w:name="_Toc489145740"/>
      <w:r>
        <w:rPr>
          <w:rFonts w:hint="eastAsia" w:ascii="仿宋" w:hAnsi="仿宋" w:eastAsia="仿宋" w:cs="仿宋"/>
          <w:color w:val="000000" w:themeColor="text1"/>
          <w:sz w:val="24"/>
          <w:szCs w:val="24"/>
          <w:highlight w:val="none"/>
          <w14:textFill>
            <w14:solidFill>
              <w14:schemeClr w14:val="tx1"/>
            </w14:solidFill>
          </w14:textFill>
        </w:rPr>
        <w:t>30.中标通知书</w:t>
      </w:r>
      <w:bookmarkEnd w:id="518"/>
      <w:bookmarkEnd w:id="519"/>
      <w:bookmarkEnd w:id="520"/>
      <w:bookmarkEnd w:id="521"/>
      <w:bookmarkEnd w:id="522"/>
      <w:bookmarkEnd w:id="523"/>
      <w:bookmarkEnd w:id="52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525" w:name="_Toc144974536"/>
      <w:bookmarkStart w:id="526" w:name="_Toc179632586"/>
      <w:bookmarkStart w:id="527" w:name="_Toc152042344"/>
      <w:bookmarkStart w:id="528" w:name="_Toc246996955"/>
      <w:bookmarkStart w:id="529" w:name="_Toc246996212"/>
      <w:bookmarkStart w:id="530" w:name="_Toc152045568"/>
      <w:bookmarkStart w:id="531" w:name="_Toc296602458"/>
      <w:bookmarkStart w:id="532" w:name="_Toc247085726"/>
      <w:r>
        <w:rPr>
          <w:rFonts w:hint="eastAsia" w:ascii="仿宋" w:hAnsi="仿宋" w:eastAsia="仿宋" w:cs="仿宋"/>
          <w:color w:val="000000" w:themeColor="text1"/>
          <w:sz w:val="24"/>
          <w:szCs w:val="24"/>
          <w:highlight w:val="none"/>
          <w14:textFill>
            <w14:solidFill>
              <w14:schemeClr w14:val="tx1"/>
            </w14:solidFill>
          </w14:textFill>
        </w:rPr>
        <w:t>30.1中标人确定之</w:t>
      </w:r>
      <w:bookmarkEnd w:id="525"/>
      <w:bookmarkEnd w:id="526"/>
      <w:bookmarkEnd w:id="527"/>
      <w:bookmarkEnd w:id="528"/>
      <w:bookmarkEnd w:id="529"/>
      <w:bookmarkEnd w:id="530"/>
      <w:bookmarkEnd w:id="531"/>
      <w:bookmarkEnd w:id="532"/>
      <w:r>
        <w:rPr>
          <w:rFonts w:hint="eastAsia" w:ascii="仿宋" w:hAnsi="仿宋" w:eastAsia="仿宋" w:cs="仿宋"/>
          <w:color w:val="000000" w:themeColor="text1"/>
          <w:sz w:val="24"/>
          <w:szCs w:val="24"/>
          <w:highlight w:val="none"/>
          <w14:textFill>
            <w14:solidFill>
              <w14:schemeClr w14:val="tx1"/>
            </w14:solidFill>
          </w14:textFill>
        </w:rPr>
        <w:t>日起</w:t>
      </w:r>
      <w:bookmarkStart w:id="533" w:name="_Toc296602460"/>
      <w:bookmarkStart w:id="534" w:name="_Toc179632588"/>
      <w:bookmarkStart w:id="535" w:name="_Toc152045570"/>
      <w:bookmarkStart w:id="536" w:name="_Toc246996214"/>
      <w:bookmarkStart w:id="537" w:name="_Toc152042346"/>
      <w:bookmarkStart w:id="538" w:name="_Toc247085728"/>
      <w:bookmarkStart w:id="539" w:name="_Toc144974538"/>
      <w:bookmarkStart w:id="540" w:name="_Toc246996957"/>
      <w:r>
        <w:rPr>
          <w:rFonts w:hint="eastAsia" w:ascii="仿宋" w:hAnsi="仿宋" w:eastAsia="仿宋" w:cs="仿宋"/>
          <w:color w:val="000000" w:themeColor="text1"/>
          <w:sz w:val="24"/>
          <w:szCs w:val="24"/>
          <w:highlight w:val="none"/>
          <w14:textFill>
            <w14:solidFill>
              <w14:schemeClr w14:val="tx1"/>
            </w14:solidFill>
          </w14:textFill>
        </w:rPr>
        <w:t>2个工作日内，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向中标人发出中标通知书，并在财政部门指定的政府采购信息发布媒体上公告中标结果。中标公告期限为1个工作日。</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30.2中标通知书是合同的一个组成部分。</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41" w:name="_Toc61"/>
      <w:bookmarkStart w:id="542" w:name="_Toc31113"/>
      <w:bookmarkStart w:id="543" w:name="_Toc489197845"/>
      <w:bookmarkStart w:id="544" w:name="_Toc1652"/>
      <w:bookmarkStart w:id="545" w:name="_Toc528186489"/>
      <w:bookmarkStart w:id="546" w:name="_Toc489145741"/>
      <w:bookmarkStart w:id="547" w:name="_Toc30707"/>
      <w:r>
        <w:rPr>
          <w:rFonts w:hint="eastAsia" w:ascii="仿宋" w:hAnsi="仿宋" w:eastAsia="仿宋" w:cs="仿宋"/>
          <w:color w:val="000000" w:themeColor="text1"/>
          <w:sz w:val="24"/>
          <w:szCs w:val="24"/>
          <w:highlight w:val="none"/>
          <w14:textFill>
            <w14:solidFill>
              <w14:schemeClr w14:val="tx1"/>
            </w14:solidFill>
          </w14:textFill>
        </w:rPr>
        <w:t>31.签订合同</w:t>
      </w:r>
      <w:bookmarkEnd w:id="541"/>
      <w:bookmarkEnd w:id="542"/>
      <w:bookmarkEnd w:id="543"/>
      <w:bookmarkEnd w:id="544"/>
      <w:bookmarkEnd w:id="545"/>
      <w:bookmarkEnd w:id="546"/>
      <w:bookmarkEnd w:id="547"/>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31.1</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应当自中</w:t>
      </w:r>
      <w:bookmarkEnd w:id="533"/>
      <w:bookmarkEnd w:id="534"/>
      <w:bookmarkEnd w:id="535"/>
      <w:bookmarkEnd w:id="536"/>
      <w:bookmarkEnd w:id="537"/>
      <w:bookmarkEnd w:id="538"/>
      <w:bookmarkEnd w:id="539"/>
      <w:bookmarkEnd w:id="540"/>
      <w:r>
        <w:rPr>
          <w:rFonts w:hint="eastAsia" w:ascii="仿宋" w:hAnsi="仿宋" w:eastAsia="仿宋" w:cs="仿宋"/>
          <w:color w:val="000000" w:themeColor="text1"/>
          <w:sz w:val="24"/>
          <w:szCs w:val="24"/>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31.2中标通知书发出后，中标人无正当理由放弃中标或拒签合同的，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取消其中标资格，其投标保证金不予退还；给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造成的损失超过投标保证金数额的，中标人还应当对超过部分予以赔偿。</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31.3排名第一的中标候选人放弃中标、因不可抗力不能履行合同、不按照招标文件要求提交履约保证金，或者被查实存在影响中标结果的违法行为等情形，不符合中标条件的，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将按照评标委员会提出的中标候选人名单排序依次确定其他中标候选人为中标人，也可以重新招标。</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31.4政府采购合同应当包括</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与中标人的名称和住所、标的、数量、质量、价款或者报酬、履行期限及地点和方式、验收要求、违约责任、解决争议的方法等内容。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31.5政府采购合同履行中，</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需追加与合同标的相同的货物、工程或者服务的，在不改变合同其他条款的前提下，可以与中标人协商签订补充合同，但所有补充合同的采购金额不得超过原合同采购金额的</w:t>
      </w:r>
      <w:r>
        <w:rPr>
          <w:rFonts w:hint="eastAsia" w:ascii="仿宋" w:hAnsi="仿宋" w:eastAsia="仿宋" w:cs="仿宋"/>
          <w:color w:val="000000" w:themeColor="text1"/>
          <w:sz w:val="24"/>
          <w:szCs w:val="24"/>
          <w:highlight w:val="none"/>
          <w:lang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31.6除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与中标人在合同中另行商定将中标项目的非主体、非关键性工作分包的，中标人在中标后将中标项目分包的，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取消其中标资格，其投标保证金不予退还；给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造成的损失超过投标保证金数额的，中标人还应当对超过部分予以赔偿。</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48" w:name="_Toc528186490"/>
      <w:bookmarkStart w:id="549" w:name="_Toc489197846"/>
      <w:bookmarkStart w:id="550" w:name="_Toc489145742"/>
      <w:bookmarkStart w:id="551" w:name="_Toc22468"/>
      <w:bookmarkStart w:id="552" w:name="_Toc19700"/>
      <w:bookmarkStart w:id="553" w:name="_Toc10219"/>
      <w:bookmarkStart w:id="554" w:name="_Toc11904"/>
      <w:r>
        <w:rPr>
          <w:rFonts w:hint="eastAsia" w:ascii="仿宋" w:hAnsi="仿宋" w:eastAsia="仿宋" w:cs="仿宋"/>
          <w:color w:val="000000" w:themeColor="text1"/>
          <w:sz w:val="24"/>
          <w:szCs w:val="24"/>
          <w:highlight w:val="none"/>
          <w14:textFill>
            <w14:solidFill>
              <w14:schemeClr w14:val="tx1"/>
            </w14:solidFill>
          </w14:textFill>
        </w:rPr>
        <w:t>32.履约保证金</w:t>
      </w:r>
      <w:bookmarkEnd w:id="548"/>
      <w:bookmarkEnd w:id="549"/>
      <w:bookmarkEnd w:id="550"/>
      <w:bookmarkEnd w:id="551"/>
      <w:bookmarkEnd w:id="552"/>
      <w:bookmarkEnd w:id="553"/>
      <w:bookmarkEnd w:id="55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bookmarkStart w:id="555" w:name="_Toc417913982"/>
      <w:r>
        <w:rPr>
          <w:rFonts w:hint="eastAsia" w:ascii="仿宋" w:hAnsi="仿宋" w:eastAsia="仿宋" w:cs="仿宋"/>
          <w:color w:val="000000" w:themeColor="text1"/>
          <w:sz w:val="24"/>
          <w:szCs w:val="24"/>
          <w:highlight w:val="none"/>
          <w14:textFill>
            <w14:solidFill>
              <w14:schemeClr w14:val="tx1"/>
            </w14:solidFill>
          </w14:textFill>
        </w:rPr>
        <w:t>2.1签</w:t>
      </w:r>
      <w:bookmarkEnd w:id="555"/>
      <w:r>
        <w:rPr>
          <w:rFonts w:hint="eastAsia" w:ascii="仿宋" w:hAnsi="仿宋" w:eastAsia="仿宋" w:cs="仿宋"/>
          <w:color w:val="000000" w:themeColor="text1"/>
          <w:sz w:val="24"/>
          <w:szCs w:val="24"/>
          <w:highlight w:val="none"/>
          <w14:textFill>
            <w14:solidFill>
              <w14:schemeClr w14:val="tx1"/>
            </w14:solidFill>
          </w14:textFill>
        </w:rPr>
        <w:t>订合同前，中标人应按《投标人须知前附表》上确定的履约保证金的金额及形式，向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提交履约保证金，联合体中标的，其履约保证金由牵头人递交。否则，视为放弃中标项目，投标保证金将不予退还。</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32.2签订合同后，如中标人不按双方签订合同约定履约，则没收其全部履约保证金，给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造成的损失超过履约保证金数额的，中标人还应当对超过部分予以赔偿。</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556" w:name="_Toc32688"/>
      <w:bookmarkStart w:id="557" w:name="_Toc26286"/>
      <w:bookmarkStart w:id="558" w:name="_Toc23574"/>
      <w:bookmarkStart w:id="559" w:name="_Toc488633611"/>
      <w:bookmarkStart w:id="560" w:name="_Toc30100"/>
      <w:bookmarkStart w:id="561" w:name="_Toc28698"/>
      <w:bookmarkStart w:id="562" w:name="_Toc489145743"/>
      <w:bookmarkStart w:id="563" w:name="_Toc32208"/>
      <w:bookmarkStart w:id="564" w:name="_Toc489197847"/>
      <w:bookmarkStart w:id="565" w:name="_Toc528186491"/>
      <w:bookmarkStart w:id="566" w:name="_Toc12084"/>
      <w:r>
        <w:rPr>
          <w:rFonts w:hint="eastAsia" w:ascii="仿宋" w:hAnsi="仿宋" w:eastAsia="仿宋" w:cs="仿宋"/>
          <w:color w:val="000000" w:themeColor="text1"/>
          <w:sz w:val="30"/>
          <w:szCs w:val="30"/>
          <w:highlight w:val="none"/>
          <w14:textFill>
            <w14:solidFill>
              <w14:schemeClr w14:val="tx1"/>
            </w14:solidFill>
          </w14:textFill>
        </w:rPr>
        <w:t>八、其他事项</w:t>
      </w:r>
      <w:bookmarkEnd w:id="556"/>
      <w:bookmarkEnd w:id="557"/>
      <w:bookmarkEnd w:id="558"/>
      <w:bookmarkEnd w:id="559"/>
      <w:bookmarkEnd w:id="560"/>
      <w:bookmarkEnd w:id="561"/>
      <w:bookmarkEnd w:id="562"/>
      <w:bookmarkEnd w:id="563"/>
      <w:bookmarkEnd w:id="564"/>
      <w:bookmarkEnd w:id="565"/>
      <w:bookmarkEnd w:id="566"/>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567" w:name="_Toc30098"/>
      <w:bookmarkStart w:id="568" w:name="_Toc528186492"/>
      <w:bookmarkStart w:id="569" w:name="_Toc489197848"/>
      <w:bookmarkStart w:id="570" w:name="_Toc14661"/>
      <w:bookmarkStart w:id="571" w:name="_Toc19951"/>
      <w:bookmarkStart w:id="572" w:name="_Toc489145744"/>
      <w:bookmarkStart w:id="573" w:name="_Toc7122"/>
      <w:r>
        <w:rPr>
          <w:rFonts w:hint="eastAsia" w:ascii="仿宋" w:hAnsi="仿宋" w:eastAsia="仿宋" w:cs="仿宋"/>
          <w:color w:val="000000" w:themeColor="text1"/>
          <w:sz w:val="24"/>
          <w:szCs w:val="24"/>
          <w:highlight w:val="none"/>
          <w14:textFill>
            <w14:solidFill>
              <w14:schemeClr w14:val="tx1"/>
            </w14:solidFill>
          </w14:textFill>
        </w:rPr>
        <w:t>33.</w:t>
      </w:r>
      <w:bookmarkEnd w:id="567"/>
      <w:bookmarkEnd w:id="568"/>
      <w:bookmarkEnd w:id="569"/>
      <w:bookmarkEnd w:id="570"/>
      <w:bookmarkEnd w:id="571"/>
      <w:bookmarkEnd w:id="572"/>
      <w:bookmarkEnd w:id="573"/>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szCs w:val="24"/>
          <w:highlight w:val="none"/>
          <w14:textFill>
            <w14:solidFill>
              <w14:schemeClr w14:val="tx1"/>
            </w14:solidFill>
          </w14:textFill>
        </w:rPr>
        <w:t>按计价格［2002］1980号文规定的收费标准</w:t>
      </w:r>
      <w:r>
        <w:rPr>
          <w:rFonts w:hint="eastAsia" w:ascii="仿宋" w:hAnsi="仿宋" w:eastAsia="仿宋" w:cs="仿宋"/>
          <w:color w:val="000000" w:themeColor="text1"/>
          <w:sz w:val="24"/>
          <w:szCs w:val="24"/>
          <w:highlight w:val="none"/>
          <w:lang w:val="en-US" w:eastAsia="zh-CN"/>
          <w14:textFill>
            <w14:solidFill>
              <w14:schemeClr w14:val="tx1"/>
            </w14:solidFill>
          </w14:textFill>
        </w:rPr>
        <w:t>下浮20%</w:t>
      </w:r>
      <w:r>
        <w:rPr>
          <w:rFonts w:hint="eastAsia" w:ascii="仿宋" w:hAnsi="仿宋" w:eastAsia="仿宋" w:cs="仿宋"/>
          <w:color w:val="000000" w:themeColor="text1"/>
          <w:sz w:val="24"/>
          <w:szCs w:val="24"/>
          <w:highlight w:val="none"/>
          <w14:textFill>
            <w14:solidFill>
              <w14:schemeClr w14:val="tx1"/>
            </w14:solidFill>
          </w14:textFill>
        </w:rPr>
        <w:t>收取，由中标人承担（</w:t>
      </w:r>
      <w:r>
        <w:rPr>
          <w:rFonts w:hint="eastAsia" w:ascii="仿宋" w:hAnsi="仿宋" w:eastAsia="仿宋" w:cs="仿宋"/>
          <w:color w:val="000000" w:themeColor="text1"/>
          <w:sz w:val="24"/>
          <w:highlight w:val="none"/>
          <w14:textFill>
            <w14:solidFill>
              <w14:schemeClr w14:val="tx1"/>
            </w14:solidFill>
          </w14:textFill>
        </w:rPr>
        <w:t>计算基准价为</w:t>
      </w:r>
      <w:r>
        <w:rPr>
          <w:rFonts w:hint="eastAsia" w:ascii="仿宋" w:hAnsi="仿宋" w:eastAsia="仿宋" w:cs="仿宋"/>
          <w:color w:val="000000" w:themeColor="text1"/>
          <w:sz w:val="24"/>
          <w:highlight w:val="none"/>
          <w:lang w:val="en-US" w:eastAsia="zh-CN"/>
          <w14:textFill>
            <w14:solidFill>
              <w14:schemeClr w14:val="tx1"/>
            </w14:solidFill>
          </w14:textFill>
        </w:rPr>
        <w:t>设备中标价+配套试剂耗材预算价</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33.2中标人应在接受“中标通知书”前向</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一次付清</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74" w:name="_Toc528186493"/>
      <w:bookmarkStart w:id="575" w:name="_Toc489197849"/>
      <w:bookmarkStart w:id="576" w:name="_Toc30698"/>
      <w:bookmarkStart w:id="577" w:name="_Toc24951"/>
      <w:bookmarkStart w:id="578" w:name="_Toc489145745"/>
      <w:bookmarkStart w:id="579" w:name="_Toc10663"/>
      <w:bookmarkStart w:id="580" w:name="_Toc7870"/>
      <w:r>
        <w:rPr>
          <w:rFonts w:hint="eastAsia" w:ascii="仿宋" w:hAnsi="仿宋" w:eastAsia="仿宋" w:cs="仿宋"/>
          <w:color w:val="000000" w:themeColor="text1"/>
          <w:sz w:val="24"/>
          <w:szCs w:val="24"/>
          <w:highlight w:val="none"/>
          <w14:textFill>
            <w14:solidFill>
              <w14:schemeClr w14:val="tx1"/>
            </w14:solidFill>
          </w14:textFill>
        </w:rPr>
        <w:t>34.招标文件编制依据</w:t>
      </w:r>
      <w:bookmarkEnd w:id="574"/>
      <w:bookmarkEnd w:id="575"/>
      <w:bookmarkEnd w:id="576"/>
      <w:bookmarkEnd w:id="577"/>
      <w:bookmarkEnd w:id="578"/>
      <w:bookmarkEnd w:id="579"/>
      <w:bookmarkEnd w:id="580"/>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34.1本招标文件根据《中华人民共和国政府采购法》、《中华人民共和国政府采购法实施条例》、《政府采购货物和服务招标投标管理办法》（财政部令第87号）等有关</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编制，解释权属于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35.</w:t>
      </w:r>
      <w:r>
        <w:rPr>
          <w:rFonts w:hint="eastAsia" w:ascii="仿宋" w:hAnsi="仿宋" w:eastAsia="仿宋" w:cs="仿宋"/>
          <w:bCs/>
          <w:color w:val="000000" w:themeColor="text1"/>
          <w:sz w:val="24"/>
          <w:szCs w:val="24"/>
          <w:highlight w:val="none"/>
          <w:lang w:eastAsia="zh-CN"/>
          <w14:textFill>
            <w14:solidFill>
              <w14:schemeClr w14:val="tx1"/>
            </w14:solidFill>
          </w14:textFill>
        </w:rPr>
        <w:t>其他需要</w:t>
      </w:r>
      <w:r>
        <w:rPr>
          <w:rFonts w:hint="eastAsia" w:ascii="仿宋" w:hAnsi="仿宋" w:eastAsia="仿宋" w:cs="仿宋"/>
          <w:color w:val="000000" w:themeColor="text1"/>
          <w:sz w:val="24"/>
          <w:szCs w:val="24"/>
          <w:highlight w:val="none"/>
          <w14:textFill>
            <w14:solidFill>
              <w14:schemeClr w14:val="tx1"/>
            </w14:solidFill>
          </w14:textFill>
        </w:rPr>
        <w:t>补充的其他内容：详见《投标人须知前附表》。</w:t>
      </w:r>
    </w:p>
    <w:p>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36.</w:t>
      </w:r>
      <w:r>
        <w:rPr>
          <w:rFonts w:hint="eastAsia" w:ascii="仿宋" w:hAnsi="仿宋" w:eastAsia="仿宋" w:cs="仿宋"/>
          <w:color w:val="000000" w:themeColor="text1"/>
          <w:sz w:val="24"/>
          <w:szCs w:val="24"/>
          <w:highlight w:val="none"/>
          <w14:textFill>
            <w14:solidFill>
              <w14:schemeClr w14:val="tx1"/>
            </w14:solidFill>
          </w14:textFill>
        </w:rPr>
        <w:t>本项目投标人为自然人的，应当由本人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；投标人为法人应当由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法定代表人（负责人）（电子签名或签章）</w:t>
      </w:r>
      <w:r>
        <w:rPr>
          <w:rFonts w:hint="eastAsia" w:ascii="仿宋" w:hAnsi="仿宋" w:eastAsia="仿宋" w:cs="仿宋"/>
          <w:color w:val="000000" w:themeColor="text1"/>
          <w:sz w:val="24"/>
          <w:szCs w:val="24"/>
          <w:highlight w:val="none"/>
          <w14:textFill>
            <w14:solidFill>
              <w14:schemeClr w14:val="tx1"/>
            </w14:solidFill>
          </w14:textFill>
        </w:rPr>
        <w:t>；其他组织的应当由主要负责人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，并加盖电子公章。</w:t>
      </w:r>
    </w:p>
    <w:p>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581" w:name="_Toc100937199"/>
      <w:bookmarkStart w:id="582" w:name="_Toc103269427"/>
      <w:bookmarkStart w:id="583" w:name="_Toc112951198"/>
      <w:bookmarkStart w:id="584" w:name="_Toc103173521"/>
      <w:bookmarkStart w:id="585" w:name="_Toc30641"/>
      <w:r>
        <w:rPr>
          <w:rFonts w:hint="eastAsia" w:ascii="仿宋" w:hAnsi="仿宋" w:eastAsia="仿宋" w:cs="仿宋"/>
          <w:color w:val="000000" w:themeColor="text1"/>
          <w:sz w:val="24"/>
          <w:szCs w:val="24"/>
          <w:highlight w:val="none"/>
          <w:lang w:val="en-US" w:eastAsia="zh-CN"/>
          <w14:textFill>
            <w14:solidFill>
              <w14:schemeClr w14:val="tx1"/>
            </w14:solidFill>
          </w14:textFill>
        </w:rPr>
        <w:t>37.其他内容</w:t>
      </w:r>
      <w:bookmarkEnd w:id="581"/>
      <w:bookmarkEnd w:id="582"/>
      <w:bookmarkEnd w:id="583"/>
      <w:bookmarkEnd w:id="584"/>
      <w:bookmarkEnd w:id="585"/>
    </w:p>
    <w:p>
      <w:pPr>
        <w:pStyle w:val="30"/>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根据《财政部关于在政府采购活动中查询及使用信用记录有关问题的通知-财库〔2016〕125号》相关要求，</w:t>
      </w:r>
      <w:r>
        <w:rPr>
          <w:rFonts w:hint="eastAsia" w:ascii="仿宋" w:hAnsi="仿宋" w:eastAsia="仿宋" w:cs="仿宋"/>
          <w:color w:val="000000" w:themeColor="text1"/>
          <w:highlight w:val="none"/>
          <w:lang w:eastAsia="zh-CN"/>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或者</w:t>
      </w:r>
      <w:r>
        <w:rPr>
          <w:rFonts w:hint="eastAsia" w:ascii="仿宋" w:hAnsi="仿宋" w:eastAsia="仿宋" w:cs="仿宋"/>
          <w:color w:val="000000" w:themeColor="text1"/>
          <w:highlight w:val="none"/>
          <w:lang w:eastAsia="zh-CN"/>
          <w14:textFill>
            <w14:solidFill>
              <w14:schemeClr w14:val="tx1"/>
            </w14:solidFill>
          </w14:textFill>
        </w:rPr>
        <w:t>招标代理机构</w:t>
      </w:r>
      <w:r>
        <w:rPr>
          <w:rFonts w:hint="eastAsia" w:ascii="仿宋" w:hAnsi="仿宋" w:eastAsia="仿宋" w:cs="仿宋"/>
          <w:color w:val="000000" w:themeColor="text1"/>
          <w:highlight w:val="none"/>
          <w14:textFill>
            <w14:solidFill>
              <w14:schemeClr w14:val="tx1"/>
            </w14:solidFill>
          </w14:textFill>
        </w:rPr>
        <w:t>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kern w:val="0"/>
          <w:sz w:val="24"/>
          <w:szCs w:val="24"/>
          <w:highlight w:val="none"/>
          <w:lang w:val="en-US" w:eastAsia="zh-CN" w:bidi="en-US"/>
          <w14:textFill>
            <w14:solidFill>
              <w14:schemeClr w14:val="tx1"/>
            </w14:solidFill>
          </w14:textFill>
        </w:rPr>
      </w:pPr>
      <w:bookmarkStart w:id="586" w:name="_Toc81398765"/>
      <w:bookmarkStart w:id="587" w:name="_Toc103173522"/>
      <w:bookmarkStart w:id="588" w:name="_Toc103269428"/>
      <w:bookmarkStart w:id="589" w:name="_Toc10202"/>
      <w:bookmarkStart w:id="590" w:name="_Toc112951199"/>
      <w:bookmarkStart w:id="591" w:name="_Toc23867294"/>
      <w:bookmarkStart w:id="592" w:name="_Toc14105161"/>
      <w:r>
        <w:rPr>
          <w:rFonts w:hint="eastAsia" w:ascii="仿宋" w:hAnsi="仿宋" w:eastAsia="仿宋" w:cs="仿宋"/>
          <w:color w:val="000000" w:themeColor="text1"/>
          <w:kern w:val="0"/>
          <w:sz w:val="24"/>
          <w:szCs w:val="24"/>
          <w:highlight w:val="none"/>
          <w:lang w:val="en-US" w:eastAsia="zh-CN" w:bidi="en-US"/>
          <w14:textFill>
            <w14:solidFill>
              <w14:schemeClr w14:val="tx1"/>
            </w14:solidFill>
          </w14:textFill>
        </w:rPr>
        <w:t>38.招标文件中有关术语解释</w:t>
      </w:r>
      <w:bookmarkEnd w:id="586"/>
      <w:bookmarkEnd w:id="587"/>
      <w:bookmarkEnd w:id="588"/>
      <w:bookmarkEnd w:id="589"/>
      <w:bookmarkEnd w:id="590"/>
      <w:bookmarkEnd w:id="591"/>
      <w:bookmarkEnd w:id="592"/>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b/>
          <w:color w:val="000000" w:themeColor="text1"/>
          <w:kern w:val="2"/>
          <w:highlight w:val="none"/>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”系指依法提出招标项目、进行招标的法人或者其他组织。政府采购中也指“</w:t>
      </w:r>
      <w:r>
        <w:rPr>
          <w:rFonts w:hint="eastAsia" w:ascii="仿宋" w:hAnsi="仿宋" w:eastAsia="仿宋" w:cs="仿宋"/>
          <w:color w:val="000000" w:themeColor="text1"/>
          <w:highlight w:val="none"/>
          <w:lang w:eastAsia="zh-CN"/>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eastAsia="仿宋" w:cs="仿宋"/>
          <w:b/>
          <w:color w:val="000000" w:themeColor="text1"/>
          <w:kern w:val="2"/>
          <w:highlight w:val="none"/>
          <w14:textFill>
            <w14:solidFill>
              <w14:schemeClr w14:val="tx1"/>
            </w14:solidFill>
          </w14:textFill>
        </w:rPr>
        <w:t>招标代理机构</w:t>
      </w:r>
      <w:r>
        <w:rPr>
          <w:rFonts w:hint="eastAsia" w:ascii="仿宋" w:hAnsi="仿宋" w:eastAsia="仿宋" w:cs="仿宋"/>
          <w:color w:val="000000" w:themeColor="text1"/>
          <w:highlight w:val="none"/>
          <w14:textFill>
            <w14:solidFill>
              <w14:schemeClr w14:val="tx1"/>
            </w14:solidFill>
          </w14:textFill>
        </w:rPr>
        <w:t>”系指依法设立，从事招标代理业务并提供相关服务的社会中介组织。政府采购中也指“</w:t>
      </w:r>
      <w:r>
        <w:rPr>
          <w:rFonts w:hint="eastAsia" w:ascii="仿宋" w:hAnsi="仿宋" w:eastAsia="仿宋" w:cs="仿宋"/>
          <w:color w:val="000000" w:themeColor="text1"/>
          <w:highlight w:val="none"/>
          <w:lang w:val="en-US" w:eastAsia="zh-CN"/>
          <w14:textFill>
            <w14:solidFill>
              <w14:schemeClr w14:val="tx1"/>
            </w14:solidFill>
          </w14:textFill>
        </w:rPr>
        <w:t>采购</w:t>
      </w:r>
      <w:r>
        <w:rPr>
          <w:rFonts w:hint="eastAsia" w:ascii="仿宋" w:hAnsi="仿宋" w:eastAsia="仿宋" w:cs="仿宋"/>
          <w:color w:val="000000" w:themeColor="text1"/>
          <w:highlight w:val="none"/>
          <w:lang w:eastAsia="zh-CN"/>
          <w14:textFill>
            <w14:solidFill>
              <w14:schemeClr w14:val="tx1"/>
            </w14:solidFill>
          </w14:textFill>
        </w:rPr>
        <w:t>代理机构</w:t>
      </w:r>
      <w:r>
        <w:rPr>
          <w:rFonts w:hint="eastAsia" w:ascii="仿宋" w:hAnsi="仿宋" w:eastAsia="仿宋" w:cs="仿宋"/>
          <w:color w:val="000000" w:themeColor="text1"/>
          <w:highlight w:val="none"/>
          <w14:textFill>
            <w14:solidFill>
              <w14:schemeClr w14:val="tx1"/>
            </w14:solidFill>
          </w14:textFill>
        </w:rPr>
        <w:t>”。</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b/>
          <w:color w:val="000000" w:themeColor="text1"/>
          <w:kern w:val="2"/>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”系指响应招标、参加投标竞争的法人或者其他组织。</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w:t>
      </w:r>
      <w:r>
        <w:rPr>
          <w:rFonts w:hint="eastAsia" w:ascii="仿宋" w:hAnsi="仿宋" w:eastAsia="仿宋" w:cs="仿宋"/>
          <w:b/>
          <w:color w:val="000000" w:themeColor="text1"/>
          <w:kern w:val="2"/>
          <w:highlight w:val="none"/>
          <w14:textFill>
            <w14:solidFill>
              <w14:schemeClr w14:val="tx1"/>
            </w14:solidFill>
          </w14:textFill>
        </w:rPr>
        <w:t>货物</w:t>
      </w:r>
      <w:r>
        <w:rPr>
          <w:rFonts w:hint="eastAsia" w:ascii="仿宋" w:hAnsi="仿宋" w:eastAsia="仿宋" w:cs="仿宋"/>
          <w:color w:val="000000" w:themeColor="text1"/>
          <w:highlight w:val="none"/>
          <w14:textFill>
            <w14:solidFill>
              <w14:schemeClr w14:val="tx1"/>
            </w14:solidFill>
          </w14:textFill>
        </w:rPr>
        <w:t>”系指招标人拟采购的、在招标文件中要求的各种形态和种类的物品，包括设备、原材料、燃料、办公和生活家具、工具、器具、仪表等有形产品。</w:t>
      </w:r>
    </w:p>
    <w:p>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”系指招标文件规定的需中标人承担的如运输、保险</w:t>
      </w:r>
      <w:r>
        <w:rPr>
          <w:rFonts w:hint="eastAsia" w:ascii="仿宋" w:hAnsi="仿宋" w:eastAsia="仿宋" w:cs="仿宋"/>
          <w:color w:val="000000" w:themeColor="text1"/>
          <w:sz w:val="24"/>
          <w:highlight w:val="none"/>
          <w:lang w:eastAsia="zh-CN"/>
          <w14:textFill>
            <w14:solidFill>
              <w14:schemeClr w14:val="tx1"/>
            </w14:solidFill>
          </w14:textFill>
        </w:rPr>
        <w:t>及其他</w:t>
      </w:r>
      <w:r>
        <w:rPr>
          <w:rFonts w:hint="eastAsia" w:ascii="仿宋" w:hAnsi="仿宋" w:eastAsia="仿宋" w:cs="仿宋"/>
          <w:color w:val="000000" w:themeColor="text1"/>
          <w:sz w:val="24"/>
          <w:highlight w:val="none"/>
          <w14:textFill>
            <w14:solidFill>
              <w14:schemeClr w14:val="tx1"/>
            </w14:solidFill>
          </w14:textFill>
        </w:rPr>
        <w:t>服务，或安装、调试、提供技术协助、技术服务、培训</w:t>
      </w:r>
      <w:r>
        <w:rPr>
          <w:rFonts w:hint="eastAsia" w:ascii="仿宋" w:hAnsi="仿宋" w:eastAsia="仿宋" w:cs="仿宋"/>
          <w:color w:val="000000" w:themeColor="text1"/>
          <w:sz w:val="24"/>
          <w:highlight w:val="none"/>
          <w:lang w:eastAsia="zh-CN"/>
          <w14:textFill>
            <w14:solidFill>
              <w14:schemeClr w14:val="tx1"/>
            </w14:solidFill>
          </w14:textFill>
        </w:rPr>
        <w:t>及其他</w:t>
      </w:r>
      <w:r>
        <w:rPr>
          <w:rFonts w:hint="eastAsia" w:ascii="仿宋" w:hAnsi="仿宋" w:eastAsia="仿宋" w:cs="仿宋"/>
          <w:color w:val="000000" w:themeColor="text1"/>
          <w:sz w:val="24"/>
          <w:highlight w:val="none"/>
          <w14:textFill>
            <w14:solidFill>
              <w14:schemeClr w14:val="tx1"/>
            </w14:solidFill>
          </w14:textFill>
        </w:rPr>
        <w:t>义务。本项目服务特指企业管理人员培训。</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w:t>
      </w:r>
      <w:r>
        <w:rPr>
          <w:rFonts w:hint="eastAsia" w:ascii="仿宋" w:hAnsi="仿宋" w:eastAsia="仿宋" w:cs="仿宋"/>
          <w:b/>
          <w:color w:val="000000" w:themeColor="text1"/>
          <w:kern w:val="2"/>
          <w:highlight w:val="none"/>
          <w14:textFill>
            <w14:solidFill>
              <w14:schemeClr w14:val="tx1"/>
            </w14:solidFill>
          </w14:textFill>
        </w:rPr>
        <w:t>单位公章</w:t>
      </w:r>
      <w:r>
        <w:rPr>
          <w:rFonts w:hint="eastAsia" w:ascii="仿宋" w:hAnsi="仿宋" w:eastAsia="仿宋" w:cs="仿宋"/>
          <w:color w:val="000000" w:themeColor="text1"/>
          <w:highlight w:val="none"/>
          <w14:textFill>
            <w14:solidFill>
              <w14:schemeClr w14:val="tx1"/>
            </w14:solidFill>
          </w14:textFill>
        </w:rPr>
        <w:t>”系指刻有工商登记部门核准并登记的法人名称全称的公章，简称“公章”。</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w:t>
      </w:r>
      <w:r>
        <w:rPr>
          <w:rFonts w:hint="eastAsia" w:ascii="仿宋" w:hAnsi="仿宋" w:eastAsia="仿宋" w:cs="仿宋"/>
          <w:b/>
          <w:color w:val="000000" w:themeColor="text1"/>
          <w:kern w:val="2"/>
          <w:highlight w:val="none"/>
          <w14:textFill>
            <w14:solidFill>
              <w14:schemeClr w14:val="tx1"/>
            </w14:solidFill>
          </w14:textFill>
        </w:rPr>
        <w:t>法人</w:t>
      </w:r>
      <w:r>
        <w:rPr>
          <w:rFonts w:hint="eastAsia" w:ascii="仿宋" w:hAnsi="仿宋" w:eastAsia="仿宋" w:cs="仿宋"/>
          <w:color w:val="000000" w:themeColor="text1"/>
          <w:highlight w:val="none"/>
          <w14:textFill>
            <w14:solidFill>
              <w14:schemeClr w14:val="tx1"/>
            </w14:solidFill>
          </w14:textFill>
        </w:rPr>
        <w:t>”系指具有民事权利能力和民事行为能力，依法独立享有民事权利和承担民事义务的组织。简言之，法人是具有民事权利主体资格的</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"http://baike.baidu.com/view/11175.htm"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t>社会</w:t>
      </w:r>
      <w:r>
        <w:rPr>
          <w:rFonts w:hint="eastAsia" w:ascii="仿宋" w:hAnsi="仿宋" w:eastAsia="仿宋" w:cs="仿宋"/>
          <w:color w:val="000000" w:themeColor="text1"/>
          <w:highlight w:val="none"/>
          <w14:textFill>
            <w14:solidFill>
              <w14:schemeClr w14:val="tx1"/>
            </w14:solidFill>
          </w14:textFill>
        </w:rPr>
        <w:fldChar w:fldCharType="end"/>
      </w:r>
      <w:r>
        <w:rPr>
          <w:rFonts w:hint="eastAsia" w:ascii="仿宋" w:hAnsi="仿宋" w:eastAsia="仿宋" w:cs="仿宋"/>
          <w:color w:val="000000" w:themeColor="text1"/>
          <w:highlight w:val="none"/>
          <w14:textFill>
            <w14:solidFill>
              <w14:schemeClr w14:val="tx1"/>
            </w14:solidFill>
          </w14:textFill>
        </w:rPr>
        <w:t>组织。我国的法人主要有四种：机关法人、事业法人、企业法人和社团法人。</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w:t>
      </w:r>
      <w:r>
        <w:rPr>
          <w:rFonts w:hint="eastAsia" w:ascii="仿宋" w:hAnsi="仿宋" w:eastAsia="仿宋" w:cs="仿宋"/>
          <w:b/>
          <w:color w:val="000000" w:themeColor="text1"/>
          <w:kern w:val="2"/>
          <w:highlight w:val="none"/>
          <w14:textFill>
            <w14:solidFill>
              <w14:schemeClr w14:val="tx1"/>
            </w14:solidFill>
          </w14:textFill>
        </w:rPr>
        <w:t>企业法人</w:t>
      </w:r>
      <w:r>
        <w:rPr>
          <w:rFonts w:hint="eastAsia" w:ascii="仿宋" w:hAnsi="仿宋" w:eastAsia="仿宋" w:cs="仿宋"/>
          <w:color w:val="000000" w:themeColor="text1"/>
          <w:highlight w:val="none"/>
          <w14:textFill>
            <w14:solidFill>
              <w14:schemeClr w14:val="tx1"/>
            </w14:solidFill>
          </w14:textFill>
        </w:rPr>
        <w:t>”系指指依照《中华人民共和国公司法》在中国境内设立的有限责任公司和股份有限公司。</w:t>
      </w:r>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w:t>
      </w:r>
      <w:r>
        <w:rPr>
          <w:rFonts w:hint="eastAsia" w:ascii="仿宋" w:hAnsi="仿宋" w:eastAsia="仿宋" w:cs="仿宋"/>
          <w:b/>
          <w:color w:val="000000" w:themeColor="text1"/>
          <w:sz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highlight w:val="none"/>
          <w14:textFill>
            <w14:solidFill>
              <w14:schemeClr w14:val="tx1"/>
            </w14:solidFill>
          </w14:textFill>
        </w:rPr>
        <w:t>”系指依照法律或法人组织章程规定，代表法人行使职权的负责人。</w:t>
      </w:r>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w:t>
      </w:r>
      <w:r>
        <w:rPr>
          <w:rFonts w:hint="eastAsia" w:ascii="仿宋" w:hAnsi="仿宋" w:eastAsia="仿宋" w:cs="仿宋"/>
          <w:b/>
          <w:color w:val="000000" w:themeColor="text1"/>
          <w:sz w:val="24"/>
          <w:highlight w:val="none"/>
          <w14:textFill>
            <w14:solidFill>
              <w14:schemeClr w14:val="tx1"/>
            </w14:solidFill>
          </w14:textFill>
        </w:rPr>
        <w:t>单位负责人</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系指非法人的单位、团体、组织或个体户的负责人或经营者</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bookmarkStart w:id="593" w:name="_Toc103173524"/>
      <w:bookmarkStart w:id="594" w:name="_Toc112951201"/>
      <w:bookmarkStart w:id="595" w:name="_Toc16199"/>
      <w:bookmarkStart w:id="596" w:name="_Toc103269430"/>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39、小微企业或监狱企业或残疾人福利性单位：详见招标文件《投标人须知前附表》。</w:t>
      </w:r>
      <w:bookmarkEnd w:id="593"/>
      <w:bookmarkEnd w:id="594"/>
      <w:bookmarkEnd w:id="595"/>
      <w:bookmarkEnd w:id="596"/>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40、采购项目行业划分：详见招标文件《投标人须知前附表》。</w:t>
      </w:r>
    </w:p>
    <w:p>
      <w:pPr>
        <w:shd w:val="clea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597" w:name="_Toc1846"/>
      <w:bookmarkStart w:id="598" w:name="_Toc6023"/>
      <w:bookmarkStart w:id="599" w:name="_Toc364392640"/>
      <w:bookmarkStart w:id="600" w:name="_Toc6824"/>
      <w:bookmarkStart w:id="601" w:name="_Toc26119"/>
      <w:bookmarkStart w:id="602" w:name="_Toc6143"/>
      <w:bookmarkStart w:id="603" w:name="_Toc528186481"/>
      <w:bookmarkStart w:id="604" w:name="_Toc1592"/>
      <w:bookmarkStart w:id="605" w:name="_Toc7291"/>
      <w:bookmarkStart w:id="606" w:name="_Toc488633609"/>
      <w:bookmarkStart w:id="607" w:name="_Toc489197837"/>
      <w:bookmarkStart w:id="608" w:name="_Toc10970"/>
      <w:bookmarkStart w:id="609" w:name="_Toc489145733"/>
      <w:bookmarkStart w:id="610" w:name="_Toc30011"/>
      <w:r>
        <w:rPr>
          <w:rFonts w:hint="eastAsia" w:ascii="仿宋" w:hAnsi="仿宋" w:eastAsia="仿宋" w:cs="仿宋"/>
          <w:color w:val="000000" w:themeColor="text1"/>
          <w:highlight w:val="none"/>
          <w14:textFill>
            <w14:solidFill>
              <w14:schemeClr w14:val="tx1"/>
            </w14:solidFill>
          </w14:textFill>
        </w:rPr>
        <w:t>第三章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合同书样式及主要条款</w:t>
      </w:r>
      <w:bookmarkEnd w:id="597"/>
      <w:bookmarkEnd w:id="598"/>
      <w:bookmarkEnd w:id="599"/>
      <w:bookmarkEnd w:id="600"/>
      <w:bookmarkEnd w:id="601"/>
      <w:bookmarkEnd w:id="602"/>
    </w:p>
    <w:p>
      <w:pPr>
        <w:shd w:val="clear"/>
        <w:rPr>
          <w:rFonts w:hint="eastAsia" w:ascii="仿宋" w:hAnsi="仿宋" w:eastAsia="仿宋" w:cs="仿宋"/>
          <w:color w:val="000000" w:themeColor="text1"/>
          <w:highlight w:val="none"/>
          <w14:textFill>
            <w14:solidFill>
              <w14:schemeClr w14:val="tx1"/>
            </w14:solidFill>
          </w14:textFill>
        </w:rPr>
      </w:pPr>
    </w:p>
    <w:tbl>
      <w:tblPr>
        <w:tblStyle w:val="22"/>
        <w:tblW w:w="978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76"/>
        <w:gridCol w:w="6986"/>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99" w:hRule="atLeast"/>
          <w:jc w:val="center"/>
        </w:trPr>
        <w:tc>
          <w:tcPr>
            <w:tcW w:w="92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87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项目</w:t>
            </w:r>
          </w:p>
        </w:tc>
        <w:tc>
          <w:tcPr>
            <w:tcW w:w="698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内容</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fill="FFFFFF" w:themeFill="background1"/>
              <w:spacing w:line="276" w:lineRule="auto"/>
              <w:jc w:val="center"/>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pacing w:val="0"/>
                <w:positio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1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698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400" w:lineRule="exact"/>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设备：设备送达招标人指定地点并按规范安装调试完毕时间为合同签订生效后7日历天内；</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400" w:lineRule="exact"/>
              <w:contextualSpacing/>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配套试剂耗材：按需、分批次供货，一般情况收到招标人订货通知后3天内送达指定地点，如遇紧急情况必须于1天内到货并验收合格。</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1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设备：设备质保与设备设计使用年限一致，质保期自设备验收之日起算，终身负责维修；并保证设备在招标人报废前正常运行；</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配套试剂耗材：配套试剂耗材应是最新生产且检验合格的产品，配套试剂耗材可供使用的期限为标示有效期的三分之二，最短不得少于二分之一。</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tc>
        <w:tc>
          <w:tcPr>
            <w:tcW w:w="1876" w:type="dxa"/>
            <w:vAlign w:val="center"/>
          </w:tcPr>
          <w:p>
            <w:pPr>
              <w:pStyle w:val="14"/>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付款方式</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设备：第一期：合同签订后，待设备安装调试完毕，试运行正常、无质量问题，经验收合格并出具验收报告后，投标人向招标人提供设备金额100%税务发票，甲方在收到合格发票后60日历天内支付合同总金额的20%；</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第二期：第一次内审完成后，支付合同总金额的30%；</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第三期：通过中国合格评定国家认可委员会（CNAS）现场正式评审后7日内，支付剩余合同价款。</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协议期内，投标人按向招标人提供并已消耗的医用耗材40%的金额，每半年开具合格的增值税发票。招标人在收到发票后60日历天内支付半年40%的货款。其余60%的货款，待招标方ISO15189经中国合格评定国家认可委员会（CNAS）现场正式评审通过后，投标人向招标人提供合格的增值税发票后7日内支付。</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w:t>
            </w:r>
          </w:p>
        </w:tc>
        <w:tc>
          <w:tcPr>
            <w:tcW w:w="1876" w:type="dxa"/>
            <w:vAlign w:val="center"/>
          </w:tcPr>
          <w:p>
            <w:pPr>
              <w:pStyle w:val="14"/>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履约保证金</w:t>
            </w:r>
          </w:p>
        </w:tc>
        <w:tc>
          <w:tcPr>
            <w:tcW w:w="6986" w:type="dxa"/>
            <w:vAlign w:val="center"/>
          </w:tcPr>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w:t>
            </w:r>
            <w:r>
              <w:rPr>
                <w:rFonts w:hint="eastAsia" w:ascii="仿宋" w:hAnsi="仿宋" w:eastAsia="仿宋" w:cs="仿宋"/>
                <w:color w:val="000000" w:themeColor="text1"/>
                <w:sz w:val="24"/>
                <w:szCs w:val="22"/>
                <w:highlight w:val="none"/>
                <w14:textFill>
                  <w14:solidFill>
                    <w14:schemeClr w14:val="tx1"/>
                  </w14:solidFill>
                </w14:textFill>
              </w:rPr>
              <w:t>保证金的形式：支票、汇票、本票、保函、银行转账、保证保险等非现金形式</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履约保证金的金额：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2"/>
                <w:highlight w:val="none"/>
                <w:lang w:eastAsia="zh-CN"/>
                <w14:textFill>
                  <w14:solidFill>
                    <w14:schemeClr w14:val="tx1"/>
                  </w14:solidFill>
                </w14:textFill>
              </w:rPr>
              <w:t>合同金额的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5%；配套试剂耗材：预算</w:t>
            </w:r>
            <w:r>
              <w:rPr>
                <w:rFonts w:hint="eastAsia" w:ascii="仿宋" w:hAnsi="仿宋" w:eastAsia="仿宋" w:cs="仿宋"/>
                <w:color w:val="000000" w:themeColor="text1"/>
                <w:sz w:val="24"/>
                <w:szCs w:val="22"/>
                <w:highlight w:val="none"/>
                <w:lang w:eastAsia="zh-CN"/>
                <w14:textFill>
                  <w14:solidFill>
                    <w14:schemeClr w14:val="tx1"/>
                  </w14:solidFill>
                </w14:textFill>
              </w:rPr>
              <w:t>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中标人</w:t>
            </w:r>
            <w:r>
              <w:rPr>
                <w:rFonts w:hint="eastAsia" w:ascii="仿宋" w:hAnsi="仿宋" w:eastAsia="仿宋" w:cs="仿宋"/>
                <w:color w:val="000000" w:themeColor="text1"/>
                <w:sz w:val="24"/>
                <w:highlight w:val="none"/>
                <w14:textFill>
                  <w14:solidFill>
                    <w14:schemeClr w14:val="tx1"/>
                  </w14:solidFill>
                </w14:textFill>
              </w:rPr>
              <w:t>不按规定提交履约保证金</w:t>
            </w:r>
            <w:r>
              <w:rPr>
                <w:rFonts w:hint="eastAsia" w:ascii="仿宋" w:hAnsi="仿宋" w:eastAsia="仿宋" w:cs="仿宋"/>
                <w:color w:val="000000" w:themeColor="text1"/>
                <w:sz w:val="24"/>
                <w:highlight w:val="none"/>
                <w:lang w:val="en-US" w:eastAsia="zh-CN"/>
                <w14:textFill>
                  <w14:solidFill>
                    <w14:schemeClr w14:val="tx1"/>
                  </w14:solidFill>
                </w14:textFill>
              </w:rPr>
              <w:t>的，将按照相关法律法规执行</w:t>
            </w:r>
            <w:r>
              <w:rPr>
                <w:rFonts w:hint="eastAsia" w:ascii="仿宋" w:hAnsi="仿宋" w:eastAsia="仿宋" w:cs="仿宋"/>
                <w:color w:val="000000" w:themeColor="text1"/>
                <w:sz w:val="24"/>
                <w:highlight w:val="none"/>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履约保证金由甲方代管，</w:t>
            </w:r>
            <w:r>
              <w:rPr>
                <w:rFonts w:hint="eastAsia" w:ascii="仿宋" w:hAnsi="仿宋" w:eastAsia="仿宋" w:cs="仿宋"/>
                <w:color w:val="000000" w:themeColor="text1"/>
                <w:sz w:val="24"/>
                <w:highlight w:val="none"/>
                <w:lang w:eastAsia="zh-CN"/>
                <w14:textFill>
                  <w14:solidFill>
                    <w14:schemeClr w14:val="tx1"/>
                  </w14:solidFill>
                </w14:textFill>
              </w:rPr>
              <w:t>待合同有效期结束后若无违约行为，60个日历天内退还。</w:t>
            </w:r>
          </w:p>
        </w:tc>
      </w:tr>
    </w:tbl>
    <w:p>
      <w:pPr>
        <w:shd w:val="clear"/>
        <w:rPr>
          <w:rFonts w:hint="eastAsia" w:ascii="仿宋" w:hAnsi="仿宋" w:eastAsia="仿宋" w:cs="仿宋"/>
          <w:color w:val="000000" w:themeColor="text1"/>
          <w:highlight w:val="none"/>
          <w14:textFill>
            <w14:solidFill>
              <w14:schemeClr w14:val="tx1"/>
            </w14:solidFill>
          </w14:textFill>
        </w:rPr>
      </w:pPr>
    </w:p>
    <w:p>
      <w:pPr>
        <w:shd w:val="clear"/>
        <w:autoSpaceDE w:val="0"/>
        <w:autoSpaceDN w:val="0"/>
        <w:adjustRightInd w:val="0"/>
        <w:spacing w:line="360" w:lineRule="auto"/>
        <w:ind w:right="-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注：</w:t>
      </w:r>
      <w:r>
        <w:rPr>
          <w:rFonts w:hint="eastAsia" w:ascii="仿宋" w:hAnsi="仿宋" w:eastAsia="仿宋" w:cs="仿宋"/>
          <w:b/>
          <w:color w:val="000000" w:themeColor="text1"/>
          <w:sz w:val="24"/>
          <w:highlight w:val="none"/>
          <w:u w:val="single"/>
          <w14:textFill>
            <w14:solidFill>
              <w14:schemeClr w14:val="tx1"/>
            </w14:solidFill>
          </w14:textFill>
        </w:rPr>
        <w:t>本合同样式仅供参考，具体合同以</w:t>
      </w:r>
      <w:r>
        <w:rPr>
          <w:rFonts w:hint="eastAsia" w:ascii="仿宋" w:hAnsi="仿宋" w:eastAsia="仿宋" w:cs="仿宋"/>
          <w:b/>
          <w:color w:val="000000" w:themeColor="text1"/>
          <w:sz w:val="24"/>
          <w:highlight w:val="none"/>
          <w:u w:val="single"/>
          <w:lang w:eastAsia="zh-CN"/>
          <w14:textFill>
            <w14:solidFill>
              <w14:schemeClr w14:val="tx1"/>
            </w14:solidFill>
          </w14:textFill>
        </w:rPr>
        <w:t>招标人</w:t>
      </w:r>
      <w:r>
        <w:rPr>
          <w:rFonts w:hint="eastAsia" w:ascii="仿宋" w:hAnsi="仿宋" w:eastAsia="仿宋" w:cs="仿宋"/>
          <w:b/>
          <w:color w:val="000000" w:themeColor="text1"/>
          <w:sz w:val="24"/>
          <w:highlight w:val="none"/>
          <w:u w:val="single"/>
          <w14:textFill>
            <w14:solidFill>
              <w14:schemeClr w14:val="tx1"/>
            </w14:solidFill>
          </w14:textFill>
        </w:rPr>
        <w:t>与中标人签订的合同为准</w:t>
      </w:r>
      <w:r>
        <w:rPr>
          <w:rFonts w:hint="eastAsia" w:ascii="仿宋" w:hAnsi="仿宋" w:eastAsia="仿宋" w:cs="仿宋"/>
          <w:color w:val="000000" w:themeColor="text1"/>
          <w:sz w:val="24"/>
          <w:highlight w:val="none"/>
          <w14:textFill>
            <w14:solidFill>
              <w14:schemeClr w14:val="tx1"/>
            </w14:solidFill>
          </w14:textFill>
        </w:rPr>
        <w:t>）</w:t>
      </w:r>
    </w:p>
    <w:p>
      <w:pPr>
        <w:shd w:val="clear"/>
        <w:autoSpaceDE w:val="0"/>
        <w:autoSpaceDN w:val="0"/>
        <w:adjustRightInd w:val="0"/>
        <w:spacing w:line="360" w:lineRule="auto"/>
        <w:ind w:right="-72"/>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合同编号：合同自编号：项目编号：</w:t>
      </w:r>
    </w:p>
    <w:p>
      <w:pPr>
        <w:shd w:val="clear"/>
        <w:autoSpaceDE w:val="0"/>
        <w:autoSpaceDN w:val="0"/>
        <w:adjustRightInd w:val="0"/>
        <w:spacing w:line="360" w:lineRule="auto"/>
        <w:ind w:right="568"/>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本合同须加盖甲乙双方骑缝章有效</w:t>
      </w:r>
    </w:p>
    <w:p>
      <w:pPr>
        <w:shd w:val="clear"/>
        <w:autoSpaceDE w:val="0"/>
        <w:autoSpaceDN w:val="0"/>
        <w:adjustRightInd w:val="0"/>
        <w:spacing w:line="360" w:lineRule="auto"/>
        <w:jc w:val="center"/>
        <w:rPr>
          <w:rFonts w:hint="eastAsia" w:ascii="仿宋" w:hAnsi="仿宋" w:eastAsia="仿宋" w:cs="仿宋"/>
          <w:color w:val="000000" w:themeColor="text1"/>
          <w:kern w:val="0"/>
          <w:sz w:val="24"/>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32"/>
          <w:szCs w:val="32"/>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32"/>
          <w:szCs w:val="32"/>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52"/>
          <w:szCs w:val="52"/>
          <w:highlight w:val="none"/>
          <w14:textFill>
            <w14:solidFill>
              <w14:schemeClr w14:val="tx1"/>
            </w14:solidFill>
          </w14:textFill>
        </w:rPr>
      </w:pPr>
      <w:r>
        <w:rPr>
          <w:rFonts w:hint="eastAsia" w:ascii="仿宋" w:hAnsi="仿宋" w:eastAsia="仿宋" w:cs="仿宋"/>
          <w:color w:val="000000" w:themeColor="text1"/>
          <w:kern w:val="0"/>
          <w:sz w:val="52"/>
          <w:szCs w:val="52"/>
          <w:highlight w:val="none"/>
          <w14:textFill>
            <w14:solidFill>
              <w14:schemeClr w14:val="tx1"/>
            </w14:solidFill>
          </w14:textFill>
        </w:rPr>
        <w:t>政府采购</w:t>
      </w:r>
    </w:p>
    <w:p>
      <w:pPr>
        <w:shd w:val="clear"/>
        <w:autoSpaceDE w:val="0"/>
        <w:autoSpaceDN w:val="0"/>
        <w:adjustRightInd w:val="0"/>
        <w:spacing w:line="360" w:lineRule="auto"/>
        <w:jc w:val="center"/>
        <w:rPr>
          <w:rFonts w:hint="eastAsia" w:ascii="仿宋" w:hAnsi="仿宋" w:eastAsia="仿宋" w:cs="仿宋"/>
          <w:b/>
          <w:color w:val="000000" w:themeColor="text1"/>
          <w:kern w:val="0"/>
          <w:sz w:val="44"/>
          <w:szCs w:val="44"/>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b/>
          <w:color w:val="000000" w:themeColor="text1"/>
          <w:kern w:val="0"/>
          <w:sz w:val="44"/>
          <w:szCs w:val="44"/>
          <w:highlight w:val="none"/>
          <w14:textFill>
            <w14:solidFill>
              <w14:schemeClr w14:val="tx1"/>
            </w14:solidFill>
          </w14:textFill>
        </w:rPr>
      </w:pPr>
      <w:r>
        <w:rPr>
          <w:rFonts w:hint="eastAsia" w:ascii="仿宋" w:hAnsi="仿宋" w:eastAsia="仿宋" w:cs="仿宋"/>
          <w:color w:val="000000" w:themeColor="text1"/>
          <w:sz w:val="33"/>
          <w:szCs w:val="33"/>
          <w:highlight w:val="none"/>
          <w14:textFill>
            <w14:solidFill>
              <w14:schemeClr w14:val="tx1"/>
            </w14:solidFill>
          </w14:textFill>
        </w:rPr>
        <w:t>（委托采购）</w:t>
      </w:r>
    </w:p>
    <w:p>
      <w:pPr>
        <w:shd w:val="clear"/>
        <w:autoSpaceDE w:val="0"/>
        <w:autoSpaceDN w:val="0"/>
        <w:adjustRightInd w:val="0"/>
        <w:spacing w:line="360" w:lineRule="auto"/>
        <w:jc w:val="center"/>
        <w:rPr>
          <w:rFonts w:hint="eastAsia" w:ascii="仿宋" w:hAnsi="仿宋" w:eastAsia="仿宋" w:cs="仿宋"/>
          <w:color w:val="000000" w:themeColor="text1"/>
          <w:kern w:val="0"/>
          <w:sz w:val="18"/>
          <w:szCs w:val="18"/>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18"/>
          <w:szCs w:val="18"/>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84"/>
          <w:szCs w:val="84"/>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合</w:t>
      </w:r>
    </w:p>
    <w:p>
      <w:pPr>
        <w:shd w:val="clear"/>
        <w:autoSpaceDE w:val="0"/>
        <w:autoSpaceDN w:val="0"/>
        <w:adjustRightInd w:val="0"/>
        <w:spacing w:line="360" w:lineRule="auto"/>
        <w:jc w:val="center"/>
        <w:rPr>
          <w:rFonts w:hint="eastAsia" w:ascii="仿宋" w:hAnsi="仿宋" w:eastAsia="仿宋" w:cs="仿宋"/>
          <w:color w:val="000000" w:themeColor="text1"/>
          <w:kern w:val="0"/>
          <w:sz w:val="72"/>
          <w:szCs w:val="72"/>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同</w:t>
      </w:r>
    </w:p>
    <w:p>
      <w:pPr>
        <w:shd w:val="clear"/>
        <w:autoSpaceDE w:val="0"/>
        <w:autoSpaceDN w:val="0"/>
        <w:adjustRightInd w:val="0"/>
        <w:spacing w:line="360" w:lineRule="auto"/>
        <w:jc w:val="center"/>
        <w:rPr>
          <w:rFonts w:hint="eastAsia" w:ascii="仿宋" w:hAnsi="仿宋" w:eastAsia="仿宋" w:cs="仿宋"/>
          <w:color w:val="000000" w:themeColor="text1"/>
          <w:kern w:val="0"/>
          <w:sz w:val="84"/>
          <w:szCs w:val="84"/>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书</w:t>
      </w:r>
    </w:p>
    <w:p>
      <w:pPr>
        <w:shd w:val="clear"/>
        <w:autoSpaceDE w:val="0"/>
        <w:autoSpaceDN w:val="0"/>
        <w:adjustRightInd w:val="0"/>
        <w:spacing w:line="360" w:lineRule="auto"/>
        <w:ind w:firstLine="3092" w:firstLineChars="1100"/>
        <w:rPr>
          <w:rFonts w:hint="eastAsia" w:ascii="仿宋" w:hAnsi="仿宋" w:eastAsia="仿宋" w:cs="仿宋"/>
          <w:b/>
          <w:color w:val="000000" w:themeColor="text1"/>
          <w:kern w:val="0"/>
          <w:sz w:val="28"/>
          <w:szCs w:val="28"/>
          <w:highlight w:val="non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签订地点：丽江市</w:t>
      </w:r>
    </w:p>
    <w:p>
      <w:pPr>
        <w:shd w:val="clear"/>
        <w:autoSpaceDE w:val="0"/>
        <w:autoSpaceDN w:val="0"/>
        <w:adjustRightInd w:val="0"/>
        <w:spacing w:line="360" w:lineRule="auto"/>
        <w:jc w:val="center"/>
        <w:rPr>
          <w:rFonts w:hint="eastAsia" w:ascii="仿宋" w:hAnsi="仿宋" w:eastAsia="仿宋" w:cs="仿宋"/>
          <w:b/>
          <w:color w:val="000000" w:themeColor="text1"/>
          <w:kern w:val="0"/>
          <w:sz w:val="28"/>
          <w:szCs w:val="28"/>
          <w:highlight w:val="none"/>
          <w:lang w:val="zh-CN"/>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b/>
          <w:color w:val="000000" w:themeColor="text1"/>
          <w:kern w:val="0"/>
          <w:sz w:val="28"/>
          <w:szCs w:val="28"/>
          <w:highlight w:val="non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签订日期：年　月　日</w:t>
      </w:r>
    </w:p>
    <w:p>
      <w:pPr>
        <w:pStyle w:val="2"/>
        <w:shd w:val="clear"/>
        <w:jc w:val="center"/>
        <w:rPr>
          <w:rFonts w:hint="eastAsia" w:ascii="仿宋" w:hAnsi="仿宋" w:eastAsia="仿宋" w:cs="仿宋"/>
          <w:b/>
          <w:bCs w:val="0"/>
          <w:color w:val="000000" w:themeColor="text1"/>
          <w:kern w:val="0"/>
          <w:szCs w:val="28"/>
          <w:highlight w:val="none"/>
          <w:lang w:val="zh-CN"/>
          <w14:textFill>
            <w14:solidFill>
              <w14:schemeClr w14:val="tx1"/>
            </w14:solidFill>
          </w14:textFill>
        </w:rPr>
      </w:pPr>
      <w:r>
        <w:rPr>
          <w:rFonts w:hint="eastAsia" w:ascii="仿宋" w:hAnsi="仿宋" w:eastAsia="仿宋" w:cs="仿宋"/>
          <w:b/>
          <w:bCs w:val="0"/>
          <w:color w:val="000000" w:themeColor="text1"/>
          <w:kern w:val="0"/>
          <w:szCs w:val="28"/>
          <w:highlight w:val="none"/>
          <w:lang w:val="zh-CN"/>
          <w14:textFill>
            <w14:solidFill>
              <w14:schemeClr w14:val="tx1"/>
            </w14:solidFill>
          </w14:textFill>
        </w:rPr>
        <w:t>云南省财政厅制</w:t>
      </w:r>
    </w:p>
    <w:p>
      <w:pPr>
        <w:pStyle w:val="2"/>
        <w:shd w:val="clear"/>
        <w:jc w:val="center"/>
        <w:rPr>
          <w:rFonts w:hint="eastAsia" w:ascii="仿宋" w:hAnsi="仿宋" w:eastAsia="仿宋" w:cs="仿宋"/>
          <w:b/>
          <w:bCs w:val="0"/>
          <w:color w:val="000000" w:themeColor="text1"/>
          <w:kern w:val="0"/>
          <w:szCs w:val="28"/>
          <w:highlight w:val="none"/>
          <w:lang w:val="zh-CN"/>
          <w14:textFill>
            <w14:solidFill>
              <w14:schemeClr w14:val="tx1"/>
            </w14:solidFill>
          </w14:textFill>
        </w:rPr>
      </w:pPr>
    </w:p>
    <w:p>
      <w:pPr>
        <w:shd w:val="clear"/>
        <w:spacing w:before="114" w:line="637" w:lineRule="exact"/>
        <w:ind w:left="3336"/>
        <w:rPr>
          <w:rFonts w:hint="eastAsia" w:ascii="仿宋" w:hAnsi="仿宋" w:eastAsia="仿宋" w:cs="仿宋"/>
          <w:color w:val="000000" w:themeColor="text1"/>
          <w:sz w:val="35"/>
          <w:szCs w:val="35"/>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r>
        <w:rPr>
          <w:rFonts w:hint="eastAsia" w:ascii="仿宋" w:hAnsi="仿宋" w:eastAsia="仿宋" w:cs="仿宋"/>
          <w:b/>
          <w:bCs/>
          <w:color w:val="000000" w:themeColor="text1"/>
          <w:spacing w:val="-6"/>
          <w:position w:val="20"/>
          <w:sz w:val="35"/>
          <w:szCs w:val="35"/>
          <w:highlight w:val="none"/>
          <w14:textFill>
            <w14:solidFill>
              <w14:schemeClr w14:val="tx1"/>
            </w14:solidFill>
          </w14:textFill>
        </w:rPr>
        <w:t>政府采购合同书</w:t>
      </w:r>
    </w:p>
    <w:p>
      <w:pPr>
        <w:shd w:val="clear"/>
        <w:spacing w:line="219" w:lineRule="auto"/>
        <w:ind w:left="3645"/>
        <w:rPr>
          <w:rFonts w:hint="eastAsia" w:ascii="仿宋" w:hAnsi="仿宋" w:eastAsia="仿宋" w:cs="仿宋"/>
          <w:color w:val="000000" w:themeColor="text1"/>
          <w:sz w:val="29"/>
          <w:szCs w:val="29"/>
          <w:highlight w:val="none"/>
          <w14:textFill>
            <w14:solidFill>
              <w14:schemeClr w14:val="tx1"/>
            </w14:solidFill>
          </w14:textFill>
        </w:rPr>
      </w:pPr>
      <w:r>
        <w:rPr>
          <w:rFonts w:hint="eastAsia" w:ascii="仿宋" w:hAnsi="仿宋" w:eastAsia="仿宋" w:cs="仿宋"/>
          <w:b/>
          <w:bCs/>
          <w:color w:val="000000" w:themeColor="text1"/>
          <w:spacing w:val="-12"/>
          <w:sz w:val="29"/>
          <w:szCs w:val="29"/>
          <w:highlight w:val="none"/>
          <w14:textFill>
            <w14:solidFill>
              <w14:schemeClr w14:val="tx1"/>
            </w14:solidFill>
          </w14:textFill>
        </w:rPr>
        <w:t>(</w:t>
      </w:r>
      <w:r>
        <w:rPr>
          <w:rFonts w:hint="eastAsia" w:ascii="仿宋" w:hAnsi="仿宋" w:eastAsia="仿宋" w:cs="仿宋"/>
          <w:b/>
          <w:bCs/>
          <w:color w:val="000000" w:themeColor="text1"/>
          <w:spacing w:val="-12"/>
          <w:sz w:val="29"/>
          <w:szCs w:val="29"/>
          <w:highlight w:val="none"/>
          <w:lang w:val="en-US" w:eastAsia="zh-CN"/>
          <w14:textFill>
            <w14:solidFill>
              <w14:schemeClr w14:val="tx1"/>
            </w14:solidFill>
          </w14:textFill>
        </w:rPr>
        <w:t>公开招标</w:t>
      </w:r>
      <w:r>
        <w:rPr>
          <w:rFonts w:hint="eastAsia" w:ascii="仿宋" w:hAnsi="仿宋" w:eastAsia="仿宋" w:cs="仿宋"/>
          <w:b/>
          <w:bCs/>
          <w:color w:val="000000" w:themeColor="text1"/>
          <w:spacing w:val="-12"/>
          <w:sz w:val="29"/>
          <w:szCs w:val="29"/>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219" w:lineRule="auto"/>
        <w:ind w:left="630" w:leftChars="300"/>
        <w:textAlignment w:val="auto"/>
        <w:rPr>
          <w:rFonts w:hint="eastAsia" w:ascii="仿宋" w:hAnsi="仿宋" w:eastAsia="仿宋" w:cs="仿宋"/>
          <w:color w:val="000000" w:themeColor="text1"/>
          <w:sz w:val="29"/>
          <w:szCs w:val="29"/>
          <w:highlight w:val="none"/>
          <w:lang w:eastAsia="zh-CN"/>
          <w14:textFill>
            <w14:solidFill>
              <w14:schemeClr w14:val="tx1"/>
            </w14:solidFill>
          </w14:textFill>
        </w:rPr>
      </w:pPr>
      <w:r>
        <w:rPr>
          <w:rFonts w:hint="eastAsia" w:ascii="仿宋" w:hAnsi="仿宋" w:eastAsia="仿宋" w:cs="仿宋"/>
          <w:b/>
          <w:bCs/>
          <w:color w:val="000000" w:themeColor="text1"/>
          <w:spacing w:val="5"/>
          <w:sz w:val="29"/>
          <w:szCs w:val="29"/>
          <w:highlight w:val="none"/>
          <w14:textFill>
            <w14:solidFill>
              <w14:schemeClr w14:val="tx1"/>
            </w14:solidFill>
          </w14:textFill>
        </w:rPr>
        <w:t>项目名称：</w:t>
      </w:r>
      <w:r>
        <w:rPr>
          <w:rFonts w:hint="eastAsia" w:ascii="仿宋" w:hAnsi="仿宋" w:eastAsia="仿宋" w:cs="仿宋"/>
          <w:b/>
          <w:bCs/>
          <w:color w:val="000000" w:themeColor="text1"/>
          <w:spacing w:val="5"/>
          <w:sz w:val="29"/>
          <w:szCs w:val="29"/>
          <w:highlight w:val="none"/>
          <w:lang w:eastAsia="zh-CN"/>
          <w14:textFill>
            <w14:solidFill>
              <w14:schemeClr w14:val="tx1"/>
            </w14:solidFill>
          </w14:textFill>
        </w:rPr>
        <w:t>丽江市人民医院检验科第一批设备及配套试剂耗材采购项目</w:t>
      </w:r>
    </w:p>
    <w:p>
      <w:pPr>
        <w:keepNext w:val="0"/>
        <w:keepLines w:val="0"/>
        <w:pageBreakBefore w:val="0"/>
        <w:widowControl w:val="0"/>
        <w:shd w:val="clear"/>
        <w:kinsoku/>
        <w:wordWrap/>
        <w:overflowPunct/>
        <w:topLinePunct w:val="0"/>
        <w:autoSpaceDE/>
        <w:autoSpaceDN/>
        <w:bidi w:val="0"/>
        <w:snapToGrid/>
        <w:spacing w:line="281" w:lineRule="auto"/>
        <w:ind w:left="630" w:leftChars="300"/>
        <w:textAlignment w:val="auto"/>
        <w:rPr>
          <w:rFonts w:hint="eastAsia" w:ascii="仿宋" w:hAnsi="仿宋" w:eastAsia="仿宋" w:cs="仿宋"/>
          <w:color w:val="000000" w:themeColor="text1"/>
          <w:sz w:val="21"/>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甲方(</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名称：丽江市人民医院</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地址：云南省丽江市古城区福慧路526号</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邮编：674100</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法定代表人(签章或签字):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分管领导(签字):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项目负责人(签字):</w:t>
      </w:r>
      <w:r>
        <w:rPr>
          <w:rFonts w:hint="eastAsia" w:ascii="仿宋" w:hAnsi="仿宋" w:eastAsia="仿宋" w:cs="仿宋"/>
          <w:color w:val="000000" w:themeColor="text1"/>
          <w:sz w:val="24"/>
          <w:szCs w:val="24"/>
          <w:highlight w:val="none"/>
          <w:lang w:val="en-US" w:eastAsia="zh-CN"/>
          <w14:textFill>
            <w14:solidFill>
              <w14:schemeClr w14:val="tx1"/>
            </w14:solidFill>
          </w14:textFill>
        </w:rPr>
        <w:t>电</w:t>
      </w:r>
      <w:r>
        <w:rPr>
          <w:rFonts w:hint="eastAsia" w:ascii="仿宋" w:hAnsi="仿宋" w:eastAsia="仿宋" w:cs="仿宋"/>
          <w:color w:val="000000" w:themeColor="text1"/>
          <w:sz w:val="24"/>
          <w:szCs w:val="24"/>
          <w:highlight w:val="none"/>
          <w14:textFill>
            <w14:solidFill>
              <w14:schemeClr w14:val="tx1"/>
            </w14:solidFill>
          </w14:textFill>
        </w:rPr>
        <w:t>话：</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名称：</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法定代表人(签章或签字):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售后联系人(签字):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乙方户名：</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乙方开户行：</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乙方账号：</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统一社会信用代码：</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签订地点：丽江市人民医院</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签订时间：</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合同总价：</w:t>
      </w:r>
    </w:p>
    <w:p>
      <w:pPr>
        <w:shd w:val="clea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br w:type="page"/>
      </w: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line="240" w:lineRule="auto"/>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r>
        <w:rPr>
          <w:rFonts w:hint="eastAsia" w:ascii="仿宋" w:hAnsi="仿宋" w:eastAsia="仿宋" w:cs="仿宋"/>
          <w:b/>
          <w:bCs/>
          <w:color w:val="000000" w:themeColor="text1"/>
          <w:spacing w:val="-20"/>
          <w:kern w:val="44"/>
          <w:sz w:val="48"/>
          <w:szCs w:val="48"/>
          <w:highlight w:val="none"/>
          <w14:textFill>
            <w14:solidFill>
              <w14:schemeClr w14:val="tx1"/>
            </w14:solidFill>
          </w14:textFill>
        </w:rPr>
        <w:t>政府采购</w:t>
      </w:r>
      <w: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t>货物买卖</w:t>
      </w:r>
      <w:r>
        <w:rPr>
          <w:rFonts w:hint="eastAsia" w:ascii="仿宋" w:hAnsi="仿宋" w:eastAsia="仿宋" w:cs="仿宋"/>
          <w:b/>
          <w:bCs/>
          <w:color w:val="000000" w:themeColor="text1"/>
          <w:spacing w:val="-20"/>
          <w:kern w:val="44"/>
          <w:sz w:val="48"/>
          <w:szCs w:val="48"/>
          <w:highlight w:val="none"/>
          <w14:textFill>
            <w14:solidFill>
              <w14:schemeClr w14:val="tx1"/>
            </w14:solidFill>
          </w14:textFill>
        </w:rPr>
        <w:t>合同</w:t>
      </w:r>
    </w:p>
    <w:p>
      <w:pPr>
        <w:pStyle w:val="2"/>
        <w:spacing w:after="0" w:line="240" w:lineRule="auto"/>
        <w:jc w:val="cente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pPr>
      <w: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t>（试行）</w:t>
      </w: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kern w:val="0"/>
          <w:sz w:val="32"/>
          <w:szCs w:val="32"/>
          <w:highlight w:val="none"/>
          <w14:textFill>
            <w14:solidFill>
              <w14:schemeClr w14:val="tx1"/>
            </w14:solidFill>
          </w14:textFill>
        </w:rPr>
        <w:t>项目名称：</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合同编号：</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甲    方：</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乙    方：</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签订时间：</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r>
    </w:p>
    <w:p>
      <w:pPr>
        <w:rPr>
          <w:rFonts w:hint="eastAsia" w:ascii="仿宋" w:hAnsi="仿宋" w:eastAsia="仿宋" w:cs="仿宋"/>
          <w:color w:val="000000" w:themeColor="text1"/>
          <w:sz w:val="44"/>
          <w:szCs w:val="44"/>
          <w:highlight w:val="none"/>
          <w14:textFill>
            <w14:solidFill>
              <w14:schemeClr w14:val="tx1"/>
            </w14:solidFill>
          </w14:textFill>
        </w:rPr>
      </w:pPr>
    </w:p>
    <w:p>
      <w:pPr>
        <w:rPr>
          <w:rFonts w:hint="eastAsia" w:ascii="仿宋" w:hAnsi="仿宋" w:eastAsia="仿宋" w:cs="仿宋"/>
          <w:color w:val="000000" w:themeColor="text1"/>
          <w:sz w:val="44"/>
          <w:szCs w:val="44"/>
          <w:highlight w:val="none"/>
          <w14:textFill>
            <w14:solidFill>
              <w14:schemeClr w14:val="tx1"/>
            </w14:solidFill>
          </w14:textFill>
        </w:rPr>
      </w:pPr>
    </w:p>
    <w:p>
      <w:pPr>
        <w:jc w:val="center"/>
        <w:rPr>
          <w:rFonts w:hint="eastAsia" w:ascii="仿宋" w:hAnsi="仿宋" w:eastAsia="仿宋" w:cs="仿宋"/>
          <w:color w:val="000000" w:themeColor="text1"/>
          <w:sz w:val="44"/>
          <w:szCs w:val="44"/>
          <w:highlight w:val="none"/>
          <w:lang w:eastAsia="zh-CN"/>
          <w14:textFill>
            <w14:solidFill>
              <w14:schemeClr w14:val="tx1"/>
            </w14:solidFill>
          </w14:textFill>
        </w:rPr>
      </w:pPr>
      <w:r>
        <w:rPr>
          <w:rFonts w:hint="eastAsia" w:ascii="仿宋" w:hAnsi="仿宋" w:eastAsia="仿宋" w:cs="仿宋"/>
          <w:color w:val="000000" w:themeColor="text1"/>
          <w:sz w:val="44"/>
          <w:szCs w:val="44"/>
          <w:highlight w:val="none"/>
          <w:lang w:eastAsia="zh-CN"/>
          <w14:textFill>
            <w14:solidFill>
              <w14:schemeClr w14:val="tx1"/>
            </w14:solidFill>
          </w14:textFill>
        </w:rPr>
        <w:t>使</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用</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说</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明</w:t>
      </w:r>
    </w:p>
    <w:p>
      <w:pPr>
        <w:ind w:firstLine="640" w:firstLineChars="200"/>
        <w:rPr>
          <w:rFonts w:hint="eastAsia" w:ascii="仿宋" w:hAnsi="仿宋" w:eastAsia="仿宋" w:cs="仿宋"/>
          <w:color w:val="000000" w:themeColor="text1"/>
          <w:sz w:val="32"/>
          <w:szCs w:val="32"/>
          <w:highlight w:val="none"/>
          <w:lang w:val="en-US" w:eastAsia="zh-CN"/>
          <w14:textFill>
            <w14:solidFill>
              <w14:schemeClr w14:val="tx1"/>
            </w14:solidFill>
          </w14:textFill>
        </w:rPr>
      </w:pPr>
    </w:p>
    <w:p>
      <w:pPr>
        <w:ind w:firstLine="640" w:firstLineChars="200"/>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1.本合同标准文本适用于购买现成货物的采购项目，不包括需要供应商定制开发、创新研发的货物采购项目。</w:t>
      </w:r>
    </w:p>
    <w:p>
      <w:pPr>
        <w:ind w:firstLine="0" w:firstLineChars="0"/>
        <w:rPr>
          <w:rFonts w:hint="eastAsia" w:ascii="仿宋" w:hAnsi="仿宋" w:eastAsia="仿宋" w:cs="仿宋"/>
          <w:color w:val="000000" w:themeColor="text1"/>
          <w:sz w:val="44"/>
          <w:szCs w:val="44"/>
          <w:highlight w:val="none"/>
          <w:lang w:val="en-US" w:eastAsia="zh-CN"/>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2.本合同标准文本为政府采购货物买卖合同编制提供参考，可以结合采购项目具体情况，对文本作必要的调整修订后使用。</w:t>
      </w:r>
    </w:p>
    <w:p>
      <w:pPr>
        <w:bidi w:val="0"/>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bookmarkStart w:id="611" w:name="_Toc22209"/>
    </w:p>
    <w:p>
      <w:pPr>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br w:type="page"/>
      </w:r>
    </w:p>
    <w:p>
      <w:pPr>
        <w:pStyle w:val="37"/>
        <w:rPr>
          <w:rFonts w:hint="eastAsia"/>
          <w:color w:val="000000" w:themeColor="text1"/>
          <w:highlight w:val="none"/>
          <w14:textFill>
            <w14:solidFill>
              <w14:schemeClr w14:val="tx1"/>
            </w14:solidFill>
          </w14:textFill>
        </w:rPr>
      </w:pPr>
    </w:p>
    <w:p>
      <w:pPr>
        <w:bidi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第一节 政府采购合同协议书</w:t>
      </w:r>
      <w:bookmarkEnd w:id="611"/>
    </w:p>
    <w:p>
      <w:pPr>
        <w:bidi w:val="0"/>
        <w:rPr>
          <w:rFonts w:hint="eastAsia" w:ascii="仿宋" w:hAnsi="仿宋" w:eastAsia="仿宋" w:cs="仿宋"/>
          <w:color w:val="000000" w:themeColor="text1"/>
          <w:highlight w:val="none"/>
          <w14:textFill>
            <w14:solidFill>
              <w14:schemeClr w14:val="tx1"/>
            </w14:solidFill>
          </w14:textFill>
        </w:rPr>
      </w:pP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招标人、受招标人委托签订合同的单位</w:t>
      </w:r>
      <w:r>
        <w:rPr>
          <w:rFonts w:hint="eastAsia" w:ascii="仿宋" w:hAnsi="仿宋" w:eastAsia="仿宋" w:cs="仿宋"/>
          <w:color w:val="000000" w:themeColor="text1"/>
          <w:szCs w:val="21"/>
          <w:highlight w:val="none"/>
          <w14:textFill>
            <w14:solidFill>
              <w14:schemeClr w14:val="tx1"/>
            </w14:solidFill>
          </w14:textFill>
        </w:rPr>
        <w:t>或采购</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文件约定的合同甲方）</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14:textFill>
            <w14:solidFill>
              <w14:schemeClr w14:val="tx1"/>
            </w14:solidFill>
          </w14:textFill>
        </w:rPr>
        <w:t>（全称）：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（供应商）</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乙方2（全称）：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（联合体成员供应商或其他合同主体）（如有）</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highlight w:val="none"/>
          <w:lang w:val="en-US" w:eastAsia="zh-CN"/>
          <w14:textFill>
            <w14:solidFill>
              <w14:schemeClr w14:val="tx1"/>
            </w14:solidFill>
          </w14:textFill>
        </w:rPr>
        <w:t>（全称）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（联合体成员供应商或其他合同主体）（如有）</w:t>
      </w:r>
    </w:p>
    <w:p>
      <w:pPr>
        <w:spacing w:beforeLines="0" w:line="400" w:lineRule="exact"/>
        <w:rPr>
          <w:rFonts w:hint="eastAsia" w:ascii="仿宋" w:hAnsi="仿宋" w:eastAsia="仿宋" w:cs="仿宋"/>
          <w:color w:val="000000" w:themeColor="text1"/>
          <w:highlight w:val="none"/>
          <w:lang w:val="en-US" w:eastAsia="zh-CN"/>
          <w14:textFill>
            <w14:solidFill>
              <w14:schemeClr w14:val="tx1"/>
            </w14:solidFill>
          </w14:textFill>
        </w:rPr>
      </w:pPr>
    </w:p>
    <w:p>
      <w:pPr>
        <w:pStyle w:val="12"/>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依据《中华人民共和国民法典》</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《中华人民共和国政府采购法》等有关的法律法规，以及</w:t>
      </w:r>
      <w:r>
        <w:rPr>
          <w:rFonts w:hint="eastAsia" w:ascii="仿宋" w:hAnsi="仿宋" w:eastAsia="仿宋" w:cs="仿宋"/>
          <w:i w:val="0"/>
          <w:iCs w:val="0"/>
          <w:color w:val="000000" w:themeColor="text1"/>
          <w:szCs w:val="21"/>
          <w:highlight w:val="none"/>
          <w:u w:val="none"/>
          <w:lang w:eastAsia="zh-CN"/>
          <w14:textFill>
            <w14:solidFill>
              <w14:schemeClr w14:val="tx1"/>
            </w14:solidFill>
          </w14:textFill>
        </w:rPr>
        <w:t>本采购项目</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color w:val="000000" w:themeColor="text1"/>
          <w:szCs w:val="21"/>
          <w:highlight w:val="none"/>
          <w:lang w:eastAsia="zh-CN"/>
          <w14:textFill>
            <w14:solidFill>
              <w14:schemeClr w14:val="tx1"/>
            </w14:solidFill>
          </w14:textFill>
        </w:rPr>
        <w:t>招标文件等</w:t>
      </w:r>
      <w:r>
        <w:rPr>
          <w:rFonts w:hint="eastAsia" w:ascii="仿宋" w:hAnsi="仿宋" w:eastAsia="仿宋" w:cs="仿宋"/>
          <w:color w:val="000000" w:themeColor="text1"/>
          <w:szCs w:val="21"/>
          <w:highlight w:val="none"/>
          <w14:textFill>
            <w14:solidFill>
              <w14:schemeClr w14:val="tx1"/>
            </w14:solidFill>
          </w14:textFill>
        </w:rPr>
        <w:t>采购文件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 xml:space="preserve">乙方的《投标文件》及《中标通知书》，甲乙双方同意签订本合同。具体情况及要求如下：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项目信息</w:t>
      </w:r>
    </w:p>
    <w:p>
      <w:pPr>
        <w:pStyle w:val="12"/>
        <w:numPr>
          <w:ilvl w:val="0"/>
          <w:numId w:val="4"/>
        </w:numPr>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采购项目名称：</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12"/>
        <w:numPr>
          <w:ilvl w:val="-1"/>
          <w:numId w:val="0"/>
        </w:numPr>
        <w:tabs>
          <w:tab w:val="left" w:pos="999"/>
        </w:tabs>
        <w:adjustRightInd w:val="0"/>
        <w:snapToGrid w:val="0"/>
        <w:spacing w:before="0" w:beforeLines="0" w:after="0" w:line="400" w:lineRule="exact"/>
        <w:ind w:left="0" w:leftChars="0" w:firstLine="0" w:firstLineChars="0"/>
        <w:rPr>
          <w:rFonts w:hint="eastAsia" w:ascii="仿宋" w:hAnsi="仿宋" w:eastAsia="仿宋" w:cs="仿宋"/>
          <w:color w:val="000000" w:themeColor="text1"/>
          <w:szCs w:val="21"/>
          <w:highlight w:val="none"/>
          <w:u w:val="none"/>
          <w:lang w:val="en-US"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采购项目编号：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12"/>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（2）采购计划编号：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（3）项目内容：</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采购标的及数量</w:t>
      </w:r>
      <w:r>
        <w:rPr>
          <w:rFonts w:hint="eastAsia" w:ascii="仿宋" w:hAnsi="仿宋" w:eastAsia="仿宋" w:cs="仿宋"/>
          <w:color w:val="000000" w:themeColor="text1"/>
          <w:szCs w:val="21"/>
          <w:highlight w:val="none"/>
          <w:lang w:val="en-US" w:eastAsia="zh-CN"/>
          <w14:textFill>
            <w14:solidFill>
              <w14:schemeClr w14:val="tx1"/>
            </w14:solidFill>
          </w14:textFill>
        </w:rPr>
        <w:t>（台/套</w:t>
      </w:r>
      <w:r>
        <w:rPr>
          <w:rFonts w:hint="eastAsia" w:ascii="仿宋" w:hAnsi="仿宋" w:eastAsia="仿宋" w:cs="仿宋"/>
          <w:color w:val="000000" w:themeColor="text1"/>
          <w:szCs w:val="21"/>
          <w:highlight w:val="none"/>
          <w:lang w:val="en" w:eastAsia="zh-CN"/>
          <w14:textFill>
            <w14:solidFill>
              <w14:schemeClr w14:val="tx1"/>
            </w14:solidFill>
          </w14:textFill>
        </w:rPr>
        <w:t>/个/架/组等</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规格型号：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p>
    <w:p>
      <w:pPr>
        <w:adjustRightInd w:val="0"/>
        <w:snapToGrid w:val="0"/>
        <w:spacing w:before="0" w:beforeLines="0" w:line="400" w:lineRule="exact"/>
        <w:ind w:firstLine="945" w:firstLineChars="45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采购标的的技术要求、商务要求具体见附件。</w:t>
      </w:r>
    </w:p>
    <w:p>
      <w:pPr>
        <w:numPr>
          <w:ilvl w:val="-1"/>
          <w:numId w:val="0"/>
        </w:numPr>
        <w:adjustRightInd w:val="0"/>
        <w:snapToGrid w:val="0"/>
        <w:spacing w:before="0" w:beforeLines="0" w:line="400" w:lineRule="exact"/>
        <w:ind w:firstLine="945" w:firstLineChars="45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①涉及信息类产品，请填写该产品关键部件的品牌、型号：</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标的名称：</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关键部件：</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关键部件</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品牌：</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型号：</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关键部件：</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品牌：</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型号：</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②涉及车辆采购，请填写是否属于新能源汽车：</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14:textFill>
            <w14:solidFill>
              <w14:schemeClr w14:val="tx1"/>
            </w14:solidFill>
          </w14:textFill>
        </w:rPr>
        <w:t>是</w:t>
      </w:r>
      <w:r>
        <w:rPr>
          <w:rFonts w:hint="eastAsia" w:ascii="仿宋" w:hAnsi="仿宋" w:eastAsia="仿宋" w:cs="仿宋"/>
          <w:iCs w:val="0"/>
          <w:color w:val="000000" w:themeColor="text1"/>
          <w:sz w:val="21"/>
          <w:szCs w:val="21"/>
          <w:highlight w:val="none"/>
          <w:lang w:eastAsia="zh-CN"/>
          <w14:textFill>
            <w14:solidFill>
              <w14:schemeClr w14:val="tx1"/>
            </w14:solidFill>
          </w14:textFill>
        </w:rPr>
        <w:t>，《政府采购品目分类目录》底级品目名称</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数量：</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金额：</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sz w:val="21"/>
          <w:szCs w:val="21"/>
          <w:highlight w:val="none"/>
          <w:lang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否</w:t>
      </w:r>
    </w:p>
    <w:p>
      <w:pPr>
        <w:pStyle w:val="37"/>
        <w:numPr>
          <w:ilvl w:val="-1"/>
          <w:numId w:val="0"/>
        </w:numPr>
        <w:adjustRightInd w:val="0"/>
        <w:snapToGrid w:val="0"/>
        <w:spacing w:before="0" w:beforeLines="0" w:line="400" w:lineRule="exact"/>
        <w:ind w:left="0" w:firstLine="0" w:firstLineChars="0"/>
        <w:rPr>
          <w:rFonts w:hint="eastAsia" w:ascii="仿宋" w:hAnsi="仿宋" w:eastAsia="仿宋" w:cs="仿宋"/>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lang w:val="en" w:eastAsia="zh-CN"/>
          <w14:textFill>
            <w14:solidFill>
              <w14:schemeClr w14:val="tx1"/>
            </w14:solidFill>
          </w14:textFill>
        </w:rPr>
        <w:t>4</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）政府采购组织形式：</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政府集中采购</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部门集中采购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分散采购</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lang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w:t>
      </w:r>
      <w:r>
        <w:rPr>
          <w:rFonts w:hint="eastAsia" w:ascii="仿宋" w:hAnsi="仿宋" w:eastAsia="仿宋" w:cs="仿宋"/>
          <w:iCs w:val="0"/>
          <w:color w:val="000000" w:themeColor="text1"/>
          <w:sz w:val="21"/>
          <w:szCs w:val="21"/>
          <w:highlight w:val="none"/>
          <w:lang w:val="en" w:eastAsia="zh-CN"/>
          <w14:textFill>
            <w14:solidFill>
              <w14:schemeClr w14:val="tx1"/>
            </w14:solidFill>
          </w14:textFill>
        </w:rPr>
        <w:t>5</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）政府招标人式：</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公开招标</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邀请招标</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竞争性谈判</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竞争性磋商</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u w:val="single"/>
          <w:lang w:val="en-US"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询价</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单一来源</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框架协议</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其他：</w:t>
      </w:r>
      <w:r>
        <w:rPr>
          <w:rFonts w:hint="eastAsia" w:ascii="仿宋" w:hAnsi="仿宋" w:eastAsia="仿宋" w:cs="仿宋"/>
          <w:iCs w:val="0"/>
          <w:color w:val="000000" w:themeColor="text1"/>
          <w:sz w:val="21"/>
          <w:szCs w:val="21"/>
          <w:highlight w:val="none"/>
          <w:u w:val="singl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sz w:val="21"/>
          <w:szCs w:val="21"/>
          <w:highlight w:val="none"/>
          <w:u w:val="none"/>
          <w:lang w:val="en-US" w:eastAsia="zh-CN"/>
          <w14:textFill>
            <w14:solidFill>
              <w14:schemeClr w14:val="tx1"/>
            </w14:solidFill>
          </w14:textFill>
        </w:rPr>
        <w:t>（注：在框架协议采购的第二阶段，可选择使用该合同文本）</w:t>
      </w:r>
    </w:p>
    <w:p>
      <w:pPr>
        <w:pStyle w:val="37"/>
        <w:numPr>
          <w:ilvl w:val="-1"/>
          <w:numId w:val="0"/>
        </w:numPr>
        <w:adjustRightInd w:val="0"/>
        <w:snapToGrid w:val="0"/>
        <w:spacing w:before="0" w:beforeLines="0" w:line="400" w:lineRule="exact"/>
        <w:ind w:firstLine="220" w:firstLineChars="100"/>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 w:eastAsia="zh-CN"/>
          <w14:textFill>
            <w14:solidFill>
              <w14:schemeClr w14:val="tx1"/>
            </w14:solidFill>
          </w14:textFill>
        </w:rPr>
        <w:t>6</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中标（成交）采购标的制造商是否为中小企业：</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sym w:font="Wingdings" w:char="00A8"/>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 xml:space="preserve">是      </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sym w:font="Wingdings" w:char="00A8"/>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否</w:t>
      </w:r>
    </w:p>
    <w:p>
      <w:pPr>
        <w:numPr>
          <w:ilvl w:val="-1"/>
          <w:numId w:val="0"/>
        </w:numPr>
        <w:adjustRightInd w:val="0"/>
        <w:snapToGrid w:val="0"/>
        <w:spacing w:before="0" w:beforeLines="0" w:line="400" w:lineRule="exact"/>
        <w:ind w:left="0" w:leftChars="0"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w w:val="100"/>
          <w:szCs w:val="21"/>
          <w:highlight w:val="none"/>
          <w:lang w:val="en-US" w:eastAsia="zh-CN"/>
          <w14:textFill>
            <w14:solidFill>
              <w14:schemeClr w14:val="tx1"/>
            </w14:solidFill>
          </w14:textFill>
        </w:rPr>
        <w:t xml:space="preserve">         本合同</w:t>
      </w:r>
      <w:r>
        <w:rPr>
          <w:rFonts w:hint="eastAsia" w:ascii="仿宋" w:hAnsi="仿宋" w:eastAsia="仿宋" w:cs="仿宋"/>
          <w:color w:val="000000" w:themeColor="text1"/>
          <w:w w:val="100"/>
          <w:szCs w:val="21"/>
          <w:highlight w:val="none"/>
          <w14:textFill>
            <w14:solidFill>
              <w14:schemeClr w14:val="tx1"/>
            </w14:solidFill>
          </w14:textFill>
        </w:rPr>
        <w:t>是否</w:t>
      </w:r>
      <w:r>
        <w:rPr>
          <w:rFonts w:hint="eastAsia" w:ascii="仿宋" w:hAnsi="仿宋" w:eastAsia="仿宋" w:cs="仿宋"/>
          <w:color w:val="000000" w:themeColor="text1"/>
          <w:w w:val="100"/>
          <w:szCs w:val="21"/>
          <w:highlight w:val="none"/>
          <w:lang w:eastAsia="zh-CN"/>
          <w14:textFill>
            <w14:solidFill>
              <w14:schemeClr w14:val="tx1"/>
            </w14:solidFill>
          </w14:textFill>
        </w:rPr>
        <w:t>为专门面向</w:t>
      </w:r>
      <w:r>
        <w:rPr>
          <w:rFonts w:hint="eastAsia" w:ascii="仿宋" w:hAnsi="仿宋" w:eastAsia="仿宋" w:cs="仿宋"/>
          <w:color w:val="000000" w:themeColor="text1"/>
          <w:w w:val="100"/>
          <w:szCs w:val="21"/>
          <w:highlight w:val="none"/>
          <w14:textFill>
            <w14:solidFill>
              <w14:schemeClr w14:val="tx1"/>
            </w14:solidFill>
          </w14:textFill>
        </w:rPr>
        <w:t>中小企业</w:t>
      </w:r>
      <w:r>
        <w:rPr>
          <w:rFonts w:hint="eastAsia" w:ascii="仿宋" w:hAnsi="仿宋" w:eastAsia="仿宋" w:cs="仿宋"/>
          <w:color w:val="000000" w:themeColor="text1"/>
          <w:w w:val="100"/>
          <w:szCs w:val="21"/>
          <w:highlight w:val="none"/>
          <w:lang w:eastAsia="zh-CN"/>
          <w14:textFill>
            <w14:solidFill>
              <w14:schemeClr w14:val="tx1"/>
            </w14:solidFill>
          </w14:textFill>
        </w:rPr>
        <w:t>的采</w:t>
      </w:r>
      <w:r>
        <w:rPr>
          <w:rFonts w:hint="eastAsia" w:ascii="仿宋" w:hAnsi="仿宋" w:eastAsia="仿宋" w:cs="仿宋"/>
          <w:color w:val="000000" w:themeColor="text1"/>
          <w:w w:val="100"/>
          <w:szCs w:val="21"/>
          <w:highlight w:val="none"/>
          <w:shd w:val="clear"/>
          <w:lang w:eastAsia="zh-CN"/>
          <w14:textFill>
            <w14:solidFill>
              <w14:schemeClr w14:val="tx1"/>
            </w14:solidFill>
          </w14:textFill>
        </w:rPr>
        <w:t>购</w:t>
      </w:r>
      <w:r>
        <w:rPr>
          <w:rFonts w:hint="eastAsia" w:ascii="仿宋" w:hAnsi="仿宋" w:eastAsia="仿宋" w:cs="仿宋"/>
          <w:color w:val="000000" w:themeColor="text1"/>
          <w:w w:val="100"/>
          <w:szCs w:val="21"/>
          <w:highlight w:val="none"/>
          <w:shd w:val="clear"/>
          <w14:textFill>
            <w14:solidFill>
              <w14:schemeClr w14:val="tx1"/>
            </w14:solidFill>
          </w14:textFill>
        </w:rPr>
        <w:t>合同</w:t>
      </w:r>
      <w:r>
        <w:rPr>
          <w:rFonts w:hint="eastAsia" w:ascii="仿宋" w:hAnsi="仿宋" w:eastAsia="仿宋" w:cs="仿宋"/>
          <w:color w:val="000000" w:themeColor="text1"/>
          <w:w w:val="100"/>
          <w:szCs w:val="21"/>
          <w:highlight w:val="none"/>
          <w:shd w:val="clear"/>
          <w:lang w:eastAsia="zh-CN"/>
          <w14:textFill>
            <w14:solidFill>
              <w14:schemeClr w14:val="tx1"/>
            </w14:solidFill>
          </w14:textFill>
        </w:rPr>
        <w:t>（中小企业预留合同）</w:t>
      </w:r>
      <w:r>
        <w:rPr>
          <w:rFonts w:hint="eastAsia" w:ascii="仿宋" w:hAnsi="仿宋" w:eastAsia="仿宋" w:cs="仿宋"/>
          <w:color w:val="000000" w:themeColor="text1"/>
          <w:szCs w:val="21"/>
          <w:highlight w:val="none"/>
          <w:shd w:val="clear"/>
          <w14:textFill>
            <w14:solidFill>
              <w14:schemeClr w14:val="tx1"/>
            </w14:solidFill>
          </w14:textFill>
        </w:rPr>
        <w:t>：</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若本项目不专门面向中小企业采购，是否给予小微企业评审优惠：</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中标（成交）采购标的制造商是否为残疾人福利性单位：</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0"/>
          <w:numId w:val="0"/>
        </w:numPr>
        <w:snapToGrid w:val="0"/>
        <w:spacing w:beforeLines="0" w:line="400" w:lineRule="exact"/>
        <w:ind w:firstLine="0" w:firstLineChars="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中标（成交）采购标的制造商是否为监狱企业：</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）合同是否分包：</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分包主要内容：</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分包供应商</w:t>
      </w:r>
      <w:r>
        <w:rPr>
          <w:rFonts w:hint="eastAsia" w:ascii="仿宋" w:hAnsi="仿宋" w:eastAsia="仿宋" w:cs="仿宋"/>
          <w:color w:val="000000" w:themeColor="text1"/>
          <w:szCs w:val="21"/>
          <w:highlight w:val="none"/>
          <w:lang w:eastAsia="zh-CN"/>
          <w14:textFill>
            <w14:solidFill>
              <w14:schemeClr w14:val="tx1"/>
            </w14:solidFill>
          </w14:textFill>
        </w:rPr>
        <w:t>/制造商</w:t>
      </w:r>
      <w:r>
        <w:rPr>
          <w:rFonts w:hint="eastAsia" w:ascii="仿宋" w:hAnsi="仿宋" w:eastAsia="仿宋" w:cs="仿宋"/>
          <w:color w:val="000000" w:themeColor="text1"/>
          <w:szCs w:val="21"/>
          <w:highlight w:val="none"/>
          <w14:textFill>
            <w14:solidFill>
              <w14:schemeClr w14:val="tx1"/>
            </w14:solidFill>
          </w14:textFill>
        </w:rPr>
        <w:t>名称</w:t>
      </w:r>
      <w:r>
        <w:rPr>
          <w:rFonts w:hint="eastAsia" w:ascii="仿宋" w:hAnsi="仿宋" w:eastAsia="仿宋" w:cs="仿宋"/>
          <w:color w:val="000000" w:themeColor="text1"/>
          <w:szCs w:val="21"/>
          <w:highlight w:val="none"/>
          <w:lang w:eastAsia="zh-CN"/>
          <w14:textFill>
            <w14:solidFill>
              <w14:schemeClr w14:val="tx1"/>
            </w14:solidFill>
          </w14:textFill>
        </w:rPr>
        <w:t>（如供应商和制造商不同，请分别填写）</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non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分包供应商</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制造商</w:t>
      </w:r>
      <w:r>
        <w:rPr>
          <w:rFonts w:hint="eastAsia" w:ascii="仿宋" w:hAnsi="仿宋" w:eastAsia="仿宋" w:cs="仿宋"/>
          <w:color w:val="000000" w:themeColor="text1"/>
          <w:szCs w:val="21"/>
          <w:highlight w:val="none"/>
          <w14:textFill>
            <w14:solidFill>
              <w14:schemeClr w14:val="tx1"/>
            </w14:solidFill>
          </w14:textFill>
        </w:rPr>
        <w:t>类型</w:t>
      </w:r>
      <w:r>
        <w:rPr>
          <w:rFonts w:hint="eastAsia" w:ascii="仿宋" w:hAnsi="仿宋" w:eastAsia="仿宋" w:cs="仿宋"/>
          <w:color w:val="000000" w:themeColor="text1"/>
          <w:szCs w:val="21"/>
          <w:highlight w:val="none"/>
          <w:lang w:eastAsia="zh-CN"/>
          <w14:textFill>
            <w14:solidFill>
              <w14:schemeClr w14:val="tx1"/>
            </w14:solidFill>
          </w14:textFill>
        </w:rPr>
        <w:t>（如果供应商和制造商不同，只填写制造商类型）</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Lines="0" w:line="400" w:lineRule="exact"/>
        <w:ind w:firstLine="840" w:firstLineChars="40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大型企业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中型企业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小微型企业</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adjustRightInd w:val="0"/>
        <w:snapToGrid w:val="0"/>
        <w:spacing w:beforeLines="0" w:line="400" w:lineRule="exact"/>
        <w:ind w:firstLine="840" w:firstLineChars="400"/>
        <w:rPr>
          <w:rFonts w:hint="eastAsia" w:ascii="仿宋" w:hAnsi="仿宋" w:eastAsia="仿宋" w:cs="仿宋"/>
          <w:color w:val="000000" w:themeColor="text1"/>
          <w:highlight w:val="none"/>
          <w:u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残疾人福利性单位</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监狱</w:t>
      </w:r>
      <w:r>
        <w:rPr>
          <w:rFonts w:hint="eastAsia" w:ascii="仿宋" w:hAnsi="仿宋" w:eastAsia="仿宋" w:cs="仿宋"/>
          <w:iCs/>
          <w:color w:val="000000" w:themeColor="text1"/>
          <w:szCs w:val="21"/>
          <w:highlight w:val="none"/>
          <w14:textFill>
            <w14:solidFill>
              <w14:schemeClr w14:val="tx1"/>
            </w14:solidFill>
          </w14:textFill>
        </w:rPr>
        <w:t>企业</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其他</w:t>
      </w:r>
    </w:p>
    <w:p>
      <w:pPr>
        <w:numPr>
          <w:ilvl w:val="-1"/>
          <w:numId w:val="0"/>
        </w:numPr>
        <w:adjustRightInd w:val="0"/>
        <w:snapToGrid w:val="0"/>
        <w:spacing w:before="0" w:beforeLines="0" w:line="400" w:lineRule="exact"/>
        <w:ind w:left="0" w:leftChars="0"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 w:eastAsia="zh-CN"/>
          <w14:textFill>
            <w14:solidFill>
              <w14:schemeClr w14:val="tx1"/>
            </w14:solidFill>
          </w14:textFill>
        </w:rPr>
        <w:t>8</w:t>
      </w:r>
      <w:r>
        <w:rPr>
          <w:rFonts w:hint="eastAsia" w:ascii="仿宋" w:hAnsi="仿宋" w:eastAsia="仿宋" w:cs="仿宋"/>
          <w:color w:val="000000" w:themeColor="text1"/>
          <w:szCs w:val="21"/>
          <w:highlight w:val="none"/>
          <w:u w:val="none"/>
          <w:lang w:val="en-US" w:eastAsia="zh-CN"/>
          <w14:textFill>
            <w14:solidFill>
              <w14:schemeClr w14:val="tx1"/>
            </w14:solidFill>
          </w14:textFill>
        </w:rPr>
        <w:t>）中标（成交）供应商是否为外商投资企业：</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pStyle w:val="37"/>
        <w:tabs>
          <w:tab w:val="left" w:pos="1340"/>
        </w:tabs>
        <w:spacing w:beforeLines="0"/>
        <w:rPr>
          <w:rFonts w:hint="eastAsia" w:ascii="仿宋" w:hAnsi="仿宋" w:eastAsia="仿宋" w:cs="仿宋"/>
          <w:color w:val="000000" w:themeColor="text1"/>
          <w:sz w:val="21"/>
          <w:szCs w:val="21"/>
          <w:highlight w:val="none"/>
          <w:u w:val="single"/>
          <w14:textFill>
            <w14:solidFill>
              <w14:schemeClr w14:val="tx1"/>
            </w14:solidFill>
          </w14:textFill>
        </w:rPr>
      </w:pP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外商投资企业类型：</w:t>
      </w:r>
      <w:r>
        <w:rPr>
          <w:rFonts w:hint="eastAsia" w:ascii="仿宋" w:hAnsi="仿宋" w:eastAsia="仿宋" w:cs="仿宋"/>
          <w:iCs/>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全部由外国投资者投资  </w:t>
      </w:r>
      <w:r>
        <w:rPr>
          <w:rFonts w:hint="eastAsia" w:ascii="仿宋" w:hAnsi="仿宋" w:eastAsia="仿宋" w:cs="仿宋"/>
          <w:iCs/>
          <w:color w:val="000000" w:themeColor="text1"/>
          <w:sz w:val="21"/>
          <w:szCs w:val="21"/>
          <w:highlight w:val="none"/>
          <w14:textFill>
            <w14:solidFill>
              <w14:schemeClr w14:val="tx1"/>
            </w14:solidFill>
          </w14:textFill>
        </w:rPr>
        <w:sym w:font="Wingdings" w:char="00A8"/>
      </w:r>
      <w:r>
        <w:rPr>
          <w:rFonts w:hint="eastAsia" w:ascii="仿宋" w:hAnsi="仿宋" w:eastAsia="仿宋" w:cs="仿宋"/>
          <w:iCs/>
          <w:color w:val="000000" w:themeColor="text1"/>
          <w:sz w:val="21"/>
          <w:szCs w:val="21"/>
          <w:highlight w:val="none"/>
          <w:lang w:val="en-US" w:eastAsia="zh-CN"/>
          <w14:textFill>
            <w14:solidFill>
              <w14:schemeClr w14:val="tx1"/>
            </w14:solidFill>
          </w14:textFill>
        </w:rPr>
        <w:t>部分由外国投资者投资</w:t>
      </w:r>
    </w:p>
    <w:p>
      <w:pPr>
        <w:numPr>
          <w:ilvl w:val="-1"/>
          <w:numId w:val="0"/>
        </w:numPr>
        <w:adjustRightInd w:val="0"/>
        <w:snapToGrid w:val="0"/>
        <w:spacing w:before="0" w:beforeLines="0" w:line="400" w:lineRule="exact"/>
        <w:ind w:firstLine="420" w:firstLineChars="20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w:t>
      </w:r>
      <w:r>
        <w:rPr>
          <w:rFonts w:hint="eastAsia" w:ascii="仿宋" w:hAnsi="仿宋" w:eastAsia="仿宋" w:cs="仿宋"/>
          <w:b w:val="0"/>
          <w:bCs w:val="0"/>
          <w:color w:val="000000" w:themeColor="text1"/>
          <w:sz w:val="21"/>
          <w:szCs w:val="21"/>
          <w:highlight w:val="none"/>
          <w:u w:val="none"/>
          <w:lang w:val="en" w:eastAsia="zh-CN"/>
          <w14:textFill>
            <w14:solidFill>
              <w14:schemeClr w14:val="tx1"/>
            </w14:solidFill>
          </w14:textFill>
        </w:rPr>
        <w:t>9</w:t>
      </w: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）是否涉及进口产品：</w:t>
      </w:r>
    </w:p>
    <w:p>
      <w:pPr>
        <w:numPr>
          <w:ilvl w:val="-1"/>
          <w:numId w:val="0"/>
        </w:num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lang w:val="en-US" w:eastAsia="zh-CN"/>
          <w14:textFill>
            <w14:solidFill>
              <w14:schemeClr w14:val="tx1"/>
            </w14:solidFill>
          </w14:textFill>
        </w:rPr>
      </w:pP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，《政府采购品目分类目录》底级品目名称</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金额：</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840" w:firstLineChars="400"/>
        <w:rPr>
          <w:rFonts w:hint="eastAsia" w:ascii="仿宋" w:hAnsi="仿宋" w:eastAsia="仿宋" w:cs="仿宋"/>
          <w:iCs w:val="0"/>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国别：</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规格型号：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lang w:eastAsia="zh-CN"/>
          <w14:textFill>
            <w14:solidFill>
              <w14:schemeClr w14:val="tx1"/>
            </w14:solidFill>
          </w14:textFill>
        </w:rPr>
        <w:t>否</w:t>
      </w:r>
    </w:p>
    <w:p>
      <w:pPr>
        <w:numPr>
          <w:ilvl w:val="-1"/>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（1</w:t>
      </w:r>
      <w:r>
        <w:rPr>
          <w:rFonts w:hint="eastAsia" w:ascii="仿宋" w:hAnsi="仿宋" w:eastAsia="仿宋" w:cs="仿宋"/>
          <w:b w:val="0"/>
          <w:bCs w:val="0"/>
          <w:color w:val="000000" w:themeColor="text1"/>
          <w:sz w:val="21"/>
          <w:szCs w:val="21"/>
          <w:highlight w:val="none"/>
          <w:u w:val="none"/>
          <w:lang w:val="en" w:eastAsia="zh-CN"/>
          <w14:textFill>
            <w14:solidFill>
              <w14:schemeClr w14:val="tx1"/>
            </w14:solidFill>
          </w14:textFill>
        </w:rPr>
        <w:t>0</w:t>
      </w: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，《节能产品政府采购品目清单》的底级品目名称：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color w:val="000000" w:themeColor="text1"/>
          <w:szCs w:val="21"/>
          <w:highlight w:val="none"/>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p>
    <w:p>
      <w:pPr>
        <w:numPr>
          <w:ilvl w:val="-1"/>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是否涉及环境标志产品：</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color w:val="000000" w:themeColor="text1"/>
          <w:szCs w:val="21"/>
          <w:highlight w:val="none"/>
          <w:lang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，《环境标志产品政府采购品目清单》的底级品目名称：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kern w:val="2"/>
          <w:sz w:val="21"/>
          <w:szCs w:val="21"/>
          <w:highlight w:val="none"/>
          <w:u w:val="none"/>
          <w:lang w:val="en-US" w:eastAsia="zh-CN"/>
          <w14:textFill>
            <w14:solidFill>
              <w14:schemeClr w14:val="tx1"/>
            </w14:solidFill>
          </w14:textFill>
        </w:rPr>
        <w:t>是否涉及绿色产品：</w:t>
      </w: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p>
    <w:p>
      <w:pPr>
        <w:pStyle w:val="37"/>
        <w:spacing w:beforeLines="0"/>
        <w:ind w:firstLine="420" w:firstLineChars="0"/>
        <w:rPr>
          <w:rFonts w:hint="eastAsia" w:ascii="仿宋" w:hAnsi="仿宋" w:eastAsia="仿宋" w:cs="仿宋"/>
          <w:color w:val="000000" w:themeColor="text1"/>
          <w:szCs w:val="21"/>
          <w:highlight w:val="none"/>
          <w:u w:val="single"/>
          <w:lang w:val="en-US" w:eastAsia="zh-CN"/>
          <w14:textFill>
            <w14:solidFill>
              <w14:schemeClr w14:val="tx1"/>
            </w14:solidFill>
          </w14:textFill>
        </w:rPr>
      </w:pP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kern w:val="2"/>
          <w:sz w:val="21"/>
          <w:szCs w:val="21"/>
          <w:highlight w:val="none"/>
          <w:u w:val="none"/>
          <w14:textFill>
            <w14:solidFill>
              <w14:schemeClr w14:val="tx1"/>
            </w14:solidFill>
          </w14:textFill>
        </w:rPr>
        <w:sym w:font="Wingdings" w:char="00A8"/>
      </w:r>
      <w:r>
        <w:rPr>
          <w:rFonts w:hint="eastAsia" w:ascii="仿宋" w:hAnsi="仿宋" w:eastAsia="仿宋" w:cs="仿宋"/>
          <w:iCs w:val="0"/>
          <w:color w:val="000000" w:themeColor="text1"/>
          <w:kern w:val="2"/>
          <w:sz w:val="21"/>
          <w:szCs w:val="21"/>
          <w:highlight w:val="none"/>
          <w:u w:val="none"/>
          <w14:textFill>
            <w14:solidFill>
              <w14:schemeClr w14:val="tx1"/>
            </w14:solidFill>
          </w14:textFill>
        </w:rPr>
        <w:t>是</w:t>
      </w:r>
      <w:r>
        <w:rPr>
          <w:rFonts w:hint="eastAsia" w:ascii="仿宋" w:hAnsi="仿宋" w:eastAsia="仿宋" w:cs="仿宋"/>
          <w:iCs w:val="0"/>
          <w:color w:val="000000" w:themeColor="text1"/>
          <w:kern w:val="2"/>
          <w:sz w:val="21"/>
          <w:szCs w:val="21"/>
          <w:highlight w:val="none"/>
          <w:u w:val="none"/>
          <w:lang w:eastAsia="zh-CN"/>
          <w14:textFill>
            <w14:solidFill>
              <w14:schemeClr w14:val="tx1"/>
            </w14:solidFill>
          </w14:textFill>
        </w:rPr>
        <w:t>，绿色产品政府采购相关政策确定的底级品目名称：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pStyle w:val="37"/>
        <w:spacing w:beforeLines="0"/>
        <w:ind w:firstLine="42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kern w:val="2"/>
          <w:sz w:val="21"/>
          <w:szCs w:val="21"/>
          <w:highlight w:val="none"/>
          <w:u w:val="none"/>
          <w14:textFill>
            <w14:solidFill>
              <w14:schemeClr w14:val="tx1"/>
            </w14:solidFill>
          </w14:textFill>
        </w:rPr>
        <w:sym w:font="Wingdings" w:char="00A8"/>
      </w:r>
      <w:r>
        <w:rPr>
          <w:rFonts w:hint="eastAsia" w:ascii="仿宋" w:hAnsi="仿宋" w:eastAsia="仿宋" w:cs="仿宋"/>
          <w:iCs w:val="0"/>
          <w:color w:val="000000" w:themeColor="text1"/>
          <w:kern w:val="2"/>
          <w:sz w:val="21"/>
          <w:szCs w:val="21"/>
          <w:highlight w:val="none"/>
          <w:u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（1</w:t>
      </w:r>
      <w:r>
        <w:rPr>
          <w:rFonts w:hint="eastAsia" w:ascii="仿宋" w:hAnsi="仿宋" w:eastAsia="仿宋" w:cs="仿宋"/>
          <w:color w:val="000000" w:themeColor="text1"/>
          <w:szCs w:val="21"/>
          <w:highlight w:val="none"/>
          <w:lang w:val="en"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）涉及商品包装和快递包装的，是否参考</w:t>
      </w:r>
      <w:r>
        <w:rPr>
          <w:rFonts w:hint="eastAsia" w:ascii="仿宋" w:hAnsi="仿宋" w:eastAsia="仿宋" w:cs="仿宋"/>
          <w:color w:val="000000" w:themeColor="text1"/>
          <w:szCs w:val="21"/>
          <w:highlight w:val="none"/>
          <w14:textFill>
            <w14:solidFill>
              <w14:schemeClr w14:val="tx1"/>
            </w14:solidFill>
          </w14:textFill>
        </w:rPr>
        <w:t>《商品包装政府采购需求标准（试行）》、《快递包装政府采购需求标准（试行）》</w:t>
      </w:r>
      <w:r>
        <w:rPr>
          <w:rFonts w:hint="eastAsia" w:ascii="仿宋" w:hAnsi="仿宋" w:eastAsia="仿宋" w:cs="仿宋"/>
          <w:color w:val="000000" w:themeColor="text1"/>
          <w:szCs w:val="21"/>
          <w:highlight w:val="none"/>
          <w:lang w:eastAsia="zh-CN"/>
          <w14:textFill>
            <w14:solidFill>
              <w14:schemeClr w14:val="tx1"/>
            </w14:solidFill>
          </w14:textFill>
        </w:rPr>
        <w:t>明确产品及相关快递服务的具体包装要求：</w:t>
      </w:r>
    </w:p>
    <w:p>
      <w:pPr>
        <w:numPr>
          <w:ilvl w:val="-1"/>
          <w:numId w:val="0"/>
        </w:numPr>
        <w:adjustRightInd w:val="0"/>
        <w:snapToGrid w:val="0"/>
        <w:spacing w:before="0" w:beforeLines="0" w:line="400" w:lineRule="exact"/>
        <w:ind w:firstLine="840" w:firstLineChars="400"/>
        <w:rPr>
          <w:rFonts w:hint="eastAsia" w:ascii="仿宋" w:hAnsi="仿宋" w:eastAsia="仿宋" w:cs="仿宋"/>
          <w:iCs w:val="0"/>
          <w:color w:val="000000" w:themeColor="text1"/>
          <w:szCs w:val="21"/>
          <w:highlight w:val="none"/>
          <w:lang w:val="en-US" w:eastAsia="zh-CN"/>
          <w14:textFill>
            <w14:solidFill>
              <w14:schemeClr w14:val="tx1"/>
            </w14:solidFill>
          </w14:textFill>
        </w:rPr>
      </w:pP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 xml:space="preserve">是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lang w:eastAsia="zh-CN"/>
          <w14:textFill>
            <w14:solidFill>
              <w14:schemeClr w14:val="tx1"/>
            </w14:solidFill>
          </w14:textFill>
        </w:rPr>
        <w:t>不涉及</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合同金额</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（1）合同金额小写：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left="0" w:firstLine="0" w:firstLineChars="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分包金额</w:t>
      </w:r>
      <w:r>
        <w:rPr>
          <w:rFonts w:hint="eastAsia" w:ascii="仿宋" w:hAnsi="仿宋" w:eastAsia="仿宋" w:cs="仿宋"/>
          <w:color w:val="000000" w:themeColor="text1"/>
          <w:szCs w:val="21"/>
          <w:highlight w:val="none"/>
          <w:lang w:eastAsia="zh-CN"/>
          <w14:textFill>
            <w14:solidFill>
              <w14:schemeClr w14:val="tx1"/>
            </w14:solidFill>
          </w14:textFill>
        </w:rPr>
        <w:t>（如有）</w:t>
      </w:r>
      <w:r>
        <w:rPr>
          <w:rFonts w:hint="eastAsia" w:ascii="仿宋" w:hAnsi="仿宋" w:eastAsia="仿宋" w:cs="仿宋"/>
          <w:color w:val="000000" w:themeColor="text1"/>
          <w:szCs w:val="21"/>
          <w:highlight w:val="none"/>
          <w14:textFill>
            <w14:solidFill>
              <w14:schemeClr w14:val="tx1"/>
            </w14:solidFill>
          </w14:textFill>
        </w:rPr>
        <w:t>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合同定价方式</w:t>
      </w:r>
      <w:r>
        <w:rPr>
          <w:rFonts w:hint="eastAsia" w:ascii="仿宋" w:hAnsi="仿宋" w:eastAsia="仿宋" w:cs="仿宋"/>
          <w:color w:val="000000" w:themeColor="text1"/>
          <w:szCs w:val="21"/>
          <w:highlight w:val="none"/>
          <w:lang w:eastAsia="zh-CN"/>
          <w14:textFill>
            <w14:solidFill>
              <w14:schemeClr w14:val="tx1"/>
            </w14:solidFill>
          </w14:textFill>
        </w:rPr>
        <w:t>（采用组合定价方式的，可以勾选多项）</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固定总价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固定单价</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固定费率</w:t>
      </w:r>
      <w:r>
        <w:rPr>
          <w:rFonts w:hint="eastAsia" w:ascii="仿宋" w:hAnsi="仿宋" w:eastAsia="仿宋" w:cs="仿宋"/>
          <w:iCs/>
          <w:color w:val="000000" w:themeColor="text1"/>
          <w:szCs w:val="21"/>
          <w:highlight w:val="none"/>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成本补偿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绩效激励</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其他</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38"/>
        <w:spacing w:beforeLines="0" w:line="40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）付款方式（按项目实际勾选填写）：</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全额付款：</w:t>
      </w:r>
      <w:r>
        <w:rPr>
          <w:rFonts w:hint="eastAsia" w:ascii="仿宋" w:hAnsi="仿宋" w:eastAsia="仿宋" w:cs="仿宋"/>
          <w:color w:val="000000" w:themeColor="text1"/>
          <w:szCs w:val="21"/>
          <w:highlight w:val="none"/>
          <w:u w:val="single"/>
          <w14:textFill>
            <w14:solidFill>
              <w14:schemeClr w14:val="tx1"/>
            </w14:solidFill>
          </w14:textFill>
        </w:rPr>
        <w:t xml:space="preserve">     （应</w:t>
      </w:r>
      <w:r>
        <w:rPr>
          <w:rFonts w:hint="eastAsia" w:ascii="仿宋" w:hAnsi="仿宋" w:eastAsia="仿宋" w:cs="仿宋"/>
          <w:color w:val="000000" w:themeColor="text1"/>
          <w:szCs w:val="21"/>
          <w:highlight w:val="none"/>
          <w:u w:val="single"/>
          <w:lang w:eastAsia="zh-CN"/>
          <w14:textFill>
            <w14:solidFill>
              <w14:schemeClr w14:val="tx1"/>
            </w14:solidFill>
          </w14:textFill>
        </w:rPr>
        <w:t>明确</w:t>
      </w:r>
      <w:r>
        <w:rPr>
          <w:rFonts w:hint="eastAsia" w:ascii="仿宋" w:hAnsi="仿宋" w:eastAsia="仿宋" w:cs="仿宋"/>
          <w:color w:val="000000" w:themeColor="text1"/>
          <w:szCs w:val="21"/>
          <w:highlight w:val="none"/>
          <w:u w:val="single"/>
          <w14:textFill>
            <w14:solidFill>
              <w14:schemeClr w14:val="tx1"/>
            </w14:solidFill>
          </w14:textFill>
        </w:rPr>
        <w:t>一次性支付合同款项</w:t>
      </w:r>
      <w:r>
        <w:rPr>
          <w:rFonts w:hint="eastAsia" w:ascii="仿宋" w:hAnsi="仿宋" w:eastAsia="仿宋" w:cs="仿宋"/>
          <w:color w:val="000000" w:themeColor="text1"/>
          <w:szCs w:val="21"/>
          <w:highlight w:val="none"/>
          <w:u w:val="single"/>
          <w:lang w:eastAsia="zh-CN"/>
          <w14:textFill>
            <w14:solidFill>
              <w14:schemeClr w14:val="tx1"/>
            </w14:solidFill>
          </w14:textFill>
        </w:rPr>
        <w:t>的条件</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snapToGrid w:val="0"/>
        <w:spacing w:beforeLines="0" w:line="400" w:lineRule="exact"/>
        <w:ind w:firstLine="630" w:firstLineChars="3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分期付款：</w:t>
      </w:r>
      <w:r>
        <w:rPr>
          <w:rFonts w:hint="eastAsia" w:ascii="仿宋" w:hAnsi="仿宋" w:eastAsia="仿宋" w:cs="仿宋"/>
          <w:color w:val="000000" w:themeColor="text1"/>
          <w:szCs w:val="21"/>
          <w:highlight w:val="none"/>
          <w:u w:val="single"/>
          <w14:textFill>
            <w14:solidFill>
              <w14:schemeClr w14:val="tx1"/>
            </w14:solidFill>
          </w14:textFill>
        </w:rPr>
        <w:t xml:space="preserve">  （应明确分期支付合同款项的各期比例和支付条件</w:t>
      </w:r>
      <w:r>
        <w:rPr>
          <w:rFonts w:hint="eastAsia" w:ascii="仿宋" w:hAnsi="仿宋" w:eastAsia="仿宋" w:cs="仿宋"/>
          <w:color w:val="000000" w:themeColor="text1"/>
          <w:szCs w:val="21"/>
          <w:highlight w:val="none"/>
          <w:u w:val="single"/>
          <w:lang w:eastAsia="zh-CN"/>
          <w14:textFill>
            <w14:solidFill>
              <w14:schemeClr w14:val="tx1"/>
            </w14:solidFill>
          </w14:textFill>
        </w:rPr>
        <w:t>，各期支付条件应与分期履约验收情况挂钩</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none"/>
          <w:lang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其中涉及预付款的</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（应明确预付款的支付比例和支付条件） </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成本补偿：</w:t>
      </w:r>
      <w:r>
        <w:rPr>
          <w:rFonts w:hint="eastAsia" w:ascii="仿宋" w:hAnsi="仿宋" w:eastAsia="仿宋" w:cs="仿宋"/>
          <w:color w:val="000000" w:themeColor="text1"/>
          <w:szCs w:val="21"/>
          <w:highlight w:val="none"/>
          <w:u w:val="single"/>
          <w14:textFill>
            <w14:solidFill>
              <w14:schemeClr w14:val="tx1"/>
            </w14:solidFill>
          </w14:textFill>
        </w:rPr>
        <w:t xml:space="preserve">      （应明确按照成本补偿方式的支付方式和支付条件）   </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绩效激励：</w:t>
      </w:r>
      <w:r>
        <w:rPr>
          <w:rFonts w:hint="eastAsia" w:ascii="仿宋" w:hAnsi="仿宋" w:eastAsia="仿宋" w:cs="仿宋"/>
          <w:color w:val="000000" w:themeColor="text1"/>
          <w:szCs w:val="21"/>
          <w:highlight w:val="none"/>
          <w:u w:val="single"/>
          <w14:textFill>
            <w14:solidFill>
              <w14:schemeClr w14:val="tx1"/>
            </w14:solidFill>
          </w14:textFill>
        </w:rPr>
        <w:t xml:space="preserve">      （应明确按照绩效激励方式的支付方式和支付条件）   </w:t>
      </w:r>
    </w:p>
    <w:p>
      <w:pPr>
        <w:numPr>
          <w:ilvl w:val="0"/>
          <w:numId w:val="3"/>
        </w:numPr>
        <w:adjustRightInd w:val="0"/>
        <w:snapToGrid w:val="0"/>
        <w:spacing w:before="0" w:beforeLines="0" w:line="400" w:lineRule="exact"/>
        <w:ind w:firstLine="422" w:firstLineChars="200"/>
        <w:rPr>
          <w:rFonts w:hint="eastAsia" w:ascii="仿宋" w:hAnsi="仿宋" w:eastAsia="仿宋" w:cs="仿宋"/>
          <w:b/>
          <w:bCs w:val="0"/>
          <w:color w:val="000000" w:themeColor="text1"/>
          <w:szCs w:val="21"/>
          <w:highlight w:val="none"/>
          <w:u w:val="single"/>
          <w14:textFill>
            <w14:solidFill>
              <w14:schemeClr w14:val="tx1"/>
            </w14:solidFill>
          </w14:textFill>
        </w:rPr>
      </w:pPr>
      <w:r>
        <w:rPr>
          <w:rFonts w:hint="eastAsia" w:ascii="仿宋" w:hAnsi="仿宋" w:eastAsia="仿宋" w:cs="仿宋"/>
          <w:b/>
          <w:bCs w:val="0"/>
          <w:color w:val="000000" w:themeColor="text1"/>
          <w:szCs w:val="21"/>
          <w:highlight w:val="none"/>
          <w14:textFill>
            <w14:solidFill>
              <w14:schemeClr w14:val="tx1"/>
            </w14:solidFill>
          </w14:textFill>
        </w:rPr>
        <w:t>合同履行</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（1）起始日期：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日，完成日期：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eastAsia="zh-CN"/>
          <w14:textFill>
            <w14:solidFill>
              <w14:schemeClr w14:val="tx1"/>
            </w14:solidFill>
          </w14:textFill>
        </w:rPr>
        <w:t>履约</w:t>
      </w:r>
      <w:r>
        <w:rPr>
          <w:rFonts w:hint="eastAsia" w:ascii="仿宋" w:hAnsi="仿宋" w:eastAsia="仿宋" w:cs="仿宋"/>
          <w:color w:val="000000" w:themeColor="text1"/>
          <w:szCs w:val="21"/>
          <w:highlight w:val="none"/>
          <w14:textFill>
            <w14:solidFill>
              <w14:schemeClr w14:val="tx1"/>
            </w14:solidFill>
          </w14:textFill>
        </w:rPr>
        <w:t>地点</w:t>
      </w:r>
      <w:r>
        <w:rPr>
          <w:rFonts w:hint="eastAsia" w:ascii="仿宋" w:hAnsi="仿宋" w:eastAsia="仿宋" w:cs="仿宋"/>
          <w:b w:val="0"/>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（3）履约担保：</w:t>
      </w:r>
      <w:r>
        <w:rPr>
          <w:rFonts w:hint="eastAsia" w:ascii="仿宋" w:hAnsi="仿宋" w:eastAsia="仿宋" w:cs="仿宋"/>
          <w:color w:val="000000" w:themeColor="text1"/>
          <w:sz w:val="21"/>
          <w:highlight w:val="none"/>
          <w:lang w:val="en-US" w:eastAsia="zh-CN"/>
          <w14:textFill>
            <w14:solidFill>
              <w14:schemeClr w14:val="tx1"/>
            </w14:solidFill>
          </w14:textFill>
        </w:rPr>
        <w:t>是否收取履约保证金：</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lang w:eastAsia="zh-CN"/>
          <w14:textFill>
            <w14:solidFill>
              <w14:schemeClr w14:val="tx1"/>
            </w14:solidFill>
          </w14:textFill>
        </w:rPr>
        <w:t>是</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lang w:eastAsia="zh-CN"/>
          <w14:textFill>
            <w14:solidFill>
              <w14:schemeClr w14:val="tx1"/>
            </w14:solidFill>
          </w14:textFill>
        </w:rPr>
        <w:t>否</w:t>
      </w:r>
    </w:p>
    <w:p>
      <w:pPr>
        <w:pStyle w:val="37"/>
        <w:spacing w:beforeLines="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收取履约保证金形式：</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    收取履约保证金金额：</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snapToGrid w:val="0"/>
        <w:spacing w:beforeLines="0" w:line="400" w:lineRule="exact"/>
        <w:ind w:firstLine="420" w:firstLineChars="20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u w:val="none"/>
          <w:lang w:val="en-US" w:eastAsia="zh-CN"/>
          <w14:textFill>
            <w14:solidFill>
              <w14:schemeClr w14:val="tx1"/>
            </w14:solidFill>
          </w14:textFill>
        </w:rPr>
        <w:t xml:space="preserve">    履约担保期限</w:t>
      </w:r>
      <w:r>
        <w:rPr>
          <w:rFonts w:hint="eastAsia" w:ascii="仿宋" w:hAnsi="仿宋" w:eastAsia="仿宋" w:cs="仿宋"/>
          <w:bCs/>
          <w:color w:val="000000" w:themeColor="text1"/>
          <w:szCs w:val="21"/>
          <w:highlight w:val="none"/>
          <w:u w:val="none"/>
          <w:lang w:eastAsia="zh-CN"/>
          <w14:textFill>
            <w14:solidFill>
              <w14:schemeClr w14:val="tx1"/>
            </w14:solidFill>
          </w14:textFill>
        </w:rPr>
        <w:t>：</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bCs/>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（4）分期履行要求：</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（5）</w:t>
      </w:r>
      <w:r>
        <w:rPr>
          <w:rFonts w:hint="eastAsia" w:ascii="仿宋" w:hAnsi="仿宋" w:eastAsia="仿宋" w:cs="仿宋"/>
          <w:bCs/>
          <w:color w:val="000000" w:themeColor="text1"/>
          <w:szCs w:val="21"/>
          <w:highlight w:val="none"/>
          <w:lang w:eastAsia="zh-CN"/>
          <w14:textFill>
            <w14:solidFill>
              <w14:schemeClr w14:val="tx1"/>
            </w14:solidFill>
          </w14:textFill>
        </w:rPr>
        <w:t>风险处置措施和替代方案</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合同验收</w:t>
      </w:r>
    </w:p>
    <w:p>
      <w:pPr>
        <w:numPr>
          <w:ilvl w:val="0"/>
          <w:numId w:val="5"/>
        </w:num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验收组织方式：</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自行组织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委托第三方组织</w:t>
      </w:r>
    </w:p>
    <w:p>
      <w:pPr>
        <w:numPr>
          <w:ilvl w:val="0"/>
          <w:numId w:val="0"/>
        </w:numPr>
        <w:adjustRightInd w:val="0"/>
        <w:snapToGrid w:val="0"/>
        <w:spacing w:before="0" w:beforeLines="0" w:line="400" w:lineRule="exac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验收主体：</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是否邀请本项目的其他供应商</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是否邀请专家</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是否邀请服务对象</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是否邀请第三方检测机构</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eastAsia="zh-CN"/>
          <w14:textFill>
            <w14:solidFill>
              <w14:schemeClr w14:val="tx1"/>
            </w14:solidFill>
          </w14:textFill>
        </w:rPr>
        <w:t>是否进行抽查检测：</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是</w:t>
      </w:r>
      <w:r>
        <w:rPr>
          <w:rFonts w:hint="eastAsia" w:ascii="仿宋" w:hAnsi="仿宋" w:eastAsia="仿宋" w:cs="仿宋"/>
          <w:bCs/>
          <w:color w:val="000000" w:themeColor="text1"/>
          <w:szCs w:val="21"/>
          <w:highlight w:val="none"/>
          <w:lang w:eastAsia="zh-CN"/>
          <w14:textFill>
            <w14:solidFill>
              <w14:schemeClr w14:val="tx1"/>
            </w14:solidFill>
          </w14:textFill>
        </w:rPr>
        <w:t>，抽查比例：</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u w:val="single"/>
          <w:lang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是否存在破坏性检测：</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是</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u w:val="single"/>
          <w:lang w:eastAsia="zh-CN"/>
          <w14:textFill>
            <w14:solidFill>
              <w14:schemeClr w14:val="tx1"/>
            </w14:solidFill>
          </w14:textFill>
        </w:rPr>
        <w:t>（应明确对被破坏的检测产品的处理方式）</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lang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验收组织的其他事项：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（2）履约验收时间：</w:t>
      </w:r>
      <w:r>
        <w:rPr>
          <w:rFonts w:hint="eastAsia" w:ascii="仿宋" w:hAnsi="仿宋" w:eastAsia="仿宋" w:cs="仿宋"/>
          <w:bCs/>
          <w:color w:val="000000" w:themeColor="text1"/>
          <w:szCs w:val="21"/>
          <w:highlight w:val="none"/>
          <w:u w:val="single"/>
          <w14:textFill>
            <w14:solidFill>
              <w14:schemeClr w14:val="tx1"/>
            </w14:solidFill>
          </w14:textFill>
        </w:rPr>
        <w:t>（计划于何时验收/供应商提出验收申请之日起   日内组织验收）</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（3）履约验收方式：</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一次性验收         </w:t>
      </w:r>
    </w:p>
    <w:p>
      <w:pPr>
        <w:adjustRightInd w:val="0"/>
        <w:snapToGrid w:val="0"/>
        <w:spacing w:before="0" w:beforeLines="0" w:line="400" w:lineRule="exact"/>
        <w:ind w:firstLine="0" w:firstLineChars="0"/>
        <w:rPr>
          <w:rFonts w:hint="eastAsia" w:ascii="仿宋" w:hAnsi="仿宋" w:eastAsia="仿宋" w:cs="仿宋"/>
          <w:bCs/>
          <w:color w:val="000000" w:themeColor="text1"/>
          <w:szCs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分期/分项验收</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eastAsia="zh-CN"/>
          <w14:textFill>
            <w14:solidFill>
              <w14:schemeClr w14:val="tx1"/>
            </w14:solidFill>
          </w14:textFill>
        </w:rPr>
        <w:t>（应明确分期</w:t>
      </w:r>
      <w:r>
        <w:rPr>
          <w:rFonts w:hint="eastAsia" w:ascii="仿宋" w:hAnsi="仿宋" w:eastAsia="仿宋" w:cs="仿宋"/>
          <w:bCs/>
          <w:color w:val="000000" w:themeColor="text1"/>
          <w:szCs w:val="21"/>
          <w:highlight w:val="none"/>
          <w:u w:val="single"/>
          <w:lang w:val="en" w:eastAsia="zh-CN"/>
          <w14:textFill>
            <w14:solidFill>
              <w14:schemeClr w14:val="tx1"/>
            </w14:solidFill>
          </w14:textFill>
        </w:rPr>
        <w:t>/分项验收的工作安排</w:t>
      </w:r>
      <w:r>
        <w:rPr>
          <w:rFonts w:hint="eastAsia" w:ascii="仿宋" w:hAnsi="仿宋" w:eastAsia="仿宋" w:cs="仿宋"/>
          <w:bCs/>
          <w:color w:val="000000" w:themeColor="text1"/>
          <w:szCs w:val="21"/>
          <w:highlight w:val="none"/>
          <w:u w:val="single"/>
          <w:lang w:eastAsia="zh-CN"/>
          <w14:textFill>
            <w14:solidFill>
              <w14:schemeClr w14:val="tx1"/>
            </w14:solidFill>
          </w14:textFill>
        </w:rPr>
        <w:t>）</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（4）履约验收程序：</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（5）履约验收的内容：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（6）履约验收标准：</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bCs/>
          <w:color w:val="000000" w:themeColor="text1"/>
          <w:sz w:val="21"/>
          <w:szCs w:val="21"/>
          <w:highlight w:val="none"/>
          <w:u w:val="none"/>
          <w:lang w:eastAsia="zh-CN"/>
          <w14:textFill>
            <w14:solidFill>
              <w14:schemeClr w14:val="tx1"/>
            </w14:solidFill>
          </w14:textFill>
        </w:rPr>
        <w:t>（</w:t>
      </w:r>
      <w:r>
        <w:rPr>
          <w:rFonts w:hint="eastAsia" w:ascii="仿宋" w:hAnsi="仿宋" w:eastAsia="仿宋" w:cs="仿宋"/>
          <w:bCs/>
          <w:color w:val="000000" w:themeColor="text1"/>
          <w:sz w:val="21"/>
          <w:szCs w:val="21"/>
          <w:highlight w:val="none"/>
          <w:u w:val="none"/>
          <w:lang w:val="en-US" w:eastAsia="zh-CN"/>
          <w14:textFill>
            <w14:solidFill>
              <w14:schemeClr w14:val="tx1"/>
            </w14:solidFill>
          </w14:textFill>
        </w:rPr>
        <w:t>7</w:t>
      </w:r>
      <w:r>
        <w:rPr>
          <w:rFonts w:hint="eastAsia" w:ascii="仿宋" w:hAnsi="仿宋" w:eastAsia="仿宋" w:cs="仿宋"/>
          <w:bCs/>
          <w:color w:val="000000" w:themeColor="text1"/>
          <w:sz w:val="21"/>
          <w:szCs w:val="21"/>
          <w:highlight w:val="none"/>
          <w:u w:val="none"/>
          <w:lang w:eastAsia="zh-CN"/>
          <w14:textFill>
            <w14:solidFill>
              <w14:schemeClr w14:val="tx1"/>
            </w14:solidFill>
          </w14:textFill>
        </w:rPr>
        <w:t>）是否以采购活动中供应商提供的样品作为参考：</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 w:val="2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 w:val="21"/>
          <w:szCs w:val="21"/>
          <w:highlight w:val="none"/>
          <w14:textFill>
            <w14:solidFill>
              <w14:schemeClr w14:val="tx1"/>
            </w14:solidFill>
          </w14:textFill>
        </w:rPr>
        <w:t>否</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（8）履约验收其他事项：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i w:val="0"/>
          <w:iCs w:val="0"/>
          <w:color w:val="000000" w:themeColor="text1"/>
          <w:szCs w:val="21"/>
          <w:highlight w:val="none"/>
          <w:u w:val="single"/>
          <w14:textFill>
            <w14:solidFill>
              <w14:schemeClr w14:val="tx1"/>
            </w14:solidFill>
          </w14:textFill>
        </w:rPr>
        <w:t>（产权过户登记等）</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组成合同的文件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本协议书与下列文件一起构成合同文件，如下述文件之间有任何抵触、矛盾或歧义，应按以下顺序解释：</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政府采购</w:t>
      </w:r>
      <w:r>
        <w:rPr>
          <w:rFonts w:hint="eastAsia" w:ascii="仿宋" w:hAnsi="仿宋" w:eastAsia="仿宋" w:cs="仿宋"/>
          <w:color w:val="000000" w:themeColor="text1"/>
          <w:szCs w:val="21"/>
          <w:highlight w:val="none"/>
          <w14:textFill>
            <w14:solidFill>
              <w14:schemeClr w14:val="tx1"/>
            </w14:solidFill>
          </w14:textFill>
        </w:rPr>
        <w:t>合同协议书及其变更、补充</w:t>
      </w:r>
      <w:r>
        <w:rPr>
          <w:rFonts w:hint="eastAsia" w:ascii="仿宋" w:hAnsi="仿宋" w:eastAsia="仿宋" w:cs="仿宋"/>
          <w:color w:val="000000" w:themeColor="text1"/>
          <w:szCs w:val="21"/>
          <w:highlight w:val="none"/>
          <w:lang w:eastAsia="zh-CN"/>
          <w14:textFill>
            <w14:solidFill>
              <w14:schemeClr w14:val="tx1"/>
            </w14:solidFill>
          </w14:textFill>
        </w:rPr>
        <w:t>协议</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）政府采购合同专用条款</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）政府采购合同通用条款</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）中标</w:t>
      </w:r>
      <w:r>
        <w:rPr>
          <w:rFonts w:hint="eastAsia" w:ascii="仿宋" w:hAnsi="仿宋" w:eastAsia="仿宋" w:cs="仿宋"/>
          <w:color w:val="000000" w:themeColor="text1"/>
          <w:szCs w:val="21"/>
          <w:highlight w:val="none"/>
          <w:lang w:eastAsia="zh-CN"/>
          <w14:textFill>
            <w14:solidFill>
              <w14:schemeClr w14:val="tx1"/>
            </w14:solidFill>
          </w14:textFill>
        </w:rPr>
        <w:t>（成交）</w:t>
      </w:r>
      <w:r>
        <w:rPr>
          <w:rFonts w:hint="eastAsia" w:ascii="仿宋" w:hAnsi="仿宋" w:eastAsia="仿宋" w:cs="仿宋"/>
          <w:color w:val="000000" w:themeColor="text1"/>
          <w:szCs w:val="21"/>
          <w:highlight w:val="none"/>
          <w14:textFill>
            <w14:solidFill>
              <w14:schemeClr w14:val="tx1"/>
            </w14:solidFill>
          </w14:textFill>
        </w:rPr>
        <w:t>通知书</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）投标（响应）文件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（6）采购文件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（7）有关技术文件，图纸</w:t>
      </w:r>
    </w:p>
    <w:p>
      <w:pPr>
        <w:pStyle w:val="37"/>
        <w:spacing w:beforeLines="0"/>
        <w:rPr>
          <w:rFonts w:hint="eastAsia" w:ascii="仿宋" w:hAnsi="仿宋" w:eastAsia="仿宋" w:cs="仿宋"/>
          <w:color w:val="000000" w:themeColor="text1"/>
          <w:kern w:val="2"/>
          <w:sz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8</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合同生效</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本合同自</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生效。</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合同份数</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本合同一式</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执</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w:t>
      </w:r>
      <w:r>
        <w:rPr>
          <w:rFonts w:hint="eastAsia" w:ascii="仿宋" w:hAnsi="仿宋" w:eastAsia="仿宋" w:cs="仿宋"/>
          <w:color w:val="000000" w:themeColor="text1"/>
          <w:szCs w:val="2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14:textFill>
            <w14:solidFill>
              <w14:schemeClr w14:val="tx1"/>
            </w14:solidFill>
          </w14:textFill>
        </w:rPr>
        <w:t>执</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份，均具有同等法律效力。</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合同订立时间：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合同订立地点：</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附件：具体标</w:t>
      </w:r>
      <w:r>
        <w:rPr>
          <w:rFonts w:hint="eastAsia" w:ascii="仿宋" w:hAnsi="仿宋" w:eastAsia="仿宋" w:cs="仿宋"/>
          <w:color w:val="000000" w:themeColor="text1"/>
          <w:szCs w:val="21"/>
          <w:highlight w:val="none"/>
          <w:lang w:eastAsia="zh-CN"/>
          <w14:textFill>
            <w14:solidFill>
              <w14:schemeClr w14:val="tx1"/>
            </w14:solidFill>
          </w14:textFill>
        </w:rPr>
        <w:t>的及其</w:t>
      </w:r>
      <w:r>
        <w:rPr>
          <w:rFonts w:hint="eastAsia" w:ascii="仿宋" w:hAnsi="仿宋" w:eastAsia="仿宋" w:cs="仿宋"/>
          <w:color w:val="000000" w:themeColor="text1"/>
          <w:szCs w:val="21"/>
          <w:highlight w:val="none"/>
          <w:u w:val="none"/>
          <w:lang w:val="en-US" w:eastAsia="zh-CN"/>
          <w14:textFill>
            <w14:solidFill>
              <w14:schemeClr w14:val="tx1"/>
            </w14:solidFill>
          </w14:textFill>
        </w:rPr>
        <w:t>技术要求和商务要求</w:t>
      </w:r>
      <w:r>
        <w:rPr>
          <w:rFonts w:hint="eastAsia" w:ascii="仿宋" w:hAnsi="仿宋" w:eastAsia="仿宋" w:cs="仿宋"/>
          <w:color w:val="000000" w:themeColor="text1"/>
          <w:szCs w:val="21"/>
          <w:highlight w:val="none"/>
          <w14:textFill>
            <w14:solidFill>
              <w14:schemeClr w14:val="tx1"/>
            </w14:solidFill>
          </w14:textFill>
        </w:rPr>
        <w:t>、联合协议、分包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协议等。</w:t>
      </w:r>
    </w:p>
    <w:p>
      <w:pPr>
        <w:pStyle w:val="38"/>
        <w:spacing w:beforeLines="0" w:line="400" w:lineRule="exact"/>
        <w:rPr>
          <w:rFonts w:hint="eastAsia" w:ascii="仿宋" w:hAnsi="仿宋" w:eastAsia="仿宋" w:cs="仿宋"/>
          <w:color w:val="000000" w:themeColor="text1"/>
          <w:highlight w:val="none"/>
          <w14:textFill>
            <w14:solidFill>
              <w14:schemeClr w14:val="tx1"/>
            </w14:solidFill>
          </w14:textFill>
        </w:rPr>
      </w:pPr>
    </w:p>
    <w:p>
      <w:pPr>
        <w:bidi w:val="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
          <w14:textFill>
            <w14:solidFill>
              <w14:schemeClr w14:val="tx1"/>
            </w14:solidFill>
          </w14:textFill>
        </w:rPr>
        <w:t xml:space="preserve">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pStyle w:val="38"/>
        <w:rPr>
          <w:rFonts w:hint="eastAsia" w:ascii="仿宋" w:hAnsi="仿宋" w:eastAsia="仿宋" w:cs="仿宋"/>
          <w:color w:val="000000" w:themeColor="text1"/>
          <w:highlight w:val="none"/>
          <w14:textFill>
            <w14:solidFill>
              <w14:schemeClr w14:val="tx1"/>
            </w14:solidFill>
          </w14:textFill>
        </w:rPr>
      </w:pPr>
    </w:p>
    <w:tbl>
      <w:tblPr>
        <w:tblStyle w:val="22"/>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w:t>
            </w:r>
            <w:r>
              <w:rPr>
                <w:rFonts w:hint="eastAsia" w:ascii="仿宋" w:hAnsi="仿宋" w:eastAsia="仿宋" w:cs="仿宋"/>
                <w:color w:val="000000" w:themeColor="text1"/>
                <w:szCs w:val="21"/>
                <w:highlight w:val="none"/>
                <w:lang w:eastAsia="zh-CN"/>
                <w14:textFill>
                  <w14:solidFill>
                    <w14:schemeClr w14:val="tx1"/>
                  </w14:solidFill>
                </w14:textFill>
              </w:rPr>
              <w:t>招标人、受招标人委托签订合同的单位</w:t>
            </w:r>
            <w:r>
              <w:rPr>
                <w:rFonts w:hint="eastAsia" w:ascii="仿宋" w:hAnsi="仿宋" w:eastAsia="仿宋" w:cs="仿宋"/>
                <w:color w:val="000000" w:themeColor="text1"/>
                <w:szCs w:val="21"/>
                <w:highlight w:val="none"/>
                <w14:textFill>
                  <w14:solidFill>
                    <w14:schemeClr w14:val="tx1"/>
                  </w14:solidFill>
                </w14:textFill>
              </w:rPr>
              <w:t>或采购文件约定的合同甲方）</w:t>
            </w:r>
          </w:p>
        </w:tc>
        <w:tc>
          <w:tcPr>
            <w:tcW w:w="4095" w:type="dxa"/>
            <w:gridSpan w:val="2"/>
            <w:tcBorders>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单位名称（公章</w:t>
            </w:r>
            <w:r>
              <w:rPr>
                <w:rFonts w:hint="eastAsia" w:ascii="仿宋" w:hAnsi="仿宋" w:eastAsia="仿宋" w:cs="仿宋"/>
                <w:color w:val="000000" w:themeColor="text1"/>
                <w:szCs w:val="21"/>
                <w:highlight w:val="none"/>
                <w:lang w:eastAsia="zh-CN"/>
                <w14:textFill>
                  <w14:solidFill>
                    <w14:schemeClr w14:val="tx1"/>
                  </w14:solidFill>
                </w14:textFill>
              </w:rPr>
              <w:t>或合同章</w:t>
            </w:r>
            <w:r>
              <w:rPr>
                <w:rFonts w:hint="eastAsia" w:ascii="仿宋" w:hAnsi="仿宋" w:eastAsia="仿宋" w:cs="仿宋"/>
                <w:color w:val="000000" w:themeColor="text1"/>
                <w:szCs w:val="21"/>
                <w:highlight w:val="none"/>
                <w14:textFill>
                  <w14:solidFill>
                    <w14:schemeClr w14:val="tx1"/>
                  </w14:solidFill>
                </w14:textFill>
              </w:rPr>
              <w:t>）</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单位名称（公章</w:t>
            </w:r>
            <w:r>
              <w:rPr>
                <w:rFonts w:hint="eastAsia" w:ascii="仿宋" w:hAnsi="仿宋" w:eastAsia="仿宋" w:cs="仿宋"/>
                <w:color w:val="000000" w:themeColor="text1"/>
                <w:szCs w:val="21"/>
                <w:highlight w:val="none"/>
                <w:lang w:eastAsia="zh-CN"/>
                <w14:textFill>
                  <w14:solidFill>
                    <w14:schemeClr w14:val="tx1"/>
                  </w14:solidFill>
                </w14:textFill>
              </w:rPr>
              <w:t>或合同章</w:t>
            </w:r>
            <w:r>
              <w:rPr>
                <w:rFonts w:hint="eastAsia" w:ascii="仿宋" w:hAnsi="仿宋" w:eastAsia="仿宋" w:cs="仿宋"/>
                <w:color w:val="000000" w:themeColor="text1"/>
                <w:szCs w:val="21"/>
                <w:highlight w:val="none"/>
                <w14:textFill>
                  <w14:solidFill>
                    <w14:schemeClr w14:val="tx1"/>
                  </w14:solidFill>
                </w14:textFill>
              </w:rPr>
              <w:t>）</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w:t>
            </w:r>
          </w:p>
          <w:p>
            <w:pPr>
              <w:adjustRightInd w:val="0"/>
              <w:snapToGrid w:val="0"/>
              <w:spacing w:line="300" w:lineRule="exact"/>
              <w:ind w:firstLine="100" w:firstLineChars="48"/>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或其委托代理人（签章）</w:t>
            </w:r>
          </w:p>
        </w:tc>
        <w:tc>
          <w:tcPr>
            <w:tcW w:w="2412" w:type="dxa"/>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w:t>
            </w:r>
          </w:p>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或其委托代理人（签章）</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拥有者性别</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住</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住</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 系 人</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联系电话</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通信地址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邮政编码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电子邮箱</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统一社会信用代码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开户名称</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开户银行</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银行账号</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pPr>
              <w:pStyle w:val="12"/>
              <w:adjustRightInd w:val="0"/>
              <w:snapToGrid w:val="0"/>
              <w:spacing w:before="156" w:beforeLines="50" w:after="0" w:line="360" w:lineRule="auto"/>
              <w:ind w:left="0" w:leftChars="0"/>
              <w:jc w:val="left"/>
              <w:rPr>
                <w:rFonts w:hint="eastAsia" w:ascii="仿宋" w:hAnsi="仿宋" w:eastAsia="仿宋" w:cs="仿宋"/>
                <w:color w:val="000000" w:themeColor="text1"/>
                <w:spacing w:val="2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注：涉及联合体或其他合同主体的信息应按上表格式加列。</w:t>
            </w:r>
          </w:p>
        </w:tc>
      </w:tr>
    </w:tbl>
    <w:p>
      <w:pPr>
        <w:bidi w:val="0"/>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u w:val="single"/>
          <w14:textFill>
            <w14:solidFill>
              <w14:schemeClr w14:val="tx1"/>
            </w14:solidFill>
          </w14:textFill>
        </w:rPr>
        <w:br w:type="page"/>
      </w:r>
      <w:bookmarkStart w:id="612" w:name="_Toc27624"/>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第二节 政府采购合同通用条款</w:t>
      </w:r>
      <w:bookmarkEnd w:id="612"/>
    </w:p>
    <w:p>
      <w:pPr>
        <w:tabs>
          <w:tab w:val="left" w:pos="8820"/>
          <w:tab w:val="left" w:pos="9345"/>
          <w:tab w:val="left" w:pos="9765"/>
        </w:tabs>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定义</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1.1合同当事人</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（以下称甲方）是指使用财政性资金，通过政府</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式向供应商购买货物</w:t>
      </w:r>
      <w:r>
        <w:rPr>
          <w:rFonts w:hint="eastAsia" w:ascii="仿宋" w:hAnsi="仿宋" w:eastAsia="仿宋" w:cs="仿宋"/>
          <w:color w:val="000000" w:themeColor="text1"/>
          <w:szCs w:val="21"/>
          <w:highlight w:val="none"/>
          <w:lang w:val="en-US" w:eastAsia="zh-CN"/>
          <w14:textFill>
            <w14:solidFill>
              <w14:schemeClr w14:val="tx1"/>
            </w14:solidFill>
          </w14:textFill>
        </w:rPr>
        <w:t>及其相关服务的</w:t>
      </w:r>
      <w:r>
        <w:rPr>
          <w:rFonts w:hint="eastAsia" w:ascii="仿宋" w:hAnsi="仿宋" w:eastAsia="仿宋" w:cs="仿宋"/>
          <w:color w:val="000000" w:themeColor="text1"/>
          <w:szCs w:val="21"/>
          <w:highlight w:val="none"/>
          <w14:textFill>
            <w14:solidFill>
              <w14:schemeClr w14:val="tx1"/>
            </w14:solidFill>
          </w14:textFill>
        </w:rPr>
        <w:t>国家机关、事业单位、团体组织。</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（2）供应商（以下称</w:t>
      </w:r>
      <w:r>
        <w:rPr>
          <w:rFonts w:hint="eastAsia" w:ascii="仿宋" w:hAnsi="仿宋" w:eastAsia="仿宋" w:cs="仿宋"/>
          <w:color w:val="000000" w:themeColor="text1"/>
          <w:szCs w:val="21"/>
          <w:highlight w:val="none"/>
          <w:lang w:eastAsia="zh-CN"/>
          <w14:textFill>
            <w14:solidFill>
              <w14:schemeClr w14:val="tx1"/>
            </w14:solidFill>
          </w14:textFill>
        </w:rPr>
        <w:t>乙</w:t>
      </w:r>
      <w:r>
        <w:rPr>
          <w:rFonts w:hint="eastAsia" w:ascii="仿宋" w:hAnsi="仿宋" w:eastAsia="仿宋" w:cs="仿宋"/>
          <w:color w:val="000000" w:themeColor="text1"/>
          <w:szCs w:val="21"/>
          <w:highlight w:val="none"/>
          <w14:textFill>
            <w14:solidFill>
              <w14:schemeClr w14:val="tx1"/>
            </w14:solidFill>
          </w14:textFill>
        </w:rPr>
        <w:t>方）是指参加政府采购活动并且中标（成交），向</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提供</w:t>
      </w:r>
      <w:r>
        <w:rPr>
          <w:rFonts w:hint="eastAsia" w:ascii="仿宋" w:hAnsi="仿宋" w:eastAsia="仿宋" w:cs="仿宋"/>
          <w:color w:val="000000" w:themeColor="text1"/>
          <w:szCs w:val="21"/>
          <w:highlight w:val="none"/>
          <w:lang w:val="en-US" w:eastAsia="zh-CN"/>
          <w14:textFill>
            <w14:solidFill>
              <w14:schemeClr w14:val="tx1"/>
            </w14:solidFill>
          </w14:textFill>
        </w:rPr>
        <w:t>合同约定的货物及其相关服务的法人、非法人组织或者自然人</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（3）其他合同主体是指除</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和供应商以外，</w:t>
      </w:r>
      <w:r>
        <w:rPr>
          <w:rFonts w:hint="eastAsia" w:ascii="仿宋" w:hAnsi="仿宋" w:eastAsia="仿宋" w:cs="仿宋"/>
          <w:bCs/>
          <w:color w:val="000000" w:themeColor="text1"/>
          <w:szCs w:val="21"/>
          <w:highlight w:val="none"/>
          <w14:textFill>
            <w14:solidFill>
              <w14:schemeClr w14:val="tx1"/>
            </w14:solidFill>
          </w14:textFill>
        </w:rPr>
        <w:t>依法参与合同缔结或履行，享有权利、承担义务的合同当事人</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1.2本合同下列术语应解释为：</w:t>
      </w:r>
    </w:p>
    <w:p>
      <w:pPr>
        <w:adjustRightInd w:val="0"/>
        <w:snapToGrid w:val="0"/>
        <w:spacing w:before="0" w:beforeLines="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（1）“合同”系指</w:t>
      </w:r>
      <w:r>
        <w:rPr>
          <w:rFonts w:hint="eastAsia" w:ascii="仿宋" w:hAnsi="仿宋" w:eastAsia="仿宋" w:cs="仿宋"/>
          <w:bCs/>
          <w:color w:val="000000" w:themeColor="text1"/>
          <w:szCs w:val="21"/>
          <w:highlight w:val="none"/>
          <w14:textFill>
            <w14:solidFill>
              <w14:schemeClr w14:val="tx1"/>
            </w14:solidFill>
          </w14:textFill>
        </w:rPr>
        <w:t>合同当事人意思表示达成一致的任何协议，包括签署的</w:t>
      </w:r>
      <w:r>
        <w:rPr>
          <w:rFonts w:hint="eastAsia" w:ascii="仿宋" w:hAnsi="仿宋" w:eastAsia="仿宋" w:cs="仿宋"/>
          <w:color w:val="000000" w:themeColor="text1"/>
          <w:szCs w:val="21"/>
          <w:highlight w:val="none"/>
          <w:lang w:eastAsia="zh-CN"/>
          <w14:textFill>
            <w14:solidFill>
              <w14:schemeClr w14:val="tx1"/>
            </w14:solidFill>
          </w14:textFill>
        </w:rPr>
        <w:t>政府采购</w:t>
      </w:r>
      <w:r>
        <w:rPr>
          <w:rFonts w:hint="eastAsia" w:ascii="仿宋" w:hAnsi="仿宋" w:eastAsia="仿宋" w:cs="仿宋"/>
          <w:color w:val="000000" w:themeColor="text1"/>
          <w:szCs w:val="21"/>
          <w:highlight w:val="none"/>
          <w14:textFill>
            <w14:solidFill>
              <w14:schemeClr w14:val="tx1"/>
            </w14:solidFill>
          </w14:textFill>
        </w:rPr>
        <w:t>合同协议书及其变更、补充</w:t>
      </w:r>
      <w:r>
        <w:rPr>
          <w:rFonts w:hint="eastAsia" w:ascii="仿宋" w:hAnsi="仿宋" w:eastAsia="仿宋" w:cs="仿宋"/>
          <w:color w:val="000000" w:themeColor="text1"/>
          <w:szCs w:val="21"/>
          <w:highlight w:val="none"/>
          <w:lang w:eastAsia="zh-CN"/>
          <w14:textFill>
            <w14:solidFill>
              <w14:schemeClr w14:val="tx1"/>
            </w14:solidFill>
          </w14:textFill>
        </w:rPr>
        <w:t>协议，</w:t>
      </w:r>
      <w:r>
        <w:rPr>
          <w:rFonts w:hint="eastAsia" w:ascii="仿宋" w:hAnsi="仿宋" w:eastAsia="仿宋" w:cs="仿宋"/>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政府采购合同通用条款</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中标</w:t>
      </w:r>
      <w:r>
        <w:rPr>
          <w:rFonts w:hint="eastAsia" w:ascii="仿宋" w:hAnsi="仿宋" w:eastAsia="仿宋" w:cs="仿宋"/>
          <w:color w:val="000000" w:themeColor="text1"/>
          <w:szCs w:val="21"/>
          <w:highlight w:val="none"/>
          <w:lang w:eastAsia="zh-CN"/>
          <w14:textFill>
            <w14:solidFill>
              <w14:schemeClr w14:val="tx1"/>
            </w14:solidFill>
          </w14:textFill>
        </w:rPr>
        <w:t>（成交）</w:t>
      </w:r>
      <w:r>
        <w:rPr>
          <w:rFonts w:hint="eastAsia" w:ascii="仿宋" w:hAnsi="仿宋" w:eastAsia="仿宋" w:cs="仿宋"/>
          <w:color w:val="000000" w:themeColor="text1"/>
          <w:szCs w:val="21"/>
          <w:highlight w:val="none"/>
          <w14:textFill>
            <w14:solidFill>
              <w14:schemeClr w14:val="tx1"/>
            </w14:solidFill>
          </w14:textFill>
        </w:rPr>
        <w:t>通知书</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投标（响应）文件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采购文件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有关技术文件</w:t>
      </w:r>
      <w:r>
        <w:rPr>
          <w:rFonts w:hint="eastAsia" w:ascii="仿宋" w:hAnsi="仿宋" w:eastAsia="仿宋" w:cs="仿宋"/>
          <w:color w:val="000000" w:themeColor="text1"/>
          <w:szCs w:val="21"/>
          <w:highlight w:val="none"/>
          <w:lang w:eastAsia="zh-CN"/>
          <w14:textFill>
            <w14:solidFill>
              <w14:schemeClr w14:val="tx1"/>
            </w14:solidFill>
          </w14:textFill>
        </w:rPr>
        <w:t>和</w:t>
      </w:r>
      <w:r>
        <w:rPr>
          <w:rFonts w:hint="eastAsia" w:ascii="仿宋" w:hAnsi="仿宋" w:eastAsia="仿宋" w:cs="仿宋"/>
          <w:color w:val="000000" w:themeColor="text1"/>
          <w:szCs w:val="21"/>
          <w:highlight w:val="none"/>
          <w14:textFill>
            <w14:solidFill>
              <w14:schemeClr w14:val="tx1"/>
            </w14:solidFill>
          </w14:textFill>
        </w:rPr>
        <w:t>图纸</w:t>
      </w:r>
      <w:r>
        <w:rPr>
          <w:rFonts w:hint="eastAsia" w:ascii="仿宋" w:hAnsi="仿宋" w:eastAsia="仿宋" w:cs="仿宋"/>
          <w:color w:val="000000" w:themeColor="text1"/>
          <w:szCs w:val="21"/>
          <w:highlight w:val="none"/>
          <w:lang w:eastAsia="zh-CN"/>
          <w14:textFill>
            <w14:solidFill>
              <w14:schemeClr w14:val="tx1"/>
            </w14:solidFill>
          </w14:textFill>
        </w:rPr>
        <w:t>，以及</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）“合同价</w:t>
      </w:r>
      <w:r>
        <w:rPr>
          <w:rFonts w:hint="eastAsia" w:ascii="仿宋" w:hAnsi="仿宋" w:eastAsia="仿宋" w:cs="仿宋"/>
          <w:color w:val="000000" w:themeColor="text1"/>
          <w:szCs w:val="21"/>
          <w:highlight w:val="none"/>
          <w:lang w:val="en-US" w:eastAsia="zh-CN"/>
          <w14:textFill>
            <w14:solidFill>
              <w14:schemeClr w14:val="tx1"/>
            </w14:solidFill>
          </w14:textFill>
        </w:rPr>
        <w:t>款</w:t>
      </w:r>
      <w:r>
        <w:rPr>
          <w:rFonts w:hint="eastAsia" w:ascii="仿宋" w:hAnsi="仿宋" w:eastAsia="仿宋" w:cs="仿宋"/>
          <w:color w:val="000000" w:themeColor="text1"/>
          <w:szCs w:val="21"/>
          <w:highlight w:val="none"/>
          <w14:textFill>
            <w14:solidFill>
              <w14:schemeClr w14:val="tx1"/>
            </w14:solidFill>
          </w14:textFill>
        </w:rPr>
        <w:t>”系指根据本合同规定乙方在全面履行合同义务后甲方应支付给乙方的价款。</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技术资料和材料</w:t>
      </w:r>
      <w:r>
        <w:rPr>
          <w:rFonts w:hint="eastAsia" w:ascii="仿宋" w:hAnsi="仿宋" w:eastAsia="仿宋" w:cs="仿宋"/>
          <w:color w:val="000000" w:themeColor="text1"/>
          <w:szCs w:val="21"/>
          <w:highlight w:val="none"/>
          <w:lang w:eastAsia="zh-CN"/>
          <w14:textFill>
            <w14:solidFill>
              <w14:schemeClr w14:val="tx1"/>
            </w14:solidFill>
          </w14:textFill>
        </w:rPr>
        <w:t>等</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服务”系指根据合同规定，乙方应提供的</w:t>
      </w:r>
      <w:r>
        <w:rPr>
          <w:rFonts w:hint="eastAsia" w:ascii="仿宋" w:hAnsi="仿宋" w:eastAsia="仿宋" w:cs="仿宋"/>
          <w:color w:val="000000" w:themeColor="text1"/>
          <w:szCs w:val="21"/>
          <w:highlight w:val="none"/>
          <w:lang w:val="en-US" w:eastAsia="zh-CN"/>
          <w14:textFill>
            <w14:solidFill>
              <w14:schemeClr w14:val="tx1"/>
            </w14:solidFill>
          </w14:textFill>
        </w:rPr>
        <w:t>与货物有关的</w:t>
      </w:r>
      <w:r>
        <w:rPr>
          <w:rFonts w:hint="eastAsia" w:ascii="仿宋" w:hAnsi="仿宋" w:eastAsia="仿宋" w:cs="仿宋"/>
          <w:color w:val="000000" w:themeColor="text1"/>
          <w:szCs w:val="21"/>
          <w:highlight w:val="none"/>
          <w14:textFill>
            <w14:solidFill>
              <w14:schemeClr w14:val="tx1"/>
            </w14:solidFill>
          </w14:textFill>
        </w:rPr>
        <w:t>技术、管理和</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仿宋" w:hAnsi="仿宋" w:eastAsia="仿宋" w:cs="仿宋"/>
          <w:color w:val="000000" w:themeColor="text1"/>
          <w:szCs w:val="21"/>
          <w:highlight w:val="none"/>
          <w:lang w:eastAsia="zh-CN"/>
          <w14:textFill>
            <w14:solidFill>
              <w14:schemeClr w14:val="tx1"/>
            </w14:solidFill>
          </w14:textFill>
        </w:rPr>
        <w:t>废弃处置、</w:t>
      </w:r>
      <w:r>
        <w:rPr>
          <w:rFonts w:hint="eastAsia" w:ascii="仿宋" w:hAnsi="仿宋" w:eastAsia="仿宋" w:cs="仿宋"/>
          <w:color w:val="000000" w:themeColor="text1"/>
          <w:szCs w:val="21"/>
          <w:highlight w:val="none"/>
          <w14:textFill>
            <w14:solidFill>
              <w14:schemeClr w14:val="tx1"/>
            </w14:solidFill>
          </w14:textFill>
        </w:rPr>
        <w:t>技术支持等以及合同中规定乙方应承担的</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义务。</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）“分包”系指中标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供应商按采购文件、投标（响应）文件的规定，根据分包意向协议，将中标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项目中的部分履约内容，分给具有相应资质条件的供应商履行合同的行为。</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）“联合体”系指</w:t>
      </w:r>
      <w:r>
        <w:rPr>
          <w:rFonts w:hint="eastAsia" w:ascii="仿宋" w:hAnsi="仿宋" w:eastAsia="仿宋" w:cs="仿宋"/>
          <w:color w:val="000000" w:themeColor="text1"/>
          <w:szCs w:val="21"/>
          <w:highlight w:val="none"/>
          <w:lang w:eastAsia="zh-CN"/>
          <w14:textFill>
            <w14:solidFill>
              <w14:schemeClr w14:val="tx1"/>
            </w14:solidFill>
          </w14:textFill>
        </w:rPr>
        <w:t>由</w:t>
      </w:r>
      <w:r>
        <w:rPr>
          <w:rFonts w:hint="eastAsia" w:ascii="仿宋" w:hAnsi="仿宋" w:eastAsia="仿宋" w:cs="仿宋"/>
          <w:color w:val="000000" w:themeColor="text1"/>
          <w:szCs w:val="21"/>
          <w:highlight w:val="none"/>
          <w14:textFill>
            <w14:solidFill>
              <w14:schemeClr w14:val="tx1"/>
            </w14:solidFill>
          </w14:textFill>
        </w:rPr>
        <w:t>两个以上的自然人、法人或者</w:t>
      </w:r>
      <w:r>
        <w:rPr>
          <w:rFonts w:hint="eastAsia" w:ascii="仿宋" w:hAnsi="仿宋" w:eastAsia="仿宋" w:cs="仿宋"/>
          <w:color w:val="000000" w:themeColor="text1"/>
          <w:szCs w:val="21"/>
          <w:highlight w:val="none"/>
          <w:lang w:val="en-US" w:eastAsia="zh-CN"/>
          <w14:textFill>
            <w14:solidFill>
              <w14:schemeClr w14:val="tx1"/>
            </w14:solidFill>
          </w14:textFill>
        </w:rPr>
        <w:t>非法人</w:t>
      </w:r>
      <w:r>
        <w:rPr>
          <w:rFonts w:hint="eastAsia" w:ascii="仿宋" w:hAnsi="仿宋" w:eastAsia="仿宋" w:cs="仿宋"/>
          <w:color w:val="000000" w:themeColor="text1"/>
          <w:szCs w:val="21"/>
          <w:highlight w:val="none"/>
          <w14:textFill>
            <w14:solidFill>
              <w14:schemeClr w14:val="tx1"/>
            </w14:solidFill>
          </w14:textFill>
        </w:rPr>
        <w:t>组织组成，</w:t>
      </w:r>
      <w:r>
        <w:rPr>
          <w:rFonts w:hint="eastAsia" w:ascii="仿宋" w:hAnsi="仿宋" w:eastAsia="仿宋" w:cs="仿宋"/>
          <w:color w:val="000000" w:themeColor="text1"/>
          <w:szCs w:val="21"/>
          <w:highlight w:val="none"/>
          <w:lang w:eastAsia="zh-CN"/>
          <w14:textFill>
            <w14:solidFill>
              <w14:schemeClr w14:val="tx1"/>
            </w14:solidFill>
          </w14:textFill>
        </w:rPr>
        <w:t>以一个供应商的身份共同参加政府采购的主体。</w:t>
      </w:r>
      <w:r>
        <w:rPr>
          <w:rFonts w:hint="eastAsia" w:ascii="仿宋" w:hAnsi="仿宋" w:eastAsia="仿宋" w:cs="仿宋"/>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承担连带责任。联合体具体要求见【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）其他术语解释，见【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pPr>
        <w:numPr>
          <w:ilvl w:val="0"/>
          <w:numId w:val="6"/>
        </w:num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合同标的及金额</w:t>
      </w:r>
    </w:p>
    <w:p>
      <w:pPr>
        <w:autoSpaceDE w:val="0"/>
        <w:autoSpaceDN w:val="0"/>
        <w:adjustRightInd w:val="0"/>
        <w:snapToGrid w:val="0"/>
        <w:spacing w:before="0" w:line="400" w:lineRule="exact"/>
        <w:ind w:firstLine="420" w:firstLineChars="200"/>
        <w:jc w:val="left"/>
        <w:rPr>
          <w:rFonts w:hint="eastAsia" w:ascii="仿宋" w:hAnsi="仿宋" w:eastAsia="仿宋" w:cs="仿宋"/>
          <w:b/>
          <w:bCs/>
          <w:i/>
          <w:i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中，甲方不再另行支付</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任何费用。</w:t>
      </w:r>
    </w:p>
    <w:p>
      <w:pPr>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3</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履行合同的时间、地点和方式</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.1 乙方应当在约定的时间、地点</w:t>
      </w:r>
      <w:r>
        <w:rPr>
          <w:rFonts w:hint="eastAsia" w:ascii="仿宋" w:hAnsi="仿宋" w:eastAsia="仿宋" w:cs="仿宋"/>
          <w:color w:val="000000" w:themeColor="text1"/>
          <w:szCs w:val="21"/>
          <w:highlight w:val="none"/>
          <w:lang w:eastAsia="zh-CN"/>
          <w14:textFill>
            <w14:solidFill>
              <w14:schemeClr w14:val="tx1"/>
            </w14:solidFill>
          </w14:textFill>
        </w:rPr>
        <w:t>，按照约定</w:t>
      </w:r>
      <w:r>
        <w:rPr>
          <w:rFonts w:hint="eastAsia" w:ascii="仿宋" w:hAnsi="仿宋" w:eastAsia="仿宋" w:cs="仿宋"/>
          <w:color w:val="000000" w:themeColor="text1"/>
          <w:szCs w:val="21"/>
          <w:highlight w:val="none"/>
          <w14:textFill>
            <w14:solidFill>
              <w14:schemeClr w14:val="tx1"/>
            </w14:solidFill>
          </w14:textFill>
        </w:rPr>
        <w:t>方式履行合同。</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4</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甲方的权利和义务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 签署合同后，甲方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.3 甲方有权要求乙方对缺陷部分予以修复，并按合同约定享有货物保修及其他合同约定的权利。</w:t>
      </w:r>
    </w:p>
    <w:p>
      <w:pPr>
        <w:snapToGrid w:val="0"/>
        <w:spacing w:line="400" w:lineRule="exact"/>
        <w:ind w:firstLine="420" w:firstLineChars="20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仿宋" w:hAnsi="仿宋" w:eastAsia="仿宋" w:cs="仿宋"/>
          <w:b w:val="0"/>
          <w:bCs w:val="0"/>
          <w:color w:val="000000" w:themeColor="text1"/>
          <w:szCs w:val="21"/>
          <w:highlight w:val="none"/>
          <w:lang w:eastAsia="zh-CN"/>
          <w14:textFill>
            <w14:solidFill>
              <w14:schemeClr w14:val="tx1"/>
            </w14:solidFill>
          </w14:textFill>
        </w:rPr>
        <w:t>未</w:t>
      </w:r>
      <w:r>
        <w:rPr>
          <w:rFonts w:hint="eastAsia" w:ascii="仿宋" w:hAnsi="仿宋" w:eastAsia="仿宋" w:cs="仿宋"/>
          <w:color w:val="000000" w:themeColor="text1"/>
          <w:szCs w:val="21"/>
          <w:highlight w:val="none"/>
          <w:lang w:val="en-US" w:eastAsia="zh-CN"/>
          <w14:textFill>
            <w14:solidFill>
              <w14:schemeClr w14:val="tx1"/>
            </w14:solidFill>
          </w14:textFill>
        </w:rPr>
        <w:t>在</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21"/>
          <w:highlight w:val="none"/>
          <w:lang w:eastAsia="zh-CN"/>
          <w14:textFill>
            <w14:solidFill>
              <w14:schemeClr w14:val="tx1"/>
            </w14:solidFill>
          </w14:textFill>
        </w:rPr>
        <w:t>约定的期限内对乙方履约提出任何异议或者向乙方作出任何说明的，</w:t>
      </w:r>
      <w:r>
        <w:rPr>
          <w:rFonts w:hint="eastAsia" w:ascii="仿宋" w:hAnsi="仿宋" w:eastAsia="仿宋" w:cs="仿宋"/>
          <w:color w:val="000000" w:themeColor="text1"/>
          <w:szCs w:val="21"/>
          <w:highlight w:val="none"/>
          <w:lang w:val="en-US" w:eastAsia="zh-CN"/>
          <w14:textFill>
            <w14:solidFill>
              <w14:schemeClr w14:val="tx1"/>
            </w14:solidFill>
          </w14:textFill>
        </w:rPr>
        <w:t>视为验收通过。</w:t>
      </w:r>
    </w:p>
    <w:p>
      <w:pPr>
        <w:autoSpaceDE w:val="0"/>
        <w:autoSpaceDN w:val="0"/>
        <w:adjustRightInd w:val="0"/>
        <w:snapToGrid w:val="0"/>
        <w:spacing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 xml:space="preserve"> 甲方应当根据合同约定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color w:val="000000" w:themeColor="text1"/>
          <w:szCs w:val="21"/>
          <w:highlight w:val="none"/>
          <w14:textFill>
            <w14:solidFill>
              <w14:schemeClr w14:val="tx1"/>
            </w14:solidFill>
          </w14:textFill>
        </w:rPr>
        <w:t>时向乙方支付</w:t>
      </w:r>
      <w:r>
        <w:rPr>
          <w:rFonts w:hint="eastAsia" w:ascii="仿宋" w:hAnsi="仿宋" w:eastAsia="仿宋" w:cs="仿宋"/>
          <w:color w:val="000000" w:themeColor="text1"/>
          <w:szCs w:val="21"/>
          <w:highlight w:val="none"/>
          <w:lang w:eastAsia="zh-CN"/>
          <w14:textFill>
            <w14:solidFill>
              <w14:schemeClr w14:val="tx1"/>
            </w14:solidFill>
          </w14:textFill>
        </w:rPr>
        <w:t>合同价款，不得以内部人员变更、履行内部付款流程等为由，拒绝或迟延支付。</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 xml:space="preserve"> 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约定应</w:t>
      </w:r>
      <w:r>
        <w:rPr>
          <w:rFonts w:hint="eastAsia" w:ascii="仿宋" w:hAnsi="仿宋" w:eastAsia="仿宋" w:cs="仿宋"/>
          <w:color w:val="000000" w:themeColor="text1"/>
          <w:szCs w:val="21"/>
          <w:highlight w:val="none"/>
          <w14:textFill>
            <w14:solidFill>
              <w14:schemeClr w14:val="tx1"/>
            </w14:solidFill>
          </w14:textFill>
        </w:rPr>
        <w:t>由甲方承担的其他义务和责任。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5</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乙方的权利和义务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.1 签署合同后，乙方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.2 乙方应按照合同要求履约，充分合理安排，确保提供的货物</w:t>
      </w:r>
      <w:r>
        <w:rPr>
          <w:rFonts w:hint="eastAsia" w:ascii="仿宋" w:hAnsi="仿宋" w:eastAsia="仿宋" w:cs="仿宋"/>
          <w:color w:val="000000" w:themeColor="text1"/>
          <w:szCs w:val="21"/>
          <w:highlight w:val="none"/>
          <w:lang w:eastAsia="zh-CN"/>
          <w14:textFill>
            <w14:solidFill>
              <w14:schemeClr w14:val="tx1"/>
            </w14:solidFill>
          </w14:textFill>
        </w:rPr>
        <w:t>及相关</w:t>
      </w:r>
      <w:r>
        <w:rPr>
          <w:rFonts w:hint="eastAsia" w:ascii="仿宋" w:hAnsi="仿宋" w:eastAsia="仿宋" w:cs="仿宋"/>
          <w:color w:val="000000" w:themeColor="text1"/>
          <w:szCs w:val="21"/>
          <w:highlight w:val="none"/>
          <w14:textFill>
            <w14:solidFill>
              <w14:schemeClr w14:val="tx1"/>
            </w14:solidFill>
          </w14:textFill>
        </w:rPr>
        <w:t>服务符合合同</w:t>
      </w:r>
      <w:r>
        <w:rPr>
          <w:rFonts w:hint="eastAsia" w:ascii="仿宋" w:hAnsi="仿宋" w:eastAsia="仿宋" w:cs="仿宋"/>
          <w:color w:val="000000" w:themeColor="text1"/>
          <w:szCs w:val="21"/>
          <w:highlight w:val="none"/>
          <w:lang w:eastAsia="zh-CN"/>
          <w14:textFill>
            <w14:solidFill>
              <w14:schemeClr w14:val="tx1"/>
            </w14:solidFill>
          </w14:textFill>
        </w:rPr>
        <w:t>有关</w:t>
      </w:r>
      <w:r>
        <w:rPr>
          <w:rFonts w:hint="eastAsia" w:ascii="仿宋" w:hAnsi="仿宋" w:eastAsia="仿宋" w:cs="仿宋"/>
          <w:color w:val="000000" w:themeColor="text1"/>
          <w:szCs w:val="21"/>
          <w:highlight w:val="none"/>
          <w14:textFill>
            <w14:solidFill>
              <w14:schemeClr w14:val="tx1"/>
            </w14:solidFill>
          </w14:textFill>
        </w:rPr>
        <w:t>要求。接受项目行业管理部门及政府有关部门的指导，配合甲方的履约检查</w:t>
      </w:r>
      <w:r>
        <w:rPr>
          <w:rFonts w:hint="eastAsia" w:ascii="仿宋" w:hAnsi="仿宋" w:eastAsia="仿宋" w:cs="仿宋"/>
          <w:color w:val="000000" w:themeColor="text1"/>
          <w:szCs w:val="21"/>
          <w:highlight w:val="none"/>
          <w:lang w:eastAsia="zh-CN"/>
          <w14:textFill>
            <w14:solidFill>
              <w14:schemeClr w14:val="tx1"/>
            </w14:solidFill>
          </w14:textFill>
        </w:rPr>
        <w:t>及验收</w:t>
      </w:r>
      <w:r>
        <w:rPr>
          <w:rFonts w:hint="eastAsia" w:ascii="仿宋" w:hAnsi="仿宋" w:eastAsia="仿宋" w:cs="仿宋"/>
          <w:color w:val="000000" w:themeColor="text1"/>
          <w:szCs w:val="21"/>
          <w:highlight w:val="none"/>
          <w14:textFill>
            <w14:solidFill>
              <w14:schemeClr w14:val="tx1"/>
            </w14:solidFill>
          </w14:textFill>
        </w:rPr>
        <w:t>，并负责项目实施过程中的所有协调工作。</w:t>
      </w:r>
    </w:p>
    <w:p>
      <w:pPr>
        <w:pStyle w:val="2"/>
        <w:spacing w:after="0" w:line="400" w:lineRule="exact"/>
        <w:ind w:firstLine="422" w:firstLineChars="176"/>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.3乙方有权根据合同约定向甲方收取</w:t>
      </w:r>
      <w:r>
        <w:rPr>
          <w:rFonts w:hint="eastAsia" w:ascii="仿宋" w:hAnsi="仿宋" w:eastAsia="仿宋" w:cs="仿宋"/>
          <w:color w:val="000000" w:themeColor="text1"/>
          <w:szCs w:val="21"/>
          <w:highlight w:val="none"/>
          <w:lang w:eastAsia="zh-CN"/>
          <w14:textFill>
            <w14:solidFill>
              <w14:schemeClr w14:val="tx1"/>
            </w14:solidFill>
          </w14:textFill>
        </w:rPr>
        <w:t>合同价款</w:t>
      </w:r>
      <w:r>
        <w:rPr>
          <w:rFonts w:hint="eastAsia" w:ascii="仿宋" w:hAnsi="仿宋" w:eastAsia="仿宋" w:cs="仿宋"/>
          <w:color w:val="000000" w:themeColor="text1"/>
          <w:szCs w:val="21"/>
          <w:highlight w:val="none"/>
          <w14:textFill>
            <w14:solidFill>
              <w14:schemeClr w14:val="tx1"/>
            </w14:solidFill>
          </w14:textFill>
        </w:rPr>
        <w:t>。</w:t>
      </w:r>
    </w:p>
    <w:p>
      <w:pPr>
        <w:pStyle w:val="2"/>
        <w:spacing w:after="0" w:line="400" w:lineRule="exact"/>
        <w:ind w:firstLine="422" w:firstLineChars="176"/>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.4国家法律法规规定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21"/>
          <w:highlight w:val="none"/>
          <w:lang w:eastAsia="zh-CN"/>
          <w14:textFill>
            <w14:solidFill>
              <w14:schemeClr w14:val="tx1"/>
            </w14:solidFill>
          </w14:textFill>
        </w:rPr>
        <w:t>约定应</w:t>
      </w:r>
      <w:r>
        <w:rPr>
          <w:rFonts w:hint="eastAsia" w:ascii="仿宋" w:hAnsi="仿宋" w:eastAsia="仿宋" w:cs="仿宋"/>
          <w:color w:val="000000" w:themeColor="text1"/>
          <w:szCs w:val="21"/>
          <w:highlight w:val="none"/>
          <w14:textFill>
            <w14:solidFill>
              <w14:schemeClr w14:val="tx1"/>
            </w14:solidFill>
          </w14:textFill>
        </w:rPr>
        <w:t>由乙方承担的其他义务和责任。</w:t>
      </w:r>
    </w:p>
    <w:p>
      <w:pPr>
        <w:numPr>
          <w:ilvl w:val="0"/>
          <w:numId w:val="7"/>
        </w:num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合同履</w:t>
      </w:r>
      <w:r>
        <w:rPr>
          <w:rFonts w:hint="eastAsia" w:ascii="仿宋" w:hAnsi="仿宋" w:eastAsia="仿宋" w:cs="仿宋"/>
          <w:b/>
          <w:bCs/>
          <w:color w:val="000000" w:themeColor="text1"/>
          <w:sz w:val="24"/>
          <w:highlight w:val="none"/>
          <w:lang w:val="en-US" w:eastAsia="zh-CN"/>
          <w14:textFill>
            <w14:solidFill>
              <w14:schemeClr w14:val="tx1"/>
            </w14:solidFill>
          </w14:textFill>
        </w:rPr>
        <w:t>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.1 甲乙双方应当按照</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约定顺序履行合同义务；如果没有先后顺序的，应当同时履行。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7</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货物包装、运输</w:t>
      </w:r>
      <w:r>
        <w:rPr>
          <w:rFonts w:hint="eastAsia" w:ascii="仿宋" w:hAnsi="仿宋" w:eastAsia="仿宋" w:cs="仿宋"/>
          <w:b/>
          <w:bCs/>
          <w:color w:val="000000" w:themeColor="text1"/>
          <w:sz w:val="24"/>
          <w:highlight w:val="none"/>
          <w:lang w:eastAsia="zh-CN"/>
          <w14:textFill>
            <w14:solidFill>
              <w14:schemeClr w14:val="tx1"/>
            </w14:solidFill>
          </w14:textFill>
        </w:rPr>
        <w:t>、</w:t>
      </w:r>
      <w:r>
        <w:rPr>
          <w:rFonts w:hint="eastAsia" w:ascii="仿宋" w:hAnsi="仿宋" w:eastAsia="仿宋" w:cs="仿宋"/>
          <w:b/>
          <w:bCs/>
          <w:color w:val="000000" w:themeColor="text1"/>
          <w:sz w:val="24"/>
          <w:highlight w:val="none"/>
          <w14:textFill>
            <w14:solidFill>
              <w14:schemeClr w14:val="tx1"/>
            </w14:solidFill>
          </w14:textFill>
        </w:rPr>
        <w:t>保险</w:t>
      </w:r>
      <w:r>
        <w:rPr>
          <w:rFonts w:hint="eastAsia" w:ascii="仿宋" w:hAnsi="仿宋" w:eastAsia="仿宋" w:cs="仿宋"/>
          <w:b/>
          <w:bCs/>
          <w:color w:val="000000" w:themeColor="text1"/>
          <w:sz w:val="24"/>
          <w:highlight w:val="none"/>
          <w:lang w:eastAsia="zh-CN"/>
          <w14:textFill>
            <w14:solidFill>
              <w14:schemeClr w14:val="tx1"/>
            </w14:solidFill>
          </w14:textFill>
        </w:rPr>
        <w:t>和交付</w:t>
      </w:r>
      <w:r>
        <w:rPr>
          <w:rFonts w:hint="eastAsia" w:ascii="仿宋" w:hAnsi="仿宋" w:eastAsia="仿宋" w:cs="仿宋"/>
          <w:b/>
          <w:bCs/>
          <w:color w:val="000000" w:themeColor="text1"/>
          <w:sz w:val="24"/>
          <w:highlight w:val="none"/>
          <w14:textFill>
            <w14:solidFill>
              <w14:schemeClr w14:val="tx1"/>
            </w14:solidFill>
          </w14:textFill>
        </w:rPr>
        <w:t>要求</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 本合同</w:t>
      </w:r>
      <w:r>
        <w:rPr>
          <w:rFonts w:hint="eastAsia" w:ascii="仿宋" w:hAnsi="仿宋" w:eastAsia="仿宋" w:cs="仿宋"/>
          <w:bCs/>
          <w:color w:val="000000" w:themeColor="text1"/>
          <w:szCs w:val="21"/>
          <w:highlight w:val="none"/>
          <w14:textFill>
            <w14:solidFill>
              <w14:schemeClr w14:val="tx1"/>
            </w14:solidFill>
          </w14:textFill>
        </w:rPr>
        <w:t>涉及商品包装</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14:textFill>
            <w14:solidFill>
              <w14:schemeClr w14:val="tx1"/>
            </w14:solidFill>
          </w14:textFill>
        </w:rPr>
        <w:t>快递包装的，</w:t>
      </w:r>
      <w:r>
        <w:rPr>
          <w:rFonts w:hint="eastAsia" w:ascii="仿宋" w:hAnsi="仿宋" w:eastAsia="仿宋" w:cs="仿宋"/>
          <w:color w:val="000000" w:themeColor="text1"/>
          <w:szCs w:val="21"/>
          <w:highlight w:val="none"/>
          <w14:textFill>
            <w14:solidFill>
              <w14:schemeClr w14:val="tx1"/>
            </w14:solidFill>
          </w14:textFill>
        </w:rPr>
        <w:t>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color w:val="000000" w:themeColor="text1"/>
          <w:szCs w:val="21"/>
          <w:highlight w:val="none"/>
          <w:lang w:eastAsia="zh-CN"/>
          <w14:textFill>
            <w14:solidFill>
              <w14:schemeClr w14:val="tx1"/>
            </w14:solidFill>
          </w14:textFill>
        </w:rPr>
        <w:t>约定的</w:t>
      </w:r>
      <w:r>
        <w:rPr>
          <w:rFonts w:hint="eastAsia" w:ascii="仿宋" w:hAnsi="仿宋" w:eastAsia="仿宋" w:cs="仿宋"/>
          <w:color w:val="000000" w:themeColor="text1"/>
          <w:szCs w:val="21"/>
          <w:highlight w:val="none"/>
          <w14:textFill>
            <w14:solidFill>
              <w14:schemeClr w14:val="tx1"/>
            </w14:solidFill>
          </w14:textFill>
        </w:rPr>
        <w:t>指定现场。</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 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乙方负责办理将货物运抵本合同规定的交货地点</w:t>
      </w:r>
      <w:r>
        <w:rPr>
          <w:rFonts w:hint="eastAsia" w:ascii="仿宋" w:hAnsi="仿宋" w:eastAsia="仿宋" w:cs="仿宋"/>
          <w:color w:val="000000" w:themeColor="text1"/>
          <w:szCs w:val="21"/>
          <w:highlight w:val="none"/>
          <w:lang w:eastAsia="zh-CN"/>
          <w14:textFill>
            <w14:solidFill>
              <w14:schemeClr w14:val="tx1"/>
            </w14:solidFill>
          </w14:textFill>
        </w:rPr>
        <w:t>，并装卸、交付至甲方</w:t>
      </w:r>
      <w:r>
        <w:rPr>
          <w:rFonts w:hint="eastAsia" w:ascii="仿宋" w:hAnsi="仿宋" w:eastAsia="仿宋" w:cs="仿宋"/>
          <w:color w:val="000000" w:themeColor="text1"/>
          <w:szCs w:val="21"/>
          <w:highlight w:val="none"/>
          <w14:textFill>
            <w14:solidFill>
              <w14:schemeClr w14:val="tx1"/>
            </w14:solidFill>
          </w14:textFill>
        </w:rPr>
        <w:t>的一切运输事项，相关费用应</w:t>
      </w:r>
      <w:r>
        <w:rPr>
          <w:rFonts w:hint="eastAsia" w:ascii="仿宋" w:hAnsi="仿宋" w:eastAsia="仿宋" w:cs="仿宋"/>
          <w:color w:val="000000" w:themeColor="text1"/>
          <w:szCs w:val="21"/>
          <w:highlight w:val="none"/>
          <w:lang w:eastAsia="zh-CN"/>
          <w14:textFill>
            <w14:solidFill>
              <w14:schemeClr w14:val="tx1"/>
            </w14:solidFill>
          </w14:textFill>
        </w:rPr>
        <w:t>包含</w:t>
      </w:r>
      <w:r>
        <w:rPr>
          <w:rFonts w:hint="eastAsia" w:ascii="仿宋" w:hAnsi="仿宋" w:eastAsia="仿宋" w:cs="仿宋"/>
          <w:color w:val="000000" w:themeColor="text1"/>
          <w:szCs w:val="21"/>
          <w:highlight w:val="none"/>
          <w14:textFill>
            <w14:solidFill>
              <w14:schemeClr w14:val="tx1"/>
            </w14:solidFill>
          </w14:textFill>
        </w:rPr>
        <w:t>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.3 货物保险要求按</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规定执行</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 xml:space="preserve">.4 </w:t>
      </w:r>
      <w:r>
        <w:rPr>
          <w:rFonts w:hint="eastAsia" w:ascii="仿宋" w:hAnsi="仿宋" w:eastAsia="仿宋" w:cs="仿宋"/>
          <w:color w:val="000000" w:themeColor="text1"/>
          <w:szCs w:val="21"/>
          <w:highlight w:val="none"/>
          <w:lang w:val="en-US" w:eastAsia="zh-CN"/>
          <w14:textFill>
            <w14:solidFill>
              <w14:schemeClr w14:val="tx1"/>
            </w14:solidFill>
          </w14:textFill>
        </w:rPr>
        <w:t>除采购活动</w:t>
      </w:r>
      <w:r>
        <w:rPr>
          <w:rFonts w:hint="eastAsia" w:ascii="仿宋" w:hAnsi="仿宋" w:eastAsia="仿宋" w:cs="仿宋"/>
          <w:color w:val="000000" w:themeColor="text1"/>
          <w:szCs w:val="21"/>
          <w:highlight w:val="none"/>
          <w14:textFill>
            <w14:solidFill>
              <w14:schemeClr w14:val="tx1"/>
            </w14:solidFill>
          </w14:textFill>
        </w:rPr>
        <w:t>对商品包装</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w:t>
      </w:r>
      <w:r>
        <w:rPr>
          <w:rFonts w:hint="eastAsia" w:ascii="仿宋" w:hAnsi="仿宋" w:eastAsia="仿宋" w:cs="仿宋"/>
          <w:color w:val="000000" w:themeColor="text1"/>
          <w:szCs w:val="21"/>
          <w:highlight w:val="none"/>
          <w:lang w:val="en-US" w:eastAsia="zh-CN"/>
          <w14:textFill>
            <w14:solidFill>
              <w14:schemeClr w14:val="tx1"/>
            </w14:solidFill>
          </w14:textFill>
        </w:rPr>
        <w:t>达成具体约定外</w:t>
      </w:r>
      <w:r>
        <w:rPr>
          <w:rFonts w:hint="eastAsia" w:ascii="仿宋" w:hAnsi="仿宋" w:eastAsia="仿宋" w:cs="仿宋"/>
          <w:color w:val="000000" w:themeColor="text1"/>
          <w:szCs w:val="21"/>
          <w:highlight w:val="none"/>
          <w14:textFill>
            <w14:solidFill>
              <w14:schemeClr w14:val="tx1"/>
            </w14:solidFill>
          </w14:textFill>
        </w:rPr>
        <w:t>，乙方提供产品及相关快递服务</w:t>
      </w:r>
      <w:r>
        <w:rPr>
          <w:rFonts w:hint="eastAsia" w:ascii="仿宋" w:hAnsi="仿宋" w:eastAsia="仿宋" w:cs="仿宋"/>
          <w:color w:val="000000" w:themeColor="text1"/>
          <w:szCs w:val="21"/>
          <w:highlight w:val="none"/>
          <w:lang w:val="en-US" w:eastAsia="zh-CN"/>
          <w14:textFill>
            <w14:solidFill>
              <w14:schemeClr w14:val="tx1"/>
            </w14:solidFill>
          </w14:textFill>
        </w:rPr>
        <w:t>涉及到</w:t>
      </w:r>
      <w:r>
        <w:rPr>
          <w:rFonts w:hint="eastAsia" w:ascii="仿宋" w:hAnsi="仿宋" w:eastAsia="仿宋" w:cs="仿宋"/>
          <w:color w:val="000000" w:themeColor="text1"/>
          <w:szCs w:val="21"/>
          <w:highlight w:val="none"/>
          <w14:textFill>
            <w14:solidFill>
              <w14:schemeClr w14:val="tx1"/>
            </w14:solidFill>
          </w14:textFill>
        </w:rPr>
        <w:t>具体包装要求</w:t>
      </w:r>
      <w:r>
        <w:rPr>
          <w:rFonts w:hint="eastAsia" w:ascii="仿宋" w:hAnsi="仿宋" w:eastAsia="仿宋" w:cs="仿宋"/>
          <w:color w:val="000000" w:themeColor="text1"/>
          <w:szCs w:val="21"/>
          <w:highlight w:val="none"/>
          <w:lang w:val="en-US"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应</w:t>
      </w:r>
      <w:r>
        <w:rPr>
          <w:rFonts w:hint="eastAsia" w:ascii="仿宋" w:hAnsi="仿宋" w:eastAsia="仿宋" w:cs="仿宋"/>
          <w:color w:val="000000" w:themeColor="text1"/>
          <w:szCs w:val="21"/>
          <w:highlight w:val="none"/>
          <w:lang w:val="en-US" w:eastAsia="zh-CN"/>
          <w14:textFill>
            <w14:solidFill>
              <w14:schemeClr w14:val="tx1"/>
            </w14:solidFill>
          </w14:textFill>
        </w:rPr>
        <w:t>不低于</w:t>
      </w:r>
      <w:r>
        <w:rPr>
          <w:rFonts w:hint="eastAsia" w:ascii="仿宋" w:hAnsi="仿宋" w:eastAsia="仿宋" w:cs="仿宋"/>
          <w:color w:val="000000" w:themeColor="text1"/>
          <w:szCs w:val="21"/>
          <w:highlight w:val="none"/>
          <w14:textFill>
            <w14:solidFill>
              <w14:schemeClr w14:val="tx1"/>
            </w14:solidFill>
          </w14:textFill>
        </w:rPr>
        <w:t>《商品包装政府采购需求标准（试行）</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快递包装政府采购需求标准（试行）》</w:t>
      </w:r>
      <w:r>
        <w:rPr>
          <w:rFonts w:hint="eastAsia" w:ascii="仿宋" w:hAnsi="仿宋" w:eastAsia="仿宋" w:cs="仿宋"/>
          <w:color w:val="000000" w:themeColor="text1"/>
          <w:szCs w:val="21"/>
          <w:highlight w:val="none"/>
          <w:lang w:val="en-US" w:eastAsia="zh-CN"/>
          <w14:textFill>
            <w14:solidFill>
              <w14:schemeClr w14:val="tx1"/>
            </w14:solidFill>
          </w14:textFill>
        </w:rPr>
        <w:t>标准</w:t>
      </w:r>
      <w:r>
        <w:rPr>
          <w:rFonts w:hint="eastAsia" w:ascii="仿宋" w:hAnsi="仿宋" w:eastAsia="仿宋" w:cs="仿宋"/>
          <w:color w:val="000000" w:themeColor="text1"/>
          <w:szCs w:val="21"/>
          <w:highlight w:val="none"/>
          <w14:textFill>
            <w14:solidFill>
              <w14:schemeClr w14:val="tx1"/>
            </w14:solidFill>
          </w14:textFill>
        </w:rPr>
        <w:t>，并作为履约验收的内容，必要时甲方可以要求乙方在履约验收环节出具检测报告。</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7.5 </w:t>
      </w:r>
      <w:r>
        <w:rPr>
          <w:rFonts w:hint="eastAsia" w:ascii="仿宋" w:hAnsi="仿宋" w:eastAsia="仿宋" w:cs="仿宋"/>
          <w:color w:val="000000" w:themeColor="text1"/>
          <w:szCs w:val="21"/>
          <w:highlight w:val="none"/>
          <w14:textFill>
            <w14:solidFill>
              <w14:schemeClr w14:val="tx1"/>
            </w14:solidFill>
          </w14:textFill>
        </w:rPr>
        <w:t>乙方在运输到达之前</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提前通知</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，并提示货物运输装卸的注意事项</w:t>
      </w:r>
      <w:r>
        <w:rPr>
          <w:rFonts w:hint="eastAsia" w:ascii="仿宋" w:hAnsi="仿宋" w:eastAsia="仿宋" w:cs="仿宋"/>
          <w:color w:val="000000" w:themeColor="text1"/>
          <w:szCs w:val="21"/>
          <w:highlight w:val="none"/>
          <w:lang w:eastAsia="zh-CN"/>
          <w14:textFill>
            <w14:solidFill>
              <w14:schemeClr w14:val="tx1"/>
            </w14:solidFill>
          </w14:textFill>
        </w:rPr>
        <w:t>，甲方配合乙方做好货物的接收工作。</w:t>
      </w:r>
    </w:p>
    <w:p>
      <w:pPr>
        <w:pStyle w:val="37"/>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 xml:space="preserve">7.6 </w:t>
      </w:r>
      <w:r>
        <w:rPr>
          <w:rFonts w:hint="eastAsia" w:ascii="仿宋" w:hAnsi="仿宋" w:eastAsia="仿宋" w:cs="仿宋"/>
          <w:color w:val="000000" w:themeColor="text1"/>
          <w:kern w:val="2"/>
          <w:sz w:val="21"/>
          <w:szCs w:val="21"/>
          <w:highlight w:val="none"/>
          <w14:textFill>
            <w14:solidFill>
              <w14:schemeClr w14:val="tx1"/>
            </w14:solidFill>
          </w14:textFill>
        </w:rPr>
        <w:t>如因包装</w:t>
      </w:r>
      <w:r>
        <w:rPr>
          <w:rFonts w:hint="eastAsia" w:ascii="仿宋" w:hAnsi="仿宋" w:eastAsia="仿宋" w:cs="仿宋"/>
          <w:color w:val="000000" w:themeColor="text1"/>
          <w:kern w:val="2"/>
          <w:sz w:val="21"/>
          <w:szCs w:val="21"/>
          <w:highlight w:val="none"/>
          <w:lang w:eastAsia="zh-CN"/>
          <w14:textFill>
            <w14:solidFill>
              <w14:schemeClr w14:val="tx1"/>
            </w14:solidFill>
          </w14:textFill>
        </w:rPr>
        <w:t>、运输</w:t>
      </w:r>
      <w:r>
        <w:rPr>
          <w:rFonts w:hint="eastAsia" w:ascii="仿宋" w:hAnsi="仿宋" w:eastAsia="仿宋" w:cs="仿宋"/>
          <w:color w:val="000000" w:themeColor="text1"/>
          <w:kern w:val="2"/>
          <w:sz w:val="21"/>
          <w:szCs w:val="21"/>
          <w:highlight w:val="none"/>
          <w14:textFill>
            <w14:solidFill>
              <w14:schemeClr w14:val="tx1"/>
            </w14:solidFill>
          </w14:textFill>
        </w:rPr>
        <w:t>问题导致货物</w:t>
      </w:r>
      <w:r>
        <w:rPr>
          <w:rFonts w:hint="eastAsia" w:ascii="仿宋" w:hAnsi="仿宋" w:eastAsia="仿宋" w:cs="仿宋"/>
          <w:color w:val="000000" w:themeColor="text1"/>
          <w:kern w:val="2"/>
          <w:sz w:val="21"/>
          <w:szCs w:val="21"/>
          <w:highlight w:val="none"/>
          <w:lang w:eastAsia="zh-CN"/>
          <w14:textFill>
            <w14:solidFill>
              <w14:schemeClr w14:val="tx1"/>
            </w14:solidFill>
          </w14:textFill>
        </w:rPr>
        <w:t>损毁、丢失</w:t>
      </w:r>
      <w:r>
        <w:rPr>
          <w:rFonts w:hint="eastAsia" w:ascii="仿宋" w:hAnsi="仿宋" w:eastAsia="仿宋" w:cs="仿宋"/>
          <w:color w:val="000000" w:themeColor="text1"/>
          <w:kern w:val="2"/>
          <w:sz w:val="21"/>
          <w:szCs w:val="21"/>
          <w:highlight w:val="none"/>
          <w14:textFill>
            <w14:solidFill>
              <w14:schemeClr w14:val="tx1"/>
            </w14:solidFill>
          </w14:textFill>
        </w:rPr>
        <w:t>或者品质下降，</w:t>
      </w:r>
      <w:r>
        <w:rPr>
          <w:rFonts w:hint="eastAsia" w:ascii="仿宋" w:hAnsi="仿宋" w:eastAsia="仿宋" w:cs="仿宋"/>
          <w:color w:val="000000" w:themeColor="text1"/>
          <w:kern w:val="2"/>
          <w:sz w:val="21"/>
          <w:szCs w:val="21"/>
          <w:highlight w:val="none"/>
          <w:lang w:eastAsia="zh-CN"/>
          <w14:textFill>
            <w14:solidFill>
              <w14:schemeClr w14:val="tx1"/>
            </w14:solidFill>
          </w14:textFill>
        </w:rPr>
        <w:t>甲方</w:t>
      </w:r>
      <w:r>
        <w:rPr>
          <w:rFonts w:hint="eastAsia" w:ascii="仿宋" w:hAnsi="仿宋" w:eastAsia="仿宋" w:cs="仿宋"/>
          <w:color w:val="000000" w:themeColor="text1"/>
          <w:kern w:val="2"/>
          <w:sz w:val="21"/>
          <w:szCs w:val="21"/>
          <w:highlight w:val="none"/>
          <w14:textFill>
            <w14:solidFill>
              <w14:schemeClr w14:val="tx1"/>
            </w14:solidFill>
          </w14:textFill>
        </w:rPr>
        <w:t>有权要求降价、换货、拒收部分或整批货物，由此</w:t>
      </w:r>
      <w:r>
        <w:rPr>
          <w:rFonts w:hint="eastAsia" w:ascii="仿宋" w:hAnsi="仿宋" w:eastAsia="仿宋" w:cs="仿宋"/>
          <w:color w:val="000000" w:themeColor="text1"/>
          <w:kern w:val="2"/>
          <w:sz w:val="21"/>
          <w:szCs w:val="21"/>
          <w:highlight w:val="none"/>
          <w:lang w:eastAsia="zh-CN"/>
          <w14:textFill>
            <w14:solidFill>
              <w14:schemeClr w14:val="tx1"/>
            </w14:solidFill>
          </w14:textFill>
        </w:rPr>
        <w:t>产生</w:t>
      </w:r>
      <w:r>
        <w:rPr>
          <w:rFonts w:hint="eastAsia" w:ascii="仿宋" w:hAnsi="仿宋" w:eastAsia="仿宋" w:cs="仿宋"/>
          <w:color w:val="000000" w:themeColor="text1"/>
          <w:kern w:val="2"/>
          <w:sz w:val="21"/>
          <w:szCs w:val="21"/>
          <w:highlight w:val="none"/>
          <w14:textFill>
            <w14:solidFill>
              <w14:schemeClr w14:val="tx1"/>
            </w14:solidFill>
          </w14:textFill>
        </w:rPr>
        <w:t>的费用和损失，均由</w:t>
      </w:r>
      <w:r>
        <w:rPr>
          <w:rFonts w:hint="eastAsia" w:ascii="仿宋" w:hAnsi="仿宋" w:eastAsia="仿宋" w:cs="仿宋"/>
          <w:color w:val="000000" w:themeColor="text1"/>
          <w:kern w:val="2"/>
          <w:sz w:val="21"/>
          <w:szCs w:val="21"/>
          <w:highlight w:val="none"/>
          <w:lang w:eastAsia="zh-CN"/>
          <w14:textFill>
            <w14:solidFill>
              <w14:schemeClr w14:val="tx1"/>
            </w14:solidFill>
          </w14:textFill>
        </w:rPr>
        <w:t>乙方</w:t>
      </w:r>
      <w:r>
        <w:rPr>
          <w:rFonts w:hint="eastAsia" w:ascii="仿宋" w:hAnsi="仿宋" w:eastAsia="仿宋" w:cs="仿宋"/>
          <w:color w:val="000000" w:themeColor="text1"/>
          <w:kern w:val="2"/>
          <w:sz w:val="21"/>
          <w:szCs w:val="21"/>
          <w:highlight w:val="none"/>
          <w14:textFill>
            <w14:solidFill>
              <w14:schemeClr w14:val="tx1"/>
            </w14:solidFill>
          </w14:textFill>
        </w:rPr>
        <w:t>承担。</w:t>
      </w:r>
    </w:p>
    <w:p>
      <w:pPr>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8</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质量标准和保证</w:t>
      </w:r>
    </w:p>
    <w:p>
      <w:pPr>
        <w:pStyle w:val="14"/>
        <w:adjustRightInd w:val="0"/>
        <w:snapToGrid w:val="0"/>
        <w:spacing w:before="0" w:line="400" w:lineRule="exact"/>
        <w:ind w:firstLine="420" w:firstLineChars="200"/>
        <w:jc w:val="left"/>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8</w:t>
      </w:r>
      <w:r>
        <w:rPr>
          <w:rFonts w:hint="eastAsia" w:ascii="仿宋" w:hAnsi="仿宋" w:eastAsia="仿宋" w:cs="仿宋"/>
          <w:color w:val="000000" w:themeColor="text1"/>
          <w:highlight w:val="none"/>
          <w14:textFill>
            <w14:solidFill>
              <w14:schemeClr w14:val="tx1"/>
            </w14:solidFill>
          </w14:textFill>
        </w:rPr>
        <w:t>.1 质量标准</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（1）本合同下</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的货物应符合</w:t>
      </w:r>
      <w:r>
        <w:rPr>
          <w:rFonts w:hint="eastAsia" w:ascii="仿宋" w:hAnsi="仿宋" w:eastAsia="仿宋" w:cs="仿宋"/>
          <w:color w:val="000000" w:themeColor="text1"/>
          <w:szCs w:val="21"/>
          <w:highlight w:val="none"/>
          <w:lang w:eastAsia="zh-CN"/>
          <w14:textFill>
            <w14:solidFill>
              <w14:schemeClr w14:val="tx1"/>
            </w14:solidFill>
          </w14:textFill>
        </w:rPr>
        <w:t>合同约</w:t>
      </w:r>
      <w:r>
        <w:rPr>
          <w:rFonts w:hint="eastAsia" w:ascii="仿宋" w:hAnsi="仿宋" w:eastAsia="仿宋" w:cs="仿宋"/>
          <w:color w:val="000000" w:themeColor="text1"/>
          <w:szCs w:val="21"/>
          <w:highlight w:val="none"/>
          <w14:textFill>
            <w14:solidFill>
              <w14:schemeClr w14:val="tx1"/>
            </w14:solidFill>
          </w14:textFill>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themeColor="text1"/>
          <w:szCs w:val="21"/>
          <w:highlight w:val="none"/>
          <w:lang w:eastAsia="zh-CN"/>
          <w14:textFill>
            <w14:solidFill>
              <w14:schemeClr w14:val="tx1"/>
            </w14:solidFill>
          </w14:textFill>
        </w:rPr>
        <w:t>。</w:t>
      </w:r>
    </w:p>
    <w:p>
      <w:pPr>
        <w:pStyle w:val="14"/>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（2）采用中华人民共和国法定计量单位。</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（3）乙方所</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的货物应符合国家有关安全、环保、卫生</w:t>
      </w:r>
      <w:r>
        <w:rPr>
          <w:rFonts w:hint="eastAsia" w:ascii="仿宋" w:hAnsi="仿宋" w:eastAsia="仿宋" w:cs="仿宋"/>
          <w:color w:val="000000" w:themeColor="text1"/>
          <w:szCs w:val="21"/>
          <w:highlight w:val="none"/>
          <w:lang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规定。</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（4）乙方应向甲方提交所</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货物的技术文件，包括相应的中文技术文件，如：产品目录、图纸、操作手册、使用说明、维护手册或服务指南</w:t>
      </w:r>
      <w:r>
        <w:rPr>
          <w:rFonts w:hint="eastAsia" w:ascii="仿宋" w:hAnsi="仿宋" w:eastAsia="仿宋" w:cs="仿宋"/>
          <w:color w:val="000000" w:themeColor="text1"/>
          <w:szCs w:val="21"/>
          <w:highlight w:val="none"/>
          <w:lang w:eastAsia="zh-CN"/>
          <w14:textFill>
            <w14:solidFill>
              <w14:schemeClr w14:val="tx1"/>
            </w14:solidFill>
          </w14:textFill>
        </w:rPr>
        <w:t>等</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上述</w:t>
      </w:r>
      <w:r>
        <w:rPr>
          <w:rFonts w:hint="eastAsia" w:ascii="仿宋" w:hAnsi="仿宋" w:eastAsia="仿宋" w:cs="仿宋"/>
          <w:color w:val="000000" w:themeColor="text1"/>
          <w:szCs w:val="21"/>
          <w:highlight w:val="none"/>
          <w14:textFill>
            <w14:solidFill>
              <w14:schemeClr w14:val="tx1"/>
            </w14:solidFill>
          </w14:textFill>
        </w:rPr>
        <w:t>文件应包装好随货物一同发运。</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 保证</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（1）乙方应保证</w:t>
      </w:r>
      <w:r>
        <w:rPr>
          <w:rFonts w:hint="eastAsia" w:ascii="仿宋" w:hAnsi="仿宋" w:eastAsia="仿宋" w:cs="仿宋"/>
          <w:color w:val="000000" w:themeColor="text1"/>
          <w:szCs w:val="21"/>
          <w:highlight w:val="none"/>
          <w:lang w:eastAsia="zh-CN"/>
          <w14:textFill>
            <w14:solidFill>
              <w14:schemeClr w14:val="tx1"/>
            </w14:solidFill>
          </w14:textFill>
        </w:rPr>
        <w:t>提供的货物</w:t>
      </w:r>
      <w:r>
        <w:rPr>
          <w:rFonts w:hint="eastAsia" w:ascii="仿宋" w:hAnsi="仿宋" w:eastAsia="仿宋" w:cs="仿宋"/>
          <w:color w:val="000000" w:themeColor="text1"/>
          <w:szCs w:val="21"/>
          <w:highlight w:val="none"/>
          <w14:textFill>
            <w14:solidFill>
              <w14:schemeClr w14:val="tx1"/>
            </w14:solidFill>
          </w14:textFill>
        </w:rPr>
        <w:t>完全符合合同规定的质量、规格和性能要求。乙方应保证货物在正确安装、正常使用和保养条件下，在其使用寿命期内具</w:t>
      </w:r>
      <w:r>
        <w:rPr>
          <w:rFonts w:hint="eastAsia" w:ascii="仿宋" w:hAnsi="仿宋" w:eastAsia="仿宋" w:cs="仿宋"/>
          <w:color w:val="000000" w:themeColor="text1"/>
          <w:szCs w:val="21"/>
          <w:highlight w:val="none"/>
          <w:lang w:eastAsia="zh-CN"/>
          <w14:textFill>
            <w14:solidFill>
              <w14:schemeClr w14:val="tx1"/>
            </w14:solidFill>
          </w14:textFill>
        </w:rPr>
        <w:t>备合同约定</w:t>
      </w:r>
      <w:r>
        <w:rPr>
          <w:rFonts w:hint="eastAsia" w:ascii="仿宋" w:hAnsi="仿宋" w:eastAsia="仿宋" w:cs="仿宋"/>
          <w:color w:val="000000" w:themeColor="text1"/>
          <w:szCs w:val="21"/>
          <w:highlight w:val="none"/>
          <w14:textFill>
            <w14:solidFill>
              <w14:schemeClr w14:val="tx1"/>
            </w14:solidFill>
          </w14:textFill>
        </w:rPr>
        <w:t>的性能。</w:t>
      </w:r>
      <w:r>
        <w:rPr>
          <w:rFonts w:hint="eastAsia" w:ascii="仿宋" w:hAnsi="仿宋" w:eastAsia="仿宋" w:cs="仿宋"/>
          <w:color w:val="000000" w:themeColor="text1"/>
          <w:szCs w:val="21"/>
          <w:highlight w:val="none"/>
          <w:lang w:eastAsia="zh-CN"/>
          <w14:textFill>
            <w14:solidFill>
              <w14:schemeClr w14:val="tx1"/>
            </w14:solidFill>
          </w14:textFill>
        </w:rPr>
        <w:t>存在</w:t>
      </w:r>
      <w:r>
        <w:rPr>
          <w:rFonts w:hint="eastAsia" w:ascii="仿宋" w:hAnsi="仿宋" w:eastAsia="仿宋" w:cs="仿宋"/>
          <w:color w:val="000000" w:themeColor="text1"/>
          <w:szCs w:val="21"/>
          <w:highlight w:val="none"/>
          <w14:textFill>
            <w14:solidFill>
              <w14:schemeClr w14:val="tx1"/>
            </w14:solidFill>
          </w14:textFill>
        </w:rPr>
        <w:t>质量保证期的，货物最终交付验收</w:t>
      </w:r>
      <w:r>
        <w:rPr>
          <w:rFonts w:hint="eastAsia" w:ascii="仿宋" w:hAnsi="仿宋" w:eastAsia="仿宋" w:cs="仿宋"/>
          <w:color w:val="000000" w:themeColor="text1"/>
          <w:szCs w:val="21"/>
          <w:highlight w:val="none"/>
          <w:lang w:eastAsia="zh-CN"/>
          <w14:textFill>
            <w14:solidFill>
              <w14:schemeClr w14:val="tx1"/>
            </w14:solidFill>
          </w14:textFill>
        </w:rPr>
        <w:t>合格</w:t>
      </w:r>
      <w:r>
        <w:rPr>
          <w:rFonts w:hint="eastAsia" w:ascii="仿宋" w:hAnsi="仿宋" w:eastAsia="仿宋" w:cs="仿宋"/>
          <w:color w:val="000000" w:themeColor="text1"/>
          <w:szCs w:val="21"/>
          <w:highlight w:val="none"/>
          <w14:textFill>
            <w14:solidFill>
              <w14:schemeClr w14:val="tx1"/>
            </w14:solidFill>
          </w14:textFill>
        </w:rPr>
        <w:t>后</w:t>
      </w:r>
      <w:r>
        <w:rPr>
          <w:rFonts w:hint="eastAsia" w:ascii="仿宋" w:hAnsi="仿宋" w:eastAsia="仿宋" w:cs="仿宋"/>
          <w:color w:val="000000" w:themeColor="text1"/>
          <w:szCs w:val="21"/>
          <w:highlight w:val="none"/>
          <w:lang w:eastAsia="zh-CN"/>
          <w14:textFill>
            <w14:solidFill>
              <w14:schemeClr w14:val="tx1"/>
            </w14:solidFill>
          </w14:textFill>
        </w:rPr>
        <w:t>在</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规定或乙方</w:t>
      </w:r>
      <w:r>
        <w:rPr>
          <w:rFonts w:hint="eastAsia" w:ascii="仿宋" w:hAnsi="仿宋" w:eastAsia="仿宋" w:cs="仿宋"/>
          <w:color w:val="000000" w:themeColor="text1"/>
          <w:szCs w:val="21"/>
          <w:highlight w:val="none"/>
          <w:lang w:eastAsia="zh-CN"/>
          <w14:textFill>
            <w14:solidFill>
              <w14:schemeClr w14:val="tx1"/>
            </w14:solidFill>
          </w14:textFill>
        </w:rPr>
        <w:t>书面</w:t>
      </w:r>
      <w:r>
        <w:rPr>
          <w:rFonts w:hint="eastAsia" w:ascii="仿宋" w:hAnsi="仿宋" w:eastAsia="仿宋" w:cs="仿宋"/>
          <w:color w:val="000000" w:themeColor="text1"/>
          <w:szCs w:val="21"/>
          <w:highlight w:val="none"/>
          <w14:textFill>
            <w14:solidFill>
              <w14:schemeClr w14:val="tx1"/>
            </w14:solidFill>
          </w14:textFill>
        </w:rPr>
        <w:t>承诺（两者以较长的为准）的质量保证期内，本保证保持有效。</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（2）在质量保证期内所发现的缺陷，甲方应尽快以书面形式通知乙方。</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（3）乙方收到通知后</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应在</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规定的响应时间内以合理的速度免费维修或更换有缺陷的货物或部件。</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.1条规定以书面形式</w:t>
      </w:r>
      <w:r>
        <w:rPr>
          <w:rFonts w:hint="eastAsia" w:ascii="仿宋" w:hAnsi="仿宋" w:eastAsia="仿宋" w:cs="仿宋"/>
          <w:color w:val="000000" w:themeColor="text1"/>
          <w:szCs w:val="21"/>
          <w:highlight w:val="none"/>
          <w:lang w:eastAsia="zh-CN"/>
          <w14:textFill>
            <w14:solidFill>
              <w14:schemeClr w14:val="tx1"/>
            </w14:solidFill>
          </w14:textFill>
        </w:rPr>
        <w:t>追究</w:t>
      </w: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eastAsia="zh-CN"/>
          <w14:textFill>
            <w14:solidFill>
              <w14:schemeClr w14:val="tx1"/>
            </w14:solidFill>
          </w14:textFill>
        </w:rPr>
        <w:t>的违约责任</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仿宋" w:hAnsi="仿宋" w:eastAsia="仿宋" w:cs="仿宋"/>
          <w:color w:val="000000" w:themeColor="text1"/>
          <w:szCs w:val="21"/>
          <w:highlight w:val="none"/>
          <w:lang w:eastAsia="zh-CN"/>
          <w14:textFill>
            <w14:solidFill>
              <w14:schemeClr w14:val="tx1"/>
            </w14:solidFill>
          </w14:textFill>
        </w:rPr>
        <w:t>约定</w:t>
      </w:r>
      <w:r>
        <w:rPr>
          <w:rFonts w:hint="eastAsia" w:ascii="仿宋" w:hAnsi="仿宋" w:eastAsia="仿宋" w:cs="仿宋"/>
          <w:color w:val="000000" w:themeColor="text1"/>
          <w:szCs w:val="21"/>
          <w:highlight w:val="none"/>
          <w14:textFill>
            <w14:solidFill>
              <w14:schemeClr w14:val="tx1"/>
            </w14:solidFill>
          </w14:textFill>
        </w:rPr>
        <w:t>对乙方行使的其他权利不受影响。</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9</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权利瑕疵担保</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.1 乙方保证对其出售的货物享有合法的权利。</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 xml:space="preserve">.2 </w:t>
      </w:r>
      <w:r>
        <w:rPr>
          <w:rFonts w:hint="eastAsia" w:ascii="仿宋" w:hAnsi="仿宋" w:eastAsia="仿宋" w:cs="仿宋"/>
          <w:color w:val="000000" w:themeColor="text1"/>
          <w:szCs w:val="15"/>
          <w:highlight w:val="none"/>
          <w14:textFill>
            <w14:solidFill>
              <w14:schemeClr w14:val="tx1"/>
            </w14:solidFill>
          </w14:textFill>
        </w:rPr>
        <w:t>乙方保证在交付的货物上不存在抵押权等担保物权。</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.3 如甲方使用</w:t>
      </w:r>
      <w:r>
        <w:rPr>
          <w:rFonts w:hint="eastAsia" w:ascii="仿宋" w:hAnsi="仿宋" w:eastAsia="仿宋" w:cs="仿宋"/>
          <w:color w:val="000000" w:themeColor="text1"/>
          <w:szCs w:val="21"/>
          <w:highlight w:val="none"/>
          <w:lang w:val="en-US" w:eastAsia="zh-CN"/>
          <w14:textFill>
            <w14:solidFill>
              <w14:schemeClr w14:val="tx1"/>
            </w14:solidFill>
          </w14:textFill>
        </w:rPr>
        <w:t>上述</w:t>
      </w:r>
      <w:r>
        <w:rPr>
          <w:rFonts w:hint="eastAsia" w:ascii="仿宋" w:hAnsi="仿宋" w:eastAsia="仿宋" w:cs="仿宋"/>
          <w:color w:val="000000" w:themeColor="text1"/>
          <w:szCs w:val="21"/>
          <w:highlight w:val="none"/>
          <w14:textFill>
            <w14:solidFill>
              <w14:schemeClr w14:val="tx1"/>
            </w14:solidFill>
          </w14:textFill>
        </w:rPr>
        <w:t>货物构成</w:t>
      </w:r>
      <w:r>
        <w:rPr>
          <w:rFonts w:hint="eastAsia" w:ascii="仿宋" w:hAnsi="仿宋" w:eastAsia="仿宋" w:cs="仿宋"/>
          <w:color w:val="000000" w:themeColor="text1"/>
          <w:szCs w:val="21"/>
          <w:highlight w:val="none"/>
          <w:lang w:val="en-US" w:eastAsia="zh-CN"/>
          <w14:textFill>
            <w14:solidFill>
              <w14:schemeClr w14:val="tx1"/>
            </w14:solidFill>
          </w14:textFill>
        </w:rPr>
        <w:t>对第三人</w:t>
      </w:r>
      <w:r>
        <w:rPr>
          <w:rFonts w:hint="eastAsia" w:ascii="仿宋" w:hAnsi="仿宋" w:eastAsia="仿宋" w:cs="仿宋"/>
          <w:color w:val="000000" w:themeColor="text1"/>
          <w:szCs w:val="21"/>
          <w:highlight w:val="none"/>
          <w14:textFill>
            <w14:solidFill>
              <w14:schemeClr w14:val="tx1"/>
            </w14:solidFill>
          </w14:textFill>
        </w:rPr>
        <w:t>侵权的，则由乙方承担全部责任。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0</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知识产权保护</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.1 乙方对其所销售的货物应当享有知识产权或经权利人合法授权，保证没有侵犯任何第三人的知识产权等权利。</w:t>
      </w:r>
      <w:bookmarkStart w:id="613" w:name="_Hlk163047038"/>
      <w:r>
        <w:rPr>
          <w:rFonts w:hint="eastAsia" w:ascii="仿宋" w:hAnsi="仿宋" w:eastAsia="仿宋" w:cs="仿宋"/>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613"/>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1</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保密义务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15"/>
          <w:highlight w:val="none"/>
          <w14:textFill>
            <w14:solidFill>
              <w14:schemeClr w14:val="tx1"/>
            </w14:solidFill>
          </w14:textFill>
        </w:rPr>
      </w:pPr>
      <w:r>
        <w:rPr>
          <w:rFonts w:hint="eastAsia" w:ascii="仿宋" w:hAnsi="仿宋" w:eastAsia="仿宋" w:cs="仿宋"/>
          <w:color w:val="000000" w:themeColor="text1"/>
          <w:szCs w:val="15"/>
          <w:highlight w:val="none"/>
          <w:lang w:val="en-US" w:eastAsia="zh-CN"/>
          <w14:textFill>
            <w14:solidFill>
              <w14:schemeClr w14:val="tx1"/>
            </w14:solidFill>
          </w14:textFill>
        </w:rPr>
        <w:t xml:space="preserve">11.1 </w:t>
      </w:r>
      <w:r>
        <w:rPr>
          <w:rFonts w:hint="eastAsia" w:ascii="仿宋" w:hAnsi="仿宋" w:eastAsia="仿宋" w:cs="仿宋"/>
          <w:color w:val="000000" w:themeColor="text1"/>
          <w:szCs w:val="15"/>
          <w:highlight w:val="none"/>
          <w14:textFill>
            <w14:solidFill>
              <w14:schemeClr w14:val="tx1"/>
            </w14:solidFill>
          </w14:textFill>
        </w:rPr>
        <w:t>甲、乙双方</w:t>
      </w:r>
      <w:r>
        <w:rPr>
          <w:rFonts w:hint="eastAsia" w:ascii="仿宋" w:hAnsi="仿宋" w:eastAsia="仿宋" w:cs="仿宋"/>
          <w:color w:val="000000" w:themeColor="text1"/>
          <w:szCs w:val="15"/>
          <w:highlight w:val="none"/>
          <w:lang w:eastAsia="zh-CN"/>
          <w14:textFill>
            <w14:solidFill>
              <w14:schemeClr w14:val="tx1"/>
            </w14:solidFill>
          </w14:textFill>
        </w:rPr>
        <w:t>对</w:t>
      </w:r>
      <w:r>
        <w:rPr>
          <w:rFonts w:hint="eastAsia" w:ascii="仿宋" w:hAnsi="仿宋" w:eastAsia="仿宋" w:cs="仿宋"/>
          <w:color w:val="000000" w:themeColor="text1"/>
          <w:szCs w:val="15"/>
          <w:highlight w:val="none"/>
          <w14:textFill>
            <w14:solidFill>
              <w14:schemeClr w14:val="tx1"/>
            </w14:solidFill>
          </w14:textFill>
        </w:rPr>
        <w:t>采购和合同履行过程中所获悉的</w:t>
      </w:r>
      <w:r>
        <w:rPr>
          <w:rFonts w:hint="eastAsia" w:ascii="仿宋" w:hAnsi="仿宋" w:eastAsia="仿宋" w:cs="仿宋"/>
          <w:color w:val="000000" w:themeColor="text1"/>
          <w:szCs w:val="15"/>
          <w:highlight w:val="none"/>
          <w:lang w:eastAsia="zh-CN"/>
          <w14:textFill>
            <w14:solidFill>
              <w14:schemeClr w14:val="tx1"/>
            </w14:solidFill>
          </w14:textFill>
        </w:rPr>
        <w:t>国家秘密、工作秘密、</w:t>
      </w:r>
      <w:r>
        <w:rPr>
          <w:rFonts w:hint="eastAsia" w:ascii="仿宋" w:hAnsi="仿宋" w:eastAsia="仿宋" w:cs="仿宋"/>
          <w:color w:val="000000" w:themeColor="text1"/>
          <w:szCs w:val="15"/>
          <w:highlight w:val="none"/>
          <w14:textFill>
            <w14:solidFill>
              <w14:schemeClr w14:val="tx1"/>
            </w14:solidFill>
          </w14:textFill>
        </w:rPr>
        <w:t>商业秘密或者其他应当保密的信息，均有保密义务</w:t>
      </w:r>
      <w:r>
        <w:rPr>
          <w:rFonts w:hint="eastAsia" w:ascii="仿宋" w:hAnsi="仿宋" w:eastAsia="仿宋" w:cs="仿宋"/>
          <w:color w:val="000000" w:themeColor="text1"/>
          <w:szCs w:val="15"/>
          <w:highlight w:val="none"/>
          <w:lang w:eastAsia="zh-CN"/>
          <w14:textFill>
            <w14:solidFill>
              <w14:schemeClr w14:val="tx1"/>
            </w14:solidFill>
          </w14:textFill>
        </w:rPr>
        <w:t>且不受合同有效期所限，直至该信息成为公开信息</w:t>
      </w:r>
      <w:r>
        <w:rPr>
          <w:rFonts w:hint="eastAsia" w:ascii="仿宋" w:hAnsi="仿宋" w:eastAsia="仿宋" w:cs="仿宋"/>
          <w:color w:val="000000" w:themeColor="text1"/>
          <w:szCs w:val="15"/>
          <w:highlight w:val="none"/>
          <w14:textFill>
            <w14:solidFill>
              <w14:schemeClr w14:val="tx1"/>
            </w14:solidFill>
          </w14:textFill>
        </w:rPr>
        <w:t>。泄露、不正当地使用</w:t>
      </w:r>
      <w:r>
        <w:rPr>
          <w:rFonts w:hint="eastAsia" w:ascii="仿宋" w:hAnsi="仿宋" w:eastAsia="仿宋" w:cs="仿宋"/>
          <w:color w:val="000000" w:themeColor="text1"/>
          <w:szCs w:val="15"/>
          <w:highlight w:val="none"/>
          <w:lang w:eastAsia="zh-CN"/>
          <w14:textFill>
            <w14:solidFill>
              <w14:schemeClr w14:val="tx1"/>
            </w14:solidFill>
          </w14:textFill>
        </w:rPr>
        <w:t>国家秘密、工作秘密、</w:t>
      </w:r>
      <w:r>
        <w:rPr>
          <w:rFonts w:hint="eastAsia" w:ascii="仿宋" w:hAnsi="仿宋" w:eastAsia="仿宋" w:cs="仿宋"/>
          <w:color w:val="000000" w:themeColor="text1"/>
          <w:szCs w:val="15"/>
          <w:highlight w:val="none"/>
          <w14:textFill>
            <w14:solidFill>
              <w14:schemeClr w14:val="tx1"/>
            </w14:solidFill>
          </w14:textFill>
        </w:rPr>
        <w:t>商业秘密或者</w:t>
      </w:r>
      <w:r>
        <w:rPr>
          <w:rFonts w:hint="eastAsia" w:ascii="仿宋" w:hAnsi="仿宋" w:eastAsia="仿宋" w:cs="仿宋"/>
          <w:color w:val="000000" w:themeColor="text1"/>
          <w:szCs w:val="15"/>
          <w:highlight w:val="none"/>
          <w:lang w:eastAsia="zh-CN"/>
          <w14:textFill>
            <w14:solidFill>
              <w14:schemeClr w14:val="tx1"/>
            </w14:solidFill>
          </w14:textFill>
        </w:rPr>
        <w:t>其他应当保密的</w:t>
      </w:r>
      <w:r>
        <w:rPr>
          <w:rFonts w:hint="eastAsia" w:ascii="仿宋" w:hAnsi="仿宋" w:eastAsia="仿宋" w:cs="仿宋"/>
          <w:color w:val="000000" w:themeColor="text1"/>
          <w:szCs w:val="15"/>
          <w:highlight w:val="none"/>
          <w14:textFill>
            <w14:solidFill>
              <w14:schemeClr w14:val="tx1"/>
            </w14:solidFill>
          </w14:textFill>
        </w:rPr>
        <w:t>信息，应当承担</w:t>
      </w:r>
      <w:r>
        <w:rPr>
          <w:rFonts w:hint="eastAsia" w:ascii="仿宋" w:hAnsi="仿宋" w:eastAsia="仿宋" w:cs="仿宋"/>
          <w:color w:val="000000" w:themeColor="text1"/>
          <w:szCs w:val="15"/>
          <w:highlight w:val="none"/>
          <w:lang w:eastAsia="zh-CN"/>
          <w14:textFill>
            <w14:solidFill>
              <w14:schemeClr w14:val="tx1"/>
            </w14:solidFill>
          </w14:textFill>
        </w:rPr>
        <w:t>相应</w:t>
      </w:r>
      <w:r>
        <w:rPr>
          <w:rFonts w:hint="eastAsia" w:ascii="仿宋" w:hAnsi="仿宋" w:eastAsia="仿宋" w:cs="仿宋"/>
          <w:color w:val="000000" w:themeColor="text1"/>
          <w:szCs w:val="15"/>
          <w:highlight w:val="none"/>
          <w14:textFill>
            <w14:solidFill>
              <w14:schemeClr w14:val="tx1"/>
            </w14:solidFill>
          </w14:textFill>
        </w:rPr>
        <w:t>责任。其他应当保密的信息由双方在</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color w:val="000000" w:themeColor="text1"/>
          <w:szCs w:val="15"/>
          <w:highlight w:val="none"/>
          <w14:textFill>
            <w14:solidFill>
              <w14:schemeClr w14:val="tx1"/>
            </w14:solidFill>
          </w14:textFill>
        </w:rPr>
        <w:t>中约定。</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2</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合同价款支付</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 xml:space="preserve">.1 </w:t>
      </w:r>
      <w:r>
        <w:rPr>
          <w:rFonts w:hint="eastAsia" w:ascii="仿宋" w:hAnsi="仿宋" w:eastAsia="仿宋" w:cs="仿宋"/>
          <w:color w:val="000000" w:themeColor="text1"/>
          <w:szCs w:val="21"/>
          <w:highlight w:val="none"/>
          <w:lang w:eastAsia="zh-CN"/>
          <w14:textFill>
            <w14:solidFill>
              <w14:schemeClr w14:val="tx1"/>
            </w14:solidFill>
          </w14:textFill>
        </w:rPr>
        <w:t>合同价款支付</w:t>
      </w:r>
      <w:r>
        <w:rPr>
          <w:rFonts w:hint="eastAsia" w:ascii="仿宋" w:hAnsi="仿宋" w:eastAsia="仿宋" w:cs="仿宋"/>
          <w:color w:val="000000" w:themeColor="text1"/>
          <w:szCs w:val="21"/>
          <w:highlight w:val="none"/>
          <w14:textFill>
            <w14:solidFill>
              <w14:schemeClr w14:val="tx1"/>
            </w14:solidFill>
          </w14:textFill>
        </w:rPr>
        <w:t>按照国库集中支付</w:t>
      </w:r>
      <w:r>
        <w:rPr>
          <w:rFonts w:hint="eastAsia" w:ascii="仿宋" w:hAnsi="仿宋" w:eastAsia="仿宋" w:cs="仿宋"/>
          <w:color w:val="000000" w:themeColor="text1"/>
          <w:szCs w:val="21"/>
          <w:highlight w:val="none"/>
          <w:lang w:eastAsia="zh-CN"/>
          <w14:textFill>
            <w14:solidFill>
              <w14:schemeClr w14:val="tx1"/>
            </w14:solidFill>
          </w14:textFill>
        </w:rPr>
        <w:t>制度及财政管理相关</w:t>
      </w:r>
      <w:r>
        <w:rPr>
          <w:rFonts w:hint="eastAsia" w:ascii="仿宋" w:hAnsi="仿宋" w:eastAsia="仿宋" w:cs="仿宋"/>
          <w:color w:val="000000" w:themeColor="text1"/>
          <w:szCs w:val="21"/>
          <w:highlight w:val="none"/>
          <w14:textFill>
            <w14:solidFill>
              <w14:schemeClr w14:val="tx1"/>
            </w14:solidFill>
          </w14:textFill>
        </w:rPr>
        <w:t>规定执行。</w:t>
      </w:r>
    </w:p>
    <w:p>
      <w:pPr>
        <w:adjustRightInd w:val="0"/>
        <w:snapToGrid w:val="0"/>
        <w:spacing w:before="0" w:line="400" w:lineRule="exact"/>
        <w:ind w:firstLine="420" w:firstLineChars="200"/>
        <w:jc w:val="lef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12.2 对于满足合同约定支付条件的，甲方原则上应当自收到发票后10个工作日内将资金支付到合</w:t>
      </w:r>
      <w:r>
        <w:rPr>
          <w:rFonts w:hint="eastAsia" w:ascii="仿宋" w:hAnsi="仿宋" w:eastAsia="仿宋" w:cs="仿宋"/>
          <w:color w:val="000000" w:themeColor="text1"/>
          <w:szCs w:val="21"/>
          <w:highlight w:val="none"/>
          <w14:textFill>
            <w14:solidFill>
              <w14:schemeClr w14:val="tx1"/>
            </w14:solidFill>
          </w14:textFill>
        </w:rPr>
        <w:t>同约定的</w:t>
      </w:r>
      <w:r>
        <w:rPr>
          <w:rFonts w:hint="eastAsia" w:ascii="仿宋" w:hAnsi="仿宋" w:eastAsia="仿宋" w:cs="仿宋"/>
          <w:color w:val="000000" w:themeColor="text1"/>
          <w:szCs w:val="2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14:textFill>
            <w14:solidFill>
              <w14:schemeClr w14:val="tx1"/>
            </w14:solidFill>
          </w14:textFill>
        </w:rPr>
        <w:t>账户，不得以机构变动、人员更替、政策调整等为由迟延付款，不得将采购文件和合同中未规</w:t>
      </w:r>
      <w:r>
        <w:rPr>
          <w:rFonts w:hint="eastAsia" w:ascii="仿宋" w:hAnsi="仿宋" w:eastAsia="仿宋" w:cs="仿宋"/>
          <w:b w:val="0"/>
          <w:bCs w:val="0"/>
          <w:color w:val="000000" w:themeColor="text1"/>
          <w:kern w:val="2"/>
          <w:sz w:val="21"/>
          <w:szCs w:val="21"/>
          <w:highlight w:val="none"/>
          <w14:textFill>
            <w14:solidFill>
              <w14:schemeClr w14:val="tx1"/>
            </w14:solidFill>
          </w14:textFill>
        </w:rPr>
        <w:t>定的义务作为向</w:t>
      </w:r>
      <w:r>
        <w:rPr>
          <w:rFonts w:hint="eastAsia" w:ascii="仿宋" w:hAnsi="仿宋" w:eastAsia="仿宋" w:cs="仿宋"/>
          <w:b w:val="0"/>
          <w:bCs w:val="0"/>
          <w:color w:val="000000" w:themeColor="text1"/>
          <w:kern w:val="2"/>
          <w:sz w:val="21"/>
          <w:szCs w:val="21"/>
          <w:highlight w:val="none"/>
          <w:lang w:val="en-US" w:eastAsia="zh-CN"/>
          <w14:textFill>
            <w14:solidFill>
              <w14:schemeClr w14:val="tx1"/>
            </w14:solidFill>
          </w14:textFill>
        </w:rPr>
        <w:t>乙方</w:t>
      </w:r>
      <w:r>
        <w:rPr>
          <w:rFonts w:hint="eastAsia" w:ascii="仿宋" w:hAnsi="仿宋" w:eastAsia="仿宋" w:cs="仿宋"/>
          <w:b w:val="0"/>
          <w:bCs w:val="0"/>
          <w:color w:val="000000" w:themeColor="text1"/>
          <w:kern w:val="2"/>
          <w:sz w:val="21"/>
          <w:szCs w:val="21"/>
          <w:highlight w:val="none"/>
          <w14:textFill>
            <w14:solidFill>
              <w14:schemeClr w14:val="tx1"/>
            </w14:solidFill>
          </w14:textFill>
        </w:rPr>
        <w:t>付款的条件。具体合同价款支付时间在【</w:t>
      </w:r>
      <w:r>
        <w:rPr>
          <w:rFonts w:hint="eastAsia" w:ascii="仿宋" w:hAnsi="仿宋" w:eastAsia="仿宋" w:cs="仿宋"/>
          <w:b/>
          <w:bCs/>
          <w:color w:val="000000" w:themeColor="text1"/>
          <w:kern w:val="2"/>
          <w:sz w:val="2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kern w:val="2"/>
          <w:sz w:val="21"/>
          <w:szCs w:val="21"/>
          <w:highlight w:val="none"/>
          <w14:textFill>
            <w14:solidFill>
              <w14:schemeClr w14:val="tx1"/>
            </w14:solidFill>
          </w14:textFill>
        </w:rPr>
        <w:t>】中</w:t>
      </w:r>
      <w:r>
        <w:rPr>
          <w:rFonts w:hint="eastAsia" w:ascii="仿宋" w:hAnsi="仿宋" w:eastAsia="仿宋" w:cs="仿宋"/>
          <w:b w:val="0"/>
          <w:bCs w:val="0"/>
          <w:color w:val="000000" w:themeColor="text1"/>
          <w:kern w:val="2"/>
          <w:sz w:val="21"/>
          <w:szCs w:val="21"/>
          <w:highlight w:val="none"/>
          <w:lang w:eastAsia="zh-CN"/>
          <w14:textFill>
            <w14:solidFill>
              <w14:schemeClr w14:val="tx1"/>
            </w14:solidFill>
          </w14:textFill>
        </w:rPr>
        <w:t>约</w:t>
      </w:r>
      <w:r>
        <w:rPr>
          <w:rFonts w:hint="eastAsia" w:ascii="仿宋" w:hAnsi="仿宋" w:eastAsia="仿宋" w:cs="仿宋"/>
          <w:b w:val="0"/>
          <w:bCs w:val="0"/>
          <w:color w:val="000000" w:themeColor="text1"/>
          <w:kern w:val="2"/>
          <w:sz w:val="21"/>
          <w:szCs w:val="21"/>
          <w:highlight w:val="none"/>
          <w14:textFill>
            <w14:solidFill>
              <w14:schemeClr w14:val="tx1"/>
            </w14:solidFill>
          </w14:textFill>
        </w:rPr>
        <w:t>定。</w:t>
      </w:r>
    </w:p>
    <w:p>
      <w:pPr>
        <w:pStyle w:val="2"/>
        <w:spacing w:after="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w:t>
      </w:r>
      <w:r>
        <w:rPr>
          <w:rFonts w:hint="eastAsia" w:ascii="仿宋" w:hAnsi="仿宋" w:eastAsia="仿宋" w:cs="仿宋"/>
          <w:b/>
          <w:bCs/>
          <w:color w:val="000000" w:themeColor="text1"/>
          <w:sz w:val="24"/>
          <w:szCs w:val="24"/>
          <w:highlight w:val="none"/>
          <w:lang w:eastAsia="zh-CN"/>
          <w14:textFill>
            <w14:solidFill>
              <w14:schemeClr w14:val="tx1"/>
            </w14:solidFill>
          </w14:textFill>
        </w:rPr>
        <w:t>3</w:t>
      </w:r>
      <w:r>
        <w:rPr>
          <w:rFonts w:hint="eastAsia" w:ascii="仿宋" w:hAnsi="仿宋" w:eastAsia="仿宋" w:cs="仿宋"/>
          <w:b/>
          <w:bCs/>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履约保证金</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 xml:space="preserve">.1 </w:t>
      </w:r>
      <w:r>
        <w:rPr>
          <w:rFonts w:hint="eastAsia" w:ascii="仿宋" w:hAnsi="仿宋" w:eastAsia="仿宋" w:cs="仿宋"/>
          <w:color w:val="000000" w:themeColor="text1"/>
          <w:szCs w:val="15"/>
          <w:highlight w:val="none"/>
          <w14:textFill>
            <w14:solidFill>
              <w14:schemeClr w14:val="tx1"/>
            </w14:solidFill>
          </w14:textFill>
        </w:rPr>
        <w:t>乙方应当以支票、汇票、本票或者金融机构、担保机构出具的保函等非现金形式提交。</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.2 如果乙方</w:t>
      </w:r>
      <w:r>
        <w:rPr>
          <w:rFonts w:hint="eastAsia" w:ascii="仿宋" w:hAnsi="仿宋" w:eastAsia="仿宋" w:cs="仿宋"/>
          <w:color w:val="000000" w:themeColor="text1"/>
          <w:szCs w:val="21"/>
          <w:highlight w:val="none"/>
          <w:lang w:eastAsia="zh-CN"/>
          <w14:textFill>
            <w14:solidFill>
              <w14:schemeClr w14:val="tx1"/>
            </w14:solidFill>
          </w14:textFill>
        </w:rPr>
        <w:t>出现</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15"/>
          <w:highlight w:val="none"/>
          <w:lang w:eastAsia="zh-CN"/>
          <w14:textFill>
            <w14:solidFill>
              <w14:schemeClr w14:val="tx1"/>
            </w14:solidFill>
          </w14:textFill>
        </w:rPr>
        <w:t>约定情形的</w:t>
      </w:r>
      <w:r>
        <w:rPr>
          <w:rFonts w:hint="eastAsia" w:ascii="仿宋" w:hAnsi="仿宋" w:eastAsia="仿宋" w:cs="仿宋"/>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w:t>
      </w:r>
      <w:r>
        <w:rPr>
          <w:rFonts w:hint="eastAsia" w:ascii="仿宋" w:hAnsi="仿宋" w:eastAsia="仿宋" w:cs="仿宋"/>
          <w:color w:val="000000" w:themeColor="text1"/>
          <w:szCs w:val="21"/>
          <w:highlight w:val="none"/>
          <w:lang w:eastAsia="zh-CN"/>
          <w14:textFill>
            <w14:solidFill>
              <w14:schemeClr w14:val="tx1"/>
            </w14:solidFill>
          </w14:textFill>
        </w:rPr>
        <w:t>且</w:t>
      </w:r>
      <w:r>
        <w:rPr>
          <w:rFonts w:hint="eastAsia" w:ascii="仿宋" w:hAnsi="仿宋" w:eastAsia="仿宋" w:cs="仿宋"/>
          <w:color w:val="000000" w:themeColor="text1"/>
          <w:szCs w:val="21"/>
          <w:highlight w:val="none"/>
          <w14:textFill>
            <w14:solidFill>
              <w14:schemeClr w14:val="tx1"/>
            </w14:solidFill>
          </w14:textFill>
        </w:rPr>
        <w:t>不影响甲方要求乙方承担合同约定的超过履约保证金的违约责任的权利。</w:t>
      </w:r>
    </w:p>
    <w:p>
      <w:pPr>
        <w:spacing w:line="400" w:lineRule="exact"/>
        <w:ind w:firstLine="4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.3 甲方在项目通过验收后按照</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规定支付。</w:t>
      </w:r>
    </w:p>
    <w:p>
      <w:p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4</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售后服务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 除项目不涉及或采购活动中明确约定无须承担外，乙方还应提供下列服务：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（1）货物的现场移动、安装、调试、启动监督及技术支持；</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（2）提供货物组装和维修所需的专用工具和辅助材料；</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（3）在</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约定</w:t>
      </w:r>
      <w:r>
        <w:rPr>
          <w:rFonts w:hint="eastAsia" w:ascii="仿宋" w:hAnsi="仿宋" w:eastAsia="仿宋" w:cs="仿宋"/>
          <w:color w:val="000000" w:themeColor="text1"/>
          <w:szCs w:val="21"/>
          <w:highlight w:val="none"/>
          <w14:textFill>
            <w14:solidFill>
              <w14:schemeClr w14:val="tx1"/>
            </w14:solidFill>
          </w14:textFill>
        </w:rPr>
        <w:t>的期限内对所有的货物实施运行监督、维修，但前提条件是该服务并不能免除乙方在质量保证期内所承担的义务；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（4）在制造商</w:t>
      </w:r>
      <w:r>
        <w:rPr>
          <w:rFonts w:hint="eastAsia" w:ascii="仿宋" w:hAnsi="仿宋" w:eastAsia="仿宋" w:cs="仿宋"/>
          <w:color w:val="000000" w:themeColor="text1"/>
          <w:szCs w:val="21"/>
          <w:highlight w:val="none"/>
          <w:lang w:eastAsia="zh-CN"/>
          <w14:textFill>
            <w14:solidFill>
              <w14:schemeClr w14:val="tx1"/>
            </w14:solidFill>
          </w14:textFill>
        </w:rPr>
        <w:t>所在地</w:t>
      </w:r>
      <w:r>
        <w:rPr>
          <w:rFonts w:hint="eastAsia" w:ascii="仿宋" w:hAnsi="仿宋" w:eastAsia="仿宋" w:cs="仿宋"/>
          <w:color w:val="000000" w:themeColor="text1"/>
          <w:szCs w:val="21"/>
          <w:highlight w:val="none"/>
          <w14:textFill>
            <w14:solidFill>
              <w14:schemeClr w14:val="tx1"/>
            </w14:solidFill>
          </w14:textFill>
        </w:rPr>
        <w:t>或</w:t>
      </w:r>
      <w:r>
        <w:rPr>
          <w:rFonts w:hint="eastAsia" w:ascii="仿宋" w:hAnsi="仿宋" w:eastAsia="仿宋" w:cs="仿宋"/>
          <w:color w:val="000000" w:themeColor="text1"/>
          <w:szCs w:val="21"/>
          <w:highlight w:val="none"/>
          <w:lang w:eastAsia="zh-CN"/>
          <w14:textFill>
            <w14:solidFill>
              <w14:schemeClr w14:val="tx1"/>
            </w14:solidFill>
          </w14:textFill>
        </w:rPr>
        <w:t>指定</w:t>
      </w:r>
      <w:r>
        <w:rPr>
          <w:rFonts w:hint="eastAsia" w:ascii="仿宋" w:hAnsi="仿宋" w:eastAsia="仿宋" w:cs="仿宋"/>
          <w:color w:val="000000" w:themeColor="text1"/>
          <w:szCs w:val="21"/>
          <w:highlight w:val="none"/>
          <w14:textFill>
            <w14:solidFill>
              <w14:schemeClr w14:val="tx1"/>
            </w14:solidFill>
          </w14:textFill>
        </w:rPr>
        <w:t>现场就货物的安装、启动、运营、维护</w:t>
      </w:r>
      <w:r>
        <w:rPr>
          <w:rFonts w:hint="eastAsia" w:ascii="仿宋" w:hAnsi="仿宋" w:eastAsia="仿宋" w:cs="仿宋"/>
          <w:color w:val="000000" w:themeColor="text1"/>
          <w:szCs w:val="21"/>
          <w:highlight w:val="none"/>
          <w:lang w:eastAsia="zh-CN"/>
          <w14:textFill>
            <w14:solidFill>
              <w14:schemeClr w14:val="tx1"/>
            </w14:solidFill>
          </w14:textFill>
        </w:rPr>
        <w:t>、废弃处置等</w:t>
      </w:r>
      <w:r>
        <w:rPr>
          <w:rFonts w:hint="eastAsia" w:ascii="仿宋" w:hAnsi="仿宋" w:eastAsia="仿宋" w:cs="仿宋"/>
          <w:color w:val="000000" w:themeColor="text1"/>
          <w:szCs w:val="21"/>
          <w:highlight w:val="none"/>
          <w14:textFill>
            <w14:solidFill>
              <w14:schemeClr w14:val="tx1"/>
            </w14:solidFill>
          </w14:textFill>
        </w:rPr>
        <w:t>对甲方操作人员进行培训</w:t>
      </w:r>
      <w:r>
        <w:rPr>
          <w:rFonts w:hint="eastAsia" w:ascii="仿宋" w:hAnsi="仿宋" w:eastAsia="仿宋" w:cs="仿宋"/>
          <w:color w:val="000000" w:themeColor="text1"/>
          <w:szCs w:val="15"/>
          <w:highlight w:val="none"/>
          <w:lang w:eastAsia="zh-CN"/>
          <w14:textFill>
            <w14:solidFill>
              <w14:schemeClr w14:val="tx1"/>
            </w14:solidFill>
          </w14:textFill>
        </w:rPr>
        <w:t>；</w:t>
      </w:r>
    </w:p>
    <w:p>
      <w:pPr>
        <w:pStyle w:val="37"/>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（5）依照法律、行政法规的规定或者按照</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szCs w:val="21"/>
          <w:highlight w:val="none"/>
          <w14:textFill>
            <w14:solidFill>
              <w14:schemeClr w14:val="tx1"/>
            </w14:solidFill>
          </w14:textFill>
        </w:rPr>
        <w:t>约定，货物在有效使用年限届满后应予回收的，乙方负有自行或者委托第三人对货物予以回收的义务；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规定由乙方提供的其他服务。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.2 乙方提供的</w:t>
      </w:r>
      <w:r>
        <w:rPr>
          <w:rFonts w:hint="eastAsia" w:ascii="仿宋" w:hAnsi="仿宋" w:eastAsia="仿宋" w:cs="仿宋"/>
          <w:color w:val="000000" w:themeColor="text1"/>
          <w:szCs w:val="21"/>
          <w:highlight w:val="none"/>
          <w:lang w:eastAsia="zh-CN"/>
          <w14:textFill>
            <w14:solidFill>
              <w14:schemeClr w14:val="tx1"/>
            </w14:solidFill>
          </w14:textFill>
        </w:rPr>
        <w:t>售后</w:t>
      </w:r>
      <w:r>
        <w:rPr>
          <w:rFonts w:hint="eastAsia" w:ascii="仿宋" w:hAnsi="仿宋" w:eastAsia="仿宋" w:cs="仿宋"/>
          <w:color w:val="000000" w:themeColor="text1"/>
          <w:szCs w:val="21"/>
          <w:highlight w:val="none"/>
          <w14:textFill>
            <w14:solidFill>
              <w14:schemeClr w14:val="tx1"/>
            </w14:solidFill>
          </w14:textFill>
        </w:rPr>
        <w:t>服务的费用</w:t>
      </w:r>
      <w:r>
        <w:rPr>
          <w:rFonts w:hint="eastAsia" w:ascii="仿宋" w:hAnsi="仿宋" w:eastAsia="仿宋" w:cs="仿宋"/>
          <w:color w:val="000000" w:themeColor="text1"/>
          <w:szCs w:val="21"/>
          <w:highlight w:val="none"/>
          <w:lang w:val="en-US" w:eastAsia="zh-CN"/>
          <w14:textFill>
            <w14:solidFill>
              <w14:schemeClr w14:val="tx1"/>
            </w14:solidFill>
          </w14:textFill>
        </w:rPr>
        <w:t>已</w:t>
      </w:r>
      <w:r>
        <w:rPr>
          <w:rFonts w:hint="eastAsia" w:ascii="仿宋" w:hAnsi="仿宋" w:eastAsia="仿宋" w:cs="仿宋"/>
          <w:color w:val="000000" w:themeColor="text1"/>
          <w:szCs w:val="21"/>
          <w:highlight w:val="none"/>
          <w14:textFill>
            <w14:solidFill>
              <w14:schemeClr w14:val="tx1"/>
            </w14:solidFill>
          </w14:textFill>
        </w:rPr>
        <w:t>包含在合同价款中，甲方不再另行支付。</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5</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违约责任</w:t>
      </w:r>
    </w:p>
    <w:p>
      <w:pPr>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.1质量瑕疵的</w:t>
      </w:r>
      <w:r>
        <w:rPr>
          <w:rFonts w:hint="eastAsia" w:ascii="仿宋" w:hAnsi="仿宋" w:eastAsia="仿宋" w:cs="仿宋"/>
          <w:bCs/>
          <w:color w:val="000000" w:themeColor="text1"/>
          <w:szCs w:val="21"/>
          <w:highlight w:val="none"/>
          <w:lang w:eastAsia="zh-CN"/>
          <w14:textFill>
            <w14:solidFill>
              <w14:schemeClr w14:val="tx1"/>
            </w14:solidFill>
          </w14:textFill>
        </w:rPr>
        <w:t>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的产品不符合</w:t>
      </w:r>
      <w:r>
        <w:rPr>
          <w:rFonts w:hint="eastAsia" w:ascii="仿宋" w:hAnsi="仿宋" w:eastAsia="仿宋" w:cs="仿宋"/>
          <w:color w:val="000000" w:themeColor="text1"/>
          <w:szCs w:val="21"/>
          <w:highlight w:val="none"/>
          <w:lang w:eastAsia="zh-CN"/>
          <w14:textFill>
            <w14:solidFill>
              <w14:schemeClr w14:val="tx1"/>
            </w14:solidFill>
          </w14:textFill>
        </w:rPr>
        <w:t>合同约定的</w:t>
      </w:r>
      <w:r>
        <w:rPr>
          <w:rFonts w:hint="eastAsia" w:ascii="仿宋" w:hAnsi="仿宋" w:eastAsia="仿宋" w:cs="仿宋"/>
          <w:color w:val="000000" w:themeColor="text1"/>
          <w:szCs w:val="21"/>
          <w:highlight w:val="none"/>
          <w14:textFill>
            <w14:solidFill>
              <w14:schemeClr w14:val="tx1"/>
            </w14:solidFill>
          </w14:textFill>
        </w:rPr>
        <w:t>质量标准或存在产品质量缺陷，</w:t>
      </w:r>
      <w:r>
        <w:rPr>
          <w:rFonts w:hint="eastAsia" w:ascii="仿宋" w:hAnsi="仿宋" w:eastAsia="仿宋" w:cs="仿宋"/>
          <w:color w:val="000000" w:themeColor="text1"/>
          <w:szCs w:val="21"/>
          <w:highlight w:val="none"/>
          <w:lang w:eastAsia="zh-CN"/>
          <w14:textFill>
            <w14:solidFill>
              <w14:schemeClr w14:val="tx1"/>
            </w14:solidFill>
          </w14:textFill>
        </w:rPr>
        <w:t>甲方有权要求乙方根据</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color w:val="000000" w:themeColor="text1"/>
          <w:szCs w:val="21"/>
          <w:highlight w:val="none"/>
          <w:lang w:eastAsia="zh-CN"/>
          <w14:textFill>
            <w14:solidFill>
              <w14:schemeClr w14:val="tx1"/>
            </w14:solidFill>
          </w14:textFill>
        </w:rPr>
        <w:t>要求</w:t>
      </w:r>
      <w:r>
        <w:rPr>
          <w:rFonts w:hint="eastAsia" w:ascii="仿宋" w:hAnsi="仿宋" w:eastAsia="仿宋" w:cs="仿宋"/>
          <w:color w:val="000000" w:themeColor="text1"/>
          <w:szCs w:val="21"/>
          <w:highlight w:val="none"/>
          <w:lang w:eastAsia="zh-CN"/>
          <w14:textFill>
            <w14:solidFill>
              <w14:schemeClr w14:val="tx1"/>
            </w14:solidFill>
          </w14:textFill>
        </w:rPr>
        <w:t>及时修理、重作、更换，并承担由此给甲</w:t>
      </w:r>
      <w:r>
        <w:rPr>
          <w:rFonts w:hint="eastAsia" w:ascii="仿宋" w:hAnsi="仿宋" w:eastAsia="仿宋" w:cs="仿宋"/>
          <w:color w:val="000000" w:themeColor="text1"/>
          <w:szCs w:val="21"/>
          <w:highlight w:val="none"/>
          <w14:textFill>
            <w14:solidFill>
              <w14:schemeClr w14:val="tx1"/>
            </w14:solidFill>
          </w14:textFill>
        </w:rPr>
        <w:t>方</w:t>
      </w:r>
      <w:r>
        <w:rPr>
          <w:rFonts w:hint="eastAsia" w:ascii="仿宋" w:hAnsi="仿宋" w:eastAsia="仿宋" w:cs="仿宋"/>
          <w:color w:val="000000" w:themeColor="text1"/>
          <w:szCs w:val="21"/>
          <w:highlight w:val="none"/>
          <w:lang w:eastAsia="zh-CN"/>
          <w14:textFill>
            <w14:solidFill>
              <w14:schemeClr w14:val="tx1"/>
            </w14:solidFill>
          </w14:textFill>
        </w:rPr>
        <w:t>造成的损失</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.2 迟延交货的违约责任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（1）乙方应按照本合同规定的时间、地点交货和提供</w:t>
      </w:r>
      <w:r>
        <w:rPr>
          <w:rFonts w:hint="eastAsia" w:ascii="仿宋" w:hAnsi="仿宋" w:eastAsia="仿宋" w:cs="仿宋"/>
          <w:color w:val="000000" w:themeColor="text1"/>
          <w:szCs w:val="21"/>
          <w:highlight w:val="none"/>
          <w:lang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服务。在履行合同过程中，如果乙方遇到可能</w:t>
      </w:r>
      <w:r>
        <w:rPr>
          <w:rFonts w:hint="eastAsia" w:ascii="仿宋" w:hAnsi="仿宋" w:eastAsia="仿宋" w:cs="仿宋"/>
          <w:color w:val="000000" w:themeColor="text1"/>
          <w:szCs w:val="21"/>
          <w:highlight w:val="none"/>
          <w:lang w:eastAsia="zh-CN"/>
          <w14:textFill>
            <w14:solidFill>
              <w14:schemeClr w14:val="tx1"/>
            </w14:solidFill>
          </w14:textFill>
        </w:rPr>
        <w:t>影响</w:t>
      </w:r>
      <w:r>
        <w:rPr>
          <w:rFonts w:hint="eastAsia" w:ascii="仿宋" w:hAnsi="仿宋" w:eastAsia="仿宋" w:cs="仿宋"/>
          <w:color w:val="000000" w:themeColor="text1"/>
          <w:szCs w:val="21"/>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000000" w:themeColor="text1"/>
          <w:szCs w:val="21"/>
          <w:highlight w:val="none"/>
          <w:lang w:eastAsia="zh-CN"/>
          <w14:textFill>
            <w14:solidFill>
              <w14:schemeClr w14:val="tx1"/>
            </w14:solidFill>
          </w14:textFill>
        </w:rPr>
        <w:t>长</w:t>
      </w:r>
      <w:r>
        <w:rPr>
          <w:rFonts w:hint="eastAsia" w:ascii="仿宋" w:hAnsi="仿宋" w:eastAsia="仿宋" w:cs="仿宋"/>
          <w:color w:val="000000" w:themeColor="text1"/>
          <w:szCs w:val="21"/>
          <w:highlight w:val="none"/>
          <w14:textFill>
            <w14:solidFill>
              <w14:schemeClr w14:val="tx1"/>
            </w14:solidFill>
          </w14:textFill>
        </w:rPr>
        <w:t>交货时间或延期提供服务。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（2）如果乙方没有按照合同规定的时间交货和提供</w:t>
      </w:r>
      <w:r>
        <w:rPr>
          <w:rFonts w:hint="eastAsia" w:ascii="仿宋" w:hAnsi="仿宋" w:eastAsia="仿宋" w:cs="仿宋"/>
          <w:color w:val="000000" w:themeColor="text1"/>
          <w:szCs w:val="21"/>
          <w:highlight w:val="none"/>
          <w:lang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服务，甲方有权从货款中扣除误期赔偿费而不影响合同项下的其他补救方法，赔偿费按</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规定执行。如果涉及公共利益，且赔偿金额无法弥补公共利益损失，</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可要求继续履行或者</w:t>
      </w:r>
      <w:r>
        <w:rPr>
          <w:rFonts w:hint="eastAsia" w:ascii="仿宋" w:hAnsi="仿宋" w:eastAsia="仿宋" w:cs="仿宋"/>
          <w:color w:val="000000" w:themeColor="text1"/>
          <w:szCs w:val="21"/>
          <w:highlight w:val="none"/>
          <w:lang w:eastAsia="zh-CN"/>
          <w14:textFill>
            <w14:solidFill>
              <w14:schemeClr w14:val="tx1"/>
            </w14:solidFill>
          </w14:textFill>
        </w:rPr>
        <w:t>采取其他补救措施</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.3 迟延支付的违约责任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甲方存在迟延支付乙方合同款项的，应当承担</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规定的逾期付款利息。</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.4其他违约责任根据项目实际需要按</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规定执行。</w:t>
      </w:r>
    </w:p>
    <w:p>
      <w:pPr>
        <w:numPr>
          <w:ilvl w:val="0"/>
          <w:numId w:val="8"/>
        </w:num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合同变更</w:t>
      </w:r>
      <w:r>
        <w:rPr>
          <w:rFonts w:hint="eastAsia" w:ascii="仿宋" w:hAnsi="仿宋" w:eastAsia="仿宋" w:cs="仿宋"/>
          <w:b/>
          <w:color w:val="000000" w:themeColor="text1"/>
          <w:sz w:val="24"/>
          <w:highlight w:val="none"/>
          <w:lang w:eastAsia="zh-CN"/>
          <w14:textFill>
            <w14:solidFill>
              <w14:schemeClr w14:val="tx1"/>
            </w14:solidFill>
          </w14:textFill>
        </w:rPr>
        <w:t>、中止与终止</w:t>
      </w:r>
    </w:p>
    <w:p>
      <w:pPr>
        <w:autoSpaceDE/>
        <w:autoSpaceDN/>
        <w:adjustRightInd w:val="0"/>
        <w:snapToGrid w:val="0"/>
        <w:spacing w:before="0" w:line="400" w:lineRule="exact"/>
        <w:ind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.1合同的</w:t>
      </w:r>
      <w:r>
        <w:rPr>
          <w:rFonts w:hint="eastAsia" w:ascii="仿宋" w:hAnsi="仿宋" w:eastAsia="仿宋" w:cs="仿宋"/>
          <w:color w:val="000000" w:themeColor="text1"/>
          <w:szCs w:val="21"/>
          <w:highlight w:val="none"/>
          <w:lang w:eastAsia="zh-CN"/>
          <w14:textFill>
            <w14:solidFill>
              <w14:schemeClr w14:val="tx1"/>
            </w14:solidFill>
          </w14:textFill>
        </w:rPr>
        <w:t>变更</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政府采购合同履行中，</w:t>
      </w:r>
      <w:r>
        <w:rPr>
          <w:rFonts w:hint="eastAsia" w:ascii="仿宋" w:hAnsi="仿宋" w:eastAsia="仿宋" w:cs="仿宋"/>
          <w:color w:val="000000" w:themeColor="text1"/>
          <w:szCs w:val="21"/>
          <w:highlight w:val="none"/>
          <w14:textFill>
            <w14:solidFill>
              <w14:schemeClr w14:val="tx1"/>
            </w14:solidFill>
          </w14:textFill>
        </w:rPr>
        <w:t>在不改变合同其他条款的前提下，甲方可以在合同价款10%的范围内追加与合同标的相同的货物，并就此与乙方协商</w:t>
      </w:r>
      <w:r>
        <w:rPr>
          <w:rFonts w:hint="eastAsia" w:ascii="仿宋" w:hAnsi="仿宋" w:eastAsia="仿宋" w:cs="仿宋"/>
          <w:color w:val="000000" w:themeColor="text1"/>
          <w:szCs w:val="21"/>
          <w:highlight w:val="none"/>
          <w:lang w:eastAsia="zh-CN"/>
          <w14:textFill>
            <w14:solidFill>
              <w14:schemeClr w14:val="tx1"/>
            </w14:solidFill>
          </w14:textFill>
        </w:rPr>
        <w:t>一致后</w:t>
      </w:r>
      <w:r>
        <w:rPr>
          <w:rFonts w:hint="eastAsia" w:ascii="仿宋" w:hAnsi="仿宋" w:eastAsia="仿宋" w:cs="仿宋"/>
          <w:color w:val="000000" w:themeColor="text1"/>
          <w:szCs w:val="21"/>
          <w:highlight w:val="none"/>
          <w14:textFill>
            <w14:solidFill>
              <w14:schemeClr w14:val="tx1"/>
            </w14:solidFill>
          </w14:textFill>
        </w:rPr>
        <w:t>签订补充协议。</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合同的中止</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（1）合同履行过程中因供应商就采购文件、采购过程或结果提起投诉的，甲方认为有必要的，</w:t>
      </w:r>
      <w:r>
        <w:rPr>
          <w:rFonts w:hint="eastAsia" w:ascii="仿宋" w:hAnsi="仿宋" w:eastAsia="仿宋" w:cs="仿宋"/>
          <w:color w:val="000000" w:themeColor="text1"/>
          <w:szCs w:val="21"/>
          <w:highlight w:val="none"/>
          <w:lang w:eastAsia="zh-CN"/>
          <w14:textFill>
            <w14:solidFill>
              <w14:schemeClr w14:val="tx1"/>
            </w14:solidFill>
          </w14:textFill>
        </w:rPr>
        <w:t>可以</w:t>
      </w:r>
      <w:r>
        <w:rPr>
          <w:rFonts w:hint="eastAsia" w:ascii="仿宋" w:hAnsi="仿宋" w:eastAsia="仿宋" w:cs="仿宋"/>
          <w:color w:val="000000" w:themeColor="text1"/>
          <w:szCs w:val="21"/>
          <w:highlight w:val="none"/>
          <w14:textFill>
            <w14:solidFill>
              <w14:schemeClr w14:val="tx1"/>
            </w14:solidFill>
          </w14:textFill>
        </w:rPr>
        <w:t>中止合同的履行。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合同履行过程中，</w:t>
      </w:r>
      <w:r>
        <w:rPr>
          <w:rFonts w:hint="eastAsia" w:ascii="仿宋" w:hAnsi="仿宋" w:eastAsia="仿宋" w:cs="仿宋"/>
          <w:color w:val="000000" w:themeColor="text1"/>
          <w:szCs w:val="21"/>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000000" w:themeColor="text1"/>
          <w:szCs w:val="21"/>
          <w:highlight w:val="none"/>
          <w:lang w:eastAsia="zh-CN"/>
          <w14:textFill>
            <w14:solidFill>
              <w14:schemeClr w14:val="tx1"/>
            </w14:solidFill>
          </w14:textFill>
        </w:rPr>
        <w:t>，乙方有义务及时告知甲方</w:t>
      </w:r>
      <w:r>
        <w:rPr>
          <w:rFonts w:hint="eastAsia" w:ascii="仿宋" w:hAnsi="仿宋" w:eastAsia="仿宋" w:cs="仿宋"/>
          <w:color w:val="000000" w:themeColor="text1"/>
          <w:szCs w:val="21"/>
          <w:highlight w:val="none"/>
          <w14:textFill>
            <w14:solidFill>
              <w14:schemeClr w14:val="tx1"/>
            </w14:solidFill>
          </w14:textFill>
        </w:rPr>
        <w:t>。甲方</w:t>
      </w:r>
      <w:r>
        <w:rPr>
          <w:rFonts w:hint="eastAsia" w:ascii="仿宋" w:hAnsi="仿宋" w:eastAsia="仿宋" w:cs="仿宋"/>
          <w:color w:val="000000" w:themeColor="text1"/>
          <w:szCs w:val="21"/>
          <w:highlight w:val="none"/>
          <w:lang w:eastAsia="zh-CN"/>
          <w14:textFill>
            <w14:solidFill>
              <w14:schemeClr w14:val="tx1"/>
            </w14:solidFill>
          </w14:textFill>
        </w:rPr>
        <w:t>有权</w:t>
      </w:r>
      <w:r>
        <w:rPr>
          <w:rFonts w:hint="eastAsia" w:ascii="仿宋" w:hAnsi="仿宋" w:eastAsia="仿宋" w:cs="仿宋"/>
          <w:color w:val="000000" w:themeColor="text1"/>
          <w:szCs w:val="21"/>
          <w:highlight w:val="none"/>
          <w14:textFill>
            <w14:solidFill>
              <w14:schemeClr w14:val="tx1"/>
            </w14:solidFill>
          </w14:textFill>
        </w:rPr>
        <w:t>以书面形式通知乙方中止合同</w:t>
      </w:r>
      <w:r>
        <w:rPr>
          <w:rFonts w:hint="eastAsia" w:ascii="仿宋" w:hAnsi="仿宋" w:eastAsia="仿宋" w:cs="仿宋"/>
          <w:color w:val="000000" w:themeColor="text1"/>
          <w:szCs w:val="21"/>
          <w:highlight w:val="none"/>
          <w:lang w:eastAsia="zh-CN"/>
          <w14:textFill>
            <w14:solidFill>
              <w14:schemeClr w14:val="tx1"/>
            </w14:solidFill>
          </w14:textFill>
        </w:rPr>
        <w:t>并要求乙方在合理期限内消除相关情形或者提供适当担保。</w:t>
      </w:r>
      <w:r>
        <w:rPr>
          <w:rFonts w:hint="eastAsia" w:ascii="仿宋" w:hAnsi="仿宋" w:eastAsia="仿宋" w:cs="仿宋"/>
          <w:color w:val="000000" w:themeColor="text1"/>
          <w:szCs w:val="21"/>
          <w:highlight w:val="none"/>
          <w14:textFill>
            <w14:solidFill>
              <w14:schemeClr w14:val="tx1"/>
            </w14:solidFill>
          </w14:textFill>
        </w:rPr>
        <w:t>乙方提供适当担保的，</w:t>
      </w:r>
      <w:r>
        <w:rPr>
          <w:rFonts w:hint="eastAsia" w:ascii="仿宋" w:hAnsi="仿宋" w:eastAsia="仿宋" w:cs="仿宋"/>
          <w:color w:val="000000" w:themeColor="text1"/>
          <w:szCs w:val="21"/>
          <w:highlight w:val="none"/>
          <w:lang w:eastAsia="zh-CN"/>
          <w14:textFill>
            <w14:solidFill>
              <w14:schemeClr w14:val="tx1"/>
            </w14:solidFill>
          </w14:textFill>
        </w:rPr>
        <w:t>合同继续</w:t>
      </w:r>
      <w:r>
        <w:rPr>
          <w:rFonts w:hint="eastAsia" w:ascii="仿宋" w:hAnsi="仿宋" w:eastAsia="仿宋" w:cs="仿宋"/>
          <w:color w:val="000000" w:themeColor="text1"/>
          <w:szCs w:val="21"/>
          <w:highlight w:val="none"/>
          <w14:textFill>
            <w14:solidFill>
              <w14:schemeClr w14:val="tx1"/>
            </w14:solidFill>
          </w14:textFill>
        </w:rPr>
        <w:t>履行</w:t>
      </w:r>
      <w:r>
        <w:rPr>
          <w:rFonts w:hint="eastAsia" w:ascii="仿宋" w:hAnsi="仿宋" w:eastAsia="仿宋" w:cs="仿宋"/>
          <w:color w:val="000000" w:themeColor="text1"/>
          <w:szCs w:val="21"/>
          <w:highlight w:val="none"/>
          <w:lang w:eastAsia="zh-CN"/>
          <w14:textFill>
            <w14:solidFill>
              <w14:schemeClr w14:val="tx1"/>
            </w14:solidFill>
          </w14:textFill>
        </w:rPr>
        <w:t>；乙</w:t>
      </w:r>
      <w:r>
        <w:rPr>
          <w:rFonts w:hint="eastAsia" w:ascii="仿宋" w:hAnsi="仿宋" w:eastAsia="仿宋" w:cs="仿宋"/>
          <w:color w:val="000000" w:themeColor="text1"/>
          <w:szCs w:val="21"/>
          <w:highlight w:val="none"/>
          <w14:textFill>
            <w14:solidFill>
              <w14:schemeClr w14:val="tx1"/>
            </w14:solidFill>
          </w14:textFill>
        </w:rPr>
        <w:t>方在合理期限内未恢复履约能力且未提供适当担保的，视为拒绝</w:t>
      </w:r>
      <w:r>
        <w:rPr>
          <w:rFonts w:hint="eastAsia" w:ascii="仿宋" w:hAnsi="仿宋" w:eastAsia="仿宋" w:cs="仿宋"/>
          <w:color w:val="000000" w:themeColor="text1"/>
          <w:szCs w:val="21"/>
          <w:highlight w:val="none"/>
          <w:lang w:eastAsia="zh-CN"/>
          <w14:textFill>
            <w14:solidFill>
              <w14:schemeClr w14:val="tx1"/>
            </w14:solidFill>
          </w14:textFill>
        </w:rPr>
        <w:t>继续</w:t>
      </w:r>
      <w:r>
        <w:rPr>
          <w:rFonts w:hint="eastAsia" w:ascii="仿宋" w:hAnsi="仿宋" w:eastAsia="仿宋" w:cs="仿宋"/>
          <w:color w:val="000000" w:themeColor="text1"/>
          <w:szCs w:val="21"/>
          <w:highlight w:val="none"/>
          <w14:textFill>
            <w14:solidFill>
              <w14:schemeClr w14:val="tx1"/>
            </w14:solidFill>
          </w14:textFill>
        </w:rPr>
        <w:t>履约，甲方</w:t>
      </w:r>
      <w:r>
        <w:rPr>
          <w:rFonts w:hint="eastAsia" w:ascii="仿宋" w:hAnsi="仿宋" w:eastAsia="仿宋" w:cs="仿宋"/>
          <w:color w:val="000000" w:themeColor="text1"/>
          <w:szCs w:val="21"/>
          <w:highlight w:val="none"/>
          <w:lang w:eastAsia="zh-CN"/>
          <w14:textFill>
            <w14:solidFill>
              <w14:schemeClr w14:val="tx1"/>
            </w14:solidFill>
          </w14:textFill>
        </w:rPr>
        <w:t>有权</w:t>
      </w:r>
      <w:r>
        <w:rPr>
          <w:rFonts w:hint="eastAsia" w:ascii="仿宋" w:hAnsi="仿宋" w:eastAsia="仿宋" w:cs="仿宋"/>
          <w:color w:val="000000" w:themeColor="text1"/>
          <w:szCs w:val="21"/>
          <w:highlight w:val="none"/>
          <w14:textFill>
            <w14:solidFill>
              <w14:schemeClr w14:val="tx1"/>
            </w14:solidFill>
          </w14:textFill>
        </w:rPr>
        <w:t>解除合同并要求乙方承担</w:t>
      </w:r>
      <w:r>
        <w:rPr>
          <w:rFonts w:hint="eastAsia" w:ascii="仿宋" w:hAnsi="仿宋" w:eastAsia="仿宋" w:cs="仿宋"/>
          <w:color w:val="000000" w:themeColor="text1"/>
          <w:szCs w:val="21"/>
          <w:highlight w:val="none"/>
          <w:lang w:eastAsia="zh-CN"/>
          <w14:textFill>
            <w14:solidFill>
              <w14:schemeClr w14:val="tx1"/>
            </w14:solidFill>
          </w14:textFill>
        </w:rPr>
        <w:t>由此给甲方造成的损失</w:t>
      </w:r>
      <w:r>
        <w:rPr>
          <w:rFonts w:hint="eastAsia" w:ascii="仿宋" w:hAnsi="仿宋" w:eastAsia="仿宋" w:cs="仿宋"/>
          <w:color w:val="000000" w:themeColor="text1"/>
          <w:szCs w:val="21"/>
          <w:highlight w:val="none"/>
          <w14:textFill>
            <w14:solidFill>
              <w14:schemeClr w14:val="tx1"/>
            </w14:solidFill>
          </w14:textFill>
        </w:rPr>
        <w:t>。</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（3）乙方分立、合并或者变更住所的，应当及时以书面形式告知甲方。乙方没有</w:t>
      </w:r>
      <w:r>
        <w:rPr>
          <w:rFonts w:hint="eastAsia" w:ascii="仿宋" w:hAnsi="仿宋" w:eastAsia="仿宋" w:cs="仿宋"/>
          <w:color w:val="000000" w:themeColor="text1"/>
          <w:sz w:val="21"/>
          <w:highlight w:val="none"/>
          <w:lang w:eastAsia="zh-CN"/>
          <w14:textFill>
            <w14:solidFill>
              <w14:schemeClr w14:val="tx1"/>
            </w14:solidFill>
          </w14:textFill>
        </w:rPr>
        <w:t>及时告知</w:t>
      </w:r>
      <w:r>
        <w:rPr>
          <w:rFonts w:hint="eastAsia" w:ascii="仿宋" w:hAnsi="仿宋" w:eastAsia="仿宋" w:cs="仿宋"/>
          <w:color w:val="000000" w:themeColor="text1"/>
          <w:sz w:val="21"/>
          <w:highlight w:val="none"/>
          <w14:textFill>
            <w14:solidFill>
              <w14:schemeClr w14:val="tx1"/>
            </w14:solidFill>
          </w14:textFill>
        </w:rPr>
        <w:t>甲方，致使</w:t>
      </w:r>
      <w:r>
        <w:rPr>
          <w:rFonts w:hint="eastAsia" w:ascii="仿宋" w:hAnsi="仿宋" w:eastAsia="仿宋" w:cs="仿宋"/>
          <w:color w:val="000000" w:themeColor="text1"/>
          <w:sz w:val="21"/>
          <w:highlight w:val="none"/>
          <w:lang w:eastAsia="zh-CN"/>
          <w14:textFill>
            <w14:solidFill>
              <w14:schemeClr w14:val="tx1"/>
            </w14:solidFill>
          </w14:textFill>
        </w:rPr>
        <w:t>合同</w:t>
      </w:r>
      <w:r>
        <w:rPr>
          <w:rFonts w:hint="eastAsia" w:ascii="仿宋" w:hAnsi="仿宋" w:eastAsia="仿宋" w:cs="仿宋"/>
          <w:color w:val="000000" w:themeColor="text1"/>
          <w:sz w:val="21"/>
          <w:highlight w:val="none"/>
          <w14:textFill>
            <w14:solidFill>
              <w14:schemeClr w14:val="tx1"/>
            </w14:solidFill>
          </w14:textFill>
        </w:rPr>
        <w:t>履行发生困难的，甲方可以中止合同履行并要求乙方承担由此给甲方造成的损失。</w:t>
      </w:r>
    </w:p>
    <w:p>
      <w:pPr>
        <w:snapToGrid w:val="0"/>
        <w:spacing w:line="400" w:lineRule="exact"/>
        <w:ind w:firstLine="420" w:firstLineChars="200"/>
        <w:jc w:val="left"/>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）甲方不得以行政区划调整、政府换届、机构或者职能调整以及相关责任人更替为由中止合同。</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合同的终止</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（1）合同因有效期限届满而终止；</w:t>
      </w:r>
    </w:p>
    <w:p>
      <w:pPr>
        <w:snapToGrid w:val="0"/>
        <w:spacing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（2）乙方未</w:t>
      </w:r>
      <w:r>
        <w:rPr>
          <w:rFonts w:hint="eastAsia" w:ascii="仿宋" w:hAnsi="仿宋" w:eastAsia="仿宋" w:cs="仿宋"/>
          <w:color w:val="000000" w:themeColor="text1"/>
          <w:szCs w:val="21"/>
          <w:highlight w:val="none"/>
          <w:lang w:eastAsia="zh-CN"/>
          <w14:textFill>
            <w14:solidFill>
              <w14:schemeClr w14:val="tx1"/>
            </w14:solidFill>
          </w14:textFill>
        </w:rPr>
        <w:t>按</w:t>
      </w:r>
      <w:r>
        <w:rPr>
          <w:rFonts w:hint="eastAsia" w:ascii="仿宋" w:hAnsi="仿宋" w:eastAsia="仿宋" w:cs="仿宋"/>
          <w:color w:val="000000" w:themeColor="text1"/>
          <w:szCs w:val="21"/>
          <w:highlight w:val="none"/>
          <w14:textFill>
            <w14:solidFill>
              <w14:schemeClr w14:val="tx1"/>
            </w14:solidFill>
          </w14:textFill>
        </w:rPr>
        <w:t>合同约定履行，构成根本性违约的，甲方有权终止合同</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并追究乙方的违约责</w:t>
      </w:r>
      <w:r>
        <w:rPr>
          <w:rFonts w:hint="eastAsia" w:ascii="仿宋" w:hAnsi="仿宋" w:eastAsia="仿宋" w:cs="仿宋"/>
          <w:color w:val="000000" w:themeColor="text1"/>
          <w:szCs w:val="21"/>
          <w:highlight w:val="none"/>
          <w:lang w:val="en-US" w:eastAsia="zh-CN"/>
          <w14:textFill>
            <w14:solidFill>
              <w14:schemeClr w14:val="tx1"/>
            </w14:solidFill>
          </w14:textFill>
        </w:rPr>
        <w:t>任</w:t>
      </w:r>
      <w:r>
        <w:rPr>
          <w:rFonts w:hint="eastAsia" w:ascii="仿宋" w:hAnsi="仿宋" w:eastAsia="仿宋" w:cs="仿宋"/>
          <w:color w:val="000000" w:themeColor="text1"/>
          <w:szCs w:val="21"/>
          <w:highlight w:val="none"/>
          <w14:textFill>
            <w14:solidFill>
              <w14:schemeClr w14:val="tx1"/>
            </w14:solidFill>
          </w14:textFill>
        </w:rPr>
        <w:t>。</w:t>
      </w:r>
    </w:p>
    <w:p>
      <w:pPr>
        <w:pStyle w:val="37"/>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16.4 </w:t>
      </w: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涉及国家利益、社会公共利益的情形</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政府采购合同继续履行将损害国家利益和社会公共利益的，双方当事人</w:t>
      </w:r>
      <w:r>
        <w:rPr>
          <w:rFonts w:hint="eastAsia" w:ascii="仿宋" w:hAnsi="仿宋" w:eastAsia="仿宋" w:cs="仿宋"/>
          <w:color w:val="000000" w:themeColor="text1"/>
          <w:sz w:val="21"/>
          <w:highlight w:val="none"/>
          <w:lang w:val="en-US" w:eastAsia="zh-CN"/>
          <w14:textFill>
            <w14:solidFill>
              <w14:schemeClr w14:val="tx1"/>
            </w14:solidFill>
          </w14:textFill>
        </w:rPr>
        <w:t>应当变更、</w:t>
      </w:r>
      <w:r>
        <w:rPr>
          <w:rFonts w:hint="eastAsia" w:ascii="仿宋" w:hAnsi="仿宋" w:eastAsia="仿宋" w:cs="仿宋"/>
          <w:color w:val="000000" w:themeColor="text1"/>
          <w:sz w:val="21"/>
          <w:highlight w:val="none"/>
          <w14:textFill>
            <w14:solidFill>
              <w14:schemeClr w14:val="tx1"/>
            </w14:solidFill>
          </w14:textFill>
        </w:rPr>
        <w:t>中止</w:t>
      </w:r>
      <w:r>
        <w:rPr>
          <w:rFonts w:hint="eastAsia" w:ascii="仿宋" w:hAnsi="仿宋" w:eastAsia="仿宋" w:cs="仿宋"/>
          <w:color w:val="000000" w:themeColor="text1"/>
          <w:sz w:val="21"/>
          <w:highlight w:val="none"/>
          <w:lang w:eastAsia="zh-CN"/>
          <w14:textFill>
            <w14:solidFill>
              <w14:schemeClr w14:val="tx1"/>
            </w14:solidFill>
          </w14:textFill>
        </w:rPr>
        <w:t>或者终止</w:t>
      </w:r>
      <w:r>
        <w:rPr>
          <w:rFonts w:hint="eastAsia" w:ascii="仿宋" w:hAnsi="仿宋" w:eastAsia="仿宋" w:cs="仿宋"/>
          <w:color w:val="000000" w:themeColor="text1"/>
          <w:sz w:val="21"/>
          <w:highlight w:val="none"/>
          <w14:textFill>
            <w14:solidFill>
              <w14:schemeClr w14:val="tx1"/>
            </w14:solidFill>
          </w14:textFill>
        </w:rPr>
        <w:t>合同。有过错的一方应当承担赔偿责任，双方都有过错的，各自承担相应的责任。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val="en-US" w:eastAsia="zh-CN"/>
          <w14:textFill>
            <w14:solidFill>
              <w14:schemeClr w14:val="tx1"/>
            </w14:solidFill>
          </w14:textFill>
        </w:rPr>
        <w:t>7</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合同分包</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 乙方不得</w:t>
      </w:r>
      <w:r>
        <w:rPr>
          <w:rFonts w:hint="eastAsia" w:ascii="仿宋" w:hAnsi="仿宋" w:eastAsia="仿宋" w:cs="仿宋"/>
          <w:color w:val="000000" w:themeColor="text1"/>
          <w:szCs w:val="21"/>
          <w:highlight w:val="none"/>
          <w:lang w:eastAsia="zh-CN"/>
          <w14:textFill>
            <w14:solidFill>
              <w14:schemeClr w14:val="tx1"/>
            </w14:solidFill>
          </w14:textFill>
        </w:rPr>
        <w:t>将合同转包给其他供应商。涉及合同分包的，乙方</w:t>
      </w:r>
      <w:r>
        <w:rPr>
          <w:rFonts w:hint="eastAsia" w:ascii="仿宋" w:hAnsi="仿宋" w:eastAsia="仿宋" w:cs="仿宋"/>
          <w:color w:val="000000" w:themeColor="text1"/>
          <w:szCs w:val="21"/>
          <w:highlight w:val="none"/>
          <w:lang w:val="en-US" w:eastAsia="zh-CN"/>
          <w14:textFill>
            <w14:solidFill>
              <w14:schemeClr w14:val="tx1"/>
            </w14:solidFill>
          </w14:textFill>
        </w:rPr>
        <w:t>应</w:t>
      </w:r>
      <w:r>
        <w:rPr>
          <w:rFonts w:hint="eastAsia" w:ascii="仿宋" w:hAnsi="仿宋" w:eastAsia="仿宋" w:cs="仿宋"/>
          <w:color w:val="000000" w:themeColor="text1"/>
          <w:szCs w:val="21"/>
          <w:highlight w:val="none"/>
          <w:lang w:eastAsia="zh-CN"/>
          <w14:textFill>
            <w14:solidFill>
              <w14:schemeClr w14:val="tx1"/>
            </w14:solidFill>
          </w14:textFill>
        </w:rPr>
        <w:t>根据采购文件和投标（响应）文件规定进行</w:t>
      </w:r>
      <w:r>
        <w:rPr>
          <w:rFonts w:hint="eastAsia" w:ascii="仿宋" w:hAnsi="仿宋" w:eastAsia="仿宋" w:cs="仿宋"/>
          <w:color w:val="000000" w:themeColor="text1"/>
          <w:szCs w:val="21"/>
          <w:highlight w:val="none"/>
          <w14:textFill>
            <w14:solidFill>
              <w14:schemeClr w14:val="tx1"/>
            </w14:solidFill>
          </w14:textFill>
        </w:rPr>
        <w:t>合同分包。</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 乙方执行政府采购政策向中小企业依法分包的</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乙方应当按采购文件</w:t>
      </w:r>
      <w:r>
        <w:rPr>
          <w:rFonts w:hint="eastAsia" w:ascii="仿宋" w:hAnsi="仿宋" w:eastAsia="仿宋" w:cs="仿宋"/>
          <w:color w:val="000000" w:themeColor="text1"/>
          <w:szCs w:val="21"/>
          <w:highlight w:val="none"/>
          <w:lang w:eastAsia="zh-CN"/>
          <w14:textFill>
            <w14:solidFill>
              <w14:schemeClr w14:val="tx1"/>
            </w14:solidFill>
          </w14:textFill>
        </w:rPr>
        <w:t>和</w:t>
      </w:r>
      <w:r>
        <w:rPr>
          <w:rFonts w:hint="eastAsia" w:ascii="仿宋" w:hAnsi="仿宋" w:eastAsia="仿宋" w:cs="仿宋"/>
          <w:color w:val="000000" w:themeColor="text1"/>
          <w:szCs w:val="21"/>
          <w:highlight w:val="none"/>
          <w14:textFill>
            <w14:solidFill>
              <w14:schemeClr w14:val="tx1"/>
            </w14:solidFill>
          </w14:textFill>
        </w:rPr>
        <w:t>投标（响应）文件签订分包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协议属于本合同组成部分。</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1</w:t>
      </w:r>
      <w:r>
        <w:rPr>
          <w:rFonts w:hint="eastAsia" w:ascii="仿宋" w:hAnsi="仿宋" w:eastAsia="仿宋" w:cs="仿宋"/>
          <w:b/>
          <w:bCs/>
          <w:color w:val="000000" w:themeColor="text1"/>
          <w:sz w:val="24"/>
          <w:highlight w:val="none"/>
          <w:lang w:val="en-US" w:eastAsia="zh-CN"/>
          <w14:textFill>
            <w14:solidFill>
              <w14:schemeClr w14:val="tx1"/>
            </w14:solidFill>
          </w14:textFill>
        </w:rPr>
        <w:t>8</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不可抗力</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.1 不可抗力是指合同双方不能预见、不能避免且不能克服的客观情况。</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 任何一方对由于不可抗力造成的部分或全部不能履行合同不承担违约责任。但迟延履行后发生不可抗力的，不能免除责任。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.3 遇有不可抗力的一方，应及时将事件情况以书面形式</w:t>
      </w:r>
      <w:r>
        <w:rPr>
          <w:rFonts w:hint="eastAsia" w:ascii="仿宋" w:hAnsi="仿宋" w:eastAsia="仿宋" w:cs="仿宋"/>
          <w:color w:val="000000" w:themeColor="text1"/>
          <w:szCs w:val="21"/>
          <w:highlight w:val="none"/>
          <w:lang w:eastAsia="zh-CN"/>
          <w14:textFill>
            <w14:solidFill>
              <w14:schemeClr w14:val="tx1"/>
            </w14:solidFill>
          </w14:textFill>
        </w:rPr>
        <w:t>告</w:t>
      </w:r>
      <w:r>
        <w:rPr>
          <w:rFonts w:hint="eastAsia" w:ascii="仿宋" w:hAnsi="仿宋" w:eastAsia="仿宋" w:cs="仿宋"/>
          <w:color w:val="000000" w:themeColor="text1"/>
          <w:szCs w:val="21"/>
          <w:highlight w:val="none"/>
          <w14:textFill>
            <w14:solidFill>
              <w14:schemeClr w14:val="tx1"/>
            </w14:solidFill>
          </w14:textFill>
        </w:rPr>
        <w:t>知另一方，并在事件发生后及时向另一方提交合同不能履行或部分不能履行或需要延期履行</w:t>
      </w:r>
      <w:r>
        <w:rPr>
          <w:rFonts w:hint="eastAsia" w:ascii="仿宋" w:hAnsi="仿宋" w:eastAsia="仿宋" w:cs="仿宋"/>
          <w:color w:val="000000" w:themeColor="text1"/>
          <w:szCs w:val="21"/>
          <w:highlight w:val="none"/>
          <w:lang w:eastAsia="zh-CN"/>
          <w14:textFill>
            <w14:solidFill>
              <w14:schemeClr w14:val="tx1"/>
            </w14:solidFill>
          </w14:textFill>
        </w:rPr>
        <w:t>的详细</w:t>
      </w:r>
      <w:r>
        <w:rPr>
          <w:rFonts w:hint="eastAsia" w:ascii="仿宋" w:hAnsi="仿宋" w:eastAsia="仿宋" w:cs="仿宋"/>
          <w:color w:val="000000" w:themeColor="text1"/>
          <w:szCs w:val="21"/>
          <w:highlight w:val="none"/>
          <w14:textFill>
            <w14:solidFill>
              <w14:schemeClr w14:val="tx1"/>
            </w14:solidFill>
          </w14:textFill>
        </w:rPr>
        <w:t>报告</w:t>
      </w:r>
      <w:r>
        <w:rPr>
          <w:rFonts w:hint="eastAsia" w:ascii="仿宋" w:hAnsi="仿宋" w:eastAsia="仿宋" w:cs="仿宋"/>
          <w:color w:val="000000" w:themeColor="text1"/>
          <w:szCs w:val="21"/>
          <w:highlight w:val="none"/>
          <w:lang w:eastAsia="zh-CN"/>
          <w14:textFill>
            <w14:solidFill>
              <w14:schemeClr w14:val="tx1"/>
            </w14:solidFill>
          </w14:textFill>
        </w:rPr>
        <w:t>，以</w:t>
      </w:r>
      <w:r>
        <w:rPr>
          <w:rFonts w:hint="eastAsia" w:ascii="仿宋" w:hAnsi="仿宋" w:eastAsia="仿宋" w:cs="仿宋"/>
          <w:color w:val="000000" w:themeColor="text1"/>
          <w:szCs w:val="21"/>
          <w:highlight w:val="none"/>
          <w:lang w:val="en-US" w:eastAsia="zh-CN"/>
          <w14:textFill>
            <w14:solidFill>
              <w14:schemeClr w14:val="tx1"/>
            </w14:solidFill>
          </w14:textFill>
        </w:rPr>
        <w:t>及证明不可抗力发生及其持续时间的证据</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19</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解决争议的方法</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.1 因本合同及合同有关事项发生的争议，由</w:t>
      </w:r>
      <w:r>
        <w:rPr>
          <w:rFonts w:hint="eastAsia" w:ascii="仿宋" w:hAnsi="仿宋" w:eastAsia="仿宋" w:cs="仿宋"/>
          <w:color w:val="000000" w:themeColor="text1"/>
          <w:sz w:val="21"/>
          <w:highlight w:val="none"/>
          <w:lang w:eastAsia="zh-CN"/>
          <w14:textFill>
            <w14:solidFill>
              <w14:schemeClr w14:val="tx1"/>
            </w14:solidFill>
          </w14:textFill>
        </w:rPr>
        <w:t>甲乙双</w:t>
      </w:r>
      <w:r>
        <w:rPr>
          <w:rFonts w:hint="eastAsia" w:ascii="仿宋" w:hAnsi="仿宋" w:eastAsia="仿宋" w:cs="仿宋"/>
          <w:color w:val="000000" w:themeColor="text1"/>
          <w:sz w:val="21"/>
          <w:highlight w:val="none"/>
          <w14:textFill>
            <w14:solidFill>
              <w14:schemeClr w14:val="tx1"/>
            </w14:solidFill>
          </w14:textFill>
        </w:rPr>
        <w:t>方友好协商解决。协商不成时，可以</w:t>
      </w:r>
      <w:r>
        <w:rPr>
          <w:rFonts w:hint="eastAsia" w:ascii="仿宋" w:hAnsi="仿宋" w:eastAsia="仿宋" w:cs="仿宋"/>
          <w:color w:val="000000" w:themeColor="text1"/>
          <w:sz w:val="21"/>
          <w:highlight w:val="none"/>
          <w:lang w:eastAsia="zh-CN"/>
          <w14:textFill>
            <w14:solidFill>
              <w14:schemeClr w14:val="tx1"/>
            </w14:solidFill>
          </w14:textFill>
        </w:rPr>
        <w:t>向有关组织申请</w:t>
      </w:r>
      <w:r>
        <w:rPr>
          <w:rFonts w:hint="eastAsia" w:ascii="仿宋" w:hAnsi="仿宋" w:eastAsia="仿宋" w:cs="仿宋"/>
          <w:color w:val="000000" w:themeColor="text1"/>
          <w:sz w:val="21"/>
          <w:highlight w:val="none"/>
          <w14:textFill>
            <w14:solidFill>
              <w14:schemeClr w14:val="tx1"/>
            </w14:solidFill>
          </w14:textFill>
        </w:rPr>
        <w:t>调解。合同一方或</w:t>
      </w:r>
      <w:r>
        <w:rPr>
          <w:rFonts w:hint="eastAsia" w:ascii="仿宋" w:hAnsi="仿宋" w:eastAsia="仿宋" w:cs="仿宋"/>
          <w:color w:val="000000" w:themeColor="text1"/>
          <w:sz w:val="21"/>
          <w:highlight w:val="none"/>
          <w:lang w:eastAsia="zh-CN"/>
          <w14:textFill>
            <w14:solidFill>
              <w14:schemeClr w14:val="tx1"/>
            </w14:solidFill>
          </w14:textFill>
        </w:rPr>
        <w:t>双</w:t>
      </w:r>
      <w:r>
        <w:rPr>
          <w:rFonts w:hint="eastAsia" w:ascii="仿宋" w:hAnsi="仿宋" w:eastAsia="仿宋" w:cs="仿宋"/>
          <w:color w:val="000000" w:themeColor="text1"/>
          <w:sz w:val="21"/>
          <w:highlight w:val="none"/>
          <w14:textFill>
            <w14:solidFill>
              <w14:schemeClr w14:val="tx1"/>
            </w14:solidFill>
          </w14:textFill>
        </w:rPr>
        <w:t>方不愿调解或调解不成的，可以通过仲裁或诉讼的方式解决争议。</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.2 选择仲裁的，应在</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highlight w:val="none"/>
          <w14:textFill>
            <w14:solidFill>
              <w14:schemeClr w14:val="tx1"/>
            </w14:solidFill>
          </w14:textFill>
        </w:rPr>
        <w:t>中明确仲裁机构及仲裁地；通过诉讼方式解决的，可以在</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.3 如</w:t>
      </w:r>
      <w:r>
        <w:rPr>
          <w:rFonts w:hint="eastAsia" w:ascii="仿宋" w:hAnsi="仿宋" w:eastAsia="仿宋" w:cs="仿宋"/>
          <w:color w:val="000000" w:themeColor="text1"/>
          <w:sz w:val="21"/>
          <w:highlight w:val="none"/>
          <w:lang w:eastAsia="zh-CN"/>
          <w14:textFill>
            <w14:solidFill>
              <w14:schemeClr w14:val="tx1"/>
            </w14:solidFill>
          </w14:textFill>
        </w:rPr>
        <w:t>甲乙双方</w:t>
      </w:r>
      <w:r>
        <w:rPr>
          <w:rFonts w:hint="eastAsia" w:ascii="仿宋" w:hAnsi="仿宋" w:eastAsia="仿宋" w:cs="仿宋"/>
          <w:color w:val="000000" w:themeColor="text1"/>
          <w:sz w:val="21"/>
          <w:highlight w:val="none"/>
          <w14:textFill>
            <w14:solidFill>
              <w14:schemeClr w14:val="tx1"/>
            </w14:solidFill>
          </w14:textFill>
        </w:rPr>
        <w:t>有争议的事项不影响合同其他部分的履行，在争议解决期间，合同其他部分应</w:t>
      </w:r>
      <w:r>
        <w:rPr>
          <w:rFonts w:hint="eastAsia" w:ascii="仿宋" w:hAnsi="仿宋" w:eastAsia="仿宋" w:cs="仿宋"/>
          <w:color w:val="000000" w:themeColor="text1"/>
          <w:sz w:val="21"/>
          <w:highlight w:val="none"/>
          <w:lang w:eastAsia="zh-CN"/>
          <w14:textFill>
            <w14:solidFill>
              <w14:schemeClr w14:val="tx1"/>
            </w14:solidFill>
          </w14:textFill>
        </w:rPr>
        <w:t>当</w:t>
      </w:r>
      <w:r>
        <w:rPr>
          <w:rFonts w:hint="eastAsia" w:ascii="仿宋" w:hAnsi="仿宋" w:eastAsia="仿宋" w:cs="仿宋"/>
          <w:color w:val="000000" w:themeColor="text1"/>
          <w:sz w:val="21"/>
          <w:highlight w:val="none"/>
          <w14:textFill>
            <w14:solidFill>
              <w14:schemeClr w14:val="tx1"/>
            </w14:solidFill>
          </w14:textFill>
        </w:rPr>
        <w:t>继续履行。</w:t>
      </w:r>
    </w:p>
    <w:p>
      <w:pPr>
        <w:autoSpaceDE w:val="0"/>
        <w:autoSpaceDN w:val="0"/>
        <w:adjustRightInd w:val="0"/>
        <w:snapToGrid w:val="0"/>
        <w:spacing w:before="0" w:line="400" w:lineRule="exact"/>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20</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政府采购政策</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20.1 </w:t>
      </w:r>
      <w:r>
        <w:rPr>
          <w:rFonts w:hint="eastAsia" w:ascii="仿宋" w:hAnsi="仿宋" w:eastAsia="仿宋" w:cs="仿宋"/>
          <w:color w:val="000000" w:themeColor="text1"/>
          <w:highlight w:val="none"/>
          <w:lang w:val="en-GB"/>
          <w14:textFill>
            <w14:solidFill>
              <w14:schemeClr w14:val="tx1"/>
            </w14:solidFill>
          </w14:textFill>
        </w:rPr>
        <w:t>本合同应当按照规定执行政府采购政策。</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 xml:space="preserve"> 本合同依法执行政府采购政策的方式和内容，属于合同履约验收的范围。</w:t>
      </w:r>
      <w:r>
        <w:rPr>
          <w:rFonts w:hint="eastAsia" w:ascii="仿宋" w:hAnsi="仿宋" w:eastAsia="仿宋" w:cs="仿宋"/>
          <w:color w:val="000000" w:themeColor="text1"/>
          <w:sz w:val="21"/>
          <w:highlight w:val="none"/>
          <w:lang w:eastAsia="zh-CN"/>
          <w14:textFill>
            <w14:solidFill>
              <w14:schemeClr w14:val="tx1"/>
            </w14:solidFill>
          </w14:textFill>
        </w:rPr>
        <w:t>甲乙双方</w:t>
      </w:r>
      <w:r>
        <w:rPr>
          <w:rFonts w:hint="eastAsia" w:ascii="仿宋" w:hAnsi="仿宋" w:eastAsia="仿宋" w:cs="仿宋"/>
          <w:color w:val="000000" w:themeColor="text1"/>
          <w:highlight w:val="none"/>
          <w:lang w:val="en-GB"/>
          <w14:textFill>
            <w14:solidFill>
              <w14:schemeClr w14:val="tx1"/>
            </w14:solidFill>
          </w14:textFill>
        </w:rPr>
        <w:t>未按规定要求执行政府采购政策造成损失的</w:t>
      </w:r>
      <w:r>
        <w:rPr>
          <w:rFonts w:hint="eastAsia" w:ascii="仿宋" w:hAnsi="仿宋" w:eastAsia="仿宋" w:cs="仿宋"/>
          <w:color w:val="000000" w:themeColor="text1"/>
          <w:szCs w:val="21"/>
          <w:highlight w:val="none"/>
          <w14:textFill>
            <w14:solidFill>
              <w14:schemeClr w14:val="tx1"/>
            </w14:solidFill>
          </w14:textFill>
        </w:rPr>
        <w:t>，有过错的一方应当承担赔偿责任，双方都有过错的，各自承担相应的责任。</w:t>
      </w:r>
    </w:p>
    <w:p>
      <w:pPr>
        <w:pStyle w:val="2"/>
        <w:spacing w:after="0" w:line="400" w:lineRule="exact"/>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 xml:space="preserve"> 对于</w:t>
      </w:r>
      <w:r>
        <w:rPr>
          <w:rFonts w:hint="eastAsia" w:ascii="仿宋" w:hAnsi="仿宋" w:eastAsia="仿宋" w:cs="仿宋"/>
          <w:color w:val="000000" w:themeColor="text1"/>
          <w:szCs w:val="21"/>
          <w:highlight w:val="none"/>
          <w:lang w:eastAsia="zh-CN"/>
          <w14:textFill>
            <w14:solidFill>
              <w14:schemeClr w14:val="tx1"/>
            </w14:solidFill>
          </w14:textFill>
        </w:rPr>
        <w:t>为落实中小企业支持政策，</w:t>
      </w:r>
      <w:r>
        <w:rPr>
          <w:rFonts w:hint="eastAsia" w:ascii="仿宋" w:hAnsi="仿宋" w:eastAsia="仿宋" w:cs="仿宋"/>
          <w:color w:val="000000" w:themeColor="text1"/>
          <w:szCs w:val="21"/>
          <w:highlight w:val="none"/>
          <w14:textFill>
            <w14:solidFill>
              <w14:schemeClr w14:val="tx1"/>
            </w14:solidFill>
          </w14:textFill>
        </w:rPr>
        <w:t>通过采购项目</w:t>
      </w:r>
      <w:r>
        <w:rPr>
          <w:rFonts w:hint="eastAsia" w:ascii="仿宋" w:hAnsi="仿宋" w:eastAsia="仿宋" w:cs="仿宋"/>
          <w:color w:val="000000" w:themeColor="text1"/>
          <w:szCs w:val="21"/>
          <w:highlight w:val="none"/>
          <w:lang w:eastAsia="zh-CN"/>
          <w14:textFill>
            <w14:solidFill>
              <w14:schemeClr w14:val="tx1"/>
            </w14:solidFill>
          </w14:textFill>
        </w:rPr>
        <w:t>整体</w:t>
      </w:r>
      <w:r>
        <w:rPr>
          <w:rFonts w:hint="eastAsia" w:ascii="仿宋" w:hAnsi="仿宋" w:eastAsia="仿宋" w:cs="仿宋"/>
          <w:color w:val="000000" w:themeColor="text1"/>
          <w:szCs w:val="21"/>
          <w:highlight w:val="none"/>
          <w14:textFill>
            <w14:solidFill>
              <w14:schemeClr w14:val="tx1"/>
            </w14:solidFill>
          </w14:textFill>
        </w:rPr>
        <w:t>预留、</w:t>
      </w:r>
      <w:r>
        <w:rPr>
          <w:rFonts w:hint="eastAsia" w:ascii="仿宋" w:hAnsi="仿宋" w:eastAsia="仿宋" w:cs="仿宋"/>
          <w:color w:val="000000" w:themeColor="text1"/>
          <w:szCs w:val="21"/>
          <w:highlight w:val="none"/>
          <w:lang w:eastAsia="zh-CN"/>
          <w14:textFill>
            <w14:solidFill>
              <w14:schemeClr w14:val="tx1"/>
            </w14:solidFill>
          </w14:textFill>
        </w:rPr>
        <w:t>设置</w:t>
      </w:r>
      <w:r>
        <w:rPr>
          <w:rFonts w:hint="eastAsia" w:ascii="仿宋" w:hAnsi="仿宋" w:eastAsia="仿宋" w:cs="仿宋"/>
          <w:color w:val="000000" w:themeColor="text1"/>
          <w:szCs w:val="21"/>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w:t>
      </w:r>
      <w:r>
        <w:rPr>
          <w:rFonts w:hint="eastAsia" w:ascii="仿宋" w:hAnsi="仿宋" w:eastAsia="仿宋" w:cs="仿宋"/>
          <w:b/>
          <w:color w:val="000000" w:themeColor="text1"/>
          <w:sz w:val="24"/>
          <w:highlight w:val="none"/>
          <w:lang w:val="en-US" w:eastAsia="zh-CN"/>
          <w14:textFill>
            <w14:solidFill>
              <w14:schemeClr w14:val="tx1"/>
            </w14:solidFill>
          </w14:textFill>
        </w:rPr>
        <w:t>1</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法律适用</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.1 本合同的订立、生效、解释、履行及与本合同有关的争议解决，均适用法律、行政法规。</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.2 本合同条款与法律、行政法规的强制性规定不一致的，双方当事人应按照法律、行政法规的强制性规定修改本合同的相关条款。</w:t>
      </w:r>
    </w:p>
    <w:p>
      <w:pPr>
        <w:numPr>
          <w:ilvl w:val="-1"/>
          <w:numId w:val="0"/>
        </w:num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22. </w:t>
      </w:r>
      <w:r>
        <w:rPr>
          <w:rFonts w:hint="eastAsia" w:ascii="仿宋" w:hAnsi="仿宋" w:eastAsia="仿宋" w:cs="仿宋"/>
          <w:b/>
          <w:color w:val="000000" w:themeColor="text1"/>
          <w:sz w:val="24"/>
          <w:highlight w:val="none"/>
          <w14:textFill>
            <w14:solidFill>
              <w14:schemeClr w14:val="tx1"/>
            </w14:solidFill>
          </w14:textFill>
        </w:rPr>
        <w:t>通知</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2</w:t>
      </w:r>
      <w:r>
        <w:rPr>
          <w:rFonts w:hint="eastAsia" w:ascii="仿宋" w:hAnsi="仿宋" w:eastAsia="仿宋" w:cs="仿宋"/>
          <w:color w:val="000000" w:themeColor="text1"/>
          <w:sz w:val="21"/>
          <w:highlight w:val="none"/>
          <w14:textFill>
            <w14:solidFill>
              <w14:schemeClr w14:val="tx1"/>
            </w14:solidFill>
          </w14:textFill>
        </w:rPr>
        <w:t>.1</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pPr>
        <w:pStyle w:val="37"/>
        <w:ind w:firstLine="0" w:firstLineChars="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2</w:t>
      </w: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一方当事人变更名称、</w:t>
      </w:r>
      <w:r>
        <w:rPr>
          <w:rFonts w:hint="eastAsia" w:ascii="仿宋" w:hAnsi="仿宋" w:eastAsia="仿宋" w:cs="仿宋"/>
          <w:color w:val="000000" w:themeColor="text1"/>
          <w:sz w:val="21"/>
          <w:highlight w:val="none"/>
          <w:lang w:eastAsia="zh-CN"/>
          <w14:textFill>
            <w14:solidFill>
              <w14:schemeClr w14:val="tx1"/>
            </w14:solidFill>
          </w14:textFill>
        </w:rPr>
        <w:t>住所</w:t>
      </w:r>
      <w:r>
        <w:rPr>
          <w:rFonts w:hint="eastAsia" w:ascii="仿宋" w:hAnsi="仿宋" w:eastAsia="仿宋" w:cs="仿宋"/>
          <w:color w:val="000000" w:themeColor="text1"/>
          <w:sz w:val="21"/>
          <w:highlight w:val="none"/>
          <w14:textFill>
            <w14:solidFill>
              <w14:schemeClr w14:val="tx1"/>
            </w14:solidFill>
          </w14:textFill>
        </w:rPr>
        <w:t>、联系人、联系电话或电子邮箱</w:t>
      </w:r>
      <w:r>
        <w:rPr>
          <w:rFonts w:hint="eastAsia" w:ascii="仿宋" w:hAnsi="仿宋" w:eastAsia="仿宋" w:cs="仿宋"/>
          <w:color w:val="000000" w:themeColor="text1"/>
          <w:sz w:val="21"/>
          <w:highlight w:val="none"/>
          <w:lang w:eastAsia="zh-CN"/>
          <w14:textFill>
            <w14:solidFill>
              <w14:schemeClr w14:val="tx1"/>
            </w14:solidFill>
          </w14:textFill>
        </w:rPr>
        <w:t>等信息</w:t>
      </w:r>
      <w:r>
        <w:rPr>
          <w:rFonts w:hint="eastAsia" w:ascii="仿宋" w:hAnsi="仿宋" w:eastAsia="仿宋" w:cs="仿宋"/>
          <w:color w:val="000000" w:themeColor="text1"/>
          <w:sz w:val="21"/>
          <w:highlight w:val="none"/>
          <w14:textFill>
            <w14:solidFill>
              <w14:schemeClr w14:val="tx1"/>
            </w14:solidFill>
          </w14:textFill>
        </w:rPr>
        <w:t>的，应当在变更后3日内及时书面通知对方，对方实际收到变更通知前的送达仍为有效送达。</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本合同一方给另一方的通知均应采用书面形式，传真或快递送到本合同中规定的对方的地址和办理签收手续。</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通知以送达之日或通知书中规定的生效之日起生效，两者中以较迟之日为准。</w:t>
      </w:r>
    </w:p>
    <w:p>
      <w:pPr>
        <w:numPr>
          <w:ilvl w:val="0"/>
          <w:numId w:val="9"/>
        </w:num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合同未尽事项</w:t>
      </w:r>
    </w:p>
    <w:p>
      <w:pPr>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w:t>
      </w:r>
      <w:r>
        <w:rPr>
          <w:rFonts w:hint="eastAsia" w:ascii="仿宋" w:hAnsi="仿宋" w:eastAsia="仿宋" w:cs="仿宋"/>
          <w:bCs/>
          <w:color w:val="000000" w:themeColor="text1"/>
          <w:szCs w:val="21"/>
          <w:highlight w:val="none"/>
          <w:lang w:val="en-US" w:eastAsia="zh-CN"/>
          <w14:textFill>
            <w14:solidFill>
              <w14:schemeClr w14:val="tx1"/>
            </w14:solidFill>
          </w14:textFill>
        </w:rPr>
        <w:t>3</w:t>
      </w:r>
      <w:r>
        <w:rPr>
          <w:rFonts w:hint="eastAsia" w:ascii="仿宋" w:hAnsi="仿宋" w:eastAsia="仿宋" w:cs="仿宋"/>
          <w:bCs/>
          <w:color w:val="000000" w:themeColor="text1"/>
          <w:szCs w:val="21"/>
          <w:highlight w:val="none"/>
          <w14:textFill>
            <w14:solidFill>
              <w14:schemeClr w14:val="tx1"/>
            </w14:solidFill>
          </w14:textFill>
        </w:rPr>
        <w:t>.1合同未尽事项见</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w:t>
      </w:r>
    </w:p>
    <w:p>
      <w:pPr>
        <w:adjustRightInd w:val="0"/>
        <w:snapToGrid w:val="0"/>
        <w:spacing w:line="400" w:lineRule="exact"/>
        <w:ind w:firstLine="0" w:firstLineChars="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23.2 合同附件与合同正文具有同等的法律效力。</w:t>
      </w:r>
      <w:bookmarkStart w:id="614" w:name="_Toc20313"/>
    </w:p>
    <w:p>
      <w:pPr>
        <w:adjustRightInd w:val="0"/>
        <w:snapToGrid w:val="0"/>
        <w:jc w:val="center"/>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br w:type="page"/>
      </w:r>
    </w:p>
    <w:p>
      <w:pPr>
        <w:bidi w:val="0"/>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第三节 政府采购合同专用条款</w:t>
      </w:r>
      <w:bookmarkEnd w:id="614"/>
    </w:p>
    <w:tbl>
      <w:tblPr>
        <w:tblStyle w:val="2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第1.2（</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联合体具体要求</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第1.2（</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其他术语解释</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4.4款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履约验收中甲方提出异议或作出说明的期限</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4.6款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约定甲方承担的其他义务和责任</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第二节</w:t>
            </w:r>
          </w:p>
          <w:p>
            <w:pPr>
              <w:snapToGrid w:val="0"/>
              <w:jc w:val="cente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5.4款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约定乙方承担的其他义务和责任</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第二节</w:t>
            </w:r>
          </w:p>
          <w:p>
            <w:pPr>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6.1款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履行合同义务的顺序</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包装</w:t>
            </w:r>
            <w:r>
              <w:rPr>
                <w:rFonts w:hint="eastAsia" w:ascii="仿宋" w:hAnsi="仿宋" w:eastAsia="仿宋" w:cs="仿宋"/>
                <w:color w:val="000000" w:themeColor="text1"/>
                <w:szCs w:val="21"/>
                <w:highlight w:val="none"/>
                <w:lang w:eastAsia="zh-CN"/>
                <w14:textFill>
                  <w14:solidFill>
                    <w14:schemeClr w14:val="tx1"/>
                  </w14:solidFill>
                </w14:textFill>
              </w:rPr>
              <w:t>特殊要求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指定现场</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运输特殊要求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.3</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保险要求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.2（1）项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质量保证期</w:t>
            </w:r>
          </w:p>
        </w:tc>
        <w:tc>
          <w:tcPr>
            <w:tcW w:w="5170" w:type="dxa"/>
            <w:vAlign w:val="center"/>
          </w:tcPr>
          <w:p>
            <w:pPr>
              <w:autoSpaceDE w:val="0"/>
              <w:autoSpaceDN w:val="0"/>
              <w:adjustRightInd w:val="0"/>
              <w:snapToGrid w:val="0"/>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.2（3）项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货物质量缺陷</w:t>
            </w:r>
          </w:p>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响应时间</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第二节</w:t>
            </w:r>
          </w:p>
          <w:p>
            <w:pPr>
              <w:pStyle w:val="37"/>
              <w:ind w:firstLine="0" w:firstLineChars="0"/>
              <w:jc w:val="cente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第11.1款</w:t>
            </w:r>
          </w:p>
        </w:tc>
        <w:tc>
          <w:tcPr>
            <w:tcW w:w="1742" w:type="dxa"/>
            <w:vAlign w:val="center"/>
          </w:tcPr>
          <w:p>
            <w:pPr>
              <w:adjustRightInd w:val="0"/>
              <w:snapToGrid w:val="0"/>
              <w:jc w:val="both"/>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其他应当保密的信息</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.2款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合同价款支付</w:t>
            </w:r>
            <w:r>
              <w:rPr>
                <w:rFonts w:hint="eastAsia" w:ascii="仿宋" w:hAnsi="仿宋" w:eastAsia="仿宋" w:cs="仿宋"/>
                <w:color w:val="000000" w:themeColor="text1"/>
                <w:szCs w:val="21"/>
                <w:highlight w:val="none"/>
                <w:lang w:eastAsia="zh-CN"/>
                <w14:textFill>
                  <w14:solidFill>
                    <w14:schemeClr w14:val="tx1"/>
                  </w14:solidFill>
                </w14:textFill>
              </w:rPr>
              <w:t>时间</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13.2</w:t>
            </w:r>
            <w:r>
              <w:rPr>
                <w:rFonts w:hint="eastAsia" w:ascii="仿宋" w:hAnsi="仿宋" w:eastAsia="仿宋" w:cs="仿宋"/>
                <w:color w:val="000000" w:themeColor="text1"/>
                <w:szCs w:val="21"/>
                <w:highlight w:val="none"/>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履约保证金不予退还的情形</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13.3</w:t>
            </w:r>
            <w:r>
              <w:rPr>
                <w:rFonts w:hint="eastAsia" w:ascii="仿宋" w:hAnsi="仿宋" w:eastAsia="仿宋" w:cs="仿宋"/>
                <w:color w:val="000000" w:themeColor="text1"/>
                <w:szCs w:val="21"/>
                <w:highlight w:val="none"/>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履约保证金退还时间及</w:t>
            </w:r>
            <w:r>
              <w:rPr>
                <w:rFonts w:hint="eastAsia" w:ascii="仿宋" w:hAnsi="仿宋" w:eastAsia="仿宋" w:cs="仿宋"/>
                <w:color w:val="000000" w:themeColor="text1"/>
                <w:szCs w:val="21"/>
                <w:highlight w:val="none"/>
                <w:lang w:eastAsia="zh-CN"/>
                <w14:textFill>
                  <w14:solidFill>
                    <w14:schemeClr w14:val="tx1"/>
                  </w14:solidFill>
                </w14:textFill>
              </w:rPr>
              <w:t>逾期退还的</w:t>
            </w:r>
            <w:r>
              <w:rPr>
                <w:rFonts w:hint="eastAsia" w:ascii="仿宋" w:hAnsi="仿宋" w:eastAsia="仿宋" w:cs="仿宋"/>
                <w:color w:val="000000" w:themeColor="text1"/>
                <w:szCs w:val="21"/>
                <w:highlight w:val="none"/>
                <w14:textFill>
                  <w14:solidFill>
                    <w14:schemeClr w14:val="tx1"/>
                  </w14:solidFill>
                </w14:textFill>
              </w:rPr>
              <w:t>违约金</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运行监督、维修期限</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货物回收的约定</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乙方提供的其他服务</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1款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修理、重作、更换相关具体规定</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.2（2）项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迟延交货赔偿费</w:t>
            </w:r>
          </w:p>
        </w:tc>
        <w:tc>
          <w:tcPr>
            <w:tcW w:w="5170" w:type="dxa"/>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逾期付款利息</w:t>
            </w:r>
          </w:p>
        </w:tc>
        <w:tc>
          <w:tcPr>
            <w:tcW w:w="5170" w:type="dxa"/>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.4</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其他违约责任</w:t>
            </w:r>
          </w:p>
        </w:tc>
        <w:tc>
          <w:tcPr>
            <w:tcW w:w="5170" w:type="dxa"/>
            <w:tcBorders>
              <w:left w:val="single" w:color="auto" w:sz="2" w:space="0"/>
              <w:bottom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19</w:t>
            </w: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jc w:val="left"/>
              <w:rPr>
                <w:rFonts w:hint="eastAsia" w:ascii="仿宋" w:hAnsi="仿宋" w:eastAsia="仿宋" w:cs="仿宋"/>
                <w:b w:val="0"/>
                <w:bCs w:val="0"/>
                <w:iCs/>
                <w:color w:val="000000" w:themeColor="text1"/>
                <w:szCs w:val="21"/>
                <w:highlight w:val="non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因本合同及合同有关事项发生的争议，按下列第</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种方式解决：</w:t>
            </w:r>
          </w:p>
          <w:p>
            <w:pPr>
              <w:autoSpaceDE w:val="0"/>
              <w:autoSpaceDN w:val="0"/>
              <w:adjustRightInd w:val="0"/>
              <w:snapToGrid w:val="0"/>
              <w:spacing w:line="400" w:lineRule="exact"/>
              <w:jc w:val="left"/>
              <w:rPr>
                <w:rFonts w:hint="eastAsia" w:ascii="仿宋" w:hAnsi="仿宋" w:eastAsia="仿宋" w:cs="仿宋"/>
                <w:b w:val="0"/>
                <w:bCs w:val="0"/>
                <w:iCs/>
                <w:color w:val="000000" w:themeColor="text1"/>
                <w:szCs w:val="21"/>
                <w:highlight w:val="non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（1）向</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仲裁委员会申请仲裁，仲裁地点为</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w:t>
            </w:r>
          </w:p>
          <w:p>
            <w:pPr>
              <w:adjustRightInd w:val="0"/>
              <w:snapToGrid w:val="0"/>
              <w:ind w:firstLine="0" w:firstLineChars="0"/>
              <w:jc w:val="left"/>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（2）向</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第2</w:t>
            </w:r>
            <w:r>
              <w:rPr>
                <w:rFonts w:hint="eastAsia" w:ascii="仿宋" w:hAnsi="仿宋" w:eastAsia="仿宋" w:cs="仿宋"/>
                <w:color w:val="000000" w:themeColor="text1"/>
                <w:szCs w:val="21"/>
                <w:highlight w:val="none"/>
                <w:lang w:val="en-US" w:eastAsia="zh-CN"/>
                <w14:textFill>
                  <w14:solidFill>
                    <w14:schemeClr w14:val="tx1"/>
                  </w14:solidFill>
                </w14:textFill>
              </w:rPr>
              <w:t>3.1</w:t>
            </w:r>
            <w:r>
              <w:rPr>
                <w:rFonts w:hint="eastAsia" w:ascii="仿宋" w:hAnsi="仿宋" w:eastAsia="仿宋" w:cs="仿宋"/>
                <w:color w:val="000000" w:themeColor="text1"/>
                <w:szCs w:val="21"/>
                <w:highlight w:val="none"/>
                <w:lang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eastAsia="zh-CN"/>
                <w14:textFill>
                  <w14:solidFill>
                    <w14:schemeClr w14:val="tx1"/>
                  </w14:solidFill>
                </w14:textFill>
              </w:rPr>
              <w:t>其他专用条款</w:t>
            </w:r>
          </w:p>
        </w:tc>
        <w:tc>
          <w:tcPr>
            <w:tcW w:w="5170"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p>
        </w:tc>
      </w:tr>
    </w:tbl>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sz w:val="24"/>
          <w:szCs w:val="28"/>
          <w:highlight w:val="none"/>
          <w:lang w:val="zh-CN"/>
          <w14:textFill>
            <w14:solidFill>
              <w14:schemeClr w14:val="tx1"/>
            </w14:solidFill>
          </w14:textFill>
        </w:rPr>
      </w:pPr>
      <w:r>
        <w:rPr>
          <w:rFonts w:hint="eastAsia" w:ascii="仿宋" w:hAnsi="仿宋" w:eastAsia="仿宋" w:cs="仿宋"/>
          <w:color w:val="000000" w:themeColor="text1"/>
          <w:sz w:val="24"/>
          <w:szCs w:val="28"/>
          <w:highlight w:val="none"/>
          <w:lang w:val="zh-CN"/>
          <w14:textFill>
            <w14:solidFill>
              <w14:schemeClr w14:val="tx1"/>
            </w14:solidFill>
          </w14:textFill>
        </w:rPr>
        <w:br w:type="page"/>
      </w:r>
    </w:p>
    <w:bookmarkEnd w:id="57"/>
    <w:bookmarkEnd w:id="603"/>
    <w:bookmarkEnd w:id="604"/>
    <w:bookmarkEnd w:id="605"/>
    <w:bookmarkEnd w:id="606"/>
    <w:bookmarkEnd w:id="607"/>
    <w:bookmarkEnd w:id="608"/>
    <w:bookmarkEnd w:id="609"/>
    <w:bookmarkEnd w:id="610"/>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615" w:name="_Toc29357077"/>
      <w:bookmarkStart w:id="616" w:name="_Toc9955"/>
      <w:bookmarkStart w:id="617" w:name="_Toc25598"/>
      <w:bookmarkStart w:id="618" w:name="_Toc15068"/>
      <w:bookmarkStart w:id="619" w:name="_Toc12047"/>
      <w:bookmarkStart w:id="620" w:name="_Toc364392642"/>
      <w:bookmarkStart w:id="621" w:name="_Toc5862"/>
      <w:r>
        <w:rPr>
          <w:rFonts w:hint="eastAsia" w:ascii="仿宋" w:hAnsi="仿宋" w:eastAsia="仿宋" w:cs="仿宋"/>
          <w:color w:val="000000" w:themeColor="text1"/>
          <w:highlight w:val="none"/>
          <w14:textFill>
            <w14:solidFill>
              <w14:schemeClr w14:val="tx1"/>
            </w14:solidFill>
          </w14:textFill>
        </w:rPr>
        <w:t>第四章</w:t>
      </w:r>
      <w:bookmarkEnd w:id="615"/>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投标文件格式</w:t>
      </w:r>
      <w:bookmarkEnd w:id="616"/>
      <w:bookmarkEnd w:id="617"/>
      <w:bookmarkEnd w:id="618"/>
      <w:bookmarkEnd w:id="619"/>
      <w:bookmarkEnd w:id="620"/>
      <w:bookmarkEnd w:id="621"/>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22" w:name="_Toc30060"/>
      <w:bookmarkStart w:id="623" w:name="_Toc17057"/>
      <w:bookmarkStart w:id="624" w:name="_Toc363509121"/>
      <w:bookmarkStart w:id="625" w:name="_Toc578"/>
      <w:bookmarkStart w:id="626" w:name="_Toc3743"/>
      <w:bookmarkStart w:id="627" w:name="_Toc15770"/>
      <w:bookmarkStart w:id="628" w:name="_Toc364392643"/>
      <w:r>
        <w:rPr>
          <w:rFonts w:hint="eastAsia" w:ascii="仿宋" w:hAnsi="仿宋" w:eastAsia="仿宋" w:cs="仿宋"/>
          <w:color w:val="000000" w:themeColor="text1"/>
          <w:sz w:val="30"/>
          <w:szCs w:val="30"/>
          <w:highlight w:val="none"/>
          <w14:textFill>
            <w14:solidFill>
              <w14:schemeClr w14:val="tx1"/>
            </w14:solidFill>
          </w14:textFill>
        </w:rPr>
        <w:t>一、投标文件封面</w:t>
      </w:r>
      <w:bookmarkEnd w:id="622"/>
      <w:bookmarkEnd w:id="623"/>
      <w:bookmarkEnd w:id="624"/>
      <w:bookmarkEnd w:id="625"/>
      <w:bookmarkEnd w:id="626"/>
      <w:bookmarkEnd w:id="627"/>
      <w:bookmarkEnd w:id="628"/>
    </w:p>
    <w:p>
      <w:pPr>
        <w:shd w:val="clear"/>
        <w:spacing w:line="324" w:lineRule="auto"/>
        <w:jc w:val="center"/>
        <w:rPr>
          <w:rFonts w:hint="eastAsia" w:ascii="仿宋" w:hAnsi="仿宋" w:eastAsia="仿宋" w:cs="仿宋"/>
          <w:color w:val="000000" w:themeColor="text1"/>
          <w:sz w:val="28"/>
          <w:highlight w:val="none"/>
          <w14:textFill>
            <w14:solidFill>
              <w14:schemeClr w14:val="tx1"/>
            </w14:solidFill>
          </w14:textFill>
        </w:rPr>
      </w:pPr>
    </w:p>
    <w:p>
      <w:pPr>
        <w:shd w:val="clear"/>
        <w:spacing w:line="324" w:lineRule="auto"/>
        <w:jc w:val="center"/>
        <w:rPr>
          <w:rFonts w:hint="eastAsia" w:ascii="仿宋" w:hAnsi="仿宋" w:eastAsia="仿宋" w:cs="仿宋"/>
          <w:color w:val="000000" w:themeColor="text1"/>
          <w:sz w:val="28"/>
          <w:highlight w:val="none"/>
          <w14:textFill>
            <w14:solidFill>
              <w14:schemeClr w14:val="tx1"/>
            </w14:solidFill>
          </w14:textFill>
        </w:rPr>
      </w:pPr>
    </w:p>
    <w:p>
      <w:pPr>
        <w:shd w:val="clear"/>
        <w:bidi w:val="0"/>
        <w:rPr>
          <w:rFonts w:hint="eastAsia" w:ascii="仿宋" w:hAnsi="仿宋" w:eastAsia="仿宋" w:cs="仿宋"/>
          <w:color w:val="000000" w:themeColor="text1"/>
          <w:sz w:val="28"/>
          <w:szCs w:val="28"/>
          <w:highlight w:val="none"/>
          <w14:textFill>
            <w14:solidFill>
              <w14:schemeClr w14:val="tx1"/>
            </w14:solidFill>
          </w14:textFill>
        </w:rPr>
      </w:pPr>
    </w:p>
    <w:p>
      <w:pPr>
        <w:shd w:val="clear"/>
        <w:spacing w:line="324" w:lineRule="auto"/>
        <w:jc w:val="center"/>
        <w:rPr>
          <w:rFonts w:hint="default" w:ascii="仿宋" w:hAnsi="仿宋" w:eastAsia="仿宋" w:cs="仿宋"/>
          <w:color w:val="000000" w:themeColor="text1"/>
          <w:sz w:val="28"/>
          <w:highlight w:val="none"/>
          <w:lang w:val="en-US"/>
          <w14:textFill>
            <w14:solidFill>
              <w14:schemeClr w14:val="tx1"/>
            </w14:solidFill>
          </w14:textFill>
        </w:rPr>
      </w:pPr>
      <w:r>
        <w:rPr>
          <w:rFonts w:hint="eastAsia" w:ascii="仿宋" w:hAnsi="仿宋" w:eastAsia="仿宋" w:cs="仿宋"/>
          <w:b/>
          <w:bCs/>
          <w:color w:val="000000" w:themeColor="text1"/>
          <w:kern w:val="0"/>
          <w:sz w:val="44"/>
          <w:szCs w:val="44"/>
          <w:highlight w:val="none"/>
          <w:lang w:eastAsia="zh-CN"/>
          <w14:textFill>
            <w14:solidFill>
              <w14:schemeClr w14:val="tx1"/>
            </w14:solidFill>
          </w14:textFill>
        </w:rPr>
        <w:t>丽江市人民医院检验科第一批设备及配套试剂耗材采购项目</w:t>
      </w:r>
    </w:p>
    <w:p>
      <w:pPr>
        <w:shd w:val="clear"/>
        <w:tabs>
          <w:tab w:val="left" w:pos="5190"/>
        </w:tabs>
        <w:spacing w:line="324" w:lineRule="auto"/>
        <w:jc w:val="both"/>
        <w:rPr>
          <w:rFonts w:hint="eastAsia" w:ascii="仿宋" w:hAnsi="仿宋" w:eastAsia="仿宋" w:cs="仿宋"/>
          <w:b/>
          <w:color w:val="000000" w:themeColor="text1"/>
          <w:sz w:val="36"/>
          <w:highlight w:val="none"/>
          <w14:textFill>
            <w14:solidFill>
              <w14:schemeClr w14:val="tx1"/>
            </w14:solidFill>
          </w14:textFill>
        </w:rPr>
      </w:pPr>
    </w:p>
    <w:p>
      <w:pPr>
        <w:shd w:val="clear"/>
        <w:tabs>
          <w:tab w:val="left" w:pos="5190"/>
        </w:tabs>
        <w:spacing w:line="324" w:lineRule="auto"/>
        <w:jc w:val="center"/>
        <w:rPr>
          <w:rFonts w:hint="default" w:ascii="仿宋" w:hAnsi="仿宋" w:eastAsia="仿宋" w:cs="仿宋"/>
          <w:b/>
          <w:color w:val="000000" w:themeColor="text1"/>
          <w:sz w:val="44"/>
          <w:szCs w:val="44"/>
          <w:highlight w:val="none"/>
          <w:lang w:val="en-US" w:eastAsia="zh-CN"/>
          <w14:textFill>
            <w14:solidFill>
              <w14:schemeClr w14:val="tx1"/>
            </w14:solidFill>
          </w14:textFill>
        </w:rPr>
      </w:pPr>
    </w:p>
    <w:p>
      <w:pPr>
        <w:shd w:val="clear"/>
        <w:tabs>
          <w:tab w:val="left" w:pos="5190"/>
        </w:tabs>
        <w:spacing w:line="324" w:lineRule="auto"/>
        <w:jc w:val="both"/>
        <w:rPr>
          <w:rFonts w:hint="eastAsia" w:ascii="仿宋" w:hAnsi="仿宋" w:eastAsia="仿宋" w:cs="仿宋"/>
          <w:b/>
          <w:color w:val="000000" w:themeColor="text1"/>
          <w:sz w:val="36"/>
          <w:highlight w:val="none"/>
          <w14:textFill>
            <w14:solidFill>
              <w14:schemeClr w14:val="tx1"/>
            </w14:solidFill>
          </w14:textFill>
        </w:rPr>
      </w:pPr>
    </w:p>
    <w:p>
      <w:pPr>
        <w:shd w:val="clear"/>
        <w:spacing w:line="360" w:lineRule="auto"/>
        <w:jc w:val="center"/>
        <w:rPr>
          <w:rFonts w:hint="eastAsia" w:ascii="仿宋" w:hAnsi="仿宋" w:eastAsia="仿宋" w:cs="仿宋"/>
          <w:b/>
          <w:bCs/>
          <w:color w:val="000000" w:themeColor="text1"/>
          <w:kern w:val="0"/>
          <w:sz w:val="72"/>
          <w:szCs w:val="72"/>
          <w:highlight w:val="none"/>
          <w14:textFill>
            <w14:solidFill>
              <w14:schemeClr w14:val="tx1"/>
            </w14:solidFill>
          </w14:textFill>
        </w:rPr>
      </w:pPr>
      <w:r>
        <w:rPr>
          <w:rFonts w:hint="eastAsia" w:ascii="仿宋" w:hAnsi="仿宋" w:eastAsia="仿宋" w:cs="仿宋"/>
          <w:b/>
          <w:bCs/>
          <w:color w:val="000000" w:themeColor="text1"/>
          <w:spacing w:val="217"/>
          <w:kern w:val="0"/>
          <w:sz w:val="72"/>
          <w:szCs w:val="72"/>
          <w:highlight w:val="none"/>
          <w14:textFill>
            <w14:solidFill>
              <w14:schemeClr w14:val="tx1"/>
            </w14:solidFill>
          </w14:textFill>
        </w:rPr>
        <w:t>投标文</w:t>
      </w:r>
      <w:r>
        <w:rPr>
          <w:rFonts w:hint="eastAsia" w:ascii="仿宋" w:hAnsi="仿宋" w:eastAsia="仿宋" w:cs="仿宋"/>
          <w:b/>
          <w:bCs/>
          <w:color w:val="000000" w:themeColor="text1"/>
          <w:kern w:val="0"/>
          <w:sz w:val="72"/>
          <w:szCs w:val="72"/>
          <w:highlight w:val="none"/>
          <w14:textFill>
            <w14:solidFill>
              <w14:schemeClr w14:val="tx1"/>
            </w14:solidFill>
          </w14:textFill>
        </w:rPr>
        <w:t>件</w:t>
      </w:r>
    </w:p>
    <w:p>
      <w:pPr>
        <w:shd w:val="clear"/>
        <w:spacing w:line="360" w:lineRule="auto"/>
        <w:jc w:val="center"/>
        <w:rPr>
          <w:rFonts w:hint="default" w:ascii="仿宋" w:hAnsi="仿宋" w:eastAsia="仿宋" w:cs="仿宋"/>
          <w:b/>
          <w:bCs/>
          <w:color w:val="000000" w:themeColor="text1"/>
          <w:sz w:val="36"/>
          <w:szCs w:val="36"/>
          <w:highlight w:val="none"/>
          <w:lang w:val="en-US" w:eastAsia="zh-CN"/>
          <w14:textFill>
            <w14:solidFill>
              <w14:schemeClr w14:val="tx1"/>
            </w14:solidFill>
          </w14:textFill>
        </w:rPr>
      </w:pPr>
    </w:p>
    <w:p>
      <w:pPr>
        <w:shd w:val="clear"/>
        <w:spacing w:line="360" w:lineRule="auto"/>
        <w:jc w:val="center"/>
        <w:rPr>
          <w:rFonts w:hint="eastAsia" w:ascii="仿宋" w:hAnsi="仿宋" w:eastAsia="仿宋" w:cs="仿宋"/>
          <w:color w:val="000000" w:themeColor="text1"/>
          <w:sz w:val="32"/>
          <w:szCs w:val="32"/>
          <w:highlight w:val="none"/>
          <w:lang w:val="en-US" w:eastAsia="zh-CN"/>
          <w14:textFill>
            <w14:solidFill>
              <w14:schemeClr w14:val="tx1"/>
            </w14:solidFill>
          </w14:textFill>
        </w:rPr>
      </w:pPr>
      <w:bookmarkStart w:id="629" w:name="_Toc1364"/>
      <w:bookmarkStart w:id="630" w:name="_Toc18518"/>
      <w:r>
        <w:rPr>
          <w:rFonts w:hint="eastAsia" w:ascii="仿宋" w:hAnsi="仿宋" w:eastAsia="仿宋" w:cs="仿宋"/>
          <w:color w:val="000000" w:themeColor="text1"/>
          <w:sz w:val="32"/>
          <w:szCs w:val="32"/>
          <w:highlight w:val="none"/>
          <w14:textFill>
            <w14:solidFill>
              <w14:schemeClr w14:val="tx1"/>
            </w14:solidFill>
          </w14:textFill>
        </w:rPr>
        <w:t>项目编号：</w:t>
      </w:r>
      <w:bookmarkEnd w:id="629"/>
      <w:bookmarkEnd w:id="630"/>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 LJZC2024-G1-00224-YNLB-0220</w:t>
      </w:r>
    </w:p>
    <w:p>
      <w:pPr>
        <w:shd w:val="clear"/>
        <w:spacing w:line="324" w:lineRule="auto"/>
        <w:jc w:val="center"/>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jc w:val="center"/>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1" w:name="_Toc7928"/>
      <w:bookmarkStart w:id="632" w:name="_Toc14512"/>
      <w:r>
        <w:rPr>
          <w:rFonts w:hint="eastAsia" w:ascii="仿宋" w:hAnsi="仿宋" w:eastAsia="仿宋" w:cs="仿宋"/>
          <w:color w:val="000000" w:themeColor="text1"/>
          <w:sz w:val="32"/>
          <w:szCs w:val="32"/>
          <w:highlight w:val="none"/>
          <w14:textFill>
            <w14:solidFill>
              <w14:schemeClr w14:val="tx1"/>
            </w14:solidFill>
          </w14:textFill>
        </w:rPr>
        <w:t>投标人（电子公章）：</w:t>
      </w:r>
      <w:bookmarkEnd w:id="631"/>
      <w:bookmarkEnd w:id="632"/>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p>
    <w:p>
      <w:pPr>
        <w:shd w:val="clear"/>
        <w:tabs>
          <w:tab w:val="left" w:pos="5190"/>
        </w:tabs>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3" w:name="_Toc19495"/>
      <w:bookmarkStart w:id="634" w:name="_Toc4400"/>
      <w:r>
        <w:rPr>
          <w:rFonts w:hint="eastAsia" w:ascii="仿宋" w:hAnsi="仿宋" w:eastAsia="仿宋" w:cs="仿宋"/>
          <w:color w:val="000000" w:themeColor="text1"/>
          <w:sz w:val="32"/>
          <w:szCs w:val="32"/>
          <w:highlight w:val="none"/>
          <w14:textFill>
            <w14:solidFill>
              <w14:schemeClr w14:val="tx1"/>
            </w14:solidFill>
          </w14:textFill>
        </w:rPr>
        <w:t>法定代表人或委托代理人（</w:t>
      </w:r>
      <w:r>
        <w:rPr>
          <w:rFonts w:hint="eastAsia" w:ascii="仿宋" w:hAnsi="仿宋" w:eastAsia="仿宋" w:cs="仿宋"/>
          <w:color w:val="000000" w:themeColor="text1"/>
          <w:sz w:val="32"/>
          <w:szCs w:val="32"/>
          <w:highlight w:val="none"/>
          <w:lang w:eastAsia="zh-CN"/>
          <w14:textFill>
            <w14:solidFill>
              <w14:schemeClr w14:val="tx1"/>
            </w14:solidFill>
          </w14:textFill>
        </w:rPr>
        <w:t>电子签章</w:t>
      </w:r>
      <w:r>
        <w:rPr>
          <w:rFonts w:hint="eastAsia" w:ascii="仿宋" w:hAnsi="仿宋" w:eastAsia="仿宋" w:cs="仿宋"/>
          <w:color w:val="000000" w:themeColor="text1"/>
          <w:sz w:val="32"/>
          <w:szCs w:val="32"/>
          <w:highlight w:val="none"/>
          <w14:textFill>
            <w14:solidFill>
              <w14:schemeClr w14:val="tx1"/>
            </w14:solidFill>
          </w14:textFill>
        </w:rPr>
        <w:t>）：</w:t>
      </w:r>
      <w:bookmarkEnd w:id="633"/>
      <w:bookmarkEnd w:id="634"/>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p>
    <w:p>
      <w:pPr>
        <w:shd w:val="clear"/>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5" w:name="_Toc5064"/>
      <w:bookmarkStart w:id="636" w:name="_Toc16680"/>
      <w:r>
        <w:rPr>
          <w:rFonts w:hint="eastAsia" w:ascii="仿宋" w:hAnsi="仿宋" w:eastAsia="仿宋" w:cs="仿宋"/>
          <w:color w:val="000000" w:themeColor="text1"/>
          <w:sz w:val="32"/>
          <w:szCs w:val="32"/>
          <w:highlight w:val="none"/>
          <w14:textFill>
            <w14:solidFill>
              <w14:schemeClr w14:val="tx1"/>
            </w14:solidFill>
          </w14:textFill>
        </w:rPr>
        <w:t>日期：</w:t>
      </w:r>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年</w:t>
      </w:r>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月</w:t>
      </w:r>
      <w:bookmarkEnd w:id="635"/>
      <w:bookmarkEnd w:id="636"/>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日</w:t>
      </w:r>
    </w:p>
    <w:p>
      <w:pPr>
        <w:rPr>
          <w:rFonts w:hint="eastAsia" w:ascii="仿宋" w:hAnsi="仿宋" w:eastAsia="仿宋" w:cs="仿宋"/>
          <w:color w:val="000000" w:themeColor="text1"/>
          <w:sz w:val="30"/>
          <w:szCs w:val="30"/>
          <w:highlight w:val="none"/>
          <w14:textFill>
            <w14:solidFill>
              <w14:schemeClr w14:val="tx1"/>
            </w14:solidFill>
          </w14:textFill>
        </w:rPr>
      </w:pPr>
      <w:bookmarkStart w:id="637" w:name="_Toc26634"/>
      <w:bookmarkStart w:id="638" w:name="_Toc4422"/>
      <w:bookmarkStart w:id="639" w:name="_Toc13968"/>
      <w:bookmarkStart w:id="640" w:name="_Toc391301871"/>
      <w:bookmarkStart w:id="641" w:name="_Toc406162617"/>
      <w:bookmarkStart w:id="642" w:name="_Toc383636412"/>
      <w:bookmarkStart w:id="643" w:name="_Toc27365"/>
      <w:r>
        <w:rPr>
          <w:rFonts w:hint="eastAsia" w:ascii="仿宋" w:hAnsi="仿宋" w:eastAsia="仿宋" w:cs="仿宋"/>
          <w:color w:val="000000" w:themeColor="text1"/>
          <w:sz w:val="30"/>
          <w:szCs w:val="30"/>
          <w:highlight w:val="none"/>
          <w14:textFill>
            <w14:solidFill>
              <w14:schemeClr w14:val="tx1"/>
            </w14:solidFill>
          </w14:textFill>
        </w:rPr>
        <w:br w:type="page"/>
      </w:r>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44" w:name="_Toc2486"/>
      <w:r>
        <w:rPr>
          <w:rFonts w:hint="eastAsia" w:ascii="仿宋" w:hAnsi="仿宋" w:eastAsia="仿宋" w:cs="仿宋"/>
          <w:color w:val="000000" w:themeColor="text1"/>
          <w:sz w:val="30"/>
          <w:szCs w:val="30"/>
          <w:highlight w:val="none"/>
          <w14:textFill>
            <w14:solidFill>
              <w14:schemeClr w14:val="tx1"/>
            </w14:solidFill>
          </w14:textFill>
        </w:rPr>
        <w:t>二、开标一览表</w:t>
      </w:r>
      <w:bookmarkEnd w:id="637"/>
      <w:bookmarkEnd w:id="638"/>
      <w:bookmarkEnd w:id="639"/>
      <w:bookmarkEnd w:id="640"/>
      <w:bookmarkEnd w:id="641"/>
      <w:bookmarkEnd w:id="642"/>
      <w:bookmarkEnd w:id="643"/>
      <w:bookmarkEnd w:id="644"/>
    </w:p>
    <w:p>
      <w:pPr>
        <w:shd w:val="clea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bookmarkStart w:id="645" w:name="_Toc469987153"/>
      <w:bookmarkStart w:id="646" w:name="_Toc469987739"/>
      <w:bookmarkStart w:id="647" w:name="_Toc406162643"/>
      <w:bookmarkStart w:id="648" w:name="_Toc383636441"/>
      <w:bookmarkStart w:id="649" w:name="_Toc391301900"/>
      <w:bookmarkStart w:id="650" w:name="_Toc482189277"/>
      <w:bookmarkStart w:id="651" w:name="_Toc231871465"/>
      <w:bookmarkStart w:id="652" w:name="_Toc364392656"/>
      <w:bookmarkStart w:id="653" w:name="_Toc327881157"/>
      <w:bookmarkStart w:id="654" w:name="_Toc38173201"/>
      <w:bookmarkStart w:id="655" w:name="_Toc364392659"/>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丽江市人民医院检验科第一批设备及配套试剂耗材采购项目</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0"/>
          <w:sz w:val="24"/>
          <w:szCs w:val="24"/>
          <w:highlight w:val="none"/>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LJZC2024-G1-00224-YNLB-0220</w:t>
      </w:r>
    </w:p>
    <w:tbl>
      <w:tblPr>
        <w:tblStyle w:val="22"/>
        <w:tblW w:w="9638" w:type="dxa"/>
        <w:jc w:val="center"/>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972"/>
        <w:gridCol w:w="7666"/>
      </w:tblGrid>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投标人名称</w:t>
            </w:r>
          </w:p>
        </w:tc>
        <w:tc>
          <w:tcPr>
            <w:tcW w:w="7666" w:type="dxa"/>
            <w:vAlign w:val="center"/>
          </w:tcPr>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总报价</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元</w:t>
            </w:r>
            <w:r>
              <w:rPr>
                <w:rFonts w:hint="eastAsia" w:ascii="仿宋" w:hAnsi="仿宋" w:eastAsia="仿宋" w:cs="仿宋"/>
                <w:color w:val="000000" w:themeColor="text1"/>
                <w:sz w:val="24"/>
                <w:szCs w:val="24"/>
                <w:highlight w:val="none"/>
                <w14:textFill>
                  <w14:solidFill>
                    <w14:schemeClr w14:val="tx1"/>
                  </w14:solidFill>
                </w14:textFill>
              </w:rPr>
              <w:t>）</w:t>
            </w:r>
          </w:p>
        </w:tc>
        <w:tc>
          <w:tcPr>
            <w:tcW w:w="7666" w:type="dxa"/>
            <w:vAlign w:val="center"/>
          </w:tcPr>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小写：</w:t>
            </w:r>
          </w:p>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大写：</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设备配套试剂耗材报价（%）</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在医院</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医用耗材预算</w:t>
            </w:r>
            <w:r>
              <w:rPr>
                <w:rFonts w:hint="eastAsia" w:ascii="仿宋" w:hAnsi="仿宋" w:eastAsia="仿宋" w:cs="仿宋"/>
                <w:b w:val="0"/>
                <w:i w:val="0"/>
                <w:strike w:val="0"/>
                <w:color w:val="000000" w:themeColor="text1"/>
                <w:kern w:val="2"/>
                <w:sz w:val="24"/>
                <w:szCs w:val="24"/>
                <w:highlight w:val="none"/>
                <w:u w:val="none"/>
                <w:lang w:val="en-US" w:eastAsia="zh-CN" w:bidi="ar"/>
                <w14:textFill>
                  <w14:solidFill>
                    <w14:schemeClr w14:val="tx1"/>
                  </w14:solidFill>
                </w14:textFill>
              </w:rPr>
              <w:t>单价</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基础上统一下浮</w:t>
            </w:r>
            <w:r>
              <w:rPr>
                <w:rFonts w:hint="eastAsia" w:ascii="仿宋" w:hAnsi="仿宋" w:eastAsia="仿宋" w:cs="仿宋"/>
                <w:b w:val="0"/>
                <w:i w:val="0"/>
                <w:color w:val="000000" w:themeColor="text1"/>
                <w:kern w:val="2"/>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766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contextualSpacing/>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日历天内；配套试剂耗材：按需、分批次供货，一般情况收到招标人订货通知后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天内送达指定地点，如遇紧急情况必须于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天内到货并验收合格。</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741"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7666" w:type="dxa"/>
            <w:vAlign w:val="center"/>
          </w:tcPr>
          <w:p>
            <w:pPr>
              <w:shd w:val="clear" w:fill="FFFFFF" w:themeFill="background1"/>
              <w:spacing w:before="120" w:after="120" w:line="240" w:lineRule="atLeast"/>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设备质保与设备设计使用年限一致</w:t>
            </w:r>
            <w:r>
              <w:rPr>
                <w:rFonts w:hint="eastAsia" w:ascii="仿宋" w:hAnsi="仿宋" w:eastAsia="仿宋" w:cs="仿宋"/>
                <w:color w:val="000000" w:themeColor="text1"/>
                <w:sz w:val="24"/>
                <w:szCs w:val="22"/>
                <w:highlight w:val="none"/>
                <w:lang w:val="en-US" w:eastAsia="zh-CN"/>
                <w14:textFill>
                  <w14:solidFill>
                    <w14:schemeClr w14:val="tx1"/>
                  </w14:solidFill>
                </w14:textFill>
              </w:rPr>
              <w:t>，质保期自设备验收之日起算，终身负责维修；并保证设备在招标人报废前正常运行；配套试剂耗材：耗材应是最新生产且检验合格的产品，耗材可供使用的期限为标示有效期的</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，最短不少于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791"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质量承诺</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bl>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特别注意：&lt;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w:t>
      </w:r>
      <w:r>
        <w:rPr>
          <w:rFonts w:hint="eastAsia" w:ascii="仿宋" w:hAnsi="仿宋" w:eastAsia="仿宋" w:cs="仿宋"/>
          <w:b/>
          <w:bCs/>
          <w:color w:val="000000" w:themeColor="text1"/>
          <w:sz w:val="21"/>
          <w:szCs w:val="21"/>
          <w:highlight w:val="none"/>
          <w14:textFill>
            <w14:solidFill>
              <w14:schemeClr w14:val="tx1"/>
            </w14:solidFill>
          </w14:textFill>
        </w:rPr>
        <w:t>&gt;投标人可根据自身投标情况，按规定表格填报、不得漏报。</w:t>
      </w:r>
    </w:p>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2</w:t>
      </w:r>
      <w:r>
        <w:rPr>
          <w:rFonts w:hint="eastAsia" w:ascii="仿宋" w:hAnsi="仿宋" w:eastAsia="仿宋" w:cs="仿宋"/>
          <w:b/>
          <w:bCs/>
          <w:color w:val="000000" w:themeColor="text1"/>
          <w:sz w:val="21"/>
          <w:szCs w:val="21"/>
          <w:highlight w:val="none"/>
          <w14:textFill>
            <w14:solidFill>
              <w14:schemeClr w14:val="tx1"/>
            </w14:solidFill>
          </w14:textFill>
        </w:rPr>
        <w:t>&gt;投标（唱标）一览表内容应与投标文件内容相一致，当两者不相符时，以《投标（唱标）一览表》为准，且不得出现选择性内容。</w:t>
      </w:r>
    </w:p>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3</w:t>
      </w:r>
      <w:r>
        <w:rPr>
          <w:rFonts w:hint="eastAsia" w:ascii="仿宋" w:hAnsi="仿宋" w:eastAsia="仿宋" w:cs="仿宋"/>
          <w:b/>
          <w:bCs/>
          <w:color w:val="000000" w:themeColor="text1"/>
          <w:sz w:val="21"/>
          <w:szCs w:val="21"/>
          <w:highlight w:val="none"/>
          <w14:textFill>
            <w14:solidFill>
              <w14:schemeClr w14:val="tx1"/>
            </w14:solidFill>
          </w14:textFill>
        </w:rPr>
        <w:t>&gt;投标人设备配套试剂耗材投标报价下浮率必须在医院采购预算单价的基础上统一</w:t>
      </w:r>
      <w:r>
        <w:rPr>
          <w:rFonts w:hint="eastAsia" w:ascii="仿宋" w:hAnsi="仿宋" w:eastAsia="仿宋" w:cs="仿宋"/>
          <w:b/>
          <w:bCs/>
          <w:color w:val="000000" w:themeColor="text1"/>
          <w:sz w:val="21"/>
          <w:szCs w:val="21"/>
          <w:highlight w:val="none"/>
          <w:lang w:eastAsia="zh-CN"/>
          <w14:textFill>
            <w14:solidFill>
              <w14:schemeClr w14:val="tx1"/>
            </w14:solidFill>
          </w14:textFill>
        </w:rPr>
        <w:t>下浮＞1%</w:t>
      </w:r>
      <w:r>
        <w:rPr>
          <w:rFonts w:hint="eastAsia" w:ascii="仿宋" w:hAnsi="仿宋" w:eastAsia="仿宋" w:cs="仿宋"/>
          <w:b/>
          <w:bCs/>
          <w:color w:val="000000" w:themeColor="text1"/>
          <w:sz w:val="21"/>
          <w:szCs w:val="21"/>
          <w:highlight w:val="none"/>
          <w14:textFill>
            <w14:solidFill>
              <w14:schemeClr w14:val="tx1"/>
            </w14:solidFill>
          </w14:textFill>
        </w:rPr>
        <w:t>(不包含1%，须为1以上的整数)，否则视为无效报价。</w:t>
      </w:r>
    </w:p>
    <w:p>
      <w:pPr>
        <w:keepNext w:val="0"/>
        <w:keepLines w:val="0"/>
        <w:pageBreakBefore w:val="0"/>
        <w:widowControl/>
        <w:shd w:val="clear"/>
        <w:kinsoku/>
        <w:wordWrap/>
        <w:overflowPunct/>
        <w:topLinePunct w:val="0"/>
        <w:autoSpaceDE/>
        <w:autoSpaceDN/>
        <w:bidi w:val="0"/>
        <w:adjustRightInd/>
        <w:snapToGrid/>
        <w:spacing w:line="360" w:lineRule="auto"/>
        <w:ind w:left="-420" w:leftChars="-200" w:right="-420" w:rightChars="-200"/>
        <w:jc w:val="left"/>
        <w:textAlignment w:val="auto"/>
        <w:rPr>
          <w:rFonts w:hint="eastAsia" w:ascii="仿宋" w:hAnsi="仿宋" w:eastAsia="仿宋" w:cs="仿宋"/>
          <w:color w:val="000000" w:themeColor="text1"/>
          <w:highlight w:val="none"/>
          <w14:textFill>
            <w14:solidFill>
              <w14:schemeClr w14:val="tx1"/>
            </w14:solidFill>
          </w14:textFill>
        </w:rPr>
      </w:pPr>
    </w:p>
    <w:p>
      <w:pPr>
        <w:pStyle w:val="14"/>
        <w:rPr>
          <w:rFonts w:hint="eastAsia" w:ascii="仿宋" w:hAnsi="仿宋" w:eastAsia="仿宋" w:cs="仿宋"/>
          <w:color w:val="000000" w:themeColor="text1"/>
          <w:highlight w:val="none"/>
          <w14:textFill>
            <w14:solidFill>
              <w14:schemeClr w14:val="tx1"/>
            </w14:solidFill>
          </w14:textFill>
        </w:rPr>
        <w:sectPr>
          <w:footerReference r:id="rId6" w:type="default"/>
          <w:pgSz w:w="11906" w:h="16838"/>
          <w:pgMar w:top="1134" w:right="1247" w:bottom="1134" w:left="1247" w:header="567" w:footer="567" w:gutter="0"/>
          <w:cols w:space="0" w:num="1"/>
          <w:rtlGutter w:val="0"/>
          <w:docGrid w:linePitch="312" w:charSpace="0"/>
        </w:sectPr>
      </w:pPr>
    </w:p>
    <w:p>
      <w:pPr>
        <w:pStyle w:val="14"/>
        <w:shd w:val="clear"/>
        <w:rPr>
          <w:rFonts w:hint="eastAsia" w:ascii="仿宋" w:hAnsi="仿宋" w:eastAsia="仿宋" w:cs="仿宋"/>
          <w:color w:val="000000" w:themeColor="text1"/>
          <w:highlight w:val="none"/>
          <w14:textFill>
            <w14:solidFill>
              <w14:schemeClr w14:val="tx1"/>
            </w14:solidFill>
          </w14:textFill>
        </w:rPr>
      </w:pPr>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56" w:name="_Toc9576"/>
      <w:bookmarkStart w:id="657" w:name="_Toc527634722"/>
      <w:bookmarkStart w:id="658" w:name="_Toc406162618"/>
      <w:bookmarkStart w:id="659" w:name="_Toc383636413"/>
      <w:bookmarkStart w:id="660" w:name="_Toc391301872"/>
      <w:bookmarkStart w:id="661" w:name="_Toc9661"/>
      <w:r>
        <w:rPr>
          <w:rFonts w:hint="eastAsia" w:ascii="仿宋" w:hAnsi="仿宋" w:eastAsia="仿宋" w:cs="仿宋"/>
          <w:color w:val="000000" w:themeColor="text1"/>
          <w:sz w:val="30"/>
          <w:szCs w:val="30"/>
          <w:highlight w:val="none"/>
          <w:lang w:val="en-US" w:eastAsia="zh-CN"/>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、资格审查文件部分</w:t>
      </w:r>
      <w:bookmarkEnd w:id="656"/>
      <w:bookmarkEnd w:id="657"/>
      <w:bookmarkEnd w:id="658"/>
      <w:bookmarkEnd w:id="659"/>
      <w:bookmarkEnd w:id="660"/>
      <w:bookmarkEnd w:id="661"/>
    </w:p>
    <w:p>
      <w:pPr>
        <w:pStyle w:val="2"/>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b/>
          <w:color w:val="000000" w:themeColor="text1"/>
          <w:kern w:val="0"/>
          <w:sz w:val="24"/>
          <w:szCs w:val="24"/>
          <w:highlight w:val="none"/>
          <w14:textFill>
            <w14:solidFill>
              <w14:schemeClr w14:val="tx1"/>
            </w14:solidFill>
          </w14:textFill>
        </w:rPr>
        <w:t>、具有独立承担民事责任的能力</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提供法人或者其他组织的营业执照等证明文件，自然人则提供身份证明</w:t>
      </w:r>
      <w:r>
        <w:rPr>
          <w:rFonts w:hint="eastAsia" w:ascii="仿宋" w:hAnsi="仿宋" w:eastAsia="仿宋" w:cs="仿宋"/>
          <w:color w:val="000000" w:themeColor="text1"/>
          <w:sz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格式2</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有良好的商业信誉和健全的财务会计制度</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eastAsia="zh-CN"/>
          <w14:textFill>
            <w14:solidFill>
              <w14:schemeClr w14:val="tx1"/>
            </w14:solidFill>
          </w14:textFill>
        </w:rPr>
        <w:t>（提供2021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或有良好的商业信誉和健全的财务会计制度的自行承诺，成立不满1年的投标人提供自成立以来公司内部完整的财务报表（包括资产负债表、利润表、现金流量表）或开标日期前3个月内由银行开具的资信证明文件（或资金证明文件）或有良好的商业信誉和健全的财务会计制度的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格式3</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具有履行合同所必需的设备和专业技术能力</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格式4</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有依法缴纳税收和社会保障资金的良好记录</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提供2023年8月至投标文件提交截止时间（税款所属时期）任意连续3个月的税务局税收通用缴款书复印件或银行电子缴税（费）凭证或税务局出具纳税情况的相关证明或具有依法缴纳税收良好记录的承诺函及提供2023年8月至投标文件提交截止时间（费款所属时期）任意连续3个月的社会保险费缴款书复印件或银行电子缴税（费）凭证或社保管理部门出具的有效的缴款证明或具有依法缴纳社会保障资金良好记录的承诺函；成立未满3个月的的提供成立以来的税收和社会保障资金缴纳凭证或相关情况说明。（依法免税或不需要缴纳社会保障资金的投标人，应提供相应文件证明其依法免税或不需要缴纳社会保障资金））</w:t>
      </w:r>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格式5</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、参加政府采购活动前三年内，在经营活动中没有重大违法记录</w:t>
      </w:r>
      <w:r>
        <w:rPr>
          <w:rFonts w:hint="eastAsia" w:ascii="仿宋" w:hAnsi="仿宋" w:eastAsia="仿宋" w:cs="仿宋"/>
          <w:b/>
          <w:color w:val="000000" w:themeColor="text1"/>
          <w:kern w:val="0"/>
          <w:sz w:val="24"/>
          <w:szCs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bidi w:val="0"/>
        <w:spacing w:line="360" w:lineRule="auto"/>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6、法律、行政法规规定的其他条件</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lang w:eastAsia="zh-CN"/>
          <w14:textFill>
            <w14:solidFill>
              <w14:schemeClr w14:val="tx1"/>
            </w14:solidFill>
          </w14:textFill>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招标人或</w:t>
      </w:r>
      <w:r>
        <w:rPr>
          <w:rFonts w:hint="eastAsia" w:ascii="仿宋" w:hAnsi="仿宋" w:eastAsia="仿宋" w:cs="仿宋"/>
          <w:color w:val="000000" w:themeColor="text1"/>
          <w:sz w:val="24"/>
          <w:szCs w:val="22"/>
          <w:highlight w:val="none"/>
          <w:lang w:val="en-US" w:eastAsia="zh-CN"/>
          <w14:textFill>
            <w14:solidFill>
              <w14:schemeClr w14:val="tx1"/>
            </w14:solidFill>
          </w14:textFill>
        </w:rPr>
        <w:t>招标代理机构在开标当天</w:t>
      </w:r>
      <w:r>
        <w:rPr>
          <w:rFonts w:hint="eastAsia" w:ascii="仿宋" w:hAnsi="仿宋" w:eastAsia="仿宋" w:cs="仿宋"/>
          <w:color w:val="000000" w:themeColor="text1"/>
          <w:sz w:val="24"/>
          <w:szCs w:val="22"/>
          <w:highlight w:val="none"/>
          <w:lang w:eastAsia="zh-CN"/>
          <w14:textFill>
            <w14:solidFill>
              <w14:schemeClr w14:val="tx1"/>
            </w14:solidFill>
          </w14:textFill>
        </w:rPr>
        <w:t>进行查询）；</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）单位负责人为同一人或者存在直接控股、管理关系的不同</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，不得参加同一合同项下的政府采购活动；</w:t>
      </w:r>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7、本项目的特定资格要求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投标人如果是代理商或经销商的，须提供医疗器械经营许可/备案证，所响应产品制造商医疗器械生产许可/备案证（制造商工商注册地在中华人民共和国境外的，不做此要求）、所响应产品的医疗器械注册证及附件；投标人如果是制造商的，须提供医疗器械生产许可/备案证（制造商工商注册地在中华人民共和国境外的，不做此要求）、所响应产品的医疗器械注册证及附件。医疗器械生产或经营许可/备案证生产或经营范围须覆盖所投第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（2）投标人如果是经销商，且所投产品属于药品的，须提供有效期内的《药品经营许可证》；投标人如果是生产商，且所投产品属于药品的，须提供有效期内的《药品生产许可证》。</w:t>
      </w:r>
    </w:p>
    <w:p>
      <w:pPr>
        <w:shd w:val="clear"/>
        <w:rPr>
          <w:rFonts w:hint="eastAsia" w:ascii="仿宋" w:hAnsi="仿宋" w:eastAsia="仿宋" w:cs="仿宋"/>
          <w:color w:val="000000" w:themeColor="text1"/>
          <w:sz w:val="24"/>
          <w:szCs w:val="22"/>
          <w:highlight w:val="none"/>
          <w:lang w:val="en-US" w:eastAsia="zh-CN"/>
          <w14:textFill>
            <w14:solidFill>
              <w14:schemeClr w14:val="tx1"/>
            </w14:solidFill>
          </w14:textFill>
        </w:rPr>
      </w:pPr>
    </w:p>
    <w:p>
      <w:pPr>
        <w:shd w:val="clear"/>
        <w:spacing w:line="500" w:lineRule="exact"/>
        <w:rPr>
          <w:rFonts w:hint="eastAsia" w:ascii="仿宋" w:hAnsi="仿宋" w:eastAsia="仿宋" w:cs="仿宋"/>
          <w:color w:val="000000" w:themeColor="text1"/>
          <w:sz w:val="24"/>
          <w:szCs w:val="24"/>
          <w:highlight w:val="none"/>
          <w14:textFill>
            <w14:solidFill>
              <w14:schemeClr w14:val="tx1"/>
            </w14:solidFill>
          </w14:textFill>
        </w:rPr>
        <w:sectPr>
          <w:pgSz w:w="11906" w:h="16838"/>
          <w:pgMar w:top="1440" w:right="1797" w:bottom="1440" w:left="1797" w:header="851" w:footer="992" w:gutter="0"/>
          <w:cols w:space="720" w:num="1"/>
          <w:docGrid w:linePitch="312" w:charSpace="0"/>
        </w:sectPr>
      </w:pPr>
      <w:bookmarkStart w:id="662" w:name="_Toc27228"/>
    </w:p>
    <w:bookmarkEnd w:id="645"/>
    <w:bookmarkEnd w:id="646"/>
    <w:bookmarkEnd w:id="662"/>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63" w:name="_Toc391301893"/>
      <w:bookmarkStart w:id="664" w:name="_Toc383636434"/>
      <w:bookmarkStart w:id="665" w:name="_Toc20528"/>
      <w:bookmarkStart w:id="666" w:name="_Toc527634744"/>
      <w:bookmarkStart w:id="667" w:name="_Toc406162639"/>
      <w:bookmarkStart w:id="668" w:name="_Toc12836"/>
      <w:bookmarkStart w:id="669" w:name="_Toc469987746"/>
      <w:bookmarkStart w:id="670" w:name="_Toc469987160"/>
      <w:r>
        <w:rPr>
          <w:rFonts w:hint="eastAsia" w:ascii="仿宋" w:hAnsi="仿宋" w:eastAsia="仿宋" w:cs="仿宋"/>
          <w:color w:val="000000" w:themeColor="text1"/>
          <w:sz w:val="30"/>
          <w:szCs w:val="30"/>
          <w:highlight w:val="none"/>
          <w:lang w:val="en-US" w:eastAsia="zh-CN"/>
          <w14:textFill>
            <w14:solidFill>
              <w14:schemeClr w14:val="tx1"/>
            </w14:solidFill>
          </w14:textFill>
        </w:rPr>
        <w:t>四</w:t>
      </w:r>
      <w:r>
        <w:rPr>
          <w:rFonts w:hint="eastAsia" w:ascii="仿宋" w:hAnsi="仿宋" w:eastAsia="仿宋" w:cs="仿宋"/>
          <w:color w:val="000000" w:themeColor="text1"/>
          <w:sz w:val="30"/>
          <w:szCs w:val="30"/>
          <w:highlight w:val="none"/>
          <w14:textFill>
            <w14:solidFill>
              <w14:schemeClr w14:val="tx1"/>
            </w14:solidFill>
          </w14:textFill>
        </w:rPr>
        <w:t>、技术标部分</w:t>
      </w:r>
      <w:bookmarkEnd w:id="663"/>
      <w:bookmarkEnd w:id="664"/>
      <w:bookmarkEnd w:id="665"/>
      <w:bookmarkEnd w:id="666"/>
      <w:bookmarkEnd w:id="667"/>
      <w:bookmarkEnd w:id="668"/>
    </w:p>
    <w:p>
      <w:pPr>
        <w:shd w:val="clear"/>
        <w:rPr>
          <w:rFonts w:hint="eastAsia" w:ascii="仿宋" w:hAnsi="仿宋" w:eastAsia="仿宋" w:cs="仿宋"/>
          <w:color w:val="000000" w:themeColor="text1"/>
          <w:highlight w:val="none"/>
          <w14:textFill>
            <w14:solidFill>
              <w14:schemeClr w14:val="tx1"/>
            </w14:solidFill>
          </w14:textFill>
        </w:rPr>
      </w:pPr>
    </w:p>
    <w:bookmarkEnd w:id="669"/>
    <w:bookmarkEnd w:id="670"/>
    <w:p>
      <w:pPr>
        <w:keepNext/>
        <w:keepLines/>
        <w:shd w:val="clear" w:fill="FFFFFF" w:themeFill="background1"/>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bookmarkStart w:id="671" w:name="_Toc2413"/>
      <w:bookmarkStart w:id="672" w:name="_Toc469987161"/>
      <w:bookmarkStart w:id="673" w:name="_Toc469987747"/>
      <w:bookmarkStart w:id="674" w:name="_Toc406162634"/>
      <w:bookmarkStart w:id="675" w:name="_Toc383636429"/>
      <w:bookmarkStart w:id="676" w:name="_Toc391301888"/>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b/>
          <w:color w:val="000000" w:themeColor="text1"/>
          <w:kern w:val="0"/>
          <w:sz w:val="24"/>
          <w:szCs w:val="24"/>
          <w:highlight w:val="none"/>
          <w14:textFill>
            <w14:solidFill>
              <w14:schemeClr w14:val="tx1"/>
            </w14:solidFill>
          </w14:textFill>
        </w:rPr>
        <w:t>、投标产品技术参数说明及偏离表</w:t>
      </w:r>
    </w:p>
    <w:p>
      <w:pPr>
        <w:pStyle w:val="14"/>
        <w:shd w:val="clear" w:fill="FFFFFF" w:themeFill="background1"/>
        <w:spacing w:line="360" w:lineRule="auto"/>
        <w:ind w:firstLine="240" w:firstLineChars="100"/>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请按投标产品的实际技术参数，逐条对应招标文件</w:t>
      </w:r>
      <w:r>
        <w:rPr>
          <w:rFonts w:hint="eastAsia" w:ascii="仿宋" w:hAnsi="仿宋" w:eastAsia="仿宋" w:cs="仿宋"/>
          <w:color w:val="000000" w:themeColor="text1"/>
          <w:sz w:val="24"/>
          <w:szCs w:val="22"/>
          <w:highlight w:val="none"/>
          <w14:textFill>
            <w14:solidFill>
              <w14:schemeClr w14:val="tx1"/>
            </w14:solidFill>
          </w14:textFill>
        </w:rPr>
        <w:t>第五章“采购需求”</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设备采购清单</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中</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“设备参数”</w:t>
      </w:r>
      <w:r>
        <w:rPr>
          <w:rFonts w:hint="eastAsia" w:ascii="仿宋" w:hAnsi="仿宋" w:eastAsia="仿宋" w:cs="仿宋"/>
          <w:color w:val="000000" w:themeColor="text1"/>
          <w:sz w:val="24"/>
          <w:szCs w:val="24"/>
          <w:highlight w:val="none"/>
          <w14:textFill>
            <w14:solidFill>
              <w14:schemeClr w14:val="tx1"/>
            </w14:solidFill>
          </w14:textFill>
        </w:rPr>
        <w:t>认真填写该表，该表不能作为投标产品的技术文件。</w:t>
      </w:r>
    </w:p>
    <w:tbl>
      <w:tblPr>
        <w:tblStyle w:val="22"/>
        <w:tblW w:w="94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29"/>
        <w:gridCol w:w="1600"/>
        <w:gridCol w:w="2308"/>
        <w:gridCol w:w="1016"/>
        <w:gridCol w:w="1661"/>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329"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产品名称</w:t>
            </w:r>
          </w:p>
        </w:tc>
        <w:tc>
          <w:tcPr>
            <w:tcW w:w="1600"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招标文件技术规范、要求</w:t>
            </w:r>
          </w:p>
        </w:tc>
        <w:tc>
          <w:tcPr>
            <w:tcW w:w="2308"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投标品牌、型号、技术参数及配置</w:t>
            </w:r>
          </w:p>
        </w:tc>
        <w:tc>
          <w:tcPr>
            <w:tcW w:w="1016"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偏离情况</w:t>
            </w:r>
          </w:p>
        </w:tc>
        <w:tc>
          <w:tcPr>
            <w:tcW w:w="166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技术支持资料索引（页码及条目号等）</w:t>
            </w:r>
          </w:p>
        </w:tc>
        <w:tc>
          <w:tcPr>
            <w:tcW w:w="75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bookmarkStart w:id="677" w:name="_Hlk50472260"/>
            <w:r>
              <w:rPr>
                <w:rFonts w:hint="eastAsia" w:ascii="仿宋" w:hAnsi="仿宋" w:eastAsia="仿宋" w:cs="仿宋"/>
                <w:color w:val="000000" w:themeColor="text1"/>
                <w:sz w:val="24"/>
                <w:highlight w:val="none"/>
                <w14:textFill>
                  <w14:solidFill>
                    <w14:schemeClr w14:val="tx1"/>
                  </w14:solidFill>
                </w14:textFill>
              </w:rPr>
              <w:t>1</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bookmarkEnd w:id="677"/>
    </w:tbl>
    <w:p>
      <w:pPr>
        <w:pStyle w:val="14"/>
        <w:shd w:val="clear" w:fill="FFFFFF" w:themeFill="background1"/>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1、表格中“偏离情况”一列，投标人只能如实填写“正偏离”、“负偏离”或“无偏离”。凡投标内容高于招标文件要求的，按“正偏离”填写；低于招标文件要求的，按“负偏离”填写；满足招标文件要求的，按“无偏离”填写。并在“</w:t>
      </w:r>
      <w:r>
        <w:rPr>
          <w:rFonts w:hint="eastAsia" w:ascii="仿宋" w:hAnsi="仿宋" w:eastAsia="仿宋" w:cs="仿宋"/>
          <w:b/>
          <w:color w:val="000000" w:themeColor="text1"/>
          <w:sz w:val="24"/>
          <w:szCs w:val="24"/>
          <w:highlight w:val="none"/>
          <w14:textFill>
            <w14:solidFill>
              <w14:schemeClr w14:val="tx1"/>
            </w14:solidFill>
          </w14:textFill>
        </w:rPr>
        <w:t>投标品牌、型号、技术参数及配置”一列中</w:t>
      </w:r>
      <w:r>
        <w:rPr>
          <w:rFonts w:hint="eastAsia" w:ascii="仿宋" w:hAnsi="仿宋" w:eastAsia="仿宋" w:cs="仿宋"/>
          <w:color w:val="000000" w:themeColor="text1"/>
          <w:sz w:val="24"/>
          <w:szCs w:val="24"/>
          <w:highlight w:val="none"/>
          <w14:textFill>
            <w14:solidFill>
              <w14:schemeClr w14:val="tx1"/>
            </w14:solidFill>
          </w14:textFill>
        </w:rPr>
        <w:t>写明技术参数</w:t>
      </w:r>
      <w:r>
        <w:rPr>
          <w:rFonts w:hint="eastAsia" w:ascii="仿宋" w:hAnsi="仿宋" w:eastAsia="仿宋" w:cs="仿宋"/>
          <w:bCs/>
          <w:color w:val="000000" w:themeColor="text1"/>
          <w:sz w:val="24"/>
          <w:szCs w:val="24"/>
          <w:highlight w:val="none"/>
          <w14:textFill>
            <w14:solidFill>
              <w14:schemeClr w14:val="tx1"/>
            </w14:solidFill>
          </w14:textFill>
        </w:rPr>
        <w:t>。</w:t>
      </w:r>
    </w:p>
    <w:p>
      <w:pPr>
        <w:pStyle w:val="14"/>
        <w:shd w:val="clear" w:fill="FFFFFF" w:themeFill="background1"/>
        <w:spacing w:line="360" w:lineRule="auto"/>
        <w:jc w:val="lef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2、各投标人必须对以上重要设备技术参数作出全面、真实的反映，投标人除如实填写技术规格偏离表外，</w:t>
      </w:r>
      <w:r>
        <w:rPr>
          <w:rFonts w:hint="eastAsia" w:ascii="仿宋" w:hAnsi="仿宋" w:eastAsia="仿宋" w:cs="仿宋"/>
          <w:b/>
          <w:bCs w:val="0"/>
          <w:color w:val="000000" w:themeColor="text1"/>
          <w:sz w:val="24"/>
          <w:szCs w:val="24"/>
          <w:highlight w:val="none"/>
          <w14:textFill>
            <w14:solidFill>
              <w14:schemeClr w14:val="tx1"/>
            </w14:solidFill>
          </w14:textFill>
        </w:rPr>
        <w:t>投标文件中必须提供最新技术支持资料支持参数技术规格偏离表应答</w:t>
      </w: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包括投标产品技术白皮书或检测报告或印刷宣传彩页或性能参数说明等第三方证明材料，不接受投标人自行印刷、打印或者手写的技术支持资料，凡不符合上述要求的，视为无效技术支持资料</w:t>
      </w:r>
      <w:r>
        <w:rPr>
          <w:rFonts w:hint="eastAsia" w:ascii="仿宋" w:hAnsi="仿宋" w:eastAsia="仿宋" w:cs="仿宋"/>
          <w:color w:val="000000" w:themeColor="text1"/>
          <w:sz w:val="24"/>
          <w:szCs w:val="22"/>
          <w:highlight w:val="none"/>
          <w14:textFill>
            <w14:solidFill>
              <w14:schemeClr w14:val="tx1"/>
            </w14:solidFill>
          </w14:textFill>
        </w:rPr>
        <w:t>）若投标文件中技术支持资料参数与技术规格偏离表应答不符或无支持资料应答</w:t>
      </w:r>
      <w:r>
        <w:rPr>
          <w:rFonts w:hint="eastAsia" w:ascii="仿宋" w:hAnsi="仿宋" w:eastAsia="仿宋" w:cs="仿宋"/>
          <w:color w:val="000000" w:themeColor="text1"/>
          <w:sz w:val="24"/>
          <w:szCs w:val="22"/>
          <w:highlight w:val="none"/>
          <w:lang w:val="en-US" w:eastAsia="zh-CN"/>
          <w14:textFill>
            <w14:solidFill>
              <w14:schemeClr w14:val="tx1"/>
            </w14:solidFill>
          </w14:textFill>
        </w:rPr>
        <w:t>或</w:t>
      </w:r>
      <w:r>
        <w:rPr>
          <w:rFonts w:hint="eastAsia" w:ascii="仿宋" w:hAnsi="仿宋" w:eastAsia="仿宋" w:cs="仿宋"/>
          <w:color w:val="000000" w:themeColor="text1"/>
          <w:sz w:val="24"/>
          <w:szCs w:val="22"/>
          <w:highlight w:val="none"/>
          <w14:textFill>
            <w14:solidFill>
              <w14:schemeClr w14:val="tx1"/>
            </w14:solidFill>
          </w14:textFill>
        </w:rPr>
        <w:t>投标人提供的支持材料内容存在无法识别的数据导致评标委员会无法评定，而投标人又未在投标文件中作出说明和解释的，视为不响应该条技术参数要求</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2"/>
        <w:shd w:val="clear" w:fill="FFFFFF" w:themeFill="background1"/>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3.</w:t>
      </w:r>
      <w:r>
        <w:rPr>
          <w:rFonts w:hint="eastAsia" w:ascii="仿宋" w:hAnsi="仿宋" w:eastAsia="仿宋" w:cs="仿宋"/>
          <w:b w:val="0"/>
          <w:bCs w:val="0"/>
          <w:color w:val="000000" w:themeColor="text1"/>
          <w:sz w:val="24"/>
          <w:szCs w:val="24"/>
          <w:highlight w:val="none"/>
          <w14:textFill>
            <w14:solidFill>
              <w14:schemeClr w14:val="tx1"/>
            </w14:solidFill>
          </w14:textFill>
        </w:rPr>
        <w:t>投标人应将支持该项技术要求响应的技术支持资料在投标文件中的索引（页码及条目号等）标注在“技术支持资料索引”一栏中</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lang w:val="en-US" w:eastAsia="zh-CN"/>
          <w14:textFill>
            <w14:solidFill>
              <w14:schemeClr w14:val="tx1"/>
            </w14:solidFill>
          </w14:textFill>
        </w:rPr>
        <w:t>若未标注页码及条目号等，则视为该条参数未响应招标文件要求</w:t>
      </w:r>
      <w:r>
        <w:rPr>
          <w:rFonts w:hint="eastAsia" w:ascii="仿宋" w:hAnsi="仿宋" w:eastAsia="仿宋" w:cs="仿宋"/>
          <w:b/>
          <w:color w:val="000000" w:themeColor="text1"/>
          <w:sz w:val="24"/>
          <w:szCs w:val="24"/>
          <w:highlight w:val="none"/>
          <w14:textFill>
            <w14:solidFill>
              <w14:schemeClr w14:val="tx1"/>
            </w14:solidFill>
          </w14:textFill>
        </w:rPr>
        <w:t>。</w:t>
      </w:r>
    </w:p>
    <w:p>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r>
    </w:p>
    <w:bookmarkEnd w:id="671"/>
    <w:bookmarkEnd w:id="672"/>
    <w:bookmarkEnd w:id="673"/>
    <w:p>
      <w:pPr>
        <w:bidi w:val="0"/>
        <w:rPr>
          <w:rFonts w:hint="eastAsia"/>
          <w:color w:val="000000" w:themeColor="text1"/>
          <w:highlight w:val="none"/>
          <w14:textFill>
            <w14:solidFill>
              <w14:schemeClr w14:val="tx1"/>
            </w14:solidFill>
          </w14:textFill>
        </w:rPr>
      </w:pPr>
    </w:p>
    <w:p>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仿宋" w:hAnsi="仿宋" w:eastAsia="仿宋" w:cs="仿宋"/>
          <w:b/>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b/>
          <w:color w:val="000000" w:themeColor="text1"/>
          <w:kern w:val="0"/>
          <w:sz w:val="24"/>
          <w:szCs w:val="24"/>
          <w:highlight w:val="none"/>
          <w14:textFill>
            <w14:solidFill>
              <w14:schemeClr w14:val="tx1"/>
            </w14:solidFill>
          </w14:textFill>
        </w:rPr>
        <w:t>、</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项</w:t>
      </w:r>
      <w:r>
        <w:rPr>
          <w:rFonts w:hint="eastAsia" w:ascii="仿宋" w:hAnsi="仿宋" w:eastAsia="仿宋" w:cs="仿宋"/>
          <w:b/>
          <w:color w:val="000000" w:themeColor="text1"/>
          <w:kern w:val="0"/>
          <w:sz w:val="24"/>
          <w:szCs w:val="24"/>
          <w:highlight w:val="none"/>
          <w14:textFill>
            <w14:solidFill>
              <w14:schemeClr w14:val="tx1"/>
            </w14:solidFill>
          </w14:textFill>
        </w:rPr>
        <w:t>目实施方案</w:t>
      </w:r>
    </w:p>
    <w:p>
      <w:pPr>
        <w:pStyle w:val="2"/>
        <w:shd w:val="clear" w:fill="FFFFFF" w:themeFill="background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14"/>
        <w:shd w:val="clear" w:fill="FFFFFF" w:themeFill="background1"/>
        <w:rPr>
          <w:rFonts w:hint="eastAsia" w:ascii="仿宋" w:hAnsi="仿宋" w:eastAsia="仿宋" w:cs="仿宋"/>
          <w:color w:val="000000" w:themeColor="text1"/>
          <w:szCs w:val="22"/>
          <w:highlight w:val="none"/>
          <w14:textFill>
            <w14:solidFill>
              <w14:schemeClr w14:val="tx1"/>
            </w14:solidFill>
          </w14:textFill>
        </w:rPr>
      </w:pPr>
    </w:p>
    <w:p>
      <w:pPr>
        <w:shd w:val="clear" w:fill="FFFFFF" w:themeFill="background1"/>
        <w:spacing w:line="360" w:lineRule="auto"/>
        <w:rPr>
          <w:rFonts w:hint="eastAsia" w:ascii="仿宋" w:hAnsi="仿宋" w:eastAsia="仿宋" w:cs="仿宋"/>
          <w:color w:val="000000" w:themeColor="text1"/>
          <w:szCs w:val="21"/>
          <w:highlight w:val="none"/>
          <w14:textFill>
            <w14:solidFill>
              <w14:schemeClr w14:val="tx1"/>
            </w14:solidFill>
          </w14:textFill>
        </w:rPr>
      </w:pPr>
    </w:p>
    <w:p>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仿宋" w:hAnsi="仿宋" w:eastAsia="仿宋" w:cs="仿宋"/>
          <w:b/>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b/>
          <w:color w:val="000000" w:themeColor="text1"/>
          <w:kern w:val="0"/>
          <w:sz w:val="24"/>
          <w:szCs w:val="24"/>
          <w:highlight w:val="none"/>
          <w14:textFill>
            <w14:solidFill>
              <w14:schemeClr w14:val="tx1"/>
            </w14:solidFill>
          </w14:textFill>
        </w:rPr>
        <w:t>、ISO15189医学实验室认可咨询及指导服务方案</w:t>
      </w:r>
    </w:p>
    <w:p>
      <w:pPr>
        <w:pStyle w:val="2"/>
        <w:shd w:val="clear" w:fill="FFFFFF" w:themeFill="background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pStyle w:val="15"/>
        <w:ind w:left="0" w:leftChars="0" w:firstLine="480" w:firstLineChars="200"/>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15"/>
        <w:shd w:val="clear" w:fill="FFFFFF" w:themeFill="background1"/>
        <w:rPr>
          <w:rFonts w:hint="eastAsia" w:ascii="仿宋" w:hAnsi="仿宋" w:eastAsia="仿宋" w:cs="仿宋"/>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keepNext/>
        <w:keepLines/>
        <w:shd w:val="clear" w:fill="FFFFFF" w:themeFill="background1"/>
        <w:spacing w:before="60" w:after="60" w:line="360" w:lineRule="auto"/>
        <w:ind w:firstLine="964" w:firstLineChars="4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b/>
          <w:color w:val="000000" w:themeColor="text1"/>
          <w:kern w:val="0"/>
          <w:sz w:val="24"/>
          <w:szCs w:val="24"/>
          <w:highlight w:val="none"/>
          <w14:textFill>
            <w14:solidFill>
              <w14:schemeClr w14:val="tx1"/>
            </w14:solidFill>
          </w14:textFill>
        </w:rPr>
        <w:t>、投标人认为还需要提供的其他资料</w:t>
      </w:r>
    </w:p>
    <w:p>
      <w:pPr>
        <w:shd w:val="clear" w:fill="FFFFFF" w:themeFill="background1"/>
        <w:ind w:firstLine="720" w:firstLineChars="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keepNext/>
        <w:keepLines/>
        <w:shd w:val="clear"/>
        <w:spacing w:before="312" w:after="312" w:line="360" w:lineRule="auto"/>
        <w:jc w:val="center"/>
        <w:outlineLvl w:val="1"/>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bookmarkStart w:id="678" w:name="_Toc7285"/>
      <w:r>
        <w:rPr>
          <w:rFonts w:hint="eastAsia" w:ascii="仿宋" w:hAnsi="仿宋" w:eastAsia="仿宋" w:cs="仿宋"/>
          <w:b/>
          <w:color w:val="000000" w:themeColor="text1"/>
          <w:sz w:val="30"/>
          <w:szCs w:val="30"/>
          <w:highlight w:val="none"/>
          <w:lang w:eastAsia="zh-CN"/>
          <w14:textFill>
            <w14:solidFill>
              <w14:schemeClr w14:val="tx1"/>
            </w14:solidFill>
          </w14:textFill>
        </w:rPr>
        <w:t>五</w:t>
      </w:r>
      <w:r>
        <w:rPr>
          <w:rFonts w:hint="eastAsia" w:ascii="仿宋" w:hAnsi="仿宋" w:eastAsia="仿宋" w:cs="仿宋"/>
          <w:b/>
          <w:color w:val="000000" w:themeColor="text1"/>
          <w:sz w:val="30"/>
          <w:szCs w:val="30"/>
          <w:highlight w:val="none"/>
          <w14:textFill>
            <w14:solidFill>
              <w14:schemeClr w14:val="tx1"/>
            </w14:solidFill>
          </w14:textFill>
        </w:rPr>
        <w:t>、商务标部分</w:t>
      </w:r>
      <w:bookmarkEnd w:id="678"/>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679" w:name="_Toc383636422"/>
      <w:bookmarkStart w:id="680" w:name="_Toc391301881"/>
      <w:bookmarkStart w:id="681" w:name="_Toc406162627"/>
      <w:bookmarkStart w:id="682" w:name="_Toc527634733"/>
      <w:bookmarkStart w:id="683" w:name="_Toc14410"/>
      <w:bookmarkStart w:id="684" w:name="_Toc388360814"/>
      <w:r>
        <w:rPr>
          <w:rFonts w:hint="eastAsia" w:ascii="仿宋" w:hAnsi="仿宋" w:eastAsia="仿宋" w:cs="仿宋"/>
          <w:b/>
          <w:color w:val="000000" w:themeColor="text1"/>
          <w:sz w:val="24"/>
          <w:szCs w:val="24"/>
          <w:highlight w:val="none"/>
          <w14:textFill>
            <w14:solidFill>
              <w14:schemeClr w14:val="tx1"/>
            </w14:solidFill>
          </w14:textFill>
        </w:rPr>
        <w:t>格式1、投标</w:t>
      </w:r>
      <w:bookmarkEnd w:id="679"/>
      <w:bookmarkEnd w:id="680"/>
      <w:bookmarkEnd w:id="681"/>
      <w:bookmarkEnd w:id="682"/>
      <w:r>
        <w:rPr>
          <w:rFonts w:hint="eastAsia" w:ascii="仿宋" w:hAnsi="仿宋" w:eastAsia="仿宋" w:cs="仿宋"/>
          <w:b/>
          <w:color w:val="000000" w:themeColor="text1"/>
          <w:sz w:val="24"/>
          <w:szCs w:val="24"/>
          <w:highlight w:val="none"/>
          <w14:textFill>
            <w14:solidFill>
              <w14:schemeClr w14:val="tx1"/>
            </w14:solidFill>
          </w14:textFill>
        </w:rPr>
        <w:t>书</w:t>
      </w:r>
      <w:bookmarkEnd w:id="683"/>
    </w:p>
    <w:p>
      <w:pPr>
        <w:shd w:val="clea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致：云南蓝本招标咨询有限公司</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根据贵方代理的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丽江市人民医院检验科第一批设备及配套试剂耗材采购项目</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。我单位（公司）决定参加该项目的投标，我单位（或公司）同意以下事项：</w:t>
      </w:r>
    </w:p>
    <w:p>
      <w:pPr>
        <w:shd w:val="clear"/>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1、我方承诺已经具备《中华人民共和国政府采购法》中规定的参加政府采购活动的</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应当具备的条件。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2、遵守招标文件的各项条款及一切有关规定，并在投标人须知前附表第1</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.1条规定的投标有效期满之前均具有约束力。如果我方投标被接受，则至合同履行完毕、</w:t>
      </w:r>
      <w:r>
        <w:rPr>
          <w:rFonts w:hint="eastAsia" w:ascii="仿宋" w:hAnsi="仿宋" w:eastAsia="仿宋" w:cs="仿宋"/>
          <w:color w:val="000000" w:themeColor="text1"/>
          <w:sz w:val="24"/>
          <w:szCs w:val="24"/>
          <w:highlight w:val="none"/>
          <w:lang w:eastAsia="zh-CN"/>
          <w14:textFill>
            <w14:solidFill>
              <w14:schemeClr w14:val="tx1"/>
            </w14:solidFill>
          </w14:textFill>
        </w:rPr>
        <w:t>质保期（有效期）</w:t>
      </w:r>
      <w:r>
        <w:rPr>
          <w:rFonts w:hint="eastAsia" w:ascii="仿宋" w:hAnsi="仿宋" w:eastAsia="仿宋" w:cs="仿宋"/>
          <w:color w:val="000000" w:themeColor="text1"/>
          <w:sz w:val="24"/>
          <w:szCs w:val="24"/>
          <w:highlight w:val="none"/>
          <w14:textFill>
            <w14:solidFill>
              <w14:schemeClr w14:val="tx1"/>
            </w14:solidFill>
          </w14:textFill>
        </w:rPr>
        <w:t>满为止，本投标书保持有效。</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3.我方承诺严格遵守招标文件中的各项要求及合同条款，并承担合同规定的责任义务。</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、同意应贵方要求提供与本投标有关的任何数据和资料，并保证数据和资料的完整性和真实性，若有违反，我方愿意承担一切后果。</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、我方已详细审核招标文件，我方对招标文件各项条款和评标办法无异议，知道必须放弃提出含糊不清或误解问题的权利。</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、如果在投标文件有效期内撤回投标或者有其他违约行为，我方的投标保证金可被贵方全部没收。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、若贵方需要，我方愿意提供我方作出的一切承诺的证明材料。</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传真：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rPr>
          <w:rFonts w:hint="eastAsia" w:ascii="仿宋" w:hAnsi="仿宋" w:eastAsia="仿宋" w:cs="仿宋"/>
          <w:color w:val="000000" w:themeColor="text1"/>
          <w:sz w:val="24"/>
          <w:szCs w:val="24"/>
          <w:highlight w:val="none"/>
          <w14:textFill>
            <w14:solidFill>
              <w14:schemeClr w14:val="tx1"/>
            </w14:solidFill>
          </w14:textFill>
        </w:rPr>
      </w:pPr>
      <w:bookmarkStart w:id="685" w:name="_Toc38173198"/>
      <w:bookmarkStart w:id="686" w:name="_Toc469987741"/>
      <w:bookmarkStart w:id="687" w:name="_Toc469987155"/>
      <w:r>
        <w:rPr>
          <w:rFonts w:hint="eastAsia" w:ascii="仿宋" w:hAnsi="仿宋" w:eastAsia="仿宋" w:cs="仿宋"/>
          <w:color w:val="000000" w:themeColor="text1"/>
          <w:sz w:val="24"/>
          <w:szCs w:val="24"/>
          <w:highlight w:val="none"/>
          <w14:textFill>
            <w14:solidFill>
              <w14:schemeClr w14:val="tx1"/>
            </w14:solidFill>
          </w14:textFill>
        </w:rPr>
        <w:br w:type="page"/>
      </w:r>
    </w:p>
    <w:p>
      <w:pPr>
        <w:pStyle w:val="2"/>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688" w:name="_Toc7239"/>
      <w:r>
        <w:rPr>
          <w:rFonts w:hint="eastAsia" w:ascii="仿宋" w:hAnsi="仿宋" w:eastAsia="仿宋" w:cs="仿宋"/>
          <w:b/>
          <w:color w:val="000000" w:themeColor="text1"/>
          <w:sz w:val="24"/>
          <w:szCs w:val="24"/>
          <w:highlight w:val="none"/>
          <w14:textFill>
            <w14:solidFill>
              <w14:schemeClr w14:val="tx1"/>
            </w14:solidFill>
          </w14:textFill>
        </w:rPr>
        <w:t>格式2、投标质量保证书</w:t>
      </w:r>
      <w:bookmarkEnd w:id="685"/>
      <w:bookmarkEnd w:id="686"/>
      <w:bookmarkEnd w:id="687"/>
      <w:bookmarkEnd w:id="688"/>
    </w:p>
    <w:p>
      <w:pPr>
        <w:shd w:val="clear"/>
        <w:spacing w:line="40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after="120" w:line="5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丽江市人民医院/</w:t>
      </w:r>
      <w:r>
        <w:rPr>
          <w:rFonts w:hint="eastAsia" w:ascii="仿宋" w:hAnsi="仿宋" w:eastAsia="仿宋" w:cs="仿宋"/>
          <w:b/>
          <w:color w:val="000000" w:themeColor="text1"/>
          <w:sz w:val="24"/>
          <w:szCs w:val="24"/>
          <w:highlight w:val="none"/>
          <w14:textFill>
            <w14:solidFill>
              <w14:schemeClr w14:val="tx1"/>
            </w14:solidFill>
          </w14:textFill>
        </w:rPr>
        <w:t>云南蓝本招标咨询有限公司</w:t>
      </w:r>
    </w:p>
    <w:p>
      <w:pPr>
        <w:shd w:val="clear"/>
        <w:spacing w:before="60" w:after="60" w:line="500" w:lineRule="exact"/>
        <w:ind w:left="-2" w:leftChars="-1"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本书作为（投标人）对</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（项目名称）</w:t>
      </w:r>
      <w:r>
        <w:rPr>
          <w:rFonts w:hint="eastAsia" w:ascii="仿宋" w:hAnsi="仿宋" w:eastAsia="仿宋" w:cs="仿宋"/>
          <w:color w:val="000000" w:themeColor="text1"/>
          <w:sz w:val="24"/>
          <w:szCs w:val="24"/>
          <w:highlight w:val="none"/>
          <w14:textFill>
            <w14:solidFill>
              <w14:schemeClr w14:val="tx1"/>
            </w14:solidFill>
          </w14:textFill>
        </w:rPr>
        <w:t>，项目编号为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的项目</w:t>
      </w:r>
      <w:r>
        <w:rPr>
          <w:rFonts w:hint="eastAsia" w:ascii="仿宋" w:hAnsi="仿宋" w:eastAsia="仿宋" w:cs="仿宋"/>
          <w:color w:val="000000" w:themeColor="text1"/>
          <w:sz w:val="24"/>
          <w:szCs w:val="24"/>
          <w:highlight w:val="none"/>
          <w14:textFill>
            <w14:solidFill>
              <w14:schemeClr w14:val="tx1"/>
            </w14:solidFill>
          </w14:textFill>
        </w:rPr>
        <w:t>所投标产品的质量保证的证明。</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我方承诺提供以下质量保证并承担相应的法律责任：</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1、提供的产品是全新的、符合国家质量标准的产品。</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2、提供的产品符合投标文件承诺和所签合同规定的技术要求。</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3、保证“投标售后服务承诺”全部内容的满足。</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4、提供的产品货真价实，不以次充好。</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5、保证诚信经营，绝不弄虚作假。</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本保证书自开标日起90天内有效，如我方中标则至货物保质期满为止有效。</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bookmarkStart w:id="689" w:name="_Toc38173197"/>
      <w:bookmarkStart w:id="690" w:name="_Toc31603098"/>
      <w:bookmarkStart w:id="691" w:name="_Toc469987156"/>
      <w:bookmarkStart w:id="692" w:name="_Toc469987742"/>
      <w:bookmarkStart w:id="693" w:name="_Toc4678"/>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格式3</w:t>
      </w:r>
      <w:bookmarkEnd w:id="689"/>
      <w:bookmarkEnd w:id="690"/>
      <w:r>
        <w:rPr>
          <w:rFonts w:hint="eastAsia" w:ascii="仿宋" w:hAnsi="仿宋" w:eastAsia="仿宋" w:cs="仿宋"/>
          <w:b/>
          <w:color w:val="000000" w:themeColor="text1"/>
          <w:sz w:val="24"/>
          <w:szCs w:val="24"/>
          <w:highlight w:val="none"/>
          <w14:textFill>
            <w14:solidFill>
              <w14:schemeClr w14:val="tx1"/>
            </w14:solidFill>
          </w14:textFill>
        </w:rPr>
        <w:t>、投标人承诺书（1）</w:t>
      </w:r>
      <w:bookmarkEnd w:id="691"/>
      <w:bookmarkEnd w:id="692"/>
      <w:bookmarkEnd w:id="693"/>
    </w:p>
    <w:p>
      <w:pPr>
        <w:widowControl/>
        <w:shd w:val="clear"/>
        <w:spacing w:line="520" w:lineRule="exact"/>
        <w:ind w:firstLine="480" w:firstLineChars="200"/>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本单位作为参与</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丽江市人民医院检验科第一批设备及配套试剂耗材采购项目</w:t>
      </w:r>
      <w:r>
        <w:rPr>
          <w:rFonts w:hint="eastAsia" w:ascii="仿宋" w:hAnsi="仿宋" w:eastAsia="仿宋" w:cs="仿宋"/>
          <w:color w:val="000000" w:themeColor="text1"/>
          <w:kern w:val="0"/>
          <w:sz w:val="24"/>
          <w:szCs w:val="24"/>
          <w:highlight w:val="none"/>
          <w14:textFill>
            <w14:solidFill>
              <w14:schemeClr w14:val="tx1"/>
            </w14:solidFill>
          </w14:textFill>
        </w:rPr>
        <w:t>的投标人，现作如下承诺：</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1、所提供的一切材料都是真实、有效、合法的。</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2、不与其他投标人串通投标，不损害</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或其他投标人的合法权益。</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3、不转让、出租、出借资质证书、人员岗位证书或以其他方式允许他人以本企业名义投标。</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4、不与</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或</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kern w:val="0"/>
          <w:sz w:val="24"/>
          <w:szCs w:val="24"/>
          <w:highlight w:val="none"/>
          <w14:textFill>
            <w14:solidFill>
              <w14:schemeClr w14:val="tx1"/>
            </w14:solidFill>
          </w14:textFill>
        </w:rPr>
        <w:t>串通投标，损害国家利益、社会公共利益或者他人的合法权益。</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5、不向</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、评标委员会成员、监督人员行贿。</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6、不扰乱招标投标活动正常秩序。</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7、不进行虚假恶意投诉。</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8、因违反法律、法规、规章被查处的，不干预案件查处。</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如出现上述行为，本投标人自愿承担相关责任，接受招标投标监督管理部门、纪检监察部门或司法机关调查处理。</w:t>
      </w:r>
      <w:r>
        <w:rPr>
          <w:rFonts w:hint="eastAsia" w:ascii="仿宋" w:hAnsi="仿宋" w:eastAsia="仿宋" w:cs="仿宋"/>
          <w:color w:val="000000" w:themeColor="text1"/>
          <w:kern w:val="0"/>
          <w:sz w:val="24"/>
          <w:szCs w:val="24"/>
          <w:highlight w:val="none"/>
          <w14:textFill>
            <w14:solidFill>
              <w14:schemeClr w14:val="tx1"/>
            </w14:solidFill>
          </w14:textFill>
        </w:rPr>
        <w:t>给</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造成损失的，依法承担赔偿责任。</w:t>
      </w:r>
    </w:p>
    <w:p>
      <w:pPr>
        <w:widowControl/>
        <w:shd w:val="clear"/>
        <w:spacing w:line="520" w:lineRule="exact"/>
        <w:jc w:val="left"/>
        <w:rPr>
          <w:rFonts w:hint="eastAsia" w:ascii="仿宋" w:hAnsi="仿宋" w:eastAsia="仿宋" w:cs="仿宋"/>
          <w:color w:val="000000" w:themeColor="text1"/>
          <w:kern w:val="0"/>
          <w:sz w:val="24"/>
          <w:szCs w:val="24"/>
          <w:highlight w:val="none"/>
          <w14:textFill>
            <w14:solidFill>
              <w14:schemeClr w14:val="tx1"/>
            </w14:solidFill>
          </w14:textFill>
        </w:rPr>
      </w:pP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r>
      <w:bookmarkStart w:id="694" w:name="_Toc22167"/>
      <w:bookmarkStart w:id="695" w:name="_Toc469987158"/>
      <w:bookmarkStart w:id="696" w:name="_Toc469987744"/>
      <w:r>
        <w:rPr>
          <w:rFonts w:hint="eastAsia" w:ascii="仿宋" w:hAnsi="仿宋" w:eastAsia="仿宋" w:cs="仿宋"/>
          <w:b/>
          <w:color w:val="000000" w:themeColor="text1"/>
          <w:sz w:val="24"/>
          <w:szCs w:val="24"/>
          <w:highlight w:val="none"/>
          <w14:textFill>
            <w14:solidFill>
              <w14:schemeClr w14:val="tx1"/>
            </w14:solidFill>
          </w14:textFill>
        </w:rPr>
        <w:t>格式4、投标人承诺书（2）</w:t>
      </w:r>
      <w:bookmarkEnd w:id="694"/>
      <w:bookmarkEnd w:id="695"/>
      <w:bookmarkEnd w:id="696"/>
    </w:p>
    <w:p>
      <w:pPr>
        <w:shd w:val="clear"/>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w:t>
      </w:r>
      <w:r>
        <w:rPr>
          <w:rFonts w:hint="eastAsia" w:ascii="仿宋" w:hAnsi="仿宋" w:eastAsia="仿宋" w:cs="仿宋"/>
          <w:color w:val="000000" w:themeColor="text1"/>
          <w:sz w:val="24"/>
          <w:szCs w:val="24"/>
          <w:highlight w:val="none"/>
          <w:u w:val="single"/>
          <w14:textFill>
            <w14:solidFill>
              <w14:schemeClr w14:val="tx1"/>
            </w14:solidFill>
          </w14:textFill>
        </w:rPr>
        <w:t>、云南蓝本招标咨询有限公司</w:t>
      </w:r>
    </w:p>
    <w:p>
      <w:pPr>
        <w:shd w:val="clear"/>
        <w:spacing w:line="480" w:lineRule="auto"/>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w:t>
      </w:r>
      <w:r>
        <w:rPr>
          <w:rFonts w:hint="eastAsia" w:ascii="仿宋" w:hAnsi="仿宋" w:eastAsia="仿宋" w:cs="仿宋"/>
          <w:color w:val="000000" w:themeColor="text1"/>
          <w:sz w:val="24"/>
          <w:szCs w:val="24"/>
          <w:highlight w:val="none"/>
          <w:u w:val="single"/>
          <w14:textFill>
            <w14:solidFill>
              <w14:schemeClr w14:val="tx1"/>
            </w14:solidFill>
          </w14:textFill>
        </w:rPr>
        <w:t>　（投标人名称）　</w:t>
      </w:r>
      <w:r>
        <w:rPr>
          <w:rFonts w:hint="eastAsia" w:ascii="仿宋" w:hAnsi="仿宋" w:eastAsia="仿宋" w:cs="仿宋"/>
          <w:color w:val="000000" w:themeColor="text1"/>
          <w:sz w:val="24"/>
          <w:szCs w:val="24"/>
          <w:highlight w:val="none"/>
          <w14:textFill>
            <w14:solidFill>
              <w14:schemeClr w14:val="tx1"/>
            </w14:solidFill>
          </w14:textFill>
        </w:rPr>
        <w:t>对</w:t>
      </w:r>
      <w:r>
        <w:rPr>
          <w:rFonts w:hint="eastAsia" w:ascii="仿宋" w:hAnsi="仿宋" w:eastAsia="仿宋" w:cs="仿宋"/>
          <w:color w:val="000000" w:themeColor="text1"/>
          <w:sz w:val="24"/>
          <w:szCs w:val="24"/>
          <w:highlight w:val="none"/>
          <w:u w:val="single"/>
          <w14:textFill>
            <w14:solidFill>
              <w14:schemeClr w14:val="tx1"/>
            </w14:solidFill>
          </w14:textFill>
        </w:rPr>
        <w:t>　　　　　　</w:t>
      </w:r>
      <w:r>
        <w:rPr>
          <w:rFonts w:hint="eastAsia" w:ascii="仿宋" w:hAnsi="仿宋" w:eastAsia="仿宋" w:cs="仿宋"/>
          <w:color w:val="000000" w:themeColor="text1"/>
          <w:sz w:val="24"/>
          <w:szCs w:val="24"/>
          <w:highlight w:val="none"/>
          <w14:textFill>
            <w14:solidFill>
              <w14:schemeClr w14:val="tx1"/>
            </w14:solidFill>
          </w14:textFill>
        </w:rPr>
        <w:t>项目（项目编号</w:t>
      </w:r>
      <w:r>
        <w:rPr>
          <w:rFonts w:hint="eastAsia" w:ascii="仿宋" w:hAnsi="仿宋" w:eastAsia="仿宋" w:cs="仿宋"/>
          <w:color w:val="000000" w:themeColor="text1"/>
          <w:sz w:val="24"/>
          <w:szCs w:val="24"/>
          <w:highlight w:val="none"/>
          <w:u w:val="single"/>
          <w14:textFill>
            <w14:solidFill>
              <w14:schemeClr w14:val="tx1"/>
            </w14:solidFill>
          </w14:textFill>
        </w:rPr>
        <w:t>　　　　</w:t>
      </w:r>
      <w:r>
        <w:rPr>
          <w:rFonts w:hint="eastAsia" w:ascii="仿宋" w:hAnsi="仿宋" w:eastAsia="仿宋" w:cs="仿宋"/>
          <w:color w:val="000000" w:themeColor="text1"/>
          <w:sz w:val="24"/>
          <w:szCs w:val="24"/>
          <w:highlight w:val="none"/>
          <w14:textFill>
            <w14:solidFill>
              <w14:schemeClr w14:val="tx1"/>
            </w14:solidFill>
          </w14:textFill>
        </w:rPr>
        <w:t>）公开招标的承诺书，现做出如下承诺：</w:t>
      </w:r>
    </w:p>
    <w:p>
      <w:pPr>
        <w:shd w:val="clear"/>
        <w:spacing w:line="600" w:lineRule="exact"/>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我方承诺我方会认真阅读招标文件中的所有规定及要求，如发现招标文件规定有误或要求不合理的，我方必将在收到招标文件后在七个工作日内以书面形式加盖鲜公章递交至</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要求澄清，否则，即等同于我公司已完全认同招标文件的规定及要求。开标后不再针对招标文件的规定及要求提出任何质疑及投诉。</w:t>
      </w: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pStyle w:val="3"/>
        <w:rPr>
          <w:rFonts w:hint="eastAsia"/>
          <w:color w:val="000000" w:themeColor="text1"/>
          <w:highlight w:val="none"/>
          <w14:textFill>
            <w14:solidFill>
              <w14:schemeClr w14:val="tx1"/>
            </w14:solidFill>
          </w14:textFill>
        </w:rPr>
      </w:pPr>
    </w:p>
    <w:p>
      <w:pPr>
        <w:keepNext/>
        <w:keepLines/>
        <w:shd w:val="clear" w:fill="FFFFFF" w:themeFill="background1"/>
        <w:spacing w:before="60" w:after="60" w:line="360" w:lineRule="auto"/>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color w:val="000000" w:themeColor="text1"/>
          <w:sz w:val="24"/>
          <w:szCs w:val="24"/>
          <w:highlight w:val="none"/>
          <w14:textFill>
            <w14:solidFill>
              <w14:schemeClr w14:val="tx1"/>
            </w14:solidFill>
          </w14:textFill>
        </w:rPr>
        <w:t>、投标保证书</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（招标人）：</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本书作为____（投标单位）对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项目（招标编号：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）的招标提供的投标保证金的保证。</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由____________（开户银行名称）提供的_______（填投标保证金形式）总额为___________________（人民币_______元）。</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一旦发生下述行为，我单位（或公司）将放弃追索保证金的权利并放弃中标：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（1）从开标日起到投标文件有效期满前，投标单位撤回投标；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（2）开标、评标到定标期间发生违反招标文件规定的行为；</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（3）在收到《中标通知书》后未能按中标通知书规定的时间地点与需求方签订合同；</w:t>
      </w:r>
    </w:p>
    <w:p>
      <w:pPr>
        <w:shd w:val="clear" w:fill="FFFFFF" w:themeFill="background1"/>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（4）中标后未按规定交付中标服务费</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（5）中标后无故不服从招标人工作安排的，我公司自愿放弃中标资格。</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本保证书自开标日起90日有效，除非贵方提前终止或解除本保证书。</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开户银行：</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fill="FFFFFF" w:themeFill="background1"/>
        <w:ind w:firstLine="420"/>
        <w:rPr>
          <w:rFonts w:hint="eastAsia" w:ascii="仿宋" w:hAnsi="仿宋" w:eastAsia="仿宋" w:cs="仿宋"/>
          <w:b/>
          <w:color w:val="000000" w:themeColor="text1"/>
          <w:sz w:val="24"/>
          <w:szCs w:val="24"/>
          <w:highlight w:val="none"/>
          <w14:textFill>
            <w14:solidFill>
              <w14:schemeClr w14:val="tx1"/>
            </w14:solidFill>
          </w14:textFill>
        </w:rPr>
      </w:pPr>
    </w:p>
    <w:p>
      <w:pPr>
        <w:shd w:val="clear" w:fill="FFFFFF" w:themeFill="background1"/>
        <w:ind w:firstLine="420"/>
        <w:rPr>
          <w:rFonts w:hint="eastAsia" w:ascii="仿宋" w:hAnsi="仿宋" w:eastAsia="仿宋" w:cs="仿宋"/>
          <w:b/>
          <w:color w:val="000000" w:themeColor="text1"/>
          <w:sz w:val="24"/>
          <w:szCs w:val="24"/>
          <w:highlight w:val="none"/>
          <w14:textFill>
            <w14:solidFill>
              <w14:schemeClr w14:val="tx1"/>
            </w14:solidFill>
          </w14:textFill>
        </w:rPr>
      </w:pPr>
    </w:p>
    <w:p>
      <w:pPr>
        <w:pStyle w:val="2"/>
        <w:shd w:val="clear" w:fill="FFFFFF" w:themeFill="background1"/>
        <w:rPr>
          <w:rFonts w:hint="eastAsia" w:ascii="仿宋" w:hAnsi="仿宋" w:eastAsia="仿宋" w:cs="仿宋"/>
          <w:b/>
          <w:bCs w:val="0"/>
          <w:color w:val="000000" w:themeColor="text1"/>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附投标保证金缴纳凭证</w:t>
      </w:r>
    </w:p>
    <w:p>
      <w:pPr>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500" w:lineRule="exact"/>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Cs w:val="24"/>
          <w:highlight w:val="none"/>
          <w:u w:val="single"/>
          <w14:textFill>
            <w14:solidFill>
              <w14:schemeClr w14:val="tx1"/>
            </w14:solidFill>
          </w14:textFill>
        </w:rPr>
        <w:br w:type="page"/>
      </w:r>
      <w:bookmarkStart w:id="697" w:name="_Toc527634723"/>
      <w:bookmarkStart w:id="698" w:name="_Toc5187"/>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color w:val="000000" w:themeColor="text1"/>
          <w:sz w:val="24"/>
          <w:szCs w:val="24"/>
          <w:highlight w:val="none"/>
          <w14:textFill>
            <w14:solidFill>
              <w14:schemeClr w14:val="tx1"/>
            </w14:solidFill>
          </w14:textFill>
        </w:rPr>
        <w:t>、投标人基本情况表</w:t>
      </w:r>
      <w:bookmarkEnd w:id="697"/>
      <w:bookmarkEnd w:id="698"/>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tbl>
      <w:tblPr>
        <w:tblStyle w:val="22"/>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1533"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left="34" w:leftChars="16"/>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1533"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left="34" w:leftChars="16"/>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职务</w:t>
            </w:r>
          </w:p>
        </w:tc>
        <w:tc>
          <w:tcPr>
            <w:tcW w:w="294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登记机关：注册资本金:</w:t>
            </w:r>
          </w:p>
        </w:tc>
      </w:tr>
      <w:tr>
        <w:tblPrEx>
          <w:tblLayout w:type="fixed"/>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执照号：</w:t>
            </w: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登记机关：税务号：</w:t>
            </w: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经营范围</w:t>
            </w:r>
          </w:p>
        </w:tc>
        <w:tc>
          <w:tcPr>
            <w:tcW w:w="7933" w:type="dxa"/>
            <w:gridSpan w:val="3"/>
            <w:tcBorders>
              <w:top w:val="single" w:color="auto" w:sz="6" w:space="0"/>
              <w:left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企业联系电话：传真：</w:t>
            </w:r>
          </w:p>
        </w:tc>
      </w:tr>
      <w:tr>
        <w:tblPrEx>
          <w:tblLayout w:type="fixed"/>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业务联系人：电话：</w:t>
            </w:r>
          </w:p>
        </w:tc>
      </w:tr>
    </w:tbl>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highlight w:val="none"/>
          <w14:textFill>
            <w14:solidFill>
              <w14:schemeClr w14:val="tx1"/>
            </w14:solidFill>
          </w14:textFill>
        </w:rPr>
      </w:pPr>
      <w:bookmarkStart w:id="699" w:name="_Toc14046"/>
      <w:r>
        <w:rPr>
          <w:rFonts w:hint="eastAsia" w:ascii="仿宋" w:hAnsi="仿宋" w:eastAsia="仿宋" w:cs="仿宋"/>
          <w:color w:val="000000" w:themeColor="text1"/>
          <w:highlight w:val="none"/>
          <w14:textFill>
            <w14:solidFill>
              <w14:schemeClr w14:val="tx1"/>
            </w14:solidFill>
          </w14:textFill>
        </w:rPr>
        <w:br w:type="page"/>
      </w:r>
    </w:p>
    <w:p>
      <w:pPr>
        <w:pStyle w:val="2"/>
        <w:shd w:val="clear"/>
        <w:rPr>
          <w:rFonts w:hint="eastAsia" w:ascii="仿宋" w:hAnsi="仿宋" w:eastAsia="仿宋" w:cs="仿宋"/>
          <w:color w:val="000000" w:themeColor="text1"/>
          <w:highlight w:val="none"/>
          <w14:textFill>
            <w14:solidFill>
              <w14:schemeClr w14:val="tx1"/>
            </w14:solidFill>
          </w14:textFill>
        </w:rPr>
      </w:pPr>
    </w:p>
    <w:bookmarkEnd w:id="699"/>
    <w:p>
      <w:pPr>
        <w:keepNext/>
        <w:keepLines/>
        <w:shd w:val="clear"/>
        <w:spacing w:before="60" w:after="60" w:line="500" w:lineRule="exact"/>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00" w:name="_Toc527634725"/>
      <w:bookmarkStart w:id="701" w:name="_Toc6774"/>
      <w:bookmarkStart w:id="702" w:name="_Toc406162620"/>
      <w:bookmarkStart w:id="703" w:name="_Toc383636415"/>
      <w:bookmarkStart w:id="704" w:name="_Toc391301874"/>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color w:val="000000" w:themeColor="text1"/>
          <w:sz w:val="24"/>
          <w:szCs w:val="24"/>
          <w:highlight w:val="none"/>
          <w14:textFill>
            <w14:solidFill>
              <w14:schemeClr w14:val="tx1"/>
            </w14:solidFill>
          </w14:textFill>
        </w:rPr>
        <w:t>、法定代表人身份证明书</w:t>
      </w:r>
      <w:bookmarkEnd w:id="700"/>
      <w:bookmarkEnd w:id="701"/>
      <w:bookmarkEnd w:id="702"/>
      <w:bookmarkEnd w:id="703"/>
      <w:bookmarkEnd w:id="704"/>
    </w:p>
    <w:p>
      <w:pPr>
        <w:shd w:val="clear"/>
        <w:spacing w:line="420" w:lineRule="exact"/>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单位性质：</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注册资金：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址：</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成立时间：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经营期限：</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性别：</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的法定代表人</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特此证明</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jc w:val="center"/>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法定代表人有效的身份证复印件</w:t>
      </w:r>
    </w:p>
    <w:p>
      <w:pPr>
        <w:shd w:val="clea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keepNext/>
        <w:keepLines/>
        <w:shd w:val="clear"/>
        <w:spacing w:before="60" w:after="60" w:line="500" w:lineRule="exact"/>
        <w:ind w:firstLine="51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05" w:name="_Toc2977"/>
      <w:bookmarkStart w:id="706" w:name="_Toc430214793"/>
      <w:bookmarkStart w:id="707" w:name="_Toc527634726"/>
      <w:bookmarkStart w:id="708" w:name="_Toc383636418"/>
      <w:bookmarkStart w:id="709" w:name="_Toc391301876"/>
      <w:bookmarkStart w:id="710" w:name="_Toc406162622"/>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
          <w:color w:val="000000" w:themeColor="text1"/>
          <w:sz w:val="24"/>
          <w:szCs w:val="24"/>
          <w:highlight w:val="none"/>
          <w14:textFill>
            <w14:solidFill>
              <w14:schemeClr w14:val="tx1"/>
            </w14:solidFill>
          </w14:textFill>
        </w:rPr>
        <w:t>、法定代表人授权委托书（授权代表是法定代表人时，不必提供）</w:t>
      </w:r>
      <w:bookmarkEnd w:id="705"/>
      <w:bookmarkEnd w:id="706"/>
      <w:bookmarkEnd w:id="707"/>
    </w:p>
    <w:p>
      <w:pPr>
        <w:shd w:val="clear"/>
        <w:spacing w:line="420" w:lineRule="exact"/>
        <w:ind w:firstLine="540" w:firstLineChars="225"/>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本授权委托书声明：我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（投标人名称）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的法定代表人，现授权委托</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（单位名称）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为我公司代理人，以公司名义参加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（项目名称）   </w:t>
      </w:r>
      <w:r>
        <w:rPr>
          <w:rFonts w:hint="eastAsia" w:ascii="仿宋" w:hAnsi="仿宋" w:eastAsia="仿宋" w:cs="仿宋"/>
          <w:color w:val="000000" w:themeColor="text1"/>
          <w:sz w:val="24"/>
          <w:szCs w:val="24"/>
          <w:highlight w:val="none"/>
          <w14:textFill>
            <w14:solidFill>
              <w14:schemeClr w14:val="tx1"/>
            </w14:solidFill>
          </w14:textFill>
        </w:rPr>
        <w:t>的投标活动。代理人在开标、评标及合同谈判过程中所签署的一切文件和处理与之有关的一切事务，我均予承认。</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性别：</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部门：</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代理人无转委权。特此委托。</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代理人（</w:t>
      </w:r>
      <w:r>
        <w:rPr>
          <w:rFonts w:hint="eastAsia" w:ascii="仿宋" w:hAnsi="仿宋" w:eastAsia="仿宋" w:cs="仿宋"/>
          <w:color w:val="000000" w:themeColor="text1"/>
          <w:sz w:val="24"/>
          <w:szCs w:val="24"/>
          <w:highlight w:val="none"/>
          <w:lang w:val="en-US" w:eastAsia="zh-CN"/>
          <w14:textFill>
            <w14:solidFill>
              <w14:schemeClr w14:val="tx1"/>
            </w14:solidFill>
          </w14:textFill>
        </w:rPr>
        <w:t>签章或</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spacing w:line="360" w:lineRule="auto"/>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注：附授权委托代理人身份证复印件，如投标人由法定代表人亲自签署</w:t>
      </w:r>
      <w:r>
        <w:rPr>
          <w:rFonts w:hint="eastAsia" w:ascii="仿宋" w:hAnsi="仿宋" w:eastAsia="仿宋" w:cs="仿宋"/>
          <w:b/>
          <w:bCs/>
          <w:color w:val="000000" w:themeColor="text1"/>
          <w:sz w:val="24"/>
          <w:szCs w:val="24"/>
          <w:highlight w:val="none"/>
          <w14:textFill>
            <w14:solidFill>
              <w14:schemeClr w14:val="tx1"/>
            </w14:solidFill>
          </w14:textFill>
        </w:rPr>
        <w:t>投标文件</w:t>
      </w:r>
      <w:r>
        <w:rPr>
          <w:rFonts w:hint="eastAsia" w:ascii="仿宋" w:hAnsi="仿宋" w:eastAsia="仿宋" w:cs="仿宋"/>
          <w:b/>
          <w:color w:val="000000" w:themeColor="text1"/>
          <w:sz w:val="24"/>
          <w:szCs w:val="24"/>
          <w:highlight w:val="none"/>
          <w14:textFill>
            <w14:solidFill>
              <w14:schemeClr w14:val="tx1"/>
            </w14:solidFill>
          </w14:textFill>
        </w:rPr>
        <w:t>并参与相关活动，则不需要办理授权。如有被授权的代理人签署上述文件，则必须按本格式规定填报并提交授权书，否则被授权的代理人将不被认可。</w:t>
      </w:r>
    </w:p>
    <w:p>
      <w:pPr>
        <w:shd w:val="clear"/>
        <w:spacing w:line="440" w:lineRule="exact"/>
        <w:ind w:firstLine="480"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59264"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8"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AutoShape 4" o:spid="_x0000_s1026" o:spt="2" style="position:absolute;left:0pt;margin-left:52pt;margin-top:0.95pt;height:163.8pt;width:333pt;z-index:-251657216;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UiW&#10;8NUAAAAJAQAADwAAAAAAAAABACAAAAAiAAAAZHJzL2Rvd25yZXYueG1sUEsBAhQAFAAAAAgAh07i&#10;QNTtvrvsAQAA+wMAAA4AAAAAAAAAAQAgAAAAJAEAAGRycy9lMm9Eb2MueG1sUEsFBgAAAAAGAAYA&#10;WQEAAIIFAAAAAA==&#10;">
                <v:fill on="t" focussize="0,0"/>
                <v:stroke color="#000000" joinstyle="round"/>
                <v:imagedata o:title=""/>
                <o:lock v:ext="edit" aspectratio="f"/>
              </v:roundrect>
            </w:pict>
          </mc:Fallback>
        </mc:AlternateContent>
      </w:r>
    </w:p>
    <w:p>
      <w:pPr>
        <w:shd w:val="clear"/>
        <w:spacing w:line="440" w:lineRule="exact"/>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0"/>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委托代理人有效的身份证复印件</w:t>
      </w: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bookmarkEnd w:id="708"/>
    <w:bookmarkEnd w:id="709"/>
    <w:bookmarkEnd w:id="710"/>
    <w:p>
      <w:pPr>
        <w:keepNext/>
        <w:keepLines/>
        <w:shd w:val="clear"/>
        <w:spacing w:before="60" w:after="60" w:line="500" w:lineRule="exact"/>
        <w:ind w:firstLine="51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11" w:name="_Toc24978"/>
      <w:bookmarkStart w:id="712" w:name="_Toc2711"/>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9</w:t>
      </w:r>
      <w:r>
        <w:rPr>
          <w:rFonts w:hint="eastAsia" w:ascii="仿宋" w:hAnsi="仿宋" w:eastAsia="仿宋" w:cs="仿宋"/>
          <w:b/>
          <w:color w:val="000000" w:themeColor="text1"/>
          <w:sz w:val="24"/>
          <w:szCs w:val="24"/>
          <w:highlight w:val="none"/>
          <w14:textFill>
            <w14:solidFill>
              <w14:schemeClr w14:val="tx1"/>
            </w14:solidFill>
          </w14:textFill>
        </w:rPr>
        <w:t>、供应商具备参加政府采购活动条件承诺函</w:t>
      </w:r>
      <w:bookmarkEnd w:id="711"/>
      <w:bookmarkEnd w:id="712"/>
    </w:p>
    <w:p>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致：（招标人）：</w:t>
      </w:r>
    </w:p>
    <w:p>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210" w:leftChars="-100" w:right="-210" w:rightChars="-100"/>
        <w:jc w:val="center"/>
        <w:textAlignment w:val="auto"/>
        <w:rPr>
          <w:rFonts w:hint="eastAsia" w:ascii="仿宋" w:hAnsi="仿宋" w:eastAsia="仿宋" w:cs="仿宋"/>
          <w:bCs/>
          <w:color w:val="000000" w:themeColor="text1"/>
          <w:sz w:val="21"/>
          <w:szCs w:val="21"/>
          <w:highlight w:val="none"/>
          <w14:textFill>
            <w14:solidFill>
              <w14:schemeClr w14:val="tx1"/>
            </w14:solidFill>
          </w14:textFill>
        </w:rPr>
      </w:pPr>
      <w:r>
        <w:rPr>
          <w:rFonts w:hint="eastAsia" w:ascii="仿宋" w:hAnsi="仿宋" w:eastAsia="仿宋" w:cs="仿宋"/>
          <w:bCs/>
          <w:color w:val="000000" w:themeColor="text1"/>
          <w:sz w:val="21"/>
          <w:szCs w:val="21"/>
          <w:highlight w:val="none"/>
          <w14:textFill>
            <w14:solidFill>
              <w14:schemeClr w14:val="tx1"/>
            </w14:solidFill>
          </w14:textFill>
        </w:rPr>
        <w:t>（投标自行承诺及说明具备《中华人民共和国政府采购法》第二十二条规定的条件，内容自拟）</w:t>
      </w:r>
    </w:p>
    <w:p>
      <w:pPr>
        <w:bidi w:val="0"/>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13"/>
        <w:ind w:left="0" w:leftChars="0" w:firstLine="480" w:firstLineChars="20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13"/>
        <w:rPr>
          <w:rFonts w:hint="eastAsia" w:ascii="仿宋" w:hAnsi="仿宋" w:eastAsia="仿宋" w:cs="仿宋"/>
          <w:color w:val="000000" w:themeColor="text1"/>
          <w:highlight w:val="none"/>
          <w14:textFill>
            <w14:solidFill>
              <w14:schemeClr w14:val="tx1"/>
            </w14:solidFill>
          </w14:textFill>
        </w:rPr>
        <w:sectPr>
          <w:pgSz w:w="11906" w:h="16838"/>
          <w:pgMar w:top="1134" w:right="1247" w:bottom="1134" w:left="1418" w:header="851" w:footer="992" w:gutter="0"/>
          <w:cols w:space="425" w:num="1"/>
          <w:docGrid w:linePitch="312" w:charSpace="0"/>
        </w:sectPr>
      </w:pPr>
    </w:p>
    <w:p>
      <w:pPr>
        <w:pStyle w:val="6"/>
        <w:bidi w:val="0"/>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bookmarkStart w:id="713" w:name="_Toc22875"/>
      <w: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t>格式10、分项报价明细表</w:t>
      </w:r>
      <w:bookmarkEnd w:id="713"/>
    </w:p>
    <w:p>
      <w:pPr>
        <w:keepNext w:val="0"/>
        <w:keepLines w:val="0"/>
        <w:pageBreakBefore w:val="0"/>
        <w:widowControl w:val="0"/>
        <w:shd w:val="clear"/>
        <w:kinsoku/>
        <w:wordWrap/>
        <w:overflowPunct/>
        <w:topLinePunct w:val="0"/>
        <w:autoSpaceDE/>
        <w:autoSpaceDN/>
        <w:bidi w:val="0"/>
        <w:adjustRightInd/>
        <w:snapToGrid/>
        <w:spacing w:line="360" w:lineRule="auto"/>
        <w:ind w:left="-420" w:leftChars="-200" w:firstLine="960" w:firstLineChars="400"/>
        <w:textAlignment w:val="auto"/>
        <w:outlineLvl w:val="9"/>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szCs w:val="22"/>
          <w:highlight w:val="none"/>
          <w:lang w:eastAsia="zh-CN"/>
          <w14:textFill>
            <w14:solidFill>
              <w14:schemeClr w14:val="tx1"/>
            </w14:solidFill>
          </w14:textFill>
        </w:rPr>
        <w:t>丽江市人民医院检验科第一批设备及配套试剂耗材采购项目</w:t>
      </w:r>
    </w:p>
    <w:p>
      <w:pPr>
        <w:pStyle w:val="14"/>
        <w:keepNext w:val="0"/>
        <w:keepLines w:val="0"/>
        <w:pageBreakBefore w:val="0"/>
        <w:widowControl w:val="0"/>
        <w:shd w:val="clear"/>
        <w:kinsoku/>
        <w:wordWrap/>
        <w:overflowPunct/>
        <w:topLinePunct w:val="0"/>
        <w:autoSpaceDE/>
        <w:autoSpaceDN/>
        <w:bidi w:val="0"/>
        <w:adjustRightInd/>
        <w:snapToGrid/>
        <w:ind w:left="-420" w:leftChars="-200" w:firstLine="1040" w:firstLineChars="400"/>
        <w:textAlignment w:val="auto"/>
        <w:outlineLvl w:val="9"/>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pacing w:val="10"/>
          <w:sz w:val="24"/>
          <w:highlight w:val="none"/>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LJZC2024-G1-00224-YNLB-0220</w:t>
      </w:r>
    </w:p>
    <w:tbl>
      <w:tblPr>
        <w:tblStyle w:val="22"/>
        <w:tblW w:w="14055"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1190"/>
        <w:gridCol w:w="1117"/>
        <w:gridCol w:w="942"/>
        <w:gridCol w:w="973"/>
        <w:gridCol w:w="848"/>
        <w:gridCol w:w="1500"/>
        <w:gridCol w:w="1590"/>
        <w:gridCol w:w="1259"/>
        <w:gridCol w:w="1039"/>
        <w:gridCol w:w="1553"/>
        <w:gridCol w:w="853"/>
        <w:gridCol w:w="1"/>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1371" w:hRule="atLeast"/>
          <w:jc w:val="center"/>
        </w:trPr>
        <w:tc>
          <w:tcPr>
            <w:tcW w:w="1190" w:type="dxa"/>
            <w:noWrap w:val="0"/>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序号</w:t>
            </w:r>
          </w:p>
        </w:tc>
        <w:tc>
          <w:tcPr>
            <w:tcW w:w="1190" w:type="dxa"/>
            <w:noWrap w:val="0"/>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设备产品名称</w:t>
            </w:r>
          </w:p>
        </w:tc>
        <w:tc>
          <w:tcPr>
            <w:tcW w:w="1117" w:type="dxa"/>
            <w:noWrap w:val="0"/>
            <w:vAlign w:val="center"/>
          </w:tcPr>
          <w:p>
            <w:pPr>
              <w:shd w:val="clear" w:fill="FFFFFF" w:themeFill="background1"/>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规格、型号</w:t>
            </w:r>
          </w:p>
        </w:tc>
        <w:tc>
          <w:tcPr>
            <w:tcW w:w="942" w:type="dxa"/>
            <w:noWrap w:val="0"/>
            <w:vAlign w:val="center"/>
          </w:tcPr>
          <w:p>
            <w:pPr>
              <w:shd w:val="clear" w:fill="FFFFFF" w:themeFill="background1"/>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生产厂商名称</w:t>
            </w: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/品牌</w:t>
            </w:r>
          </w:p>
        </w:tc>
        <w:tc>
          <w:tcPr>
            <w:tcW w:w="97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数量</w:t>
            </w:r>
          </w:p>
        </w:tc>
        <w:tc>
          <w:tcPr>
            <w:tcW w:w="848" w:type="dxa"/>
            <w:noWrap w:val="0"/>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计量单位</w:t>
            </w:r>
          </w:p>
        </w:tc>
        <w:tc>
          <w:tcPr>
            <w:tcW w:w="1500"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采购预算单价</w:t>
            </w:r>
            <w:r>
              <w:rPr>
                <w:rFonts w:hint="eastAsia" w:ascii="仿宋" w:hAnsi="仿宋" w:eastAsia="仿宋" w:cs="仿宋"/>
                <w:bCs/>
                <w:color w:val="000000" w:themeColor="text1"/>
                <w:kern w:val="0"/>
                <w:sz w:val="24"/>
                <w:szCs w:val="24"/>
                <w:highlight w:val="none"/>
                <w14:textFill>
                  <w14:solidFill>
                    <w14:schemeClr w14:val="tx1"/>
                  </w14:solidFill>
                </w14:textFill>
              </w:rPr>
              <w:t>（元）</w:t>
            </w:r>
          </w:p>
        </w:tc>
        <w:tc>
          <w:tcPr>
            <w:tcW w:w="1590"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投标单价（元）</w:t>
            </w:r>
          </w:p>
        </w:tc>
        <w:tc>
          <w:tcPr>
            <w:tcW w:w="1259" w:type="dxa"/>
            <w:noWrap w:val="0"/>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投标合价（元）</w:t>
            </w:r>
          </w:p>
        </w:tc>
        <w:tc>
          <w:tcPr>
            <w:tcW w:w="1039"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质保期（年）</w:t>
            </w:r>
          </w:p>
        </w:tc>
        <w:tc>
          <w:tcPr>
            <w:tcW w:w="155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若属于医疗器械，则注明一、</w:t>
            </w:r>
            <w:r>
              <w:rPr>
                <w:rFonts w:hint="eastAsia" w:ascii="仿宋" w:hAnsi="仿宋" w:eastAsia="仿宋" w:cs="仿宋"/>
                <w:color w:val="000000" w:themeColor="text1"/>
                <w:sz w:val="24"/>
                <w:szCs w:val="24"/>
                <w:highlight w:val="none"/>
                <w:lang w:val="en-US" w:eastAsia="zh-CN"/>
                <w14:textFill>
                  <w14:solidFill>
                    <w14:schemeClr w14:val="tx1"/>
                  </w14:solidFill>
                </w14:textFill>
              </w:rPr>
              <w:t>二、三类</w:t>
            </w:r>
          </w:p>
        </w:tc>
        <w:tc>
          <w:tcPr>
            <w:tcW w:w="85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备注</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624" w:hRule="atLeast"/>
          <w:jc w:val="center"/>
        </w:trPr>
        <w:tc>
          <w:tcPr>
            <w:tcW w:w="1190" w:type="dxa"/>
            <w:noWrap w:val="0"/>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1190" w:type="dxa"/>
            <w:noWrap w:val="0"/>
            <w:vAlign w:val="center"/>
          </w:tcPr>
          <w:p>
            <w:pPr>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17" w:type="dxa"/>
            <w:noWrap w:val="0"/>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942" w:type="dxa"/>
            <w:noWrap w:val="0"/>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97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48"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90"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259"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5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14055" w:type="dxa"/>
            <w:gridSpan w:val="13"/>
            <w:noWrap w:val="0"/>
            <w:vAlign w:val="center"/>
          </w:tcPr>
          <w:p>
            <w:pPr>
              <w:pStyle w:val="14"/>
              <w:shd w:val="clear" w:fill="FFFFFF" w:themeFill="background1"/>
              <w:jc w:val="both"/>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合计：小写：</w:t>
            </w:r>
          </w:p>
          <w:p>
            <w:pPr>
              <w:shd w:val="clear" w:fill="FFFFFF" w:themeFill="background1"/>
              <w:ind w:firstLine="720" w:firstLineChars="30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大写：</w:t>
            </w:r>
          </w:p>
        </w:tc>
      </w:tr>
    </w:tbl>
    <w:p>
      <w:pPr>
        <w:pStyle w:val="14"/>
        <w:keepNext w:val="0"/>
        <w:keepLines w:val="0"/>
        <w:pageBreakBefore w:val="0"/>
        <w:widowControl w:val="0"/>
        <w:shd w:val="clear"/>
        <w:kinsoku/>
        <w:wordWrap/>
        <w:overflowPunct/>
        <w:topLinePunct w:val="0"/>
        <w:autoSpaceDE/>
        <w:autoSpaceDN/>
        <w:bidi w:val="0"/>
        <w:adjustRightInd/>
        <w:snapToGrid/>
        <w:ind w:left="-420" w:leftChars="-200" w:firstLine="964" w:firstLineChars="400"/>
        <w:textAlignment w:val="auto"/>
        <w:outlineLvl w:val="9"/>
        <w:rPr>
          <w:rFonts w:hint="eastAsia" w:ascii="仿宋" w:hAnsi="仿宋" w:eastAsia="仿宋" w:cs="仿宋"/>
          <w:b/>
          <w:color w:val="000000" w:themeColor="text1"/>
          <w:sz w:val="24"/>
          <w:highlight w:val="none"/>
          <w:u w:val="single"/>
          <w14:textFill>
            <w14:solidFill>
              <w14:schemeClr w14:val="tx1"/>
            </w14:solidFill>
          </w14:textFill>
        </w:rPr>
      </w:pPr>
    </w:p>
    <w:tbl>
      <w:tblPr>
        <w:tblStyle w:val="22"/>
        <w:tblW w:w="14230"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2"/>
        <w:gridCol w:w="847"/>
        <w:gridCol w:w="1470"/>
        <w:gridCol w:w="1175"/>
        <w:gridCol w:w="1034"/>
        <w:gridCol w:w="1124"/>
        <w:gridCol w:w="1569"/>
        <w:gridCol w:w="1044"/>
        <w:gridCol w:w="1044"/>
        <w:gridCol w:w="1560"/>
        <w:gridCol w:w="857"/>
        <w:gridCol w:w="857"/>
        <w:gridCol w:w="857"/>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792" w:type="dxa"/>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序号</w:t>
            </w:r>
          </w:p>
        </w:tc>
        <w:tc>
          <w:tcPr>
            <w:tcW w:w="847" w:type="dxa"/>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配套试剂耗材产品名称</w:t>
            </w:r>
          </w:p>
        </w:tc>
        <w:tc>
          <w:tcPr>
            <w:tcW w:w="1470" w:type="dxa"/>
            <w:vAlign w:val="center"/>
          </w:tcPr>
          <w:p>
            <w:pPr>
              <w:shd w:val="clear" w:fill="FFFFFF" w:themeFill="background1"/>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规格、型号</w:t>
            </w:r>
          </w:p>
        </w:tc>
        <w:tc>
          <w:tcPr>
            <w:tcW w:w="1175" w:type="dxa"/>
            <w:vAlign w:val="center"/>
          </w:tcPr>
          <w:p>
            <w:pPr>
              <w:shd w:val="clear" w:fill="FFFFFF" w:themeFill="background1"/>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生产厂商名称</w:t>
            </w: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/品牌</w:t>
            </w:r>
          </w:p>
        </w:tc>
        <w:tc>
          <w:tcPr>
            <w:tcW w:w="1034" w:type="dxa"/>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计量单位</w:t>
            </w:r>
          </w:p>
        </w:tc>
        <w:tc>
          <w:tcPr>
            <w:tcW w:w="1124"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采购预算单价限价</w:t>
            </w:r>
            <w:r>
              <w:rPr>
                <w:rFonts w:hint="eastAsia" w:ascii="仿宋" w:hAnsi="仿宋" w:eastAsia="仿宋" w:cs="仿宋"/>
                <w:bCs/>
                <w:color w:val="000000" w:themeColor="text1"/>
                <w:kern w:val="0"/>
                <w:sz w:val="24"/>
                <w:szCs w:val="24"/>
                <w:highlight w:val="none"/>
                <w14:textFill>
                  <w14:solidFill>
                    <w14:schemeClr w14:val="tx1"/>
                  </w14:solidFill>
                </w14:textFill>
              </w:rPr>
              <w:t>（元）</w:t>
            </w:r>
          </w:p>
        </w:tc>
        <w:tc>
          <w:tcPr>
            <w:tcW w:w="1569"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投标报价（%）</w:t>
            </w:r>
          </w:p>
        </w:tc>
        <w:tc>
          <w:tcPr>
            <w:tcW w:w="1044" w:type="dxa"/>
            <w:vAlign w:val="center"/>
          </w:tcPr>
          <w:p>
            <w:pPr>
              <w:shd w:val="clear" w:fill="FFFFFF" w:themeFill="background1"/>
              <w:spacing w:line="44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投标单价（元）</w:t>
            </w:r>
          </w:p>
        </w:tc>
        <w:tc>
          <w:tcPr>
            <w:tcW w:w="1044"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有效期</w:t>
            </w:r>
          </w:p>
        </w:tc>
        <w:tc>
          <w:tcPr>
            <w:tcW w:w="1560"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若属于医疗器械，则注明一、</w:t>
            </w:r>
            <w:r>
              <w:rPr>
                <w:rFonts w:hint="eastAsia" w:ascii="仿宋" w:hAnsi="仿宋" w:eastAsia="仿宋" w:cs="仿宋"/>
                <w:color w:val="000000" w:themeColor="text1"/>
                <w:sz w:val="24"/>
                <w:szCs w:val="24"/>
                <w:highlight w:val="none"/>
                <w:lang w:val="en-US" w:eastAsia="zh-CN"/>
                <w14:textFill>
                  <w14:solidFill>
                    <w14:schemeClr w14:val="tx1"/>
                  </w14:solidFill>
                </w14:textFill>
              </w:rPr>
              <w:t>二、三类</w:t>
            </w:r>
          </w:p>
        </w:tc>
        <w:tc>
          <w:tcPr>
            <w:tcW w:w="857" w:type="dxa"/>
            <w:vAlign w:val="center"/>
          </w:tcPr>
          <w:p>
            <w:pPr>
              <w:pStyle w:val="14"/>
              <w:widowControl/>
              <w:autoSpaceDE/>
              <w:autoSpaceDN/>
              <w:adjustRightInd/>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医保编码</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如有</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tc>
        <w:tc>
          <w:tcPr>
            <w:tcW w:w="857" w:type="dxa"/>
            <w:vAlign w:val="center"/>
          </w:tcPr>
          <w:p>
            <w:pPr>
              <w:pStyle w:val="14"/>
              <w:widowControl/>
              <w:autoSpaceDE/>
              <w:autoSpaceDN/>
              <w:adjustRightInd/>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阳光采购平台价（如有）</w:t>
            </w:r>
          </w:p>
        </w:tc>
        <w:tc>
          <w:tcPr>
            <w:tcW w:w="857"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备注</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restart"/>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在医院</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医用耗材预算</w:t>
            </w:r>
            <w:r>
              <w:rPr>
                <w:rFonts w:hint="eastAsia" w:ascii="仿宋" w:hAnsi="仿宋" w:eastAsia="仿宋" w:cs="仿宋"/>
                <w:b w:val="0"/>
                <w:i w:val="0"/>
                <w:strike w:val="0"/>
                <w:color w:val="000000" w:themeColor="text1"/>
                <w:kern w:val="2"/>
                <w:sz w:val="24"/>
                <w:szCs w:val="24"/>
                <w:highlight w:val="none"/>
                <w:u w:val="none"/>
                <w:lang w:val="en-US" w:eastAsia="zh-CN" w:bidi="ar"/>
                <w14:textFill>
                  <w14:solidFill>
                    <w14:schemeClr w14:val="tx1"/>
                  </w14:solidFill>
                </w14:textFill>
              </w:rPr>
              <w:t>单价</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基础上统一下浮</w:t>
            </w:r>
            <w:r>
              <w:rPr>
                <w:rFonts w:hint="eastAsia" w:ascii="仿宋" w:hAnsi="仿宋" w:eastAsia="仿宋" w:cs="仿宋"/>
                <w:b w:val="0"/>
                <w:i w:val="0"/>
                <w:color w:val="000000" w:themeColor="text1"/>
                <w:kern w:val="2"/>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w:t>
            </w: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continue"/>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w:t>
            </w: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continue"/>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bl>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应按上表格式详细列报供货范围内的所有产品、货物及其附件的明细清单。</w:t>
      </w:r>
    </w:p>
    <w:p>
      <w:pPr>
        <w:shd w:val="clear" w:color="auto" w:fill="auto"/>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2.</w:t>
      </w:r>
      <w:r>
        <w:rPr>
          <w:rFonts w:hint="eastAsia" w:ascii="仿宋" w:hAnsi="仿宋" w:eastAsia="仿宋"/>
          <w:color w:val="000000" w:themeColor="text1"/>
          <w:sz w:val="24"/>
          <w:highlight w:val="none"/>
          <w:lang w:val="en-US" w:eastAsia="zh-CN"/>
          <w14:textFill>
            <w14:solidFill>
              <w14:schemeClr w14:val="tx1"/>
            </w14:solidFill>
          </w14:textFill>
        </w:rPr>
        <w:t>投标人按照“</w:t>
      </w:r>
      <w:r>
        <w:rPr>
          <w:rFonts w:hint="eastAsia" w:ascii="仿宋" w:hAnsi="仿宋" w:eastAsia="仿宋"/>
          <w:color w:val="000000" w:themeColor="text1"/>
          <w:sz w:val="24"/>
          <w:highlight w:val="none"/>
          <w:lang w:eastAsia="zh-CN"/>
          <w14:textFill>
            <w14:solidFill>
              <w14:schemeClr w14:val="tx1"/>
            </w14:solidFill>
          </w14:textFill>
        </w:rPr>
        <w:t>第</w:t>
      </w:r>
      <w:r>
        <w:rPr>
          <w:rFonts w:hint="eastAsia" w:ascii="仿宋" w:hAnsi="仿宋" w:eastAsia="仿宋"/>
          <w:color w:val="000000" w:themeColor="text1"/>
          <w:sz w:val="24"/>
          <w:highlight w:val="none"/>
          <w:lang w:val="en-US" w:eastAsia="zh-CN"/>
          <w14:textFill>
            <w14:solidFill>
              <w14:schemeClr w14:val="tx1"/>
            </w14:solidFill>
          </w14:textFill>
        </w:rPr>
        <w:t>五</w:t>
      </w:r>
      <w:r>
        <w:rPr>
          <w:rFonts w:hint="eastAsia" w:ascii="仿宋" w:hAnsi="仿宋" w:eastAsia="仿宋"/>
          <w:color w:val="000000" w:themeColor="text1"/>
          <w:sz w:val="24"/>
          <w:highlight w:val="none"/>
          <w:lang w:eastAsia="zh-CN"/>
          <w14:textFill>
            <w14:solidFill>
              <w14:schemeClr w14:val="tx1"/>
            </w14:solidFill>
          </w14:textFill>
        </w:rPr>
        <w:t xml:space="preserve">章 </w:t>
      </w:r>
      <w:r>
        <w:rPr>
          <w:rFonts w:hint="eastAsia" w:ascii="仿宋" w:hAnsi="仿宋" w:eastAsia="仿宋"/>
          <w:color w:val="000000" w:themeColor="text1"/>
          <w:sz w:val="24"/>
          <w:highlight w:val="none"/>
          <w:lang w:val="en-US" w:eastAsia="zh-CN"/>
          <w14:textFill>
            <w14:solidFill>
              <w14:schemeClr w14:val="tx1"/>
            </w14:solidFill>
          </w14:textFill>
        </w:rPr>
        <w:t>采购需求</w:t>
      </w:r>
      <w:r>
        <w:rPr>
          <w:rFonts w:hint="eastAsia" w:ascii="仿宋" w:hAnsi="仿宋" w:eastAsia="仿宋"/>
          <w:color w:val="000000" w:themeColor="text1"/>
          <w:sz w:val="24"/>
          <w:highlight w:val="none"/>
          <w:lang w:eastAsia="zh-CN"/>
          <w14:textFill>
            <w14:solidFill>
              <w14:schemeClr w14:val="tx1"/>
            </w14:solidFill>
          </w14:textFill>
        </w:rPr>
        <w:t>”</w:t>
      </w:r>
      <w:r>
        <w:rPr>
          <w:rFonts w:hint="eastAsia" w:ascii="仿宋" w:hAnsi="仿宋" w:eastAsia="仿宋"/>
          <w:color w:val="000000" w:themeColor="text1"/>
          <w:sz w:val="24"/>
          <w:highlight w:val="none"/>
          <w:lang w:val="en-US" w:eastAsia="zh-CN"/>
          <w14:textFill>
            <w14:solidFill>
              <w14:schemeClr w14:val="tx1"/>
            </w14:solidFill>
          </w14:textFill>
        </w:rPr>
        <w:t>中的设备采购清单</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内容完整报价，不得缺项漏项，否则按不响应招标文件实质性要求处理。</w:t>
      </w:r>
    </w:p>
    <w:p>
      <w:pPr>
        <w:shd w:val="clear" w:color="auto" w:fill="auto"/>
        <w:spacing w:line="360" w:lineRule="auto"/>
        <w:rPr>
          <w:rFonts w:hint="default" w:ascii="仿宋" w:hAnsi="仿宋" w:eastAsia="仿宋" w:cs="仿宋"/>
          <w:strike/>
          <w:dstrike w:val="0"/>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3.投标人需对</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配套试剂耗材进行整体下浮报价。</w:t>
      </w: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表格长度可根据需要自行调整，表中所列内容为必须填写项目，</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可根据自身情况增加内容。</w:t>
      </w: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投标人设备配套试剂耗材投标</w:t>
      </w:r>
      <w:r>
        <w:rPr>
          <w:rFonts w:hint="eastAsia" w:ascii="仿宋" w:hAnsi="仿宋" w:eastAsia="仿宋" w:cs="仿宋"/>
          <w:color w:val="000000" w:themeColor="text1"/>
          <w:sz w:val="24"/>
          <w:szCs w:val="24"/>
          <w:highlight w:val="none"/>
          <w14:textFill>
            <w14:solidFill>
              <w14:schemeClr w14:val="tx1"/>
            </w14:solidFill>
          </w14:textFill>
        </w:rPr>
        <w:t>报价下浮率必须在</w:t>
      </w:r>
      <w:r>
        <w:rPr>
          <w:rFonts w:hint="eastAsia" w:ascii="仿宋" w:hAnsi="仿宋" w:eastAsia="仿宋" w:cs="仿宋"/>
          <w:color w:val="000000" w:themeColor="text1"/>
          <w:sz w:val="24"/>
          <w:szCs w:val="24"/>
          <w:highlight w:val="none"/>
          <w:lang w:val="en-US" w:eastAsia="zh-CN"/>
          <w14:textFill>
            <w14:solidFill>
              <w14:schemeClr w14:val="tx1"/>
            </w14:solidFill>
          </w14:textFill>
        </w:rPr>
        <w:t>医院采购预算单价的基础上统一下浮＞1%</w:t>
      </w:r>
      <w:r>
        <w:rPr>
          <w:rFonts w:hint="eastAsia" w:ascii="仿宋" w:hAnsi="仿宋" w:eastAsia="仿宋" w:cs="仿宋"/>
          <w:color w:val="000000" w:themeColor="text1"/>
          <w:sz w:val="24"/>
          <w:szCs w:val="24"/>
          <w:highlight w:val="none"/>
          <w14:textFill>
            <w14:solidFill>
              <w14:schemeClr w14:val="tx1"/>
            </w14:solidFill>
          </w14:textFill>
        </w:rPr>
        <w:t>(不包含</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%，须为</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以上的整数)，否则视为无效报价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2"/>
        <w:rPr>
          <w:rFonts w:hint="eastAsia"/>
          <w:color w:val="000000" w:themeColor="text1"/>
          <w:highlight w:val="none"/>
          <w14:textFill>
            <w14:solidFill>
              <w14:schemeClr w14:val="tx1"/>
            </w14:solidFill>
          </w14:textFill>
        </w:rPr>
      </w:pPr>
    </w:p>
    <w:p>
      <w:pPr>
        <w:pStyle w:val="15"/>
        <w:rPr>
          <w:rFonts w:hint="eastAsia"/>
          <w:color w:val="000000" w:themeColor="text1"/>
          <w:highlight w:val="none"/>
          <w14:textFill>
            <w14:solidFill>
              <w14:schemeClr w14:val="tx1"/>
            </w14:solidFill>
          </w14:textFill>
        </w:rPr>
        <w:sectPr>
          <w:pgSz w:w="16838" w:h="11906" w:orient="landscape"/>
          <w:pgMar w:top="1418" w:right="1134" w:bottom="1247" w:left="1134" w:header="851" w:footer="992" w:gutter="0"/>
          <w:cols w:space="425" w:num="1"/>
          <w:docGrid w:linePitch="312" w:charSpace="0"/>
        </w:sectPr>
      </w:pPr>
    </w:p>
    <w:p>
      <w:pPr>
        <w:rPr>
          <w:rFonts w:hint="eastAsia"/>
          <w:color w:val="000000" w:themeColor="text1"/>
          <w:highlight w:val="none"/>
          <w14:textFill>
            <w14:solidFill>
              <w14:schemeClr w14:val="tx1"/>
            </w14:solidFill>
          </w14:textFill>
        </w:rPr>
      </w:pPr>
    </w:p>
    <w:p>
      <w:pPr>
        <w:pStyle w:val="6"/>
        <w:shd w:val="clear"/>
        <w:spacing w:line="360" w:lineRule="auto"/>
        <w:ind w:firstLine="560"/>
        <w:outlineLvl w:val="2"/>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bookmarkStart w:id="714" w:name="_Toc22957"/>
      <w:bookmarkStart w:id="715" w:name="_Toc3789"/>
      <w: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t>格式11、商务条款偏离表</w:t>
      </w:r>
      <w:bookmarkEnd w:id="714"/>
    </w:p>
    <w:tbl>
      <w:tblPr>
        <w:tblStyle w:val="22"/>
        <w:tblW w:w="91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b/>
                <w:bCs/>
                <w:color w:val="000000" w:themeColor="text1"/>
                <w:sz w:val="24"/>
                <w:szCs w:val="24"/>
                <w:highlight w:val="none"/>
                <w14:textFill>
                  <w14:solidFill>
                    <w14:schemeClr w14:val="tx1"/>
                  </w14:solidFill>
                </w14:textFill>
              </w:rPr>
              <w:t>文件条款号</w:t>
            </w:r>
          </w:p>
        </w:tc>
        <w:tc>
          <w:tcPr>
            <w:tcW w:w="2236"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b/>
                <w:bCs/>
                <w:color w:val="000000" w:themeColor="text1"/>
                <w:sz w:val="24"/>
                <w:szCs w:val="24"/>
                <w:highlight w:val="none"/>
                <w14:textFill>
                  <w14:solidFill>
                    <w14:schemeClr w14:val="tx1"/>
                  </w14:solidFill>
                </w14:textFill>
              </w:rPr>
              <w:t>文件的商务条款内容</w:t>
            </w:r>
          </w:p>
        </w:tc>
        <w:tc>
          <w:tcPr>
            <w:tcW w:w="2419"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b/>
                <w:bCs/>
                <w:color w:val="000000" w:themeColor="text1"/>
                <w:sz w:val="24"/>
                <w:szCs w:val="24"/>
                <w:highlight w:val="none"/>
                <w14:textFill>
                  <w14:solidFill>
                    <w14:schemeClr w14:val="tx1"/>
                  </w14:solidFill>
                </w14:textFill>
              </w:rPr>
              <w:t>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偏离情况</w:t>
            </w: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3.2</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3.5</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32.1</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履约保证金</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“合同书样式及主要条款”</w:t>
            </w:r>
          </w:p>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w:t>
            </w:r>
            <w:r>
              <w:rPr>
                <w:rFonts w:hint="eastAsia" w:ascii="仿宋" w:hAnsi="仿宋" w:eastAsia="仿宋" w:cs="仿宋"/>
                <w:color w:val="000000" w:themeColor="text1"/>
                <w:sz w:val="24"/>
                <w:szCs w:val="24"/>
                <w:highlight w:val="none"/>
                <w:lang w:val="en-US" w:eastAsia="zh-CN"/>
                <w14:textFill>
                  <w14:solidFill>
                    <w14:schemeClr w14:val="tx1"/>
                  </w14:solidFill>
                </w14:textFill>
              </w:rPr>
              <w:t>五</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付款结算方式</w:t>
            </w:r>
          </w:p>
        </w:tc>
        <w:tc>
          <w:tcPr>
            <w:tcW w:w="2419"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bl>
    <w:p>
      <w:pPr>
        <w:shd w:val="clea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shd w:val="clear"/>
        <w:bidi w:val="0"/>
        <w:rPr>
          <w:rFonts w:hint="eastAsia" w:ascii="仿宋" w:hAnsi="仿宋" w:eastAsia="仿宋" w:cs="仿宋"/>
          <w:color w:val="000000" w:themeColor="text1"/>
          <w:highlight w:val="none"/>
          <w14:textFill>
            <w14:solidFill>
              <w14:schemeClr w14:val="tx1"/>
            </w14:solidFill>
          </w14:textFill>
        </w:rPr>
      </w:pPr>
    </w:p>
    <w:p>
      <w:pPr>
        <w:pStyle w:val="28"/>
        <w:shd w:val="clear"/>
        <w:rPr>
          <w:rFonts w:hint="eastAsia" w:ascii="仿宋" w:hAnsi="仿宋" w:eastAsia="仿宋" w:cs="仿宋"/>
          <w:color w:val="000000" w:themeColor="text1"/>
          <w:szCs w:val="24"/>
          <w:highlight w:val="none"/>
          <w:lang w:val="en-US" w:eastAsia="zh-CN"/>
          <w14:textFill>
            <w14:solidFill>
              <w14:schemeClr w14:val="tx1"/>
            </w14:solidFill>
          </w14:textFill>
        </w:rPr>
      </w:pPr>
    </w:p>
    <w:bookmarkEnd w:id="715"/>
    <w:p>
      <w:pPr>
        <w:keepNext/>
        <w:keepLines/>
        <w:spacing w:before="60" w:after="60" w:line="360" w:lineRule="auto"/>
        <w:ind w:firstLine="723" w:firstLineChars="300"/>
        <w:outlineLvl w:val="2"/>
        <w:rPr>
          <w:rFonts w:hint="default" w:ascii="仿宋" w:hAnsi="仿宋" w:eastAsia="仿宋" w:cs="仿宋"/>
          <w:b/>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12</w:t>
      </w:r>
      <w:r>
        <w:rPr>
          <w:rFonts w:hint="eastAsia" w:ascii="仿宋" w:hAnsi="仿宋" w:eastAsia="仿宋" w:cs="仿宋"/>
          <w:b/>
          <w:color w:val="000000" w:themeColor="text1"/>
          <w:kern w:val="0"/>
          <w:sz w:val="24"/>
          <w:szCs w:val="24"/>
          <w:highlight w:val="none"/>
          <w14:textFill>
            <w14:solidFill>
              <w14:schemeClr w14:val="tx1"/>
            </w14:solidFill>
          </w14:textFill>
        </w:rPr>
        <w:t>、</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售</w:t>
      </w:r>
      <w:r>
        <w:rPr>
          <w:rFonts w:hint="eastAsia" w:ascii="仿宋" w:hAnsi="仿宋" w:eastAsia="仿宋" w:cs="仿宋"/>
          <w:b/>
          <w:color w:val="000000" w:themeColor="text1"/>
          <w:kern w:val="0"/>
          <w:sz w:val="24"/>
          <w:szCs w:val="24"/>
          <w:highlight w:val="none"/>
          <w14:textFill>
            <w14:solidFill>
              <w14:schemeClr w14:val="tx1"/>
            </w14:solidFill>
          </w14:textFill>
        </w:rPr>
        <w:t>后服务能力及方案</w:t>
      </w:r>
    </w:p>
    <w:p>
      <w:pPr>
        <w:spacing w:line="360" w:lineRule="auto"/>
        <w:ind w:firstLine="42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rPr>
          <w:rFonts w:ascii="仿宋" w:hAnsi="仿宋" w:eastAsia="仿宋" w:cs="仿宋"/>
          <w:color w:val="000000" w:themeColor="text1"/>
          <w:sz w:val="28"/>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31"/>
        <w:ind w:firstLine="482"/>
        <w:jc w:val="center"/>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lang w:val="en-US" w:eastAsia="zh-CN"/>
          <w14:textFill>
            <w14:solidFill>
              <w14:schemeClr w14:val="tx1"/>
            </w14:solidFill>
          </w14:textFill>
        </w:rPr>
        <w:t>附表：</w:t>
      </w:r>
      <w:r>
        <w:rPr>
          <w:rFonts w:hint="eastAsia" w:ascii="仿宋" w:hAnsi="仿宋" w:eastAsia="仿宋"/>
          <w:b/>
          <w:bCs/>
          <w:color w:val="000000" w:themeColor="text1"/>
          <w:sz w:val="24"/>
          <w:szCs w:val="24"/>
          <w:highlight w:val="none"/>
          <w14:textFill>
            <w14:solidFill>
              <w14:schemeClr w14:val="tx1"/>
            </w14:solidFill>
          </w14:textFill>
        </w:rPr>
        <w:t>售后服务人员配备情况表</w:t>
      </w:r>
    </w:p>
    <w:tbl>
      <w:tblPr>
        <w:tblStyle w:val="22"/>
        <w:tblW w:w="100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866"/>
        <w:gridCol w:w="839"/>
        <w:gridCol w:w="839"/>
        <w:gridCol w:w="839"/>
        <w:gridCol w:w="839"/>
        <w:gridCol w:w="1207"/>
        <w:gridCol w:w="1008"/>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序</w:t>
            </w:r>
          </w:p>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号</w:t>
            </w:r>
          </w:p>
        </w:tc>
        <w:tc>
          <w:tcPr>
            <w:tcW w:w="1866" w:type="dxa"/>
            <w:vMerge w:val="restart"/>
            <w:vAlign w:val="center"/>
          </w:tcPr>
          <w:p>
            <w:pPr>
              <w:jc w:val="center"/>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拟在本项目担任的</w:t>
            </w:r>
            <w:r>
              <w:rPr>
                <w:rFonts w:hint="eastAsia" w:ascii="仿宋" w:hAnsi="仿宋" w:eastAsia="仿宋" w:cs="仿宋"/>
                <w:b/>
                <w:bCs/>
                <w:color w:val="000000" w:themeColor="text1"/>
                <w:sz w:val="24"/>
                <w:highlight w:val="none"/>
                <w14:textFill>
                  <w14:solidFill>
                    <w14:schemeClr w14:val="tx1"/>
                  </w14:solidFill>
                </w14:textFill>
              </w:rPr>
              <w:t>岗位</w:t>
            </w:r>
            <w:r>
              <w:rPr>
                <w:rFonts w:hint="eastAsia" w:ascii="仿宋" w:hAnsi="仿宋" w:eastAsia="仿宋" w:cs="仿宋"/>
                <w:b/>
                <w:bCs/>
                <w:color w:val="000000" w:themeColor="text1"/>
                <w:sz w:val="24"/>
                <w:highlight w:val="none"/>
                <w:lang w:val="en-US" w:eastAsia="zh-CN"/>
                <w14:textFill>
                  <w14:solidFill>
                    <w14:schemeClr w14:val="tx1"/>
                  </w14:solidFill>
                </w14:textFill>
              </w:rPr>
              <w:t>职责</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姓名</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学历</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专业</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职称</w:t>
            </w:r>
          </w:p>
        </w:tc>
        <w:tc>
          <w:tcPr>
            <w:tcW w:w="1207"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相关证书</w:t>
            </w:r>
          </w:p>
        </w:tc>
        <w:tc>
          <w:tcPr>
            <w:tcW w:w="2977" w:type="dxa"/>
            <w:gridSpan w:val="2"/>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类似项目参与经验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866"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有/无</w:t>
            </w: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具体阐述（若有）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bl>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注：此表可根据实际情况进行扩展。</w:t>
      </w:r>
    </w:p>
    <w:p>
      <w:pPr>
        <w:rPr>
          <w:rFonts w:ascii="仿宋" w:hAnsi="仿宋" w:eastAsia="仿宋" w:cs="仿宋"/>
          <w:color w:val="000000" w:themeColor="text1"/>
          <w:sz w:val="28"/>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13</w:t>
      </w:r>
      <w:r>
        <w:rPr>
          <w:rFonts w:hint="eastAsia" w:ascii="仿宋" w:hAnsi="仿宋" w:eastAsia="仿宋" w:cs="仿宋"/>
          <w:b/>
          <w:color w:val="000000" w:themeColor="text1"/>
          <w:kern w:val="0"/>
          <w:sz w:val="24"/>
          <w:szCs w:val="24"/>
          <w:highlight w:val="none"/>
          <w14:textFill>
            <w14:solidFill>
              <w14:schemeClr w14:val="tx1"/>
            </w14:solidFill>
          </w14:textFill>
        </w:rPr>
        <w:t>、技术培训方案</w:t>
      </w:r>
    </w:p>
    <w:p>
      <w:pPr>
        <w:pStyle w:val="2"/>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pacing w:line="360" w:lineRule="auto"/>
        <w:rPr>
          <w:rFonts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8"/>
        <w:rPr>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pStyle w:val="2"/>
        <w:rPr>
          <w:rFonts w:hint="eastAsia"/>
          <w:color w:val="000000" w:themeColor="text1"/>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b/>
          <w:color w:val="000000" w:themeColor="text1"/>
          <w:sz w:val="24"/>
          <w:szCs w:val="24"/>
          <w:highlight w:val="none"/>
          <w14:textFill>
            <w14:solidFill>
              <w14:schemeClr w14:val="tx1"/>
            </w14:solidFill>
          </w14:textFill>
        </w:rPr>
        <w:t>、类似项目业绩</w:t>
      </w:r>
    </w:p>
    <w:tbl>
      <w:tblPr>
        <w:tblStyle w:val="22"/>
        <w:tblW w:w="8572" w:type="dxa"/>
        <w:jc w:val="center"/>
        <w:tblInd w:w="0" w:type="dxa"/>
        <w:tblLayout w:type="fixed"/>
        <w:tblCellMar>
          <w:top w:w="0" w:type="dxa"/>
          <w:left w:w="54" w:type="dxa"/>
          <w:bottom w:w="0" w:type="dxa"/>
          <w:right w:w="54" w:type="dxa"/>
        </w:tblCellMar>
      </w:tblPr>
      <w:tblGrid>
        <w:gridCol w:w="835"/>
        <w:gridCol w:w="1258"/>
        <w:gridCol w:w="1843"/>
        <w:gridCol w:w="1559"/>
        <w:gridCol w:w="1843"/>
        <w:gridCol w:w="1234"/>
      </w:tblGrid>
      <w:tr>
        <w:tblPrEx>
          <w:tblLayout w:type="fixed"/>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序号</w:t>
            </w:r>
          </w:p>
        </w:tc>
        <w:tc>
          <w:tcPr>
            <w:tcW w:w="1258"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联系电话</w:t>
            </w:r>
          </w:p>
        </w:tc>
      </w:tr>
      <w:tr>
        <w:tblPrEx>
          <w:tblLayout w:type="fixed"/>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p>
        </w:tc>
        <w:tc>
          <w:tcPr>
            <w:tcW w:w="125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w:t>
            </w:r>
          </w:p>
        </w:tc>
        <w:tc>
          <w:tcPr>
            <w:tcW w:w="125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w:t>
            </w: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bl>
    <w:p>
      <w:pPr>
        <w:spacing w:line="380" w:lineRule="exact"/>
        <w:ind w:firstLine="420" w:firstLineChars="200"/>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1.投标人随本表附业绩证明材料，有效业绩证明材料为投标人</w:t>
      </w:r>
      <w:r>
        <w:rPr>
          <w:rFonts w:hint="eastAsia" w:ascii="仿宋" w:hAnsi="仿宋" w:eastAsia="仿宋" w:cs="仿宋"/>
          <w:bCs/>
          <w:color w:val="000000" w:themeColor="text1"/>
          <w:szCs w:val="21"/>
          <w:highlight w:val="none"/>
          <w:lang w:val="en-US" w:eastAsia="zh-CN"/>
          <w14:textFill>
            <w14:solidFill>
              <w14:schemeClr w14:val="tx1"/>
            </w14:solidFill>
          </w14:textFill>
        </w:rPr>
        <w:t>2021</w:t>
      </w:r>
      <w:r>
        <w:rPr>
          <w:rFonts w:hint="eastAsia" w:ascii="仿宋" w:hAnsi="仿宋" w:eastAsia="仿宋" w:cs="仿宋"/>
          <w:bCs/>
          <w:color w:val="000000" w:themeColor="text1"/>
          <w:szCs w:val="21"/>
          <w:highlight w:val="none"/>
          <w14:textFill>
            <w14:solidFill>
              <w14:schemeClr w14:val="tx1"/>
            </w14:solidFill>
          </w14:textFill>
        </w:rPr>
        <w:t>年以来与用户单位签订的合同（合同包括：合同首页、标的及金额所在页及合同签字盖章页）原件扫描件。无证明材料或证明材料不齐全、无法体现业绩内容的，不予认可。</w:t>
      </w:r>
    </w:p>
    <w:p>
      <w:pPr>
        <w:spacing w:line="380" w:lineRule="exact"/>
        <w:ind w:firstLine="420" w:firstLineChars="200"/>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2.投标人可根据实际情况拓展本表。</w:t>
      </w:r>
    </w:p>
    <w:p>
      <w:pPr>
        <w:pStyle w:val="2"/>
        <w:rPr>
          <w:rFonts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pacing w:line="360" w:lineRule="auto"/>
        <w:ind w:firstLine="480" w:firstLineChars="20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
        <w:rPr>
          <w:rFonts w:ascii="仿宋" w:hAnsi="仿宋" w:eastAsia="仿宋" w:cs="仿宋"/>
          <w:b/>
          <w:color w:val="000000" w:themeColor="text1"/>
          <w:szCs w:val="24"/>
          <w:highlight w:val="none"/>
          <w14:textFill>
            <w14:solidFill>
              <w14:schemeClr w14:val="tx1"/>
            </w14:solidFill>
          </w14:textFill>
        </w:rPr>
      </w:pPr>
    </w:p>
    <w:p>
      <w:pPr>
        <w:pStyle w:val="3"/>
        <w:rPr>
          <w:rFonts w:ascii="仿宋" w:hAnsi="仿宋" w:eastAsia="仿宋" w:cs="仿宋"/>
          <w:b/>
          <w:color w:val="000000" w:themeColor="text1"/>
          <w:szCs w:val="24"/>
          <w:highlight w:val="none"/>
          <w14:textFill>
            <w14:solidFill>
              <w14:schemeClr w14:val="tx1"/>
            </w14:solidFill>
          </w14:textFill>
        </w:rPr>
      </w:pPr>
    </w:p>
    <w:p>
      <w:pPr>
        <w:rPr>
          <w:rFonts w:ascii="仿宋" w:hAnsi="仿宋" w:eastAsia="仿宋" w:cs="仿宋"/>
          <w:b/>
          <w:color w:val="000000" w:themeColor="text1"/>
          <w:szCs w:val="24"/>
          <w:highlight w:val="none"/>
          <w14:textFill>
            <w14:solidFill>
              <w14:schemeClr w14:val="tx1"/>
            </w14:solidFill>
          </w14:textFill>
        </w:rPr>
      </w:pPr>
    </w:p>
    <w:p>
      <w:pPr>
        <w:pStyle w:val="28"/>
        <w:rPr>
          <w:rFonts w:ascii="仿宋" w:hAnsi="仿宋" w:eastAsia="仿宋" w:cs="仿宋"/>
          <w:b/>
          <w:color w:val="000000" w:themeColor="text1"/>
          <w:szCs w:val="24"/>
          <w:highlight w:val="none"/>
          <w14:textFill>
            <w14:solidFill>
              <w14:schemeClr w14:val="tx1"/>
            </w14:solidFill>
          </w14:textFill>
        </w:rPr>
      </w:pPr>
    </w:p>
    <w:p>
      <w:pPr>
        <w:pStyle w:val="28"/>
        <w:rPr>
          <w:rFonts w:ascii="仿宋" w:hAnsi="仿宋" w:eastAsia="仿宋" w:cs="仿宋"/>
          <w:b/>
          <w:color w:val="000000" w:themeColor="text1"/>
          <w:szCs w:val="24"/>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
          <w:color w:val="000000" w:themeColor="text1"/>
          <w:sz w:val="24"/>
          <w:szCs w:val="24"/>
          <w:highlight w:val="none"/>
          <w14:textFill>
            <w14:solidFill>
              <w14:schemeClr w14:val="tx1"/>
            </w14:solidFill>
          </w14:textFill>
        </w:rPr>
        <w:t>、投标人认为还需要提供的其他资料</w:t>
      </w:r>
    </w:p>
    <w:p>
      <w:pPr>
        <w:ind w:firstLine="720" w:firstLineChars="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pStyle w:val="2"/>
        <w:rPr>
          <w:rFonts w:hint="eastAsia" w:ascii="仿宋" w:hAnsi="仿宋" w:eastAsia="仿宋" w:cs="仿宋"/>
          <w:color w:val="000000" w:themeColor="text1"/>
          <w:sz w:val="24"/>
          <w:szCs w:val="24"/>
          <w:highlight w:val="none"/>
          <w14:textFill>
            <w14:solidFill>
              <w14:schemeClr w14:val="tx1"/>
            </w14:solidFill>
          </w14:textFill>
        </w:rPr>
      </w:pPr>
    </w:p>
    <w:p>
      <w:pPr>
        <w:pStyle w:val="3"/>
      </w:pPr>
    </w:p>
    <w:p>
      <w:pPr>
        <w:keepNext/>
        <w:keepLines/>
        <w:spacing w:before="60" w:after="60" w:line="360" w:lineRule="auto"/>
        <w:ind w:firstLine="723" w:firstLineChars="300"/>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
          <w:color w:val="000000" w:themeColor="text1"/>
          <w:sz w:val="24"/>
          <w:szCs w:val="24"/>
          <w:highlight w:val="none"/>
          <w14:textFill>
            <w14:solidFill>
              <w14:schemeClr w14:val="tx1"/>
            </w14:solidFill>
          </w14:textFill>
        </w:rPr>
        <w:t>、整体项目ISO15189医学实验室认可咨询及指导服务要求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承诺函</w:t>
      </w:r>
    </w:p>
    <w:p>
      <w:pPr>
        <w:adjustRightInd w:val="0"/>
        <w:snapToGrid w:val="0"/>
        <w:spacing w:line="360" w:lineRule="auto"/>
        <w:jc w:val="lef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shd w:val="clea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p>
      <w:pPr>
        <w:pStyle w:val="28"/>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b/>
          <w:color w:val="000000" w:themeColor="text1"/>
          <w:sz w:val="24"/>
          <w:szCs w:val="24"/>
          <w:highlight w:val="none"/>
          <w14:textFill>
            <w14:solidFill>
              <w14:schemeClr w14:val="tx1"/>
            </w14:solidFill>
          </w14:textFill>
        </w:rPr>
        <w:t>、中小企业声明函</w:t>
      </w:r>
    </w:p>
    <w:p>
      <w:pPr>
        <w:widowControl/>
        <w:shd w:val="clear"/>
        <w:spacing w:line="360" w:lineRule="auto"/>
        <w:ind w:firstLine="482" w:firstLineChars="200"/>
        <w:jc w:val="left"/>
        <w:rPr>
          <w:rFonts w:hint="eastAsia" w:ascii="仿宋" w:hAnsi="仿宋" w:eastAsia="仿宋" w:cs="仿宋"/>
          <w:b/>
          <w:bCs/>
          <w:color w:val="000000" w:themeColor="text1"/>
          <w:sz w:val="24"/>
          <w:szCs w:val="24"/>
          <w:highlight w:val="none"/>
          <w14:textFill>
            <w14:solidFill>
              <w14:schemeClr w14:val="tx1"/>
            </w14:solidFill>
          </w14:textFill>
        </w:rPr>
      </w:pPr>
    </w:p>
    <w:p>
      <w:pPr>
        <w:shd w:val="clear"/>
        <w:spacing w:line="480" w:lineRule="auto"/>
        <w:ind w:firstLine="506" w:firstLineChars="200"/>
        <w:jc w:val="center"/>
        <w:rPr>
          <w:rFonts w:hint="eastAsia" w:ascii="仿宋" w:hAnsi="仿宋" w:eastAsia="仿宋" w:cs="仿宋"/>
          <w:b/>
          <w:bCs/>
          <w:color w:val="000000" w:themeColor="text1"/>
          <w:spacing w:val="6"/>
          <w:sz w:val="24"/>
          <w:highlight w:val="none"/>
          <w:lang w:eastAsia="zh-CN"/>
          <w14:textFill>
            <w14:solidFill>
              <w14:schemeClr w14:val="tx1"/>
            </w14:solidFill>
          </w14:textFill>
        </w:rPr>
      </w:pPr>
      <w:r>
        <w:rPr>
          <w:rFonts w:hint="eastAsia" w:ascii="仿宋" w:hAnsi="仿宋" w:eastAsia="仿宋" w:cs="仿宋"/>
          <w:b/>
          <w:bCs/>
          <w:color w:val="000000" w:themeColor="text1"/>
          <w:spacing w:val="6"/>
          <w:sz w:val="24"/>
          <w:highlight w:val="none"/>
          <w14:textFill>
            <w14:solidFill>
              <w14:schemeClr w14:val="tx1"/>
            </w14:solidFill>
          </w14:textFill>
        </w:rPr>
        <w:t>中小企业声明函</w:t>
      </w:r>
      <w:r>
        <w:rPr>
          <w:rFonts w:hint="eastAsia" w:ascii="仿宋" w:hAnsi="仿宋" w:eastAsia="仿宋" w:cs="仿宋"/>
          <w:b/>
          <w:bCs/>
          <w:color w:val="000000" w:themeColor="text1"/>
          <w:spacing w:val="6"/>
          <w:sz w:val="24"/>
          <w:highlight w:val="none"/>
          <w:lang w:eastAsia="zh-CN"/>
          <w14:textFill>
            <w14:solidFill>
              <w14:schemeClr w14:val="tx1"/>
            </w14:solidFill>
          </w14:textFill>
        </w:rPr>
        <w:t>（</w:t>
      </w:r>
      <w:r>
        <w:rPr>
          <w:rFonts w:hint="eastAsia" w:ascii="仿宋" w:hAnsi="仿宋" w:eastAsia="仿宋" w:cs="仿宋"/>
          <w:b/>
          <w:bCs/>
          <w:color w:val="000000" w:themeColor="text1"/>
          <w:spacing w:val="6"/>
          <w:sz w:val="24"/>
          <w:highlight w:val="none"/>
          <w:lang w:val="en-US" w:eastAsia="zh-CN"/>
          <w14:textFill>
            <w14:solidFill>
              <w14:schemeClr w14:val="tx1"/>
            </w14:solidFill>
          </w14:textFill>
        </w:rPr>
        <w:t>货物</w:t>
      </w:r>
      <w:r>
        <w:rPr>
          <w:rFonts w:hint="eastAsia" w:ascii="仿宋" w:hAnsi="仿宋" w:eastAsia="仿宋" w:cs="仿宋"/>
          <w:b/>
          <w:bCs/>
          <w:color w:val="000000" w:themeColor="text1"/>
          <w:spacing w:val="6"/>
          <w:sz w:val="24"/>
          <w:highlight w:val="none"/>
          <w:lang w:eastAsia="zh-CN"/>
          <w14:textFill>
            <w14:solidFill>
              <w14:schemeClr w14:val="tx1"/>
            </w14:solidFill>
          </w14:textFill>
        </w:rPr>
        <w:t>）</w:t>
      </w:r>
    </w:p>
    <w:p>
      <w:pPr>
        <w:shd w:val="clear"/>
        <w:snapToGrid w:val="0"/>
        <w:spacing w:line="480" w:lineRule="auto"/>
        <w:ind w:firstLine="504" w:firstLineChars="20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本公司郑重声明，根据《政府采购促进中小企业发展管理办法》（财库﹝2020﹞46号）的规定，本公司参加</w:t>
      </w:r>
      <w:r>
        <w:rPr>
          <w:rFonts w:hint="eastAsia" w:ascii="仿宋" w:hAnsi="仿宋" w:eastAsia="仿宋" w:cs="仿宋"/>
          <w:color w:val="000000" w:themeColor="text1"/>
          <w:spacing w:val="6"/>
          <w:sz w:val="24"/>
          <w:highlight w:val="none"/>
          <w:u w:val="single"/>
          <w14:textFill>
            <w14:solidFill>
              <w14:schemeClr w14:val="tx1"/>
            </w14:solidFill>
          </w14:textFill>
        </w:rPr>
        <w:t>（单位名称）</w:t>
      </w:r>
      <w:r>
        <w:rPr>
          <w:rFonts w:hint="eastAsia" w:ascii="仿宋" w:hAnsi="仿宋" w:eastAsia="仿宋" w:cs="仿宋"/>
          <w:color w:val="000000" w:themeColor="text1"/>
          <w:spacing w:val="6"/>
          <w:sz w:val="24"/>
          <w:highlight w:val="none"/>
          <w14:textFill>
            <w14:solidFill>
              <w14:schemeClr w14:val="tx1"/>
            </w14:solidFill>
          </w14:textFill>
        </w:rPr>
        <w:t>的</w:t>
      </w:r>
      <w:r>
        <w:rPr>
          <w:rFonts w:hint="eastAsia" w:ascii="仿宋" w:hAnsi="仿宋" w:eastAsia="仿宋" w:cs="仿宋"/>
          <w:color w:val="000000" w:themeColor="text1"/>
          <w:spacing w:val="6"/>
          <w:sz w:val="24"/>
          <w:highlight w:val="none"/>
          <w:u w:val="single"/>
          <w14:textFill>
            <w14:solidFill>
              <w14:schemeClr w14:val="tx1"/>
            </w14:solidFill>
          </w14:textFill>
        </w:rPr>
        <w:t>（项目名称）</w:t>
      </w:r>
      <w:r>
        <w:rPr>
          <w:rFonts w:hint="eastAsia" w:ascii="仿宋" w:hAnsi="仿宋" w:eastAsia="仿宋" w:cs="仿宋"/>
          <w:color w:val="000000" w:themeColor="text1"/>
          <w:spacing w:val="6"/>
          <w:sz w:val="24"/>
          <w:highlight w:val="none"/>
          <w14:textFill>
            <w14:solidFill>
              <w14:schemeClr w14:val="tx1"/>
            </w14:solidFill>
          </w14:textFill>
        </w:rPr>
        <w:t>采购活动，</w:t>
      </w:r>
      <w:r>
        <w:rPr>
          <w:rFonts w:hint="eastAsia" w:ascii="仿宋" w:hAnsi="仿宋" w:eastAsia="仿宋" w:cs="仿宋"/>
          <w:bCs/>
          <w:color w:val="000000" w:themeColor="text1"/>
          <w:sz w:val="24"/>
          <w:highlight w:val="none"/>
          <w14:textFill>
            <w14:solidFill>
              <w14:schemeClr w14:val="tx1"/>
            </w14:solidFill>
          </w14:textFill>
        </w:rPr>
        <w:t>提供的货物全部由符合政策要求的中小企业制造。相关企业的具体情况如下：</w:t>
      </w:r>
    </w:p>
    <w:p>
      <w:pPr>
        <w:shd w:val="clear"/>
        <w:snapToGrid w:val="0"/>
        <w:spacing w:line="480" w:lineRule="auto"/>
        <w:ind w:firstLine="480" w:firstLineChars="20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1.</w:t>
      </w:r>
      <w:r>
        <w:rPr>
          <w:rFonts w:hint="eastAsia" w:ascii="仿宋" w:hAnsi="仿宋" w:eastAsia="仿宋" w:cs="仿宋"/>
          <w:bCs/>
          <w:color w:val="000000" w:themeColor="text1"/>
          <w:sz w:val="24"/>
          <w:highlight w:val="none"/>
          <w:u w:val="single"/>
          <w14:textFill>
            <w14:solidFill>
              <w14:schemeClr w14:val="tx1"/>
            </w14:solidFill>
          </w14:textFill>
        </w:rPr>
        <w:t>（标的名称）</w:t>
      </w:r>
      <w:r>
        <w:rPr>
          <w:rFonts w:hint="eastAsia" w:ascii="仿宋" w:hAnsi="仿宋" w:eastAsia="仿宋" w:cs="仿宋"/>
          <w:bCs/>
          <w:color w:val="000000" w:themeColor="text1"/>
          <w:sz w:val="24"/>
          <w:highlight w:val="none"/>
          <w14:textFill>
            <w14:solidFill>
              <w14:schemeClr w14:val="tx1"/>
            </w14:solidFill>
          </w14:textFill>
        </w:rPr>
        <w:t>，属于</w:t>
      </w:r>
      <w:r>
        <w:rPr>
          <w:rFonts w:hint="eastAsia" w:ascii="仿宋" w:hAnsi="仿宋" w:eastAsia="仿宋" w:cs="仿宋"/>
          <w:bCs/>
          <w:color w:val="000000" w:themeColor="text1"/>
          <w:sz w:val="24"/>
          <w:highlight w:val="none"/>
          <w:u w:val="single"/>
          <w14:textFill>
            <w14:solidFill>
              <w14:schemeClr w14:val="tx1"/>
            </w14:solidFill>
          </w14:textFill>
        </w:rPr>
        <w:t>（采购文件中明确的所属行业）</w:t>
      </w:r>
      <w:r>
        <w:rPr>
          <w:rFonts w:hint="eastAsia" w:ascii="仿宋" w:hAnsi="仿宋" w:eastAsia="仿宋" w:cs="仿宋"/>
          <w:bCs/>
          <w:color w:val="000000" w:themeColor="text1"/>
          <w:sz w:val="24"/>
          <w:highlight w:val="none"/>
          <w14:textFill>
            <w14:solidFill>
              <w14:schemeClr w14:val="tx1"/>
            </w14:solidFill>
          </w14:textFill>
        </w:rPr>
        <w:t>行业；制造商为</w:t>
      </w:r>
      <w:r>
        <w:rPr>
          <w:rFonts w:hint="eastAsia" w:ascii="仿宋" w:hAnsi="仿宋" w:eastAsia="仿宋" w:cs="仿宋"/>
          <w:bCs/>
          <w:color w:val="000000" w:themeColor="text1"/>
          <w:sz w:val="24"/>
          <w:highlight w:val="none"/>
          <w:u w:val="single"/>
          <w14:textFill>
            <w14:solidFill>
              <w14:schemeClr w14:val="tx1"/>
            </w14:solidFill>
          </w14:textFill>
        </w:rPr>
        <w:t>（企业名称）</w:t>
      </w:r>
      <w:r>
        <w:rPr>
          <w:rFonts w:hint="eastAsia" w:ascii="仿宋" w:hAnsi="仿宋" w:eastAsia="仿宋" w:cs="仿宋"/>
          <w:bCs/>
          <w:color w:val="000000" w:themeColor="text1"/>
          <w:sz w:val="24"/>
          <w:highlight w:val="none"/>
          <w14:textFill>
            <w14:solidFill>
              <w14:schemeClr w14:val="tx1"/>
            </w14:solidFill>
          </w14:textFill>
        </w:rPr>
        <w:t>，从业人员人人，营业收入为万元，资产总额为万元，属于</w:t>
      </w:r>
      <w:r>
        <w:rPr>
          <w:rFonts w:hint="eastAsia" w:ascii="仿宋" w:hAnsi="仿宋" w:eastAsia="仿宋" w:cs="仿宋"/>
          <w:bCs/>
          <w:color w:val="000000" w:themeColor="text1"/>
          <w:sz w:val="24"/>
          <w:highlight w:val="none"/>
          <w:u w:val="single"/>
          <w14:textFill>
            <w14:solidFill>
              <w14:schemeClr w14:val="tx1"/>
            </w14:solidFill>
          </w14:textFill>
        </w:rPr>
        <w:t>（中型企业、小型企业、微型企业）</w:t>
      </w:r>
      <w:r>
        <w:rPr>
          <w:rFonts w:hint="eastAsia" w:ascii="仿宋" w:hAnsi="仿宋" w:eastAsia="仿宋" w:cs="仿宋"/>
          <w:bCs/>
          <w:color w:val="000000" w:themeColor="text1"/>
          <w:sz w:val="24"/>
          <w:highlight w:val="none"/>
          <w14:textFill>
            <w14:solidFill>
              <w14:schemeClr w14:val="tx1"/>
            </w14:solidFill>
          </w14:textFill>
        </w:rPr>
        <w:t>；</w:t>
      </w:r>
    </w:p>
    <w:p>
      <w:pPr>
        <w:shd w:val="clear"/>
        <w:spacing w:line="480" w:lineRule="auto"/>
        <w:ind w:firstLine="480" w:firstLineChars="200"/>
        <w:rPr>
          <w:rFonts w:hint="eastAsia" w:ascii="仿宋" w:hAnsi="仿宋" w:eastAsia="仿宋" w:cs="仿宋"/>
          <w:color w:val="000000" w:themeColor="text1"/>
          <w:spacing w:val="6"/>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u w:val="single"/>
          <w14:textFill>
            <w14:solidFill>
              <w14:schemeClr w14:val="tx1"/>
            </w14:solidFill>
          </w14:textFill>
        </w:rPr>
        <w:t>（标的名称）</w:t>
      </w:r>
      <w:r>
        <w:rPr>
          <w:rFonts w:hint="eastAsia" w:ascii="仿宋" w:hAnsi="仿宋" w:eastAsia="仿宋" w:cs="仿宋"/>
          <w:bCs/>
          <w:color w:val="000000" w:themeColor="text1"/>
          <w:sz w:val="24"/>
          <w:highlight w:val="none"/>
          <w14:textFill>
            <w14:solidFill>
              <w14:schemeClr w14:val="tx1"/>
            </w14:solidFill>
          </w14:textFill>
        </w:rPr>
        <w:t>，属于</w:t>
      </w:r>
      <w:r>
        <w:rPr>
          <w:rFonts w:hint="eastAsia" w:ascii="仿宋" w:hAnsi="仿宋" w:eastAsia="仿宋" w:cs="仿宋"/>
          <w:bCs/>
          <w:color w:val="000000" w:themeColor="text1"/>
          <w:sz w:val="24"/>
          <w:highlight w:val="none"/>
          <w:u w:val="single"/>
          <w14:textFill>
            <w14:solidFill>
              <w14:schemeClr w14:val="tx1"/>
            </w14:solidFill>
          </w14:textFill>
        </w:rPr>
        <w:t>（采购文件中明确的所属行业）</w:t>
      </w:r>
      <w:r>
        <w:rPr>
          <w:rFonts w:hint="eastAsia" w:ascii="仿宋" w:hAnsi="仿宋" w:eastAsia="仿宋" w:cs="仿宋"/>
          <w:bCs/>
          <w:color w:val="000000" w:themeColor="text1"/>
          <w:sz w:val="24"/>
          <w:highlight w:val="none"/>
          <w14:textFill>
            <w14:solidFill>
              <w14:schemeClr w14:val="tx1"/>
            </w14:solidFill>
          </w14:textFill>
        </w:rPr>
        <w:t>行业；制造商为</w:t>
      </w:r>
      <w:r>
        <w:rPr>
          <w:rFonts w:hint="eastAsia" w:ascii="仿宋" w:hAnsi="仿宋" w:eastAsia="仿宋" w:cs="仿宋"/>
          <w:bCs/>
          <w:color w:val="000000" w:themeColor="text1"/>
          <w:sz w:val="24"/>
          <w:highlight w:val="none"/>
          <w:u w:val="single"/>
          <w14:textFill>
            <w14:solidFill>
              <w14:schemeClr w14:val="tx1"/>
            </w14:solidFill>
          </w14:textFill>
        </w:rPr>
        <w:t>（企业名称）</w:t>
      </w:r>
      <w:r>
        <w:rPr>
          <w:rFonts w:hint="eastAsia" w:ascii="仿宋" w:hAnsi="仿宋" w:eastAsia="仿宋" w:cs="仿宋"/>
          <w:bCs/>
          <w:color w:val="000000" w:themeColor="text1"/>
          <w:sz w:val="24"/>
          <w:highlight w:val="none"/>
          <w14:textFill>
            <w14:solidFill>
              <w14:schemeClr w14:val="tx1"/>
            </w14:solidFill>
          </w14:textFill>
        </w:rPr>
        <w:t>，从业人员人，营业收入为万元，资产总额为万元，属于</w:t>
      </w:r>
      <w:r>
        <w:rPr>
          <w:rFonts w:hint="eastAsia" w:ascii="仿宋" w:hAnsi="仿宋" w:eastAsia="仿宋" w:cs="仿宋"/>
          <w:bCs/>
          <w:color w:val="000000" w:themeColor="text1"/>
          <w:sz w:val="24"/>
          <w:highlight w:val="none"/>
          <w:u w:val="single"/>
          <w14:textFill>
            <w14:solidFill>
              <w14:schemeClr w14:val="tx1"/>
            </w14:solidFill>
          </w14:textFill>
        </w:rPr>
        <w:t>（中型企业、小型企业、微型企业）</w:t>
      </w:r>
      <w:r>
        <w:rPr>
          <w:rFonts w:hint="eastAsia" w:ascii="仿宋" w:hAnsi="仿宋" w:eastAsia="仿宋" w:cs="仿宋"/>
          <w:bCs/>
          <w:color w:val="000000" w:themeColor="text1"/>
          <w:sz w:val="24"/>
          <w:highlight w:val="none"/>
          <w14:textFill>
            <w14:solidFill>
              <w14:schemeClr w14:val="tx1"/>
            </w14:solidFill>
          </w14:textFill>
        </w:rPr>
        <w:t>；</w:t>
      </w:r>
    </w:p>
    <w:p>
      <w:pPr>
        <w:shd w:val="clear"/>
        <w:spacing w:line="360" w:lineRule="auto"/>
        <w:ind w:firstLine="504" w:firstLineChars="200"/>
        <w:rPr>
          <w:rFonts w:hint="eastAsia" w:ascii="仿宋" w:hAnsi="仿宋" w:eastAsia="仿宋" w:cs="仿宋"/>
          <w:color w:val="000000" w:themeColor="text1"/>
          <w:spacing w:val="6"/>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w:t>
      </w:r>
    </w:p>
    <w:p>
      <w:pPr>
        <w:widowControl/>
        <w:shd w:val="clear"/>
        <w:spacing w:line="360" w:lineRule="auto"/>
        <w:ind w:firstLine="504" w:firstLineChars="200"/>
        <w:jc w:val="left"/>
        <w:rPr>
          <w:rFonts w:hint="eastAsia" w:ascii="仿宋" w:hAnsi="仿宋" w:eastAsia="仿宋" w:cs="仿宋"/>
          <w:color w:val="000000" w:themeColor="text1"/>
          <w:spacing w:val="6"/>
          <w:sz w:val="24"/>
          <w:szCs w:val="22"/>
          <w:highlight w:val="none"/>
          <w14:textFill>
            <w14:solidFill>
              <w14:schemeClr w14:val="tx1"/>
            </w14:solidFill>
          </w14:textFill>
        </w:rPr>
      </w:pPr>
      <w:r>
        <w:rPr>
          <w:rFonts w:hint="eastAsia" w:ascii="仿宋" w:hAnsi="仿宋" w:eastAsia="仿宋" w:cs="仿宋"/>
          <w:color w:val="000000" w:themeColor="text1"/>
          <w:spacing w:val="6"/>
          <w:sz w:val="24"/>
          <w:szCs w:val="22"/>
          <w:highlight w:val="none"/>
          <w14:textFill>
            <w14:solidFill>
              <w14:schemeClr w14:val="tx1"/>
            </w14:solidFill>
          </w14:textFill>
        </w:rPr>
        <w:t>以上企业，不属于大企业的分支机构，不存在控股股东为大企业的情形，也不存在与大企业的负责人为同一人的情形。</w:t>
      </w:r>
    </w:p>
    <w:p>
      <w:pPr>
        <w:widowControl/>
        <w:shd w:val="clear"/>
        <w:spacing w:line="360" w:lineRule="auto"/>
        <w:ind w:firstLine="504"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本企业对上述声明内容的真实性负责。如有虚假，将依法承担相应责任。</w:t>
      </w:r>
    </w:p>
    <w:p>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投标人（单位电子公章）</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ind w:firstLine="480"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日期：年月日</w:t>
      </w:r>
    </w:p>
    <w:p>
      <w:pPr>
        <w:shd w:val="clea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注：1、从业人员、营业收入、资产总额填报上一年度数据，无上一年度数据的新成立企业可不填报</w:t>
      </w:r>
    </w:p>
    <w:p>
      <w:pPr>
        <w:shd w:val="clear"/>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2、本项目属于工业</w:t>
      </w:r>
    </w:p>
    <w:p>
      <w:pPr>
        <w:widowControl/>
        <w:shd w:val="clear"/>
        <w:spacing w:line="360" w:lineRule="auto"/>
        <w:ind w:firstLine="482" w:firstLineChars="200"/>
        <w:rPr>
          <w:rFonts w:hint="eastAsia" w:ascii="仿宋" w:hAnsi="仿宋" w:eastAsia="仿宋" w:cs="仿宋"/>
          <w:color w:val="000000" w:themeColor="text1"/>
          <w:kern w:val="0"/>
          <w:szCs w:val="21"/>
          <w:highlight w:val="none"/>
          <w14:textFill>
            <w14:solidFill>
              <w14:schemeClr w14:val="tx1"/>
            </w14:solidFill>
          </w14:textFill>
        </w:rPr>
        <w:sectPr>
          <w:pgSz w:w="11906" w:h="16838"/>
          <w:pgMar w:top="1134" w:right="1247" w:bottom="1134" w:left="1418" w:header="851" w:footer="992" w:gutter="0"/>
          <w:cols w:space="425" w:num="1"/>
          <w:docGrid w:linePitch="312" w:charSpace="0"/>
        </w:sectPr>
      </w:pPr>
      <w:r>
        <w:rPr>
          <w:rFonts w:hint="eastAsia" w:ascii="仿宋" w:hAnsi="仿宋" w:eastAsia="仿宋" w:cs="仿宋"/>
          <w:b/>
          <w:bCs/>
          <w:color w:val="000000" w:themeColor="text1"/>
          <w:sz w:val="24"/>
          <w:szCs w:val="24"/>
          <w:highlight w:val="none"/>
          <w14:textFill>
            <w14:solidFill>
              <w14:schemeClr w14:val="tx1"/>
            </w14:solidFill>
          </w14:textFill>
        </w:rPr>
        <w:br w:type="page"/>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b/>
          <w:color w:val="000000" w:themeColor="text1"/>
          <w:sz w:val="24"/>
          <w:szCs w:val="24"/>
          <w:highlight w:val="none"/>
          <w14:textFill>
            <w14:solidFill>
              <w14:schemeClr w14:val="tx1"/>
            </w14:solidFill>
          </w14:textFill>
        </w:rPr>
        <w:t>、残疾人福利性单位声明函</w:t>
      </w:r>
    </w:p>
    <w:p>
      <w:pPr>
        <w:shd w:val="clear"/>
        <w:tabs>
          <w:tab w:val="left" w:pos="5580"/>
        </w:tabs>
        <w:spacing w:line="360" w:lineRule="auto"/>
        <w:jc w:val="center"/>
        <w:rPr>
          <w:rFonts w:hint="eastAsia" w:ascii="仿宋" w:hAnsi="仿宋" w:eastAsia="仿宋" w:cs="仿宋"/>
          <w:b/>
          <w:color w:val="000000" w:themeColor="text1"/>
          <w:sz w:val="28"/>
          <w:highlight w:val="none"/>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《残疾人福利性单位声明函》（原件扫描件。符合《三部门联合发布关于促进残疾人就业政府采购政策的通知》（财库〔2017〕141号）价格扣减条件的投标人须提交）</w:t>
      </w:r>
    </w:p>
    <w:p>
      <w:pPr>
        <w:bidi w:val="0"/>
        <w:rPr>
          <w:rStyle w:val="25"/>
          <w:rFonts w:hint="eastAsia" w:ascii="仿宋" w:hAnsi="仿宋" w:eastAsia="仿宋" w:cs="仿宋"/>
          <w:color w:val="000000" w:themeColor="text1"/>
          <w:spacing w:val="8"/>
          <w:sz w:val="28"/>
          <w:szCs w:val="28"/>
          <w:highlight w:val="none"/>
          <w:shd w:val="clear" w:color="auto" w:fill="FCFCFC"/>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残疾人福利性单位声明函</w:t>
      </w: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本单位郑重声明，根据《财政部民政部中国残疾人联合会关于促进残疾人就业政府采购政策的通知》（财库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〔2017〕141</w:t>
      </w:r>
      <w:r>
        <w:rPr>
          <w:rFonts w:hint="eastAsia" w:ascii="仿宋" w:hAnsi="仿宋" w:eastAsia="仿宋" w:cs="仿宋"/>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本单位对上述声明的真实性负责。如有虚假，将依法承担相应责任。</w:t>
      </w:r>
    </w:p>
    <w:p>
      <w:pPr>
        <w:shd w:val="clear"/>
        <w:tabs>
          <w:tab w:val="left" w:pos="4860"/>
        </w:tabs>
        <w:spacing w:line="360" w:lineRule="auto"/>
        <w:ind w:right="1560" w:firstLine="504" w:firstLineChars="200"/>
        <w:jc w:val="center"/>
        <w:rPr>
          <w:rFonts w:hint="eastAsia" w:ascii="仿宋" w:hAnsi="仿宋" w:eastAsia="仿宋" w:cs="仿宋"/>
          <w:color w:val="000000" w:themeColor="text1"/>
          <w:spacing w:val="6"/>
          <w:sz w:val="24"/>
          <w:szCs w:val="24"/>
          <w:highlight w:val="none"/>
          <w:lang w:eastAsia="zh-CN"/>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shd w:val="clear"/>
        <w:tabs>
          <w:tab w:val="left" w:pos="4860"/>
        </w:tabs>
        <w:spacing w:line="360" w:lineRule="auto"/>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p>
    <w:p>
      <w:pPr>
        <w:shd w:val="clea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pPr>
        <w:pStyle w:val="6"/>
        <w:shd w:val="clear"/>
        <w:spacing w:line="360" w:lineRule="auto"/>
        <w:ind w:firstLine="0"/>
        <w:outlineLvl w:val="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b/>
          <w:color w:val="000000" w:themeColor="text1"/>
          <w:sz w:val="24"/>
          <w:szCs w:val="24"/>
          <w:highlight w:val="none"/>
          <w14:textFill>
            <w14:solidFill>
              <w14:schemeClr w14:val="tx1"/>
            </w14:solidFill>
          </w14:textFill>
        </w:rPr>
        <w:t>、监狱企业证明文件</w:t>
      </w:r>
    </w:p>
    <w:p>
      <w:pPr>
        <w:shd w:val="clear"/>
        <w:spacing w:line="360" w:lineRule="auto"/>
        <w:jc w:val="left"/>
        <w:rPr>
          <w:rFonts w:hint="eastAsia" w:ascii="仿宋" w:hAnsi="仿宋" w:eastAsia="仿宋" w:cs="仿宋"/>
          <w:b/>
          <w:color w:val="000000" w:themeColor="text1"/>
          <w:szCs w:val="21"/>
          <w:highlight w:val="none"/>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《监狱企业证明文件》（原件。符合《财政部司法部关于政府采购支持监狱企业发展有关问题的通知》（财库[2014]68号）价格扣减条件的投标人须提交）</w:t>
      </w:r>
    </w:p>
    <w:p>
      <w:pPr>
        <w:shd w:val="clear"/>
        <w:spacing w:line="360" w:lineRule="auto"/>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监狱企业证明文件</w:t>
      </w: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pPr>
        <w:widowControl/>
        <w:shd w:val="clear"/>
        <w:spacing w:line="360" w:lineRule="auto"/>
        <w:jc w:val="left"/>
        <w:rPr>
          <w:rFonts w:hint="eastAsia" w:ascii="仿宋" w:hAnsi="仿宋" w:eastAsia="仿宋" w:cs="仿宋"/>
          <w:b/>
          <w:color w:val="000000" w:themeColor="text1"/>
          <w:sz w:val="24"/>
          <w:highlight w:val="none"/>
          <w14:textFill>
            <w14:solidFill>
              <w14:schemeClr w14:val="tx1"/>
            </w14:solidFill>
          </w14:textFill>
        </w:rPr>
      </w:pPr>
    </w:p>
    <w:p>
      <w:pPr>
        <w:widowControl/>
        <w:shd w:val="clear"/>
        <w:spacing w:line="360" w:lineRule="auto"/>
        <w:jc w:val="left"/>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注：符合条件的监狱企业在参加政府采购活动时，应当按《财政部司法部关于政府采购支持监狱企业发展有关问题的通知》（财库[2014]68号）提供规定的《监狱企业证明文件》，并对声明的真实性负责。</w:t>
      </w:r>
    </w:p>
    <w:p>
      <w:pPr>
        <w:shd w:val="clear"/>
        <w:spacing w:line="360" w:lineRule="auto"/>
        <w:rPr>
          <w:rFonts w:hint="eastAsia"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shd w:val="clear"/>
        <w:adjustRightInd w:val="0"/>
        <w:snapToGrid w:val="0"/>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bookmarkEnd w:id="647"/>
    <w:bookmarkEnd w:id="648"/>
    <w:bookmarkEnd w:id="649"/>
    <w:bookmarkEnd w:id="674"/>
    <w:bookmarkEnd w:id="675"/>
    <w:bookmarkEnd w:id="676"/>
    <w:bookmarkEnd w:id="684"/>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716" w:name="_Toc16192"/>
      <w:bookmarkStart w:id="717" w:name="_Toc31916"/>
      <w:bookmarkStart w:id="718" w:name="_Toc20864"/>
      <w:bookmarkStart w:id="719" w:name="_Toc13082"/>
      <w:bookmarkStart w:id="720" w:name="_Toc28450"/>
      <w:r>
        <w:rPr>
          <w:rFonts w:hint="eastAsia" w:ascii="仿宋" w:hAnsi="仿宋" w:eastAsia="仿宋" w:cs="仿宋"/>
          <w:color w:val="000000" w:themeColor="text1"/>
          <w:highlight w:val="none"/>
          <w:lang w:eastAsia="zh-CN"/>
          <w14:textFill>
            <w14:solidFill>
              <w14:schemeClr w14:val="tx1"/>
            </w14:solidFill>
          </w14:textFill>
        </w:rPr>
        <w:t>第五章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采购需求</w:t>
      </w:r>
      <w:bookmarkEnd w:id="716"/>
    </w:p>
    <w:p>
      <w:pPr>
        <w:pStyle w:val="5"/>
        <w:pageBreakBefore w:val="0"/>
        <w:kinsoku/>
        <w:wordWrap/>
        <w:overflowPunct/>
        <w:topLinePunct w:val="0"/>
        <w:bidi w:val="0"/>
        <w:snapToGrid/>
        <w:spacing w:before="0" w:beforeLines="0" w:after="0" w:afterLines="0" w:line="360" w:lineRule="auto"/>
        <w:ind w:left="0" w:leftChars="0" w:right="0" w:firstLine="602" w:firstLineChars="200"/>
        <w:jc w:val="center"/>
        <w:textAlignment w:val="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bookmarkStart w:id="721" w:name="_Toc14271"/>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一、设备采购需求</w:t>
      </w:r>
      <w:bookmarkEnd w:id="721"/>
    </w:p>
    <w:p>
      <w:pPr>
        <w:numPr>
          <w:ilvl w:val="0"/>
          <w:numId w:val="0"/>
        </w:numP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一、设备采购清单</w:t>
      </w:r>
    </w:p>
    <w:tbl>
      <w:tblPr>
        <w:tblStyle w:val="23"/>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870"/>
        <w:gridCol w:w="8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序号</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产品名称</w:t>
            </w:r>
          </w:p>
        </w:tc>
        <w:tc>
          <w:tcPr>
            <w:tcW w:w="8351" w:type="dxa"/>
            <w:vAlign w:val="center"/>
          </w:tcPr>
          <w:p>
            <w:pPr>
              <w:pStyle w:val="28"/>
              <w:numPr>
                <w:ilvl w:val="0"/>
                <w:numId w:val="0"/>
              </w:numPr>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主要性能及技术参数配置要求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1</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bCs w:val="0"/>
                <w:color w:val="000000" w:themeColor="text1"/>
                <w:sz w:val="24"/>
                <w:szCs w:val="24"/>
                <w:highlight w:val="none"/>
                <w:u w:val="none"/>
                <w:lang w:val="en-US" w:eastAsia="zh-CN"/>
                <w14:textFill>
                  <w14:solidFill>
                    <w14:schemeClr w14:val="tx1"/>
                  </w14:solidFill>
                </w14:textFill>
              </w:rPr>
              <w:t>※</w:t>
            </w: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全自动模块式血液体液分析仪（血球流水线）</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（一）整体技术规格及要求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1、全自动血液分析流水线组件要求：</w:t>
            </w:r>
            <w:bookmarkStart w:id="722" w:name="_Hlk50538144"/>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血液分析流水线包括：全自动五分类血细胞分析仪、全自动推片染片仪</w:t>
            </w:r>
            <w:bookmarkEnd w:id="722"/>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等，以上组件通过轨道连接组成，单台仪器故障不影响整条流水线运转。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2、模块扩展功能：后期可以根据科室标本量增长及项目拓展需求，在原流水线配置的基础上进行扩展，可扩展全自动血细胞分析仪、全自动推染片系统、全自动阅片系统、糖化血红蛋白分析模块、特定蛋白检测模块、浓缩稀释系统、全自动样本管系统、自动质控模块等。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3、具备智能控制平台及与系统相配的主机操作电脑一套及配套软件。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（二）全自动血液分析仪技术参数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1、检测参数：≥32个，直方图：≥2个，散点图：≥4个。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2、全自动五分类血液分析仪流水线血液分析仪台≥2台。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3、检测速度：全自动五分类血液分析仪流水线CBC+DIFF+NRBC≥200个/小时，单机检测速度CBC+DIFF+NRBC≥100样本/小时；CBC+DIFF+NRBC+RET≥80样本/小时。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4、样本用血量：全自动进样模式用血量≤90微升；开盖模式用血量≤90微升；末梢血预稀释模式用血量≤20微升。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5、检测通道：具有白细胞分类通道、白细胞/嗜碱性细胞/有核红细胞通道、网织红细胞通道、红细胞/血小板通道、血红蛋白通道。</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6、网织红细胞检测功能：至少有1台血细胞分析仪具有全自动网织红细胞计数和对网织红细胞进行成熟度的分类，具备网织红细胞的校准品，保证结果准确性和溯源性。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7、网织红细胞血红蛋白功能：具有定量报告检测网织红细胞血红蛋白含量的功能。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8、有核红细胞检测功能：无需特殊通道和试剂进行具有核红细胞检测功能，并能自动进行对白细胞细胞计数的校正。</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9、白细胞计数：应采用先进的激光流式原理及核酸荧光染色技术，使白细胞计数免受难溶红细胞、巨大血小板、血小板簇及细胞碎片等的干扰。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10、白细胞分类：采用半导体激光作为分析的光源，流式原理加细胞核酸荧光染色技术进行检测。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11、低值白细胞检测：具有单独的低值白细胞检测模式，可根据招标人自定义设置的白细胞低值界限，自动重新检测白细胞计数及分类。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12、血小板计数：具有≥两种方法进行血小板的计数，每种方法的检测通道都有校准。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13、血红蛋白检测：血红蛋白测定试剂需符合环保要求，不含有毒氰化物。</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14、进样模式：≥4个，全自动进样、手动闭盖进样、手工开盖进样和末稍血预稀释。</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15、具备数据储存：含散点图、直方图，并提供原厂中文数据管理软件。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16、</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实时在线质控管理系统，可实现实时在线网络质控功能，能够提供实时在线质控评价系统。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17、线性范围（静脉血）：白细胞：0-440*109/L，红细胞：0-8.6 *1012/L，血红蛋白：0-260g/L血小板：0-5000* 109/L。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18、血液模式空白计数要求：白细胞≤0.1*109/L，红细胞≤0.02*1012/L，血红蛋白≤1g/L，阻抗法血小板≤5*109/L。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19、流程管理：系统具备智能审核功能，可提供经过多中心验证的自动审核规则，且可根据实验验室的具体情况进行修正。</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zh-CN" w:eastAsia="zh-CN" w:bidi="ar-SA"/>
                <w14:textFill>
                  <w14:solidFill>
                    <w14:schemeClr w14:val="tx1"/>
                  </w14:solidFill>
                </w14:textFill>
              </w:rPr>
              <w:t>（三）全自动血涂片制备仪</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1、全自动推片、染片功能：全自动推片染片为一体机；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2、全自动推片、染片速度：流水线总推片染片速度≥120样品/h；</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3、可单独进行样品的自动推片、染片：需要，并可单独完成染片过程；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4、样本推片数量：可按需求设置，单样本可最多连续推片10张；</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5、推片速度和角度可根据HCT自动调整；</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6、吸样量：闭盖模式≤70 ul；微量血模式≤38 ul；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7、染色方案的设定：可设定≥5种染色方案；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8、玻片的标识：可在玻片上直接打印数字、一维和二维条码，以保证阅片机的使用；</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9、样品推片标准设定：用户可以任意设定样品推片规则；</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10、玻片干燥设定：用户可根据环境，自由设置玻片干燥条件，提供20个档位的干燥强度设定；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11、仪器连接方式：可同台式、立式血液流水线连接，一条流水线可支持多台推染片机连接；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12、可使用浓缩稀释液：可使用浓缩稀释系统供应的25倍浓缩稀释液，实现不停机更换，降低试剂更换频率，减少科室稀释液存储空间；</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13、可使用浓缩缓冲液：可使用浓缩缓冲液，降低试剂更换频率，减少科室试剂存储空间；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14、可扩展连接阅片机：可在根据需要在同一轨道系统（含推片机、含血液分析仪）扩展连接全自动阅片机，对染好的血液涂片进行自动细胞形态分析。</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（四）、全自动特定蛋白分析仪技术参数：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1、方法学：免疫散射比浊法；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2、自动化程度：全自动（仪器自动采血样、自动混匀、自动添加试剂、全自动检测、自动打印报告），能与血球通过轨道连接，实现全血一管通；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3、仪器项目：需包含C-反应蛋白（CRP）、血清淀粉样蛋白A(SAA)，支持联合检测亦可单独检测且不消耗另一通道试剂；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4、检测模式：三种检测模式，CRP、SAA、CRP/SAA；</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5、检测速度：≥180测试/小时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具备急诊优先功能，至少有一个急诊位；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7、反应位：具备≥50个反应位；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8、线性范围：hs-CRP：0.5-370.0mg/L ，SAA：5.0-200.0 mg/L；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9、反应杯清洗方式：反应杯可自动清洗并可重复使用,并保证无污染，降低人力成本；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10、仪器内试剂制冷装置：仪器内置试剂制冷装置，以保证试剂2-8摄氏度的保存环境；</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11、具备数据存储功能。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12、批内精密度满足CV≤5%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13、样品类型：静脉全血、末梢全血、血清、预稀释血；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14、条形码扫描功能：配条形码扫描器，样本信息可自动输入；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15、质控功能：仪器自动统计过去一年内的质控数据，包括平均值，标准差及变异系数，并且自动绘制和打印质控曲线；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16、外部接口：支持双向LIS系统连接功能，能实现实验数据信息化管理；</w:t>
            </w:r>
          </w:p>
          <w:p>
            <w:pPr>
              <w:pStyle w:val="28"/>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26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17、打印功能：内置打印机，同时支持联网打印功能，中文打印报告；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2</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全自动凝血分析仪（血凝流水线）</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（一）凝血流水线配置要求：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1、凝血分析仪≥2台：血凝仪器之间互为备机，当其中一台维修保养时，另一台仍可直接在轨道上操作。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2、一次性最大上样量≥250管,样本出样容量≥250管，样本进出样处理能力≥700管/小时，可连续进出样。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3、环形双轨道设计，单独进样轨道，单独出样轨道，并且两种轨道排列在一起，节省时间，方便操作。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4、具备在轨穿刺吸样功能，可随时接受闭盖试管，开盖试管，无须转换模式。</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（二）凝血分析仪技术参数：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1、检测方法：具有凝固法、发色底物法、免疫比浊法。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2、检测波长：≥5个。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3、自动化：自动加反应杯、识别试剂、识别试剂位、进样、吸样、温育、吸试剂、分析检测；可实时显示样本检测剩余时间。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4、检测参数：可以开展PT、APTT、FIB、TT、内源性凝血因子（FVIII、FIX、FXI、FXII）、外源性凝血因子（FII、FV、FVII、FX）、其他检测PC、PS、LA、FVIII、FXIII、D-Dimer、VWF等项目。</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5、测试速度：最大检测速度≥450test/h。</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6、检测通道：≥20个（每个通道均可同时进行凝固法、发色底物法和免疫比浊法的检测）。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7、样本量及进样方式：采用全自动进样架方式进样，标配闭盖穿刺进样功能，连续循环进样，随时追加样本 ，可用原始样品管上机。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8、急诊位：≥1个。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9、样本筛查：具备HIL样本质量检测功能（即自动识别黄疸、脂血和溶血标本）。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10、样本量检测：自动检测样本量不足及样本过多现象，提示抗凝剂比例问题对检测结果的影响。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11、试剂针、样本针：≥2根样本针、≥2根试剂针，避免携带污染；试剂针有液面感应和瞬间加热到37℃功能。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12、试剂位：≥44个，其中试剂冷藏位≥38个，自动识别试剂、试剂位、试剂信息自动扫描、报警、容量提示功能。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13、试剂冷藏位≤10℃保存，增强试剂稳定性，试剂自动连续装载,倾斜的试剂位设计减少试剂死腔量 ，试剂及消耗品实时监控。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14、Fbg检测：仪器同时拥有PT演算Fbg与Clauss法实测Fbg两种方法。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15、反应杯：容量≥1000个，独立反应杯，无需磁珠及参比品，可自动连续排列。</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16、检测状态：APTT 纠正实验：可实现混合交叉分析功能，提供即时型和延迟型检测结果。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17、自动分析功能：自动稀释、自动连锁筛选、自动再检功能、自动多点定标功能。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18、CWA功能：可提供凝固曲线波形分析功能：根据对凝固曲线的求导分析，在不增加实验室的额外成本情况下提供更多止凝血系统疾病的信息。</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19、质控：仪器能自动记录质控结果，并绘制质控图具有实现室内质控室间化功能。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20、具备数据储存：包括样本结果且带反应曲线。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21、数据传输：有RS232接口，有配套中文软件。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3</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全自动酶联免疫工作站</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1.基本功能：全自动完成ELISA实验，包括加样、稀释、振荡、孵育、洗板、读数及结果判断全过程实验。</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2.试剂应用范围：完全开放试剂系统。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3.加样精度：加样量  根据实际需要可调节  精密度（CV）≤2%  准确度  ≤±2%</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4.工作模式：可连续进样、连续进板、随到随做。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5.样本位：同时容纳（非连续装载）≥240个样本，满足大标本量需求，减少频繁样本装载。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6.加样针：≥8通道独立加样，一次性加样头，避免样品携带污染和液体稀释效应。</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7.加样通道性能：一次性加样头具有装针检测报警功能。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8.液体水平监测：具备液面监测、凝块监测和空管监测功能。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9.同时加样板位：≥20块96孔微板，并行分配标本的微板数≥20块96孔微孔板。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10.加样要求：无液体稀释、无尾液、无系统液污染。</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11.振荡孵育模块：振荡孵育模块≥20个，能够同时孵育≥20块微板，并且每个孵育模块能够单独温控，独立振荡。</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12.洗板机：配置一体式≥96通道192针洗板头，可以实现分组控制注液，保障洗板高质高效。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13.洗板位置：</w:t>
            </w:r>
            <w:bookmarkStart w:id="723" w:name="_Hlk98510186"/>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≥2个</w:t>
            </w:r>
            <w:bookmarkEnd w:id="723"/>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14.洗板残留量：≤2μl/孔。</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15.机械手功能：具有抓板检测功能，实时监测抓板状态。</w:t>
            </w:r>
            <w:bookmarkStart w:id="724" w:name="_Hlk98510198"/>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可自动适应不同厂家微板大小，保障运行中及断电后不掉板</w:t>
            </w:r>
            <w:bookmarkEnd w:id="724"/>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16.酶标仪：内置配置1台酶标仪，标准滤光片配置405nm、450nm、492nm 和630nm。</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17.试剂仓：</w:t>
            </w:r>
            <w:bookmarkStart w:id="725" w:name="_Hlk98510213"/>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≥16个通用试剂仓位置，用来放置酶、稀释液、底物、终止液等试剂</w:t>
            </w:r>
            <w:bookmarkEnd w:id="725"/>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 扫码系统：内置样本自动条码扫描器，装载标本时自动扫描标本条码。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设备台面：平台上所有载架均采用抽拉式轨道装载，可方便快捷取放，试验结束后可将整个载架放置于冷藏环境无需每个试剂单独取放。另具备支持更改所有载架位置或者数量的功能，无需重新定制，只需微调软件即可实现功能互换，满足多种不同测试需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20.报警处理：可选择重试、忽略、终止运行，可选择处理模式不影响整体实验运行。</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21.运行保障：智能的自动运行保障系统，可以屏蔽故障模块，保证其他模块的正常运行。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4</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全自动免疫印迹仪</w:t>
            </w:r>
          </w:p>
        </w:tc>
        <w:tc>
          <w:tcPr>
            <w:tcW w:w="8351" w:type="dxa"/>
            <w:vAlign w:val="center"/>
          </w:tcPr>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1" w:firstLineChars="1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（一）功能要求</w:t>
            </w:r>
          </w:p>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用免疫印迹法，在临床上用于对人体体液中的分析物进行检测，对疾病的诊断、鉴别诊断及治疗提供重要的实验室数据，检测项目包括抗核抗体、自身免疫性肝病、自身免疫性血管炎、自身免疫性糖尿病、自身抗体筛查等多种项目。</w:t>
            </w:r>
          </w:p>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1" w:firstLineChars="1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（二）技术参数及要求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检测原理：免疫印迹法。</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测试项目组合≥10种。</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检测项目过敏原、抗核抗体、自身免疫性肝病、自身免疫性血管炎、自身免疫性糖尿病、自身抗体筛查等多项检测。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仪器能全自动完成印迹法的加样、</w:t>
            </w:r>
            <w:r>
              <w:rPr>
                <w:rFonts w:hint="eastAsia" w:ascii="仿宋" w:hAnsi="仿宋" w:eastAsia="仿宋" w:cs="仿宋"/>
                <w:color w:val="000000" w:themeColor="text1"/>
                <w:kern w:val="0"/>
                <w:sz w:val="24"/>
                <w:szCs w:val="24"/>
                <w:highlight w:val="none"/>
                <w14:textFill>
                  <w14:solidFill>
                    <w14:schemeClr w14:val="tx1"/>
                  </w14:solidFill>
                </w14:textFill>
              </w:rPr>
              <w:t>孵育、洗涤、加液、膜条干燥、结果扫描分析、结果输出保存操作。</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样本位：≥50人份，支持原始管上机。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测试数：≥60 测试/盘。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同盘检测项目数：过敏原≥2个项目，自身抗体≥3个项目。</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膜条类型：一次性单个膜条固定卡槽，随取随用。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加样系统精确性好，CV≤5%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加样系统</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具备液面探测和堵针检测功能。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11、</w:t>
            </w:r>
            <w:r>
              <w:rPr>
                <w:rFonts w:hint="eastAsia" w:ascii="仿宋" w:hAnsi="仿宋" w:eastAsia="仿宋" w:cs="仿宋"/>
                <w:bCs/>
                <w:color w:val="000000" w:themeColor="text1"/>
                <w:sz w:val="24"/>
                <w:szCs w:val="24"/>
                <w:highlight w:val="none"/>
                <w14:textFill>
                  <w14:solidFill>
                    <w14:schemeClr w14:val="tx1"/>
                  </w14:solidFill>
                </w14:textFill>
              </w:rPr>
              <w:t>试剂分配体积:</w:t>
            </w:r>
            <w:r>
              <w:rPr>
                <w:rFonts w:hint="eastAsia" w:ascii="仿宋" w:hAnsi="仿宋" w:eastAsia="仿宋" w:cs="仿宋"/>
                <w:color w:val="000000" w:themeColor="text1"/>
                <w:sz w:val="24"/>
                <w:szCs w:val="24"/>
                <w:highlight w:val="none"/>
                <w14:textFill>
                  <w14:solidFill>
                    <w14:schemeClr w14:val="tx1"/>
                  </w14:solidFill>
                </w14:textFill>
              </w:rPr>
              <w:t xml:space="preserve"> ≤1000</w:t>
            </w:r>
            <w:r>
              <w:rPr>
                <w:rFonts w:hint="eastAsia" w:ascii="仿宋" w:hAnsi="仿宋" w:eastAsia="仿宋" w:cs="仿宋"/>
                <w:color w:val="000000" w:themeColor="text1"/>
                <w:kern w:val="0"/>
                <w:sz w:val="24"/>
                <w:szCs w:val="24"/>
                <w:highlight w:val="none"/>
                <w14:textFill>
                  <w14:solidFill>
                    <w14:schemeClr w14:val="tx1"/>
                  </w14:solidFill>
                </w14:textFill>
              </w:rPr>
              <w:t>ul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检测结果重复性：CV≤5%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w:t>
            </w:r>
            <w:r>
              <w:rPr>
                <w:rFonts w:hint="eastAsia" w:ascii="仿宋" w:hAnsi="仿宋" w:eastAsia="仿宋" w:cs="仿宋"/>
                <w:color w:val="000000" w:themeColor="text1"/>
                <w:sz w:val="24"/>
                <w:szCs w:val="24"/>
                <w:highlight w:val="none"/>
                <w14:textFill>
                  <w14:solidFill>
                    <w14:schemeClr w14:val="tx1"/>
                  </w14:solidFill>
                </w14:textFill>
              </w:rPr>
              <w:t>清洗废液残余量≤5%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14:textFill>
                  <w14:solidFill>
                    <w14:schemeClr w14:val="tx1"/>
                  </w14:solidFill>
                </w14:textFill>
              </w:rPr>
              <w:t>进样模块：具备自动进样功能，仪器</w:t>
            </w:r>
            <w:r>
              <w:rPr>
                <w:rFonts w:hint="eastAsia" w:ascii="仿宋" w:hAnsi="仿宋" w:eastAsia="仿宋" w:cs="仿宋"/>
                <w:color w:val="000000" w:themeColor="text1"/>
                <w:kern w:val="0"/>
                <w:sz w:val="24"/>
                <w:szCs w:val="24"/>
                <w:highlight w:val="none"/>
                <w14:textFill>
                  <w14:solidFill>
                    <w14:schemeClr w14:val="tx1"/>
                  </w14:solidFill>
                </w14:textFill>
              </w:rPr>
              <w:t>自动识别样本条码。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干燥模块：仪器具备自动干燥膜条功能，减少自然风干时间和吸水纸带来的误差。</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扫描分析模块：CCD拍照，自动判读。</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color w:val="000000" w:themeColor="text1"/>
                <w:sz w:val="24"/>
                <w:szCs w:val="24"/>
                <w:highlight w:val="none"/>
                <w14:textFill>
                  <w14:solidFill>
                    <w14:schemeClr w14:val="tx1"/>
                  </w14:solidFill>
                </w14:textFill>
              </w:rPr>
              <w:t>仪器反应区具备温度控制功能。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color w:val="000000" w:themeColor="text1"/>
                <w:sz w:val="24"/>
                <w:szCs w:val="24"/>
                <w:highlight w:val="none"/>
                <w14:textFill>
                  <w14:solidFill>
                    <w14:schemeClr w14:val="tx1"/>
                  </w14:solidFill>
                </w14:textFill>
              </w:rPr>
              <w:t>报告系统：结果永久保存，报告包含膜条图像，图文并附。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color w:val="000000" w:themeColor="text1"/>
                <w:sz w:val="24"/>
                <w:szCs w:val="24"/>
                <w:highlight w:val="none"/>
                <w14:textFill>
                  <w14:solidFill>
                    <w14:schemeClr w14:val="tx1"/>
                  </w14:solidFill>
                </w14:textFill>
              </w:rPr>
              <w:t>通讯功能：可与LIS系统双向通讯。</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无需使用一次性的孵育盘。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21、</w:t>
            </w:r>
            <w:r>
              <w:rPr>
                <w:rFonts w:hint="eastAsia" w:ascii="仿宋" w:hAnsi="仿宋" w:eastAsia="仿宋" w:cs="仿宋"/>
                <w:color w:val="000000" w:themeColor="text1"/>
                <w:sz w:val="24"/>
                <w:szCs w:val="24"/>
                <w:highlight w:val="none"/>
                <w14:textFill>
                  <w14:solidFill>
                    <w14:schemeClr w14:val="tx1"/>
                  </w14:solidFill>
                </w14:textFill>
              </w:rPr>
              <w:t>设备对仪器状态、测试状态、试剂可进行实时监测。</w:t>
            </w:r>
          </w:p>
          <w:p>
            <w:pPr>
              <w:pStyle w:val="28"/>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26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22、</w:t>
            </w:r>
            <w:r>
              <w:rPr>
                <w:rFonts w:hint="eastAsia" w:ascii="仿宋" w:hAnsi="仿宋" w:eastAsia="仿宋" w:cs="仿宋"/>
                <w:color w:val="000000" w:themeColor="text1"/>
                <w:sz w:val="24"/>
                <w:szCs w:val="24"/>
                <w:highlight w:val="none"/>
                <w14:textFill>
                  <w14:solidFill>
                    <w14:schemeClr w14:val="tx1"/>
                  </w14:solidFill>
                </w14:textFill>
              </w:rPr>
              <w:t>实时故障报警，反馈日志记录。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5</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全自动血沉压积测试仪</w:t>
            </w:r>
          </w:p>
        </w:tc>
        <w:tc>
          <w:tcPr>
            <w:tcW w:w="83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1、屏幕采用触摸控制功能，所有检测通道及状态实时显示功能；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2、样品位（孔）：≥100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 血沉测试速度（Ts/h）:≥200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4、压积测试速度（Ts/h）:≥15000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5、具有压积独立测量功能；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6、具有红细胞沉降过程中的最大沉降速度Vm及发生时间Tm值检测功能；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7、具有动态血沉曲线显示打印功能；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 具有自动换算血沉方程k值；</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9、具有可选择30min或60min血沉独立测量功能及血沉和压积组合联测功能；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10、具有单个或批量测试结果查询、打印功能；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11、显示结果温度设定换算功能：仪器具有选择环境温度补偿功能。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12、具备测试结果储存功能；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13、具有液面跟踪扫描功能；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14、具有标本异常，自动识别提示功能；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15、具有断电后数据保存功能；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16、条码扫描功能；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17、配有RS-232和USB接口，具有数据转输功能。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6</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干式恒温箱（金属浴）</w:t>
            </w:r>
          </w:p>
        </w:tc>
        <w:tc>
          <w:tcPr>
            <w:tcW w:w="83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1、可独立关闭或开启恒温、定时功能，实现一机多用，提高设备利用率。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2、温度控制要求：控温精准，线性好，具有可编程功能。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3、采用金属模块，温度均匀性高，模块更换便捷: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4、仪器升温速度快、加热均匀、控温精准、稳定性高;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5、保证温度稳定性和均匀性;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6、实时显示当前温度、时间等。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7、温度校准功能;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8、程序运行结束，发出报警提示;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9、具备断电恢复功能、开机自动运行功能。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10、控温范围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-10℃-100℃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11、控温精度</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±0.3℃</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12、出度稳定性</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±0.3℃</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13、显示精度</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14、升温时间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≤15min (从20℃升至100℃)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15、定时时间设置：0-99h（步进1分钟）</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16、制冷时间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≤30mnin(降至30℃)，(环境温度为26℃以下时检测);</w:t>
            </w:r>
          </w:p>
        </w:tc>
      </w:tr>
    </w:tbl>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注：1.</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上述所描述</w:t>
      </w:r>
      <w:r>
        <w:rPr>
          <w:rFonts w:hint="eastAsia" w:ascii="仿宋" w:hAnsi="仿宋" w:eastAsia="仿宋" w:cs="仿宋"/>
          <w:b/>
          <w:bCs/>
          <w:color w:val="000000" w:themeColor="text1"/>
          <w:sz w:val="24"/>
          <w:szCs w:val="24"/>
          <w:highlight w:val="none"/>
          <w14:textFill>
            <w14:solidFill>
              <w14:schemeClr w14:val="tx1"/>
            </w14:solidFill>
          </w14:textFill>
        </w:rPr>
        <w:t>的各项技术参数和规格要求如出现引用某一特定的专利技术、商标、名称、设计、原产地或供应者等情况，则为档次要求。投标人可选用实质上“相当于”或“优于”该参考技术规格要求的产品参加投标。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bCs/>
          <w:color w:val="000000" w:themeColor="text1"/>
          <w:sz w:val="24"/>
          <w:szCs w:val="24"/>
          <w:highlight w:val="none"/>
          <w14:textFill>
            <w14:solidFill>
              <w14:schemeClr w14:val="tx1"/>
            </w14:solidFill>
          </w14:textFill>
        </w:rPr>
        <w:t>．投标人所提供的产品，必须保证采购人在使用期间不受第三方可能提出侵犯其知识产权、商标权和其他知识产权的起诉或纠纷。</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14:textFill>
            <w14:solidFill>
              <w14:schemeClr w14:val="tx1"/>
            </w14:solidFill>
          </w14:textFill>
        </w:rPr>
        <w:t>.投标人所投产品参数必须与招标文件参数一一对应（即按照招标文件技术部分格式《投标产品技术参数说明及偏离表》格式），否则视为无效参数！</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
          <w:bCs/>
          <w:color w:val="000000" w:themeColor="text1"/>
          <w:sz w:val="24"/>
          <w:szCs w:val="24"/>
          <w:highlight w:val="none"/>
          <w14:textFill>
            <w14:solidFill>
              <w14:schemeClr w14:val="tx1"/>
            </w14:solidFill>
          </w14:textFill>
        </w:rPr>
        <w:t>.本项目“是否进口”中标注“</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否</w:t>
      </w:r>
      <w:r>
        <w:rPr>
          <w:rFonts w:hint="eastAsia" w:ascii="仿宋" w:hAnsi="仿宋" w:eastAsia="仿宋" w:cs="仿宋"/>
          <w:b/>
          <w:bCs/>
          <w:color w:val="000000" w:themeColor="text1"/>
          <w:sz w:val="24"/>
          <w:szCs w:val="24"/>
          <w:highlight w:val="none"/>
          <w14:textFill>
            <w14:solidFill>
              <w14:schemeClr w14:val="tx1"/>
            </w14:solidFill>
          </w14:textFill>
        </w:rPr>
        <w:t>”的</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b/>
          <w:bCs/>
          <w:color w:val="000000" w:themeColor="text1"/>
          <w:sz w:val="24"/>
          <w:szCs w:val="24"/>
          <w:highlight w:val="none"/>
          <w14:textFill>
            <w14:solidFill>
              <w14:schemeClr w14:val="tx1"/>
            </w14:solidFill>
          </w14:textFill>
        </w:rPr>
        <w:t>允许进口产品投标，“进口产品是指通过中国海关报关验放进入中国境内且产自关境外的产品”。</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5.标注“※”号的产品为核心产品。</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二、交货期限</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设备送达招标人指定地点并按规范安装调试完毕时间为合同签订生效后7日历天内。</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三、合同价款结算</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strike/>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1、履约保证金：投标人向招标人提交中标价款的5%作为履约保证金，履约保证金由招标人代管,待合同有效期结束后若无违约行为，60个日历天内退还。</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2、付款方式：</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第一期：合同签订后，待设备安装调试完毕，试运行正常、无质量问题，经验收合格并出具验收报告后，投标人向招标人提供设备金额100%税务发票，甲方在收到合格发票后60日历天内支付合同总金额的20%；</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第二期：第一次内审完成后，支付合同总金额的30%；</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第三期：通过中国合格评定国家认可委员会（CNAS）现场正式评审后7日内，支付剩余合同价款。</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2"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四、随机资料和配套附属设备要求：</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1、所投标设备需具有网络接入功能，符合相关国际标准（如：DICOM和HL7</w:t>
      </w:r>
      <w:r>
        <w:rPr>
          <w:rFonts w:hint="eastAsia" w:ascii="仿宋" w:hAnsi="仿宋" w:eastAsia="仿宋" w:cs="仿宋"/>
          <w:color w:val="000000" w:themeColor="text1"/>
          <w:sz w:val="24"/>
          <w:szCs w:val="24"/>
          <w:highlight w:val="none"/>
          <w:lang w:eastAsia="zh-CN"/>
          <w14:textFill>
            <w14:solidFill>
              <w14:schemeClr w14:val="tx1"/>
            </w14:solidFill>
          </w14:textFill>
        </w:rPr>
        <w:t>等</w:t>
      </w:r>
      <w:r>
        <w:rPr>
          <w:rFonts w:hint="eastAsia" w:ascii="仿宋" w:hAnsi="仿宋" w:eastAsia="仿宋" w:cs="仿宋"/>
          <w:color w:val="000000" w:themeColor="text1"/>
          <w:sz w:val="24"/>
          <w:szCs w:val="24"/>
          <w:highlight w:val="none"/>
          <w14:textFill>
            <w14:solidFill>
              <w14:schemeClr w14:val="tx1"/>
            </w14:solidFill>
          </w14:textFill>
        </w:rPr>
        <w:t>），并根据医院需求负责接入相关系统（如</w:t>
      </w:r>
      <w:r>
        <w:rPr>
          <w:rFonts w:hint="eastAsia" w:ascii="仿宋" w:hAnsi="仿宋" w:eastAsia="仿宋" w:cs="仿宋"/>
          <w:color w:val="000000" w:themeColor="text1"/>
          <w:sz w:val="24"/>
          <w:szCs w:val="24"/>
          <w:highlight w:val="none"/>
          <w:lang w:val="en-US" w:eastAsia="zh-CN"/>
          <w14:textFill>
            <w14:solidFill>
              <w14:schemeClr w14:val="tx1"/>
            </w14:solidFill>
          </w14:textFill>
        </w:rPr>
        <w:t>LIS、</w:t>
      </w:r>
      <w:r>
        <w:rPr>
          <w:rFonts w:hint="eastAsia" w:ascii="仿宋" w:hAnsi="仿宋" w:eastAsia="仿宋" w:cs="仿宋"/>
          <w:color w:val="000000" w:themeColor="text1"/>
          <w:sz w:val="24"/>
          <w:szCs w:val="24"/>
          <w:highlight w:val="none"/>
          <w14:textFill>
            <w14:solidFill>
              <w14:schemeClr w14:val="tx1"/>
            </w14:solidFill>
          </w14:textFill>
        </w:rPr>
        <w:t>HIS、PACS、体检管理系统等），费用由中标方负责。如需相关接口信息，提前与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联系。</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2、投标人所提供的软硬件必须保证招标人在正常使用产品时不受任何第三方的知识产权侵权追责。</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3、提供厂家技术白皮书，并保证投标文件必须与厂家技术白皮书一致，否则中标无效。</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4、所投标设备的医疗器械注册证适用范围符合云南省非营利性医疗机构收费价格标准内的收费项目，否则中标无效。</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5、验收时提供与设备对应的出厂合格证明文件，否则验收不通过。</w:t>
      </w:r>
    </w:p>
    <w:p>
      <w:pPr>
        <w:pStyle w:val="28"/>
        <w:keepNext w:val="0"/>
        <w:keepLines w:val="0"/>
        <w:pageBreakBefore w:val="0"/>
        <w:kinsoku/>
        <w:wordWrap/>
        <w:overflowPunct/>
        <w:topLinePunct w:val="0"/>
        <w:bidi w:val="0"/>
        <w:snapToGrid/>
        <w:spacing w:before="0" w:after="0" w:line="360" w:lineRule="auto"/>
        <w:ind w:left="0" w:leftChars="0" w:right="0" w:firstLine="52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6、设备验收前，由投标人负责对计量设备进行计量检测，提供计量检测报告（计量检测需由有资质的第三方单位完成）。</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7、设备安装调试（或项目建设）符合国家标准，并满足甲方技术要求，乙方负责进行设备的免费安装测试同时完成。</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8、安装、调试设备所需耗材、试剂均由中标方提供，招标人不再另行支付费用</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9、全自动模块式血液体液分析仪（血球流水线）、全自动凝血分析仪（血凝流水线）、全自动酶联免疫工作站、全自动免疫印迹仪及全自动血沉压积测试仪需配置专用工作站各1套CPU：Intel Core i7-9700及以上；显示器：≥27寸液晶显示器,(16:9)VGA+HDMI接口；内存:8GB-DDR4 2666MH及以上；显卡：GTX1660T-6G独显及以上；存储：256SSD+1T 7200转HDD；鼠标键盘套件；接口:不少于6个USB接口；预装正版Windows系统专业版及office；打印机及UPS等附属配置（全自动血沉压积测试仪无需配置打印机、UPS等附属配置）；</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10、全自动模块式血液体液分析仪（血球流水线）还需额外配置细胞形态学分析系统。</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11、全自动凝血分析仪（血凝流水线）需配备全自动样本处理系统。</w:t>
      </w:r>
    </w:p>
    <w:p>
      <w:pPr>
        <w:pStyle w:val="2"/>
        <w:keepNext w:val="0"/>
        <w:keepLines w:val="0"/>
        <w:pageBreakBefore w:val="0"/>
        <w:numPr>
          <w:ilvl w:val="0"/>
          <w:numId w:val="0"/>
        </w:numPr>
        <w:kinsoku/>
        <w:wordWrap/>
        <w:overflowPunct/>
        <w:topLinePunct w:val="0"/>
        <w:bidi w:val="0"/>
        <w:snapToGrid/>
        <w:spacing w:line="360" w:lineRule="auto"/>
        <w:ind w:left="0" w:leftChars="0" w:right="0" w:firstLine="480" w:firstLineChars="200"/>
        <w:jc w:val="left"/>
        <w:textAlignment w:val="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全自动免疫印迹仪</w:t>
      </w:r>
      <w:r>
        <w:rPr>
          <w:rFonts w:hint="eastAsia" w:ascii="仿宋" w:hAnsi="仿宋" w:eastAsia="仿宋" w:cs="仿宋"/>
          <w:b/>
          <w:bCs w:val="0"/>
          <w:color w:val="000000" w:themeColor="text1"/>
          <w:sz w:val="24"/>
          <w:szCs w:val="24"/>
          <w:highlight w:val="none"/>
          <w14:textFill>
            <w14:solidFill>
              <w14:schemeClr w14:val="tx1"/>
            </w14:solidFill>
          </w14:textFill>
        </w:rPr>
        <w:t>附</w:t>
      </w:r>
      <w:r>
        <w:rPr>
          <w:rFonts w:hint="eastAsia" w:ascii="仿宋" w:hAnsi="仿宋" w:eastAsia="仿宋" w:cs="仿宋"/>
          <w:b/>
          <w:bCs/>
          <w:color w:val="000000" w:themeColor="text1"/>
          <w:sz w:val="24"/>
          <w:szCs w:val="24"/>
          <w:highlight w:val="none"/>
          <w14:textFill>
            <w14:solidFill>
              <w14:schemeClr w14:val="tx1"/>
            </w14:solidFill>
          </w14:textFill>
        </w:rPr>
        <w:t>属</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设备</w:t>
      </w:r>
      <w:r>
        <w:rPr>
          <w:rFonts w:hint="eastAsia" w:ascii="仿宋" w:hAnsi="仿宋" w:eastAsia="仿宋" w:cs="仿宋"/>
          <w:b/>
          <w:bCs/>
          <w:color w:val="000000" w:themeColor="text1"/>
          <w:sz w:val="24"/>
          <w:szCs w:val="24"/>
          <w:highlight w:val="none"/>
          <w14:textFill>
            <w14:solidFill>
              <w14:schemeClr w14:val="tx1"/>
            </w14:solidFill>
          </w14:textFill>
        </w:rPr>
        <w:t>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12.1酶标仪一台,配置要求: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12.1.1.滤光片：标配405，450，492，630nm四片滤光片，最多可装载八片滤光片；</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12.1.2.测量方式：单波长、双波长、多波长、终点法、两点法、动力法、外部计算机控制测量；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12.1.3.计算方式：光密度、行减、列减、单点定标、线性回归、二次曲线、三次曲线、四参数方程；</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12.1.4.测量范围：0.0000-4.5000Abs</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 5.分辨率：0.0001A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12.1.6.灵敏度：≥ 0.01mg/L；</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12.1.7.吸光度示值误差：±0.015A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12.1.8.吸光度重复性：&lt;0.1%</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12.1.9.通道差异：≤0.02A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12.1.10.显示：嵌入式8寸触摸屏或外接彩色液晶显示，可显示整板样本结果和定标曲线；</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12.2配置荧光显微镜一台,配置要求：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12.2.1.光学系统：UIS2光学系统（无限远光学系统）；</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12.2.2.调焦机构：载物台高度调节聚焦（粗调行程：15mm），粗调焦旋钮每转：36.8mm，细调焦旋钮最小调节精度：2.5um，，调焦旋钮张力可调节，配备聚焦限位装置，有效防止误操作导致的物镜及载玻片损坏；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12.2.3.明场照明系统：内置科勒照明系统，LED长寿命光源，功耗2.4W，光源寿命≥60000小时；</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12.2.4.聚光镜：通用7孔位聚光镜，满足2X-100X观察，可兼顾BF、DF、PH、FL等多种观察方式的观察；</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12.2.5.物镜转盘：向内侧旋转的固定5孔物镜转盘，可同时支持5支物镜满足不同倍率选择需求；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12.2.6.物镜：平场消色差物镜，物镜齐焦距离国际标准≤45mm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4X（N.A. 0.10，W.D. 18.5mm）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10X（N.A. 0.25，W.D.8.0 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40X（N.A. 0.65，W.D. 0.6mm）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100XOil（N.A. 1.25，W.D. 0.13 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12.2.7.载物台：人机工程学机械式低位载物台设计，尺寸（W×D）：211mm×154mm，移动范围：（X×Y）：76mm×52mm，载物台具备样品位置刻度，XY移动可根据需求锁定，单手样品夹片器（可选双样本夹，薄型样品垫）；</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12.2.8.观察筒：30度倾斜三目观察筒（抗菌），瞳距调整范围48-75mm，视场数≥20mm；带屈光度调节，眼点高度360°可旋转调节，调节范围375.0-427.9mm，光路选择：目镜/相机=50/50固定；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12.2.9.目镜：目镜10X，带眼罩，视场数≥20mm（可选目镜15X，视场数≥16mm）；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12.2.10.卓越品质：光学元件采用无铅玻璃，环保设计，所有光学部件都做了抗菌防霉处理，所以能确保获得持续清晰的图像，并延长显微镜的使用寿命，即使在湿热的环境中工作也不受影响。</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12.2.11.荧光光源：原装B激发LED荧光光源，寿命≥50000h,光强稳定，即开即用，无需预热。</w:t>
      </w:r>
    </w:p>
    <w:p>
      <w:pPr>
        <w:pStyle w:val="28"/>
        <w:keepNext w:val="0"/>
        <w:keepLines w:val="0"/>
        <w:pageBreakBefore w:val="0"/>
        <w:kinsoku/>
        <w:wordWrap/>
        <w:overflowPunct/>
        <w:topLinePunct w:val="0"/>
        <w:bidi w:val="0"/>
        <w:snapToGrid/>
        <w:spacing w:before="0" w:after="0" w:line="360" w:lineRule="auto"/>
        <w:ind w:left="0" w:leftChars="0" w:right="0" w:firstLine="522"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五</w:t>
      </w:r>
      <w:r>
        <w:rPr>
          <w:rFonts w:hint="eastAsia" w:ascii="仿宋" w:hAnsi="仿宋" w:eastAsia="仿宋" w:cs="仿宋"/>
          <w:b/>
          <w:color w:val="000000" w:themeColor="text1"/>
          <w:sz w:val="24"/>
          <w:szCs w:val="24"/>
          <w:highlight w:val="none"/>
          <w14:textFill>
            <w14:solidFill>
              <w14:schemeClr w14:val="tx1"/>
            </w14:solidFill>
          </w14:textFill>
        </w:rPr>
        <w:t>、安装调试要求：</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设备安装调试（或项目建设）符合国家标准，并满足招标人技术要求，投标人负责进行设备的免费安装测试同时完成。</w:t>
      </w:r>
    </w:p>
    <w:p>
      <w:pPr>
        <w:pStyle w:val="28"/>
        <w:keepNext w:val="0"/>
        <w:keepLines w:val="0"/>
        <w:pageBreakBefore w:val="0"/>
        <w:kinsoku/>
        <w:wordWrap/>
        <w:overflowPunct/>
        <w:topLinePunct w:val="0"/>
        <w:bidi w:val="0"/>
        <w:snapToGrid/>
        <w:spacing w:before="0" w:after="0" w:line="360" w:lineRule="auto"/>
        <w:ind w:left="0" w:leftChars="0" w:right="0" w:firstLine="522" w:firstLineChars="200"/>
        <w:textAlignment w:val="auto"/>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六、</w:t>
      </w:r>
      <w:r>
        <w:rPr>
          <w:rFonts w:hint="eastAsia" w:ascii="仿宋" w:hAnsi="仿宋" w:eastAsia="仿宋" w:cs="仿宋"/>
          <w:b/>
          <w:color w:val="000000" w:themeColor="text1"/>
          <w:sz w:val="24"/>
          <w:szCs w:val="24"/>
          <w:highlight w:val="none"/>
          <w14:textFill>
            <w14:solidFill>
              <w14:schemeClr w14:val="tx1"/>
            </w14:solidFill>
          </w14:textFill>
        </w:rPr>
        <w:t>质保及售后服务</w:t>
      </w:r>
      <w:r>
        <w:rPr>
          <w:rFonts w:hint="eastAsia" w:ascii="仿宋" w:hAnsi="仿宋" w:eastAsia="仿宋" w:cs="仿宋"/>
          <w:b/>
          <w:color w:val="000000" w:themeColor="text1"/>
          <w:sz w:val="24"/>
          <w:szCs w:val="24"/>
          <w:highlight w:val="none"/>
          <w:lang w:eastAsia="zh-CN"/>
          <w14:textFill>
            <w14:solidFill>
              <w14:schemeClr w14:val="tx1"/>
            </w14:solidFill>
          </w14:textFill>
        </w:rPr>
        <w:t>要求</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、保证提供的设备是全新（包括零部件）、符合招标文件规定、具有国家有关部门注册并符合国家质量检测标准和产品出厂标准的设备；</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2、设备质保与设备设计使用年限一致，质保期自设备验收之日起算，终身负责维修；并保证设备在招标人报废前正常运行。具体服务：质保期内，投标人对设备提供全免费上门质保或免费更换；在质保期内，同一货物、同一质量问题连续两次维修仍无法正常使用，投标人必须予以更换同品牌、同型号或不低于投标配置的其它新机器（被更换的设备质保期从更换日起计算且质保期与设备设计使用年限一致，质保期自设备验收之日起算）。质保期内，设备投标人提供现场维修，维修人员在收到故障报告后保证24小时内到达现场，硬件类故障保证由维修人员（或工程师）在3天内修复。设备24小时内不能修复的，提供备用机，并保证48小时内将备用机送至医院指定位置，负责安装调试完成并投入使用；投标人保证在招标人指定地点供应备品备件（含易损件）和配套消耗品；质保期内，在医院出现应急状况时（如新冠肺炎疫情爆发时），投标人需提供备用机给医院使用，并保证48小时内将备用机送至医院指定位置，负责安装调试完成并投入使用。质保期内，投标人对所提供的设备实行3个月定期进行保养（或维护、巡检）制度；若招标人需要可以无限次增加保养次数；投标人保证开机率≥95%（按365日/年计）。</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3</w:t>
      </w:r>
      <w:r>
        <w:rPr>
          <w:rStyle w:val="26"/>
          <w:rFonts w:hint="eastAsia" w:ascii="仿宋" w:hAnsi="仿宋" w:eastAsia="仿宋" w:cs="仿宋"/>
          <w:b w:val="0"/>
          <w:bCs/>
          <w:color w:val="000000" w:themeColor="text1"/>
          <w:sz w:val="24"/>
          <w:szCs w:val="24"/>
          <w:highlight w:val="none"/>
          <w:u w:val="none"/>
          <w:lang w:val="en-AU" w:eastAsia="zh-CN"/>
          <w14:textFill>
            <w14:solidFill>
              <w14:schemeClr w14:val="tx1"/>
            </w14:solidFill>
          </w14:textFill>
        </w:rPr>
        <w:t>、投标人需在投标文件中承诺，如果因为试剂耗材纳入国家集采目录后，导致专机专用的试剂耗材无法采购，供应商会在设备设计使用年限内提供备用机（维修、巡检、保养、质控按照招标人要求进行，所有费用由中标人负责，保证设备正常运行），备用机的品牌型号需满足医院的需求，备用机的试剂耗材在集采目录内，以确保我院的国有资产不会被闲置。</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4</w:t>
      </w:r>
      <w:r>
        <w:rPr>
          <w:rFonts w:hint="eastAsia" w:ascii="仿宋" w:hAnsi="仿宋" w:eastAsia="仿宋" w:cs="仿宋"/>
          <w:bCs/>
          <w:color w:val="000000" w:themeColor="text1"/>
          <w:spacing w:val="10"/>
          <w:kern w:val="0"/>
          <w:sz w:val="24"/>
          <w:szCs w:val="24"/>
          <w:highlight w:val="none"/>
          <w:lang w:val="en-AU" w:eastAsia="zh-CN" w:bidi="ar-SA"/>
          <w14:textFill>
            <w14:solidFill>
              <w14:schemeClr w14:val="tx1"/>
            </w14:solidFill>
          </w14:textFill>
        </w:rPr>
        <w:t>、</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投标人应向招标人提供维修服务中心、特约维修服务站等售后服务网点的名单、联系地址、联系电话。</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5、设备质保期内，至少每三个月巡检一次并提供巡检报告，12个月内向招标人提供不少于4次巡检报告。</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七、</w:t>
      </w:r>
      <w:r>
        <w:rPr>
          <w:rFonts w:hint="eastAsia" w:ascii="仿宋" w:hAnsi="仿宋" w:eastAsia="仿宋" w:cs="仿宋"/>
          <w:b/>
          <w:color w:val="000000" w:themeColor="text1"/>
          <w:sz w:val="24"/>
          <w:szCs w:val="24"/>
          <w:highlight w:val="none"/>
          <w14:textFill>
            <w14:solidFill>
              <w14:schemeClr w14:val="tx1"/>
            </w14:solidFill>
          </w14:textFill>
        </w:rPr>
        <w:t>技术培训：</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投标人向招标人提供</w:t>
      </w:r>
      <w:r>
        <w:rPr>
          <w:rFonts w:hint="eastAsia" w:ascii="仿宋" w:hAnsi="仿宋" w:eastAsia="仿宋" w:cs="仿宋"/>
          <w:bCs/>
          <w:color w:val="000000" w:themeColor="text1"/>
          <w:spacing w:val="10"/>
          <w:kern w:val="0"/>
          <w:sz w:val="24"/>
          <w:szCs w:val="24"/>
          <w:highlight w:val="none"/>
          <w:u w:val="single"/>
          <w:lang w:val="en-US" w:eastAsia="zh-CN" w:bidi="ar-SA"/>
          <w14:textFill>
            <w14:solidFill>
              <w14:schemeClr w14:val="tx1"/>
            </w14:solidFill>
          </w14:textFill>
        </w:rPr>
        <w:t>至少3天</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的设备使用人员现场例行免费培训，培训内容包括设备的日常保养和维护、操作技术要领、使用注意事项、常见故障处理等，直到其掌握操作技能为止；食宿自理。</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八、</w:t>
      </w:r>
      <w:r>
        <w:rPr>
          <w:rFonts w:hint="eastAsia" w:ascii="仿宋" w:hAnsi="仿宋" w:eastAsia="仿宋" w:cs="仿宋"/>
          <w:b/>
          <w:color w:val="000000" w:themeColor="text1"/>
          <w:sz w:val="24"/>
          <w:szCs w:val="24"/>
          <w:highlight w:val="none"/>
          <w14:textFill>
            <w14:solidFill>
              <w14:schemeClr w14:val="tx1"/>
            </w14:solidFill>
          </w14:textFill>
        </w:rPr>
        <w:t>验收及验收标准</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设备验收：设备到达招标人指定地点后招标人统一初验是否符合合同要求(或按所提供样品进行验收)；设备交验地点和方式：合同签订后，投标人负责将完整配套的原封设备（含开机必要消耗品）送到招标人指定的地点（丽江市人民医院指定科室），由双方共同开箱初验，并由投标人按合同规范要求完成安装及加电测试等。交货时，投标人随货向招标人交付设备必需质保卡及相关资料（如操作手册、使用指南、维修手册、安装调试说明书、服务手册、报关单及商检证、医疗器械生产许可证、医疗器械经营许可证、医疗器械注册证等）及配备的用件、工具等；货物到达指定交货地点后，将由招标人和投标人进行集中验货，若开箱加电测试发现不合格的货物，投标人必须予以更换；在货物最终验收后的质量保证期，投标人应对由于设计、工艺或者材料的缺陷而发生的任何不足或故障负责，费用由投标人承担。</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2、项目验收：设备安装和调试或项目建设施工完成后，招标人检验、测试是否合格并满足合同技术要求。</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3、实作性操作验收：设备或项目是正常运作。</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4、验收方成员应当在验收书上签字，并承担相应的法律责任。</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九、</w:t>
      </w:r>
      <w:r>
        <w:rPr>
          <w:rFonts w:hint="eastAsia" w:ascii="仿宋" w:hAnsi="仿宋" w:eastAsia="仿宋" w:cs="仿宋"/>
          <w:b/>
          <w:color w:val="000000" w:themeColor="text1"/>
          <w:sz w:val="24"/>
          <w:szCs w:val="24"/>
          <w:highlight w:val="none"/>
          <w14:textFill>
            <w14:solidFill>
              <w14:schemeClr w14:val="tx1"/>
            </w14:solidFill>
          </w14:textFill>
        </w:rPr>
        <w:t>违约责任</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除发生不可抗力事实外，投标人所交付的设备与合同标准不相符合的，招标人有权拒收设备。</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因投标人不能按期交付设备和完成安装调试，投标人向招标人每日偿付合同价款总价千分之一的违约金。</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若设备质保期内开机率未达到95%，使招标人造成经济损失的，即停机每超出一个工作日，则按（全自动模块式血液体液分析仪（血球流水线）、全自动凝血分析仪（血凝流水线）2000元/天/台；全自动酶联免疫工作站1000元/天/台；全自动免疫印迹仪、全自动血沉压积测试仪、干式恒温箱（金属浴）500元/天/台）标准赔偿给招标人，赔偿总额为每天赔偿标准金额乘以停机天数，以此类推</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设备质保期内服务未按“质保及售后服务要求”履行，使招标人造成经济损失的应依法赔偿损失，赔偿标准为（全自动模块式血液体液分析仪（血球流水线）、全自动凝血分析仪（血凝流水线）2000元/天/台；全自动酶联免疫工作站1000元/天/台；全自动免疫印迹仪、全自动血沉压积测试仪、干式恒温箱（金属浴）500元/天/台），赔偿总额为赔偿标准乘以停机天数。</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招标人无正当理由拒收设备，如造成损失，招标人向投标人偿付合同价款总价千分之一的违约金。</w:t>
      </w:r>
    </w:p>
    <w:p>
      <w:pPr>
        <w:pStyle w:val="28"/>
        <w:keepNext w:val="0"/>
        <w:keepLines w:val="0"/>
        <w:pageBreakBefore w:val="0"/>
        <w:numPr>
          <w:ilvl w:val="0"/>
          <w:numId w:val="10"/>
        </w:numPr>
        <w:kinsoku/>
        <w:wordWrap/>
        <w:overflowPunct/>
        <w:topLinePunct w:val="0"/>
        <w:bidi w:val="0"/>
        <w:snapToGrid/>
        <w:spacing w:before="0" w:after="0" w:line="360" w:lineRule="auto"/>
        <w:ind w:left="0" w:leftChars="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招标人有权拒付合同价款以外的任何费用；投标人有权拒绝合同整体范围以外的条件。</w:t>
      </w:r>
    </w:p>
    <w:p>
      <w:pP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br w:type="page"/>
      </w:r>
    </w:p>
    <w:p>
      <w:pPr>
        <w:pStyle w:val="5"/>
        <w:pageBreakBefore w:val="0"/>
        <w:kinsoku/>
        <w:wordWrap/>
        <w:overflowPunct/>
        <w:topLinePunct w:val="0"/>
        <w:bidi w:val="0"/>
        <w:snapToGrid/>
        <w:spacing w:before="0" w:beforeLines="0" w:after="0" w:afterLines="0" w:line="360" w:lineRule="auto"/>
        <w:ind w:left="0" w:leftChars="0" w:right="0" w:firstLine="602" w:firstLineChars="200"/>
        <w:jc w:val="center"/>
        <w:textAlignment w:val="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bookmarkStart w:id="726" w:name="_Toc1165"/>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二、配套试剂耗材采购需求</w:t>
      </w:r>
      <w:bookmarkEnd w:id="72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一、采购预算金额：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520万元/年（按医院实际使用量结算），其中：全自动模块式血液体液分析仪（血球流水线）配套试剂耗材180万元/年、全自动凝血分析仪（血凝流水线）配套试剂耗材170万元/年、全自动酶联免疫工作站配套试剂耗材75万元/年、全自动免疫印迹仪配套试剂耗材95万元/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二、配送服务期</w:t>
      </w:r>
      <w:r>
        <w:rPr>
          <w:rFonts w:hint="eastAsia" w:ascii="仿宋" w:hAnsi="仿宋" w:eastAsia="仿宋" w:cs="仿宋"/>
          <w:color w:val="000000" w:themeColor="text1"/>
          <w:sz w:val="24"/>
          <w:szCs w:val="24"/>
          <w:highlight w:val="none"/>
          <w:lang w:eastAsia="zh-CN"/>
          <w14:textFill>
            <w14:solidFill>
              <w14:schemeClr w14:val="tx1"/>
            </w14:solidFill>
          </w14:textFill>
        </w:rPr>
        <w:t>：一年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三、供货地点：</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丽江市人民医院指定地点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四、具体供货服务要求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1.供货时限要求：按需供货，一般情况收到</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订货通知后</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天内送达指定地点，如遇紧急情况必须于</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天内到货并验收合格。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应提供所投产品注册证、相关的质检报告等信息参与投标，并提供相应医保编码。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所供</w:t>
      </w:r>
      <w:r>
        <w:rPr>
          <w:rFonts w:hint="eastAsia" w:ascii="仿宋" w:hAnsi="仿宋" w:eastAsia="仿宋" w:cs="仿宋"/>
          <w:color w:val="000000" w:themeColor="text1"/>
          <w:sz w:val="24"/>
          <w:szCs w:val="24"/>
          <w:highlight w:val="none"/>
          <w:lang w:eastAsia="zh-CN"/>
          <w14:textFill>
            <w14:solidFill>
              <w14:schemeClr w14:val="tx1"/>
            </w14:solidFill>
          </w14:textFill>
        </w:rPr>
        <w:t>的试剂及</w:t>
      </w:r>
      <w:r>
        <w:rPr>
          <w:rFonts w:hint="eastAsia" w:ascii="仿宋" w:hAnsi="仿宋" w:eastAsia="仿宋" w:cs="仿宋"/>
          <w:color w:val="000000" w:themeColor="text1"/>
          <w:sz w:val="24"/>
          <w:szCs w:val="24"/>
          <w:highlight w:val="none"/>
          <w14:textFill>
            <w14:solidFill>
              <w14:schemeClr w14:val="tx1"/>
            </w14:solidFill>
          </w14:textFill>
        </w:rPr>
        <w:t>耗材均需为全自动模块式血液体液分析仪（血球流水线）血球分析</w:t>
      </w:r>
      <w:r>
        <w:rPr>
          <w:rFonts w:hint="eastAsia" w:ascii="仿宋" w:hAnsi="仿宋" w:eastAsia="仿宋" w:cs="仿宋"/>
          <w:color w:val="000000" w:themeColor="text1"/>
          <w:sz w:val="24"/>
          <w:szCs w:val="24"/>
          <w:highlight w:val="none"/>
          <w:lang w:eastAsia="zh-CN"/>
          <w14:textFill>
            <w14:solidFill>
              <w14:schemeClr w14:val="tx1"/>
            </w14:solidFill>
          </w14:textFill>
        </w:rPr>
        <w:t>配套试剂耗材，以保证结果的准确性和</w:t>
      </w:r>
      <w:r>
        <w:rPr>
          <w:rFonts w:hint="eastAsia" w:ascii="仿宋" w:hAnsi="仿宋" w:eastAsia="仿宋" w:cs="仿宋"/>
          <w:color w:val="000000" w:themeColor="text1"/>
          <w:sz w:val="24"/>
          <w:szCs w:val="24"/>
          <w:highlight w:val="none"/>
          <w14:textFill>
            <w14:solidFill>
              <w14:schemeClr w14:val="tx1"/>
            </w14:solidFill>
          </w14:textFill>
        </w:rPr>
        <w:t>溯源性。提供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耗材必需保证与所响应设备匹配兼容，若出现无法匹配兼容的情况，需保证更换产品，直到达到</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的使用效果为止。由此造成的一切损失，由</w:t>
      </w:r>
      <w:r>
        <w:rPr>
          <w:rFonts w:hint="eastAsia" w:ascii="仿宋" w:hAnsi="仿宋" w:eastAsia="仿宋" w:cs="仿宋"/>
          <w:color w:val="000000" w:themeColor="text1"/>
          <w:sz w:val="24"/>
          <w:szCs w:val="24"/>
          <w:highlight w:val="none"/>
          <w:lang w:eastAsia="zh-CN"/>
          <w14:textFill>
            <w14:solidFill>
              <w14:schemeClr w14:val="tx1"/>
            </w14:solidFill>
          </w14:textFill>
        </w:rPr>
        <w:t>中标人</w:t>
      </w:r>
      <w:r>
        <w:rPr>
          <w:rFonts w:hint="eastAsia" w:ascii="仿宋" w:hAnsi="仿宋" w:eastAsia="仿宋" w:cs="仿宋"/>
          <w:color w:val="000000" w:themeColor="text1"/>
          <w:sz w:val="24"/>
          <w:szCs w:val="24"/>
          <w:highlight w:val="none"/>
          <w14:textFill>
            <w14:solidFill>
              <w14:schemeClr w14:val="tx1"/>
            </w14:solidFill>
          </w14:textFill>
        </w:rPr>
        <w:t>自行承担。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4.投标人在保障招标人的需求条件下，需保证完成医用耗材的备货。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.质保期(有效期)：</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提供的耗材应是最新生产且检验合格的产品</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.为加强医院精细化的物流管理，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实行物流SPD管理，</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有义务积极支持医院SPD的推行和实施，并积极满足甲方SPD物流管理要求。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.配送服务期内如遇国家或云南省或丽江市对医用耗材采购政策变化时，</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有权按政策规定执行。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配送服务期</w:t>
      </w:r>
      <w:r>
        <w:rPr>
          <w:rFonts w:hint="eastAsia" w:ascii="仿宋" w:hAnsi="仿宋" w:eastAsia="仿宋" w:cs="仿宋"/>
          <w:color w:val="000000" w:themeColor="text1"/>
          <w:sz w:val="24"/>
          <w:szCs w:val="24"/>
          <w:highlight w:val="none"/>
          <w:lang w:val="en-US" w:eastAsia="zh-CN"/>
          <w14:textFill>
            <w14:solidFill>
              <w14:schemeClr w14:val="tx1"/>
            </w14:solidFill>
          </w14:textFill>
        </w:rPr>
        <w:t>内，若云南省医用耗材集中采购平台耗材阳光采购挂网价格低于供应商成交价格，则以云南省医用耗材集中采购平台耗材阳光采购挂网价格进行结算，其他情况不作调整。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.配送服务期内如遇设备无法使用，</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有权终止供货协议。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10.若投标人所投设备耗材为专机专用产品，且招标人在此次配套试剂耗材合同期结束后还需采购投标人所投设备的配套试剂耗材耗材时，则投标人必须</w:t>
      </w:r>
      <w:r>
        <w:rPr>
          <w:rFonts w:hint="eastAsia" w:ascii="仿宋" w:hAnsi="仿宋" w:eastAsia="仿宋" w:cs="仿宋"/>
          <w:color w:val="000000" w:themeColor="text1"/>
          <w:sz w:val="24"/>
          <w:szCs w:val="24"/>
          <w:highlight w:val="none"/>
          <w:lang w:val="en-AU" w:eastAsia="zh-CN"/>
          <w14:textFill>
            <w14:solidFill>
              <w14:schemeClr w14:val="tx1"/>
            </w14:solidFill>
          </w14:textFill>
        </w:rPr>
        <w:t>在投标文件中承诺</w:t>
      </w:r>
      <w:r>
        <w:rPr>
          <w:rFonts w:hint="eastAsia" w:ascii="仿宋" w:hAnsi="仿宋" w:eastAsia="仿宋" w:cs="仿宋"/>
          <w:color w:val="000000" w:themeColor="text1"/>
          <w:sz w:val="24"/>
          <w:szCs w:val="24"/>
          <w:highlight w:val="none"/>
          <w:lang w:val="en-US" w:eastAsia="zh-CN"/>
          <w14:textFill>
            <w14:solidFill>
              <w14:schemeClr w14:val="tx1"/>
            </w14:solidFill>
          </w14:textFill>
        </w:rPr>
        <w:t>此次配套试剂耗材合同期结束后招标人再次采购的配套试剂耗材价格不得高于此次采购的中标价格。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五、付款方式: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履约保证金：投标人</w:t>
      </w:r>
      <w:r>
        <w:rPr>
          <w:rFonts w:hint="eastAsia" w:ascii="仿宋" w:hAnsi="仿宋" w:eastAsia="仿宋" w:cs="仿宋"/>
          <w:color w:val="000000" w:themeColor="text1"/>
          <w:sz w:val="24"/>
          <w:szCs w:val="24"/>
          <w:highlight w:val="none"/>
          <w14:textFill>
            <w14:solidFill>
              <w14:schemeClr w14:val="tx1"/>
            </w14:solidFill>
          </w14:textFill>
        </w:rPr>
        <w:t>应向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提交</w:t>
      </w:r>
      <w:r>
        <w:rPr>
          <w:rFonts w:hint="eastAsia" w:ascii="仿宋" w:hAnsi="仿宋" w:eastAsia="仿宋" w:cs="仿宋"/>
          <w:color w:val="000000" w:themeColor="text1"/>
          <w:sz w:val="24"/>
          <w:szCs w:val="24"/>
          <w:highlight w:val="none"/>
          <w:lang w:val="en-US" w:eastAsia="zh-CN"/>
          <w14:textFill>
            <w14:solidFill>
              <w14:schemeClr w14:val="tx1"/>
            </w14:solidFill>
          </w14:textFill>
        </w:rPr>
        <w:t>设备配套试剂好耗材</w:t>
      </w:r>
      <w:r>
        <w:rPr>
          <w:rFonts w:hint="eastAsia" w:ascii="仿宋" w:hAnsi="仿宋" w:eastAsia="仿宋" w:cs="仿宋"/>
          <w:color w:val="000000" w:themeColor="text1"/>
          <w:sz w:val="24"/>
          <w:szCs w:val="24"/>
          <w:highlight w:val="none"/>
          <w14:textFill>
            <w14:solidFill>
              <w14:schemeClr w14:val="tx1"/>
            </w14:solidFill>
          </w14:textFill>
        </w:rPr>
        <w:t>采购预算</w:t>
      </w:r>
      <w:r>
        <w:rPr>
          <w:rFonts w:hint="eastAsia" w:ascii="仿宋" w:hAnsi="仿宋" w:eastAsia="仿宋" w:cs="仿宋"/>
          <w:color w:val="000000" w:themeColor="text1"/>
          <w:sz w:val="24"/>
          <w:szCs w:val="24"/>
          <w:highlight w:val="none"/>
          <w:lang w:eastAsia="zh-CN"/>
          <w14:textFill>
            <w14:solidFill>
              <w14:schemeClr w14:val="tx1"/>
            </w14:solidFill>
          </w14:textFill>
        </w:rPr>
        <w:t>总</w:t>
      </w:r>
      <w:r>
        <w:rPr>
          <w:rFonts w:hint="eastAsia" w:ascii="仿宋" w:hAnsi="仿宋" w:eastAsia="仿宋" w:cs="仿宋"/>
          <w:color w:val="000000" w:themeColor="text1"/>
          <w:sz w:val="24"/>
          <w:szCs w:val="24"/>
          <w:highlight w:val="none"/>
          <w14:textFill>
            <w14:solidFill>
              <w14:schemeClr w14:val="tx1"/>
            </w14:solidFill>
          </w14:textFill>
        </w:rPr>
        <w:t>金额5%的履约保证金</w:t>
      </w:r>
      <w:r>
        <w:rPr>
          <w:rFonts w:hint="eastAsia" w:ascii="仿宋" w:hAnsi="仿宋" w:eastAsia="仿宋" w:cs="仿宋"/>
          <w:color w:val="000000" w:themeColor="text1"/>
          <w:sz w:val="24"/>
          <w:szCs w:val="24"/>
          <w:highlight w:val="none"/>
          <w:lang w:eastAsia="zh-CN"/>
          <w14:textFill>
            <w14:solidFill>
              <w14:schemeClr w14:val="tx1"/>
            </w14:solidFill>
          </w14:textFill>
        </w:rPr>
        <w:t>即¥</w:t>
      </w:r>
      <w:r>
        <w:rPr>
          <w:rFonts w:hint="eastAsia" w:ascii="仿宋" w:hAnsi="仿宋" w:eastAsia="仿宋" w:cs="仿宋"/>
          <w:color w:val="000000" w:themeColor="text1"/>
          <w:sz w:val="24"/>
          <w:szCs w:val="24"/>
          <w:highlight w:val="none"/>
          <w:lang w:val="en-US" w:eastAsia="zh-CN"/>
          <w14:textFill>
            <w14:solidFill>
              <w14:schemeClr w14:val="tx1"/>
            </w14:solidFill>
          </w14:textFill>
        </w:rPr>
        <w:t>260,000.00（大写：贰拾陆万元整）</w:t>
      </w:r>
      <w:r>
        <w:rPr>
          <w:rFonts w:hint="eastAsia" w:ascii="仿宋" w:hAnsi="仿宋" w:eastAsia="仿宋" w:cs="仿宋"/>
          <w:color w:val="000000" w:themeColor="text1"/>
          <w:sz w:val="24"/>
          <w:szCs w:val="24"/>
          <w:highlight w:val="none"/>
          <w14:textFill>
            <w14:solidFill>
              <w14:schemeClr w14:val="tx1"/>
            </w14:solidFill>
          </w14:textFill>
        </w:rPr>
        <w:t>，履约保证金由甲方代管，</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待协议有效期结束后若无违约行为，60个日历天内退还。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付款方式：协议期内，投标人按向招标人提供并已消耗的医用耗材40%的金额，每半年开具合格的增值税发票。招标人在收到发票后60日历天内支付半年40%的货款。其余60%的货款，待招标方ISO15189经中国合格评定国家认可委员会（CNAS）现场正式评审通过后，投标人向招标人提供合格的增值税发票后7日内支付。</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六、配套试剂耗材采购目录</w:t>
      </w: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1、全自动模块式血液体液分析仪（血球流水线）血球分析配套试剂耗材采购目录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11"/>
        <w:gridCol w:w="3216"/>
        <w:gridCol w:w="1488"/>
        <w:gridCol w:w="1357"/>
        <w:gridCol w:w="2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配套试剂耗材</w:t>
            </w: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名称</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w:t>
            </w:r>
          </w:p>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相关参数信息</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血细胞计数及分类（CBC+DIFF)</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6.60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网织红细胞计数</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7.40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血液细胞质控品</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306.7</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血液细胞校准品</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1066.7</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清洗液</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16.8</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显微镜载玻片</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strike/>
                <w:dstrike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0.46</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浸油</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strike/>
                <w:dstrike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0.75</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超敏C反应蛋白测定试剂盒（抗体）</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测试用，包含试剂、质控品、校准品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9</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血清淀粉样蛋白A(SAA)测定试剂盒（抗体）</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15.00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包含试剂、质控品、校准品、稀释液、清洗液、反应杯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9071" w:type="dxa"/>
            <w:gridSpan w:val="5"/>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color w:val="000000" w:themeColor="text1"/>
                <w:highlight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1、</w:t>
            </w: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以上配套试剂耗材必须与所投设备全自动模块式血液体液分析仪（血球流水线）相匹配兼容，以保证结果的准确性和溯源性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2、全自动凝血分析仪（血凝流水线）配套试剂耗材目录</w:t>
      </w:r>
    </w:p>
    <w:tbl>
      <w:tblPr>
        <w:tblStyle w:val="22"/>
        <w:tblW w:w="907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46"/>
        <w:gridCol w:w="3806"/>
        <w:gridCol w:w="1987"/>
        <w:gridCol w:w="1169"/>
        <w:gridCol w:w="16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配套试剂耗材名称</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规格等相关参数</w:t>
            </w:r>
          </w:p>
        </w:tc>
        <w:tc>
          <w:tcPr>
            <w:tcW w:w="11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凝血酶原时间测定试剂盒(凝固法)PT</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活化部分凝血活酶时间测定试剂盒(凝固法)APTT</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（包含配套试剂）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凝血酶时间测定试剂盒(TT凝固法)</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纤维蛋白原测定试剂(凝固法)FIB</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2.60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（包含配套试剂）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D-二聚体测定试剂盒(免疫比浊法/带定标)DD</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纤维蛋白(原)降解产物测定试剂盒(免疫比浊法)FDP</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13.70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抗凝血酶Ⅲ测定试剂盒(发色底物法)ATⅢ</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12.75</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全自动血液凝固分析装置用反应杯</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个</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0.73</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定值质控血浆水平1</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定值质控血浆水平2</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定值质控血浆水平3</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通用标准血浆</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180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D二聚体质控高值</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D二聚体质控低值</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FDP质控品</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280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低浓度、高浓度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FDP校准品</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17</w:t>
            </w:r>
          </w:p>
        </w:tc>
        <w:tc>
          <w:tcPr>
            <w:tcW w:w="380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清洗液</w:t>
            </w:r>
          </w:p>
        </w:tc>
        <w:tc>
          <w:tcPr>
            <w:tcW w:w="1987"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升</w:t>
            </w:r>
          </w:p>
        </w:tc>
        <w:tc>
          <w:tcPr>
            <w:tcW w:w="1169"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840</w:t>
            </w:r>
          </w:p>
        </w:tc>
        <w:tc>
          <w:tcPr>
            <w:tcW w:w="1663"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9071" w:type="dxa"/>
            <w:gridSpan w:val="5"/>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eastAsia"/>
                <w:color w:val="000000" w:themeColor="text1"/>
                <w:highlight w:val="none"/>
                <w:lang w:val="en-US" w:eastAsia="zh-CN"/>
                <w14:textFill>
                  <w14:solidFill>
                    <w14:schemeClr w14:val="tx1"/>
                  </w14:solidFill>
                </w14:textFill>
              </w:rPr>
            </w:pP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1、配送服务期内如遇国家、云南省或丽江市对医用耗材采购政策变化时，采购人对集采试剂涉及的清洗液、质控品、校准液等按投标人进货单价进行采购（投标人需提供相关材料）。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以上配套试剂耗材必须与所投设备全自动凝血分析仪（血凝流水线）相匹配兼容，以保证结果的准确性和溯源性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color w:val="000000" w:themeColor="text1"/>
          <w:sz w:val="24"/>
          <w:szCs w:val="24"/>
          <w:highlight w:val="none"/>
          <w:lang w:val="en-US" w:eastAsia="zh-CN"/>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、全自动酶联免疫工作配套试剂耗材采购目录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450"/>
        <w:gridCol w:w="3746"/>
        <w:gridCol w:w="1609"/>
        <w:gridCol w:w="1709"/>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strike w:val="0"/>
                <w:dstrike w:val="0"/>
                <w:color w:val="000000" w:themeColor="text1"/>
                <w:kern w:val="0"/>
                <w:sz w:val="24"/>
                <w:szCs w:val="24"/>
                <w:highlight w:val="none"/>
                <w:u w:val="none"/>
                <w:lang w:val="en-US" w:eastAsia="zh-CN" w:bidi="ar"/>
                <w14:textFill>
                  <w14:solidFill>
                    <w14:schemeClr w14:val="tx1"/>
                  </w14:solidFill>
                </w14:textFill>
              </w:rPr>
              <w:t>配套试剂及</w:t>
            </w: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耗材名称</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规格型号等相关参数信息</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乙肝病毒表面抗原检测试剂盒（酶联免疫法）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0.62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乙肝病毒表面抗体检测试剂盒（酶联免疫法）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0.57</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乙型肝炎病毒e抗原检测试剂盒（酶联免疫法）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0.55</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乙型肝炎病毒e抗体检测试剂盒（酶联免疫法）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0.59</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乙肝病毒核心抗体检测试剂盒（酶联免疫法）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0.60</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乙型肝炎病毒核心抗体IgM检测试剂盒（酶联免疫法）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1.00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甲型肝炎病毒IgM抗体检测试剂盒（酶联免疫法）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1.63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戊型肝炎病毒IgM抗体检测试剂盒（酶联免疫法）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5.00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9</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人类免疫缺陷病毒抗体诊断试剂盒（酶联免疫法）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2.15</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10</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丙型肝炎病毒抗体检测试剂盒（酶联免疫法）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1.79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11</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梅毒螺旋体抗体诊断试剂盒（酶联免疫法）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1.13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丙型肝炎病毒抗体血清（液体）标准物质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0.5ml/支（0.5NCU/m1）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restar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color w:val="000000" w:themeColor="text1"/>
                <w:sz w:val="24"/>
                <w:szCs w:val="24"/>
                <w:highlight w:val="none"/>
                <w:u w:val="none"/>
                <w:lang w:val="en-US" w:eastAsia="zh-CN"/>
                <w14:textFill>
                  <w14:solidFill>
                    <w14:schemeClr w14:val="tx1"/>
                  </w14:solidFill>
                </w14:textFill>
              </w:rPr>
              <w:t>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梅毒螺旋体抗体（抗TP）血清（液体）标准物质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6mIU/m1 </w:t>
            </w:r>
            <w:r>
              <w:rPr>
                <w:rFonts w:hint="eastAsia"/>
                <w:color w:val="000000" w:themeColor="text1"/>
                <w:highlight w:val="none"/>
                <w:lang w:val="en-US" w:eastAsia="zh-CN"/>
                <w14:textFill>
                  <w14:solidFill>
                    <w14:schemeClr w14:val="tx1"/>
                  </w14:solidFill>
                </w14:textFill>
              </w:rPr>
              <w:t>）</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人类免疫缺陷病毒I型抗体血清标准物质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1.0ml/支</w:t>
            </w:r>
          </w:p>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（0.5NCU/m1）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90.16</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甲型肝炎病毒IgM抗体（HAV IgM）（液体）质控品（非定值）</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（2NCU/ml）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戊型肝炎IgM抗体血清（液体）标准物质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62.00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17</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乙型肝炎表面抗原血清（液体）标准物质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keepNext w:val="0"/>
              <w:keepLines w:val="0"/>
              <w:widowControl/>
              <w:suppressLineNumbers w:val="0"/>
              <w:jc w:val="center"/>
              <w:textAlignment w:val="bottom"/>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（30IU/ml）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18</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乙型肝炎核心抗体血清（液体）标准物质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（2IU/ml）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19</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乙型肝炎e抗体血清（液体）标准物质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（2NCU/ml）  </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乙型肝炎e抗原血清（液体）标准物质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（1NCU/ml ）</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乙型肝炎表面抗原（HBsAg）血清（液体）标准物质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0.5ml/支</w:t>
            </w:r>
          </w:p>
          <w:p>
            <w:pPr>
              <w:pStyle w:val="28"/>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0.5IU/ml</w:t>
            </w:r>
            <w:r>
              <w:rPr>
                <w:rFonts w:hint="eastAsia"/>
                <w:color w:val="000000" w:themeColor="text1"/>
                <w:highlight w:val="none"/>
                <w:lang w:val="en-US" w:eastAsia="zh-CN"/>
                <w14:textFill>
                  <w14:solidFill>
                    <w14:schemeClr w14:val="tx1"/>
                  </w14:solidFill>
                </w14:textFill>
              </w:rPr>
              <w:t>）</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22</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一次性吸头</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个</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0.51</w:t>
            </w:r>
          </w:p>
        </w:tc>
        <w:tc>
          <w:tcPr>
            <w:tcW w:w="1557" w:type="dxa"/>
            <w:shd w:val="clear" w:color="auto" w:fill="auto"/>
            <w:noWrap/>
            <w:tcMar>
              <w:top w:w="15" w:type="dxa"/>
              <w:left w:w="15" w:type="dxa"/>
              <w:right w:w="15" w:type="dxa"/>
            </w:tcMar>
            <w:vAlign w:val="center"/>
          </w:tcPr>
          <w:p>
            <w:pP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23</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系统维护液</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4.13</w:t>
            </w:r>
          </w:p>
        </w:tc>
        <w:tc>
          <w:tcPr>
            <w:tcW w:w="1557" w:type="dxa"/>
            <w:shd w:val="clear" w:color="auto" w:fill="auto"/>
            <w:noWrap/>
            <w:tcMar>
              <w:top w:w="15" w:type="dxa"/>
              <w:left w:w="15" w:type="dxa"/>
              <w:right w:w="15" w:type="dxa"/>
            </w:tcMar>
            <w:vAlign w:val="center"/>
          </w:tcPr>
          <w:p>
            <w:pP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9071" w:type="dxa"/>
            <w:gridSpan w:val="5"/>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color w:val="000000" w:themeColor="text1"/>
                <w:highlight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1、</w:t>
            </w: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配送服务期内如遇国家、云南省或丽江市对医用耗材采购政策变化时，采购人对集采试剂涉及的清洗液、质控品、校准液等按投标人进货单价进行采购（投标人需提供相关材料）</w:t>
            </w: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w:t>
            </w:r>
          </w:p>
          <w:p>
            <w:pP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以上配套试剂耗材必须与所投设备全自动酶联免疫工作站相匹配兼容，以保证结果的准确性和溯源性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color w:val="000000" w:themeColor="text1"/>
          <w:sz w:val="24"/>
          <w:szCs w:val="24"/>
          <w:highlight w:val="none"/>
          <w:lang w:val="en-US" w:eastAsia="zh-CN"/>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全自动模块式血液体液分析仪（血球流水线）血球分析配套试剂耗材采购目录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50"/>
        <w:gridCol w:w="4587"/>
        <w:gridCol w:w="1694"/>
        <w:gridCol w:w="1144"/>
        <w:gridCol w:w="11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tcBorders>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4587"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医用耗材名称</w:t>
            </w:r>
          </w:p>
        </w:tc>
        <w:tc>
          <w:tcPr>
            <w:tcW w:w="1694"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规格等相关参数信息</w:t>
            </w:r>
          </w:p>
        </w:tc>
        <w:tc>
          <w:tcPr>
            <w:tcW w:w="1144"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196" w:type="dxa"/>
            <w:tcBorders>
              <w:left w:val="single" w:color="000000" w:sz="4" w:space="0"/>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61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抗角蛋白抗体（简接免疫荧光法）AKA</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抗角蛋白抗体（简接免疫荧光法）AKA</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抗环瓜氨酸肽IgG检测试剂盒（酶联免疫法）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15.60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抗核抗体检测试剂盒（荧光法）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抗核抗体谱检测试剂盒（免疫蛋白印迹法）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血管炎自身抗体谱检测试剂盒</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9071" w:type="dxa"/>
            <w:gridSpan w:val="5"/>
            <w:tcBorders>
              <w:top w:val="nil"/>
            </w:tcBorders>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1、配送服务期内如遇国家、云南省或丽江市对医用耗材采购政策变化时，采购人对集采试剂涉及的清洗液、质控品、校准液等按投标人进货单价进行采购（投标人需提供相关材料）。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以上配套试剂耗材必须与所投设备全自动免疫印迹仪相匹配兼容，以保证结果的准确性和溯源性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备注：（1）分项报价表中响应单价不得高于配套试剂耗材采购目录中的采购预算单价，否则视为无效报价。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（2）采购目录内所有耗材响应单价不得高于采购预算单价及云南省医用耗材集中采购平台耗材阳光采购挂网价格（若有），否则视为无效报价。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（3）投标人设备配套试剂耗材投标报价下浮率必须在医院采购预算单价的基础上统一下浮＞1%(不包含1%，须为1以上的整数)，否则视为无效报价。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t>七、服务质量考核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招标人每半年对乙方进行一次评价（见附件一），评价分未达到90分的给予警告，并要求一个月内整改，整改期满后评价仍未达到90分的，甲方有权解除协议。</w:t>
      </w:r>
    </w:p>
    <w:p>
      <w:pPr>
        <w:bidi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黑体" w:hAnsi="黑体" w:eastAsia="黑体" w:cs="黑体"/>
          <w:b/>
          <w:bCs/>
          <w:color w:val="000000" w:themeColor="text1"/>
          <w:szCs w:val="36"/>
          <w:highlight w:val="none"/>
          <w14:textFill>
            <w14:solidFill>
              <w14:schemeClr w14:val="tx1"/>
            </w14:solidFill>
          </w14:textFill>
        </w:rPr>
        <w:br w:type="page"/>
      </w:r>
      <w:r>
        <w:rPr>
          <w:rFonts w:hint="eastAsia" w:ascii="仿宋" w:hAnsi="仿宋" w:eastAsia="仿宋" w:cs="仿宋"/>
          <w:b/>
          <w:bCs/>
          <w:color w:val="000000" w:themeColor="text1"/>
          <w:sz w:val="24"/>
          <w:szCs w:val="24"/>
          <w:highlight w:val="none"/>
          <w14:textFill>
            <w14:solidFill>
              <w14:schemeClr w14:val="tx1"/>
            </w14:solidFill>
          </w14:textFill>
        </w:rPr>
        <w:t>附件</w:t>
      </w:r>
      <w:r>
        <w:rPr>
          <w:rFonts w:hint="eastAsia" w:ascii="仿宋" w:hAnsi="仿宋" w:eastAsia="仿宋" w:cs="仿宋"/>
          <w:b/>
          <w:bCs/>
          <w:color w:val="000000" w:themeColor="text1"/>
          <w:sz w:val="24"/>
          <w:szCs w:val="24"/>
          <w:highlight w:val="none"/>
          <w:lang w:eastAsia="zh-CN"/>
          <w14:textFill>
            <w14:solidFill>
              <w14:schemeClr w14:val="tx1"/>
            </w14:solidFill>
          </w14:textFill>
        </w:rPr>
        <w:t>一</w:t>
      </w:r>
      <w:r>
        <w:rPr>
          <w:rFonts w:hint="eastAsia" w:ascii="仿宋" w:hAnsi="仿宋" w:eastAsia="仿宋" w:cs="仿宋"/>
          <w:b/>
          <w:bCs/>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lang w:eastAsia="zh-CN"/>
          <w14:textFill>
            <w14:solidFill>
              <w14:schemeClr w14:val="tx1"/>
            </w14:solidFill>
          </w14:textFill>
        </w:rPr>
        <w:t>供应商满意度评价表</w:t>
      </w:r>
    </w:p>
    <w:p>
      <w:pPr>
        <w:bidi w:val="0"/>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丽江市人民医院供应商考核评价表</w:t>
      </w:r>
    </w:p>
    <w:tbl>
      <w:tblPr>
        <w:tblStyle w:val="23"/>
        <w:tblW w:w="9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2835"/>
        <w:gridCol w:w="283"/>
        <w:gridCol w:w="1701"/>
        <w:gridCol w:w="1758"/>
        <w:gridCol w:w="1247"/>
        <w:gridCol w:w="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9803" w:type="dxa"/>
            <w:gridSpan w:val="7"/>
            <w:noWrap w:val="0"/>
            <w:vAlign w:val="center"/>
          </w:tcPr>
          <w:p>
            <w:pPr>
              <w:jc w:val="left"/>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1250"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单位名称</w:t>
            </w:r>
          </w:p>
        </w:tc>
        <w:tc>
          <w:tcPr>
            <w:tcW w:w="3118" w:type="dxa"/>
            <w:gridSpan w:val="2"/>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丽江市人民医院</w:t>
            </w:r>
          </w:p>
        </w:tc>
        <w:tc>
          <w:tcPr>
            <w:tcW w:w="1701"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部门</w:t>
            </w:r>
          </w:p>
        </w:tc>
        <w:tc>
          <w:tcPr>
            <w:tcW w:w="3734" w:type="dxa"/>
            <w:gridSpan w:val="3"/>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1250"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w:t>
            </w:r>
          </w:p>
        </w:tc>
        <w:tc>
          <w:tcPr>
            <w:tcW w:w="3118" w:type="dxa"/>
            <w:gridSpan w:val="2"/>
            <w:noWrap w:val="0"/>
            <w:vAlign w:val="center"/>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1701" w:type="dxa"/>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提供</w:t>
            </w:r>
            <w:r>
              <w:rPr>
                <w:rFonts w:hint="eastAsia" w:ascii="仿宋" w:hAnsi="仿宋" w:eastAsia="仿宋" w:cs="仿宋"/>
                <w:color w:val="000000" w:themeColor="text1"/>
                <w:sz w:val="24"/>
                <w:szCs w:val="24"/>
                <w:highlight w:val="none"/>
                <w:lang w:eastAsia="zh-CN"/>
                <w14:textFill>
                  <w14:solidFill>
                    <w14:schemeClr w14:val="tx1"/>
                  </w14:solidFill>
                </w14:textFill>
              </w:rPr>
              <w:t>耗材</w:t>
            </w:r>
          </w:p>
        </w:tc>
        <w:tc>
          <w:tcPr>
            <w:tcW w:w="3734" w:type="dxa"/>
            <w:gridSpan w:val="3"/>
            <w:noWrap w:val="0"/>
            <w:vAlign w:val="center"/>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9"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产品质量和使用方面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产品</w:t>
            </w:r>
            <w:r>
              <w:rPr>
                <w:rFonts w:hint="eastAsia" w:ascii="仿宋" w:hAnsi="仿宋" w:eastAsia="仿宋" w:cs="仿宋"/>
                <w:color w:val="000000" w:themeColor="text1"/>
                <w:sz w:val="24"/>
                <w:szCs w:val="24"/>
                <w:highlight w:val="none"/>
                <w14:textFill>
                  <w14:solidFill>
                    <w14:schemeClr w14:val="tx1"/>
                  </w14:solidFill>
                </w14:textFill>
              </w:rPr>
              <w:t>（品牌、规格、</w:t>
            </w:r>
            <w:r>
              <w:rPr>
                <w:rFonts w:hint="eastAsia" w:ascii="仿宋" w:hAnsi="仿宋" w:eastAsia="仿宋" w:cs="仿宋"/>
                <w:color w:val="000000" w:themeColor="text1"/>
                <w:sz w:val="24"/>
                <w:szCs w:val="24"/>
                <w:highlight w:val="none"/>
                <w:lang w:eastAsia="zh-CN"/>
                <w14:textFill>
                  <w14:solidFill>
                    <w14:schemeClr w14:val="tx1"/>
                  </w14:solidFill>
                </w14:textFill>
              </w:rPr>
              <w:t>生产</w:t>
            </w:r>
            <w:r>
              <w:rPr>
                <w:rFonts w:hint="eastAsia" w:ascii="仿宋" w:hAnsi="仿宋" w:eastAsia="仿宋" w:cs="仿宋"/>
                <w:color w:val="000000" w:themeColor="text1"/>
                <w:sz w:val="24"/>
                <w:szCs w:val="24"/>
                <w:highlight w:val="none"/>
                <w14:textFill>
                  <w14:solidFill>
                    <w14:schemeClr w14:val="tx1"/>
                  </w14:solidFill>
                </w14:textFill>
              </w:rPr>
              <w:t>厂家</w:t>
            </w:r>
            <w:r>
              <w:rPr>
                <w:rFonts w:hint="eastAsia" w:ascii="仿宋" w:hAnsi="仿宋" w:eastAsia="仿宋" w:cs="仿宋"/>
                <w:color w:val="000000" w:themeColor="text1"/>
                <w:sz w:val="24"/>
                <w:szCs w:val="24"/>
                <w:highlight w:val="none"/>
                <w:lang w:eastAsia="zh-CN"/>
                <w14:textFill>
                  <w14:solidFill>
                    <w14:schemeClr w14:val="tx1"/>
                  </w14:solidFill>
                </w14:textFill>
              </w:rPr>
              <w:t>等</w:t>
            </w:r>
            <w:r>
              <w:rPr>
                <w:rFonts w:hint="eastAsia" w:ascii="仿宋" w:hAnsi="仿宋" w:eastAsia="仿宋" w:cs="仿宋"/>
                <w:color w:val="000000" w:themeColor="text1"/>
                <w:sz w:val="24"/>
                <w:szCs w:val="24"/>
                <w:highlight w:val="none"/>
                <w14:textFill>
                  <w14:solidFill>
                    <w14:schemeClr w14:val="tx1"/>
                  </w14:solidFill>
                </w14:textFill>
              </w:rPr>
              <w:t>）符合</w:t>
            </w:r>
            <w:r>
              <w:rPr>
                <w:rFonts w:hint="eastAsia" w:ascii="仿宋" w:hAnsi="仿宋" w:eastAsia="仿宋" w:cs="仿宋"/>
                <w:color w:val="000000" w:themeColor="text1"/>
                <w:sz w:val="24"/>
                <w:szCs w:val="24"/>
                <w:highlight w:val="none"/>
                <w:lang w:eastAsia="zh-CN"/>
                <w14:textFill>
                  <w14:solidFill>
                    <w14:schemeClr w14:val="tx1"/>
                  </w14:solidFill>
                </w14:textFill>
              </w:rPr>
              <w:t>协议约定内容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出现</w:t>
            </w:r>
            <w:r>
              <w:rPr>
                <w:rFonts w:hint="eastAsia" w:ascii="仿宋" w:hAnsi="仿宋" w:eastAsia="仿宋" w:cs="仿宋"/>
                <w:color w:val="000000" w:themeColor="text1"/>
                <w:sz w:val="24"/>
                <w:szCs w:val="24"/>
                <w:highlight w:val="none"/>
                <w:lang w:eastAsia="zh-CN"/>
                <w14:textFill>
                  <w14:solidFill>
                    <w14:schemeClr w14:val="tx1"/>
                  </w14:solidFill>
                </w14:textFill>
              </w:rPr>
              <w:t>产品不符合协议约定内容，发现一次</w:t>
            </w:r>
            <w:r>
              <w:rPr>
                <w:rFonts w:hint="eastAsia" w:ascii="仿宋" w:hAnsi="仿宋" w:eastAsia="仿宋" w:cs="仿宋"/>
                <w:color w:val="000000" w:themeColor="text1"/>
                <w:sz w:val="24"/>
                <w:szCs w:val="24"/>
                <w:highlight w:val="none"/>
                <w14:textFill>
                  <w14:solidFill>
                    <w14:schemeClr w14:val="tx1"/>
                  </w14:solidFill>
                </w14:textFill>
              </w:rPr>
              <w:t>扣5分，扣完为止</w:t>
            </w:r>
          </w:p>
        </w:tc>
        <w:tc>
          <w:tcPr>
            <w:tcW w:w="1247" w:type="dxa"/>
            <w:tcBorders>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729" w:type="dxa"/>
            <w:tcBorders>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2"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产品合格证、效期等质量符合协议要求</w:t>
            </w:r>
          </w:p>
        </w:tc>
        <w:tc>
          <w:tcPr>
            <w:tcW w:w="3742" w:type="dxa"/>
            <w:gridSpan w:val="3"/>
            <w:tcBorders>
              <w:top w:val="single" w:color="auto" w:sz="4" w:space="0"/>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出现质量不符合协议要求</w:t>
            </w:r>
            <w:r>
              <w:rPr>
                <w:rFonts w:hint="eastAsia" w:ascii="仿宋" w:hAnsi="仿宋" w:eastAsia="仿宋" w:cs="仿宋"/>
                <w:color w:val="000000" w:themeColor="text1"/>
                <w:sz w:val="24"/>
                <w:szCs w:val="24"/>
                <w:highlight w:val="none"/>
                <w14:textFill>
                  <w14:solidFill>
                    <w14:schemeClr w14:val="tx1"/>
                  </w14:solidFill>
                </w14:textFill>
              </w:rPr>
              <w:t>，发现一次扣5分，扣完为止</w:t>
            </w:r>
          </w:p>
        </w:tc>
        <w:tc>
          <w:tcPr>
            <w:tcW w:w="1247" w:type="dxa"/>
            <w:tcBorders>
              <w:top w:val="single" w:color="auto" w:sz="4" w:space="0"/>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top w:val="single" w:color="auto" w:sz="4" w:space="0"/>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产品运输过程无短、</w:t>
            </w:r>
            <w:r>
              <w:rPr>
                <w:rFonts w:hint="eastAsia" w:ascii="仿宋" w:hAnsi="仿宋" w:eastAsia="仿宋" w:cs="仿宋"/>
                <w:color w:val="000000" w:themeColor="text1"/>
                <w:sz w:val="24"/>
                <w:szCs w:val="24"/>
                <w:highlight w:val="none"/>
                <w14:textFill>
                  <w14:solidFill>
                    <w14:schemeClr w14:val="tx1"/>
                  </w14:solidFill>
                </w14:textFill>
              </w:rPr>
              <w:t>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损现象</w:t>
            </w:r>
          </w:p>
        </w:tc>
        <w:tc>
          <w:tcPr>
            <w:tcW w:w="3742" w:type="dxa"/>
            <w:gridSpan w:val="3"/>
            <w:tcBorders>
              <w:top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验收时每发现一次</w:t>
            </w:r>
            <w:r>
              <w:rPr>
                <w:rFonts w:hint="eastAsia" w:ascii="仿宋" w:hAnsi="仿宋" w:eastAsia="仿宋" w:cs="仿宋"/>
                <w:color w:val="000000" w:themeColor="text1"/>
                <w:sz w:val="24"/>
                <w:szCs w:val="24"/>
                <w:highlight w:val="none"/>
                <w:lang w:eastAsia="zh-CN"/>
                <w14:textFill>
                  <w14:solidFill>
                    <w14:schemeClr w14:val="tx1"/>
                  </w14:solidFill>
                </w14:textFill>
              </w:rPr>
              <w:t>短、缺、损</w:t>
            </w:r>
            <w:r>
              <w:rPr>
                <w:rFonts w:hint="eastAsia" w:ascii="仿宋" w:hAnsi="仿宋" w:eastAsia="仿宋" w:cs="仿宋"/>
                <w:color w:val="000000" w:themeColor="text1"/>
                <w:sz w:val="24"/>
                <w:szCs w:val="24"/>
                <w:highlight w:val="none"/>
                <w14:textFill>
                  <w14:solidFill>
                    <w14:schemeClr w14:val="tx1"/>
                  </w14:solidFill>
                </w14:textFill>
              </w:rPr>
              <w:t>情况扣2分，扣完为止</w:t>
            </w:r>
          </w:p>
        </w:tc>
        <w:tc>
          <w:tcPr>
            <w:tcW w:w="1247" w:type="dxa"/>
            <w:tcBorders>
              <w:top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top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0"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配送数量与订单相符</w:t>
            </w:r>
            <w:r>
              <w:rPr>
                <w:rFonts w:hint="eastAsia" w:ascii="仿宋" w:hAnsi="仿宋" w:eastAsia="仿宋" w:cs="仿宋"/>
                <w:color w:val="000000" w:themeColor="text1"/>
                <w:sz w:val="24"/>
                <w:szCs w:val="24"/>
                <w:highlight w:val="none"/>
                <w14:textFill>
                  <w14:solidFill>
                    <w14:schemeClr w14:val="tx1"/>
                  </w14:solidFill>
                </w14:textFill>
              </w:rPr>
              <w:t>、批号统一</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未按要求配送到位的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每批次货物</w:t>
            </w:r>
            <w:r>
              <w:rPr>
                <w:rFonts w:hint="eastAsia" w:ascii="仿宋" w:hAnsi="仿宋" w:eastAsia="仿宋" w:cs="仿宋"/>
                <w:color w:val="000000" w:themeColor="text1"/>
                <w:sz w:val="24"/>
                <w:szCs w:val="24"/>
                <w:highlight w:val="none"/>
                <w:lang w:eastAsia="zh-CN"/>
                <w14:textFill>
                  <w14:solidFill>
                    <w14:schemeClr w14:val="tx1"/>
                  </w14:solidFill>
                </w14:textFill>
              </w:rPr>
              <w:t>与</w:t>
            </w:r>
            <w:r>
              <w:rPr>
                <w:rFonts w:hint="eastAsia" w:ascii="仿宋" w:hAnsi="仿宋" w:eastAsia="仿宋" w:cs="仿宋"/>
                <w:color w:val="000000" w:themeColor="text1"/>
                <w:sz w:val="24"/>
                <w:szCs w:val="24"/>
                <w:highlight w:val="none"/>
                <w14:textFill>
                  <w14:solidFill>
                    <w14:schemeClr w14:val="tx1"/>
                  </w14:solidFill>
                </w14:textFill>
              </w:rPr>
              <w:t>批号不一致扣5分，扣完为止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2"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产品符合其他相关要求</w:t>
            </w:r>
          </w:p>
        </w:tc>
        <w:tc>
          <w:tcPr>
            <w:tcW w:w="3742" w:type="dxa"/>
            <w:gridSpan w:val="3"/>
            <w:tcBorders>
              <w:top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出现产品不符合相关要求，发现</w:t>
            </w:r>
            <w:r>
              <w:rPr>
                <w:rFonts w:hint="eastAsia" w:ascii="仿宋" w:hAnsi="仿宋" w:eastAsia="仿宋" w:cs="仿宋"/>
                <w:color w:val="000000" w:themeColor="text1"/>
                <w:sz w:val="24"/>
                <w:szCs w:val="24"/>
                <w:highlight w:val="none"/>
                <w14:textFill>
                  <w14:solidFill>
                    <w14:schemeClr w14:val="tx1"/>
                  </w14:solidFill>
                </w14:textFill>
              </w:rPr>
              <w:t>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分，扣完为止</w:t>
            </w:r>
          </w:p>
        </w:tc>
        <w:tc>
          <w:tcPr>
            <w:tcW w:w="1247" w:type="dxa"/>
            <w:tcBorders>
              <w:top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729" w:type="dxa"/>
            <w:tcBorders>
              <w:top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1"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服务评价方面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1、按甲方要求</w:t>
            </w:r>
            <w:r>
              <w:rPr>
                <w:rFonts w:hint="eastAsia" w:ascii="仿宋" w:hAnsi="仿宋" w:eastAsia="仿宋" w:cs="仿宋"/>
                <w:color w:val="000000" w:themeColor="text1"/>
                <w:sz w:val="24"/>
                <w:szCs w:val="24"/>
                <w:highlight w:val="none"/>
                <w:lang w:eastAsia="zh-CN"/>
                <w14:textFill>
                  <w14:solidFill>
                    <w14:schemeClr w14:val="tx1"/>
                  </w14:solidFill>
                </w14:textFill>
              </w:rPr>
              <w:t>进行相关指导及培训</w:t>
            </w:r>
          </w:p>
        </w:tc>
        <w:tc>
          <w:tcPr>
            <w:tcW w:w="3742" w:type="dxa"/>
            <w:gridSpan w:val="3"/>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未按协议要求</w:t>
            </w:r>
            <w:r>
              <w:rPr>
                <w:rFonts w:hint="eastAsia" w:ascii="仿宋" w:hAnsi="仿宋" w:eastAsia="仿宋" w:cs="仿宋"/>
                <w:color w:val="000000" w:themeColor="text1"/>
                <w:sz w:val="24"/>
                <w:szCs w:val="24"/>
                <w:highlight w:val="none"/>
                <w:lang w:eastAsia="zh-CN"/>
                <w14:textFill>
                  <w14:solidFill>
                    <w14:schemeClr w14:val="tx1"/>
                  </w14:solidFill>
                </w14:textFill>
              </w:rPr>
              <w:t>进行培训、指导</w:t>
            </w:r>
            <w:r>
              <w:rPr>
                <w:rFonts w:hint="eastAsia" w:ascii="仿宋" w:hAnsi="仿宋" w:eastAsia="仿宋" w:cs="仿宋"/>
                <w:color w:val="000000" w:themeColor="text1"/>
                <w:sz w:val="24"/>
                <w:szCs w:val="24"/>
                <w:highlight w:val="none"/>
                <w14:textFill>
                  <w14:solidFill>
                    <w14:schemeClr w14:val="tx1"/>
                  </w14:solidFill>
                </w14:textFill>
              </w:rPr>
              <w:t>，出现一次扣5分，扣完为止</w:t>
            </w:r>
          </w:p>
        </w:tc>
        <w:tc>
          <w:tcPr>
            <w:tcW w:w="1247" w:type="dxa"/>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29"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2、应急事件中，供应商与</w:t>
            </w:r>
            <w:r>
              <w:rPr>
                <w:rFonts w:hint="eastAsia" w:ascii="仿宋" w:hAnsi="仿宋" w:eastAsia="仿宋" w:cs="仿宋"/>
                <w:color w:val="000000" w:themeColor="text1"/>
                <w:sz w:val="24"/>
                <w:szCs w:val="24"/>
                <w:highlight w:val="none"/>
                <w:lang w:eastAsia="zh-CN"/>
                <w14:textFill>
                  <w14:solidFill>
                    <w14:schemeClr w14:val="tx1"/>
                  </w14:solidFill>
                </w14:textFill>
              </w:rPr>
              <w:t>医院、</w:t>
            </w:r>
            <w:r>
              <w:rPr>
                <w:rFonts w:hint="eastAsia" w:ascii="仿宋" w:hAnsi="仿宋" w:eastAsia="仿宋" w:cs="仿宋"/>
                <w:color w:val="000000" w:themeColor="text1"/>
                <w:sz w:val="24"/>
                <w:szCs w:val="24"/>
                <w:highlight w:val="none"/>
                <w14:textFill>
                  <w14:solidFill>
                    <w14:schemeClr w14:val="tx1"/>
                  </w14:solidFill>
                </w14:textFill>
              </w:rPr>
              <w:t>科室的配合程度</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出现问题</w:t>
            </w:r>
            <w:r>
              <w:rPr>
                <w:rFonts w:hint="eastAsia" w:ascii="仿宋" w:hAnsi="仿宋" w:eastAsia="仿宋" w:cs="仿宋"/>
                <w:color w:val="000000" w:themeColor="text1"/>
                <w:sz w:val="24"/>
                <w:szCs w:val="24"/>
                <w:highlight w:val="none"/>
                <w:lang w:eastAsia="zh-CN"/>
                <w14:textFill>
                  <w14:solidFill>
                    <w14:schemeClr w14:val="tx1"/>
                  </w14:solidFill>
                </w14:textFill>
              </w:rPr>
              <w:t>不配合</w:t>
            </w:r>
            <w:r>
              <w:rPr>
                <w:rFonts w:hint="eastAsia" w:ascii="仿宋" w:hAnsi="仿宋" w:eastAsia="仿宋" w:cs="仿宋"/>
                <w:color w:val="000000" w:themeColor="text1"/>
                <w:sz w:val="24"/>
                <w:szCs w:val="24"/>
                <w:highlight w:val="none"/>
                <w14:textFill>
                  <w14:solidFill>
                    <w14:schemeClr w14:val="tx1"/>
                  </w14:solidFill>
                </w14:textFill>
              </w:rPr>
              <w:t>一次扣2分，扣完为止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、与使用科室工作沟通、对接及时</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沟通工作不及时有拖沓、推诿情况的，出现一次扣5分，扣完为止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4、及时供货、按需备货</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未及时供货，出现一次扣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5、所供货物符合相关规范</w:t>
            </w:r>
            <w:r>
              <w:rPr>
                <w:rFonts w:hint="eastAsia" w:ascii="仿宋" w:hAnsi="仿宋" w:eastAsia="仿宋" w:cs="仿宋"/>
                <w:color w:val="000000" w:themeColor="text1"/>
                <w:sz w:val="24"/>
                <w:szCs w:val="24"/>
                <w:highlight w:val="none"/>
                <w:lang w:val="en-US" w:eastAsia="zh-CN"/>
                <w14:textFill>
                  <w14:solidFill>
                    <w14:schemeClr w14:val="tx1"/>
                  </w14:solidFill>
                </w14:textFill>
              </w:rPr>
              <w:t>,退换货及时</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未及时退换货，出现</w:t>
            </w:r>
            <w:r>
              <w:rPr>
                <w:rFonts w:hint="eastAsia" w:ascii="仿宋" w:hAnsi="仿宋" w:eastAsia="仿宋" w:cs="仿宋"/>
                <w:color w:val="000000" w:themeColor="text1"/>
                <w:sz w:val="24"/>
                <w:szCs w:val="24"/>
                <w:highlight w:val="none"/>
                <w14:textFill>
                  <w14:solidFill>
                    <w14:schemeClr w14:val="tx1"/>
                  </w14:solidFill>
                </w14:textFill>
              </w:rPr>
              <w:t>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9803" w:type="dxa"/>
            <w:gridSpan w:val="7"/>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3"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对产品、服务及供应商的意见或建议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96" w:hRule="atLeast"/>
          <w:jc w:val="center"/>
        </w:trPr>
        <w:tc>
          <w:tcPr>
            <w:tcW w:w="9803" w:type="dxa"/>
            <w:gridSpan w:val="7"/>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tc>
      </w:tr>
    </w:tbl>
    <w:p>
      <w:pPr>
        <w:spacing w:line="360" w:lineRule="auto"/>
        <w:ind w:right="72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ind w:right="720"/>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评价人：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年  </w:t>
      </w:r>
      <w:r>
        <w:rPr>
          <w:rFonts w:hint="eastAsia" w:ascii="仿宋" w:hAnsi="仿宋" w:eastAsia="仿宋" w:cs="仿宋"/>
          <w:color w:val="000000" w:themeColor="text1"/>
          <w:sz w:val="24"/>
          <w:szCs w:val="24"/>
          <w:highlight w:val="none"/>
          <w14:textFill>
            <w14:solidFill>
              <w14:schemeClr w14:val="tx1"/>
            </w14:solidFill>
          </w14:textFill>
        </w:rPr>
        <w:t xml:space="preserve"> 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日</w:t>
      </w:r>
    </w:p>
    <w:p>
      <w:pPr>
        <w:pStyle w:val="5"/>
        <w:bidi w:val="0"/>
        <w:spacing w:line="360" w:lineRule="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br w:type="page"/>
      </w:r>
      <w:bookmarkStart w:id="727" w:name="_Toc12400"/>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三、整体项目</w:t>
      </w:r>
      <w:r>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t>ISO15189医学实验室认可咨询及指导服务要求</w:t>
      </w:r>
      <w:bookmarkEnd w:id="727"/>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一、</w:t>
      </w:r>
      <w:r>
        <w:rPr>
          <w:rFonts w:hint="eastAsia" w:ascii="仿宋" w:hAnsi="仿宋" w:eastAsia="仿宋" w:cs="仿宋"/>
          <w:b/>
          <w:color w:val="000000" w:themeColor="text1"/>
          <w:sz w:val="24"/>
          <w:szCs w:val="24"/>
          <w:highlight w:val="none"/>
          <w14:textFill>
            <w14:solidFill>
              <w14:schemeClr w14:val="tx1"/>
            </w14:solidFill>
          </w14:textFill>
        </w:rPr>
        <w:t>总体要求</w:t>
      </w:r>
    </w:p>
    <w:p>
      <w:pPr>
        <w:pStyle w:val="14"/>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医学实验室认可适用准则为ISO15189，</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bCs/>
          <w:color w:val="000000" w:themeColor="text1"/>
          <w:sz w:val="24"/>
          <w:szCs w:val="24"/>
          <w:highlight w:val="none"/>
          <w14:textFill>
            <w14:solidFill>
              <w14:schemeClr w14:val="tx1"/>
            </w14:solidFill>
          </w14:textFill>
        </w:rPr>
        <w:t>应以此为要点指导检验科完成认可工作。制定相应的工作方案，指导并协助完成每个阶段的具体工作，确保检验科每个专业组知晓工作内容，并按计划的进度及时推进每项具体工作，保证如期通过 ISO15189 实验室认可，取得认可资格。指导、协助检验科完成组织结构策划、人员培训、资质确认和文件编制工作，指导检验科完成设备的校准、检测系统性能验证工作，组织试运行、内审、管理评审，组织相关专家进行预评审和协调通过中国合格评定国家认可委员会（CNAS）现场评审。</w:t>
      </w:r>
    </w:p>
    <w:p>
      <w:pPr>
        <w:pStyle w:val="14"/>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二、</w:t>
      </w:r>
      <w:r>
        <w:rPr>
          <w:rFonts w:hint="eastAsia" w:ascii="仿宋" w:hAnsi="仿宋" w:eastAsia="仿宋" w:cs="仿宋"/>
          <w:b/>
          <w:color w:val="000000" w:themeColor="text1"/>
          <w:sz w:val="24"/>
          <w:szCs w:val="24"/>
          <w:highlight w:val="none"/>
          <w14:textFill>
            <w14:solidFill>
              <w14:schemeClr w14:val="tx1"/>
            </w14:solidFill>
          </w14:textFill>
        </w:rPr>
        <w:t>具体项目要求</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Cs/>
          <w:color w:val="000000" w:themeColor="text1"/>
          <w:sz w:val="24"/>
          <w:szCs w:val="24"/>
          <w:highlight w:val="none"/>
          <w14:textFill>
            <w14:solidFill>
              <w14:schemeClr w14:val="tx1"/>
            </w14:solidFill>
          </w14:textFill>
        </w:rPr>
        <w:t>制定全程的工作计划,确保计划系统、合理、可执行。</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Cs/>
          <w:color w:val="000000" w:themeColor="text1"/>
          <w:sz w:val="24"/>
          <w:szCs w:val="24"/>
          <w:highlight w:val="none"/>
          <w14:textFill>
            <w14:solidFill>
              <w14:schemeClr w14:val="tx1"/>
            </w14:solidFill>
          </w14:textFill>
        </w:rPr>
        <w:t>提供可便于全员进行认可准则条款学习、参考、解读与自查的软件工具。</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提供软件工具清单及软件工具清单的详细功能参数说明</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Cs/>
          <w:color w:val="000000" w:themeColor="text1"/>
          <w:sz w:val="24"/>
          <w:szCs w:val="24"/>
          <w:highlight w:val="none"/>
          <w14:textFill>
            <w14:solidFill>
              <w14:schemeClr w14:val="tx1"/>
            </w14:solidFill>
          </w14:textFill>
        </w:rPr>
        <w:t>协助进行全体动员，确保实验室认可工作能深入到每一个层次和每一位工作人员，真正实现全员参与。</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Cs/>
          <w:color w:val="000000" w:themeColor="text1"/>
          <w:sz w:val="24"/>
          <w:szCs w:val="24"/>
          <w:highlight w:val="none"/>
          <w14:textFill>
            <w14:solidFill>
              <w14:schemeClr w14:val="tx1"/>
            </w14:solidFill>
          </w14:textFill>
        </w:rPr>
        <w:t>邀请CNAS主任评审员进行</w:t>
      </w:r>
      <w:r>
        <w:rPr>
          <w:rFonts w:hint="eastAsia" w:ascii="仿宋" w:hAnsi="仿宋" w:eastAsia="仿宋" w:cs="仿宋"/>
          <w:color w:val="000000" w:themeColor="text1"/>
          <w:kern w:val="0"/>
          <w:sz w:val="24"/>
          <w:szCs w:val="24"/>
          <w:highlight w:val="none"/>
          <w14:textFill>
            <w14:solidFill>
              <w14:schemeClr w14:val="tx1"/>
            </w14:solidFill>
          </w14:textFill>
        </w:rPr>
        <w:t>ISO15189</w:t>
      </w:r>
      <w:r>
        <w:rPr>
          <w:rFonts w:hint="eastAsia" w:ascii="仿宋" w:hAnsi="仿宋" w:eastAsia="仿宋" w:cs="仿宋"/>
          <w:bCs/>
          <w:color w:val="000000" w:themeColor="text1"/>
          <w:sz w:val="24"/>
          <w:szCs w:val="24"/>
          <w:highlight w:val="none"/>
          <w14:textFill>
            <w14:solidFill>
              <w14:schemeClr w14:val="tx1"/>
            </w14:solidFill>
          </w14:textFill>
        </w:rPr>
        <w:t>认可相关工作准备的培训和技术指导，使其全面了解</w:t>
      </w:r>
      <w:r>
        <w:rPr>
          <w:rFonts w:hint="eastAsia" w:ascii="仿宋" w:hAnsi="仿宋" w:eastAsia="仿宋" w:cs="仿宋"/>
          <w:color w:val="000000" w:themeColor="text1"/>
          <w:kern w:val="0"/>
          <w:sz w:val="24"/>
          <w:szCs w:val="24"/>
          <w:highlight w:val="none"/>
          <w14:textFill>
            <w14:solidFill>
              <w14:schemeClr w14:val="tx1"/>
            </w14:solidFill>
          </w14:textFill>
        </w:rPr>
        <w:t>ISO15189</w:t>
      </w:r>
      <w:r>
        <w:rPr>
          <w:rFonts w:hint="eastAsia" w:ascii="仿宋" w:hAnsi="仿宋" w:eastAsia="仿宋" w:cs="仿宋"/>
          <w:bCs/>
          <w:color w:val="000000" w:themeColor="text1"/>
          <w:sz w:val="24"/>
          <w:szCs w:val="24"/>
          <w:highlight w:val="none"/>
          <w14:textFill>
            <w14:solidFill>
              <w14:schemeClr w14:val="tx1"/>
            </w14:solidFill>
          </w14:textFill>
        </w:rPr>
        <w:t>医学实验室认可。</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w:t>
      </w:r>
      <w:r>
        <w:rPr>
          <w:rFonts w:hint="eastAsia" w:ascii="仿宋" w:hAnsi="仿宋" w:eastAsia="仿宋" w:cs="仿宋"/>
          <w:bCs/>
          <w:color w:val="000000" w:themeColor="text1"/>
          <w:sz w:val="24"/>
          <w:szCs w:val="24"/>
          <w:highlight w:val="none"/>
          <w14:textFill>
            <w14:solidFill>
              <w14:schemeClr w14:val="tx1"/>
            </w14:solidFill>
          </w14:textFill>
        </w:rPr>
        <w:t>CNAS主任</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评审员相关信息或承诺函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●5.指定</w:t>
      </w:r>
      <w:r>
        <w:rPr>
          <w:rFonts w:hint="eastAsia" w:ascii="仿宋" w:hAnsi="仿宋" w:eastAsia="仿宋" w:cs="仿宋"/>
          <w:bCs/>
          <w:color w:val="000000" w:themeColor="text1"/>
          <w:sz w:val="24"/>
          <w:szCs w:val="24"/>
          <w:highlight w:val="none"/>
          <w14:textFill>
            <w14:solidFill>
              <w14:schemeClr w14:val="tx1"/>
            </w14:solidFill>
          </w14:textFill>
        </w:rPr>
        <w:t>具有直接申请并通过ISO15189医学实验室认可经历的专家全过程担任技术指导负责人。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提供通过ISO15189医学实验室认可经历</w:t>
      </w:r>
      <w:r>
        <w:rPr>
          <w:rFonts w:hint="eastAsia" w:ascii="仿宋" w:hAnsi="仿宋" w:eastAsia="仿宋" w:cs="仿宋"/>
          <w:bCs/>
          <w:color w:val="000000" w:themeColor="text1"/>
          <w:sz w:val="24"/>
          <w:szCs w:val="24"/>
          <w:highlight w:val="none"/>
          <w14:textFill>
            <w14:solidFill>
              <w14:schemeClr w14:val="tx1"/>
            </w14:solidFill>
          </w14:textFill>
        </w:rPr>
        <w:t>专家</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的相关信息及成功案例或承诺函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Cs/>
          <w:color w:val="000000" w:themeColor="text1"/>
          <w:sz w:val="24"/>
          <w:szCs w:val="24"/>
          <w:highlight w:val="none"/>
          <w14:textFill>
            <w14:solidFill>
              <w14:schemeClr w14:val="tx1"/>
            </w14:solidFill>
          </w14:textFill>
        </w:rPr>
        <w:t xml:space="preserve">指导进行管理体系设计，指导编写、修改管理体系手册、程序文件、工作文件（作业指 导书、记录等），审核批准前的管理体系文件。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Cs/>
          <w:color w:val="000000" w:themeColor="text1"/>
          <w:sz w:val="24"/>
          <w:szCs w:val="24"/>
          <w:highlight w:val="none"/>
          <w14:textFill>
            <w14:solidFill>
              <w14:schemeClr w14:val="tx1"/>
            </w14:solidFill>
          </w14:textFill>
        </w:rPr>
        <w:t>提供可用于远程并实时调用实验室数据、远程查阅实验室文件记录的软件工具，符合实验室参加远程评审要求；</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提供软件工具清单及软件工具清单的详细功能参数说明</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Cs/>
          <w:color w:val="000000" w:themeColor="text1"/>
          <w:sz w:val="24"/>
          <w:szCs w:val="24"/>
          <w:highlight w:val="none"/>
          <w14:textFill>
            <w14:solidFill>
              <w14:schemeClr w14:val="tx1"/>
            </w14:solidFill>
          </w14:textFill>
        </w:rPr>
        <w:t>进行管理体系文件实施前培训，确保全员掌握相关要求，为后续试运行做准备。</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9.</w:t>
      </w:r>
      <w:r>
        <w:rPr>
          <w:rFonts w:hint="eastAsia" w:ascii="仿宋" w:hAnsi="仿宋" w:eastAsia="仿宋" w:cs="仿宋"/>
          <w:bCs/>
          <w:color w:val="000000" w:themeColor="text1"/>
          <w:sz w:val="24"/>
          <w:szCs w:val="24"/>
          <w:highlight w:val="none"/>
          <w14:textFill>
            <w14:solidFill>
              <w14:schemeClr w14:val="tx1"/>
            </w14:solidFill>
          </w14:textFill>
        </w:rPr>
        <w:t>指导实验室内部审核和管理评审的策划和实施，提供可用于开展线上内审，远程参加内审的软件类工具。</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Cs/>
          <w:color w:val="000000" w:themeColor="text1"/>
          <w:sz w:val="24"/>
          <w:szCs w:val="24"/>
          <w:highlight w:val="none"/>
          <w14:textFill>
            <w14:solidFill>
              <w14:schemeClr w14:val="tx1"/>
            </w14:solidFill>
          </w14:textFill>
        </w:rPr>
        <w:t>指导检验技术人员正确进行设备的校准和性能验证，提供可用于性能评价实验方法指导、报告撰写的软件工具，便于实验室操作使用。</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11.</w:t>
      </w:r>
      <w:r>
        <w:rPr>
          <w:rFonts w:hint="eastAsia" w:ascii="仿宋" w:hAnsi="仿宋" w:eastAsia="仿宋" w:cs="仿宋"/>
          <w:bCs/>
          <w:color w:val="000000" w:themeColor="text1"/>
          <w:sz w:val="24"/>
          <w:szCs w:val="24"/>
          <w:highlight w:val="none"/>
          <w14:textFill>
            <w14:solidFill>
              <w14:schemeClr w14:val="tx1"/>
            </w14:solidFill>
          </w14:textFill>
        </w:rPr>
        <w:t>指导现场评审不符合项整改计划的制定。</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bCs/>
          <w:color w:val="000000" w:themeColor="text1"/>
          <w:sz w:val="24"/>
          <w:szCs w:val="24"/>
          <w:highlight w:val="none"/>
          <w14:textFill>
            <w14:solidFill>
              <w14:schemeClr w14:val="tx1"/>
            </w14:solidFill>
          </w14:textFill>
        </w:rPr>
        <w:t xml:space="preserve">指导负有直接责任的管理者亲自或以其名义进行管理评审，根据评审结果，提出完善管理体系的建议和对策。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13.</w:t>
      </w:r>
      <w:r>
        <w:rPr>
          <w:rFonts w:hint="eastAsia" w:ascii="仿宋" w:hAnsi="仿宋" w:eastAsia="仿宋" w:cs="仿宋"/>
          <w:bCs/>
          <w:color w:val="000000" w:themeColor="text1"/>
          <w:sz w:val="24"/>
          <w:szCs w:val="24"/>
          <w:highlight w:val="none"/>
          <w14:textFill>
            <w14:solidFill>
              <w14:schemeClr w14:val="tx1"/>
            </w14:solidFill>
          </w14:textFill>
        </w:rPr>
        <w:t xml:space="preserve">指导填写认可申请书，并对其进行审核，指导准备和提交申报资料（含申请书、体系文件、典型报告等），并指导解决认可机构针对申报资料提出的问题（含文件审核的问题），确保申报资料最终被认可机构受理。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bCs/>
          <w:color w:val="000000" w:themeColor="text1"/>
          <w:sz w:val="24"/>
          <w:szCs w:val="24"/>
          <w:highlight w:val="none"/>
          <w14:textFill>
            <w14:solidFill>
              <w14:schemeClr w14:val="tx1"/>
            </w14:solidFill>
          </w14:textFill>
        </w:rPr>
        <w:t>进行认可前邀请主任评审员开展模拟审核，各部门应予以积极配合并及时纠正不</w:t>
      </w:r>
      <w:r>
        <w:rPr>
          <w:rFonts w:hint="eastAsia" w:ascii="仿宋" w:hAnsi="仿宋" w:eastAsia="仿宋" w:cs="仿宋"/>
          <w:bCs/>
          <w:color w:val="000000" w:themeColor="text1"/>
          <w:sz w:val="24"/>
          <w:szCs w:val="24"/>
          <w:highlight w:val="none"/>
          <w:lang w:eastAsia="zh-CN"/>
          <w14:textFill>
            <w14:solidFill>
              <w14:schemeClr w14:val="tx1"/>
            </w14:solidFill>
          </w14:textFill>
        </w:rPr>
        <w:t>符合</w:t>
      </w:r>
      <w:r>
        <w:rPr>
          <w:rFonts w:hint="eastAsia" w:ascii="仿宋" w:hAnsi="仿宋" w:eastAsia="仿宋" w:cs="仿宋"/>
          <w:bCs/>
          <w:color w:val="000000" w:themeColor="text1"/>
          <w:sz w:val="24"/>
          <w:szCs w:val="24"/>
          <w:highlight w:val="none"/>
          <w14:textFill>
            <w14:solidFill>
              <w14:schemeClr w14:val="tx1"/>
            </w14:solidFill>
          </w14:textFill>
        </w:rPr>
        <w:t>项。</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Cs/>
          <w:color w:val="000000" w:themeColor="text1"/>
          <w:sz w:val="24"/>
          <w:szCs w:val="24"/>
          <w:highlight w:val="none"/>
          <w14:textFill>
            <w14:solidFill>
              <w14:schemeClr w14:val="tx1"/>
            </w14:solidFill>
          </w14:textFill>
        </w:rPr>
        <w:t>在认可机构现场评审前，指导进行所有应对评审资料的归档。</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bCs/>
          <w:color w:val="000000" w:themeColor="text1"/>
          <w:sz w:val="24"/>
          <w:szCs w:val="24"/>
          <w:highlight w:val="none"/>
          <w14:textFill>
            <w14:solidFill>
              <w14:schemeClr w14:val="tx1"/>
            </w14:solidFill>
          </w14:textFill>
        </w:rPr>
        <w:t>进行认可应对培训，确保全员掌握迎审知识和技巧。</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bCs/>
          <w:color w:val="000000" w:themeColor="text1"/>
          <w:sz w:val="24"/>
          <w:szCs w:val="24"/>
          <w:highlight w:val="none"/>
          <w14:textFill>
            <w14:solidFill>
              <w14:schemeClr w14:val="tx1"/>
            </w14:solidFill>
          </w14:textFill>
        </w:rPr>
        <w:t>指导认可机构进行联系、协调、沟通。</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bCs/>
          <w:color w:val="000000" w:themeColor="text1"/>
          <w:sz w:val="24"/>
          <w:szCs w:val="24"/>
          <w:highlight w:val="none"/>
          <w14:textFill>
            <w14:solidFill>
              <w14:schemeClr w14:val="tx1"/>
            </w14:solidFill>
          </w14:textFill>
        </w:rPr>
        <w:t>指导纠正认可机构提出的不</w:t>
      </w:r>
      <w:r>
        <w:rPr>
          <w:rFonts w:hint="eastAsia" w:ascii="仿宋" w:hAnsi="仿宋" w:eastAsia="仿宋" w:cs="仿宋"/>
          <w:bCs/>
          <w:color w:val="000000" w:themeColor="text1"/>
          <w:sz w:val="24"/>
          <w:szCs w:val="24"/>
          <w:highlight w:val="none"/>
          <w:lang w:eastAsia="zh-CN"/>
          <w14:textFill>
            <w14:solidFill>
              <w14:schemeClr w14:val="tx1"/>
            </w14:solidFill>
          </w14:textFill>
        </w:rPr>
        <w:t>符合</w:t>
      </w:r>
      <w:r>
        <w:rPr>
          <w:rFonts w:hint="eastAsia" w:ascii="仿宋" w:hAnsi="仿宋" w:eastAsia="仿宋" w:cs="仿宋"/>
          <w:bCs/>
          <w:color w:val="000000" w:themeColor="text1"/>
          <w:sz w:val="24"/>
          <w:szCs w:val="24"/>
          <w:highlight w:val="none"/>
          <w14:textFill>
            <w14:solidFill>
              <w14:schemeClr w14:val="tx1"/>
            </w14:solidFill>
          </w14:textFill>
        </w:rPr>
        <w:t xml:space="preserve">项，指导完成改善报告提交评审组长，完善体系直到取得实验室管理体系认可证书为止。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bCs/>
          <w:color w:val="000000" w:themeColor="text1"/>
          <w:sz w:val="24"/>
          <w:szCs w:val="24"/>
          <w:highlight w:val="none"/>
          <w14:textFill>
            <w14:solidFill>
              <w14:schemeClr w14:val="tx1"/>
            </w14:solidFill>
          </w14:textFill>
        </w:rPr>
        <w:t>取得认可证书后，在证书有效期限内，为应对认可机构的监督评审和复评审，为医院免费提供不上门的咨询服务。</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若</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未能提供充分的专业指导而导致实验室未能一次性通过实验室认可现场正式评审，则附加评审所导致的一切费用（包括不限于专家评审费、交通费、食宿费）均由</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承担并由</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继续向实验室提供咨询服务直至实验室获取证书为止（自申请附加评审起6个月内）。</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ind w:firstLine="480" w:firstLineChars="200"/>
        <w:rPr>
          <w:rFonts w:hint="eastAsia"/>
          <w:sz w:val="24"/>
          <w:szCs w:val="24"/>
          <w:highlight w:val="none"/>
          <w:lang w:eastAsia="zh-CN"/>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●21.投标人需承诺从启动实验室认可工作开始至实验室认可通过并获取CNAS 证书时间不超过24个月。（提供承诺函）</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2" w:firstLineChars="200"/>
        <w:textAlignment w:val="auto"/>
        <w:rPr>
          <w:rFonts w:hint="eastAsia"/>
          <w:highlight w:val="none"/>
          <w:lang w:eastAsia="zh-CN"/>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b/>
          <w:bCs/>
          <w:color w:val="000000" w:themeColor="text1"/>
          <w:sz w:val="24"/>
          <w:szCs w:val="24"/>
          <w:highlight w:val="none"/>
          <w14:textFill>
            <w14:solidFill>
              <w14:schemeClr w14:val="tx1"/>
            </w14:solidFill>
          </w14:textFill>
        </w:rPr>
        <w:t>标注“●”号的</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条款</w:t>
      </w:r>
      <w:r>
        <w:rPr>
          <w:rFonts w:hint="eastAsia" w:ascii="仿宋" w:hAnsi="仿宋" w:eastAsia="仿宋" w:cs="仿宋"/>
          <w:b/>
          <w:bCs/>
          <w:color w:val="000000" w:themeColor="text1"/>
          <w:sz w:val="24"/>
          <w:szCs w:val="24"/>
          <w:highlight w:val="none"/>
          <w14:textFill>
            <w14:solidFill>
              <w14:schemeClr w14:val="tx1"/>
            </w14:solidFill>
          </w14:textFill>
        </w:rPr>
        <w:t>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实质性要求条款</w:t>
      </w:r>
      <w:r>
        <w:rPr>
          <w:rFonts w:hint="eastAsia" w:ascii="仿宋" w:hAnsi="仿宋" w:eastAsia="仿宋" w:cs="仿宋"/>
          <w:b/>
          <w:bCs/>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End w:id="650"/>
      <w:bookmarkEnd w:id="651"/>
      <w:bookmarkEnd w:id="652"/>
      <w:bookmarkEnd w:id="653"/>
      <w:bookmarkEnd w:id="654"/>
      <w:bookmarkEnd w:id="717"/>
      <w:bookmarkEnd w:id="718"/>
      <w:bookmarkEnd w:id="719"/>
      <w:bookmarkEnd w:id="720"/>
      <w:bookmarkStart w:id="728" w:name="_Toc16182"/>
      <w:bookmarkEnd w:id="728"/>
      <w:bookmarkStart w:id="729" w:name="_Toc7673"/>
      <w:bookmarkEnd w:id="729"/>
      <w:bookmarkStart w:id="730" w:name="_Toc4093"/>
      <w:bookmarkEnd w:id="730"/>
      <w:bookmarkStart w:id="731" w:name="_Toc13248"/>
      <w:bookmarkEnd w:id="731"/>
    </w:p>
    <w:p>
      <w:pPr>
        <w:pStyle w:val="4"/>
        <w:shd w:val="clear"/>
        <w:outlineLvl w:val="0"/>
        <w:rPr>
          <w:rFonts w:hint="eastAsia" w:ascii="仿宋" w:hAnsi="仿宋" w:eastAsia="仿宋" w:cs="仿宋"/>
          <w:color w:val="000000" w:themeColor="text1"/>
          <w:highlight w:val="none"/>
          <w:lang w:eastAsia="zh-CN"/>
          <w14:textFill>
            <w14:solidFill>
              <w14:schemeClr w14:val="tx1"/>
            </w14:solidFill>
          </w14:textFill>
        </w:rPr>
      </w:pPr>
      <w:bookmarkStart w:id="732" w:name="_Toc5711"/>
      <w:bookmarkStart w:id="733" w:name="_Toc25153"/>
      <w:bookmarkStart w:id="734" w:name="_Toc29288"/>
      <w:bookmarkStart w:id="735" w:name="_Toc20392"/>
      <w:bookmarkStart w:id="736" w:name="_Toc26823"/>
      <w:r>
        <w:rPr>
          <w:rFonts w:hint="eastAsia" w:ascii="仿宋" w:hAnsi="仿宋" w:eastAsia="仿宋" w:cs="仿宋"/>
          <w:color w:val="000000" w:themeColor="text1"/>
          <w:highlight w:val="none"/>
          <w:lang w:eastAsia="zh-CN"/>
          <w14:textFill>
            <w14:solidFill>
              <w14:schemeClr w14:val="tx1"/>
            </w14:solidFill>
          </w14:textFill>
        </w:rPr>
        <w:t>第六章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lang w:eastAsia="zh-CN"/>
          <w14:textFill>
            <w14:solidFill>
              <w14:schemeClr w14:val="tx1"/>
            </w14:solidFill>
          </w14:textFill>
        </w:rPr>
        <w:t>评标办法</w:t>
      </w:r>
      <w:bookmarkEnd w:id="655"/>
      <w:bookmarkEnd w:id="732"/>
      <w:bookmarkEnd w:id="733"/>
      <w:bookmarkEnd w:id="734"/>
      <w:bookmarkEnd w:id="735"/>
      <w:bookmarkEnd w:id="736"/>
    </w:p>
    <w:p>
      <w:pPr>
        <w:pStyle w:val="5"/>
        <w:widowControl/>
        <w:shd w:val="clear"/>
        <w:ind w:firstLine="3373" w:firstLineChars="1200"/>
        <w:outlineLvl w:val="1"/>
        <w:rPr>
          <w:rFonts w:hint="eastAsia" w:ascii="仿宋" w:hAnsi="仿宋" w:eastAsia="仿宋" w:cs="仿宋"/>
          <w:color w:val="000000" w:themeColor="text1"/>
          <w:szCs w:val="32"/>
          <w:highlight w:val="none"/>
          <w14:textFill>
            <w14:solidFill>
              <w14:schemeClr w14:val="tx1"/>
            </w14:solidFill>
          </w14:textFill>
        </w:rPr>
      </w:pPr>
      <w:bookmarkStart w:id="737" w:name="_Toc26394"/>
      <w:bookmarkStart w:id="738" w:name="_Toc42455032"/>
      <w:bookmarkStart w:id="739" w:name="_Toc1551"/>
      <w:bookmarkStart w:id="740" w:name="_Toc11454497"/>
      <w:bookmarkStart w:id="741" w:name="_Toc1739"/>
      <w:bookmarkStart w:id="742" w:name="_Toc213141119"/>
      <w:bookmarkStart w:id="743" w:name="_Toc1781"/>
      <w:bookmarkStart w:id="744" w:name="_Toc1740"/>
      <w:bookmarkStart w:id="745" w:name="_Toc43719848"/>
      <w:bookmarkStart w:id="746" w:name="_Toc427081174"/>
      <w:bookmarkStart w:id="747" w:name="_Toc4629729"/>
      <w:bookmarkStart w:id="748" w:name="_Toc10305053"/>
      <w:bookmarkStart w:id="749" w:name="_Toc2349844"/>
      <w:r>
        <w:rPr>
          <w:rFonts w:hint="eastAsia" w:ascii="仿宋" w:hAnsi="仿宋" w:eastAsia="仿宋" w:cs="仿宋"/>
          <w:color w:val="000000" w:themeColor="text1"/>
          <w:sz w:val="28"/>
          <w:szCs w:val="28"/>
          <w:highlight w:val="none"/>
          <w14:textFill>
            <w14:solidFill>
              <w14:schemeClr w14:val="tx1"/>
            </w14:solidFill>
          </w14:textFill>
        </w:rPr>
        <w:t>评标办法前附表</w:t>
      </w:r>
      <w:bookmarkEnd w:id="737"/>
      <w:bookmarkEnd w:id="738"/>
      <w:bookmarkEnd w:id="739"/>
      <w:bookmarkEnd w:id="740"/>
      <w:bookmarkEnd w:id="741"/>
      <w:bookmarkEnd w:id="742"/>
      <w:bookmarkEnd w:id="743"/>
      <w:bookmarkEnd w:id="744"/>
      <w:bookmarkEnd w:id="745"/>
    </w:p>
    <w:tbl>
      <w:tblPr>
        <w:tblStyle w:val="22"/>
        <w:tblW w:w="1013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1894"/>
        <w:gridCol w:w="6523"/>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1894" w:type="dxa"/>
            <w:tcBorders>
              <w:top w:val="thinThickSmallGap" w:color="auto" w:sz="12" w:space="0"/>
              <w:left w:val="single" w:color="auto" w:sz="4"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评审因素</w:t>
            </w:r>
          </w:p>
        </w:tc>
        <w:tc>
          <w:tcPr>
            <w:tcW w:w="6523"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cantSplit/>
          <w:trHeight w:val="1083" w:hRule="exact"/>
          <w:jc w:val="center"/>
        </w:trPr>
        <w:tc>
          <w:tcPr>
            <w:tcW w:w="884" w:type="dxa"/>
            <w:tcBorders>
              <w:top w:val="single" w:color="auto" w:sz="4" w:space="0"/>
              <w:left w:val="thinThickSmallGap" w:color="auto" w:sz="12"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2.1.1</w:t>
            </w:r>
          </w:p>
        </w:tc>
        <w:tc>
          <w:tcPr>
            <w:tcW w:w="837" w:type="dxa"/>
            <w:tcBorders>
              <w:top w:val="single" w:color="auto" w:sz="4" w:space="0"/>
              <w:left w:val="single" w:color="auto" w:sz="4" w:space="0"/>
              <w:right w:val="single" w:color="auto" w:sz="4" w:space="0"/>
            </w:tcBorders>
            <w:shd w:val="clear" w:color="auto" w:fill="auto"/>
            <w:vAlign w:val="center"/>
          </w:tcPr>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资格</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标准</w:t>
            </w:r>
          </w:p>
        </w:tc>
        <w:tc>
          <w:tcPr>
            <w:tcW w:w="1894" w:type="dxa"/>
            <w:tcBorders>
              <w:top w:val="single" w:color="auto" w:sz="4" w:space="0"/>
              <w:left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资格条件</w:t>
            </w:r>
          </w:p>
        </w:tc>
        <w:tc>
          <w:tcPr>
            <w:tcW w:w="6523"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pPr>
              <w:shd w:val="clear"/>
              <w:spacing w:beforeAutospacing="1" w:afterAutospacing="1"/>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满足第二章“投标人须知”第2.1项规定并满足招标文件第四章投标文件格式中“资格证明文件”规定的格式及内容。</w:t>
            </w:r>
          </w:p>
        </w:tc>
      </w:tr>
    </w:tbl>
    <w:p>
      <w:pPr>
        <w:shd w:val="clear"/>
        <w:rPr>
          <w:rFonts w:hint="eastAsia" w:ascii="仿宋" w:hAnsi="仿宋" w:eastAsia="仿宋" w:cs="仿宋"/>
          <w:color w:val="000000" w:themeColor="text1"/>
          <w:highlight w:val="none"/>
          <w14:textFill>
            <w14:solidFill>
              <w14:schemeClr w14:val="tx1"/>
            </w14:solidFill>
          </w14:textFill>
        </w:rPr>
      </w:pPr>
    </w:p>
    <w:tbl>
      <w:tblPr>
        <w:tblStyle w:val="22"/>
        <w:tblW w:w="1013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2023"/>
        <w:gridCol w:w="6394"/>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2023" w:type="dxa"/>
            <w:tcBorders>
              <w:top w:val="thinThickSmallGap" w:color="auto" w:sz="12" w:space="0"/>
              <w:left w:val="single" w:color="auto" w:sz="4"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评审因素</w:t>
            </w:r>
          </w:p>
        </w:tc>
        <w:tc>
          <w:tcPr>
            <w:tcW w:w="6394"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830" w:hRule="exact"/>
          <w:jc w:val="center"/>
        </w:trPr>
        <w:tc>
          <w:tcPr>
            <w:tcW w:w="884" w:type="dxa"/>
            <w:vMerge w:val="restart"/>
            <w:tcBorders>
              <w:top w:val="single" w:color="auto" w:sz="4" w:space="0"/>
              <w:left w:val="thinThickSmallGap" w:color="auto" w:sz="12"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2.1.2</w:t>
            </w:r>
          </w:p>
        </w:tc>
        <w:tc>
          <w:tcPr>
            <w:tcW w:w="837" w:type="dxa"/>
            <w:vMerge w:val="restart"/>
            <w:tcBorders>
              <w:top w:val="single" w:color="auto" w:sz="4" w:space="0"/>
              <w:left w:val="single" w:color="auto" w:sz="4" w:space="0"/>
              <w:right w:val="single" w:color="auto" w:sz="4" w:space="0"/>
            </w:tcBorders>
            <w:shd w:val="clear" w:color="auto" w:fill="auto"/>
            <w:vAlign w:val="center"/>
          </w:tcPr>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标准</w:t>
            </w: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开标一览表</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pacing w:beforeAutospacing="1" w:afterAutospacing="1"/>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报价未超过采购预算</w:t>
            </w:r>
            <w:r>
              <w:rPr>
                <w:rFonts w:hint="eastAsia" w:ascii="仿宋" w:hAnsi="仿宋" w:eastAsia="仿宋" w:cs="仿宋"/>
                <w:color w:val="000000" w:themeColor="text1"/>
                <w:sz w:val="24"/>
                <w:szCs w:val="24"/>
                <w:highlight w:val="none"/>
                <w:lang w:val="en-US" w:eastAsia="zh-CN"/>
                <w14:textFill>
                  <w14:solidFill>
                    <w14:schemeClr w14:val="tx1"/>
                  </w14:solidFill>
                </w14:textFill>
              </w:rPr>
              <w:t>限价并符合招标文件要求</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投标文件签署</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符合招标文件规定的格式及内容，有法定代表人或其委托代理人电子签章</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或签字</w:t>
            </w:r>
            <w:r>
              <w:rPr>
                <w:rFonts w:hint="eastAsia" w:ascii="仿宋" w:hAnsi="仿宋" w:eastAsia="仿宋" w:cs="仿宋"/>
                <w:color w:val="000000" w:themeColor="text1"/>
                <w:sz w:val="24"/>
                <w:szCs w:val="24"/>
                <w:highlight w:val="none"/>
                <w14:textFill>
                  <w14:solidFill>
                    <w14:schemeClr w14:val="tx1"/>
                  </w14:solidFill>
                </w14:textFill>
              </w:rPr>
              <w:t>，并</w:t>
            </w:r>
            <w:r>
              <w:rPr>
                <w:rFonts w:hint="eastAsia" w:ascii="仿宋" w:hAnsi="仿宋" w:eastAsia="仿宋" w:cs="仿宋"/>
                <w:color w:val="000000" w:themeColor="text1"/>
                <w:sz w:val="24"/>
                <w:szCs w:val="24"/>
                <w:highlight w:val="none"/>
                <w:lang w:val="en-US" w:eastAsia="zh-CN"/>
                <w14:textFill>
                  <w14:solidFill>
                    <w14:schemeClr w14:val="tx1"/>
                  </w14:solidFill>
                </w14:textFill>
              </w:rPr>
              <w:t>有</w:t>
            </w:r>
            <w:r>
              <w:rPr>
                <w:rFonts w:hint="eastAsia" w:ascii="仿宋" w:hAnsi="仿宋" w:eastAsia="仿宋" w:cs="仿宋"/>
                <w:color w:val="000000" w:themeColor="text1"/>
                <w:sz w:val="24"/>
                <w:szCs w:val="24"/>
                <w:highlight w:val="none"/>
                <w14:textFill>
                  <w14:solidFill>
                    <w14:schemeClr w14:val="tx1"/>
                  </w14:solidFill>
                </w14:textFill>
              </w:rPr>
              <w:t>单位</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授权书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法定代表人</w:t>
            </w:r>
            <w:r>
              <w:rPr>
                <w:rFonts w:hint="eastAsia" w:ascii="仿宋" w:hAnsi="仿宋" w:eastAsia="仿宋" w:cs="仿宋"/>
                <w:color w:val="000000" w:themeColor="text1"/>
                <w:sz w:val="24"/>
                <w:szCs w:val="24"/>
                <w:highlight w:val="none"/>
                <w14:textFill>
                  <w14:solidFill>
                    <w14:schemeClr w14:val="tx1"/>
                  </w14:solidFill>
                </w14:textFill>
              </w:rPr>
              <w:t>委托代理人投标，有</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w:t>
            </w:r>
            <w:r>
              <w:rPr>
                <w:rFonts w:hint="eastAsia" w:ascii="仿宋" w:hAnsi="仿宋" w:eastAsia="仿宋" w:cs="仿宋"/>
                <w:color w:val="000000" w:themeColor="text1"/>
                <w:sz w:val="24"/>
                <w:szCs w:val="24"/>
                <w:highlight w:val="none"/>
                <w14:textFill>
                  <w14:solidFill>
                    <w14:schemeClr w14:val="tx1"/>
                  </w14:solidFill>
                </w14:textFill>
              </w:rPr>
              <w:t>授权书。</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符合招标文件第二章“投标人须知前附表”第17.1款规定</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保证金</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符合招标文件第二章“投标人须知前附表”第1</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.1款规定</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42"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报价</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只有一个有效报价（即一个有效</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案），未出现多个报价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招标文件规定的除外</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1"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不能接受的条款</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投标文件没有</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不能接受的条件。</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965"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投标人具备参加政府采购活动条件承诺书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投标文件附有投标人具备参加政府采购活动条件承诺书。</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1164" w:hRule="exact"/>
          <w:jc w:val="center"/>
        </w:trPr>
        <w:tc>
          <w:tcPr>
            <w:tcW w:w="884" w:type="dxa"/>
            <w:vMerge w:val="continue"/>
            <w:tcBorders>
              <w:left w:val="thinThickSmallGap" w:color="auto" w:sz="12" w:space="0"/>
              <w:bottom w:val="thickThin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bottom w:val="thickThin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thickThinSmallGap" w:color="auto" w:sz="12"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其他实质性要求</w:t>
            </w:r>
          </w:p>
        </w:tc>
        <w:tc>
          <w:tcPr>
            <w:tcW w:w="6394"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未出现不符合</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和招标文件中规定的其他实质性要求。</w:t>
            </w:r>
            <w:bookmarkStart w:id="812" w:name="_GoBack"/>
            <w:bookmarkEnd w:id="812"/>
          </w:p>
        </w:tc>
      </w:tr>
    </w:tbl>
    <w:p>
      <w:pPr>
        <w:shd w:val="clear"/>
        <w:rPr>
          <w:rFonts w:hint="eastAsia" w:ascii="仿宋" w:hAnsi="仿宋" w:eastAsia="仿宋" w:cs="仿宋"/>
          <w:color w:val="000000" w:themeColor="text1"/>
          <w:highlight w:val="none"/>
          <w14:textFill>
            <w14:solidFill>
              <w14:schemeClr w14:val="tx1"/>
            </w14:solidFill>
          </w14:textFill>
        </w:rPr>
      </w:pPr>
    </w:p>
    <w:p>
      <w:pPr>
        <w:shd w:val="clear"/>
        <w:rPr>
          <w:rFonts w:hint="eastAsia" w:ascii="仿宋" w:hAnsi="仿宋" w:eastAsia="仿宋" w:cs="仿宋"/>
          <w:vanish/>
          <w:color w:val="000000" w:themeColor="text1"/>
          <w:highlight w:val="none"/>
          <w14:textFill>
            <w14:solidFill>
              <w14:schemeClr w14:val="tx1"/>
            </w14:solidFill>
          </w14:textFill>
        </w:rPr>
      </w:pPr>
      <w:r>
        <w:rPr>
          <w:rFonts w:hint="eastAsia" w:ascii="仿宋" w:hAnsi="仿宋" w:eastAsia="仿宋" w:cs="仿宋"/>
          <w:vanish/>
          <w:color w:val="000000" w:themeColor="text1"/>
          <w:highlight w:val="none"/>
          <w14:textFill>
            <w14:solidFill>
              <w14:schemeClr w14:val="tx1"/>
            </w14:solidFill>
          </w14:textFill>
        </w:rPr>
        <w:br w:type="page"/>
      </w:r>
    </w:p>
    <w:tbl>
      <w:tblPr>
        <w:tblStyle w:val="22"/>
        <w:tblW w:w="1020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906"/>
        <w:gridCol w:w="1286"/>
        <w:gridCol w:w="80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787" w:hRule="atLeast"/>
          <w:jc w:val="center"/>
        </w:trPr>
        <w:tc>
          <w:tcPr>
            <w:tcW w:w="906"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1286"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评分因素</w:t>
            </w:r>
          </w:p>
        </w:tc>
        <w:tc>
          <w:tcPr>
            <w:tcW w:w="8013"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1455" w:hRule="atLeast"/>
          <w:jc w:val="center"/>
        </w:trPr>
        <w:tc>
          <w:tcPr>
            <w:tcW w:w="906" w:type="dxa"/>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2.1.3</w:t>
            </w:r>
          </w:p>
        </w:tc>
        <w:tc>
          <w:tcPr>
            <w:tcW w:w="1286" w:type="dxa"/>
            <w:tcBorders>
              <w:left w:val="single" w:color="auto" w:sz="4" w:space="0"/>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2）评分因素权重</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价格部分F1：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strike w:val="0"/>
                <w:dstrike w:val="0"/>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分，权重A1为1。</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技术部分F2：</w:t>
            </w:r>
            <w:r>
              <w:rPr>
                <w:rFonts w:hint="eastAsia" w:ascii="仿宋" w:hAnsi="仿宋" w:eastAsia="仿宋" w:cs="仿宋"/>
                <w:color w:val="000000" w:themeColor="text1"/>
                <w:sz w:val="24"/>
                <w:highlight w:val="none"/>
                <w:lang w:val="en-US" w:eastAsia="zh-CN"/>
                <w14:textFill>
                  <w14:solidFill>
                    <w14:schemeClr w14:val="tx1"/>
                  </w14:solidFill>
                </w14:textFill>
              </w:rPr>
              <w:t>59</w:t>
            </w:r>
            <w:r>
              <w:rPr>
                <w:rFonts w:hint="eastAsia" w:ascii="仿宋" w:hAnsi="仿宋" w:eastAsia="仿宋" w:cs="仿宋"/>
                <w:color w:val="000000" w:themeColor="text1"/>
                <w:sz w:val="24"/>
                <w:highlight w:val="none"/>
                <w14:textFill>
                  <w14:solidFill>
                    <w14:schemeClr w14:val="tx1"/>
                  </w14:solidFill>
                </w14:textFill>
              </w:rPr>
              <w:t>分，权重A2为1。</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商务部分F3：</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分，权重A3为1。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1678" w:hRule="atLeast"/>
          <w:jc w:val="center"/>
        </w:trPr>
        <w:tc>
          <w:tcPr>
            <w:tcW w:w="906" w:type="dxa"/>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2.1.4</w:t>
            </w:r>
          </w:p>
        </w:tc>
        <w:tc>
          <w:tcPr>
            <w:tcW w:w="1286" w:type="dxa"/>
            <w:tcBorders>
              <w:top w:val="single" w:color="auto" w:sz="4" w:space="0"/>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评标总得分计算公式</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投标人的评标总得分＝F1×A1＋F2×A2＋F3×A3</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其中：①F1、F2、F3分别为投标报价、技术部分、商务部分3项评分因素的汇总得分；</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②A1、A2、A3分别为3项评分因素所占的权重；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3832" w:hRule="atLeast"/>
          <w:jc w:val="center"/>
        </w:trPr>
        <w:tc>
          <w:tcPr>
            <w:tcW w:w="906" w:type="dxa"/>
            <w:vMerge w:val="restart"/>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2.1.5价格部分F1</w:t>
            </w:r>
          </w:p>
        </w:tc>
        <w:tc>
          <w:tcPr>
            <w:tcW w:w="1286" w:type="dxa"/>
            <w:tcBorders>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设备投标总报价</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评审评分</w:t>
            </w:r>
            <w:r>
              <w:rPr>
                <w:rFonts w:hint="eastAsia" w:ascii="仿宋" w:hAnsi="仿宋" w:eastAsia="仿宋" w:cs="仿宋"/>
                <w:color w:val="000000" w:themeColor="text1"/>
                <w:sz w:val="24"/>
                <w:highlight w:val="none"/>
                <w14:textFill>
                  <w14:solidFill>
                    <w14:schemeClr w14:val="tx1"/>
                  </w14:solidFill>
                </w14:textFill>
              </w:rPr>
              <w:t>（满分</w:t>
            </w:r>
            <w:r>
              <w:rPr>
                <w:rFonts w:hint="eastAsia" w:ascii="仿宋" w:hAnsi="仿宋" w:eastAsia="仿宋" w:cs="仿宋"/>
                <w:color w:val="000000" w:themeColor="text1"/>
                <w:sz w:val="24"/>
                <w:highlight w:val="none"/>
                <w:lang w:val="en-US"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分）</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1.评标基准价：满足招标文件要求且投标报价最低的有效投标报价；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2.得分计算：满足招标文件要求且投标报价最低的有效投标报价，其报价分为满分。其他投标人的报价得分统一按照下列公式计算：</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即：F1=[C/（B1，B2，…，Bn）]×</w:t>
            </w:r>
            <w:r>
              <w:rPr>
                <w:rFonts w:hint="eastAsia" w:ascii="仿宋" w:hAnsi="仿宋" w:eastAsia="仿宋" w:cs="仿宋"/>
                <w:color w:val="000000" w:themeColor="text1"/>
                <w:sz w:val="24"/>
                <w:highlight w:val="none"/>
                <w:lang w:val="en-US" w:eastAsia="zh-CN"/>
                <w14:textFill>
                  <w14:solidFill>
                    <w14:schemeClr w14:val="tx1"/>
                  </w14:solidFill>
                </w14:textFill>
              </w:rPr>
              <w:t>10</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注：C为评标基准价，即经初步审查合格且投标报价的有效投标报价；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B1，B2，…，Bn为第n个经初步审查合格的有效投标报价。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注：本项目针对小型和微型企业产品或残疾人福利性单位产品的价格给予</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的扣除，用扣除后的价格参与评审，残疾人福利性单位属于小型、微型企业的，不重复享受政策。（监狱企业视同小型或微型企业）。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4230" w:hRule="atLeast"/>
          <w:jc w:val="center"/>
        </w:trPr>
        <w:tc>
          <w:tcPr>
            <w:tcW w:w="906" w:type="dxa"/>
            <w:vMerge w:val="continue"/>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286" w:type="dxa"/>
            <w:tcBorders>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配套试剂耗材投标报价</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评审评分</w:t>
            </w:r>
            <w:r>
              <w:rPr>
                <w:rFonts w:hint="eastAsia" w:ascii="仿宋" w:hAnsi="仿宋" w:eastAsia="仿宋" w:cs="仿宋"/>
                <w:color w:val="000000" w:themeColor="text1"/>
                <w:sz w:val="24"/>
                <w:highlight w:val="none"/>
                <w14:textFill>
                  <w14:solidFill>
                    <w14:schemeClr w14:val="tx1"/>
                  </w14:solidFill>
                </w14:textFill>
              </w:rPr>
              <w:t>（满分</w:t>
            </w:r>
            <w:r>
              <w:rPr>
                <w:rFonts w:hint="eastAsia" w:ascii="仿宋" w:hAnsi="仿宋" w:eastAsia="仿宋" w:cs="仿宋"/>
                <w:color w:val="000000" w:themeColor="text1"/>
                <w:sz w:val="24"/>
                <w:highlight w:val="none"/>
                <w:lang w:val="en-US" w:eastAsia="zh-CN"/>
                <w14:textFill>
                  <w14:solidFill>
                    <w14:schemeClr w14:val="tx1"/>
                  </w14:solidFill>
                </w14:textFill>
              </w:rPr>
              <w:t>25</w:t>
            </w:r>
            <w:r>
              <w:rPr>
                <w:rFonts w:hint="eastAsia" w:ascii="仿宋" w:hAnsi="仿宋" w:eastAsia="仿宋" w:cs="仿宋"/>
                <w:color w:val="000000" w:themeColor="text1"/>
                <w:sz w:val="24"/>
                <w:highlight w:val="none"/>
                <w14:textFill>
                  <w14:solidFill>
                    <w14:schemeClr w14:val="tx1"/>
                  </w14:solidFill>
                </w14:textFill>
              </w:rPr>
              <w:t>分）</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1.评标基准价：满足招标文件要求且投标报价最低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1-下浮率，下同</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2.得分计算：满足招标文件要求且投标报价最低的有效投标报价，其报价分为满分。其他投标人的报价得分统一按照下列公式计算：</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即：F1=[C/（B1，B2，…，Bn）]×</w:t>
            </w:r>
            <w:r>
              <w:rPr>
                <w:rFonts w:hint="eastAsia" w:ascii="仿宋" w:hAnsi="仿宋" w:eastAsia="仿宋" w:cs="仿宋"/>
                <w:color w:val="000000" w:themeColor="text1"/>
                <w:sz w:val="24"/>
                <w:highlight w:val="none"/>
                <w:lang w:val="en-US" w:eastAsia="zh-CN"/>
                <w14:textFill>
                  <w14:solidFill>
                    <w14:schemeClr w14:val="tx1"/>
                  </w14:solidFill>
                </w14:textFill>
              </w:rPr>
              <w:t>25</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注：C为评标基准价，即经初步审查合格且投标报价的有效投标报价；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B1，B2，…，Bn为第n个经初步审查合格的有效投标报价。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注：本项目针对小型和微型企业产品或残疾人福利性单位产品的价格给予</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的扣除，用扣除后的价格参与评审，残疾人福利性单位属于小型、微型企业的，不重复享受政策。（监狱企业视同小型或微型企业）。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890" w:hRule="atLeast"/>
          <w:jc w:val="center"/>
        </w:trPr>
        <w:tc>
          <w:tcPr>
            <w:tcW w:w="906" w:type="dxa"/>
            <w:vMerge w:val="restart"/>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2.1.6</w:t>
            </w:r>
            <w:r>
              <w:rPr>
                <w:rFonts w:hint="eastAsia" w:ascii="仿宋" w:hAnsi="仿宋" w:eastAsia="仿宋" w:cs="仿宋"/>
                <w:color w:val="000000" w:themeColor="text1"/>
                <w:sz w:val="24"/>
                <w:szCs w:val="24"/>
                <w:highlight w:val="none"/>
                <w14:textFill>
                  <w14:solidFill>
                    <w14:schemeClr w14:val="tx1"/>
                  </w14:solidFill>
                </w14:textFill>
              </w:rPr>
              <w:t>技术部分F2</w:t>
            </w:r>
          </w:p>
        </w:tc>
        <w:tc>
          <w:tcPr>
            <w:tcW w:w="1286" w:type="dxa"/>
            <w:tcBorders>
              <w:bottom w:val="single" w:color="auto" w:sz="4" w:space="0"/>
            </w:tcBorders>
            <w:shd w:val="clear" w:color="auto" w:fill="FFFFFF" w:themeFill="background1"/>
            <w:vAlign w:val="center"/>
          </w:tcPr>
          <w:p>
            <w:pPr>
              <w:pStyle w:val="32"/>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default" w:ascii="仿宋" w:hAnsi="仿宋" w:eastAsia="仿宋" w:cs="仿宋"/>
                <w:strike w:val="0"/>
                <w:dstrike w:val="0"/>
                <w:color w:val="000000" w:themeColor="text1"/>
                <w:kern w:val="2"/>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kern w:val="2"/>
                <w:highlight w:val="none"/>
                <w:lang w:val="en-US" w:eastAsia="zh-CN"/>
                <w14:textFill>
                  <w14:solidFill>
                    <w14:schemeClr w14:val="tx1"/>
                  </w14:solidFill>
                </w14:textFill>
              </w:rPr>
              <w:t>1.</w:t>
            </w:r>
            <w:r>
              <w:rPr>
                <w:rFonts w:hint="eastAsia" w:ascii="仿宋" w:hAnsi="仿宋" w:eastAsia="仿宋" w:cs="仿宋"/>
                <w:strike w:val="0"/>
                <w:dstrike w:val="0"/>
                <w:color w:val="000000" w:themeColor="text1"/>
                <w:kern w:val="2"/>
                <w:highlight w:val="none"/>
                <w14:textFill>
                  <w14:solidFill>
                    <w14:schemeClr w14:val="tx1"/>
                  </w14:solidFill>
                </w14:textFill>
              </w:rPr>
              <w:t>技术参数与性能指标响应性</w:t>
            </w: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评审评分（50</w:t>
            </w:r>
            <w:r>
              <w:rPr>
                <w:rFonts w:hint="eastAsia" w:ascii="仿宋" w:hAnsi="仿宋" w:eastAsia="仿宋" w:cs="仿宋"/>
                <w:strike w:val="0"/>
                <w:dstrike w:val="0"/>
                <w:color w:val="000000" w:themeColor="text1"/>
                <w:kern w:val="2"/>
                <w:highlight w:val="none"/>
                <w:lang w:val="en-US" w:eastAsia="zh-CN"/>
                <w14:textFill>
                  <w14:solidFill>
                    <w14:schemeClr w14:val="tx1"/>
                  </w14:solidFill>
                </w14:textFill>
              </w:rPr>
              <w:t>分</w:t>
            </w: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w:t>
            </w:r>
          </w:p>
        </w:tc>
        <w:tc>
          <w:tcPr>
            <w:tcW w:w="8013" w:type="dxa"/>
            <w:tcBorders>
              <w:bottom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评标委员会将综合考虑投标人所投产品的技术参数、规格要求对招标文件第五章《采购需求》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一、设备采购清单中”的“</w:t>
            </w:r>
            <w:r>
              <w:rPr>
                <w:rFonts w:hint="eastAsia" w:ascii="仿宋" w:hAnsi="仿宋" w:eastAsia="仿宋" w:cs="仿宋"/>
                <w:b/>
                <w:bCs/>
                <w:color w:val="000000" w:themeColor="text1"/>
                <w:sz w:val="24"/>
                <w:szCs w:val="24"/>
                <w:highlight w:val="none"/>
                <w14:textFill>
                  <w14:solidFill>
                    <w14:schemeClr w14:val="tx1"/>
                  </w14:solidFill>
                </w14:textFill>
              </w:rPr>
              <w:t>主要性能及技术参数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及六、配套试剂耗材采购目录</w:t>
            </w:r>
            <w:r>
              <w:rPr>
                <w:rFonts w:hint="eastAsia" w:ascii="仿宋" w:hAnsi="仿宋" w:eastAsia="仿宋" w:cs="仿宋"/>
                <w:color w:val="000000" w:themeColor="text1"/>
                <w:sz w:val="24"/>
                <w:szCs w:val="24"/>
                <w:highlight w:val="none"/>
                <w:lang w:val="en-US" w:eastAsia="zh-CN"/>
                <w14:textFill>
                  <w14:solidFill>
                    <w14:schemeClr w14:val="tx1"/>
                  </w14:solidFill>
                </w14:textFill>
              </w:rPr>
              <w:t>”中的</w:t>
            </w:r>
            <w:r>
              <w:rPr>
                <w:rFonts w:hint="eastAsia" w:ascii="仿宋" w:hAnsi="仿宋" w:eastAsia="仿宋" w:cs="仿宋"/>
                <w:color w:val="000000" w:themeColor="text1"/>
                <w:sz w:val="24"/>
                <w:szCs w:val="24"/>
                <w:highlight w:val="none"/>
                <w14:textFill>
                  <w14:solidFill>
                    <w14:schemeClr w14:val="tx1"/>
                  </w14:solidFill>
                </w14:textFill>
              </w:rPr>
              <w:t>所有技术参数条款的响应程度等因素综合打分：</w:t>
            </w:r>
          </w:p>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a.满足招标文件所有技术参数条款，技术参数无偏离的得满分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分；</w:t>
            </w:r>
          </w:p>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w:t>
            </w:r>
            <w:r>
              <w:rPr>
                <w:rFonts w:hint="eastAsia" w:ascii="仿宋" w:hAnsi="仿宋" w:eastAsia="仿宋" w:cs="仿宋"/>
                <w:color w:val="000000" w:themeColor="text1"/>
                <w:sz w:val="24"/>
                <w:szCs w:val="24"/>
                <w:highlight w:val="none"/>
                <w:lang w:val="en-US" w:eastAsia="zh-CN"/>
                <w14:textFill>
                  <w14:solidFill>
                    <w14:schemeClr w14:val="tx1"/>
                  </w14:solidFill>
                </w14:textFill>
              </w:rPr>
              <w:t>对照招</w:t>
            </w:r>
            <w:r>
              <w:rPr>
                <w:rFonts w:hint="eastAsia" w:ascii="仿宋" w:hAnsi="仿宋" w:eastAsia="仿宋" w:cs="仿宋"/>
                <w:color w:val="000000" w:themeColor="text1"/>
                <w:sz w:val="24"/>
                <w:szCs w:val="24"/>
                <w:highlight w:val="none"/>
                <w14:textFill>
                  <w14:solidFill>
                    <w14:schemeClr w14:val="tx1"/>
                  </w14:solidFill>
                </w14:textFill>
              </w:rPr>
              <w:t>标文件第五章《采购需求》中</w:t>
            </w:r>
            <w:r>
              <w:rPr>
                <w:rFonts w:hint="eastAsia" w:ascii="仿宋" w:hAnsi="仿宋" w:eastAsia="仿宋" w:cs="仿宋"/>
                <w:color w:val="000000" w:themeColor="text1"/>
                <w:sz w:val="24"/>
                <w:szCs w:val="24"/>
                <w:highlight w:val="none"/>
                <w:lang w:val="en-US" w:eastAsia="zh-CN"/>
                <w14:textFill>
                  <w14:solidFill>
                    <w14:schemeClr w14:val="tx1"/>
                  </w14:solidFill>
                </w14:textFill>
              </w:rPr>
              <w:t>的“主要技术参数要求”</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投标文件中</w:t>
            </w:r>
            <w:r>
              <w:rPr>
                <w:rFonts w:hint="eastAsia" w:ascii="仿宋" w:hAnsi="仿宋" w:eastAsia="仿宋" w:cs="仿宋"/>
                <w:color w:val="000000" w:themeColor="text1"/>
                <w:sz w:val="24"/>
                <w:szCs w:val="24"/>
                <w:highlight w:val="none"/>
                <w:lang w:eastAsia="zh-CN"/>
                <w14:textFill>
                  <w14:solidFill>
                    <w14:schemeClr w14:val="tx1"/>
                  </w14:solidFill>
                </w14:textFill>
              </w:rPr>
              <w:t>每出现</w:t>
            </w:r>
            <w:r>
              <w:rPr>
                <w:rFonts w:hint="eastAsia" w:ascii="仿宋" w:hAnsi="仿宋" w:eastAsia="仿宋" w:cs="仿宋"/>
                <w:color w:val="000000" w:themeColor="text1"/>
                <w:sz w:val="24"/>
                <w:szCs w:val="24"/>
                <w:highlight w:val="none"/>
                <w14:textFill>
                  <w14:solidFill>
                    <w14:schemeClr w14:val="tx1"/>
                  </w14:solidFill>
                </w14:textFill>
              </w:rPr>
              <w:t>1项</w:t>
            </w:r>
            <w:r>
              <w:rPr>
                <w:rFonts w:hint="eastAsia" w:ascii="仿宋" w:hAnsi="仿宋" w:eastAsia="仿宋" w:cs="仿宋"/>
                <w:color w:val="000000" w:themeColor="text1"/>
                <w:sz w:val="24"/>
                <w:szCs w:val="24"/>
                <w:highlight w:val="none"/>
                <w:lang w:val="en-US" w:eastAsia="zh-CN"/>
                <w14:textFill>
                  <w14:solidFill>
                    <w14:schemeClr w14:val="tx1"/>
                  </w14:solidFill>
                </w14:textFill>
              </w:rPr>
              <w:t>参数</w:t>
            </w:r>
            <w:r>
              <w:rPr>
                <w:rFonts w:hint="eastAsia" w:ascii="仿宋" w:hAnsi="仿宋" w:eastAsia="仿宋" w:cs="仿宋"/>
                <w:color w:val="000000" w:themeColor="text1"/>
                <w:sz w:val="24"/>
                <w:szCs w:val="24"/>
                <w:highlight w:val="none"/>
                <w14:textFill>
                  <w14:solidFill>
                    <w14:schemeClr w14:val="tx1"/>
                  </w14:solidFill>
                </w14:textFill>
              </w:rPr>
              <w:t>不满足招标文件要求</w:t>
            </w:r>
            <w:r>
              <w:rPr>
                <w:rFonts w:hint="eastAsia" w:ascii="仿宋" w:hAnsi="仿宋" w:eastAsia="仿宋" w:cs="仿宋"/>
                <w:color w:val="000000" w:themeColor="text1"/>
                <w:sz w:val="24"/>
                <w:szCs w:val="24"/>
                <w:highlight w:val="none"/>
                <w:lang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50分扣完为止；</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注：</w:t>
            </w:r>
            <w:r>
              <w:rPr>
                <w:rFonts w:hint="eastAsia" w:ascii="仿宋" w:hAnsi="仿宋" w:eastAsia="仿宋" w:cs="仿宋"/>
                <w:b/>
                <w:bCs/>
                <w:color w:val="000000" w:themeColor="text1"/>
                <w:sz w:val="24"/>
                <w:szCs w:val="22"/>
                <w:highlight w:val="none"/>
                <w14:textFill>
                  <w14:solidFill>
                    <w14:schemeClr w14:val="tx1"/>
                  </w14:solidFill>
                </w14:textFill>
              </w:rPr>
              <w:t>投标文件中必须提供最新技术支持资料支持技术规格偏离表应答（包括投标产品</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厂家</w:t>
            </w:r>
            <w:r>
              <w:rPr>
                <w:rFonts w:hint="eastAsia" w:ascii="仿宋" w:hAnsi="仿宋" w:eastAsia="仿宋" w:cs="仿宋"/>
                <w:b/>
                <w:bCs/>
                <w:color w:val="000000" w:themeColor="text1"/>
                <w:sz w:val="24"/>
                <w:szCs w:val="22"/>
                <w:highlight w:val="none"/>
                <w14:textFill>
                  <w14:solidFill>
                    <w14:schemeClr w14:val="tx1"/>
                  </w14:solidFill>
                </w14:textFill>
              </w:rPr>
              <w:t>技术白皮书或检测报告或印刷宣传彩页或</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厂家</w:t>
            </w:r>
            <w:r>
              <w:rPr>
                <w:rFonts w:hint="eastAsia" w:ascii="仿宋" w:hAnsi="仿宋" w:eastAsia="仿宋" w:cs="仿宋"/>
                <w:b/>
                <w:bCs/>
                <w:color w:val="000000" w:themeColor="text1"/>
                <w:sz w:val="24"/>
                <w:szCs w:val="22"/>
                <w:highlight w:val="none"/>
                <w14:textFill>
                  <w14:solidFill>
                    <w14:schemeClr w14:val="tx1"/>
                  </w14:solidFill>
                </w14:textFill>
              </w:rPr>
              <w:t>性能参数说明等第三方证明材料</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若文件有要求的则以文件为准</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，不接受投标人自行印刷、打印或者手写的技术支持资料，凡不符合上述要求的，视为无效技术支持资料）</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若投标文件中技术支持资料参数与技术规格偏离表应答不符或无支持资料应答</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或</w:t>
            </w:r>
            <w:r>
              <w:rPr>
                <w:rFonts w:hint="eastAsia" w:ascii="仿宋" w:hAnsi="仿宋" w:eastAsia="仿宋" w:cs="仿宋"/>
                <w:b/>
                <w:bCs/>
                <w:color w:val="000000" w:themeColor="text1"/>
                <w:sz w:val="24"/>
                <w:szCs w:val="22"/>
                <w:highlight w:val="none"/>
                <w14:textFill>
                  <w14:solidFill>
                    <w14:schemeClr w14:val="tx1"/>
                  </w14:solidFill>
                </w14:textFill>
              </w:rPr>
              <w:t>投标人提供的支持材料内容存在无法识别的数据导致评标委员会无法评定，而投标人又未在投标文件中作出说明和解释的，视为不响应该条技术参数要求</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2"/>
              <w:shd w:val="clear" w:fill="FFFFFF" w:themeFill="background1"/>
              <w:spacing w:line="360" w:lineRule="auto"/>
              <w:jc w:val="cente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2.项目实施方案评审评分</w:t>
            </w:r>
          </w:p>
          <w:p>
            <w:pPr>
              <w:pStyle w:val="32"/>
              <w:shd w:val="clear" w:fill="FFFFFF" w:themeFill="background1"/>
              <w:spacing w:line="360" w:lineRule="auto"/>
              <w:jc w:val="cente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（2分）</w:t>
            </w:r>
          </w:p>
        </w:tc>
        <w:tc>
          <w:tcPr>
            <w:tcW w:w="8013" w:type="dxa"/>
            <w:tcBorders>
              <w:top w:val="single" w:color="auto" w:sz="4" w:space="0"/>
              <w:bottom w:val="single" w:color="auto" w:sz="6" w:space="0"/>
            </w:tcBorders>
            <w:shd w:val="clear" w:color="auto" w:fill="FFFFFF" w:themeFill="background1"/>
            <w:vAlign w:val="center"/>
          </w:tcPr>
          <w:p>
            <w:pPr>
              <w:pStyle w:val="10"/>
              <w:keepNext w:val="0"/>
              <w:keepLines w:val="0"/>
              <w:pageBreakBefore w:val="0"/>
              <w:widowControl w:val="0"/>
              <w:shd w:val="clear" w:fill="FFFFFF" w:themeFill="background1"/>
              <w:kinsoku/>
              <w:wordWrap/>
              <w:overflowPunct/>
              <w:topLinePunct w:val="0"/>
              <w:autoSpaceDE/>
              <w:autoSpaceDN/>
              <w:bidi w:val="0"/>
              <w:adjustRightInd/>
              <w:snapToGrid/>
              <w:spacing w:before="0" w:line="400" w:lineRule="exact"/>
              <w:ind w:firstLine="480" w:firstLineChars="200"/>
              <w:textAlignment w:val="auto"/>
              <w:rPr>
                <w:rFonts w:hint="eastAsia" w:ascii="仿宋" w:hAnsi="仿宋" w:eastAsia="仿宋" w:cs="仿宋"/>
                <w:b w:val="0"/>
                <w:bCs w:val="0"/>
                <w:color w:val="000000" w:themeColor="text1"/>
                <w:szCs w:val="24"/>
                <w:highlight w:val="none"/>
                <w14:textFill>
                  <w14:solidFill>
                    <w14:schemeClr w14:val="tx1"/>
                  </w14:solidFill>
                </w14:textFill>
              </w:rPr>
            </w:pPr>
            <w:r>
              <w:rPr>
                <w:rFonts w:hint="eastAsia" w:ascii="仿宋" w:hAnsi="仿宋" w:eastAsia="仿宋" w:cs="仿宋"/>
                <w:b w:val="0"/>
                <w:bCs w:val="0"/>
                <w:color w:val="000000" w:themeColor="text1"/>
                <w:szCs w:val="24"/>
                <w:highlight w:val="none"/>
                <w14:textFill>
                  <w14:solidFill>
                    <w14:schemeClr w14:val="tx1"/>
                  </w14:solidFill>
                </w14:textFill>
              </w:rPr>
              <w:t>根据投标人针对本项目提供的项目实施方案（</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①</w:t>
            </w:r>
            <w:r>
              <w:rPr>
                <w:rFonts w:hint="eastAsia" w:ascii="仿宋" w:hAnsi="仿宋" w:eastAsia="仿宋" w:cs="仿宋"/>
                <w:b w:val="0"/>
                <w:bCs w:val="0"/>
                <w:color w:val="000000" w:themeColor="text1"/>
                <w:highlight w:val="none"/>
                <w:lang w:val="en-US" w:eastAsia="zh-CN"/>
                <w14:textFill>
                  <w14:solidFill>
                    <w14:schemeClr w14:val="tx1"/>
                  </w14:solidFill>
                </w14:textFill>
              </w:rPr>
              <w:t>项目特点分析</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b w:val="0"/>
                <w:bCs w:val="0"/>
                <w:color w:val="000000" w:themeColor="text1"/>
                <w:highlight w:val="none"/>
                <w:lang w:val="en-US" w:eastAsia="zh-CN"/>
                <w14:textFill>
                  <w14:solidFill>
                    <w14:schemeClr w14:val="tx1"/>
                  </w14:solidFill>
                </w14:textFill>
              </w:rPr>
              <w:t>配送、交货方案及流程计划</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、③配送应急预案、④</w:t>
            </w:r>
            <w:r>
              <w:rPr>
                <w:rFonts w:hint="eastAsia" w:ascii="仿宋" w:hAnsi="仿宋" w:eastAsia="仿宋" w:cs="仿宋"/>
                <w:b w:val="0"/>
                <w:bCs w:val="0"/>
                <w:color w:val="000000" w:themeColor="text1"/>
                <w:highlight w:val="none"/>
                <w:lang w:val="en-US" w:eastAsia="zh-CN"/>
                <w14:textFill>
                  <w14:solidFill>
                    <w14:schemeClr w14:val="tx1"/>
                  </w14:solidFill>
                </w14:textFill>
              </w:rPr>
              <w:t>设备安装调试方案</w:t>
            </w:r>
            <w:r>
              <w:rPr>
                <w:rFonts w:hint="eastAsia" w:ascii="仿宋" w:hAnsi="仿宋" w:eastAsia="仿宋" w:cs="仿宋"/>
                <w:b w:val="0"/>
                <w:bCs w:val="0"/>
                <w:color w:val="000000" w:themeColor="text1"/>
                <w:szCs w:val="24"/>
                <w:highlight w:val="none"/>
                <w14:textFill>
                  <w14:solidFill>
                    <w14:schemeClr w14:val="tx1"/>
                  </w14:solidFill>
                </w14:textFill>
              </w:rPr>
              <w:t>）进行评分：</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以上4项方案内容全部提供，</w:t>
            </w:r>
            <w:r>
              <w:rPr>
                <w:rFonts w:hint="eastAsia" w:ascii="仿宋" w:hAnsi="仿宋" w:eastAsia="仿宋" w:cs="仿宋"/>
                <w:b/>
                <w:bCs/>
                <w:color w:val="000000" w:themeColor="text1"/>
                <w:highlight w:val="none"/>
                <w:lang w:val="en-US" w:eastAsia="zh-CN"/>
                <w14:textFill>
                  <w14:solidFill>
                    <w14:schemeClr w14:val="tx1"/>
                  </w14:solidFill>
                </w14:textFill>
              </w:rPr>
              <w:t>项目特点分析</w:t>
            </w:r>
            <w:r>
              <w:rPr>
                <w:rFonts w:hint="eastAsia" w:ascii="仿宋" w:hAnsi="仿宋" w:eastAsia="仿宋" w:cs="仿宋"/>
                <w:color w:val="000000" w:themeColor="text1"/>
                <w:sz w:val="24"/>
                <w:szCs w:val="24"/>
                <w:highlight w:val="none"/>
                <w14:textFill>
                  <w14:solidFill>
                    <w14:schemeClr w14:val="tx1"/>
                  </w14:solidFill>
                </w14:textFill>
              </w:rPr>
              <w:t>充分结合项目特征，</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充分考虑了</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医院</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及使用科室</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的特点、</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需求，对重点关键环节把握到位,对难点问题有充分预计，把握考虑周到</w:t>
            </w:r>
            <w:r>
              <w:rPr>
                <w:rFonts w:hint="eastAsia" w:ascii="仿宋" w:hAnsi="仿宋" w:eastAsia="仿宋" w:cs="仿宋"/>
                <w:b w:val="0"/>
                <w:bCs w:val="0"/>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lang w:val="en-US" w:eastAsia="zh-CN"/>
                <w14:textFill>
                  <w14:solidFill>
                    <w14:schemeClr w14:val="tx1"/>
                  </w14:solidFill>
                </w14:textFill>
              </w:rPr>
              <w:t>配送、交货方案及流程计划</w:t>
            </w:r>
            <w:r>
              <w:rPr>
                <w:rFonts w:hint="eastAsia" w:ascii="仿宋" w:hAnsi="仿宋" w:eastAsia="仿宋" w:cs="仿宋"/>
                <w:b w:val="0"/>
                <w:bCs w:val="0"/>
                <w:color w:val="000000" w:themeColor="text1"/>
                <w:highlight w:val="none"/>
                <w:lang w:val="en-US" w:eastAsia="zh-CN"/>
                <w14:textFill>
                  <w14:solidFill>
                    <w14:schemeClr w14:val="tx1"/>
                  </w14:solidFill>
                </w14:textFill>
              </w:rPr>
              <w:t>完善合理，</w:t>
            </w:r>
            <w:r>
              <w:rPr>
                <w:rFonts w:hint="eastAsia" w:ascii="仿宋" w:hAnsi="仿宋" w:eastAsia="仿宋" w:cs="仿宋"/>
                <w:color w:val="000000" w:themeColor="text1"/>
                <w:sz w:val="24"/>
                <w:szCs w:val="24"/>
                <w:highlight w:val="none"/>
                <w14:textFill>
                  <w14:solidFill>
                    <w14:schemeClr w14:val="tx1"/>
                  </w14:solidFill>
                </w14:textFill>
              </w:rPr>
              <w:t>提供具有针对性的具体的集中配送管理及措施方案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配送</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交货</w:t>
            </w:r>
            <w:r>
              <w:rPr>
                <w:rFonts w:hint="eastAsia" w:ascii="仿宋" w:hAnsi="仿宋" w:eastAsia="仿宋" w:cs="仿宋"/>
                <w:color w:val="000000" w:themeColor="text1"/>
                <w:sz w:val="24"/>
                <w:szCs w:val="24"/>
                <w:highlight w:val="none"/>
                <w14:textFill>
                  <w14:solidFill>
                    <w14:schemeClr w14:val="tx1"/>
                  </w14:solidFill>
                </w14:textFill>
              </w:rPr>
              <w:t>时间客观合理，能够完全保障项目供货要求，货物交接环节科学严谨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配送应急预案</w:t>
            </w:r>
            <w:r>
              <w:rPr>
                <w:rFonts w:hint="eastAsia" w:ascii="仿宋" w:hAnsi="仿宋" w:eastAsia="仿宋" w:cs="仿宋"/>
                <w:color w:val="000000" w:themeColor="text1"/>
                <w:sz w:val="24"/>
                <w:szCs w:val="24"/>
                <w:highlight w:val="none"/>
                <w:lang w:val="en-US" w:eastAsia="zh-CN"/>
                <w14:textFill>
                  <w14:solidFill>
                    <w14:schemeClr w14:val="tx1"/>
                  </w14:solidFill>
                </w14:textFill>
              </w:rPr>
              <w:t>考虑全面，针对</w:t>
            </w:r>
            <w:r>
              <w:rPr>
                <w:rFonts w:hint="eastAsia" w:ascii="仿宋" w:hAnsi="仿宋" w:eastAsia="仿宋" w:cs="仿宋"/>
                <w:b w:val="0"/>
                <w:bCs w:val="0"/>
                <w:color w:val="000000" w:themeColor="text1"/>
                <w:kern w:val="0"/>
                <w:sz w:val="24"/>
                <w:szCs w:val="24"/>
                <w:highlight w:val="none"/>
                <w14:textFill>
                  <w14:solidFill>
                    <w14:schemeClr w14:val="tx1"/>
                  </w14:solidFill>
                </w14:textFill>
              </w:rPr>
              <w:t>配送过程中</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可能</w:t>
            </w:r>
            <w:r>
              <w:rPr>
                <w:rFonts w:hint="eastAsia" w:ascii="仿宋" w:hAnsi="仿宋" w:eastAsia="仿宋" w:cs="仿宋"/>
                <w:b w:val="0"/>
                <w:bCs w:val="0"/>
                <w:color w:val="000000" w:themeColor="text1"/>
                <w:kern w:val="0"/>
                <w:sz w:val="24"/>
                <w:szCs w:val="24"/>
                <w:highlight w:val="none"/>
                <w14:textFill>
                  <w14:solidFill>
                    <w14:schemeClr w14:val="tx1"/>
                  </w14:solidFill>
                </w14:textFill>
              </w:rPr>
              <w:t>风险点</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如</w:t>
            </w:r>
            <w:r>
              <w:rPr>
                <w:rFonts w:hint="eastAsia" w:ascii="仿宋" w:hAnsi="仿宋" w:eastAsia="仿宋" w:cs="仿宋"/>
                <w:color w:val="000000" w:themeColor="text1"/>
                <w:sz w:val="24"/>
                <w:szCs w:val="24"/>
                <w:highlight w:val="none"/>
                <w:lang w:val="en-US" w:eastAsia="zh-CN"/>
                <w14:textFill>
                  <w14:solidFill>
                    <w14:schemeClr w14:val="tx1"/>
                  </w14:solidFill>
                </w14:textFill>
              </w:rPr>
              <w:t>恶劣天气、自然灾害、节假日配送等</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所供货产品可能出现的缺货情况及</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急诊手术等情况</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）建立了完善合理的应急预案，</w:t>
            </w:r>
            <w:r>
              <w:rPr>
                <w:rFonts w:hint="eastAsia" w:ascii="仿宋" w:hAnsi="仿宋" w:eastAsia="仿宋" w:cs="仿宋"/>
                <w:color w:val="000000" w:themeColor="text1"/>
                <w:sz w:val="24"/>
                <w:szCs w:val="24"/>
                <w:highlight w:val="none"/>
                <w:lang w:val="en-US" w:eastAsia="zh-CN"/>
                <w14:textFill>
                  <w14:solidFill>
                    <w14:schemeClr w14:val="tx1"/>
                  </w14:solidFill>
                </w14:textFill>
              </w:rPr>
              <w:t>保障措施有力，</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处置方式完备合理</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lang w:val="en-US" w:eastAsia="zh-CN"/>
                <w14:textFill>
                  <w14:solidFill>
                    <w14:schemeClr w14:val="tx1"/>
                  </w14:solidFill>
                </w14:textFill>
              </w:rPr>
              <w:t>设备安装调试方案</w:t>
            </w:r>
            <w:r>
              <w:rPr>
                <w:rFonts w:hint="eastAsia" w:ascii="仿宋" w:hAnsi="仿宋" w:eastAsia="仿宋" w:cs="仿宋"/>
                <w:b w:val="0"/>
                <w:bCs w:val="0"/>
                <w:color w:val="000000" w:themeColor="text1"/>
                <w:highlight w:val="none"/>
                <w:lang w:val="en-US" w:eastAsia="zh-CN"/>
                <w14:textFill>
                  <w14:solidFill>
                    <w14:schemeClr w14:val="tx1"/>
                  </w14:solidFill>
                </w14:textFill>
              </w:rPr>
              <w:t>完整、详实、思路清晰、考虑全面，对项目实施的重点关键环节把握到位，对难点问题有充分预计的，没有</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内容不完整或有缺陷或与项目不匹配得得满分2分，在此基础上，每缺少一项内容的扣0.5分，每一项内容达不到上述要求，不完整或有缺陷或与项目不匹配的扣0.25分，每一项内容最多扣0.5分，分数扣完为止。</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2"/>
              <w:shd w:val="clear" w:fill="FFFFFF" w:themeFill="background1"/>
              <w:spacing w:line="360" w:lineRule="auto"/>
              <w:jc w:val="center"/>
              <w:rPr>
                <w:rFonts w:hint="eastAsia" w:ascii="仿宋" w:hAnsi="仿宋" w:eastAsia="仿宋" w:cs="仿宋"/>
                <w:strike w:val="0"/>
                <w:dstrike w:val="0"/>
                <w:color w:val="auto"/>
                <w:sz w:val="24"/>
                <w:szCs w:val="24"/>
                <w:highlight w:val="none"/>
                <w:lang w:val="en-US" w:eastAsia="zh-CN" w:bidi="ar-SA"/>
              </w:rPr>
            </w:pPr>
            <w:r>
              <w:rPr>
                <w:rFonts w:hint="eastAsia" w:ascii="仿宋" w:hAnsi="仿宋" w:eastAsia="仿宋" w:cs="仿宋"/>
                <w:strike w:val="0"/>
                <w:dstrike w:val="0"/>
                <w:color w:val="auto"/>
                <w:sz w:val="24"/>
                <w:szCs w:val="24"/>
                <w:highlight w:val="none"/>
                <w:lang w:val="en-US" w:eastAsia="zh-CN" w:bidi="ar-SA"/>
              </w:rPr>
              <w:t>3.ISO15189医学实验室认可咨询及指导服务方案及能力评审评分（7分）</w:t>
            </w:r>
          </w:p>
        </w:tc>
        <w:tc>
          <w:tcPr>
            <w:tcW w:w="8013" w:type="dxa"/>
            <w:tcBorders>
              <w:top w:val="single" w:color="auto" w:sz="4" w:space="0"/>
              <w:bottom w:val="single" w:color="auto" w:sz="6" w:space="0"/>
            </w:tcBorders>
            <w:shd w:val="clear" w:color="auto" w:fill="FFFFFF" w:themeFill="background1"/>
            <w:vAlign w:val="center"/>
          </w:tcPr>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（1）投标人针对</w:t>
            </w:r>
            <w:r>
              <w:rPr>
                <w:rFonts w:hint="eastAsia" w:ascii="仿宋" w:hAnsi="仿宋" w:eastAsia="仿宋" w:cs="仿宋"/>
                <w:b/>
                <w:bCs/>
                <w:strike w:val="0"/>
                <w:dstrike w:val="0"/>
                <w:color w:val="auto"/>
                <w:sz w:val="24"/>
                <w:szCs w:val="24"/>
                <w:highlight w:val="none"/>
                <w:lang w:val="en-US" w:eastAsia="zh-CN"/>
              </w:rPr>
              <w:t>整体项目ISO15189医学实验室认可咨询及指导服务要求</w:t>
            </w:r>
            <w:r>
              <w:rPr>
                <w:rFonts w:hint="eastAsia" w:ascii="仿宋" w:hAnsi="仿宋" w:eastAsia="仿宋" w:cs="仿宋"/>
                <w:strike w:val="0"/>
                <w:dstrike w:val="0"/>
                <w:color w:val="auto"/>
                <w:sz w:val="24"/>
                <w:szCs w:val="24"/>
                <w:highlight w:val="none"/>
                <w:lang w:val="en-US" w:eastAsia="zh-CN"/>
              </w:rPr>
              <w:t>提供的服务方案，满足医院ISO15189医学实验室认可咨询及指导服务要求的得2分，否则得1分，未提供不得分；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（2）服务方案内容的全面、合理、可行、详实、思路清晰、对项目实施的重点关键环节把握到位，对难点问题有充分预计的得1分，内容不完整或有缺陷或与项目不匹配不得分；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（3）ISO15189医学实验室认可通过时间进行比较打分，优于招标服务方案要求的得1分，仅满足招标服务要求的不得分；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（4）ISO15189医学实验室认可咨询及指导服务类似业绩，每提供一个有效业绩得1分，最多得2分；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5）根据投标人提供的全程工作计划进行评审，全程工作计划内容全面、系统性、合理性、可执行性强，工作计划目标明确，内容完整，思路清晰合理，有针对性得1分，工作计划内容不完整或有缺陷或与项目不匹配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664" w:hRule="atLeast"/>
          <w:jc w:val="center"/>
        </w:trPr>
        <w:tc>
          <w:tcPr>
            <w:tcW w:w="906" w:type="dxa"/>
            <w:vMerge w:val="restart"/>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7上午</w:t>
            </w:r>
            <w:r>
              <w:rPr>
                <w:rFonts w:hint="eastAsia" w:ascii="仿宋" w:hAnsi="仿宋" w:eastAsia="仿宋" w:cs="仿宋"/>
                <w:color w:val="000000" w:themeColor="text1"/>
                <w:sz w:val="24"/>
                <w:szCs w:val="24"/>
                <w:highlight w:val="none"/>
                <w14:textFill>
                  <w14:solidFill>
                    <w14:schemeClr w14:val="tx1"/>
                  </w14:solidFill>
                </w14:textFill>
              </w:rPr>
              <w:t>部分F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286" w:type="dxa"/>
            <w:tcBorders>
              <w:top w:val="single" w:color="auto" w:sz="4" w:space="0"/>
            </w:tcBorders>
            <w:shd w:val="clear" w:color="auto" w:fill="FFFFFF" w:themeFill="background1"/>
            <w:vAlign w:val="center"/>
          </w:tcPr>
          <w:p>
            <w:pPr>
              <w:pStyle w:val="10"/>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440" w:lineRule="exact"/>
              <w:ind w:right="0" w:rightChars="0"/>
              <w:jc w:val="center"/>
              <w:textAlignment w:val="auto"/>
              <w:outlineLvl w:val="9"/>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1.售后服务能力及方案评审评分</w:t>
            </w:r>
          </w:p>
          <w:p>
            <w:pPr>
              <w:pStyle w:val="10"/>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440" w:lineRule="exact"/>
              <w:ind w:left="0" w:leftChars="0" w:right="0" w:rightChars="0" w:firstLine="0" w:firstLineChars="0"/>
              <w:jc w:val="center"/>
              <w:textAlignment w:val="auto"/>
              <w:outlineLvl w:val="9"/>
              <w:rPr>
                <w:rFonts w:hint="default"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（2分）</w:t>
            </w:r>
          </w:p>
        </w:tc>
        <w:tc>
          <w:tcPr>
            <w:tcW w:w="8013" w:type="dxa"/>
            <w:tcBorders>
              <w:top w:val="single" w:color="auto" w:sz="4" w:space="0"/>
            </w:tcBorders>
            <w:shd w:val="clear" w:color="auto" w:fill="FFFFFF" w:themeFill="background1"/>
            <w:vAlign w:val="center"/>
          </w:tcPr>
          <w:p>
            <w:pPr>
              <w:pStyle w:val="32"/>
              <w:keepNext w:val="0"/>
              <w:keepLines w:val="0"/>
              <w:pageBreakBefore w:val="0"/>
              <w:widowControl w:val="0"/>
              <w:shd w:val="clear" w:fill="FFFFFF" w:themeFill="background1"/>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根据供应商提供的售后服务能力及方案（①</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售后服务计划及保障措施（包括售后服务响应、设备保养、巡检、故障响应维修、技术支持）、</w:t>
            </w:r>
            <w:r>
              <w:rPr>
                <w:rFonts w:hint="eastAsia" w:ascii="仿宋" w:hAnsi="仿宋" w:eastAsia="仿宋" w:cs="仿宋"/>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售后服务团队配置、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③售后应急预案、④</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售后服务承诺</w:t>
            </w:r>
            <w:r>
              <w:rPr>
                <w:rFonts w:hint="eastAsia" w:ascii="仿宋" w:hAnsi="仿宋" w:eastAsia="仿宋" w:cs="仿宋"/>
                <w:color w:val="000000" w:themeColor="text1"/>
                <w:sz w:val="24"/>
                <w:szCs w:val="24"/>
                <w:highlight w:val="none"/>
                <w:lang w:val="en-US" w:eastAsia="zh-CN"/>
                <w14:textFill>
                  <w14:solidFill>
                    <w14:schemeClr w14:val="tx1"/>
                  </w14:solidFill>
                </w14:textFill>
              </w:rPr>
              <w:t>）进行综合评审：</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以上4项方案内容全部提供，</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计划充分考虑了用户实际情况及使用需求、内容全面，保障措施得当有力、响应及时；后服务团队配置搭配合理、分工明确、人员经验丰富、素质高，有稳定售后服务团队，有固定的售后人员且售后服务人员联系方便，能够提升售后服务效率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售后应急预案考虑全面，有具体可行的解决方案；</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售后服务承诺详细明确，并有合理可行的奖惩措施，没有</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不完整或有缺陷或与项目不匹配的得满分2分，得满分2分，在此基础上，每缺少一项内容的扣0.5分，每一项内容达不到上述要求，不完整或有缺陷或与项目不匹配的扣0.25分，每一项内容最多扣0.5分，分数扣完为止。</w:t>
            </w:r>
          </w:p>
          <w:p>
            <w:pPr>
              <w:pStyle w:val="32"/>
              <w:keepNext w:val="0"/>
              <w:keepLines w:val="0"/>
              <w:pageBreakBefore w:val="0"/>
              <w:widowControl w:val="0"/>
              <w:shd w:val="clear" w:fill="FFFFFF" w:themeFill="background1"/>
              <w:kinsoku/>
              <w:wordWrap/>
              <w:overflowPunct/>
              <w:topLinePunct w:val="0"/>
              <w:bidi w:val="0"/>
              <w:snapToGrid/>
              <w:spacing w:line="400" w:lineRule="exact"/>
              <w:ind w:right="0" w:righ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664" w:hRule="atLeast"/>
          <w:jc w:val="center"/>
        </w:trPr>
        <w:tc>
          <w:tcPr>
            <w:tcW w:w="906" w:type="dxa"/>
            <w:vMerge w:val="continue"/>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3"/>
              <w:keepNext w:val="0"/>
              <w:keepLines w:val="0"/>
              <w:pageBreakBefore w:val="0"/>
              <w:widowControl w:val="0"/>
              <w:numPr>
                <w:ilvl w:val="0"/>
                <w:numId w:val="0"/>
              </w:numPr>
              <w:shd w:val="clear" w:color="auto" w:fill="FFFFFF" w:themeFill="background1"/>
              <w:kinsoku/>
              <w:wordWrap/>
              <w:overflowPunct/>
              <w:topLinePunct w:val="0"/>
              <w:bidi w:val="0"/>
              <w:snapToGrid/>
              <w:spacing w:line="440" w:lineRule="exact"/>
              <w:jc w:val="center"/>
              <w:textAlignment w:val="auto"/>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2.技术培训方案评审评分</w:t>
            </w:r>
          </w:p>
          <w:p>
            <w:pPr>
              <w:pStyle w:val="33"/>
              <w:keepNext w:val="0"/>
              <w:keepLines w:val="0"/>
              <w:pageBreakBefore w:val="0"/>
              <w:widowControl w:val="0"/>
              <w:numPr>
                <w:ilvl w:val="0"/>
                <w:numId w:val="0"/>
              </w:numPr>
              <w:shd w:val="clear" w:color="auto" w:fill="FFFFFF" w:themeFill="background1"/>
              <w:kinsoku/>
              <w:wordWrap/>
              <w:overflowPunct/>
              <w:topLinePunct w:val="0"/>
              <w:bidi w:val="0"/>
              <w:snapToGrid/>
              <w:spacing w:line="440" w:lineRule="exact"/>
              <w:jc w:val="center"/>
              <w:textAlignment w:val="auto"/>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（2分）</w:t>
            </w:r>
          </w:p>
        </w:tc>
        <w:tc>
          <w:tcPr>
            <w:tcW w:w="8013" w:type="dxa"/>
            <w:tcBorders>
              <w:top w:val="single" w:color="auto" w:sz="4" w:space="0"/>
            </w:tcBorders>
            <w:shd w:val="clear" w:color="auto" w:fill="FFFFFF" w:themeFill="background1"/>
            <w:vAlign w:val="center"/>
          </w:tcPr>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根据供应商提供的培训方案（①培训内容（设备原理、操作、维护、维修及常见故障处理）、②培训方式及计划）进行综合评审：</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2项方案内容全部提供，培训目标明确，培训内容完整，课程安排思路清晰合理；培训方式多样，培训计划时间流程、培训人员素质高、配置安排合理，有针对性的得满分2分，在此基础上，每缺少一项内容的扣1分，每一项内容达不到上述要求，不完整或有缺陷或与项目不匹配的扣0.5分，每一项内容最多扣1分，分数扣完为止。</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664"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3"/>
              <w:shd w:val="clear" w:fill="FFFFFF" w:themeFill="background1"/>
              <w:spacing w:line="360" w:lineRule="auto"/>
              <w:ind w:firstLine="0" w:firstLineChars="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类似业绩评审</w:t>
            </w:r>
            <w:r>
              <w:rPr>
                <w:rFonts w:hint="eastAsia" w:ascii="仿宋" w:hAnsi="仿宋" w:eastAsia="仿宋" w:cs="仿宋"/>
                <w:color w:val="000000" w:themeColor="text1"/>
                <w:sz w:val="24"/>
                <w:szCs w:val="24"/>
                <w:highlight w:val="none"/>
                <w:lang w:val="en-US" w:eastAsia="zh-CN"/>
                <w14:textFill>
                  <w14:solidFill>
                    <w14:schemeClr w14:val="tx1"/>
                  </w14:solidFill>
                </w14:textFill>
              </w:rPr>
              <w:t>评分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8013" w:type="dxa"/>
            <w:tcBorders>
              <w:top w:val="single" w:color="auto" w:sz="4" w:space="0"/>
            </w:tcBorders>
            <w:shd w:val="clear" w:color="auto" w:fill="FFFFFF" w:themeFill="background1"/>
            <w:vAlign w:val="center"/>
          </w:tcPr>
          <w:p>
            <w:pPr>
              <w:pStyle w:val="33"/>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ind w:firstLine="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每提供一个类似业绩，得</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分。类似业绩是指</w:t>
            </w:r>
            <w:r>
              <w:rPr>
                <w:rFonts w:hint="eastAsia" w:ascii="仿宋" w:hAnsi="仿宋" w:eastAsia="仿宋" w:cs="仿宋"/>
                <w:color w:val="000000" w:themeColor="text1"/>
                <w:sz w:val="24"/>
                <w:szCs w:val="24"/>
                <w:highlight w:val="none"/>
                <w:lang w:val="en-US" w:eastAsia="zh-CN"/>
                <w14:textFill>
                  <w14:solidFill>
                    <w14:schemeClr w14:val="tx1"/>
                  </w14:solidFill>
                </w14:textFill>
              </w:rPr>
              <w:t>2021</w:t>
            </w:r>
            <w:r>
              <w:rPr>
                <w:rFonts w:hint="eastAsia" w:ascii="仿宋" w:hAnsi="仿宋" w:eastAsia="仿宋" w:cs="仿宋"/>
                <w:color w:val="000000" w:themeColor="text1"/>
                <w:sz w:val="24"/>
                <w:szCs w:val="24"/>
                <w:highlight w:val="none"/>
                <w14:textFill>
                  <w14:solidFill>
                    <w14:schemeClr w14:val="tx1"/>
                  </w14:solidFill>
                </w14:textFill>
              </w:rPr>
              <w:t>年至</w:t>
            </w:r>
            <w:r>
              <w:rPr>
                <w:rFonts w:hint="eastAsia" w:ascii="仿宋" w:hAnsi="仿宋" w:eastAsia="仿宋" w:cs="仿宋"/>
                <w:color w:val="000000" w:themeColor="text1"/>
                <w:sz w:val="24"/>
                <w:szCs w:val="24"/>
                <w:highlight w:val="none"/>
                <w:lang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文件递交截止时间完成的类似业绩(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提供合同</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包括</w:t>
            </w:r>
            <w:r>
              <w:rPr>
                <w:rFonts w:hint="eastAsia" w:ascii="仿宋" w:hAnsi="仿宋" w:eastAsia="仿宋" w:cs="仿宋"/>
                <w:color w:val="000000" w:themeColor="text1"/>
                <w:sz w:val="24"/>
                <w:szCs w:val="24"/>
                <w:highlight w:val="none"/>
                <w14:textFill>
                  <w14:solidFill>
                    <w14:schemeClr w14:val="tx1"/>
                  </w14:solidFill>
                </w14:textFill>
              </w:rPr>
              <w:t>：合同首页、标的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金额所在页及合同签字盖章页）</w:t>
            </w:r>
            <w:r>
              <w:rPr>
                <w:rFonts w:hint="eastAsia" w:ascii="仿宋" w:hAnsi="仿宋" w:eastAsia="仿宋" w:cs="仿宋"/>
                <w:color w:val="000000" w:themeColor="text1"/>
                <w:sz w:val="24"/>
                <w:szCs w:val="24"/>
                <w:highlight w:val="none"/>
                <w:lang w:val="en-US" w:eastAsia="zh-CN"/>
                <w14:textFill>
                  <w14:solidFill>
                    <w14:schemeClr w14:val="tx1"/>
                  </w14:solidFill>
                </w14:textFill>
              </w:rPr>
              <w:t>证明材料</w:t>
            </w:r>
            <w:r>
              <w:rPr>
                <w:rFonts w:hint="eastAsia" w:ascii="仿宋" w:hAnsi="仿宋" w:eastAsia="仿宋" w:cs="仿宋"/>
                <w:color w:val="000000" w:themeColor="text1"/>
                <w:sz w:val="24"/>
                <w:szCs w:val="24"/>
                <w:highlight w:val="none"/>
                <w14:textFill>
                  <w14:solidFill>
                    <w14:schemeClr w14:val="tx1"/>
                  </w14:solidFill>
                </w14:textFill>
              </w:rPr>
              <w:t>)。</w:t>
            </w:r>
          </w:p>
          <w:p>
            <w:pPr>
              <w:pStyle w:val="33"/>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评审小组根据项目情况，结合各</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业绩进行判定，所提供业绩是否符合本项目采购内容的业绩为有效业绩。</w:t>
            </w:r>
          </w:p>
        </w:tc>
      </w:tr>
    </w:tbl>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bookmarkEnd w:id="746"/>
    <w:bookmarkEnd w:id="747"/>
    <w:bookmarkEnd w:id="748"/>
    <w:bookmarkEnd w:id="749"/>
    <w:p>
      <w:pPr>
        <w:pStyle w:val="5"/>
        <w:shd w:val="clear"/>
        <w:spacing w:before="240" w:after="240" w:line="360" w:lineRule="auto"/>
        <w:ind w:firstLine="602"/>
        <w:outlineLvl w:val="1"/>
        <w:rPr>
          <w:rFonts w:hint="eastAsia" w:ascii="仿宋" w:hAnsi="仿宋" w:eastAsia="仿宋" w:cs="仿宋"/>
          <w:color w:val="000000" w:themeColor="text1"/>
          <w:sz w:val="30"/>
          <w:szCs w:val="30"/>
          <w:highlight w:val="none"/>
          <w14:textFill>
            <w14:solidFill>
              <w14:schemeClr w14:val="tx1"/>
            </w14:solidFill>
          </w14:textFill>
        </w:rPr>
      </w:pPr>
      <w:bookmarkStart w:id="750" w:name="_Toc2722"/>
      <w:bookmarkStart w:id="751" w:name="_Toc29439"/>
      <w:bookmarkStart w:id="752" w:name="_Toc17107"/>
      <w:r>
        <w:rPr>
          <w:rFonts w:hint="eastAsia" w:ascii="仿宋" w:hAnsi="仿宋" w:eastAsia="仿宋" w:cs="仿宋"/>
          <w:color w:val="000000" w:themeColor="text1"/>
          <w:sz w:val="30"/>
          <w:szCs w:val="30"/>
          <w:highlight w:val="none"/>
          <w14:textFill>
            <w14:solidFill>
              <w14:schemeClr w14:val="tx1"/>
            </w14:solidFill>
          </w14:textFill>
        </w:rPr>
        <w:t>一、评标方法</w:t>
      </w:r>
      <w:bookmarkEnd w:id="750"/>
      <w:bookmarkEnd w:id="751"/>
      <w:bookmarkEnd w:id="752"/>
    </w:p>
    <w:p>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根据《中华人民共和国政府采购法》、《中华人民共和国招投标法》、</w:t>
      </w:r>
      <w:r>
        <w:rPr>
          <w:rFonts w:hint="eastAsia" w:ascii="仿宋" w:hAnsi="仿宋" w:eastAsia="仿宋" w:cs="仿宋"/>
          <w:color w:val="000000" w:themeColor="text1"/>
          <w:kern w:val="0"/>
          <w:sz w:val="24"/>
          <w:highlight w:val="none"/>
          <w14:textFill>
            <w14:solidFill>
              <w14:schemeClr w14:val="tx1"/>
            </w14:solidFill>
          </w14:textFill>
        </w:rPr>
        <w:t>《中华人民共和国政府采购法实施条例》、</w:t>
      </w:r>
      <w:r>
        <w:rPr>
          <w:rFonts w:hint="eastAsia" w:ascii="仿宋" w:hAnsi="仿宋" w:eastAsia="仿宋" w:cs="仿宋"/>
          <w:color w:val="000000" w:themeColor="text1"/>
          <w:sz w:val="24"/>
          <w:highlight w:val="none"/>
          <w14:textFill>
            <w14:solidFill>
              <w14:schemeClr w14:val="tx1"/>
            </w14:solidFill>
          </w14:textFill>
        </w:rPr>
        <w:t>《政府采购货物和服务招投标管理办法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财政部令87号</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》等有关规定等有关法律法规，结合本项目实际情况制定本办法。</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本次采购所采用的评标方法为“综合评分法”，即在最大限度地满足招标文件实质性要求前提下，按照招标文件中规定的各项因素进行综合评审后，以评标总得分的排序推荐中标</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，拟选定一名中标</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的评标方法。</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53" w:name="_Toc391301904"/>
      <w:bookmarkStart w:id="754" w:name="_Toc396313203"/>
      <w:bookmarkStart w:id="755" w:name="_Toc364392660"/>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关于中小企业：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.1根据《政府采购促进中小企业发展管理办法》、《关于进一步加大政府采购支持中小企业力度的通知》（财库〔2022〕19号），</w:t>
      </w:r>
      <w:r>
        <w:rPr>
          <w:rFonts w:hint="eastAsia" w:ascii="仿宋" w:hAnsi="仿宋" w:eastAsia="仿宋" w:cs="仿宋"/>
          <w:color w:val="000000" w:themeColor="text1"/>
          <w:sz w:val="24"/>
          <w:szCs w:val="22"/>
          <w:highlight w:val="none"/>
          <w:lang w:val="en-US" w:eastAsia="zh-CN"/>
          <w14:textFill>
            <w14:solidFill>
              <w14:schemeClr w14:val="tx1"/>
            </w14:solidFill>
          </w14:textFill>
        </w:rPr>
        <w:t>本项目非专门面向中小微企业采购项目，残疾人福利性单位及监狱企业等同于中小微企业</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.2 在政府采购活动中，供应商提供的货物、工程或者服务符合下列情形的，享受本办法规定的中小企业扶持政策：</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）在货物采购项目中，货物由中小企业制造，即货物由中小企业生产且使用该中小企业商号或者注册商标；</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）在工程采购项目中，工程由中小企业承建，即工程施工单位为中小企业；</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）在服务采购项目中，服务由中小企业承接，即提供服务的人员为中小企业依照《中华人民共和国劳动合同法》订立劳动合同的从业人员。</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在货物采购项目中，供应商提供的货物既有中小企业制造货物，也有大型企业制造货物的，不享受本办法规定的中小企业扶持政策。</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auto"/>
          <w:sz w:val="24"/>
          <w:szCs w:val="22"/>
          <w:highlight w:val="none"/>
        </w:rPr>
        <w:t>以联合体形式参加政府采购活动，联合体各方均为中小企业的，联合体视同中小企业。其中，联合体各方均为小微企业的，联合体视同小微企业。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.3中小企业参加政府采购活动，应当出具文件中规定的《中小企业声明函》，否则不得享受相关中小企业扶持政策。</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.4依据规定享受扶持政策获得政府采购合同</w:t>
      </w:r>
      <w:r>
        <w:rPr>
          <w:rFonts w:hint="eastAsia" w:ascii="仿宋" w:hAnsi="仿宋" w:eastAsia="仿宋" w:cs="仿宋"/>
          <w:color w:val="000000" w:themeColor="text1"/>
          <w:sz w:val="24"/>
          <w:highlight w:val="none"/>
          <w14:textFill>
            <w14:solidFill>
              <w14:schemeClr w14:val="tx1"/>
            </w14:solidFill>
          </w14:textFill>
        </w:rPr>
        <w:t>的，小微企业不得将合同分包给大中型企业，中型企业不得将合同分包给大型企业。</w:t>
      </w:r>
    </w:p>
    <w:p>
      <w:pPr>
        <w:shd w:val="clear"/>
        <w:spacing w:line="360" w:lineRule="auto"/>
        <w:ind w:firstLine="480" w:firstLineChars="200"/>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1.1.5本项目政府采购合同不允许分包。</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.6大中小企业划分标准</w:t>
      </w:r>
    </w:p>
    <w:p>
      <w:pPr>
        <w:widowControl/>
        <w:shd w:val="clear"/>
        <w:spacing w:line="360" w:lineRule="auto"/>
        <w:ind w:firstLine="482"/>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统计上大中小微型企业划分标准</w:t>
      </w:r>
    </w:p>
    <w:tbl>
      <w:tblPr>
        <w:tblStyle w:val="22"/>
        <w:tblW w:w="8885"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1"/>
        <w:gridCol w:w="1418"/>
        <w:gridCol w:w="708"/>
        <w:gridCol w:w="1298"/>
        <w:gridCol w:w="1490"/>
        <w:gridCol w:w="1398"/>
        <w:gridCol w:w="13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行业名称</w:t>
            </w:r>
          </w:p>
        </w:tc>
        <w:tc>
          <w:tcPr>
            <w:tcW w:w="141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指标名称</w:t>
            </w:r>
          </w:p>
        </w:tc>
        <w:tc>
          <w:tcPr>
            <w:tcW w:w="70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计量单位</w:t>
            </w:r>
          </w:p>
        </w:tc>
        <w:tc>
          <w:tcPr>
            <w:tcW w:w="129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大型</w:t>
            </w:r>
          </w:p>
        </w:tc>
        <w:tc>
          <w:tcPr>
            <w:tcW w:w="1490"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中型</w:t>
            </w:r>
          </w:p>
        </w:tc>
        <w:tc>
          <w:tcPr>
            <w:tcW w:w="139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小型</w:t>
            </w:r>
          </w:p>
        </w:tc>
        <w:tc>
          <w:tcPr>
            <w:tcW w:w="1312"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微型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851" w:hRule="exact"/>
          <w:jc w:val="center"/>
        </w:trPr>
        <w:tc>
          <w:tcPr>
            <w:tcW w:w="1261"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农、林、牧、渔业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500≤Y＜20000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50≤Y＜500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工业</w:t>
            </w:r>
            <w:r>
              <w:rPr>
                <w:rFonts w:hint="eastAsia" w:ascii="仿宋" w:hAnsi="仿宋" w:eastAsia="仿宋" w:cs="仿宋"/>
                <w:color w:val="000000" w:themeColor="text1"/>
                <w:kern w:val="0"/>
                <w:szCs w:val="21"/>
                <w:highlight w:val="none"/>
                <w14:textFill>
                  <w14:solidFill>
                    <w14:schemeClr w14:val="tx1"/>
                  </w14:solidFill>
                </w14:textFill>
              </w:rPr>
              <w:t>*</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Y≥40000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2000≤Y＜40000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建筑业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Y≥80000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6000≤Y＜80000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300≤Y＜6000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Z≥80000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5000≤Z＜80000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300≤Z＜5000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批发业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20≤X＜200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5≤X＜20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Y≥40000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5000≤Y＜40000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零售业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50≤X＜300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10≤X＜50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500≤Y＜20000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100≤Y＜500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交通运输业*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200≤Y＜3000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仓储业*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100≤X＜200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邮政业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住宿业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餐饮业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信息传输业*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100≤X＜2000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1000≤Y＜100000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spacing w:val="-12"/>
                <w:kern w:val="0"/>
                <w:szCs w:val="21"/>
                <w:highlight w:val="none"/>
                <w14:textFill>
                  <w14:solidFill>
                    <w14:schemeClr w14:val="tx1"/>
                  </w14:solidFill>
                </w14:textFill>
              </w:rPr>
            </w:pPr>
            <w:r>
              <w:rPr>
                <w:rFonts w:hint="eastAsia" w:ascii="仿宋" w:hAnsi="仿宋" w:eastAsia="仿宋" w:cs="仿宋"/>
                <w:color w:val="000000" w:themeColor="text1"/>
                <w:spacing w:val="-12"/>
                <w:kern w:val="0"/>
                <w:szCs w:val="21"/>
                <w:highlight w:val="none"/>
                <w14:textFill>
                  <w14:solidFill>
                    <w14:schemeClr w14:val="tx1"/>
                  </w14:solidFill>
                </w14:textFill>
              </w:rPr>
              <w:t>软件和信息技术服</w:t>
            </w:r>
            <w:r>
              <w:rPr>
                <w:rFonts w:hint="eastAsia" w:ascii="仿宋" w:hAnsi="仿宋" w:eastAsia="仿宋" w:cs="仿宋"/>
                <w:color w:val="000000" w:themeColor="text1"/>
                <w:kern w:val="0"/>
                <w:szCs w:val="21"/>
                <w:highlight w:val="none"/>
                <w14:textFill>
                  <w14:solidFill>
                    <w14:schemeClr w14:val="tx1"/>
                  </w14:solidFill>
                </w14:textFill>
              </w:rPr>
              <w:t>务业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spacing w:val="-12"/>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房地产开发经营</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1000≤Y＜200000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5000≤Z＜10000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2000≤Z＜5000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Z＜2000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物业管理</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1000≤Y＜5000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租赁和商务服务业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8000≤Z＜120000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100≤Z＜8000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其他未列明行业*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bl>
    <w:p>
      <w:pPr>
        <w:shd w:val="clear"/>
        <w:spacing w:line="360" w:lineRule="auto"/>
        <w:ind w:firstLine="514"/>
        <w:rPr>
          <w:rFonts w:hint="eastAsia" w:ascii="仿宋" w:hAnsi="仿宋" w:eastAsia="仿宋" w:cs="仿宋"/>
          <w:b/>
          <w:color w:val="000000" w:themeColor="text1"/>
          <w:spacing w:val="8"/>
          <w:kern w:val="0"/>
          <w:sz w:val="24"/>
          <w:highlight w:val="none"/>
          <w14:textFill>
            <w14:solidFill>
              <w14:schemeClr w14:val="tx1"/>
            </w14:solidFill>
          </w14:textFill>
        </w:rPr>
      </w:pPr>
      <w:r>
        <w:rPr>
          <w:rFonts w:hint="eastAsia" w:ascii="仿宋" w:hAnsi="仿宋" w:eastAsia="仿宋" w:cs="仿宋"/>
          <w:b/>
          <w:color w:val="000000" w:themeColor="text1"/>
          <w:spacing w:val="8"/>
          <w:kern w:val="0"/>
          <w:sz w:val="24"/>
          <w:highlight w:val="none"/>
          <w14:textFill>
            <w14:solidFill>
              <w14:schemeClr w14:val="tx1"/>
            </w14:solidFill>
          </w14:textFill>
        </w:rPr>
        <w:t>说明：</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（1）大型、中型和小型企业须同时满足所列指标的下限，否则下划一档；微型企业只须满足所列指标中的一项即可。</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（2）附表中各行业的范围以《国民经济行业分类》（GB/T4754-2017）为准。带*的项为行业组合类别，其中，</w:t>
      </w:r>
      <w:r>
        <w:rPr>
          <w:rFonts w:hint="eastAsia" w:ascii="仿宋" w:hAnsi="仿宋" w:eastAsia="仿宋" w:cs="仿宋"/>
          <w:color w:val="000000" w:themeColor="text1"/>
          <w:sz w:val="24"/>
          <w:highlight w:val="none"/>
          <w:lang w:val="en-US" w:eastAsia="zh-CN"/>
          <w14:textFill>
            <w14:solidFill>
              <w14:schemeClr w14:val="tx1"/>
            </w14:solidFill>
          </w14:textFill>
        </w:rPr>
        <w:t>工业</w:t>
      </w:r>
      <w:r>
        <w:rPr>
          <w:rFonts w:hint="eastAsia" w:ascii="仿宋" w:hAnsi="仿宋" w:eastAsia="仿宋" w:cs="仿宋"/>
          <w:color w:val="000000" w:themeColor="text1"/>
          <w:sz w:val="24"/>
          <w:highlight w:val="none"/>
          <w14:textFill>
            <w14:solidFill>
              <w14:schemeClr w14:val="tx1"/>
            </w14:solidFill>
          </w14:textFill>
        </w:rPr>
        <w:t>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（3）企业划分指标以现行统计制度为准。</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1）从业人员，是指期末从业人员数，没有期末从业人员数的，采用全年平均人员数代替。</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2）营业收入，</w:t>
      </w:r>
      <w:r>
        <w:rPr>
          <w:rFonts w:hint="eastAsia" w:ascii="仿宋" w:hAnsi="仿宋" w:eastAsia="仿宋" w:cs="仿宋"/>
          <w:color w:val="000000" w:themeColor="text1"/>
          <w:sz w:val="24"/>
          <w:highlight w:val="none"/>
          <w:lang w:val="en-US" w:eastAsia="zh-CN"/>
          <w14:textFill>
            <w14:solidFill>
              <w14:schemeClr w14:val="tx1"/>
            </w14:solidFill>
          </w14:textFill>
        </w:rPr>
        <w:t>工业</w:t>
      </w:r>
      <w:r>
        <w:rPr>
          <w:rFonts w:hint="eastAsia" w:ascii="仿宋" w:hAnsi="仿宋" w:eastAsia="仿宋" w:cs="仿宋"/>
          <w:color w:val="000000" w:themeColor="text1"/>
          <w:sz w:val="24"/>
          <w:highlight w:val="none"/>
          <w14:textFill>
            <w14:solidFill>
              <w14:schemeClr w14:val="tx1"/>
            </w14:solidFill>
          </w14:textFill>
        </w:rPr>
        <w:t>、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3）资产总额，采用资产总计代替。</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关于监狱企业：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关于残疾人福利性单位：</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.1根据《三部门联合发布关于促进残疾人就业政府采购政策的通知》（财库〔2017〕141号）的规定，享受政府采购支持政策的残疾人福利性单位应当同时满足以下条件：</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（一）安置的残疾人占本单位在职职工人数的比例不低于25%（含25%），并且安置的残疾人人数不少于10人（含10人）；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（二）依法与安置的每位残疾人签订了一年以上（含一年）的劳动合同或服务协议；</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（三）为安置的每位残疾人按月足额缴纳了基本养老保险、基本医疗保险、失业保险、工伤保险和生育保险等社会保险费；</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2符合条件的残疾人福利性单位在参加政府采购活动时，应当按《三部门联合发布关于促进残疾人就业政府采购政策的通知》（财库〔2017〕141号）提供规定的《残疾人福利性单位声明函》，并对声明的真实性负责。</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56" w:name="_Toc10237"/>
      <w:bookmarkStart w:id="757" w:name="_Toc54878356"/>
      <w:bookmarkStart w:id="758" w:name="_Toc18845"/>
      <w:bookmarkStart w:id="759" w:name="_Toc6691"/>
      <w:r>
        <w:rPr>
          <w:rFonts w:hint="eastAsia" w:ascii="仿宋" w:hAnsi="仿宋" w:eastAsia="仿宋" w:cs="仿宋"/>
          <w:color w:val="000000" w:themeColor="text1"/>
          <w:sz w:val="30"/>
          <w:szCs w:val="30"/>
          <w:highlight w:val="none"/>
          <w14:textFill>
            <w14:solidFill>
              <w14:schemeClr w14:val="tx1"/>
            </w14:solidFill>
          </w14:textFill>
        </w:rPr>
        <w:t>二、评标委员会</w:t>
      </w:r>
      <w:bookmarkEnd w:id="753"/>
      <w:bookmarkEnd w:id="754"/>
      <w:bookmarkEnd w:id="755"/>
      <w:bookmarkEnd w:id="756"/>
      <w:bookmarkEnd w:id="757"/>
      <w:bookmarkEnd w:id="758"/>
      <w:bookmarkEnd w:id="759"/>
    </w:p>
    <w:p>
      <w:pPr>
        <w:pStyle w:val="35"/>
        <w:shd w:val="clear"/>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2.1评标委员会由有关技术、经济等方面的专家组成，成员人数应当</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w:t>
      </w:r>
    </w:p>
    <w:p>
      <w:pPr>
        <w:pStyle w:val="35"/>
        <w:shd w:val="clear"/>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招标采购单位就招标文件征询过意见的专家，不得再作为评标专家参加评标。评标专家应当熟悉政府采购、招标投标的相关政策法规，熟悉市场行情，有良好的职业道德，遵守招标纪律，从事相关领域工作满八年并具有高级职称或者具有同等专业水平。</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60" w:name="_Toc54878357"/>
      <w:bookmarkStart w:id="761" w:name="_Toc396313204"/>
      <w:bookmarkStart w:id="762" w:name="_Toc364392661"/>
      <w:bookmarkStart w:id="763" w:name="_Toc21613"/>
      <w:bookmarkStart w:id="764" w:name="_Toc391301905"/>
      <w:bookmarkStart w:id="765" w:name="_Toc217"/>
      <w:bookmarkStart w:id="766" w:name="_Toc14212"/>
      <w:r>
        <w:rPr>
          <w:rFonts w:hint="eastAsia" w:ascii="仿宋" w:hAnsi="仿宋" w:eastAsia="仿宋" w:cs="仿宋"/>
          <w:color w:val="000000" w:themeColor="text1"/>
          <w:sz w:val="30"/>
          <w:szCs w:val="30"/>
          <w:highlight w:val="none"/>
          <w14:textFill>
            <w14:solidFill>
              <w14:schemeClr w14:val="tx1"/>
            </w14:solidFill>
          </w14:textFill>
        </w:rPr>
        <w:t>三、评标原则</w:t>
      </w:r>
      <w:bookmarkEnd w:id="760"/>
      <w:bookmarkEnd w:id="761"/>
      <w:bookmarkEnd w:id="762"/>
      <w:bookmarkEnd w:id="763"/>
      <w:bookmarkEnd w:id="764"/>
      <w:bookmarkEnd w:id="765"/>
      <w:bookmarkEnd w:id="766"/>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3.1评标遵循“公平、公正、科学、择优、保密”的原则。</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3.2只对有效投标文件进行评审，投标文件以外的资料信息不作为评标的依据和参考。</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3.3询标只针对投标文件中的疑问和问题，投标人澄清问题不允许超出要求的范围或修改投标文件的实质性内容。</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3.4评标委员会专家对所有投标文件一一进行独立审核和评价，客观公正的对每个投标文件进行独立打分。</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67" w:name="_Toc391301906"/>
      <w:bookmarkStart w:id="768" w:name="_Toc364392662"/>
      <w:bookmarkStart w:id="769" w:name="_Toc396313205"/>
      <w:bookmarkStart w:id="770" w:name="_Toc18409"/>
      <w:bookmarkStart w:id="771" w:name="_Toc8335"/>
      <w:bookmarkStart w:id="772" w:name="_Toc54878358"/>
      <w:bookmarkStart w:id="773" w:name="_Toc3643"/>
      <w:r>
        <w:rPr>
          <w:rFonts w:hint="eastAsia" w:ascii="仿宋" w:hAnsi="仿宋" w:eastAsia="仿宋" w:cs="仿宋"/>
          <w:color w:val="000000" w:themeColor="text1"/>
          <w:sz w:val="30"/>
          <w:szCs w:val="30"/>
          <w:highlight w:val="none"/>
          <w14:textFill>
            <w14:solidFill>
              <w14:schemeClr w14:val="tx1"/>
            </w14:solidFill>
          </w14:textFill>
        </w:rPr>
        <w:t>四、评标纪律</w:t>
      </w:r>
      <w:bookmarkEnd w:id="767"/>
      <w:bookmarkEnd w:id="768"/>
      <w:bookmarkEnd w:id="769"/>
      <w:bookmarkEnd w:id="770"/>
      <w:bookmarkEnd w:id="771"/>
      <w:bookmarkEnd w:id="772"/>
      <w:bookmarkEnd w:id="773"/>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4.1评标委员会的成员应严格自律,自觉接受有关部门的监督。</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4.2评标过程中，评标委员会成员不得擅离职守，影响评标程序正常进行。</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4.3评标委员会的成员不得与投标人、其他利害关系人私下接触，不得向投标人、其他利害关系人泄露对投标文件的评审、比较、中标候选人的推荐以及与评标有关</w:t>
      </w:r>
      <w:r>
        <w:rPr>
          <w:rFonts w:hint="eastAsia" w:ascii="仿宋" w:hAnsi="仿宋" w:eastAsia="仿宋" w:cs="仿宋"/>
          <w:color w:val="000000" w:themeColor="text1"/>
          <w:sz w:val="24"/>
          <w:highlight w:val="none"/>
          <w:lang w:eastAsia="zh-CN"/>
          <w14:textFill>
            <w14:solidFill>
              <w14:schemeClr w14:val="tx1"/>
            </w14:solidFill>
          </w14:textFill>
        </w:rPr>
        <w:t>的其他</w:t>
      </w:r>
      <w:r>
        <w:rPr>
          <w:rFonts w:hint="eastAsia" w:ascii="仿宋" w:hAnsi="仿宋" w:eastAsia="仿宋" w:cs="仿宋"/>
          <w:color w:val="000000" w:themeColor="text1"/>
          <w:sz w:val="24"/>
          <w:highlight w:val="none"/>
          <w14:textFill>
            <w14:solidFill>
              <w14:schemeClr w14:val="tx1"/>
            </w14:solidFill>
          </w14:textFill>
        </w:rPr>
        <w:t>情况。</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4.4评标委员会如有需询问、澄清的问题由专职联络员负责联系负责转告。</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4.5不允许任何人把投标文件及其汇总材料带出评标会场（已经公开的价格等资料除外），所有资料不得复制，完成评标后所有材料如数交还。</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4.6违反上述规定对评标造成不良影响的，后果由责任者承担。</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74" w:name="_Toc54878360"/>
      <w:bookmarkStart w:id="775" w:name="_Toc396313207"/>
      <w:bookmarkStart w:id="776" w:name="_Toc364392664"/>
      <w:bookmarkStart w:id="777" w:name="_Toc391301908"/>
      <w:bookmarkStart w:id="778" w:name="_Toc22556"/>
      <w:bookmarkStart w:id="779" w:name="_Toc4219"/>
      <w:bookmarkStart w:id="780" w:name="_Toc1990"/>
      <w:r>
        <w:rPr>
          <w:rFonts w:hint="eastAsia" w:ascii="仿宋" w:hAnsi="仿宋" w:eastAsia="仿宋" w:cs="仿宋"/>
          <w:color w:val="000000" w:themeColor="text1"/>
          <w:sz w:val="30"/>
          <w:szCs w:val="30"/>
          <w:highlight w:val="none"/>
          <w14:textFill>
            <w14:solidFill>
              <w14:schemeClr w14:val="tx1"/>
            </w14:solidFill>
          </w14:textFill>
        </w:rPr>
        <w:t>五、评标程序</w:t>
      </w:r>
      <w:bookmarkEnd w:id="774"/>
      <w:bookmarkEnd w:id="775"/>
      <w:bookmarkEnd w:id="776"/>
      <w:bookmarkEnd w:id="777"/>
      <w:r>
        <w:rPr>
          <w:rFonts w:hint="eastAsia" w:ascii="仿宋" w:hAnsi="仿宋" w:eastAsia="仿宋" w:cs="仿宋"/>
          <w:color w:val="000000" w:themeColor="text1"/>
          <w:sz w:val="30"/>
          <w:szCs w:val="30"/>
          <w:highlight w:val="none"/>
          <w14:textFill>
            <w14:solidFill>
              <w14:schemeClr w14:val="tx1"/>
            </w14:solidFill>
          </w14:textFill>
        </w:rPr>
        <w:t>和标准</w:t>
      </w:r>
      <w:bookmarkEnd w:id="778"/>
      <w:bookmarkEnd w:id="779"/>
      <w:bookmarkEnd w:id="780"/>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81" w:name="_Toc391301910"/>
      <w:bookmarkStart w:id="782" w:name="_Toc396313209"/>
      <w:bookmarkStart w:id="783" w:name="_Toc364392665"/>
      <w:r>
        <w:rPr>
          <w:rFonts w:hint="eastAsia" w:ascii="仿宋" w:hAnsi="仿宋" w:eastAsia="仿宋" w:cs="仿宋"/>
          <w:color w:val="000000" w:themeColor="text1"/>
          <w:sz w:val="24"/>
          <w:szCs w:val="22"/>
          <w:highlight w:val="none"/>
          <w14:textFill>
            <w14:solidFill>
              <w14:schemeClr w14:val="tx1"/>
            </w14:solidFill>
          </w14:textFill>
        </w:rPr>
        <w:t>5.1资格审查、符合性审查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5.1.1资格审查：</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依据法律法规和招标文件的规定，对投标文件中的资格证明文件进行审查（具体详见《评标方法前附表》），有一项不符合的，该投标文件按无效投标处理。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5.1.2符合性审查：评标委员会依据招标文件的规定，对符合资格的投标人的投标文件进行符合性审查（具体详见《评标方法前附表》），有一项不符合的，该投标文件按无效投标处理。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5.1.3符合本章第5.1.1、5.1.2项规定的投标文件视为符合招标文件的商务、技术等实质性要求评审，可以进行技术和商务评估，综合比较与评价。</w:t>
      </w:r>
    </w:p>
    <w:p>
      <w:pP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5.1.4在评审过程中，若提供相同品牌产品且通过资格审查、符合性审查的不同投标人参加同一合同项下投标的，按一家投标人计算，评审后得分最高的同品牌投标人获得中标人推荐资格，评审得分相同的，</w:t>
      </w:r>
      <w:r>
        <w:rPr>
          <w:rFonts w:hint="eastAsia" w:ascii="仿宋" w:hAnsi="仿宋" w:eastAsia="仿宋" w:cs="仿宋"/>
          <w:color w:val="000000" w:themeColor="text1"/>
          <w:sz w:val="24"/>
          <w:highlight w:val="none"/>
          <w:lang w:eastAsia="zh-CN"/>
          <w14:textFill>
            <w14:solidFill>
              <w14:schemeClr w14:val="tx1"/>
            </w14:solidFill>
          </w14:textFill>
        </w:rPr>
        <w:t>按照技术指标优劣顺序推荐</w:t>
      </w:r>
      <w:r>
        <w:rPr>
          <w:rFonts w:hint="eastAsia" w:ascii="仿宋" w:hAnsi="仿宋" w:eastAsia="仿宋" w:cs="仿宋"/>
          <w:color w:val="000000" w:themeColor="text1"/>
          <w:sz w:val="24"/>
          <w:highlight w:val="none"/>
          <w14:textFill>
            <w14:solidFill>
              <w14:schemeClr w14:val="tx1"/>
            </w14:solidFill>
          </w14:textFill>
        </w:rPr>
        <w:t>中标候选人排列；评标总得分相等且</w:t>
      </w:r>
      <w:r>
        <w:rPr>
          <w:rFonts w:hint="eastAsia" w:ascii="仿宋" w:hAnsi="仿宋" w:eastAsia="仿宋" w:cs="仿宋"/>
          <w:color w:val="000000" w:themeColor="text1"/>
          <w:sz w:val="24"/>
          <w:highlight w:val="none"/>
          <w:lang w:val="en-US" w:eastAsia="zh-CN"/>
          <w14:textFill>
            <w14:solidFill>
              <w14:schemeClr w14:val="tx1"/>
            </w14:solidFill>
          </w14:textFill>
        </w:rPr>
        <w:t>技术</w:t>
      </w:r>
      <w:r>
        <w:rPr>
          <w:rFonts w:hint="eastAsia" w:ascii="仿宋" w:hAnsi="仿宋" w:eastAsia="仿宋" w:cs="仿宋"/>
          <w:color w:val="000000" w:themeColor="text1"/>
          <w:sz w:val="24"/>
          <w:highlight w:val="none"/>
          <w14:textFill>
            <w14:solidFill>
              <w14:schemeClr w14:val="tx1"/>
            </w14:solidFill>
          </w14:textFill>
        </w:rPr>
        <w:t>部分评审得分相同时，</w:t>
      </w:r>
      <w:r>
        <w:rPr>
          <w:rFonts w:hint="eastAsia" w:ascii="仿宋" w:hAnsi="仿宋" w:eastAsia="仿宋" w:cs="仿宋"/>
          <w:color w:val="000000" w:themeColor="text1"/>
          <w:sz w:val="24"/>
          <w:highlight w:val="none"/>
          <w:lang w:val="en-US" w:eastAsia="zh-CN"/>
          <w14:textFill>
            <w14:solidFill>
              <w14:schemeClr w14:val="tx1"/>
            </w14:solidFill>
          </w14:textFill>
        </w:rPr>
        <w:t>按照商务指标</w:t>
      </w:r>
      <w:r>
        <w:rPr>
          <w:rFonts w:hint="eastAsia" w:ascii="仿宋" w:hAnsi="仿宋" w:eastAsia="仿宋" w:cs="仿宋"/>
          <w:color w:val="000000" w:themeColor="text1"/>
          <w:sz w:val="24"/>
          <w:highlight w:val="none"/>
          <w:lang w:eastAsia="zh-CN"/>
          <w14:textFill>
            <w14:solidFill>
              <w14:schemeClr w14:val="tx1"/>
            </w14:solidFill>
          </w14:textFill>
        </w:rPr>
        <w:t>优劣顺序</w:t>
      </w:r>
      <w:r>
        <w:rPr>
          <w:rFonts w:hint="eastAsia" w:ascii="仿宋" w:hAnsi="仿宋" w:eastAsia="仿宋" w:cs="仿宋"/>
          <w:color w:val="000000" w:themeColor="text1"/>
          <w:sz w:val="24"/>
          <w:highlight w:val="none"/>
          <w14:textFill>
            <w14:solidFill>
              <w14:schemeClr w14:val="tx1"/>
            </w14:solidFill>
          </w14:textFill>
        </w:rPr>
        <w:t>推荐排序。若以上顺序排列相等，则评标委员会采取举手表决的方式推荐</w:t>
      </w:r>
      <w:r>
        <w:rPr>
          <w:rFonts w:hint="eastAsia" w:ascii="仿宋" w:hAnsi="仿宋" w:eastAsia="仿宋" w:cs="仿宋"/>
          <w:color w:val="000000" w:themeColor="text1"/>
          <w:sz w:val="24"/>
          <w:highlight w:val="none"/>
          <w:lang w:val="en-US" w:eastAsia="zh-CN"/>
          <w14:textFill>
            <w14:solidFill>
              <w14:schemeClr w14:val="tx1"/>
            </w14:solidFill>
          </w14:textFill>
        </w:rPr>
        <w:t>中标</w:t>
      </w:r>
      <w:r>
        <w:rPr>
          <w:rFonts w:hint="eastAsia" w:ascii="仿宋" w:hAnsi="仿宋" w:eastAsia="仿宋" w:cs="仿宋"/>
          <w:color w:val="000000" w:themeColor="text1"/>
          <w:sz w:val="24"/>
          <w:highlight w:val="none"/>
          <w14:textFill>
            <w14:solidFill>
              <w14:schemeClr w14:val="tx1"/>
            </w14:solidFill>
          </w14:textFill>
        </w:rPr>
        <w:t>候选人。</w:t>
      </w:r>
    </w:p>
    <w:p>
      <w:pPr>
        <w:spacing w:line="360" w:lineRule="auto"/>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5.1.5若单个项目包为非单一产品采购项目，对于采购文件第五章规定核心产品，多家投标人提供的核心产品品牌有一项品牌相同的，按5.1.4款规定处理，标注</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的产品为核心产品。</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84" w:name="_Toc778"/>
      <w:bookmarkStart w:id="785" w:name="_Toc9004"/>
      <w:bookmarkStart w:id="786" w:name="_Toc9420"/>
      <w:bookmarkStart w:id="787" w:name="_Toc489197879"/>
      <w:bookmarkStart w:id="788" w:name="_Toc321836408"/>
      <w:bookmarkStart w:id="789" w:name="_Toc528186516"/>
      <w:bookmarkStart w:id="790" w:name="_Toc489145775"/>
      <w:r>
        <w:rPr>
          <w:rFonts w:hint="eastAsia" w:ascii="仿宋" w:hAnsi="仿宋" w:eastAsia="仿宋" w:cs="仿宋"/>
          <w:color w:val="000000" w:themeColor="text1"/>
          <w:sz w:val="24"/>
          <w:szCs w:val="22"/>
          <w:highlight w:val="none"/>
          <w14:textFill>
            <w14:solidFill>
              <w14:schemeClr w14:val="tx1"/>
            </w14:solidFill>
          </w14:textFill>
        </w:rPr>
        <w:t>5.2分值构成与评分标准</w:t>
      </w:r>
      <w:bookmarkEnd w:id="784"/>
      <w:bookmarkEnd w:id="785"/>
      <w:bookmarkEnd w:id="786"/>
      <w:bookmarkEnd w:id="787"/>
      <w:bookmarkEnd w:id="788"/>
      <w:bookmarkEnd w:id="789"/>
      <w:bookmarkEnd w:id="790"/>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5.2.1分值构成</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（1）价格部分：详见《评标方法前附表》；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（2）技术部分：详见《评标方法前附表》；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（3）商务部分：详见《评标方法前附表》。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5.2.2评标基准价计算方法：详见《评标方法前附表》。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5.2.3评分标准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按招标文件中规定的评标方法和标准，对满足招标文件实质性要求评审的投标文件进行技术和商务评估，综合比较与评价。</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技术部分评分标准：详见《评标方法前附表》；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）商务部分评分标准：详见《评标方法前附表》。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91" w:name="_Toc321836409"/>
      <w:bookmarkStart w:id="792" w:name="_Toc489197880"/>
      <w:bookmarkStart w:id="793" w:name="_Toc489145776"/>
      <w:bookmarkStart w:id="794" w:name="_Toc26720"/>
      <w:bookmarkStart w:id="795" w:name="_Toc7817"/>
      <w:bookmarkStart w:id="796" w:name="_Toc528186517"/>
      <w:bookmarkStart w:id="797" w:name="_Toc7486"/>
      <w:r>
        <w:rPr>
          <w:rFonts w:hint="eastAsia" w:ascii="仿宋" w:hAnsi="仿宋" w:eastAsia="仿宋" w:cs="仿宋"/>
          <w:color w:val="000000" w:themeColor="text1"/>
          <w:sz w:val="24"/>
          <w:szCs w:val="22"/>
          <w:highlight w:val="none"/>
          <w14:textFill>
            <w14:solidFill>
              <w14:schemeClr w14:val="tx1"/>
            </w14:solidFill>
          </w14:textFill>
        </w:rPr>
        <w:t>5.3</w:t>
      </w:r>
      <w:bookmarkEnd w:id="791"/>
      <w:bookmarkEnd w:id="792"/>
      <w:bookmarkEnd w:id="793"/>
      <w:r>
        <w:rPr>
          <w:rFonts w:hint="eastAsia" w:ascii="仿宋" w:hAnsi="仿宋" w:eastAsia="仿宋" w:cs="仿宋"/>
          <w:color w:val="000000" w:themeColor="text1"/>
          <w:sz w:val="24"/>
          <w:szCs w:val="22"/>
          <w:highlight w:val="none"/>
          <w14:textFill>
            <w14:solidFill>
              <w14:schemeClr w14:val="tx1"/>
            </w14:solidFill>
          </w14:textFill>
        </w:rPr>
        <w:t>综合比较与评价</w:t>
      </w:r>
      <w:bookmarkEnd w:id="794"/>
      <w:bookmarkEnd w:id="795"/>
      <w:bookmarkEnd w:id="796"/>
      <w:bookmarkEnd w:id="797"/>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5.3.1评标委员会按本章5.2.3规定的评分标准进行打分，并计算出投标人的评标总得分。对投标人的价格分等客观评分项的评分应当一致，对其他需要借助专业知识评判的主观评分项，应当严格按照评分细则公正评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（1）按本章《评标方法前附表》的规定对投标报价计算出得分F1（保留小数点后两位，小数点后第三位“四舍五入”）；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（2）按本章《评标方法前附表》的规定对</w:t>
      </w: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部分评分，得分F</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按本章《评标方法前附表》的规定对技术部分评分，得分F2；</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）按本章《评标方法前附表》的规定对商务部分评分，得分F3；</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）按本章《评标方法前附表》的规定计算评标总得分。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5.3.2</w:t>
      </w: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部分（F</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技术部分（F2）</w:t>
      </w:r>
      <w:r>
        <w:rPr>
          <w:rFonts w:hint="eastAsia" w:ascii="仿宋" w:hAnsi="仿宋" w:eastAsia="仿宋" w:cs="仿宋"/>
          <w:color w:val="000000" w:themeColor="text1"/>
          <w:sz w:val="24"/>
          <w:szCs w:val="22"/>
          <w:highlight w:val="none"/>
          <w:lang w:val="en-US" w:eastAsia="zh-CN"/>
          <w14:textFill>
            <w14:solidFill>
              <w14:schemeClr w14:val="tx1"/>
            </w14:solidFill>
          </w14:textFill>
        </w:rPr>
        <w:t>及</w:t>
      </w:r>
      <w:r>
        <w:rPr>
          <w:rFonts w:hint="eastAsia" w:ascii="仿宋" w:hAnsi="仿宋" w:eastAsia="仿宋" w:cs="仿宋"/>
          <w:color w:val="000000" w:themeColor="text1"/>
          <w:sz w:val="24"/>
          <w:szCs w:val="22"/>
          <w:highlight w:val="none"/>
          <w14:textFill>
            <w14:solidFill>
              <w14:schemeClr w14:val="tx1"/>
            </w14:solidFill>
          </w14:textFill>
        </w:rPr>
        <w:t>商务部分（F3）得分由评标委员会成员独立评分，投标人各项评分因素得分为该项因素各评委评分的算术平均值（保留小数点后两位），小数点后第三位“四舍五入”。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98" w:name="_Toc21642"/>
      <w:bookmarkStart w:id="799" w:name="_Toc321836412"/>
      <w:bookmarkStart w:id="800" w:name="_Toc489145777"/>
      <w:bookmarkStart w:id="801" w:name="_Toc1893"/>
      <w:bookmarkStart w:id="802" w:name="_Toc528186518"/>
      <w:bookmarkStart w:id="803" w:name="_Toc489197881"/>
      <w:bookmarkStart w:id="804" w:name="_Toc31390"/>
      <w:r>
        <w:rPr>
          <w:rFonts w:hint="eastAsia" w:ascii="仿宋" w:hAnsi="仿宋" w:eastAsia="仿宋" w:cs="仿宋"/>
          <w:color w:val="000000" w:themeColor="text1"/>
          <w:sz w:val="24"/>
          <w:szCs w:val="22"/>
          <w:highlight w:val="none"/>
          <w14:textFill>
            <w14:solidFill>
              <w14:schemeClr w14:val="tx1"/>
            </w14:solidFill>
          </w14:textFill>
        </w:rPr>
        <w:t>5.4投标文件的澄清</w:t>
      </w:r>
      <w:bookmarkEnd w:id="798"/>
      <w:bookmarkEnd w:id="799"/>
      <w:bookmarkEnd w:id="800"/>
      <w:bookmarkEnd w:id="801"/>
      <w:bookmarkEnd w:id="802"/>
      <w:bookmarkEnd w:id="803"/>
      <w:bookmarkEnd w:id="804"/>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000000" w:themeColor="text1"/>
          <w:sz w:val="24"/>
          <w:szCs w:val="22"/>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2"/>
          <w:highlight w:val="none"/>
          <w14:textFill>
            <w14:solidFill>
              <w14:schemeClr w14:val="tx1"/>
            </w14:solidFill>
          </w14:textFill>
        </w:rPr>
        <w:t>或其授权的代表签字。投标人的澄清、说明或者补正不得超出投标文件的范围或者改变投标文件的实质性内容。</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5.4.2评标委员会不接受投标人主动提出的澄清、说明或者补正。</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5.4.3评标委员会对投标人提交的澄清、说明或者补正有疑问的，可以要求投标人进一步澄清、说明或者补正。</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805" w:name="_Toc528186519"/>
      <w:bookmarkStart w:id="806" w:name="_Toc12088"/>
      <w:bookmarkStart w:id="807" w:name="_Toc13737"/>
      <w:bookmarkStart w:id="808" w:name="_Toc18892"/>
      <w:bookmarkStart w:id="809" w:name="_Toc489145778"/>
      <w:bookmarkStart w:id="810" w:name="_Toc489197882"/>
      <w:bookmarkStart w:id="811" w:name="_Toc321836413"/>
      <w:r>
        <w:rPr>
          <w:rFonts w:hint="eastAsia" w:ascii="仿宋" w:hAnsi="仿宋" w:eastAsia="仿宋" w:cs="仿宋"/>
          <w:color w:val="000000" w:themeColor="text1"/>
          <w:sz w:val="24"/>
          <w:szCs w:val="22"/>
          <w:highlight w:val="none"/>
          <w14:textFill>
            <w14:solidFill>
              <w14:schemeClr w14:val="tx1"/>
            </w14:solidFill>
          </w14:textFill>
        </w:rPr>
        <w:t>5.5评标结果</w:t>
      </w:r>
      <w:bookmarkEnd w:id="805"/>
      <w:bookmarkEnd w:id="806"/>
      <w:bookmarkEnd w:id="807"/>
      <w:bookmarkEnd w:id="808"/>
      <w:bookmarkEnd w:id="809"/>
      <w:bookmarkEnd w:id="810"/>
      <w:bookmarkEnd w:id="811"/>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列</w:t>
      </w:r>
      <w:r>
        <w:rPr>
          <w:rFonts w:hint="eastAsia" w:ascii="仿宋" w:hAnsi="仿宋" w:eastAsia="仿宋" w:cs="仿宋"/>
          <w:color w:val="000000" w:themeColor="text1"/>
          <w:sz w:val="24"/>
          <w:szCs w:val="22"/>
          <w:highlight w:val="none"/>
          <w:lang w:eastAsia="zh-CN"/>
          <w14:textFill>
            <w14:solidFill>
              <w14:schemeClr w14:val="tx1"/>
            </w14:solidFill>
          </w14:textFill>
        </w:rPr>
        <w:t>，评审得分且</w:t>
      </w:r>
      <w:r>
        <w:rPr>
          <w:rFonts w:hint="eastAsia" w:ascii="仿宋" w:hAnsi="仿宋" w:eastAsia="仿宋" w:cs="仿宋"/>
          <w:color w:val="000000" w:themeColor="text1"/>
          <w:sz w:val="24"/>
          <w:szCs w:val="22"/>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2"/>
          <w:highlight w:val="none"/>
          <w:lang w:eastAsia="zh-CN"/>
          <w14:textFill>
            <w14:solidFill>
              <w14:schemeClr w14:val="tx1"/>
            </w14:solidFill>
          </w14:textFill>
        </w:rPr>
        <w:t>报价相同</w:t>
      </w:r>
      <w:r>
        <w:rPr>
          <w:rFonts w:hint="eastAsia" w:ascii="仿宋" w:hAnsi="仿宋" w:eastAsia="仿宋" w:cs="仿宋"/>
          <w:color w:val="000000" w:themeColor="text1"/>
          <w:sz w:val="24"/>
          <w:szCs w:val="22"/>
          <w:highlight w:val="none"/>
          <w:lang w:val="en-US" w:eastAsia="zh-CN"/>
          <w14:textFill>
            <w14:solidFill>
              <w14:schemeClr w14:val="tx1"/>
            </w14:solidFill>
          </w14:textFill>
        </w:rPr>
        <w:t>时</w:t>
      </w:r>
      <w:r>
        <w:rPr>
          <w:rFonts w:hint="eastAsia" w:ascii="仿宋" w:hAnsi="仿宋" w:eastAsia="仿宋" w:cs="仿宋"/>
          <w:color w:val="000000" w:themeColor="text1"/>
          <w:sz w:val="24"/>
          <w:szCs w:val="22"/>
          <w:highlight w:val="none"/>
          <w:lang w:eastAsia="zh-CN"/>
          <w14:textFill>
            <w14:solidFill>
              <w14:schemeClr w14:val="tx1"/>
            </w14:solidFill>
          </w14:textFill>
        </w:rPr>
        <w:t>，按照评审因素的量化指标优劣顺序推荐</w:t>
      </w:r>
      <w:r>
        <w:rPr>
          <w:rFonts w:hint="eastAsia" w:ascii="仿宋" w:hAnsi="仿宋" w:eastAsia="仿宋" w:cs="仿宋"/>
          <w:color w:val="000000" w:themeColor="text1"/>
          <w:sz w:val="24"/>
          <w:szCs w:val="22"/>
          <w:highlight w:val="none"/>
          <w14:textFill>
            <w14:solidFill>
              <w14:schemeClr w14:val="tx1"/>
            </w14:solidFill>
          </w14:textFill>
        </w:rPr>
        <w:t>中标候选人排列；若以上政府采购政策的顺序排列相等，则评标委员会采取举手表决的方式推荐</w:t>
      </w:r>
      <w:r>
        <w:rPr>
          <w:rFonts w:hint="eastAsia" w:ascii="仿宋" w:hAnsi="仿宋" w:eastAsia="仿宋" w:cs="仿宋"/>
          <w:color w:val="000000" w:themeColor="text1"/>
          <w:sz w:val="24"/>
          <w:szCs w:val="22"/>
          <w:highlight w:val="none"/>
          <w:lang w:val="en-US" w:eastAsia="zh-CN"/>
          <w14:textFill>
            <w14:solidFill>
              <w14:schemeClr w14:val="tx1"/>
            </w14:solidFill>
          </w14:textFill>
        </w:rPr>
        <w:t>中标</w:t>
      </w:r>
      <w:r>
        <w:rPr>
          <w:rFonts w:hint="eastAsia" w:ascii="仿宋" w:hAnsi="仿宋" w:eastAsia="仿宋" w:cs="仿宋"/>
          <w:color w:val="000000" w:themeColor="text1"/>
          <w:sz w:val="24"/>
          <w:szCs w:val="22"/>
          <w:highlight w:val="none"/>
          <w14:textFill>
            <w14:solidFill>
              <w14:schemeClr w14:val="tx1"/>
            </w14:solidFill>
          </w14:textFill>
        </w:rPr>
        <w:t>候选人。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5.5.2</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根据评标委员会提出的书面评标报告和推荐的中标候选人名单，确定中标人。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r>
        <w:rPr>
          <w:rFonts w:hint="eastAsia" w:ascii="仿宋" w:hAnsi="仿宋" w:eastAsia="仿宋" w:cs="仿宋"/>
          <w:color w:val="000000" w:themeColor="text1"/>
          <w:sz w:val="24"/>
          <w:szCs w:val="22"/>
          <w:highlight w:val="none"/>
          <w14:textFill>
            <w14:solidFill>
              <w14:schemeClr w14:val="tx1"/>
            </w14:solidFill>
          </w14:textFill>
        </w:rPr>
        <w:t>.5.3评标委员会发现招标文件存在歧义、重大缺陷导致评标工作无法进行，或者招标文件内容违反国家有关强制性规定的，应当停止评标工作，与</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沟通并作书面记录。</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确认后，应当修改招标文件，重新组织采购活动。</w:t>
      </w:r>
      <w:bookmarkEnd w:id="781"/>
      <w:bookmarkEnd w:id="782"/>
      <w:bookmarkEnd w:id="783"/>
    </w:p>
    <w:sectPr>
      <w:headerReference r:id="rId7" w:type="default"/>
      <w:pgSz w:w="11906" w:h="16838"/>
      <w:pgMar w:top="1134" w:right="1417" w:bottom="1417" w:left="1417" w:header="567" w:footer="567"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pPr>
      <w:pStyle w:val="16"/>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sz w:val="28"/>
        <w:szCs w:val="28"/>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hlWFeEAIAAAcEAAAOAAAAAAAAAAEAIAAA&#10;AB8BAABkcnMvZTJvRG9jLnhtbFBLBQYAAAAABgAGAFkBAACh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714625" cy="514350"/>
          <wp:effectExtent l="0" t="0" r="9525" b="0"/>
          <wp:docPr id="1" name="图片 1"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4625" cy="51435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both"/>
      <w:rPr>
        <w:sz w:val="28"/>
        <w:szCs w:val="28"/>
      </w:rPr>
    </w:pPr>
    <w:r>
      <w:rPr>
        <w:sz w:val="32"/>
      </w:rPr>
      <mc:AlternateContent>
        <mc:Choice Requires="wps">
          <w:drawing>
            <wp:anchor distT="0" distB="0" distL="114300" distR="114300" simplePos="0" relativeHeight="251661312" behindDoc="0" locked="0" layoutInCell="1" allowOverlap="1">
              <wp:simplePos x="0" y="0"/>
              <wp:positionH relativeFrom="margin">
                <wp:posOffset>3340100</wp:posOffset>
              </wp:positionH>
              <wp:positionV relativeFrom="paragraph">
                <wp:posOffset>212090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63pt;margin-top:16.7pt;height:144pt;width:144pt;mso-position-horizontal-relative:margin;mso-wrap-style:none;z-index:251661312;mso-width-relative:page;mso-height-relative:page;" filled="f" stroked="f" coordsize="21600,21600" o:gfxdata="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lyUpD9YAAAAKAQAADwAAAAAAAAABACAA&#10;AAAiAAAAZHJzL2Rvd25yZXYueG1sUEsBAhQAFAAAAAgAh07iQNn6MNYPAgAABwQAAA4AAAAAAAAA&#10;AQAgAAAAJQEAAGRycy9lMm9Eb2MueG1sUEsFBgAAAAAGAAYAWQEAAKY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76</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714625" cy="514350"/>
          <wp:effectExtent l="0" t="0" r="9525" b="0"/>
          <wp:docPr id="2"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4625" cy="51435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pPr>
    <w:r>
      <w:rPr>
        <w:rFonts w:hint="eastAsia" w:ascii="仿宋" w:hAnsi="仿宋" w:eastAsia="仿宋"/>
        <w:sz w:val="21"/>
        <w:szCs w:val="21"/>
        <w:lang w:eastAsia="zh-CN"/>
      </w:rPr>
      <w:t>丽江市人民医院检验科第一批设备及配套试剂耗材采购项目</w:t>
    </w:r>
    <w:r>
      <w:rPr>
        <w:rFonts w:hint="eastAsia" w:ascii="仿宋" w:hAnsi="仿宋" w:eastAsia="仿宋"/>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rFonts w:hint="eastAsia" w:ascii="仿宋" w:hAnsi="仿宋" w:eastAsia="仿宋"/>
        <w:sz w:val="21"/>
        <w:szCs w:val="21"/>
        <w:lang w:eastAsia="zh-CN"/>
      </w:rPr>
      <w:t>丽江市人民医院检验科第一批设备及配套试剂耗材采购项目</w:t>
    </w:r>
    <w:r>
      <w:rPr>
        <w:rFonts w:hint="eastAsia" w:ascii="仿宋" w:hAnsi="仿宋" w:eastAsia="仿宋"/>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EB4616E2"/>
    <w:multiLevelType w:val="singleLevel"/>
    <w:tmpl w:val="EB4616E2"/>
    <w:lvl w:ilvl="0" w:tentative="0">
      <w:start w:val="20"/>
      <w:numFmt w:val="decimal"/>
      <w:suff w:val="space"/>
      <w:lvlText w:val="%1."/>
      <w:lvlJc w:val="left"/>
    </w:lvl>
  </w:abstractNum>
  <w:abstractNum w:abstractNumId="6">
    <w:nsid w:val="F2AD2EC4"/>
    <w:multiLevelType w:val="singleLevel"/>
    <w:tmpl w:val="F2AD2EC4"/>
    <w:lvl w:ilvl="0" w:tentative="0">
      <w:start w:val="1"/>
      <w:numFmt w:val="decimal"/>
      <w:suff w:val="nothing"/>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8"/>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8"/>
  </w:num>
  <w:num w:numId="2">
    <w:abstractNumId w:val="5"/>
  </w:num>
  <w:num w:numId="3">
    <w:abstractNumId w:val="9"/>
  </w:num>
  <w:num w:numId="4">
    <w:abstractNumId w:val="1"/>
  </w:num>
  <w:num w:numId="5">
    <w:abstractNumId w:val="7"/>
  </w:num>
  <w:num w:numId="6">
    <w:abstractNumId w:val="3"/>
  </w:num>
  <w:num w:numId="7">
    <w:abstractNumId w:val="2"/>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2ODE3YzdlZTU0YWQzNmJmODZmNGM3NGNhNGVkMjEifQ=="/>
  </w:docVars>
  <w:rsids>
    <w:rsidRoot w:val="2965041B"/>
    <w:rsid w:val="0272107A"/>
    <w:rsid w:val="028956F5"/>
    <w:rsid w:val="02900CBF"/>
    <w:rsid w:val="03344399"/>
    <w:rsid w:val="04FE29AF"/>
    <w:rsid w:val="05270289"/>
    <w:rsid w:val="05CB5DA4"/>
    <w:rsid w:val="06A33B5B"/>
    <w:rsid w:val="06BD123E"/>
    <w:rsid w:val="06EB5FD5"/>
    <w:rsid w:val="0727590F"/>
    <w:rsid w:val="074349E9"/>
    <w:rsid w:val="077B4A04"/>
    <w:rsid w:val="07A51DDE"/>
    <w:rsid w:val="0806700F"/>
    <w:rsid w:val="08C21666"/>
    <w:rsid w:val="09917BD2"/>
    <w:rsid w:val="09D732A6"/>
    <w:rsid w:val="09D932FA"/>
    <w:rsid w:val="0A9922EB"/>
    <w:rsid w:val="0B862024"/>
    <w:rsid w:val="0BDA6F63"/>
    <w:rsid w:val="0CFD3C33"/>
    <w:rsid w:val="11091323"/>
    <w:rsid w:val="11411BC8"/>
    <w:rsid w:val="1164103E"/>
    <w:rsid w:val="1186119F"/>
    <w:rsid w:val="1229265C"/>
    <w:rsid w:val="128A4873"/>
    <w:rsid w:val="129216C4"/>
    <w:rsid w:val="137A1344"/>
    <w:rsid w:val="139331A2"/>
    <w:rsid w:val="144545E9"/>
    <w:rsid w:val="14847375"/>
    <w:rsid w:val="158B06B4"/>
    <w:rsid w:val="178053BC"/>
    <w:rsid w:val="18C54E6D"/>
    <w:rsid w:val="190873AA"/>
    <w:rsid w:val="193F6828"/>
    <w:rsid w:val="197969A7"/>
    <w:rsid w:val="19AC2B28"/>
    <w:rsid w:val="1C331870"/>
    <w:rsid w:val="1C4F16AA"/>
    <w:rsid w:val="1CE44878"/>
    <w:rsid w:val="1D3270D2"/>
    <w:rsid w:val="1E736928"/>
    <w:rsid w:val="210411A8"/>
    <w:rsid w:val="21D35CD6"/>
    <w:rsid w:val="25881E5F"/>
    <w:rsid w:val="27AC7537"/>
    <w:rsid w:val="27C64C5F"/>
    <w:rsid w:val="2965041B"/>
    <w:rsid w:val="2B6B690E"/>
    <w:rsid w:val="2B7E0BDE"/>
    <w:rsid w:val="2C387E60"/>
    <w:rsid w:val="2DD50728"/>
    <w:rsid w:val="2E6871F1"/>
    <w:rsid w:val="2F894402"/>
    <w:rsid w:val="30375F53"/>
    <w:rsid w:val="303F6EFB"/>
    <w:rsid w:val="30783D60"/>
    <w:rsid w:val="308927ED"/>
    <w:rsid w:val="308E652E"/>
    <w:rsid w:val="30CA6083"/>
    <w:rsid w:val="31041B11"/>
    <w:rsid w:val="332063D3"/>
    <w:rsid w:val="336F170D"/>
    <w:rsid w:val="33717693"/>
    <w:rsid w:val="342D3D10"/>
    <w:rsid w:val="343C11F6"/>
    <w:rsid w:val="345C21CD"/>
    <w:rsid w:val="36774D45"/>
    <w:rsid w:val="36D6663F"/>
    <w:rsid w:val="36D729EB"/>
    <w:rsid w:val="375F68D7"/>
    <w:rsid w:val="38B5507E"/>
    <w:rsid w:val="38C57458"/>
    <w:rsid w:val="395A745B"/>
    <w:rsid w:val="3B9E6BF0"/>
    <w:rsid w:val="3CDA5C7C"/>
    <w:rsid w:val="3D1359FC"/>
    <w:rsid w:val="3D14509A"/>
    <w:rsid w:val="3DF82D81"/>
    <w:rsid w:val="3E76002C"/>
    <w:rsid w:val="3E8A71D4"/>
    <w:rsid w:val="3EEA2F2A"/>
    <w:rsid w:val="3F1C7AF8"/>
    <w:rsid w:val="3FF567E3"/>
    <w:rsid w:val="40B70A50"/>
    <w:rsid w:val="428B67D2"/>
    <w:rsid w:val="4672424C"/>
    <w:rsid w:val="47341D81"/>
    <w:rsid w:val="473F0A29"/>
    <w:rsid w:val="48185935"/>
    <w:rsid w:val="48872786"/>
    <w:rsid w:val="49DA4E2A"/>
    <w:rsid w:val="49FE5B49"/>
    <w:rsid w:val="4A241966"/>
    <w:rsid w:val="4C186719"/>
    <w:rsid w:val="4D136870"/>
    <w:rsid w:val="4D9234B4"/>
    <w:rsid w:val="4DD56CC9"/>
    <w:rsid w:val="50830A92"/>
    <w:rsid w:val="50B527C7"/>
    <w:rsid w:val="51170705"/>
    <w:rsid w:val="53612A2E"/>
    <w:rsid w:val="539A6A46"/>
    <w:rsid w:val="5402088B"/>
    <w:rsid w:val="54770037"/>
    <w:rsid w:val="57A2279F"/>
    <w:rsid w:val="57DD66EB"/>
    <w:rsid w:val="5A065A54"/>
    <w:rsid w:val="5A1E277B"/>
    <w:rsid w:val="5B051627"/>
    <w:rsid w:val="5CBF5F04"/>
    <w:rsid w:val="5D234441"/>
    <w:rsid w:val="5D697CB0"/>
    <w:rsid w:val="5E252A77"/>
    <w:rsid w:val="5E2A5031"/>
    <w:rsid w:val="60CC428A"/>
    <w:rsid w:val="60D46627"/>
    <w:rsid w:val="63912F25"/>
    <w:rsid w:val="64052A78"/>
    <w:rsid w:val="65AB5FA7"/>
    <w:rsid w:val="65D06CAD"/>
    <w:rsid w:val="662C4B1F"/>
    <w:rsid w:val="668F15F9"/>
    <w:rsid w:val="69221BB5"/>
    <w:rsid w:val="69616601"/>
    <w:rsid w:val="69F72C94"/>
    <w:rsid w:val="6A640588"/>
    <w:rsid w:val="6C65391E"/>
    <w:rsid w:val="6D901F5E"/>
    <w:rsid w:val="6E69446F"/>
    <w:rsid w:val="6F252546"/>
    <w:rsid w:val="70090C45"/>
    <w:rsid w:val="71275CD9"/>
    <w:rsid w:val="712D08D1"/>
    <w:rsid w:val="713F52BD"/>
    <w:rsid w:val="719C49BA"/>
    <w:rsid w:val="75311D17"/>
    <w:rsid w:val="75611D60"/>
    <w:rsid w:val="76DA14E7"/>
    <w:rsid w:val="77630CFB"/>
    <w:rsid w:val="784C0DFA"/>
    <w:rsid w:val="78787EC7"/>
    <w:rsid w:val="7907689F"/>
    <w:rsid w:val="79661F4A"/>
    <w:rsid w:val="7AB14AA0"/>
    <w:rsid w:val="7B4246DC"/>
    <w:rsid w:val="7D144CEB"/>
    <w:rsid w:val="7D47153F"/>
    <w:rsid w:val="7D5C358B"/>
    <w:rsid w:val="7DBA1023"/>
    <w:rsid w:val="7E7C227A"/>
    <w:rsid w:val="7EC20D63"/>
    <w:rsid w:val="7FE62D00"/>
    <w:rsid w:val="7FEE2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4">
    <w:name w:val="heading 1"/>
    <w:basedOn w:val="1"/>
    <w:next w:val="1"/>
    <w:link w:val="27"/>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5">
    <w:name w:val="heading 2"/>
    <w:basedOn w:val="1"/>
    <w:next w:val="1"/>
    <w:link w:val="41"/>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6">
    <w:name w:val="heading 3"/>
    <w:basedOn w:val="1"/>
    <w:next w:val="7"/>
    <w:qFormat/>
    <w:uiPriority w:val="0"/>
    <w:pPr>
      <w:keepNext/>
      <w:keepLines/>
      <w:spacing w:line="440" w:lineRule="exact"/>
      <w:ind w:firstLine="510"/>
      <w:outlineLvl w:val="2"/>
    </w:pPr>
    <w:rPr>
      <w:rFonts w:eastAsia="楷体_GB2312"/>
      <w:sz w:val="28"/>
    </w:rPr>
  </w:style>
  <w:style w:type="paragraph" w:styleId="8">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24">
    <w:name w:val="Default Paragraph Font"/>
    <w:semiHidden/>
    <w:qFormat/>
    <w:uiPriority w:val="0"/>
  </w:style>
  <w:style w:type="table" w:default="1" w:styleId="2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unhideWhenUsed/>
    <w:qFormat/>
    <w:uiPriority w:val="99"/>
    <w:pPr>
      <w:adjustRightInd w:val="0"/>
      <w:spacing w:line="440" w:lineRule="exact"/>
    </w:pPr>
    <w:rPr>
      <w:rFonts w:ascii="宋体" w:hAnsi="宋体"/>
      <w:bCs/>
      <w:color w:val="000000"/>
      <w:sz w:val="24"/>
    </w:rPr>
  </w:style>
  <w:style w:type="paragraph" w:styleId="3">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7">
    <w:name w:val="Normal Indent"/>
    <w:basedOn w:val="1"/>
    <w:next w:val="1"/>
    <w:qFormat/>
    <w:uiPriority w:val="0"/>
    <w:pPr>
      <w:spacing w:before="240" w:after="60"/>
      <w:jc w:val="center"/>
      <w:outlineLvl w:val="0"/>
    </w:pPr>
    <w:rPr>
      <w:rFonts w:ascii="Cambria" w:hAnsi="Cambria"/>
      <w:b/>
      <w:bCs/>
      <w:sz w:val="32"/>
      <w:szCs w:val="32"/>
    </w:rPr>
  </w:style>
  <w:style w:type="paragraph" w:styleId="9">
    <w:name w:val="Document Map"/>
    <w:basedOn w:val="1"/>
    <w:unhideWhenUsed/>
    <w:qFormat/>
    <w:uiPriority w:val="99"/>
    <w:rPr>
      <w:rFonts w:ascii="宋体"/>
      <w:sz w:val="18"/>
      <w:szCs w:val="18"/>
    </w:rPr>
  </w:style>
  <w:style w:type="paragraph" w:styleId="10">
    <w:name w:val="toa heading"/>
    <w:basedOn w:val="1"/>
    <w:next w:val="1"/>
    <w:unhideWhenUsed/>
    <w:qFormat/>
    <w:uiPriority w:val="0"/>
    <w:pPr>
      <w:spacing w:before="120"/>
    </w:pPr>
    <w:rPr>
      <w:rFonts w:ascii="Arial" w:hAnsi="Arial" w:cs="Arial"/>
      <w:sz w:val="24"/>
    </w:rPr>
  </w:style>
  <w:style w:type="paragraph" w:styleId="11">
    <w:name w:val="annotation text"/>
    <w:basedOn w:val="1"/>
    <w:qFormat/>
    <w:uiPriority w:val="0"/>
    <w:pPr>
      <w:jc w:val="left"/>
    </w:pPr>
  </w:style>
  <w:style w:type="paragraph" w:styleId="12">
    <w:name w:val="Body Text Indent"/>
    <w:basedOn w:val="1"/>
    <w:qFormat/>
    <w:uiPriority w:val="0"/>
    <w:pPr>
      <w:spacing w:after="120"/>
      <w:ind w:left="420" w:leftChars="200"/>
    </w:pPr>
  </w:style>
  <w:style w:type="paragraph" w:styleId="13">
    <w:name w:val="Block Text"/>
    <w:basedOn w:val="1"/>
    <w:qFormat/>
    <w:uiPriority w:val="0"/>
    <w:pPr>
      <w:widowControl/>
      <w:spacing w:line="360" w:lineRule="auto"/>
      <w:ind w:left="3828" w:right="1410" w:hanging="258"/>
    </w:pPr>
    <w:rPr>
      <w:rFonts w:ascii="Arial" w:hAnsi="Arial" w:eastAsia="幼圆"/>
      <w:b/>
      <w:kern w:val="0"/>
      <w:sz w:val="32"/>
    </w:rPr>
  </w:style>
  <w:style w:type="paragraph" w:styleId="14">
    <w:name w:val="Plain Text"/>
    <w:basedOn w:val="1"/>
    <w:next w:val="1"/>
    <w:unhideWhenUsed/>
    <w:qFormat/>
    <w:uiPriority w:val="0"/>
    <w:rPr>
      <w:rFonts w:ascii="宋体" w:hAnsi="Courier New"/>
    </w:rPr>
  </w:style>
  <w:style w:type="paragraph" w:styleId="15">
    <w:name w:val="Date"/>
    <w:basedOn w:val="1"/>
    <w:next w:val="1"/>
    <w:unhideWhenUsed/>
    <w:qFormat/>
    <w:uiPriority w:val="0"/>
    <w:pPr>
      <w:ind w:left="100" w:leftChars="2500"/>
    </w:pPr>
    <w:rPr>
      <w:rFonts w:eastAsia="楷体_GB2312"/>
      <w:sz w:val="48"/>
      <w:szCs w:val="24"/>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jc w:val="left"/>
    </w:pPr>
    <w:rPr>
      <w:b/>
      <w:bCs/>
      <w:caps/>
      <w:sz w:val="20"/>
    </w:rPr>
  </w:style>
  <w:style w:type="paragraph" w:styleId="19">
    <w:name w:val="toc 2"/>
    <w:basedOn w:val="1"/>
    <w:next w:val="1"/>
    <w:unhideWhenUsed/>
    <w:qFormat/>
    <w:uiPriority w:val="39"/>
    <w:pPr>
      <w:ind w:left="210"/>
      <w:jc w:val="left"/>
    </w:pPr>
    <w:rPr>
      <w:smallCaps/>
      <w:sz w:val="20"/>
    </w:rPr>
  </w:style>
  <w:style w:type="paragraph" w:styleId="20">
    <w:name w:val="Body Text 2"/>
    <w:basedOn w:val="1"/>
    <w:next w:val="2"/>
    <w:qFormat/>
    <w:uiPriority w:val="0"/>
    <w:pPr>
      <w:spacing w:after="120" w:afterLines="0" w:line="480" w:lineRule="auto"/>
      <w:ind w:firstLine="0" w:firstLineChars="0"/>
    </w:pPr>
    <w:rPr>
      <w:szCs w:val="24"/>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Strong"/>
    <w:qFormat/>
    <w:uiPriority w:val="0"/>
    <w:rPr>
      <w:rFonts w:ascii="Tahoma" w:hAnsi="Tahoma"/>
      <w:b/>
      <w:bCs/>
      <w:sz w:val="24"/>
    </w:rPr>
  </w:style>
  <w:style w:type="character" w:styleId="26">
    <w:name w:val="Hyperlink"/>
    <w:qFormat/>
    <w:uiPriority w:val="99"/>
    <w:rPr>
      <w:color w:val="333333"/>
      <w:u w:val="none"/>
    </w:rPr>
  </w:style>
  <w:style w:type="character" w:customStyle="1" w:styleId="27">
    <w:name w:val="标题 1 Char"/>
    <w:link w:val="4"/>
    <w:qFormat/>
    <w:uiPriority w:val="0"/>
    <w:rPr>
      <w:rFonts w:ascii="仿宋_GB2312" w:hAnsi="仿宋_GB2312" w:eastAsia="黑体" w:cs="Times New Roman"/>
      <w:b/>
      <w:bCs/>
      <w:color w:val="000000"/>
      <w:sz w:val="44"/>
      <w:szCs w:val="20"/>
    </w:rPr>
  </w:style>
  <w:style w:type="paragraph" w:customStyle="1" w:styleId="28">
    <w:name w:val="表格文字"/>
    <w:basedOn w:val="1"/>
    <w:qFormat/>
    <w:uiPriority w:val="0"/>
    <w:pPr>
      <w:spacing w:before="25" w:after="25"/>
      <w:jc w:val="left"/>
    </w:pPr>
    <w:rPr>
      <w:bCs/>
      <w:spacing w:val="10"/>
      <w:kern w:val="0"/>
      <w:sz w:val="24"/>
    </w:rPr>
  </w:style>
  <w:style w:type="paragraph" w:customStyle="1" w:styleId="29">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30">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3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3">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4">
    <w:name w:val="05正文"/>
    <w:basedOn w:val="1"/>
    <w:qFormat/>
    <w:uiPriority w:val="0"/>
    <w:pPr>
      <w:jc w:val="left"/>
    </w:pPr>
    <w:rPr>
      <w:rFonts w:ascii="宋体" w:hAnsi="Calibri"/>
      <w:szCs w:val="24"/>
    </w:rPr>
  </w:style>
  <w:style w:type="paragraph" w:customStyle="1" w:styleId="35">
    <w:name w:val="列出段落2"/>
    <w:basedOn w:val="1"/>
    <w:qFormat/>
    <w:uiPriority w:val="0"/>
    <w:pPr>
      <w:ind w:firstLine="420" w:firstLineChars="200"/>
    </w:pPr>
    <w:rPr>
      <w:szCs w:val="22"/>
    </w:rPr>
  </w:style>
  <w:style w:type="character" w:customStyle="1" w:styleId="36">
    <w:name w:val="fontstyle01"/>
    <w:basedOn w:val="24"/>
    <w:qFormat/>
    <w:uiPriority w:val="0"/>
    <w:rPr>
      <w:rFonts w:hint="eastAsia" w:ascii="微软雅黑" w:hAnsi="微软雅黑" w:eastAsia="微软雅黑"/>
      <w:color w:val="000000"/>
      <w:sz w:val="24"/>
      <w:szCs w:val="24"/>
    </w:rPr>
  </w:style>
  <w:style w:type="paragraph" w:customStyle="1" w:styleId="3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8">
    <w:name w:val="列出段落1"/>
    <w:basedOn w:val="1"/>
    <w:qFormat/>
    <w:uiPriority w:val="0"/>
    <w:pPr>
      <w:ind w:firstLine="420" w:firstLineChars="200"/>
    </w:pPr>
    <w:rPr>
      <w:szCs w:val="21"/>
    </w:rPr>
  </w:style>
  <w:style w:type="character" w:customStyle="1" w:styleId="39">
    <w:name w:val="font01"/>
    <w:basedOn w:val="24"/>
    <w:qFormat/>
    <w:uiPriority w:val="0"/>
    <w:rPr>
      <w:rFonts w:hint="eastAsia" w:ascii="宋体" w:hAnsi="宋体" w:eastAsia="宋体" w:cs="宋体"/>
      <w:color w:val="000000"/>
      <w:sz w:val="22"/>
      <w:szCs w:val="22"/>
      <w:u w:val="none"/>
    </w:rPr>
  </w:style>
  <w:style w:type="character" w:customStyle="1" w:styleId="40">
    <w:name w:val="font11"/>
    <w:basedOn w:val="24"/>
    <w:qFormat/>
    <w:uiPriority w:val="0"/>
    <w:rPr>
      <w:rFonts w:hint="eastAsia" w:ascii="宋体" w:hAnsi="宋体" w:eastAsia="宋体" w:cs="宋体"/>
      <w:b/>
      <w:bCs/>
      <w:color w:val="000000"/>
      <w:sz w:val="22"/>
      <w:szCs w:val="22"/>
      <w:u w:val="none"/>
    </w:rPr>
  </w:style>
  <w:style w:type="character" w:customStyle="1" w:styleId="41">
    <w:name w:val="标题 2 Char"/>
    <w:link w:val="5"/>
    <w:qFormat/>
    <w:uiPriority w:val="0"/>
    <w:rPr>
      <w:rFonts w:ascii="仿宋_GB2312" w:hAnsi="宋体" w:eastAsia="楷体_GB2312"/>
      <w:b/>
      <w:sz w:val="3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100</Pages>
  <Words>56708</Words>
  <Characters>61113</Characters>
  <Lines>0</Lines>
  <Paragraphs>0</Paragraphs>
  <TotalTime>1</TotalTime>
  <ScaleCrop>false</ScaleCrop>
  <LinksUpToDate>false</LinksUpToDate>
  <CharactersWithSpaces>65241</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xxx</cp:lastModifiedBy>
  <dcterms:modified xsi:type="dcterms:W3CDTF">2024-07-04T10:32:21Z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y fmtid="{D5CDD505-2E9C-101B-9397-08002B2CF9AE}" pid="3" name="ICV">
    <vt:lpwstr>061B947423554FB1BABC6F5D9530AD1D_13</vt:lpwstr>
  </property>
</Properties>
</file>