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36271">
      <w:pPr>
        <w:pStyle w:val="25"/>
        <w:spacing w:after="124"/>
        <w:rPr>
          <w:rFonts w:hAnsi="宋体"/>
          <w:b/>
          <w:color w:val="auto"/>
          <w:sz w:val="28"/>
          <w:szCs w:val="28"/>
          <w:highlight w:val="none"/>
        </w:rPr>
      </w:pPr>
    </w:p>
    <w:p w14:paraId="2B45A11E">
      <w:pPr>
        <w:pStyle w:val="25"/>
        <w:spacing w:after="124"/>
        <w:rPr>
          <w:rFonts w:hAnsi="宋体"/>
          <w:b/>
          <w:color w:val="auto"/>
          <w:sz w:val="84"/>
          <w:szCs w:val="84"/>
          <w:highlight w:val="none"/>
        </w:rPr>
      </w:pPr>
    </w:p>
    <w:p w14:paraId="7A19D217">
      <w:pPr>
        <w:pStyle w:val="25"/>
        <w:spacing w:after="124"/>
        <w:jc w:val="center"/>
        <w:rPr>
          <w:rFonts w:hAnsi="宋体"/>
          <w:b/>
          <w:color w:val="auto"/>
          <w:sz w:val="84"/>
          <w:szCs w:val="84"/>
          <w:highlight w:val="none"/>
        </w:rPr>
      </w:pPr>
      <w:bookmarkStart w:id="0" w:name="_Toc15379"/>
      <w:r>
        <w:rPr>
          <w:rFonts w:hint="eastAsia" w:hAnsi="宋体"/>
          <w:b/>
          <w:color w:val="auto"/>
          <w:sz w:val="84"/>
          <w:szCs w:val="84"/>
          <w:highlight w:val="none"/>
        </w:rPr>
        <w:t>竞争性磋商文件</w:t>
      </w:r>
      <w:bookmarkEnd w:id="0"/>
    </w:p>
    <w:p w14:paraId="4E868F04">
      <w:pPr>
        <w:pStyle w:val="25"/>
        <w:spacing w:after="124"/>
        <w:jc w:val="center"/>
        <w:rPr>
          <w:rFonts w:hAnsi="宋体"/>
          <w:b/>
          <w:color w:val="auto"/>
          <w:sz w:val="84"/>
          <w:szCs w:val="84"/>
          <w:highlight w:val="none"/>
        </w:rPr>
      </w:pPr>
    </w:p>
    <w:p w14:paraId="0E8EBEA3">
      <w:pPr>
        <w:pStyle w:val="25"/>
        <w:spacing w:after="124"/>
        <w:jc w:val="center"/>
        <w:rPr>
          <w:rFonts w:hAnsi="宋体"/>
          <w:b/>
          <w:bCs/>
          <w:color w:val="auto"/>
          <w:sz w:val="84"/>
          <w:szCs w:val="84"/>
          <w:highlight w:val="none"/>
        </w:rPr>
      </w:pPr>
    </w:p>
    <w:tbl>
      <w:tblPr>
        <w:tblStyle w:val="47"/>
        <w:tblW w:w="7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29"/>
        <w:gridCol w:w="4991"/>
      </w:tblGrid>
      <w:tr w14:paraId="03EB7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2929" w:type="dxa"/>
            <w:vAlign w:val="center"/>
          </w:tcPr>
          <w:p w14:paraId="39B18A6A">
            <w:pPr>
              <w:snapToGrid w:val="0"/>
              <w:spacing w:line="240" w:lineRule="auto"/>
              <w:rPr>
                <w:rFonts w:asciiTheme="minorEastAsia" w:hAnsiTheme="minorEastAsia" w:eastAsiaTheme="minorEastAsia" w:cstheme="minorEastAsia"/>
                <w:b/>
                <w:bCs/>
                <w:snapToGrid w:val="0"/>
                <w:color w:val="auto"/>
                <w:kern w:val="0"/>
                <w:sz w:val="30"/>
                <w:szCs w:val="30"/>
                <w:highlight w:val="none"/>
              </w:rPr>
            </w:pPr>
            <w:r>
              <w:rPr>
                <w:rFonts w:hint="eastAsia" w:asciiTheme="minorEastAsia" w:hAnsiTheme="minorEastAsia" w:eastAsiaTheme="minorEastAsia" w:cstheme="minorEastAsia"/>
                <w:b/>
                <w:bCs/>
                <w:color w:val="auto"/>
                <w:spacing w:val="50"/>
                <w:kern w:val="0"/>
                <w:sz w:val="30"/>
                <w:szCs w:val="30"/>
                <w:highlight w:val="none"/>
                <w:fitText w:val="2700" w:id="1392444051"/>
              </w:rPr>
              <w:t>采购项目名称</w:t>
            </w:r>
            <w:r>
              <w:rPr>
                <w:rFonts w:hint="eastAsia" w:asciiTheme="minorEastAsia" w:hAnsiTheme="minorEastAsia" w:eastAsiaTheme="minorEastAsia" w:cstheme="minorEastAsia"/>
                <w:b/>
                <w:bCs/>
                <w:color w:val="auto"/>
                <w:spacing w:val="0"/>
                <w:kern w:val="0"/>
                <w:sz w:val="30"/>
                <w:szCs w:val="30"/>
                <w:highlight w:val="none"/>
                <w:fitText w:val="2700" w:id="1392444051"/>
              </w:rPr>
              <w:t>：</w:t>
            </w:r>
          </w:p>
        </w:tc>
        <w:tc>
          <w:tcPr>
            <w:tcW w:w="4991" w:type="dxa"/>
            <w:vAlign w:val="center"/>
          </w:tcPr>
          <w:p w14:paraId="5B0C7EA9">
            <w:pPr>
              <w:snapToGrid w:val="0"/>
              <w:spacing w:line="240" w:lineRule="auto"/>
              <w:rPr>
                <w:rFonts w:hint="default" w:asciiTheme="minorEastAsia" w:hAnsiTheme="minorEastAsia" w:eastAsiaTheme="minorEastAsia" w:cstheme="minorEastAsia"/>
                <w:b/>
                <w:bCs/>
                <w:snapToGrid w:val="0"/>
                <w:color w:val="auto"/>
                <w:kern w:val="0"/>
                <w:sz w:val="30"/>
                <w:szCs w:val="30"/>
                <w:highlight w:val="none"/>
                <w:lang w:val="en-US" w:eastAsia="zh-CN"/>
              </w:rPr>
            </w:pPr>
            <w:r>
              <w:rPr>
                <w:rFonts w:hint="eastAsia" w:asciiTheme="minorEastAsia" w:hAnsiTheme="minorEastAsia" w:eastAsiaTheme="minorEastAsia" w:cstheme="minorEastAsia"/>
                <w:b/>
                <w:bCs/>
                <w:snapToGrid w:val="0"/>
                <w:color w:val="auto"/>
                <w:kern w:val="0"/>
                <w:sz w:val="30"/>
                <w:szCs w:val="30"/>
                <w:highlight w:val="none"/>
                <w:lang w:eastAsia="zh-CN"/>
              </w:rPr>
              <w:t>吉首大学“两馆”周边建筑物及环境综合提质改造项目</w:t>
            </w:r>
          </w:p>
        </w:tc>
      </w:tr>
      <w:tr w14:paraId="5DEC6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2929" w:type="dxa"/>
            <w:vAlign w:val="center"/>
          </w:tcPr>
          <w:p w14:paraId="62FEF5C3">
            <w:pPr>
              <w:snapToGrid w:val="0"/>
              <w:spacing w:line="240" w:lineRule="auto"/>
              <w:rPr>
                <w:rFonts w:hint="default" w:asciiTheme="minorEastAsia" w:hAnsiTheme="minorEastAsia" w:eastAsiaTheme="minorEastAsia" w:cstheme="minorEastAsia"/>
                <w:b/>
                <w:bCs/>
                <w:color w:val="auto"/>
                <w:spacing w:val="2400"/>
                <w:kern w:val="0"/>
                <w:sz w:val="30"/>
                <w:szCs w:val="30"/>
                <w:highlight w:val="none"/>
                <w:fitText w:val="2700" w:id="376771902"/>
                <w:lang w:val="en-US" w:eastAsia="zh-CN"/>
              </w:rPr>
            </w:pPr>
            <w:r>
              <w:rPr>
                <w:rFonts w:hint="eastAsia" w:asciiTheme="minorEastAsia" w:hAnsiTheme="minorEastAsia" w:eastAsiaTheme="minorEastAsia" w:cstheme="minorEastAsia"/>
                <w:b/>
                <w:bCs/>
                <w:color w:val="auto"/>
                <w:spacing w:val="50"/>
                <w:kern w:val="0"/>
                <w:sz w:val="30"/>
                <w:szCs w:val="30"/>
                <w:highlight w:val="none"/>
                <w:fitText w:val="2700" w:id="1806589704"/>
                <w:lang w:val="en-US" w:eastAsia="zh-CN"/>
              </w:rPr>
              <w:t>政府采购编号</w:t>
            </w:r>
            <w:r>
              <w:rPr>
                <w:rFonts w:hint="eastAsia" w:asciiTheme="minorEastAsia" w:hAnsiTheme="minorEastAsia" w:eastAsiaTheme="minorEastAsia" w:cstheme="minorEastAsia"/>
                <w:b/>
                <w:bCs/>
                <w:color w:val="auto"/>
                <w:spacing w:val="0"/>
                <w:kern w:val="0"/>
                <w:sz w:val="30"/>
                <w:szCs w:val="30"/>
                <w:highlight w:val="none"/>
                <w:fitText w:val="2700" w:id="1806589704"/>
                <w:lang w:val="en-US" w:eastAsia="zh-CN"/>
              </w:rPr>
              <w:t>：</w:t>
            </w:r>
          </w:p>
        </w:tc>
        <w:tc>
          <w:tcPr>
            <w:tcW w:w="4991" w:type="dxa"/>
            <w:vAlign w:val="center"/>
          </w:tcPr>
          <w:p w14:paraId="68372F7F">
            <w:pPr>
              <w:snapToGrid w:val="0"/>
              <w:spacing w:line="240" w:lineRule="auto"/>
              <w:rPr>
                <w:rFonts w:hint="default" w:asciiTheme="minorEastAsia" w:hAnsiTheme="minorEastAsia" w:eastAsiaTheme="minorEastAsia" w:cstheme="minorEastAsia"/>
                <w:b/>
                <w:bCs/>
                <w:snapToGrid w:val="0"/>
                <w:color w:val="auto"/>
                <w:kern w:val="0"/>
                <w:sz w:val="30"/>
                <w:szCs w:val="30"/>
                <w:highlight w:val="none"/>
                <w:lang w:val="en-US" w:eastAsia="zh-CN"/>
              </w:rPr>
            </w:pPr>
            <w:r>
              <w:rPr>
                <w:rFonts w:hint="eastAsia" w:asciiTheme="minorEastAsia" w:hAnsiTheme="minorEastAsia" w:eastAsiaTheme="minorEastAsia" w:cstheme="minorEastAsia"/>
                <w:b/>
                <w:bCs/>
                <w:snapToGrid w:val="0"/>
                <w:color w:val="auto"/>
                <w:kern w:val="0"/>
                <w:sz w:val="30"/>
                <w:szCs w:val="30"/>
                <w:highlight w:val="none"/>
                <w:lang w:val="en-US" w:eastAsia="zh-CN"/>
              </w:rPr>
              <w:t>湘财采计[2026]000192号</w:t>
            </w:r>
          </w:p>
        </w:tc>
      </w:tr>
      <w:tr w14:paraId="35122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2929" w:type="dxa"/>
            <w:vAlign w:val="center"/>
          </w:tcPr>
          <w:p w14:paraId="10A9EBAD">
            <w:pPr>
              <w:snapToGrid w:val="0"/>
              <w:spacing w:line="240" w:lineRule="auto"/>
              <w:rPr>
                <w:rFonts w:asciiTheme="minorEastAsia" w:hAnsiTheme="minorEastAsia" w:eastAsiaTheme="minorEastAsia" w:cstheme="minorEastAsia"/>
                <w:b/>
                <w:bCs/>
                <w:snapToGrid w:val="0"/>
                <w:color w:val="auto"/>
                <w:kern w:val="0"/>
                <w:sz w:val="30"/>
                <w:szCs w:val="30"/>
                <w:highlight w:val="none"/>
              </w:rPr>
            </w:pPr>
            <w:r>
              <w:rPr>
                <w:rFonts w:hint="eastAsia" w:asciiTheme="minorEastAsia" w:hAnsiTheme="minorEastAsia" w:eastAsiaTheme="minorEastAsia" w:cstheme="minorEastAsia"/>
                <w:b/>
                <w:color w:val="auto"/>
                <w:spacing w:val="50"/>
                <w:kern w:val="0"/>
                <w:sz w:val="30"/>
                <w:szCs w:val="30"/>
                <w:highlight w:val="none"/>
                <w:fitText w:val="2700" w:id="832963877"/>
                <w:lang w:val="en-US" w:eastAsia="zh-CN"/>
              </w:rPr>
              <w:t>委托</w:t>
            </w:r>
            <w:r>
              <w:rPr>
                <w:rFonts w:hint="eastAsia" w:asciiTheme="minorEastAsia" w:hAnsiTheme="minorEastAsia" w:eastAsiaTheme="minorEastAsia" w:cstheme="minorEastAsia"/>
                <w:b/>
                <w:color w:val="auto"/>
                <w:spacing w:val="50"/>
                <w:kern w:val="0"/>
                <w:sz w:val="30"/>
                <w:szCs w:val="30"/>
                <w:highlight w:val="none"/>
                <w:fitText w:val="2700" w:id="832963877"/>
              </w:rPr>
              <w:t>代理编号</w:t>
            </w:r>
            <w:r>
              <w:rPr>
                <w:rFonts w:hint="eastAsia" w:asciiTheme="minorEastAsia" w:hAnsiTheme="minorEastAsia" w:eastAsiaTheme="minorEastAsia" w:cstheme="minorEastAsia"/>
                <w:b/>
                <w:color w:val="auto"/>
                <w:spacing w:val="0"/>
                <w:kern w:val="0"/>
                <w:sz w:val="30"/>
                <w:szCs w:val="30"/>
                <w:highlight w:val="none"/>
                <w:fitText w:val="2700" w:id="832963877"/>
              </w:rPr>
              <w:t>：</w:t>
            </w:r>
          </w:p>
        </w:tc>
        <w:tc>
          <w:tcPr>
            <w:tcW w:w="4991" w:type="dxa"/>
            <w:vAlign w:val="center"/>
          </w:tcPr>
          <w:p w14:paraId="53920E14">
            <w:pPr>
              <w:snapToGrid w:val="0"/>
              <w:spacing w:line="240" w:lineRule="auto"/>
              <w:rPr>
                <w:rFonts w:hint="default" w:asciiTheme="minorEastAsia" w:hAnsiTheme="minorEastAsia" w:eastAsiaTheme="minorEastAsia" w:cstheme="minorEastAsia"/>
                <w:b/>
                <w:bCs/>
                <w:snapToGrid w:val="0"/>
                <w:color w:val="auto"/>
                <w:kern w:val="0"/>
                <w:sz w:val="30"/>
                <w:szCs w:val="30"/>
                <w:highlight w:val="none"/>
                <w:lang w:val="en-US" w:eastAsia="zh-CN" w:bidi="ar-SA"/>
              </w:rPr>
            </w:pPr>
            <w:r>
              <w:rPr>
                <w:rFonts w:hint="eastAsia" w:asciiTheme="minorEastAsia" w:hAnsiTheme="minorEastAsia" w:eastAsiaTheme="minorEastAsia" w:cstheme="minorEastAsia"/>
                <w:b/>
                <w:bCs/>
                <w:snapToGrid w:val="0"/>
                <w:color w:val="auto"/>
                <w:kern w:val="0"/>
                <w:sz w:val="30"/>
                <w:szCs w:val="30"/>
                <w:highlight w:val="none"/>
                <w:lang w:val="en-US" w:eastAsia="zh-CN" w:bidi="ar-SA"/>
              </w:rPr>
              <w:t>1078163-20260213-61</w:t>
            </w:r>
          </w:p>
        </w:tc>
      </w:tr>
      <w:tr w14:paraId="5F8D9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2929" w:type="dxa"/>
            <w:vAlign w:val="center"/>
          </w:tcPr>
          <w:p w14:paraId="40EFE768">
            <w:pPr>
              <w:snapToGrid w:val="0"/>
              <w:spacing w:line="240" w:lineRule="auto"/>
              <w:rPr>
                <w:rFonts w:asciiTheme="minorEastAsia" w:hAnsiTheme="minorEastAsia" w:eastAsiaTheme="minorEastAsia" w:cstheme="minorEastAsia"/>
                <w:b/>
                <w:bCs/>
                <w:snapToGrid w:val="0"/>
                <w:color w:val="auto"/>
                <w:kern w:val="0"/>
                <w:sz w:val="30"/>
                <w:szCs w:val="30"/>
                <w:highlight w:val="none"/>
              </w:rPr>
            </w:pPr>
            <w:r>
              <w:rPr>
                <w:rFonts w:hint="eastAsia" w:asciiTheme="minorEastAsia" w:hAnsiTheme="minorEastAsia" w:eastAsiaTheme="minorEastAsia" w:cstheme="minorEastAsia"/>
                <w:b/>
                <w:color w:val="auto"/>
                <w:spacing w:val="33"/>
                <w:kern w:val="0"/>
                <w:sz w:val="30"/>
                <w:szCs w:val="30"/>
                <w:highlight w:val="none"/>
                <w:fitText w:val="2700" w:id="628104120"/>
              </w:rPr>
              <w:t>采   购   人</w:t>
            </w:r>
            <w:r>
              <w:rPr>
                <w:rFonts w:hint="eastAsia" w:asciiTheme="minorEastAsia" w:hAnsiTheme="minorEastAsia" w:eastAsiaTheme="minorEastAsia" w:cstheme="minorEastAsia"/>
                <w:b/>
                <w:color w:val="auto"/>
                <w:spacing w:val="3"/>
                <w:kern w:val="0"/>
                <w:sz w:val="30"/>
                <w:szCs w:val="30"/>
                <w:highlight w:val="none"/>
                <w:fitText w:val="2700" w:id="628104120"/>
              </w:rPr>
              <w:t>：</w:t>
            </w:r>
          </w:p>
        </w:tc>
        <w:tc>
          <w:tcPr>
            <w:tcW w:w="4991" w:type="dxa"/>
            <w:vAlign w:val="center"/>
          </w:tcPr>
          <w:p w14:paraId="32AE7EA7">
            <w:pPr>
              <w:snapToGrid w:val="0"/>
              <w:spacing w:line="240" w:lineRule="auto"/>
              <w:rPr>
                <w:rFonts w:asciiTheme="minorEastAsia" w:hAnsiTheme="minorEastAsia" w:eastAsiaTheme="minorEastAsia" w:cstheme="minorEastAsia"/>
                <w:b/>
                <w:bCs/>
                <w:snapToGrid w:val="0"/>
                <w:color w:val="auto"/>
                <w:kern w:val="0"/>
                <w:sz w:val="30"/>
                <w:szCs w:val="30"/>
                <w:highlight w:val="none"/>
              </w:rPr>
            </w:pPr>
            <w:r>
              <w:rPr>
                <w:rFonts w:hint="eastAsia" w:asciiTheme="minorEastAsia" w:hAnsiTheme="minorEastAsia" w:eastAsiaTheme="minorEastAsia" w:cstheme="minorEastAsia"/>
                <w:b/>
                <w:bCs/>
                <w:snapToGrid w:val="0"/>
                <w:color w:val="auto"/>
                <w:kern w:val="0"/>
                <w:sz w:val="30"/>
                <w:szCs w:val="30"/>
                <w:highlight w:val="none"/>
                <w:lang w:eastAsia="zh-CN"/>
              </w:rPr>
              <w:t>吉首大学</w:t>
            </w:r>
          </w:p>
        </w:tc>
      </w:tr>
      <w:tr w14:paraId="66D68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2929" w:type="dxa"/>
            <w:vAlign w:val="center"/>
          </w:tcPr>
          <w:p w14:paraId="1D45213F">
            <w:pPr>
              <w:snapToGrid w:val="0"/>
              <w:spacing w:line="240" w:lineRule="auto"/>
              <w:rPr>
                <w:rFonts w:asciiTheme="minorEastAsia" w:hAnsiTheme="minorEastAsia" w:eastAsiaTheme="minorEastAsia" w:cstheme="minorEastAsia"/>
                <w:b/>
                <w:bCs/>
                <w:snapToGrid w:val="0"/>
                <w:color w:val="auto"/>
                <w:kern w:val="0"/>
                <w:sz w:val="30"/>
                <w:szCs w:val="30"/>
                <w:highlight w:val="none"/>
              </w:rPr>
            </w:pPr>
            <w:r>
              <w:rPr>
                <w:rFonts w:hint="eastAsia" w:asciiTheme="minorEastAsia" w:hAnsiTheme="minorEastAsia" w:eastAsiaTheme="minorEastAsia" w:cstheme="minorEastAsia"/>
                <w:b/>
                <w:color w:val="auto"/>
                <w:spacing w:val="50"/>
                <w:kern w:val="0"/>
                <w:sz w:val="30"/>
                <w:szCs w:val="30"/>
                <w:highlight w:val="none"/>
                <w:fitText w:val="2700" w:id="1999711343"/>
              </w:rPr>
              <w:t>采购代理机构</w:t>
            </w:r>
            <w:r>
              <w:rPr>
                <w:rFonts w:hint="eastAsia" w:asciiTheme="minorEastAsia" w:hAnsiTheme="minorEastAsia" w:eastAsiaTheme="minorEastAsia" w:cstheme="minorEastAsia"/>
                <w:b/>
                <w:color w:val="auto"/>
                <w:spacing w:val="0"/>
                <w:kern w:val="0"/>
                <w:sz w:val="30"/>
                <w:szCs w:val="30"/>
                <w:highlight w:val="none"/>
                <w:fitText w:val="2700" w:id="1999711343"/>
              </w:rPr>
              <w:t>：</w:t>
            </w:r>
          </w:p>
        </w:tc>
        <w:tc>
          <w:tcPr>
            <w:tcW w:w="4991" w:type="dxa"/>
            <w:vAlign w:val="center"/>
          </w:tcPr>
          <w:p w14:paraId="6228F303">
            <w:pPr>
              <w:snapToGrid w:val="0"/>
              <w:spacing w:line="240" w:lineRule="auto"/>
              <w:rPr>
                <w:rFonts w:hint="eastAsia" w:asciiTheme="minorEastAsia" w:hAnsiTheme="minorEastAsia" w:eastAsiaTheme="minorEastAsia" w:cstheme="minorEastAsia"/>
                <w:b/>
                <w:bCs/>
                <w:snapToGrid w:val="0"/>
                <w:color w:val="auto"/>
                <w:kern w:val="0"/>
                <w:sz w:val="30"/>
                <w:szCs w:val="30"/>
                <w:highlight w:val="none"/>
                <w:lang w:eastAsia="zh-CN"/>
              </w:rPr>
            </w:pPr>
            <w:r>
              <w:rPr>
                <w:rFonts w:hint="eastAsia" w:asciiTheme="minorEastAsia" w:hAnsiTheme="minorEastAsia" w:eastAsiaTheme="minorEastAsia" w:cstheme="minorEastAsia"/>
                <w:b/>
                <w:bCs/>
                <w:color w:val="auto"/>
                <w:sz w:val="30"/>
                <w:szCs w:val="30"/>
                <w:highlight w:val="none"/>
                <w:lang w:eastAsia="zh-CN"/>
              </w:rPr>
              <w:t>湖南大音项目管理有限公司</w:t>
            </w:r>
          </w:p>
        </w:tc>
      </w:tr>
    </w:tbl>
    <w:p w14:paraId="13C1E1D2">
      <w:pPr>
        <w:pStyle w:val="25"/>
        <w:adjustRightInd w:val="0"/>
        <w:snapToGrid w:val="0"/>
        <w:spacing w:after="124" w:line="360" w:lineRule="auto"/>
        <w:rPr>
          <w:rFonts w:hAnsi="宋体"/>
          <w:b/>
          <w:color w:val="auto"/>
          <w:sz w:val="32"/>
          <w:szCs w:val="32"/>
          <w:highlight w:val="none"/>
        </w:rPr>
      </w:pPr>
    </w:p>
    <w:p w14:paraId="2A1C2520">
      <w:pPr>
        <w:pStyle w:val="25"/>
        <w:adjustRightInd w:val="0"/>
        <w:snapToGrid w:val="0"/>
        <w:spacing w:after="124" w:line="360" w:lineRule="auto"/>
        <w:jc w:val="center"/>
        <w:rPr>
          <w:rFonts w:hAnsi="宋体"/>
          <w:b/>
          <w:color w:val="auto"/>
          <w:sz w:val="32"/>
          <w:highlight w:val="none"/>
        </w:rPr>
      </w:pPr>
    </w:p>
    <w:p w14:paraId="26D8A70D">
      <w:pPr>
        <w:pStyle w:val="25"/>
        <w:adjustRightInd w:val="0"/>
        <w:snapToGrid w:val="0"/>
        <w:spacing w:after="124" w:line="360" w:lineRule="auto"/>
        <w:jc w:val="center"/>
        <w:rPr>
          <w:rFonts w:hAnsi="宋体"/>
          <w:b/>
          <w:color w:val="auto"/>
          <w:sz w:val="32"/>
          <w:highlight w:val="none"/>
        </w:rPr>
      </w:pPr>
      <w:r>
        <w:rPr>
          <w:rFonts w:hint="eastAsia" w:hAnsi="宋体"/>
          <w:b/>
          <w:color w:val="auto"/>
          <w:sz w:val="32"/>
          <w:highlight w:val="none"/>
        </w:rPr>
        <w:t>202</w:t>
      </w:r>
      <w:r>
        <w:rPr>
          <w:rFonts w:hint="eastAsia" w:hAnsi="宋体"/>
          <w:b/>
          <w:color w:val="auto"/>
          <w:sz w:val="32"/>
          <w:highlight w:val="none"/>
          <w:lang w:val="en-US" w:eastAsia="zh-CN"/>
        </w:rPr>
        <w:t>6</w:t>
      </w:r>
      <w:r>
        <w:rPr>
          <w:rFonts w:hint="eastAsia" w:hAnsi="宋体"/>
          <w:b/>
          <w:color w:val="auto"/>
          <w:sz w:val="32"/>
          <w:highlight w:val="none"/>
        </w:rPr>
        <w:t>年</w:t>
      </w:r>
      <w:r>
        <w:rPr>
          <w:rFonts w:hint="eastAsia" w:hAnsi="宋体"/>
          <w:b/>
          <w:color w:val="auto"/>
          <w:sz w:val="32"/>
          <w:highlight w:val="none"/>
          <w:lang w:val="en-US" w:eastAsia="zh-CN"/>
        </w:rPr>
        <w:t>2</w:t>
      </w:r>
      <w:r>
        <w:rPr>
          <w:rFonts w:hint="eastAsia" w:hAnsi="宋体"/>
          <w:b/>
          <w:color w:val="auto"/>
          <w:sz w:val="32"/>
          <w:highlight w:val="none"/>
        </w:rPr>
        <w:t>月</w:t>
      </w:r>
    </w:p>
    <w:p w14:paraId="0FAA281F">
      <w:pPr>
        <w:spacing w:after="124"/>
        <w:rPr>
          <w:color w:val="auto"/>
          <w:highlight w:val="none"/>
        </w:rPr>
      </w:pPr>
    </w:p>
    <w:p w14:paraId="67F56B81">
      <w:pPr>
        <w:rPr>
          <w:rFonts w:ascii="宋体" w:hAnsi="宋体"/>
          <w:b/>
          <w:bCs/>
          <w:color w:val="auto"/>
          <w:sz w:val="36"/>
          <w:szCs w:val="44"/>
          <w:highlight w:val="none"/>
        </w:rPr>
      </w:pPr>
      <w:r>
        <w:rPr>
          <w:rFonts w:ascii="宋体" w:hAnsi="宋体"/>
          <w:b/>
          <w:bCs/>
          <w:color w:val="auto"/>
          <w:sz w:val="36"/>
          <w:szCs w:val="44"/>
          <w:highlight w:val="none"/>
        </w:rPr>
        <w:br w:type="page"/>
      </w:r>
    </w:p>
    <w:sdt>
      <w:sdtPr>
        <w:rPr>
          <w:rFonts w:ascii="宋体" w:hAnsi="宋体" w:eastAsia="宋体" w:cs="Times New Roman"/>
          <w:color w:val="auto"/>
          <w:kern w:val="2"/>
          <w:sz w:val="21"/>
          <w:szCs w:val="24"/>
          <w:highlight w:val="none"/>
          <w:lang w:val="en-US" w:eastAsia="zh-CN" w:bidi="ar-SA"/>
        </w:rPr>
        <w:id w:val="147469989"/>
        <w15:color w:val="DBDBDB"/>
        <w:docPartObj>
          <w:docPartGallery w:val="Table of Contents"/>
          <w:docPartUnique/>
        </w:docPartObj>
      </w:sdtPr>
      <w:sdtEndPr>
        <w:rPr>
          <w:rFonts w:hint="eastAsia" w:ascii="黑体" w:hAnsi="宋体" w:eastAsia="黑体" w:cs="Times New Roman"/>
          <w:b/>
          <w:color w:val="auto"/>
          <w:kern w:val="2"/>
          <w:sz w:val="21"/>
          <w:szCs w:val="32"/>
          <w:highlight w:val="none"/>
          <w:lang w:val="en-US" w:eastAsia="zh-CN" w:bidi="ar-SA"/>
        </w:rPr>
      </w:sdtEndPr>
      <w:sdtContent>
        <w:p w14:paraId="34C5AC29">
          <w:pPr>
            <w:spacing w:before="0" w:beforeLines="0" w:after="0" w:afterLines="0" w:line="240" w:lineRule="auto"/>
            <w:ind w:left="0" w:leftChars="0" w:right="0" w:rightChars="0" w:firstLine="0" w:firstLineChars="0"/>
            <w:jc w:val="center"/>
            <w:rPr>
              <w:color w:val="auto"/>
              <w:highlight w:val="none"/>
            </w:rPr>
          </w:pPr>
          <w:bookmarkStart w:id="1" w:name="_Toc19204"/>
          <w:r>
            <w:rPr>
              <w:rFonts w:ascii="宋体" w:hAnsi="宋体" w:eastAsia="宋体"/>
              <w:b/>
              <w:bCs/>
              <w:color w:val="auto"/>
              <w:sz w:val="36"/>
              <w:szCs w:val="44"/>
              <w:highlight w:val="none"/>
            </w:rPr>
            <w:t>目</w:t>
          </w:r>
          <w:r>
            <w:rPr>
              <w:rFonts w:hint="eastAsia" w:ascii="宋体" w:hAnsi="宋体"/>
              <w:b/>
              <w:bCs/>
              <w:color w:val="auto"/>
              <w:sz w:val="36"/>
              <w:szCs w:val="44"/>
              <w:highlight w:val="none"/>
              <w:lang w:val="en-US" w:eastAsia="zh-CN"/>
            </w:rPr>
            <w:t xml:space="preserve">  </w:t>
          </w:r>
          <w:r>
            <w:rPr>
              <w:rFonts w:ascii="宋体" w:hAnsi="宋体" w:eastAsia="宋体"/>
              <w:b/>
              <w:bCs/>
              <w:color w:val="auto"/>
              <w:sz w:val="36"/>
              <w:szCs w:val="44"/>
              <w:highlight w:val="none"/>
            </w:rPr>
            <w:t>录</w:t>
          </w:r>
        </w:p>
        <w:p w14:paraId="79092FEF">
          <w:pPr>
            <w:pStyle w:val="199"/>
            <w:tabs>
              <w:tab w:val="right" w:leader="dot" w:pos="7824"/>
            </w:tabs>
            <w:rPr>
              <w:b/>
              <w:color w:val="auto"/>
              <w:highlight w:val="none"/>
            </w:rPr>
          </w:pPr>
          <w:r>
            <w:rPr>
              <w:rFonts w:hint="eastAsia" w:ascii="黑体" w:hAnsi="宋体" w:eastAsia="黑体"/>
              <w:b/>
              <w:color w:val="auto"/>
              <w:sz w:val="32"/>
              <w:szCs w:val="32"/>
              <w:highlight w:val="none"/>
            </w:rPr>
            <w:fldChar w:fldCharType="begin"/>
          </w:r>
          <w:r>
            <w:rPr>
              <w:rFonts w:hint="eastAsia" w:ascii="黑体" w:hAnsi="宋体" w:eastAsia="黑体"/>
              <w:b/>
              <w:color w:val="auto"/>
              <w:sz w:val="32"/>
              <w:szCs w:val="32"/>
              <w:highlight w:val="none"/>
            </w:rPr>
            <w:instrText xml:space="preserve">TOC \o "1-2" \h \u </w:instrText>
          </w:r>
          <w:r>
            <w:rPr>
              <w:rFonts w:hint="eastAsia" w:ascii="黑体" w:hAnsi="宋体" w:eastAsia="黑体"/>
              <w:b/>
              <w:color w:val="auto"/>
              <w:sz w:val="32"/>
              <w:szCs w:val="32"/>
              <w:highlight w:val="none"/>
            </w:rPr>
            <w:fldChar w:fldCharType="separate"/>
          </w:r>
        </w:p>
        <w:p w14:paraId="653E1D1E">
          <w:pPr>
            <w:pStyle w:val="199"/>
            <w:tabs>
              <w:tab w:val="right" w:leader="dot" w:pos="7824"/>
            </w:tabs>
            <w:rPr>
              <w:b/>
              <w:color w:val="auto"/>
              <w:highlight w:val="none"/>
            </w:rPr>
          </w:pPr>
        </w:p>
        <w:p w14:paraId="7868D90B">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_Toc25655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第一章</w:t>
          </w:r>
          <w:r>
            <w:rPr>
              <w:rFonts w:hint="eastAsia" w:ascii="宋体" w:hAnsi="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磋商邀请</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_Toc25655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20A137B1">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_Toc12592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第二章</w:t>
          </w:r>
          <w:r>
            <w:rPr>
              <w:rFonts w:hint="eastAsia" w:ascii="宋体" w:hAnsi="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磋商须知</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_Toc12592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6</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645AA8BE">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_Toc23922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第三章 评审办法及标准</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_Toc23922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21</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5BE1ECE8">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_Toc20537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第四章 政府采购合同格式</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_Toc20537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25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6C60CC9A">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_Toc30111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第五章</w:t>
          </w:r>
          <w:r>
            <w:rPr>
              <w:rFonts w:hint="eastAsia" w:ascii="宋体" w:hAnsi="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采购需求</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_Toc30111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25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297C797C">
          <w:pPr>
            <w:pStyle w:val="19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_Toc27468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第六章 响应文件组成</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_Toc27468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35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082B7938">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_Toc1414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一、磋商响应声明</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_Toc1414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35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753919A4">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_Toc3694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二</w:t>
          </w:r>
          <w:r>
            <w:rPr>
              <w:rFonts w:hint="eastAsia" w:ascii="宋体" w:hAnsi="宋体" w:eastAsia="宋体" w:cs="宋体"/>
              <w:b w:val="0"/>
              <w:bCs/>
              <w:color w:val="auto"/>
              <w:sz w:val="21"/>
              <w:szCs w:val="21"/>
              <w:highlight w:val="none"/>
            </w:rPr>
            <w:t>、供应商的资格证明材料</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_Toc3694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35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75CBFFFF">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_Toc10437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三</w:t>
          </w:r>
          <w:r>
            <w:rPr>
              <w:rFonts w:hint="eastAsia" w:ascii="宋体" w:hAnsi="宋体" w:eastAsia="宋体" w:cs="宋体"/>
              <w:b w:val="0"/>
              <w:bCs/>
              <w:color w:val="auto"/>
              <w:sz w:val="21"/>
              <w:szCs w:val="21"/>
              <w:highlight w:val="none"/>
            </w:rPr>
            <w:t>、施工组织设计</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_Toc10437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45</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4E72F3C2">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_Toc28615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四</w:t>
          </w:r>
          <w:r>
            <w:rPr>
              <w:rFonts w:hint="eastAsia" w:ascii="宋体" w:hAnsi="宋体" w:eastAsia="宋体" w:cs="宋体"/>
              <w:b w:val="0"/>
              <w:bCs/>
              <w:color w:val="auto"/>
              <w:sz w:val="21"/>
              <w:szCs w:val="21"/>
              <w:highlight w:val="none"/>
            </w:rPr>
            <w:t>、技术/商务响应与偏离表</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_Toc28615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46</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175584ED">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_Toc27594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五</w:t>
          </w:r>
          <w:r>
            <w:rPr>
              <w:rFonts w:hint="eastAsia" w:ascii="宋体" w:hAnsi="宋体" w:eastAsia="宋体" w:cs="宋体"/>
              <w:b w:val="0"/>
              <w:bCs/>
              <w:color w:val="auto"/>
              <w:sz w:val="21"/>
              <w:szCs w:val="21"/>
              <w:highlight w:val="none"/>
            </w:rPr>
            <w:t>、提供享受招标采购政策的证明材料和清单表</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_Toc27594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47</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3FBFE927">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_Toc19928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六</w:t>
          </w:r>
          <w:r>
            <w:rPr>
              <w:rFonts w:hint="eastAsia" w:ascii="宋体" w:hAnsi="宋体" w:eastAsia="宋体" w:cs="宋体"/>
              <w:b w:val="0"/>
              <w:bCs/>
              <w:color w:val="auto"/>
              <w:sz w:val="21"/>
              <w:szCs w:val="21"/>
              <w:highlight w:val="none"/>
            </w:rPr>
            <w:t>、报价一览表及报价文件</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_Toc19928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50</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2310E1C5">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_Toc15111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七</w:t>
          </w:r>
          <w:r>
            <w:rPr>
              <w:rFonts w:hint="eastAsia" w:ascii="宋体" w:hAnsi="宋体" w:eastAsia="宋体" w:cs="宋体"/>
              <w:b w:val="0"/>
              <w:bCs/>
              <w:color w:val="auto"/>
              <w:sz w:val="21"/>
              <w:szCs w:val="21"/>
              <w:highlight w:val="none"/>
            </w:rPr>
            <w:t>、供应商认为需要提供的其它资料</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_Toc15111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52</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16712452">
          <w:pPr>
            <w:pStyle w:val="189"/>
            <w:keepNext w:val="0"/>
            <w:keepLines w:val="0"/>
            <w:pageBreakBefore w:val="0"/>
            <w:widowControl/>
            <w:tabs>
              <w:tab w:val="right" w:leader="dot" w:pos="7824"/>
            </w:tabs>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HYPERLINK \l _Toc19684 </w:instrText>
          </w:r>
          <w:r>
            <w:rPr>
              <w:rFonts w:hint="eastAsia" w:ascii="宋体" w:hAnsi="宋体" w:eastAsia="宋体" w:cs="宋体"/>
              <w:b w:val="0"/>
              <w:bCs/>
              <w:color w:val="auto"/>
              <w:sz w:val="21"/>
              <w:szCs w:val="21"/>
              <w:highlight w:val="none"/>
            </w:rPr>
            <w:fldChar w:fldCharType="separate"/>
          </w:r>
          <w:r>
            <w:rPr>
              <w:rFonts w:hint="eastAsia" w:ascii="宋体" w:hAnsi="宋体" w:cs="宋体"/>
              <w:b w:val="0"/>
              <w:bCs/>
              <w:color w:val="auto"/>
              <w:sz w:val="21"/>
              <w:szCs w:val="21"/>
              <w:highlight w:val="none"/>
              <w:lang w:val="en-US" w:eastAsia="zh-CN"/>
            </w:rPr>
            <w:t>八</w:t>
          </w:r>
          <w:r>
            <w:rPr>
              <w:rFonts w:hint="eastAsia" w:ascii="宋体" w:hAnsi="宋体" w:eastAsia="宋体" w:cs="宋体"/>
              <w:b w:val="0"/>
              <w:bCs/>
              <w:color w:val="auto"/>
              <w:sz w:val="21"/>
              <w:szCs w:val="21"/>
              <w:highlight w:val="none"/>
            </w:rPr>
            <w:t>、最后报价</w:t>
          </w:r>
          <w:r>
            <w:rPr>
              <w:rFonts w:hint="eastAsia" w:ascii="宋体" w:hAnsi="宋体" w:eastAsia="宋体" w:cs="宋体"/>
              <w:b w:val="0"/>
              <w:bCs/>
              <w:color w:val="auto"/>
              <w:sz w:val="21"/>
              <w:szCs w:val="21"/>
              <w:highlight w:val="none"/>
            </w:rPr>
            <w:tab/>
          </w:r>
          <w:r>
            <w:rPr>
              <w:rFonts w:hint="eastAsia" w:ascii="宋体" w:hAnsi="宋体" w:eastAsia="宋体" w:cs="宋体"/>
              <w:b w:val="0"/>
              <w:bCs/>
              <w:color w:val="auto"/>
              <w:sz w:val="21"/>
              <w:szCs w:val="21"/>
              <w:highlight w:val="none"/>
            </w:rPr>
            <w:fldChar w:fldCharType="begin"/>
          </w:r>
          <w:r>
            <w:rPr>
              <w:rFonts w:hint="eastAsia" w:ascii="宋体" w:hAnsi="宋体" w:eastAsia="宋体" w:cs="宋体"/>
              <w:b w:val="0"/>
              <w:bCs/>
              <w:color w:val="auto"/>
              <w:sz w:val="21"/>
              <w:szCs w:val="21"/>
              <w:highlight w:val="none"/>
            </w:rPr>
            <w:instrText xml:space="preserve"> PAGEREF _Toc19684 \h </w:instrText>
          </w:r>
          <w:r>
            <w:rPr>
              <w:rFonts w:hint="eastAsia" w:ascii="宋体" w:hAnsi="宋体" w:eastAsia="宋体" w:cs="宋体"/>
              <w:b w:val="0"/>
              <w:bCs/>
              <w:color w:val="auto"/>
              <w:sz w:val="21"/>
              <w:szCs w:val="21"/>
              <w:highlight w:val="none"/>
            </w:rPr>
            <w:fldChar w:fldCharType="separate"/>
          </w:r>
          <w:r>
            <w:rPr>
              <w:rFonts w:hint="eastAsia" w:ascii="宋体" w:hAnsi="宋体" w:eastAsia="宋体" w:cs="宋体"/>
              <w:b w:val="0"/>
              <w:bCs/>
              <w:color w:val="auto"/>
              <w:sz w:val="21"/>
              <w:szCs w:val="21"/>
              <w:highlight w:val="none"/>
            </w:rPr>
            <w:t>53</w:t>
          </w:r>
          <w:r>
            <w:rPr>
              <w:rFonts w:hint="eastAsia" w:ascii="宋体" w:hAnsi="宋体" w:eastAsia="宋体" w:cs="宋体"/>
              <w:b w:val="0"/>
              <w:bCs/>
              <w:color w:val="auto"/>
              <w:sz w:val="21"/>
              <w:szCs w:val="21"/>
              <w:highlight w:val="none"/>
            </w:rPr>
            <w:fldChar w:fldCharType="end"/>
          </w:r>
          <w:r>
            <w:rPr>
              <w:rFonts w:hint="eastAsia" w:ascii="宋体" w:hAnsi="宋体" w:eastAsia="宋体" w:cs="宋体"/>
              <w:b w:val="0"/>
              <w:bCs/>
              <w:color w:val="auto"/>
              <w:sz w:val="21"/>
              <w:szCs w:val="21"/>
              <w:highlight w:val="none"/>
            </w:rPr>
            <w:fldChar w:fldCharType="end"/>
          </w:r>
        </w:p>
        <w:p w14:paraId="009B39AF">
          <w:pPr>
            <w:spacing w:after="124"/>
            <w:jc w:val="center"/>
            <w:outlineLvl w:val="9"/>
            <w:rPr>
              <w:rFonts w:hint="eastAsia" w:ascii="黑体" w:hAnsi="宋体" w:eastAsia="黑体" w:cs="Times New Roman"/>
              <w:b/>
              <w:color w:val="auto"/>
              <w:kern w:val="2"/>
              <w:sz w:val="21"/>
              <w:szCs w:val="32"/>
              <w:highlight w:val="none"/>
              <w:lang w:val="en-US" w:eastAsia="zh-CN" w:bidi="ar-SA"/>
            </w:rPr>
          </w:pPr>
          <w:r>
            <w:rPr>
              <w:rFonts w:hint="eastAsia" w:ascii="黑体" w:hAnsi="宋体" w:eastAsia="黑体"/>
              <w:b/>
              <w:color w:val="auto"/>
              <w:szCs w:val="32"/>
              <w:highlight w:val="none"/>
            </w:rPr>
            <w:fldChar w:fldCharType="end"/>
          </w:r>
        </w:p>
      </w:sdtContent>
    </w:sdt>
    <w:p w14:paraId="4CDA18EA">
      <w:pPr>
        <w:spacing w:after="124"/>
        <w:jc w:val="center"/>
        <w:outlineLvl w:val="9"/>
        <w:rPr>
          <w:rFonts w:hint="eastAsia" w:ascii="黑体" w:hAnsi="宋体" w:eastAsia="黑体" w:cs="Times New Roman"/>
          <w:b/>
          <w:color w:val="auto"/>
          <w:kern w:val="2"/>
          <w:sz w:val="21"/>
          <w:szCs w:val="32"/>
          <w:highlight w:val="none"/>
          <w:lang w:val="en-US" w:eastAsia="zh-CN" w:bidi="ar-SA"/>
        </w:rPr>
        <w:sectPr>
          <w:headerReference r:id="rId3" w:type="default"/>
          <w:footerReference r:id="rId4" w:type="default"/>
          <w:pgSz w:w="11906" w:h="16838"/>
          <w:pgMar w:top="1474" w:right="1984" w:bottom="1587" w:left="2098" w:header="851" w:footer="992" w:gutter="0"/>
          <w:pgNumType w:fmt="decimal"/>
          <w:cols w:space="720" w:num="1"/>
          <w:docGrid w:linePitch="312" w:charSpace="0"/>
        </w:sectPr>
      </w:pPr>
    </w:p>
    <w:p w14:paraId="601E4914">
      <w:pPr>
        <w:spacing w:after="124"/>
        <w:jc w:val="center"/>
        <w:outlineLvl w:val="0"/>
        <w:rPr>
          <w:rFonts w:ascii="宋体" w:hAnsi="宋体" w:cs="宋体"/>
          <w:color w:val="auto"/>
          <w:kern w:val="0"/>
          <w:szCs w:val="21"/>
          <w:highlight w:val="none"/>
        </w:rPr>
      </w:pPr>
      <w:bookmarkStart w:id="2" w:name="_Toc25655"/>
      <w:r>
        <w:rPr>
          <w:rFonts w:hint="eastAsia" w:ascii="黑体" w:hAnsi="宋体" w:eastAsia="黑体"/>
          <w:b/>
          <w:color w:val="auto"/>
          <w:sz w:val="32"/>
          <w:szCs w:val="32"/>
          <w:highlight w:val="none"/>
        </w:rPr>
        <w:t>第一章</w:t>
      </w:r>
      <w:r>
        <w:rPr>
          <w:rFonts w:hint="eastAsia" w:ascii="黑体" w:hAnsi="宋体" w:eastAsia="黑体"/>
          <w:b/>
          <w:color w:val="auto"/>
          <w:sz w:val="32"/>
          <w:szCs w:val="32"/>
          <w:highlight w:val="none"/>
          <w:lang w:val="en-US" w:eastAsia="zh-CN"/>
        </w:rPr>
        <w:t xml:space="preserve"> </w:t>
      </w:r>
      <w:r>
        <w:rPr>
          <w:rFonts w:hint="eastAsia" w:ascii="黑体" w:hAnsi="宋体" w:eastAsia="黑体"/>
          <w:b/>
          <w:color w:val="auto"/>
          <w:sz w:val="32"/>
          <w:szCs w:val="32"/>
          <w:highlight w:val="none"/>
        </w:rPr>
        <w:t>磋商邀请</w:t>
      </w:r>
      <w:bookmarkEnd w:id="1"/>
      <w:bookmarkEnd w:id="2"/>
    </w:p>
    <w:p w14:paraId="1B7FEE8F">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eastAsia="zh-CN"/>
        </w:rPr>
        <w:t>吉首大学</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u w:val="single"/>
          <w:lang w:eastAsia="zh-CN"/>
        </w:rPr>
        <w:t>吉首大学“两馆”周边建筑物及环境综合提质改造项目</w:t>
      </w:r>
      <w:r>
        <w:rPr>
          <w:rFonts w:hint="eastAsia" w:ascii="宋体" w:hAnsi="宋体" w:eastAsia="宋体" w:cs="宋体"/>
          <w:color w:val="auto"/>
          <w:sz w:val="21"/>
          <w:szCs w:val="21"/>
          <w:highlight w:val="none"/>
        </w:rPr>
        <w:t>进行竞争性磋商采购，现采用发布公告方式，邀请符合资格条件的供应商参与竞争性磋商采购活动。</w:t>
      </w:r>
    </w:p>
    <w:p w14:paraId="222104F0">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3" w:name="_Toc22657511"/>
      <w:bookmarkStart w:id="4" w:name="_Toc1086"/>
      <w:bookmarkStart w:id="5" w:name="_Toc10259"/>
      <w:r>
        <w:rPr>
          <w:rFonts w:hint="eastAsia" w:ascii="宋体" w:hAnsi="宋体" w:eastAsia="宋体" w:cs="宋体"/>
          <w:color w:val="auto"/>
          <w:sz w:val="21"/>
          <w:szCs w:val="21"/>
          <w:highlight w:val="none"/>
        </w:rPr>
        <w:t>一、项目概况</w:t>
      </w:r>
      <w:bookmarkEnd w:id="3"/>
      <w:bookmarkEnd w:id="4"/>
      <w:bookmarkEnd w:id="5"/>
    </w:p>
    <w:p w14:paraId="581CE838">
      <w:pPr>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1、采购项目名称：</w:t>
      </w:r>
      <w:r>
        <w:rPr>
          <w:rFonts w:hint="eastAsia" w:ascii="宋体" w:hAnsi="宋体" w:cs="宋体"/>
          <w:color w:val="auto"/>
          <w:sz w:val="21"/>
          <w:szCs w:val="21"/>
          <w:highlight w:val="none"/>
          <w:lang w:eastAsia="zh-CN"/>
        </w:rPr>
        <w:t>吉首大学“两馆”周边建筑物及环境综合提质改造项目</w:t>
      </w:r>
    </w:p>
    <w:p w14:paraId="75A8F8FF">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2、政府采购编号：</w:t>
      </w:r>
      <w:r>
        <w:rPr>
          <w:rFonts w:hint="eastAsia" w:ascii="宋体" w:hAnsi="宋体" w:cs="宋体"/>
          <w:color w:val="auto"/>
          <w:sz w:val="21"/>
          <w:szCs w:val="21"/>
          <w:highlight w:val="none"/>
          <w:lang w:eastAsia="zh-CN"/>
        </w:rPr>
        <w:t>湘财采计[2026]000192号</w:t>
      </w:r>
    </w:p>
    <w:p w14:paraId="3B84D3FC">
      <w:pPr>
        <w:pageBreakBefore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eastAsia="zh-CN"/>
        </w:rPr>
        <w:t>委托代理编号</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1078163-20260213-61</w:t>
      </w:r>
    </w:p>
    <w:p w14:paraId="31A7B8B8">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4、评标办法：综合评分法</w:t>
      </w:r>
    </w:p>
    <w:p w14:paraId="685C809C">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5、采购项目预算：</w:t>
      </w:r>
      <w:r>
        <w:rPr>
          <w:rFonts w:hint="eastAsia" w:ascii="宋体" w:hAnsi="宋体" w:cs="宋体"/>
          <w:color w:val="auto"/>
          <w:sz w:val="21"/>
          <w:szCs w:val="21"/>
          <w:highlight w:val="none"/>
          <w:lang w:val="en-US" w:eastAsia="zh-CN"/>
        </w:rPr>
        <w:t>3630000.00</w:t>
      </w:r>
      <w:r>
        <w:rPr>
          <w:rFonts w:hint="eastAsia" w:ascii="宋体" w:hAnsi="宋体" w:eastAsia="宋体" w:cs="宋体"/>
          <w:color w:val="auto"/>
          <w:sz w:val="21"/>
          <w:szCs w:val="21"/>
          <w:highlight w:val="none"/>
        </w:rPr>
        <w:t>元</w:t>
      </w:r>
    </w:p>
    <w:p w14:paraId="555776F3">
      <w:pPr>
        <w:pageBreakBefore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Times New Roman"/>
          <w:color w:val="auto"/>
          <w:kern w:val="2"/>
          <w:sz w:val="21"/>
          <w:szCs w:val="21"/>
          <w:highlight w:val="none"/>
          <w:u w:val="single"/>
          <w:lang w:val="en-US" w:eastAsia="zh-CN" w:bidi="ar"/>
        </w:rPr>
      </w:pPr>
      <w:r>
        <w:rPr>
          <w:rFonts w:hint="eastAsia" w:ascii="宋体" w:hAnsi="宋体" w:cs="宋体"/>
          <w:color w:val="auto"/>
          <w:sz w:val="21"/>
          <w:szCs w:val="21"/>
          <w:highlight w:val="none"/>
          <w:lang w:val="en-US" w:eastAsia="zh-CN"/>
        </w:rPr>
        <w:t>6、</w:t>
      </w:r>
      <w:r>
        <w:rPr>
          <w:rFonts w:hint="eastAsia" w:ascii="宋体" w:hAnsi="宋体" w:eastAsia="宋体" w:cs="Times New Roman"/>
          <w:color w:val="auto"/>
          <w:kern w:val="2"/>
          <w:sz w:val="21"/>
          <w:szCs w:val="21"/>
          <w:highlight w:val="none"/>
          <w:lang w:val="en-US" w:eastAsia="zh-CN" w:bidi="ar"/>
        </w:rPr>
        <w:t>本项目</w:t>
      </w:r>
      <w:r>
        <w:rPr>
          <w:rFonts w:hint="eastAsia" w:ascii="宋体" w:hAnsi="宋体" w:eastAsia="宋体" w:cs="宋体"/>
          <w:color w:val="auto"/>
          <w:kern w:val="2"/>
          <w:sz w:val="21"/>
          <w:szCs w:val="21"/>
          <w:highlight w:val="none"/>
          <w:lang w:val="en-US" w:eastAsia="zh-CN" w:bidi="ar"/>
        </w:rPr>
        <w:t>对应的中小企业划分标准所属行业：</w:t>
      </w:r>
      <w:r>
        <w:rPr>
          <w:rFonts w:hint="eastAsia" w:ascii="宋体" w:hAnsi="宋体" w:cs="Times New Roman"/>
          <w:color w:val="auto"/>
          <w:kern w:val="2"/>
          <w:sz w:val="21"/>
          <w:szCs w:val="21"/>
          <w:highlight w:val="none"/>
          <w:u w:val="single"/>
          <w:lang w:val="en-US" w:eastAsia="zh-CN" w:bidi="ar"/>
        </w:rPr>
        <w:t>建筑</w:t>
      </w:r>
      <w:r>
        <w:rPr>
          <w:rFonts w:hint="eastAsia" w:ascii="宋体" w:hAnsi="宋体" w:cs="宋体"/>
          <w:color w:val="auto"/>
          <w:kern w:val="2"/>
          <w:sz w:val="21"/>
          <w:szCs w:val="21"/>
          <w:highlight w:val="none"/>
          <w:u w:val="single"/>
          <w:lang w:val="en-US" w:eastAsia="zh-CN" w:bidi="ar"/>
        </w:rPr>
        <w:t>业</w:t>
      </w:r>
      <w:r>
        <w:rPr>
          <w:rFonts w:hint="eastAsia" w:ascii="宋体" w:hAnsi="宋体" w:eastAsia="宋体" w:cs="Times New Roman"/>
          <w:color w:val="auto"/>
          <w:kern w:val="2"/>
          <w:sz w:val="21"/>
          <w:szCs w:val="21"/>
          <w:highlight w:val="none"/>
          <w:u w:val="single"/>
          <w:lang w:val="en-US" w:eastAsia="zh-CN" w:bidi="ar"/>
        </w:rPr>
        <w:t xml:space="preserve"> </w:t>
      </w:r>
    </w:p>
    <w:p w14:paraId="75F411F6">
      <w:pPr>
        <w:pageBreakBefore w:val="0"/>
        <w:kinsoku/>
        <w:wordWrap/>
        <w:overflowPunct/>
        <w:topLinePunct w:val="0"/>
        <w:autoSpaceDE/>
        <w:autoSpaceDN/>
        <w:bidi w:val="0"/>
        <w:adjustRightInd/>
        <w:snapToGrid/>
        <w:spacing w:line="360" w:lineRule="auto"/>
        <w:ind w:firstLine="424" w:firstLineChars="202"/>
        <w:textAlignment w:val="auto"/>
        <w:rPr>
          <w:rFonts w:hint="default"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7、</w:t>
      </w:r>
      <w:r>
        <w:rPr>
          <w:rFonts w:hint="eastAsia" w:ascii="宋体" w:hAnsi="宋体" w:cs="宋体"/>
          <w:color w:val="auto"/>
          <w:kern w:val="2"/>
          <w:sz w:val="21"/>
          <w:szCs w:val="21"/>
          <w:highlight w:val="none"/>
          <w:lang w:val="en-US" w:eastAsia="zh-CN" w:bidi="ar"/>
        </w:rPr>
        <w:t>合同履约期限：</w:t>
      </w:r>
      <w:r>
        <w:rPr>
          <w:rFonts w:hint="eastAsia" w:ascii="宋体" w:hAnsi="宋体" w:cs="宋体"/>
          <w:color w:val="auto"/>
          <w:kern w:val="2"/>
          <w:sz w:val="21"/>
          <w:szCs w:val="21"/>
          <w:highlight w:val="none"/>
          <w:u w:val="single"/>
          <w:lang w:val="en-US" w:eastAsia="zh-CN" w:bidi="ar"/>
        </w:rPr>
        <w:t>合同签订后2个月之内完工</w:t>
      </w:r>
      <w:r>
        <w:rPr>
          <w:rFonts w:hint="eastAsia" w:ascii="宋体" w:hAnsi="宋体" w:eastAsia="宋体" w:cs="宋体"/>
          <w:color w:val="auto"/>
          <w:kern w:val="2"/>
          <w:sz w:val="21"/>
          <w:szCs w:val="21"/>
          <w:highlight w:val="none"/>
          <w:u w:val="single"/>
          <w:lang w:val="en-US" w:eastAsia="zh-CN" w:bidi="ar"/>
        </w:rPr>
        <w:t>。</w:t>
      </w:r>
    </w:p>
    <w:p w14:paraId="174AEBF0">
      <w:pPr>
        <w:pStyle w:val="3"/>
        <w:keepNext/>
        <w:keepLines/>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bookmarkStart w:id="6" w:name="_Toc22657512"/>
      <w:bookmarkStart w:id="7" w:name="_Toc26654"/>
      <w:bookmarkStart w:id="8" w:name="_Toc8821"/>
      <w:r>
        <w:rPr>
          <w:rFonts w:hint="eastAsia" w:ascii="宋体" w:hAnsi="宋体" w:eastAsia="宋体" w:cs="宋体"/>
          <w:b w:val="0"/>
          <w:bCs w:val="0"/>
          <w:color w:val="auto"/>
          <w:kern w:val="2"/>
          <w:sz w:val="21"/>
          <w:szCs w:val="21"/>
          <w:highlight w:val="none"/>
          <w:lang w:val="en-US" w:eastAsia="zh-CN" w:bidi="ar"/>
        </w:rPr>
        <w:t>8、合同定价方式：□固定总价 ■固定单价 □成本补偿 □绩效激励</w:t>
      </w:r>
    </w:p>
    <w:p w14:paraId="47F43A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9、本项目分阶段要求供应商提供以下保证：</w:t>
      </w:r>
    </w:p>
    <w:p w14:paraId="312A43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□投标保证金：采购项目预算的 / %；</w:t>
      </w:r>
    </w:p>
    <w:p w14:paraId="6EB097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□履约保证金：不超过合同金额的 /%；</w:t>
      </w:r>
    </w:p>
    <w:p w14:paraId="78AD8B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□预付款保证金：预付款的 / %；</w:t>
      </w:r>
    </w:p>
    <w:p w14:paraId="406373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□质量保证金：合同金额的 / %。</w:t>
      </w:r>
    </w:p>
    <w:p w14:paraId="3FB87642">
      <w:pPr>
        <w:pStyle w:val="3"/>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color w:val="auto"/>
          <w:sz w:val="21"/>
          <w:szCs w:val="21"/>
          <w:highlight w:val="none"/>
        </w:rPr>
        <w:t>采购人的采购需求</w:t>
      </w:r>
      <w:bookmarkEnd w:id="6"/>
      <w:bookmarkEnd w:id="7"/>
      <w:bookmarkEnd w:id="8"/>
    </w:p>
    <w:tbl>
      <w:tblPr>
        <w:tblStyle w:val="46"/>
        <w:tblW w:w="937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690"/>
        <w:gridCol w:w="2083"/>
        <w:gridCol w:w="1083"/>
        <w:gridCol w:w="1089"/>
        <w:gridCol w:w="1361"/>
        <w:gridCol w:w="1313"/>
      </w:tblGrid>
      <w:tr w14:paraId="0E06E3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58" w:type="dxa"/>
            <w:noWrap w:val="0"/>
            <w:vAlign w:val="center"/>
          </w:tcPr>
          <w:p w14:paraId="6B3BF9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lang w:eastAsia="zh-CN"/>
              </w:rPr>
            </w:pPr>
            <w:bookmarkStart w:id="9" w:name="_Toc22657516"/>
            <w:r>
              <w:rPr>
                <w:rFonts w:hint="eastAsia" w:ascii="宋体" w:hAnsi="宋体" w:cs="宋体"/>
                <w:color w:val="auto"/>
                <w:highlight w:val="none"/>
                <w:lang w:val="en-US" w:eastAsia="zh-CN"/>
              </w:rPr>
              <w:t>序号</w:t>
            </w:r>
          </w:p>
        </w:tc>
        <w:tc>
          <w:tcPr>
            <w:tcW w:w="1690" w:type="dxa"/>
            <w:noWrap w:val="0"/>
            <w:vAlign w:val="center"/>
          </w:tcPr>
          <w:p w14:paraId="1541EF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品目分类</w:t>
            </w:r>
          </w:p>
        </w:tc>
        <w:tc>
          <w:tcPr>
            <w:tcW w:w="2083" w:type="dxa"/>
            <w:noWrap w:val="0"/>
            <w:vAlign w:val="center"/>
          </w:tcPr>
          <w:p w14:paraId="78DAF2E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标的名称</w:t>
            </w:r>
          </w:p>
        </w:tc>
        <w:tc>
          <w:tcPr>
            <w:tcW w:w="1083" w:type="dxa"/>
            <w:noWrap w:val="0"/>
            <w:vAlign w:val="center"/>
          </w:tcPr>
          <w:p w14:paraId="3759C71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89" w:type="dxa"/>
            <w:noWrap w:val="0"/>
            <w:vAlign w:val="center"/>
          </w:tcPr>
          <w:p w14:paraId="429FE8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1361" w:type="dxa"/>
            <w:noWrap w:val="0"/>
            <w:vAlign w:val="center"/>
          </w:tcPr>
          <w:p w14:paraId="66EFB7A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预算金额（元）</w:t>
            </w:r>
          </w:p>
        </w:tc>
        <w:tc>
          <w:tcPr>
            <w:tcW w:w="1313" w:type="dxa"/>
            <w:noWrap w:val="0"/>
            <w:vAlign w:val="center"/>
          </w:tcPr>
          <w:p w14:paraId="4E8ECF3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最高限价（元）</w:t>
            </w:r>
          </w:p>
        </w:tc>
      </w:tr>
      <w:tr w14:paraId="23F9A8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758" w:type="dxa"/>
            <w:noWrap w:val="0"/>
            <w:vAlign w:val="center"/>
          </w:tcPr>
          <w:p w14:paraId="2FBDEA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690" w:type="dxa"/>
            <w:noWrap w:val="0"/>
            <w:vAlign w:val="center"/>
          </w:tcPr>
          <w:p w14:paraId="014B346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kern w:val="2"/>
                <w:sz w:val="21"/>
                <w:szCs w:val="21"/>
                <w:highlight w:val="none"/>
                <w:lang w:val="en-US" w:eastAsia="zh-CN" w:bidi="ar"/>
              </w:rPr>
              <w:t>B08030000-文物保护建筑修缮</w:t>
            </w:r>
          </w:p>
        </w:tc>
        <w:tc>
          <w:tcPr>
            <w:tcW w:w="2083" w:type="dxa"/>
            <w:noWrap w:val="0"/>
            <w:vAlign w:val="center"/>
          </w:tcPr>
          <w:p w14:paraId="5E846F34">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highlight w:val="none"/>
                <w:lang w:val="en-US" w:eastAsia="zh-CN"/>
              </w:rPr>
            </w:pPr>
            <w:r>
              <w:rPr>
                <w:rFonts w:hint="eastAsia" w:ascii="宋体" w:hAnsi="宋体" w:cs="宋体"/>
                <w:color w:val="auto"/>
                <w:sz w:val="21"/>
                <w:szCs w:val="21"/>
                <w:highlight w:val="none"/>
                <w:lang w:eastAsia="zh-CN"/>
              </w:rPr>
              <w:t>吉首大学“两馆”周边建筑物及环境综合提质改造项目</w:t>
            </w:r>
          </w:p>
        </w:tc>
        <w:tc>
          <w:tcPr>
            <w:tcW w:w="1083" w:type="dxa"/>
            <w:noWrap w:val="0"/>
            <w:vAlign w:val="center"/>
          </w:tcPr>
          <w:p w14:paraId="2864D3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089" w:type="dxa"/>
            <w:noWrap w:val="0"/>
            <w:vAlign w:val="center"/>
          </w:tcPr>
          <w:p w14:paraId="2992D65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项</w:t>
            </w:r>
          </w:p>
        </w:tc>
        <w:tc>
          <w:tcPr>
            <w:tcW w:w="1361" w:type="dxa"/>
            <w:shd w:val="clear" w:color="auto" w:fill="auto"/>
            <w:noWrap w:val="0"/>
            <w:vAlign w:val="center"/>
          </w:tcPr>
          <w:p w14:paraId="353E3D89">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3630000.00</w:t>
            </w:r>
          </w:p>
        </w:tc>
        <w:tc>
          <w:tcPr>
            <w:tcW w:w="1313" w:type="dxa"/>
            <w:shd w:val="clear" w:color="auto" w:fill="auto"/>
            <w:noWrap w:val="0"/>
            <w:vAlign w:val="center"/>
          </w:tcPr>
          <w:p w14:paraId="350C40E1">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3595706.53</w:t>
            </w:r>
          </w:p>
        </w:tc>
      </w:tr>
      <w:tr w14:paraId="3B7C9B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448" w:type="dxa"/>
            <w:gridSpan w:val="2"/>
            <w:noWrap w:val="0"/>
            <w:vAlign w:val="center"/>
          </w:tcPr>
          <w:p w14:paraId="103F27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竞争性磋商项目可能实质性变动内容</w:t>
            </w:r>
          </w:p>
        </w:tc>
        <w:tc>
          <w:tcPr>
            <w:tcW w:w="2083" w:type="dxa"/>
            <w:noWrap w:val="0"/>
            <w:vAlign w:val="center"/>
          </w:tcPr>
          <w:p w14:paraId="71137EE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是（  ）</w:t>
            </w:r>
          </w:p>
          <w:p w14:paraId="4101D73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否（√）</w:t>
            </w:r>
          </w:p>
        </w:tc>
        <w:tc>
          <w:tcPr>
            <w:tcW w:w="1083" w:type="dxa"/>
            <w:noWrap w:val="0"/>
            <w:vAlign w:val="center"/>
          </w:tcPr>
          <w:p w14:paraId="0B2322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是（  ）</w:t>
            </w:r>
          </w:p>
          <w:p w14:paraId="3BC9168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否（√）</w:t>
            </w:r>
          </w:p>
        </w:tc>
        <w:tc>
          <w:tcPr>
            <w:tcW w:w="1089" w:type="dxa"/>
            <w:noWrap w:val="0"/>
            <w:vAlign w:val="center"/>
          </w:tcPr>
          <w:p w14:paraId="3F3219F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是（  ）</w:t>
            </w:r>
          </w:p>
          <w:p w14:paraId="67938C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否（√）</w:t>
            </w:r>
          </w:p>
        </w:tc>
        <w:tc>
          <w:tcPr>
            <w:tcW w:w="1361" w:type="dxa"/>
            <w:noWrap w:val="0"/>
            <w:vAlign w:val="center"/>
          </w:tcPr>
          <w:p w14:paraId="481D8CA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是（  ）</w:t>
            </w:r>
          </w:p>
          <w:p w14:paraId="3E22CA2C">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否（√）</w:t>
            </w:r>
          </w:p>
        </w:tc>
        <w:tc>
          <w:tcPr>
            <w:tcW w:w="1313" w:type="dxa"/>
            <w:noWrap w:val="0"/>
            <w:vAlign w:val="center"/>
          </w:tcPr>
          <w:p w14:paraId="0F694A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是（  ）</w:t>
            </w:r>
          </w:p>
          <w:p w14:paraId="7095DDBF">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否（√）</w:t>
            </w:r>
          </w:p>
        </w:tc>
      </w:tr>
    </w:tbl>
    <w:p w14:paraId="7EB09DFC">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b/>
          <w:color w:val="auto"/>
          <w:sz w:val="21"/>
          <w:szCs w:val="21"/>
          <w:highlight w:val="none"/>
        </w:rPr>
        <w:t>采购项目需要落实的政府采购政策</w:t>
      </w:r>
      <w:r>
        <w:rPr>
          <w:rFonts w:hint="eastAsia" w:ascii="宋体" w:hAnsi="宋体" w:eastAsia="宋体" w:cs="宋体"/>
          <w:color w:val="auto"/>
          <w:sz w:val="21"/>
          <w:szCs w:val="21"/>
          <w:highlight w:val="none"/>
        </w:rPr>
        <w:t>：</w:t>
      </w:r>
    </w:p>
    <w:p w14:paraId="6D9F00D1">
      <w:pPr>
        <w:pStyle w:val="25"/>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（1）本项目专门面向中小企业或者微型企业采购。</w:t>
      </w:r>
    </w:p>
    <w:p w14:paraId="7648DE56">
      <w:pPr>
        <w:pStyle w:val="25"/>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（2）强制采购：本项目不属于政府采购实行强制采购的节能产品。 </w:t>
      </w:r>
    </w:p>
    <w:p w14:paraId="2D650D88">
      <w:pPr>
        <w:pStyle w:val="25"/>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（3）优先采购：政府采购鼓励采购的节能环保产品。</w:t>
      </w:r>
    </w:p>
    <w:p w14:paraId="0493ED66">
      <w:pPr>
        <w:pStyle w:val="25"/>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（4）价格评审优惠：政府采购促进中小企业发展（包括政府采购支持监狱企业发展、政府采购促进残疾人就业）。</w:t>
      </w:r>
    </w:p>
    <w:p w14:paraId="30D59850">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10" w:name="_Toc14547"/>
      <w:bookmarkStart w:id="11" w:name="_Toc3285"/>
      <w:r>
        <w:rPr>
          <w:rFonts w:hint="eastAsia" w:ascii="宋体" w:hAnsi="宋体" w:eastAsia="宋体" w:cs="宋体"/>
          <w:color w:val="auto"/>
          <w:sz w:val="21"/>
          <w:szCs w:val="21"/>
          <w:highlight w:val="none"/>
        </w:rPr>
        <w:t>三、供应商资质要求：</w:t>
      </w:r>
      <w:bookmarkEnd w:id="10"/>
      <w:bookmarkEnd w:id="11"/>
    </w:p>
    <w:p w14:paraId="359B5C9E">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bookmarkStart w:id="12" w:name="_Toc22657514"/>
      <w:r>
        <w:rPr>
          <w:rFonts w:hint="eastAsia" w:ascii="宋体" w:hAnsi="宋体" w:eastAsia="宋体" w:cs="宋体"/>
          <w:color w:val="auto"/>
          <w:sz w:val="21"/>
          <w:szCs w:val="21"/>
          <w:highlight w:val="none"/>
        </w:rPr>
        <w:t>1、供应商的基本资格条件：供应商必须是在中华人民共和国境内注册登记的法人、其他组织或者自然人，且应当符合《政府采购法》第二十二条第一款的规定，即：</w:t>
      </w:r>
    </w:p>
    <w:p w14:paraId="397A4D13">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p w14:paraId="01CEE29B">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（2）具有良好的商业信誉和健全的财务会计制度；</w:t>
      </w:r>
    </w:p>
    <w:p w14:paraId="70015353">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（3）具有履行合同所必需的设备和专业技术能力；</w:t>
      </w:r>
    </w:p>
    <w:p w14:paraId="28D2090A">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（4）有依法缴纳税收和社会保障资金的良好记录；</w:t>
      </w:r>
    </w:p>
    <w:p w14:paraId="216553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（5）参加政府采购活动前三年内，在经营活动中没有重大违法记录；</w:t>
      </w:r>
    </w:p>
    <w:p w14:paraId="6DB7BB21">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（6）法律、行政法规规定的其他条件。</w:t>
      </w:r>
    </w:p>
    <w:p w14:paraId="6571283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bookmarkStart w:id="13" w:name="_Toc23849"/>
      <w:r>
        <w:rPr>
          <w:rFonts w:hint="eastAsia" w:ascii="宋体" w:hAnsi="宋体" w:eastAsia="宋体" w:cs="宋体"/>
          <w:b/>
          <w:bCs/>
          <w:color w:val="auto"/>
          <w:kern w:val="2"/>
          <w:sz w:val="21"/>
          <w:szCs w:val="21"/>
          <w:highlight w:val="none"/>
          <w:lang w:val="en-US" w:eastAsia="zh-CN" w:bidi="ar-SA"/>
        </w:rPr>
        <w:t>2、落实政府采购政策需满足的资格要求：</w:t>
      </w:r>
      <w:bookmarkEnd w:id="13"/>
    </w:p>
    <w:p w14:paraId="01895004">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630" w:firstLineChars="300"/>
        <w:jc w:val="both"/>
        <w:textAlignment w:val="auto"/>
        <w:outlineLvl w:val="9"/>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2.1■</w:t>
      </w:r>
      <w:r>
        <w:rPr>
          <w:rFonts w:hint="eastAsia" w:ascii="宋体" w:hAnsi="宋体" w:eastAsia="宋体" w:cs="宋体"/>
          <w:color w:val="auto"/>
          <w:sz w:val="21"/>
          <w:szCs w:val="21"/>
          <w:highlight w:val="none"/>
          <w:lang w:val="en-US" w:eastAsia="zh-CN"/>
        </w:rPr>
        <w:t>专门面向：</w:t>
      </w:r>
      <w:r>
        <w:rPr>
          <w:rFonts w:hint="eastAsia" w:ascii="宋体" w:hAnsi="宋体" w:eastAsia="宋体" w:cs="宋体"/>
          <w:color w:val="auto"/>
          <w:kern w:val="2"/>
          <w:sz w:val="21"/>
          <w:szCs w:val="21"/>
          <w:highlight w:val="none"/>
          <w:lang w:val="en-US" w:eastAsia="zh-CN"/>
        </w:rPr>
        <w:t>■中小企业■小微企业 ■监狱企业 ■福利性单位。</w:t>
      </w:r>
    </w:p>
    <w:p w14:paraId="4C10C8C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630" w:firstLineChars="300"/>
        <w:jc w:val="both"/>
        <w:textAlignment w:val="auto"/>
        <w:outlineLvl w:val="9"/>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2.2□强制分包：大型企业应将采购份额的</w:t>
      </w:r>
      <w:r>
        <w:rPr>
          <w:rFonts w:hint="eastAsia" w:ascii="宋体" w:hAnsi="宋体" w:eastAsia="宋体" w:cs="宋体"/>
          <w:color w:val="auto"/>
          <w:kern w:val="2"/>
          <w:sz w:val="21"/>
          <w:szCs w:val="21"/>
          <w:highlight w:val="none"/>
          <w:u w:val="single"/>
          <w:lang w:val="en-US" w:eastAsia="zh-CN"/>
        </w:rPr>
        <w:t xml:space="preserve"> / </w:t>
      </w:r>
      <w:r>
        <w:rPr>
          <w:rFonts w:hint="eastAsia" w:ascii="宋体" w:hAnsi="宋体" w:eastAsia="宋体" w:cs="宋体"/>
          <w:color w:val="auto"/>
          <w:kern w:val="2"/>
          <w:sz w:val="21"/>
          <w:szCs w:val="21"/>
          <w:highlight w:val="none"/>
          <w:lang w:val="en-US" w:eastAsia="zh-CN"/>
        </w:rPr>
        <w:t>%分包给中小企业。</w:t>
      </w:r>
    </w:p>
    <w:p w14:paraId="73B58D86">
      <w:pPr>
        <w:pStyle w:val="2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b/>
          <w:bCs/>
          <w:color w:val="auto"/>
          <w:sz w:val="21"/>
          <w:szCs w:val="21"/>
          <w:highlight w:val="none"/>
        </w:rPr>
        <w:t>供应商的特定资格条件</w:t>
      </w:r>
      <w:r>
        <w:rPr>
          <w:rFonts w:hint="eastAsia" w:ascii="宋体" w:hAnsi="宋体" w:eastAsia="宋体" w:cs="宋体"/>
          <w:color w:val="auto"/>
          <w:sz w:val="21"/>
          <w:szCs w:val="21"/>
          <w:highlight w:val="none"/>
        </w:rPr>
        <w:t>：</w:t>
      </w:r>
    </w:p>
    <w:p w14:paraId="0C69A8BC">
      <w:pPr>
        <w:adjustRightInd w:val="0"/>
        <w:snapToGrid w:val="0"/>
        <w:spacing w:after="0" w:line="360" w:lineRule="auto"/>
        <w:ind w:firstLine="420" w:firstLineChars="200"/>
        <w:jc w:val="left"/>
        <w:rPr>
          <w:rFonts w:hint="default" w:ascii="宋体" w:hAnsi="宋体" w:eastAsia="宋体" w:cs="Times New Roman"/>
          <w:color w:val="auto"/>
          <w:sz w:val="21"/>
          <w:szCs w:val="21"/>
          <w:highlight w:val="none"/>
          <w:lang w:val="en-US"/>
          <w14:ligatures w14:val="none"/>
        </w:rPr>
      </w:pPr>
      <w:bookmarkStart w:id="14" w:name="_Toc24186"/>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供应商须具备建设行政主管部门颁发的建筑工程施工总承包二级及以上资质，且企业安全生产许可证处于有效期内；</w:t>
      </w:r>
      <w:r>
        <w:rPr>
          <w:rFonts w:hint="eastAsia" w:ascii="宋体" w:hAnsi="宋体" w:eastAsia="宋体" w:cs="Times New Roman"/>
          <w:color w:val="auto"/>
          <w:sz w:val="21"/>
          <w:szCs w:val="21"/>
          <w:highlight w:val="none"/>
          <w14:ligatures w14:val="none"/>
        </w:rPr>
        <w:t>湖南省外</w:t>
      </w:r>
      <w:r>
        <w:rPr>
          <w:rFonts w:hint="eastAsia" w:ascii="宋体" w:hAnsi="宋体" w:cs="宋体"/>
          <w:color w:val="auto"/>
          <w:sz w:val="21"/>
          <w:szCs w:val="21"/>
          <w:highlight w:val="none"/>
          <w:lang w:val="en-US" w:eastAsia="zh-CN"/>
        </w:rPr>
        <w:t>入湘企业应在“湖南省住房和城乡建设网”进行基本信息登记（以“湖南省住房和城乡建设网”查询为准并</w:t>
      </w:r>
      <w:r>
        <w:rPr>
          <w:rFonts w:hint="eastAsia" w:ascii="宋体" w:hAnsi="宋体" w:eastAsia="宋体" w:cs="Times New Roman"/>
          <w:color w:val="auto"/>
          <w:sz w:val="21"/>
          <w:szCs w:val="21"/>
          <w:highlight w:val="none"/>
          <w14:ligatures w14:val="none"/>
        </w:rPr>
        <w:t>附登记证明截图</w:t>
      </w:r>
      <w:r>
        <w:rPr>
          <w:rFonts w:hint="eastAsia" w:ascii="宋体" w:hAnsi="宋体" w:cs="宋体"/>
          <w:color w:val="auto"/>
          <w:sz w:val="21"/>
          <w:szCs w:val="21"/>
          <w:highlight w:val="none"/>
          <w:lang w:val="en-US" w:eastAsia="zh-CN"/>
        </w:rPr>
        <w:t>）或具有入湘施工登记证（处于有效期内）；</w:t>
      </w:r>
    </w:p>
    <w:p w14:paraId="20E2B761">
      <w:pPr>
        <w:pStyle w:val="61"/>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本项目为专门面向中小企业采购项目，各供应商应按政府采购促进中小企业发展相关规定及采购文件的响应文件组成中的“《中小企业声明函》”格式填写并在响应文件中提供《中小企业声明函》，否则视为无效响应。</w:t>
      </w:r>
    </w:p>
    <w:p w14:paraId="5850D440">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、单位负责人为同一人或者存在直接控股、管理关系的不同供应商，不得参加同一合同项下的政府采购活动。</w:t>
      </w:r>
    </w:p>
    <w:p w14:paraId="15035301">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、为本采购项目提供整体设计、规范编制或者项目管理、监理、检测等服务的，不得再参加此项目的其他采购活动。</w:t>
      </w:r>
    </w:p>
    <w:p w14:paraId="74BF1CA0">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、供应商提供未列入失信被执行人、重大税收违法案件当事人名单、政府采购严重违法失信行为记录名单的书面承诺（格式自拟）。</w:t>
      </w:r>
    </w:p>
    <w:p w14:paraId="2EC35B00">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、本次磋商采购</w:t>
      </w:r>
      <w:r>
        <w:rPr>
          <w:rFonts w:hint="eastAsia" w:ascii="宋体" w:hAnsi="宋体" w:eastAsia="宋体" w:cs="宋体"/>
          <w:color w:val="auto"/>
          <w:sz w:val="21"/>
          <w:szCs w:val="21"/>
          <w:highlight w:val="none"/>
          <w:u w:val="single"/>
        </w:rPr>
        <w:t>不接受</w:t>
      </w:r>
      <w:r>
        <w:rPr>
          <w:rFonts w:hint="eastAsia" w:ascii="宋体" w:hAnsi="宋体" w:eastAsia="宋体" w:cs="宋体"/>
          <w:color w:val="auto"/>
          <w:sz w:val="21"/>
          <w:szCs w:val="21"/>
          <w:highlight w:val="none"/>
        </w:rPr>
        <w:t>(接受或不接受)供应商为联合体形式。</w:t>
      </w:r>
    </w:p>
    <w:p w14:paraId="7249BE4E">
      <w:pPr>
        <w:pStyle w:val="3"/>
        <w:pageBreakBefore w:val="0"/>
        <w:tabs>
          <w:tab w:val="center" w:pos="4422"/>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15" w:name="_Toc14635"/>
      <w:r>
        <w:rPr>
          <w:rFonts w:hint="eastAsia" w:ascii="宋体" w:hAnsi="宋体" w:eastAsia="宋体" w:cs="宋体"/>
          <w:color w:val="auto"/>
          <w:sz w:val="21"/>
          <w:szCs w:val="21"/>
          <w:highlight w:val="none"/>
        </w:rPr>
        <w:t>四、</w:t>
      </w:r>
      <w:bookmarkEnd w:id="12"/>
      <w:r>
        <w:rPr>
          <w:rFonts w:hint="eastAsia" w:ascii="宋体" w:hAnsi="宋体" w:eastAsia="宋体" w:cs="宋体"/>
          <w:color w:val="auto"/>
          <w:sz w:val="21"/>
          <w:szCs w:val="21"/>
          <w:highlight w:val="none"/>
        </w:rPr>
        <w:t>竞争性磋商文件的获取方式</w:t>
      </w:r>
      <w:bookmarkEnd w:id="14"/>
      <w:bookmarkEnd w:id="15"/>
    </w:p>
    <w:p w14:paraId="55CEFA08">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1、获取磋商文件的时间：从202</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02</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13</w:t>
      </w:r>
      <w:r>
        <w:rPr>
          <w:rFonts w:hint="eastAsia" w:ascii="宋体" w:hAnsi="宋体" w:eastAsia="宋体" w:cs="宋体"/>
          <w:color w:val="auto"/>
          <w:sz w:val="21"/>
          <w:szCs w:val="21"/>
          <w:highlight w:val="none"/>
        </w:rPr>
        <w:t>日起至202</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02</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27</w:t>
      </w:r>
      <w:r>
        <w:rPr>
          <w:rFonts w:hint="eastAsia" w:ascii="宋体" w:hAnsi="宋体" w:eastAsia="宋体" w:cs="宋体"/>
          <w:color w:val="auto"/>
          <w:sz w:val="21"/>
          <w:szCs w:val="21"/>
          <w:highlight w:val="none"/>
        </w:rPr>
        <w:t>日止，每天上午9：00时到12：00时，下午14：30时到17：00时(北京时间)，双休日及节假日除外。</w:t>
      </w:r>
    </w:p>
    <w:p w14:paraId="646F3B8F">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2、获取磋商文件的地点：</w:t>
      </w:r>
      <w:r>
        <w:rPr>
          <w:rFonts w:hint="eastAsia" w:ascii="宋体" w:hAnsi="宋体" w:cs="宋体"/>
          <w:color w:val="auto"/>
          <w:sz w:val="21"/>
          <w:szCs w:val="21"/>
          <w:highlight w:val="none"/>
          <w:lang w:eastAsia="zh-CN"/>
        </w:rPr>
        <w:t>湖南大音项目管理有限公司</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湖南省湘西高新区·宏大广场2号公寓楼7层</w:t>
      </w:r>
      <w:r>
        <w:rPr>
          <w:rFonts w:hint="eastAsia" w:ascii="宋体" w:hAnsi="宋体" w:eastAsia="宋体" w:cs="宋体"/>
          <w:color w:val="auto"/>
          <w:sz w:val="21"/>
          <w:szCs w:val="21"/>
          <w:highlight w:val="none"/>
        </w:rPr>
        <w:t>）</w:t>
      </w:r>
    </w:p>
    <w:p w14:paraId="2D98F2B8">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3、获取磋商文件的材料要求：持本人身份证原件、法定代表人身份证明(或者授权委托书并附法定代表人身份证明)</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特定资格条件</w:t>
      </w:r>
      <w:r>
        <w:rPr>
          <w:rFonts w:hint="eastAsia" w:ascii="宋体" w:hAnsi="宋体" w:eastAsia="宋体" w:cs="宋体"/>
          <w:color w:val="auto"/>
          <w:sz w:val="21"/>
          <w:szCs w:val="21"/>
          <w:highlight w:val="none"/>
          <w:lang w:val="en-US" w:eastAsia="zh-CN"/>
        </w:rPr>
        <w:t>复印件现场获取</w:t>
      </w:r>
      <w:r>
        <w:rPr>
          <w:rFonts w:hint="eastAsia" w:ascii="宋体" w:hAnsi="宋体" w:eastAsia="宋体" w:cs="宋体"/>
          <w:color w:val="auto"/>
          <w:sz w:val="21"/>
          <w:szCs w:val="21"/>
          <w:highlight w:val="none"/>
          <w:lang w:eastAsia="zh-CN"/>
        </w:rPr>
        <w:t>。</w:t>
      </w:r>
    </w:p>
    <w:p w14:paraId="4C4C632B">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16" w:name="_Toc22657515"/>
      <w:bookmarkStart w:id="17" w:name="_Toc25261"/>
      <w:bookmarkStart w:id="18" w:name="_Toc22618"/>
      <w:r>
        <w:rPr>
          <w:rFonts w:hint="eastAsia" w:ascii="宋体" w:hAnsi="宋体" w:eastAsia="宋体" w:cs="宋体"/>
          <w:color w:val="auto"/>
          <w:sz w:val="21"/>
          <w:szCs w:val="21"/>
          <w:highlight w:val="none"/>
        </w:rPr>
        <w:t>五、</w:t>
      </w:r>
      <w:bookmarkEnd w:id="16"/>
      <w:r>
        <w:rPr>
          <w:rFonts w:hint="eastAsia" w:ascii="宋体" w:hAnsi="宋体" w:eastAsia="宋体" w:cs="宋体"/>
          <w:color w:val="auto"/>
          <w:sz w:val="21"/>
          <w:szCs w:val="21"/>
          <w:highlight w:val="none"/>
        </w:rPr>
        <w:t>响应文件提交的截止时间、开启时间及地点</w:t>
      </w:r>
      <w:bookmarkEnd w:id="17"/>
      <w:bookmarkEnd w:id="18"/>
    </w:p>
    <w:p w14:paraId="2F171BBD">
      <w:pPr>
        <w:pageBreakBefore w:val="0"/>
        <w:kinsoku/>
        <w:wordWrap/>
        <w:overflowPunct/>
        <w:topLinePunct w:val="0"/>
        <w:autoSpaceDE/>
        <w:autoSpaceDN/>
        <w:bidi w:val="0"/>
        <w:adjustRightInd/>
        <w:snapToGrid/>
        <w:spacing w:line="360" w:lineRule="auto"/>
        <w:ind w:firstLine="367" w:firstLineChars="1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1、提交首次响应文件的截止时间为</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u w:val="single"/>
          <w:lang w:val="en-US" w:eastAsia="zh-CN"/>
        </w:rPr>
        <w:t>03</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u w:val="single"/>
          <w:lang w:val="en-US" w:eastAsia="zh-CN"/>
        </w:rPr>
        <w:t>02</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时</w:t>
      </w:r>
      <w:r>
        <w:rPr>
          <w:rFonts w:hint="eastAsia" w:ascii="宋体" w:hAnsi="宋体" w:cs="宋体"/>
          <w:color w:val="auto"/>
          <w:sz w:val="21"/>
          <w:szCs w:val="21"/>
          <w:highlight w:val="none"/>
          <w:lang w:val="en-US" w:eastAsia="zh-CN"/>
        </w:rPr>
        <w:t>30</w:t>
      </w:r>
      <w:r>
        <w:rPr>
          <w:rFonts w:hint="eastAsia" w:ascii="宋体" w:hAnsi="宋体" w:cs="宋体"/>
          <w:color w:val="auto"/>
          <w:sz w:val="21"/>
          <w:szCs w:val="21"/>
          <w:highlight w:val="none"/>
          <w:lang w:eastAsia="zh-CN"/>
        </w:rPr>
        <w:t>分</w:t>
      </w:r>
      <w:r>
        <w:rPr>
          <w:rFonts w:hint="eastAsia" w:ascii="宋体" w:hAnsi="宋体" w:eastAsia="宋体" w:cs="宋体"/>
          <w:color w:val="auto"/>
          <w:sz w:val="21"/>
          <w:szCs w:val="21"/>
          <w:highlight w:val="none"/>
        </w:rPr>
        <w:t>（北京时间），地点为</w:t>
      </w:r>
      <w:r>
        <w:rPr>
          <w:rFonts w:hint="eastAsia" w:ascii="宋体" w:hAnsi="宋体" w:cs="宋体"/>
          <w:color w:val="auto"/>
          <w:sz w:val="21"/>
          <w:szCs w:val="21"/>
          <w:highlight w:val="none"/>
          <w:u w:val="single"/>
          <w:lang w:val="en-US" w:eastAsia="zh-CN"/>
        </w:rPr>
        <w:t>吉首大学吉首市砂子坳校区第十一教学楼（图书馆南侧</w:t>
      </w:r>
      <w:bookmarkStart w:id="126" w:name="_GoBack"/>
      <w:bookmarkEnd w:id="126"/>
      <w:r>
        <w:rPr>
          <w:rFonts w:hint="eastAsia" w:ascii="宋体" w:hAnsi="宋体" w:cs="宋体"/>
          <w:color w:val="auto"/>
          <w:sz w:val="21"/>
          <w:szCs w:val="21"/>
          <w:highlight w:val="none"/>
          <w:u w:val="single"/>
          <w:lang w:val="en-US" w:eastAsia="zh-CN"/>
        </w:rPr>
        <w:t>旁新实验大楼）南101室</w:t>
      </w:r>
      <w:r>
        <w:rPr>
          <w:rFonts w:hint="eastAsia" w:ascii="宋体" w:hAnsi="宋体" w:eastAsia="宋体" w:cs="宋体"/>
          <w:color w:val="auto"/>
          <w:sz w:val="21"/>
          <w:szCs w:val="21"/>
          <w:highlight w:val="none"/>
        </w:rPr>
        <w:t>。在截止时间后送达的响应文件为无效文件，采购人、采购代理机构应当拒收；</w:t>
      </w:r>
    </w:p>
    <w:p w14:paraId="762441C7">
      <w:pPr>
        <w:pageBreakBefore w:val="0"/>
        <w:kinsoku/>
        <w:wordWrap/>
        <w:overflowPunct/>
        <w:topLinePunct w:val="0"/>
        <w:autoSpaceDE/>
        <w:autoSpaceDN/>
        <w:bidi w:val="0"/>
        <w:adjustRightInd/>
        <w:snapToGrid/>
        <w:spacing w:line="360" w:lineRule="auto"/>
        <w:ind w:firstLine="367" w:firstLineChars="1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2、首次响应文件的开启时间及地点与提交首次响应文件的截止时间及地点为同一时间及地点；</w:t>
      </w:r>
    </w:p>
    <w:p w14:paraId="26DAB3C6">
      <w:pPr>
        <w:pageBreakBefore w:val="0"/>
        <w:kinsoku/>
        <w:wordWrap/>
        <w:overflowPunct/>
        <w:topLinePunct w:val="0"/>
        <w:autoSpaceDE/>
        <w:autoSpaceDN/>
        <w:bidi w:val="0"/>
        <w:adjustRightInd/>
        <w:snapToGrid/>
        <w:spacing w:line="360" w:lineRule="auto"/>
        <w:ind w:firstLine="367" w:firstLineChars="1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3、逾期送达或者不按竞争性磋商文件要求密封的响应文件，采购代理机构将拒绝接收；</w:t>
      </w:r>
    </w:p>
    <w:p w14:paraId="036EFECC">
      <w:pPr>
        <w:pageBreakBefore w:val="0"/>
        <w:kinsoku/>
        <w:wordWrap/>
        <w:overflowPunct/>
        <w:topLinePunct w:val="0"/>
        <w:autoSpaceDE/>
        <w:autoSpaceDN/>
        <w:bidi w:val="0"/>
        <w:adjustRightInd/>
        <w:snapToGrid/>
        <w:spacing w:line="360" w:lineRule="auto"/>
        <w:ind w:firstLine="367" w:firstLineChars="175"/>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的法定代表人或授权代表到场参加开标会议，并在开标会议现场身份验证时向采购人提交法定代表人身份证明文件原件和法定代表人授权委托书原件，出示本人身份证原件并签字以证明其出席，否则，投标将被拒绝。</w:t>
      </w:r>
    </w:p>
    <w:p w14:paraId="2D90C588">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19" w:name="_Toc13073"/>
      <w:bookmarkStart w:id="20" w:name="_Toc11519"/>
      <w:r>
        <w:rPr>
          <w:rFonts w:hint="eastAsia" w:ascii="宋体" w:hAnsi="宋体" w:eastAsia="宋体" w:cs="宋体"/>
          <w:color w:val="auto"/>
          <w:sz w:val="21"/>
          <w:szCs w:val="21"/>
          <w:highlight w:val="none"/>
        </w:rPr>
        <w:t>六、投标保证金</w:t>
      </w:r>
      <w:bookmarkEnd w:id="19"/>
      <w:bookmarkEnd w:id="20"/>
    </w:p>
    <w:bookmarkEnd w:id="9"/>
    <w:p w14:paraId="48A06AA1">
      <w:pPr>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bookmarkStart w:id="21" w:name="_Toc22657518"/>
      <w:r>
        <w:rPr>
          <w:rFonts w:hint="eastAsia" w:ascii="宋体" w:hAnsi="宋体" w:eastAsia="宋体" w:cs="宋体"/>
          <w:color w:val="auto"/>
          <w:sz w:val="21"/>
          <w:szCs w:val="21"/>
          <w:highlight w:val="none"/>
          <w:lang w:val="en-US" w:eastAsia="zh-CN"/>
        </w:rPr>
        <w:t>不要求</w:t>
      </w:r>
    </w:p>
    <w:p w14:paraId="53C1BCAF">
      <w:pPr>
        <w:pageBreakBefore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auto"/>
          <w:sz w:val="21"/>
          <w:szCs w:val="21"/>
          <w:highlight w:val="none"/>
        </w:rPr>
      </w:pPr>
      <w:bookmarkStart w:id="22" w:name="_Toc28503"/>
      <w:bookmarkStart w:id="23" w:name="_Toc4694"/>
      <w:r>
        <w:rPr>
          <w:rFonts w:hint="eastAsia" w:ascii="宋体" w:hAnsi="宋体" w:eastAsia="宋体" w:cs="宋体"/>
          <w:b/>
          <w:color w:val="auto"/>
          <w:sz w:val="21"/>
          <w:szCs w:val="21"/>
          <w:highlight w:val="none"/>
        </w:rPr>
        <w:t>七、发布公告的媒介及公告期限</w:t>
      </w:r>
      <w:bookmarkEnd w:id="22"/>
      <w:bookmarkEnd w:id="23"/>
    </w:p>
    <w:p w14:paraId="32363DCC">
      <w:pPr>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本次邀请公告在中国湖南政府采购网www.ccgp-hunan.gov.cn进行公示。</w:t>
      </w:r>
    </w:p>
    <w:p w14:paraId="3C133F1E">
      <w:pPr>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公告期限从本邀请公告发布之日起5个工作日。</w:t>
      </w:r>
    </w:p>
    <w:p w14:paraId="3FE2B8B7">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24" w:name="_Toc21784"/>
      <w:bookmarkStart w:id="25" w:name="_Toc3322"/>
      <w:r>
        <w:rPr>
          <w:rFonts w:hint="eastAsia" w:ascii="宋体" w:hAnsi="宋体" w:eastAsia="宋体" w:cs="宋体"/>
          <w:color w:val="auto"/>
          <w:sz w:val="21"/>
          <w:szCs w:val="21"/>
          <w:highlight w:val="none"/>
        </w:rPr>
        <w:t>八、疑问及质疑：</w:t>
      </w:r>
      <w:bookmarkEnd w:id="21"/>
      <w:bookmarkEnd w:id="24"/>
      <w:bookmarkEnd w:id="25"/>
    </w:p>
    <w:p w14:paraId="6D6AB81B">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1、供应商对政府采购活动事项如有疑问的，以书面形式向采购人或采购代理机构提出。采购人、采购代理机构将在3个工作日内作出答复。</w:t>
      </w:r>
    </w:p>
    <w:p w14:paraId="058C9FDD">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2、供应商认为本邀请公告使自己的合法权益受到损害的，可以在邀请公告期限届满之日起7个工作日内，按《湖南省财政厅关于印发＜政府采购质疑答复和投诉处理操作规程＞的通知》(湘财购〔20</w:t>
      </w:r>
      <w:r>
        <w:rPr>
          <w:rFonts w:hint="eastAsia" w:ascii="宋体" w:hAnsi="宋体" w:cs="宋体"/>
          <w:color w:val="auto"/>
          <w:sz w:val="21"/>
          <w:szCs w:val="21"/>
          <w:highlight w:val="none"/>
          <w:lang w:val="en-US" w:eastAsia="zh-CN"/>
        </w:rPr>
        <w:t>24</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67</w:t>
      </w:r>
      <w:r>
        <w:rPr>
          <w:rFonts w:hint="eastAsia" w:ascii="宋体" w:hAnsi="宋体" w:eastAsia="宋体" w:cs="宋体"/>
          <w:color w:val="auto"/>
          <w:sz w:val="21"/>
          <w:szCs w:val="21"/>
          <w:highlight w:val="none"/>
        </w:rPr>
        <w:t>号)规定，以书面形式向采购人、采购代理机构提出质疑。</w:t>
      </w:r>
    </w:p>
    <w:p w14:paraId="0560B33C">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bookmarkStart w:id="26" w:name="_Toc11111"/>
      <w:bookmarkStart w:id="27" w:name="_Toc24486"/>
      <w:bookmarkStart w:id="28" w:name="_Toc22657519"/>
      <w:r>
        <w:rPr>
          <w:rFonts w:hint="eastAsia" w:ascii="宋体" w:hAnsi="宋体" w:eastAsia="宋体" w:cs="宋体"/>
          <w:color w:val="auto"/>
          <w:kern w:val="0"/>
          <w:sz w:val="21"/>
          <w:szCs w:val="21"/>
          <w:highlight w:val="none"/>
        </w:rPr>
        <w:t>九、</w:t>
      </w:r>
      <w:r>
        <w:rPr>
          <w:rFonts w:hint="eastAsia" w:ascii="宋体" w:hAnsi="宋体" w:eastAsia="宋体" w:cs="宋体"/>
          <w:color w:val="auto"/>
          <w:sz w:val="21"/>
          <w:szCs w:val="21"/>
          <w:highlight w:val="none"/>
        </w:rPr>
        <w:t>联系方式</w:t>
      </w:r>
      <w:bookmarkEnd w:id="26"/>
      <w:bookmarkEnd w:id="27"/>
      <w:bookmarkEnd w:id="28"/>
    </w:p>
    <w:p w14:paraId="3316CBE3">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bookmarkStart w:id="29" w:name="_Toc17860"/>
      <w:bookmarkStart w:id="30" w:name="_Toc28735"/>
      <w:bookmarkStart w:id="31" w:name="_Toc8138"/>
      <w:bookmarkStart w:id="32" w:name="_Toc20475"/>
      <w:bookmarkStart w:id="33" w:name="_Toc31129"/>
      <w:bookmarkStart w:id="34" w:name="_Toc15366"/>
      <w:bookmarkStart w:id="35" w:name="_Toc24204"/>
      <w:r>
        <w:rPr>
          <w:rFonts w:hint="eastAsia" w:ascii="宋体" w:hAnsi="宋体" w:eastAsia="宋体" w:cs="宋体"/>
          <w:bCs/>
          <w:color w:val="auto"/>
          <w:sz w:val="21"/>
          <w:szCs w:val="21"/>
          <w:highlight w:val="none"/>
        </w:rPr>
        <w:t>（1）名 称：</w:t>
      </w:r>
      <w:r>
        <w:rPr>
          <w:rFonts w:hint="eastAsia" w:ascii="宋体" w:hAnsi="宋体" w:cs="宋体"/>
          <w:color w:val="auto"/>
          <w:szCs w:val="21"/>
          <w:highlight w:val="none"/>
          <w:lang w:val="en-US" w:eastAsia="zh-CN"/>
        </w:rPr>
        <w:t>吉首大学</w:t>
      </w:r>
    </w:p>
    <w:p w14:paraId="133BFA15">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（2）地 址：</w:t>
      </w:r>
      <w:r>
        <w:rPr>
          <w:rFonts w:hint="eastAsia" w:ascii="宋体" w:hAnsi="宋体" w:cs="宋体"/>
          <w:color w:val="auto"/>
          <w:szCs w:val="21"/>
          <w:highlight w:val="none"/>
          <w:lang w:eastAsia="zh-CN"/>
        </w:rPr>
        <w:t xml:space="preserve">吉首市吉首大学砂子坳校区第十一教学楼 </w:t>
      </w:r>
    </w:p>
    <w:p w14:paraId="4C300739">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Cs/>
          <w:color w:val="auto"/>
          <w:sz w:val="21"/>
          <w:szCs w:val="21"/>
          <w:highlight w:val="none"/>
        </w:rPr>
        <w:t>（3）联系人：</w:t>
      </w:r>
      <w:r>
        <w:rPr>
          <w:rFonts w:hint="eastAsia" w:ascii="宋体" w:hAnsi="宋体" w:cs="宋体"/>
          <w:color w:val="auto"/>
          <w:szCs w:val="21"/>
          <w:highlight w:val="none"/>
          <w:lang w:val="en-US" w:eastAsia="zh-CN"/>
        </w:rPr>
        <w:t>游老师</w:t>
      </w:r>
    </w:p>
    <w:p w14:paraId="6698B90D">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邮编：</w:t>
      </w:r>
      <w:r>
        <w:rPr>
          <w:rFonts w:hint="eastAsia" w:ascii="宋体" w:hAnsi="宋体" w:cs="宋体"/>
          <w:bCs/>
          <w:color w:val="auto"/>
          <w:sz w:val="21"/>
          <w:szCs w:val="21"/>
          <w:highlight w:val="none"/>
          <w:lang w:val="en-US" w:eastAsia="zh-CN"/>
        </w:rPr>
        <w:t>416000</w:t>
      </w:r>
    </w:p>
    <w:p w14:paraId="30360D0E">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）电 话：</w:t>
      </w:r>
      <w:r>
        <w:rPr>
          <w:rFonts w:hint="eastAsia" w:ascii="宋体" w:hAnsi="宋体" w:cs="宋体"/>
          <w:color w:val="auto"/>
          <w:szCs w:val="21"/>
          <w:highlight w:val="none"/>
          <w:lang w:val="en-US" w:eastAsia="zh-CN"/>
        </w:rPr>
        <w:t>0743-8517795</w:t>
      </w:r>
    </w:p>
    <w:p w14:paraId="7B21CC2E">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rPr>
        <w:t>）电子邮箱：/</w:t>
      </w:r>
    </w:p>
    <w:p w14:paraId="02271841">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2、采购代理机构信息</w:t>
      </w:r>
    </w:p>
    <w:p w14:paraId="4198F92B">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（1）名 称：</w:t>
      </w:r>
      <w:r>
        <w:rPr>
          <w:rFonts w:hint="eastAsia" w:ascii="宋体" w:hAnsi="宋体" w:cs="宋体"/>
          <w:bCs/>
          <w:color w:val="auto"/>
          <w:sz w:val="21"/>
          <w:szCs w:val="21"/>
          <w:highlight w:val="none"/>
          <w:lang w:eastAsia="zh-CN"/>
        </w:rPr>
        <w:t>湖南大音项目管理有限公司</w:t>
      </w:r>
    </w:p>
    <w:p w14:paraId="0BD25B9F">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（2）地 址：</w:t>
      </w:r>
      <w:r>
        <w:rPr>
          <w:rFonts w:hint="eastAsia" w:ascii="宋体" w:hAnsi="宋体" w:cs="宋体"/>
          <w:color w:val="auto"/>
          <w:sz w:val="21"/>
          <w:szCs w:val="21"/>
          <w:highlight w:val="none"/>
          <w:lang w:val="en-US" w:eastAsia="zh-CN"/>
        </w:rPr>
        <w:t>湖南省湘西高新区·宏大广场2号公寓楼7层</w:t>
      </w:r>
    </w:p>
    <w:p w14:paraId="6EFE0FDD">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（3）联系人：</w:t>
      </w:r>
      <w:r>
        <w:rPr>
          <w:rFonts w:hint="eastAsia" w:ascii="宋体" w:hAnsi="宋体" w:cs="宋体"/>
          <w:bCs/>
          <w:color w:val="auto"/>
          <w:sz w:val="21"/>
          <w:szCs w:val="21"/>
          <w:highlight w:val="none"/>
          <w:lang w:eastAsia="zh-CN"/>
        </w:rPr>
        <w:t>尚雪娇</w:t>
      </w:r>
    </w:p>
    <w:p w14:paraId="4986B498">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邮编：</w:t>
      </w:r>
      <w:r>
        <w:rPr>
          <w:rFonts w:hint="eastAsia" w:ascii="宋体" w:hAnsi="宋体" w:cs="宋体"/>
          <w:bCs/>
          <w:color w:val="auto"/>
          <w:sz w:val="21"/>
          <w:szCs w:val="21"/>
          <w:highlight w:val="none"/>
          <w:lang w:val="en-US" w:eastAsia="zh-CN"/>
        </w:rPr>
        <w:t>416000</w:t>
      </w:r>
    </w:p>
    <w:p w14:paraId="7AE83B9B">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lang w:val="en-US" w:eastAsia="zh-CN"/>
        </w:rPr>
        <w:t>）电 话：</w:t>
      </w:r>
      <w:r>
        <w:rPr>
          <w:rFonts w:hint="eastAsia" w:ascii="宋体" w:hAnsi="宋体" w:cs="宋体"/>
          <w:bCs/>
          <w:color w:val="auto"/>
          <w:sz w:val="21"/>
          <w:szCs w:val="21"/>
          <w:highlight w:val="none"/>
          <w:lang w:val="en-US" w:eastAsia="zh-CN"/>
        </w:rPr>
        <w:t>18608438865</w:t>
      </w:r>
    </w:p>
    <w:p w14:paraId="3DD99211">
      <w:pPr>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rPr>
        <w:t>）电子邮箱：</w:t>
      </w:r>
      <w:r>
        <w:rPr>
          <w:rFonts w:hint="eastAsia" w:ascii="宋体" w:hAnsi="宋体" w:cs="宋体"/>
          <w:bCs/>
          <w:color w:val="auto"/>
          <w:sz w:val="21"/>
          <w:szCs w:val="21"/>
          <w:highlight w:val="none"/>
          <w:lang w:eastAsia="zh-CN"/>
        </w:rPr>
        <w:fldChar w:fldCharType="begin"/>
      </w:r>
      <w:r>
        <w:rPr>
          <w:rFonts w:hint="eastAsia" w:ascii="宋体" w:hAnsi="宋体" w:cs="宋体"/>
          <w:bCs/>
          <w:color w:val="auto"/>
          <w:sz w:val="21"/>
          <w:szCs w:val="21"/>
          <w:highlight w:val="none"/>
          <w:lang w:eastAsia="zh-CN"/>
        </w:rPr>
        <w:instrText xml:space="preserve"> HYPERLINK "mailto:2567507714@qq.com" </w:instrText>
      </w:r>
      <w:r>
        <w:rPr>
          <w:rFonts w:hint="eastAsia" w:ascii="宋体" w:hAnsi="宋体" w:cs="宋体"/>
          <w:bCs/>
          <w:color w:val="auto"/>
          <w:sz w:val="21"/>
          <w:szCs w:val="21"/>
          <w:highlight w:val="none"/>
          <w:lang w:eastAsia="zh-CN"/>
        </w:rPr>
        <w:fldChar w:fldCharType="separate"/>
      </w:r>
      <w:r>
        <w:rPr>
          <w:rStyle w:val="55"/>
          <w:rFonts w:hint="eastAsia" w:ascii="宋体" w:hAnsi="宋体" w:cs="宋体"/>
          <w:bCs/>
          <w:color w:val="auto"/>
          <w:sz w:val="21"/>
          <w:szCs w:val="21"/>
          <w:highlight w:val="none"/>
          <w:lang w:eastAsia="zh-CN"/>
        </w:rPr>
        <w:t>2567507714@qq.com</w:t>
      </w:r>
      <w:r>
        <w:rPr>
          <w:rFonts w:hint="eastAsia" w:ascii="宋体" w:hAnsi="宋体" w:cs="宋体"/>
          <w:bCs/>
          <w:color w:val="auto"/>
          <w:sz w:val="21"/>
          <w:szCs w:val="21"/>
          <w:highlight w:val="none"/>
          <w:lang w:eastAsia="zh-CN"/>
        </w:rPr>
        <w:fldChar w:fldCharType="end"/>
      </w:r>
    </w:p>
    <w:p w14:paraId="74ABEE1D">
      <w:pPr>
        <w:pStyle w:val="61"/>
        <w:rPr>
          <w:rFonts w:hint="eastAsia"/>
          <w:color w:val="auto"/>
          <w:highlight w:val="none"/>
          <w:lang w:eastAsia="zh-CN"/>
        </w:rPr>
      </w:pPr>
    </w:p>
    <w:p w14:paraId="4EBA37A3">
      <w:pPr>
        <w:pStyle w:val="61"/>
        <w:rPr>
          <w:rFonts w:hint="eastAsia"/>
          <w:color w:val="auto"/>
          <w:highlight w:val="none"/>
          <w:lang w:eastAsia="zh-CN"/>
        </w:rPr>
      </w:pPr>
    </w:p>
    <w:p w14:paraId="74094F13">
      <w:pPr>
        <w:pStyle w:val="61"/>
        <w:rPr>
          <w:rFonts w:hint="eastAsia"/>
          <w:color w:val="auto"/>
          <w:highlight w:val="none"/>
          <w:lang w:eastAsia="zh-CN"/>
        </w:rPr>
      </w:pPr>
    </w:p>
    <w:p w14:paraId="3AEB9AB2">
      <w:pPr>
        <w:pStyle w:val="61"/>
        <w:rPr>
          <w:rFonts w:hint="eastAsia"/>
          <w:color w:val="auto"/>
          <w:highlight w:val="none"/>
          <w:lang w:eastAsia="zh-CN"/>
        </w:rPr>
      </w:pPr>
    </w:p>
    <w:p w14:paraId="16321B12">
      <w:pPr>
        <w:pStyle w:val="61"/>
        <w:rPr>
          <w:rFonts w:hint="eastAsia"/>
          <w:color w:val="auto"/>
          <w:highlight w:val="none"/>
          <w:lang w:eastAsia="zh-CN"/>
        </w:rPr>
      </w:pPr>
    </w:p>
    <w:p w14:paraId="14B9F925">
      <w:pPr>
        <w:snapToGrid w:val="0"/>
        <w:spacing w:after="124" w:line="360" w:lineRule="auto"/>
        <w:ind w:right="24"/>
        <w:textAlignment w:val="baseline"/>
        <w:rPr>
          <w:rStyle w:val="103"/>
          <w:rFonts w:hint="eastAsia" w:ascii="黑体" w:hAnsi="黑体" w:eastAsia="宋体"/>
          <w:bCs/>
          <w:color w:val="auto"/>
          <w:sz w:val="30"/>
          <w:szCs w:val="30"/>
          <w:highlight w:val="none"/>
          <w:lang w:eastAsia="zh-CN"/>
        </w:rPr>
      </w:pPr>
      <w:r>
        <w:rPr>
          <w:rFonts w:hint="eastAsia"/>
          <w:color w:val="auto"/>
          <w:szCs w:val="21"/>
          <w:highlight w:val="none"/>
        </w:rPr>
        <w:t>附件</w:t>
      </w:r>
      <w:r>
        <w:rPr>
          <w:rFonts w:hint="eastAsia"/>
          <w:color w:val="auto"/>
          <w:szCs w:val="21"/>
          <w:highlight w:val="none"/>
          <w:lang w:val="en-US" w:eastAsia="zh-CN"/>
        </w:rPr>
        <w:t>一</w:t>
      </w:r>
    </w:p>
    <w:p w14:paraId="5F737234">
      <w:pPr>
        <w:snapToGrid w:val="0"/>
        <w:spacing w:before="120" w:after="124" w:line="360" w:lineRule="auto"/>
        <w:jc w:val="center"/>
        <w:textAlignment w:val="baseline"/>
        <w:rPr>
          <w:rStyle w:val="103"/>
          <w:rFonts w:ascii="黑体" w:hAnsi="黑体" w:eastAsia="黑体"/>
          <w:bCs/>
          <w:color w:val="auto"/>
          <w:sz w:val="30"/>
          <w:szCs w:val="30"/>
          <w:highlight w:val="none"/>
        </w:rPr>
      </w:pPr>
      <w:r>
        <w:rPr>
          <w:rStyle w:val="103"/>
          <w:rFonts w:ascii="黑体" w:hAnsi="黑体" w:eastAsia="黑体"/>
          <w:bCs/>
          <w:color w:val="auto"/>
          <w:sz w:val="30"/>
          <w:szCs w:val="30"/>
          <w:highlight w:val="none"/>
        </w:rPr>
        <w:t>法定代表人身份证明(法定代表人参加磋商)</w:t>
      </w:r>
    </w:p>
    <w:p w14:paraId="1ABFC9B2">
      <w:pPr>
        <w:snapToGrid w:val="0"/>
        <w:spacing w:after="124" w:line="480" w:lineRule="auto"/>
        <w:textAlignment w:val="baseline"/>
        <w:rPr>
          <w:rStyle w:val="103"/>
          <w:rFonts w:ascii="宋体" w:hAnsi="宋体"/>
          <w:color w:val="auto"/>
          <w:szCs w:val="21"/>
          <w:highlight w:val="none"/>
        </w:rPr>
      </w:pPr>
    </w:p>
    <w:p w14:paraId="4F2D3580">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szCs w:val="21"/>
          <w:highlight w:val="none"/>
        </w:rPr>
        <w:t>供应商</w:t>
      </w:r>
      <w:r>
        <w:rPr>
          <w:rStyle w:val="103"/>
          <w:rFonts w:ascii="宋体" w:hAnsi="宋体"/>
          <w:color w:val="auto"/>
          <w:kern w:val="0"/>
          <w:szCs w:val="21"/>
          <w:highlight w:val="none"/>
        </w:rPr>
        <w:t>名称：</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w:t>
      </w:r>
    </w:p>
    <w:p w14:paraId="54FDB768">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注册号：</w:t>
      </w:r>
      <w:r>
        <w:rPr>
          <w:rStyle w:val="103"/>
          <w:rFonts w:ascii="宋体" w:hAnsi="宋体"/>
          <w:color w:val="auto"/>
          <w:kern w:val="0"/>
          <w:szCs w:val="21"/>
          <w:highlight w:val="none"/>
          <w:u w:val="single" w:color="000000"/>
        </w:rPr>
        <w:t xml:space="preserve">                  </w:t>
      </w:r>
    </w:p>
    <w:p w14:paraId="1367ED6D">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注册地址：</w:t>
      </w:r>
      <w:r>
        <w:rPr>
          <w:rStyle w:val="103"/>
          <w:rFonts w:ascii="宋体" w:hAnsi="宋体"/>
          <w:color w:val="auto"/>
          <w:kern w:val="0"/>
          <w:szCs w:val="21"/>
          <w:highlight w:val="none"/>
          <w:u w:val="single" w:color="000000"/>
        </w:rPr>
        <w:t xml:space="preserve">                                    </w:t>
      </w:r>
    </w:p>
    <w:p w14:paraId="6C6F37D9">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 xml:space="preserve">成立时间： </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年 </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月</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日</w:t>
      </w:r>
    </w:p>
    <w:p w14:paraId="61C92C70">
      <w:pPr>
        <w:snapToGrid w:val="0"/>
        <w:spacing w:before="120" w:after="124" w:line="360" w:lineRule="auto"/>
        <w:jc w:val="left"/>
        <w:textAlignment w:val="baseline"/>
        <w:rPr>
          <w:rStyle w:val="103"/>
          <w:rFonts w:ascii="宋体" w:hAnsi="宋体"/>
          <w:color w:val="auto"/>
          <w:kern w:val="0"/>
          <w:szCs w:val="21"/>
          <w:highlight w:val="none"/>
          <w:u w:val="single" w:color="000000"/>
        </w:rPr>
      </w:pPr>
      <w:r>
        <w:rPr>
          <w:rStyle w:val="103"/>
          <w:rFonts w:ascii="宋体" w:hAnsi="宋体"/>
          <w:color w:val="auto"/>
          <w:kern w:val="0"/>
          <w:szCs w:val="21"/>
          <w:highlight w:val="none"/>
        </w:rPr>
        <w:t>经营期限：</w:t>
      </w:r>
      <w:r>
        <w:rPr>
          <w:rStyle w:val="103"/>
          <w:rFonts w:ascii="宋体" w:hAnsi="宋体"/>
          <w:color w:val="auto"/>
          <w:kern w:val="0"/>
          <w:szCs w:val="21"/>
          <w:highlight w:val="none"/>
          <w:u w:val="single" w:color="000000"/>
        </w:rPr>
        <w:t xml:space="preserve">                  </w:t>
      </w:r>
    </w:p>
    <w:p w14:paraId="745D5C57">
      <w:pPr>
        <w:snapToGrid w:val="0"/>
        <w:spacing w:before="120" w:after="124" w:line="360" w:lineRule="auto"/>
        <w:jc w:val="left"/>
        <w:textAlignment w:val="baseline"/>
        <w:rPr>
          <w:rStyle w:val="103"/>
          <w:rFonts w:ascii="宋体" w:hAnsi="宋体"/>
          <w:color w:val="auto"/>
          <w:kern w:val="0"/>
          <w:szCs w:val="21"/>
          <w:highlight w:val="none"/>
          <w:u w:val="single" w:color="000000"/>
        </w:rPr>
      </w:pPr>
      <w:r>
        <w:rPr>
          <w:rStyle w:val="103"/>
          <w:rFonts w:ascii="宋体" w:hAnsi="宋体"/>
          <w:color w:val="auto"/>
          <w:kern w:val="0"/>
          <w:szCs w:val="21"/>
          <w:highlight w:val="none"/>
        </w:rPr>
        <w:t>经营范围：主营：</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；兼营：</w:t>
      </w:r>
      <w:r>
        <w:rPr>
          <w:rStyle w:val="103"/>
          <w:rFonts w:ascii="宋体" w:hAnsi="宋体"/>
          <w:color w:val="auto"/>
          <w:kern w:val="0"/>
          <w:szCs w:val="21"/>
          <w:highlight w:val="none"/>
          <w:u w:val="single" w:color="000000"/>
        </w:rPr>
        <w:t xml:space="preserve">              </w:t>
      </w:r>
    </w:p>
    <w:p w14:paraId="63FA8861">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姓名：</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性别：</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年龄：</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系</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w:t>
      </w:r>
      <w:r>
        <w:rPr>
          <w:rStyle w:val="103"/>
          <w:rFonts w:ascii="宋体" w:hAnsi="宋体"/>
          <w:color w:val="auto"/>
          <w:szCs w:val="21"/>
          <w:highlight w:val="none"/>
        </w:rPr>
        <w:t>供应商</w:t>
      </w:r>
      <w:r>
        <w:rPr>
          <w:rStyle w:val="103"/>
          <w:rFonts w:ascii="宋体" w:hAnsi="宋体"/>
          <w:color w:val="auto"/>
          <w:kern w:val="0"/>
          <w:szCs w:val="21"/>
          <w:highlight w:val="none"/>
        </w:rPr>
        <w:t>名称）的法定代表人。</w:t>
      </w:r>
    </w:p>
    <w:p w14:paraId="03A21A02">
      <w:pPr>
        <w:snapToGrid w:val="0"/>
        <w:spacing w:before="120" w:after="124" w:line="360" w:lineRule="auto"/>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特此证明。</w:t>
      </w:r>
    </w:p>
    <w:p w14:paraId="03BBBD69">
      <w:pPr>
        <w:snapToGrid w:val="0"/>
        <w:spacing w:after="124" w:line="360" w:lineRule="auto"/>
        <w:jc w:val="left"/>
        <w:textAlignment w:val="baseline"/>
        <w:rPr>
          <w:rStyle w:val="103"/>
          <w:rFonts w:ascii="宋体" w:hAnsi="宋体" w:cs="宋体"/>
          <w:b/>
          <w:bCs/>
          <w:color w:val="auto"/>
          <w:kern w:val="0"/>
          <w:szCs w:val="21"/>
          <w:highlight w:val="none"/>
        </w:rPr>
      </w:pPr>
      <w:r>
        <w:rPr>
          <w:rStyle w:val="103"/>
          <w:rFonts w:ascii="宋体" w:hAnsi="宋体"/>
          <w:b/>
          <w:bCs/>
          <w:color w:val="auto"/>
          <w:szCs w:val="21"/>
          <w:highlight w:val="none"/>
        </w:rPr>
        <w:t>附：法定代表人身份证复印件</w:t>
      </w:r>
    </w:p>
    <w:tbl>
      <w:tblPr>
        <w:tblStyle w:val="46"/>
        <w:tblW w:w="874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70"/>
        <w:gridCol w:w="4370"/>
      </w:tblGrid>
      <w:tr w14:paraId="58218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4" w:hRule="atLeast"/>
        </w:trPr>
        <w:tc>
          <w:tcPr>
            <w:tcW w:w="4370" w:type="dxa"/>
            <w:tcBorders>
              <w:top w:val="single" w:color="000000" w:sz="4" w:space="0"/>
              <w:left w:val="single" w:color="000000" w:sz="4" w:space="0"/>
              <w:bottom w:val="single" w:color="000000" w:sz="4" w:space="0"/>
              <w:right w:val="single" w:color="000000" w:sz="4" w:space="0"/>
            </w:tcBorders>
            <w:vAlign w:val="center"/>
          </w:tcPr>
          <w:p w14:paraId="072DFDC8">
            <w:pPr>
              <w:snapToGrid w:val="0"/>
              <w:spacing w:after="124" w:line="480" w:lineRule="auto"/>
              <w:jc w:val="center"/>
              <w:textAlignment w:val="baseline"/>
              <w:rPr>
                <w:rStyle w:val="103"/>
                <w:rFonts w:ascii="宋体" w:hAnsi="宋体"/>
                <w:color w:val="auto"/>
                <w:szCs w:val="21"/>
                <w:highlight w:val="none"/>
              </w:rPr>
            </w:pPr>
            <w:r>
              <w:rPr>
                <w:rStyle w:val="103"/>
                <w:rFonts w:ascii="宋体" w:hAnsi="宋体"/>
                <w:color w:val="auto"/>
                <w:szCs w:val="21"/>
                <w:highlight w:val="none"/>
              </w:rPr>
              <w:t>正面</w:t>
            </w:r>
          </w:p>
        </w:tc>
        <w:tc>
          <w:tcPr>
            <w:tcW w:w="4370" w:type="dxa"/>
            <w:tcBorders>
              <w:top w:val="single" w:color="000000" w:sz="4" w:space="0"/>
              <w:left w:val="single" w:color="000000" w:sz="4" w:space="0"/>
              <w:bottom w:val="single" w:color="000000" w:sz="4" w:space="0"/>
              <w:right w:val="single" w:color="000000" w:sz="4" w:space="0"/>
            </w:tcBorders>
            <w:vAlign w:val="center"/>
          </w:tcPr>
          <w:p w14:paraId="0CA64432">
            <w:pPr>
              <w:snapToGrid w:val="0"/>
              <w:spacing w:after="124" w:line="480" w:lineRule="auto"/>
              <w:jc w:val="center"/>
              <w:textAlignment w:val="baseline"/>
              <w:rPr>
                <w:rStyle w:val="103"/>
                <w:rFonts w:ascii="宋体" w:hAnsi="宋体"/>
                <w:color w:val="auto"/>
                <w:szCs w:val="21"/>
                <w:highlight w:val="none"/>
              </w:rPr>
            </w:pPr>
            <w:r>
              <w:rPr>
                <w:rStyle w:val="103"/>
                <w:rFonts w:ascii="宋体" w:hAnsi="宋体"/>
                <w:color w:val="auto"/>
                <w:szCs w:val="21"/>
                <w:highlight w:val="none"/>
              </w:rPr>
              <w:t>反面</w:t>
            </w:r>
          </w:p>
        </w:tc>
      </w:tr>
    </w:tbl>
    <w:p w14:paraId="701ED8E7">
      <w:pPr>
        <w:snapToGrid w:val="0"/>
        <w:spacing w:after="124"/>
        <w:textAlignment w:val="baseline"/>
        <w:rPr>
          <w:rStyle w:val="103"/>
          <w:rFonts w:ascii="宋体" w:hAnsi="宋体"/>
          <w:color w:val="auto"/>
          <w:szCs w:val="21"/>
          <w:highlight w:val="none"/>
        </w:rPr>
      </w:pPr>
    </w:p>
    <w:p w14:paraId="3BC7F586">
      <w:pPr>
        <w:snapToGrid w:val="0"/>
        <w:spacing w:after="124" w:line="360" w:lineRule="auto"/>
        <w:textAlignment w:val="baseline"/>
        <w:rPr>
          <w:rStyle w:val="103"/>
          <w:rFonts w:ascii="宋体" w:hAnsi="宋体"/>
          <w:color w:val="auto"/>
          <w:szCs w:val="21"/>
          <w:highlight w:val="none"/>
        </w:rPr>
      </w:pPr>
    </w:p>
    <w:p w14:paraId="7DED8825">
      <w:pPr>
        <w:snapToGrid w:val="0"/>
        <w:spacing w:after="124" w:line="360" w:lineRule="auto"/>
        <w:ind w:right="420"/>
        <w:textAlignment w:val="baseline"/>
        <w:rPr>
          <w:rStyle w:val="103"/>
          <w:rFonts w:ascii="宋体" w:hAnsi="宋体"/>
          <w:color w:val="auto"/>
          <w:szCs w:val="21"/>
          <w:highlight w:val="none"/>
        </w:rPr>
      </w:pPr>
      <w:r>
        <w:rPr>
          <w:rStyle w:val="103"/>
          <w:rFonts w:ascii="宋体" w:hAnsi="宋体"/>
          <w:color w:val="auto"/>
          <w:szCs w:val="21"/>
          <w:highlight w:val="none"/>
        </w:rPr>
        <w:t>供应商名称（盖单位章）：</w:t>
      </w:r>
    </w:p>
    <w:p w14:paraId="38A58E1E">
      <w:pPr>
        <w:snapToGrid w:val="0"/>
        <w:spacing w:after="124" w:line="360" w:lineRule="auto"/>
        <w:ind w:right="420"/>
        <w:textAlignment w:val="baseline"/>
        <w:rPr>
          <w:rStyle w:val="103"/>
          <w:rFonts w:ascii="仿宋_GB2312" w:hAnsi="宋体" w:eastAsia="仿宋_GB2312"/>
          <w:color w:val="auto"/>
          <w:szCs w:val="21"/>
          <w:highlight w:val="none"/>
        </w:rPr>
      </w:pPr>
      <w:r>
        <w:rPr>
          <w:rStyle w:val="103"/>
          <w:rFonts w:ascii="宋体" w:hAnsi="宋体"/>
          <w:color w:val="auto"/>
          <w:szCs w:val="21"/>
          <w:highlight w:val="none"/>
        </w:rPr>
        <w:t>日期：</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年</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月</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 xml:space="preserve">日      </w:t>
      </w:r>
    </w:p>
    <w:p w14:paraId="5650FC74">
      <w:pPr>
        <w:snapToGrid w:val="0"/>
        <w:spacing w:before="120" w:after="124" w:line="360" w:lineRule="auto"/>
        <w:textAlignment w:val="baseline"/>
        <w:rPr>
          <w:rStyle w:val="103"/>
          <w:rFonts w:ascii="仿宋_GB2312" w:hAnsi="宋体" w:eastAsia="仿宋_GB2312"/>
          <w:color w:val="auto"/>
          <w:szCs w:val="21"/>
          <w:highlight w:val="none"/>
        </w:rPr>
      </w:pPr>
    </w:p>
    <w:p w14:paraId="68923570">
      <w:pPr>
        <w:snapToGrid w:val="0"/>
        <w:spacing w:after="124" w:line="360" w:lineRule="exact"/>
        <w:textAlignment w:val="baseline"/>
        <w:rPr>
          <w:rStyle w:val="103"/>
          <w:rFonts w:ascii="宋体" w:hAnsi="宋体"/>
          <w:b/>
          <w:color w:val="auto"/>
          <w:highlight w:val="none"/>
        </w:rPr>
      </w:pPr>
      <w:r>
        <w:rPr>
          <w:rStyle w:val="103"/>
          <w:rFonts w:ascii="宋体" w:hAnsi="宋体"/>
          <w:b/>
          <w:color w:val="auto"/>
          <w:szCs w:val="21"/>
          <w:highlight w:val="none"/>
        </w:rPr>
        <w:t>法定代表人参与投标的，请将此身份证明单独另备一份与法定代表人身份证原件于开标现场身份验证时使用。</w:t>
      </w:r>
    </w:p>
    <w:p w14:paraId="24A0DA8E">
      <w:pPr>
        <w:pStyle w:val="274"/>
        <w:widowControl/>
        <w:snapToGrid w:val="0"/>
        <w:spacing w:after="124"/>
        <w:rPr>
          <w:rStyle w:val="103"/>
          <w:color w:val="auto"/>
          <w:highlight w:val="none"/>
        </w:rPr>
      </w:pPr>
    </w:p>
    <w:p w14:paraId="31BBB7C5">
      <w:pPr>
        <w:snapToGrid w:val="0"/>
        <w:spacing w:after="124" w:line="360" w:lineRule="auto"/>
        <w:ind w:right="24"/>
        <w:textAlignment w:val="baseline"/>
        <w:rPr>
          <w:rFonts w:hint="eastAsia" w:eastAsia="宋体"/>
          <w:color w:val="auto"/>
          <w:szCs w:val="21"/>
          <w:highlight w:val="none"/>
          <w:lang w:eastAsia="zh-CN"/>
        </w:rPr>
      </w:pPr>
      <w:r>
        <w:rPr>
          <w:rFonts w:hint="eastAsia"/>
          <w:color w:val="auto"/>
          <w:szCs w:val="21"/>
          <w:highlight w:val="none"/>
        </w:rPr>
        <w:br w:type="page"/>
      </w:r>
      <w:r>
        <w:rPr>
          <w:rFonts w:hint="eastAsia"/>
          <w:color w:val="auto"/>
          <w:szCs w:val="21"/>
          <w:highlight w:val="none"/>
        </w:rPr>
        <w:t>附件</w:t>
      </w:r>
      <w:r>
        <w:rPr>
          <w:rFonts w:hint="eastAsia"/>
          <w:color w:val="auto"/>
          <w:szCs w:val="21"/>
          <w:highlight w:val="none"/>
          <w:lang w:val="en-US" w:eastAsia="zh-CN"/>
        </w:rPr>
        <w:t>二</w:t>
      </w:r>
    </w:p>
    <w:p w14:paraId="72FFF76B">
      <w:pPr>
        <w:snapToGrid w:val="0"/>
        <w:spacing w:after="124" w:line="360" w:lineRule="exact"/>
        <w:jc w:val="center"/>
        <w:textAlignment w:val="baseline"/>
        <w:rPr>
          <w:rStyle w:val="103"/>
          <w:rFonts w:ascii="黑体" w:eastAsia="黑体"/>
          <w:b/>
          <w:color w:val="auto"/>
          <w:sz w:val="32"/>
          <w:szCs w:val="32"/>
          <w:highlight w:val="none"/>
        </w:rPr>
      </w:pPr>
      <w:r>
        <w:rPr>
          <w:rStyle w:val="103"/>
          <w:rFonts w:ascii="黑体" w:eastAsia="黑体"/>
          <w:b/>
          <w:color w:val="auto"/>
          <w:sz w:val="32"/>
          <w:szCs w:val="32"/>
          <w:highlight w:val="none"/>
        </w:rPr>
        <w:t>法定代表人授权书(委托代理人参加磋商)</w:t>
      </w:r>
    </w:p>
    <w:p w14:paraId="49D288AD">
      <w:pPr>
        <w:snapToGrid w:val="0"/>
        <w:spacing w:after="124" w:line="360" w:lineRule="auto"/>
        <w:jc w:val="center"/>
        <w:textAlignment w:val="baseline"/>
        <w:rPr>
          <w:rStyle w:val="103"/>
          <w:rFonts w:ascii="黑体" w:hAnsi="华文中宋" w:eastAsia="黑体"/>
          <w:b/>
          <w:color w:val="auto"/>
          <w:sz w:val="28"/>
          <w:szCs w:val="28"/>
          <w:highlight w:val="none"/>
        </w:rPr>
      </w:pPr>
    </w:p>
    <w:p w14:paraId="5F4D2498">
      <w:pPr>
        <w:snapToGrid w:val="0"/>
        <w:spacing w:before="120" w:after="124" w:line="360" w:lineRule="auto"/>
        <w:ind w:firstLine="420" w:firstLineChars="200"/>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本人</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（姓名、职务）系</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w:t>
      </w:r>
      <w:r>
        <w:rPr>
          <w:rStyle w:val="103"/>
          <w:rFonts w:ascii="宋体" w:hAnsi="宋体"/>
          <w:color w:val="auto"/>
          <w:szCs w:val="21"/>
          <w:highlight w:val="none"/>
        </w:rPr>
        <w:t>供应商</w:t>
      </w:r>
      <w:r>
        <w:rPr>
          <w:rStyle w:val="103"/>
          <w:rFonts w:ascii="宋体" w:hAnsi="宋体"/>
          <w:color w:val="auto"/>
          <w:kern w:val="0"/>
          <w:szCs w:val="21"/>
          <w:highlight w:val="none"/>
        </w:rPr>
        <w:t>名称）的法定代表人，现授权</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（姓名、职务）为我方代理人。代理人根据授权，以我方名义：(1)签署、澄清、补正、修改、撤回、提交</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（项目名称、</w:t>
      </w:r>
      <w:r>
        <w:rPr>
          <w:rStyle w:val="103"/>
          <w:rFonts w:ascii="宋体" w:hAnsi="宋体"/>
          <w:color w:val="auto"/>
          <w:szCs w:val="21"/>
          <w:highlight w:val="none"/>
        </w:rPr>
        <w:t>政府</w:t>
      </w:r>
      <w:r>
        <w:rPr>
          <w:rStyle w:val="103"/>
          <w:rFonts w:ascii="宋体" w:hAnsi="宋体"/>
          <w:color w:val="auto"/>
          <w:kern w:val="0"/>
          <w:szCs w:val="21"/>
          <w:highlight w:val="none"/>
        </w:rPr>
        <w:t>采购编号、委托代理编号）响应文件；(2)签署并重新提交响应文件及最后报价；(3)签订合同和处理有关事宜，其法律后果由我方承担。</w:t>
      </w:r>
    </w:p>
    <w:p w14:paraId="10279206">
      <w:pPr>
        <w:snapToGrid w:val="0"/>
        <w:spacing w:before="120" w:after="124" w:line="360" w:lineRule="auto"/>
        <w:ind w:firstLine="420" w:firstLineChars="200"/>
        <w:jc w:val="left"/>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委托期限：</w:t>
      </w:r>
      <w:r>
        <w:rPr>
          <w:rStyle w:val="103"/>
          <w:rFonts w:ascii="宋体" w:hAnsi="宋体"/>
          <w:color w:val="auto"/>
          <w:kern w:val="0"/>
          <w:szCs w:val="21"/>
          <w:highlight w:val="none"/>
          <w:u w:val="single" w:color="000000"/>
        </w:rPr>
        <w:t xml:space="preserve">                                     </w:t>
      </w:r>
      <w:r>
        <w:rPr>
          <w:rStyle w:val="103"/>
          <w:rFonts w:ascii="宋体" w:hAnsi="宋体"/>
          <w:color w:val="auto"/>
          <w:kern w:val="0"/>
          <w:szCs w:val="21"/>
          <w:highlight w:val="none"/>
        </w:rPr>
        <w:t xml:space="preserve"> 。</w:t>
      </w:r>
    </w:p>
    <w:p w14:paraId="5D39F686">
      <w:pPr>
        <w:snapToGrid w:val="0"/>
        <w:spacing w:after="124" w:line="360" w:lineRule="auto"/>
        <w:ind w:firstLine="435"/>
        <w:textAlignment w:val="baseline"/>
        <w:rPr>
          <w:rStyle w:val="103"/>
          <w:rFonts w:ascii="宋体" w:hAnsi="宋体"/>
          <w:color w:val="auto"/>
          <w:kern w:val="0"/>
          <w:szCs w:val="21"/>
          <w:highlight w:val="none"/>
        </w:rPr>
      </w:pPr>
      <w:r>
        <w:rPr>
          <w:rStyle w:val="103"/>
          <w:rFonts w:ascii="宋体" w:hAnsi="宋体"/>
          <w:color w:val="auto"/>
          <w:kern w:val="0"/>
          <w:szCs w:val="21"/>
          <w:highlight w:val="none"/>
        </w:rPr>
        <w:t>代理人无转委托权。</w:t>
      </w:r>
    </w:p>
    <w:p w14:paraId="267CFACB">
      <w:pPr>
        <w:snapToGrid w:val="0"/>
        <w:spacing w:after="124" w:line="360" w:lineRule="auto"/>
        <w:ind w:firstLine="435"/>
        <w:textAlignment w:val="baseline"/>
        <w:rPr>
          <w:rStyle w:val="103"/>
          <w:rFonts w:ascii="宋体" w:hAnsi="宋体"/>
          <w:color w:val="auto"/>
          <w:szCs w:val="21"/>
          <w:highlight w:val="none"/>
        </w:rPr>
      </w:pPr>
      <w:r>
        <w:rPr>
          <w:rStyle w:val="103"/>
          <w:rFonts w:ascii="宋体" w:hAnsi="宋体"/>
          <w:color w:val="auto"/>
          <w:szCs w:val="21"/>
          <w:highlight w:val="none"/>
        </w:rPr>
        <w:t>本授权书于</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年</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月</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日签字生效，特此声明。</w:t>
      </w:r>
    </w:p>
    <w:p w14:paraId="34CBE9BA">
      <w:pPr>
        <w:snapToGrid w:val="0"/>
        <w:spacing w:before="120" w:after="124" w:line="360" w:lineRule="auto"/>
        <w:ind w:firstLine="420" w:firstLineChars="200"/>
        <w:textAlignment w:val="baseline"/>
        <w:rPr>
          <w:rStyle w:val="103"/>
          <w:rFonts w:ascii="宋体" w:hAnsi="宋体"/>
          <w:color w:val="auto"/>
          <w:szCs w:val="21"/>
          <w:highlight w:val="none"/>
        </w:rPr>
      </w:pPr>
      <w:r>
        <w:rPr>
          <w:rStyle w:val="103"/>
          <w:rFonts w:ascii="宋体" w:hAnsi="宋体"/>
          <w:color w:val="auto"/>
          <w:szCs w:val="21"/>
          <w:highlight w:val="none"/>
        </w:rPr>
        <w:t>附：</w:t>
      </w:r>
      <w:r>
        <w:rPr>
          <w:rStyle w:val="103"/>
          <w:rFonts w:ascii="宋体" w:hAnsi="宋体"/>
          <w:b/>
          <w:bCs/>
          <w:color w:val="auto"/>
          <w:szCs w:val="21"/>
          <w:highlight w:val="none"/>
        </w:rPr>
        <w:t>委托代理人身份证复印件及法定代表人身份证明(附件1，原件)</w:t>
      </w:r>
    </w:p>
    <w:tbl>
      <w:tblPr>
        <w:tblStyle w:val="46"/>
        <w:tblW w:w="874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70"/>
        <w:gridCol w:w="4370"/>
      </w:tblGrid>
      <w:tr w14:paraId="25593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4" w:hRule="atLeast"/>
        </w:trPr>
        <w:tc>
          <w:tcPr>
            <w:tcW w:w="4370" w:type="dxa"/>
            <w:tcBorders>
              <w:top w:val="single" w:color="000000" w:sz="4" w:space="0"/>
              <w:left w:val="single" w:color="000000" w:sz="4" w:space="0"/>
              <w:bottom w:val="single" w:color="000000" w:sz="4" w:space="0"/>
              <w:right w:val="single" w:color="000000" w:sz="4" w:space="0"/>
            </w:tcBorders>
            <w:vAlign w:val="center"/>
          </w:tcPr>
          <w:p w14:paraId="276841E3">
            <w:pPr>
              <w:snapToGrid w:val="0"/>
              <w:spacing w:after="124" w:line="480" w:lineRule="auto"/>
              <w:jc w:val="center"/>
              <w:textAlignment w:val="baseline"/>
              <w:rPr>
                <w:rStyle w:val="103"/>
                <w:rFonts w:ascii="宋体" w:hAnsi="宋体"/>
                <w:color w:val="auto"/>
                <w:szCs w:val="21"/>
                <w:highlight w:val="none"/>
              </w:rPr>
            </w:pPr>
            <w:r>
              <w:rPr>
                <w:rStyle w:val="103"/>
                <w:rFonts w:ascii="宋体" w:hAnsi="宋体"/>
                <w:color w:val="auto"/>
                <w:szCs w:val="21"/>
                <w:highlight w:val="none"/>
              </w:rPr>
              <w:t>正面</w:t>
            </w:r>
          </w:p>
        </w:tc>
        <w:tc>
          <w:tcPr>
            <w:tcW w:w="4370" w:type="dxa"/>
            <w:tcBorders>
              <w:top w:val="single" w:color="000000" w:sz="4" w:space="0"/>
              <w:left w:val="single" w:color="000000" w:sz="4" w:space="0"/>
              <w:bottom w:val="single" w:color="000000" w:sz="4" w:space="0"/>
              <w:right w:val="single" w:color="000000" w:sz="4" w:space="0"/>
            </w:tcBorders>
            <w:vAlign w:val="center"/>
          </w:tcPr>
          <w:p w14:paraId="68A4FC3D">
            <w:pPr>
              <w:snapToGrid w:val="0"/>
              <w:spacing w:after="124" w:line="480" w:lineRule="auto"/>
              <w:jc w:val="center"/>
              <w:textAlignment w:val="baseline"/>
              <w:rPr>
                <w:rStyle w:val="103"/>
                <w:rFonts w:ascii="宋体" w:hAnsi="宋体"/>
                <w:color w:val="auto"/>
                <w:szCs w:val="21"/>
                <w:highlight w:val="none"/>
              </w:rPr>
            </w:pPr>
            <w:r>
              <w:rPr>
                <w:rStyle w:val="103"/>
                <w:rFonts w:ascii="宋体" w:hAnsi="宋体"/>
                <w:color w:val="auto"/>
                <w:szCs w:val="21"/>
                <w:highlight w:val="none"/>
              </w:rPr>
              <w:t>反面</w:t>
            </w:r>
          </w:p>
        </w:tc>
      </w:tr>
    </w:tbl>
    <w:p w14:paraId="096A66CA">
      <w:pPr>
        <w:snapToGrid w:val="0"/>
        <w:spacing w:after="124" w:line="360" w:lineRule="auto"/>
        <w:ind w:right="420"/>
        <w:textAlignment w:val="baseline"/>
        <w:rPr>
          <w:rStyle w:val="103"/>
          <w:rFonts w:ascii="宋体" w:hAnsi="宋体"/>
          <w:color w:val="auto"/>
          <w:szCs w:val="21"/>
          <w:highlight w:val="none"/>
        </w:rPr>
      </w:pPr>
    </w:p>
    <w:p w14:paraId="4F52880C">
      <w:pPr>
        <w:snapToGrid w:val="0"/>
        <w:spacing w:after="124" w:line="360" w:lineRule="auto"/>
        <w:ind w:right="420"/>
        <w:textAlignment w:val="baseline"/>
        <w:rPr>
          <w:rStyle w:val="103"/>
          <w:rFonts w:ascii="宋体" w:hAnsi="宋体"/>
          <w:color w:val="auto"/>
          <w:szCs w:val="21"/>
          <w:highlight w:val="none"/>
        </w:rPr>
      </w:pPr>
      <w:r>
        <w:rPr>
          <w:rStyle w:val="103"/>
          <w:rFonts w:ascii="宋体" w:hAnsi="宋体"/>
          <w:color w:val="auto"/>
          <w:szCs w:val="21"/>
          <w:highlight w:val="none"/>
        </w:rPr>
        <w:t>供应商名称（盖单位章）：</w:t>
      </w:r>
    </w:p>
    <w:p w14:paraId="56CDF4EA">
      <w:pPr>
        <w:snapToGrid w:val="0"/>
        <w:spacing w:after="124" w:line="360" w:lineRule="auto"/>
        <w:ind w:right="420"/>
        <w:textAlignment w:val="baseline"/>
        <w:rPr>
          <w:rStyle w:val="103"/>
          <w:rFonts w:ascii="宋体" w:hAnsi="宋体"/>
          <w:color w:val="auto"/>
          <w:szCs w:val="21"/>
          <w:highlight w:val="none"/>
        </w:rPr>
      </w:pPr>
      <w:r>
        <w:rPr>
          <w:rStyle w:val="103"/>
          <w:rFonts w:ascii="宋体" w:hAnsi="宋体"/>
          <w:color w:val="auto"/>
          <w:szCs w:val="21"/>
          <w:highlight w:val="none"/>
        </w:rPr>
        <w:t>法定代表人（签字）：</w:t>
      </w:r>
      <w:r>
        <w:rPr>
          <w:rStyle w:val="103"/>
          <w:rFonts w:ascii="宋体" w:hAnsi="宋体"/>
          <w:color w:val="auto"/>
          <w:szCs w:val="21"/>
          <w:highlight w:val="none"/>
          <w:u w:val="single" w:color="000000"/>
        </w:rPr>
        <w:t xml:space="preserve">                     </w:t>
      </w:r>
    </w:p>
    <w:p w14:paraId="1DA12345">
      <w:pPr>
        <w:snapToGrid w:val="0"/>
        <w:spacing w:after="124" w:line="360" w:lineRule="auto"/>
        <w:ind w:right="420"/>
        <w:textAlignment w:val="baseline"/>
        <w:rPr>
          <w:rStyle w:val="103"/>
          <w:rFonts w:ascii="宋体" w:hAnsi="宋体"/>
          <w:color w:val="auto"/>
          <w:szCs w:val="21"/>
          <w:highlight w:val="none"/>
        </w:rPr>
      </w:pPr>
      <w:r>
        <w:rPr>
          <w:rStyle w:val="103"/>
          <w:rFonts w:ascii="宋体" w:hAnsi="宋体"/>
          <w:color w:val="auto"/>
          <w:szCs w:val="21"/>
          <w:highlight w:val="none"/>
        </w:rPr>
        <w:t>委托代理人（签字）：</w:t>
      </w:r>
      <w:r>
        <w:rPr>
          <w:rStyle w:val="103"/>
          <w:rFonts w:ascii="宋体" w:hAnsi="宋体"/>
          <w:color w:val="auto"/>
          <w:szCs w:val="21"/>
          <w:highlight w:val="none"/>
          <w:u w:val="single" w:color="000000"/>
        </w:rPr>
        <w:t xml:space="preserve">                     </w:t>
      </w:r>
    </w:p>
    <w:p w14:paraId="05C6F46E">
      <w:pPr>
        <w:snapToGrid w:val="0"/>
        <w:spacing w:after="124" w:line="360" w:lineRule="auto"/>
        <w:ind w:right="24"/>
        <w:textAlignment w:val="baseline"/>
        <w:rPr>
          <w:rStyle w:val="103"/>
          <w:rFonts w:ascii="宋体" w:hAnsi="宋体"/>
          <w:color w:val="auto"/>
          <w:szCs w:val="21"/>
          <w:highlight w:val="none"/>
        </w:rPr>
      </w:pPr>
      <w:r>
        <w:rPr>
          <w:rStyle w:val="103"/>
          <w:rFonts w:ascii="宋体" w:hAnsi="宋体"/>
          <w:color w:val="auto"/>
          <w:szCs w:val="21"/>
          <w:highlight w:val="none"/>
        </w:rPr>
        <w:t>日期：</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年</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月</w:t>
      </w:r>
      <w:r>
        <w:rPr>
          <w:rStyle w:val="103"/>
          <w:rFonts w:ascii="宋体" w:hAnsi="宋体"/>
          <w:color w:val="auto"/>
          <w:szCs w:val="21"/>
          <w:highlight w:val="none"/>
          <w:u w:val="single" w:color="000000"/>
        </w:rPr>
        <w:t xml:space="preserve">       </w:t>
      </w:r>
      <w:r>
        <w:rPr>
          <w:rStyle w:val="103"/>
          <w:rFonts w:ascii="宋体" w:hAnsi="宋体"/>
          <w:color w:val="auto"/>
          <w:szCs w:val="21"/>
          <w:highlight w:val="none"/>
        </w:rPr>
        <w:t>日</w:t>
      </w:r>
    </w:p>
    <w:p w14:paraId="212CBD2A">
      <w:pPr>
        <w:snapToGrid w:val="0"/>
        <w:spacing w:after="124" w:line="360" w:lineRule="exact"/>
        <w:textAlignment w:val="baseline"/>
        <w:rPr>
          <w:rStyle w:val="103"/>
          <w:rFonts w:ascii="宋体"/>
          <w:b/>
          <w:color w:val="auto"/>
          <w:highlight w:val="none"/>
        </w:rPr>
      </w:pPr>
    </w:p>
    <w:p w14:paraId="14E9F594">
      <w:pPr>
        <w:snapToGrid w:val="0"/>
        <w:spacing w:after="124" w:line="360" w:lineRule="exact"/>
        <w:textAlignment w:val="baseline"/>
        <w:rPr>
          <w:rStyle w:val="103"/>
          <w:rFonts w:ascii="宋体"/>
          <w:b/>
          <w:color w:val="auto"/>
          <w:highlight w:val="none"/>
        </w:rPr>
      </w:pPr>
    </w:p>
    <w:p w14:paraId="728164B0">
      <w:pPr>
        <w:snapToGrid w:val="0"/>
        <w:spacing w:after="124" w:line="360" w:lineRule="exact"/>
        <w:textAlignment w:val="baseline"/>
        <w:rPr>
          <w:rStyle w:val="103"/>
          <w:rFonts w:ascii="宋体"/>
          <w:b/>
          <w:color w:val="auto"/>
          <w:highlight w:val="none"/>
        </w:rPr>
      </w:pPr>
      <w:r>
        <w:rPr>
          <w:rStyle w:val="103"/>
          <w:rFonts w:ascii="宋体" w:hAnsi="宋体"/>
          <w:b/>
          <w:bCs/>
          <w:color w:val="auto"/>
          <w:szCs w:val="21"/>
          <w:highlight w:val="none"/>
        </w:rPr>
        <w:t>委托</w:t>
      </w:r>
      <w:r>
        <w:rPr>
          <w:rStyle w:val="103"/>
          <w:rFonts w:ascii="宋体" w:hAnsi="宋体"/>
          <w:b/>
          <w:color w:val="auto"/>
          <w:szCs w:val="21"/>
          <w:highlight w:val="none"/>
        </w:rPr>
        <w:t>代理人参与投标的，请将此授权书单独另备一份连同本人身份证原件及法定代表人身份证明于开标现场身份验证时使用</w:t>
      </w:r>
      <w:r>
        <w:rPr>
          <w:rStyle w:val="103"/>
          <w:rFonts w:ascii="宋体" w:hAnsi="宋体"/>
          <w:color w:val="auto"/>
          <w:szCs w:val="21"/>
          <w:highlight w:val="none"/>
        </w:rPr>
        <w:t>。</w:t>
      </w:r>
    </w:p>
    <w:p w14:paraId="090195F3">
      <w:pPr>
        <w:rPr>
          <w:color w:val="auto"/>
          <w:highlight w:val="none"/>
        </w:rPr>
      </w:pPr>
      <w:r>
        <w:rPr>
          <w:rFonts w:hAnsi="宋体"/>
          <w:b/>
          <w:color w:val="auto"/>
          <w:sz w:val="84"/>
          <w:szCs w:val="84"/>
          <w:highlight w:val="none"/>
        </w:rPr>
        <w:br w:type="page"/>
      </w:r>
    </w:p>
    <w:bookmarkEnd w:id="29"/>
    <w:bookmarkEnd w:id="30"/>
    <w:bookmarkEnd w:id="31"/>
    <w:bookmarkEnd w:id="32"/>
    <w:bookmarkEnd w:id="33"/>
    <w:bookmarkEnd w:id="34"/>
    <w:bookmarkEnd w:id="35"/>
    <w:p w14:paraId="6AC665F0">
      <w:pPr>
        <w:pStyle w:val="2"/>
        <w:spacing w:after="124"/>
        <w:rPr>
          <w:color w:val="auto"/>
          <w:highlight w:val="none"/>
        </w:rPr>
      </w:pPr>
      <w:bookmarkStart w:id="36" w:name="_Toc19528"/>
      <w:bookmarkStart w:id="37" w:name="_Toc12592"/>
      <w:bookmarkStart w:id="38" w:name="_Toc4871"/>
      <w:bookmarkStart w:id="39" w:name="_Toc20388"/>
      <w:bookmarkStart w:id="40" w:name="_Toc15521"/>
      <w:bookmarkStart w:id="41" w:name="_Toc11601"/>
      <w:bookmarkStart w:id="42" w:name="_Toc21003"/>
      <w:r>
        <w:rPr>
          <w:rFonts w:hint="eastAsia"/>
          <w:color w:val="auto"/>
          <w:highlight w:val="none"/>
        </w:rPr>
        <w:t>第二章磋商须知</w:t>
      </w:r>
      <w:bookmarkEnd w:id="36"/>
      <w:bookmarkEnd w:id="37"/>
      <w:bookmarkEnd w:id="38"/>
      <w:bookmarkEnd w:id="39"/>
      <w:bookmarkEnd w:id="40"/>
      <w:bookmarkEnd w:id="41"/>
      <w:bookmarkEnd w:id="42"/>
    </w:p>
    <w:p w14:paraId="615F4C61">
      <w:pPr>
        <w:pStyle w:val="3"/>
        <w:spacing w:after="124"/>
        <w:jc w:val="center"/>
        <w:rPr>
          <w:color w:val="auto"/>
          <w:highlight w:val="none"/>
        </w:rPr>
      </w:pPr>
      <w:bookmarkStart w:id="43" w:name="_Toc2094"/>
      <w:bookmarkStart w:id="44" w:name="_Toc4523"/>
      <w:bookmarkStart w:id="45" w:name="_Toc24691"/>
      <w:bookmarkStart w:id="46" w:name="_Toc418"/>
      <w:bookmarkStart w:id="47" w:name="_Toc29825"/>
      <w:r>
        <w:rPr>
          <w:rFonts w:hint="eastAsia"/>
          <w:color w:val="auto"/>
          <w:highlight w:val="none"/>
        </w:rPr>
        <w:t>第一节、磋商须知前附表</w:t>
      </w:r>
      <w:bookmarkEnd w:id="43"/>
      <w:bookmarkEnd w:id="44"/>
      <w:bookmarkEnd w:id="45"/>
      <w:bookmarkEnd w:id="46"/>
      <w:bookmarkEnd w:id="47"/>
    </w:p>
    <w:p w14:paraId="5CB3A6CB">
      <w:pPr>
        <w:pStyle w:val="25"/>
        <w:keepNext w:val="0"/>
        <w:keepLines w:val="0"/>
        <w:pageBreakBefore w:val="0"/>
        <w:widowControl w:val="0"/>
        <w:kinsoku/>
        <w:wordWrap/>
        <w:overflowPunct/>
        <w:topLinePunct w:val="0"/>
        <w:autoSpaceDE/>
        <w:autoSpaceDN/>
        <w:bidi w:val="0"/>
        <w:adjustRightInd/>
        <w:snapToGrid/>
        <w:textAlignment w:val="auto"/>
        <w:rPr>
          <w:rFonts w:hAnsi="宋体"/>
          <w:color w:val="auto"/>
          <w:highlight w:val="none"/>
        </w:rPr>
      </w:pPr>
      <w:r>
        <w:rPr>
          <w:rFonts w:hint="eastAsia" w:hAnsi="宋体"/>
          <w:color w:val="auto"/>
          <w:highlight w:val="none"/>
        </w:rPr>
        <w:t>注：本项目采用的条款用“■”标示</w:t>
      </w:r>
    </w:p>
    <w:tbl>
      <w:tblPr>
        <w:tblStyle w:val="4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47"/>
        <w:gridCol w:w="1988"/>
        <w:gridCol w:w="5193"/>
      </w:tblGrid>
      <w:tr w14:paraId="347A9E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0" w:hRule="atLeast"/>
          <w:tblHeader/>
          <w:jc w:val="center"/>
        </w:trPr>
        <w:tc>
          <w:tcPr>
            <w:tcW w:w="1847" w:type="dxa"/>
            <w:vAlign w:val="center"/>
          </w:tcPr>
          <w:p w14:paraId="076886DE">
            <w:pPr>
              <w:pageBreakBefore w:val="0"/>
              <w:kinsoku/>
              <w:overflowPunct/>
              <w:topLinePunct w:val="0"/>
              <w:autoSpaceDE/>
              <w:autoSpaceDN/>
              <w:bidi w:val="0"/>
              <w:adjustRightInd/>
              <w:snapToGrid/>
              <w:spacing w:line="240" w:lineRule="auto"/>
              <w:ind w:left="0" w:left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条款号</w:t>
            </w:r>
          </w:p>
        </w:tc>
        <w:tc>
          <w:tcPr>
            <w:tcW w:w="1988" w:type="dxa"/>
            <w:vAlign w:val="center"/>
          </w:tcPr>
          <w:p w14:paraId="64538102">
            <w:pPr>
              <w:pageBreakBefore w:val="0"/>
              <w:kinsoku/>
              <w:overflowPunct/>
              <w:topLinePunct w:val="0"/>
              <w:autoSpaceDE/>
              <w:autoSpaceDN/>
              <w:bidi w:val="0"/>
              <w:adjustRightInd/>
              <w:snapToGrid/>
              <w:spacing w:line="240" w:lineRule="auto"/>
              <w:ind w:left="0" w:left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条款名称</w:t>
            </w:r>
          </w:p>
        </w:tc>
        <w:tc>
          <w:tcPr>
            <w:tcW w:w="5193" w:type="dxa"/>
            <w:vAlign w:val="center"/>
          </w:tcPr>
          <w:p w14:paraId="2AB04AAD">
            <w:pPr>
              <w:pageBreakBefore w:val="0"/>
              <w:kinsoku/>
              <w:overflowPunct/>
              <w:topLinePunct w:val="0"/>
              <w:autoSpaceDE/>
              <w:autoSpaceDN/>
              <w:bidi w:val="0"/>
              <w:adjustRightInd/>
              <w:snapToGrid/>
              <w:spacing w:line="240" w:lineRule="auto"/>
              <w:ind w:left="0" w:leftChars="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编列内容规定</w:t>
            </w:r>
          </w:p>
        </w:tc>
      </w:tr>
      <w:tr w14:paraId="25FF24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9028" w:type="dxa"/>
            <w:gridSpan w:val="3"/>
            <w:vAlign w:val="center"/>
          </w:tcPr>
          <w:p w14:paraId="66F07ACB">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一、说明</w:t>
            </w:r>
          </w:p>
        </w:tc>
      </w:tr>
      <w:tr w14:paraId="0FEFFF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7" w:type="dxa"/>
            <w:vAlign w:val="center"/>
          </w:tcPr>
          <w:p w14:paraId="7B3C9ED4">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第二章第1.1款</w:t>
            </w:r>
          </w:p>
        </w:tc>
        <w:tc>
          <w:tcPr>
            <w:tcW w:w="1988" w:type="dxa"/>
            <w:vAlign w:val="center"/>
          </w:tcPr>
          <w:p w14:paraId="2CC85CA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采购项目</w:t>
            </w:r>
          </w:p>
        </w:tc>
        <w:tc>
          <w:tcPr>
            <w:tcW w:w="5193" w:type="dxa"/>
            <w:vAlign w:val="center"/>
          </w:tcPr>
          <w:p w14:paraId="609F2315">
            <w:pPr>
              <w:pageBreakBefore w:val="0"/>
              <w:kinsoku/>
              <w:overflowPunct/>
              <w:topLinePunct w:val="0"/>
              <w:autoSpaceDE/>
              <w:autoSpaceDN/>
              <w:bidi w:val="0"/>
              <w:adjustRightInd/>
              <w:snapToGrid/>
              <w:spacing w:line="240" w:lineRule="auto"/>
              <w:ind w:left="0" w:leftChars="0"/>
              <w:rPr>
                <w:rFonts w:hint="default" w:ascii="宋体" w:hAnsi="宋体" w:eastAsia="宋体" w:cs="宋体"/>
                <w:color w:val="auto"/>
                <w:sz w:val="21"/>
                <w:szCs w:val="21"/>
                <w:highlight w:val="none"/>
                <w:lang w:val="en-US"/>
              </w:rPr>
            </w:pPr>
            <w:r>
              <w:rPr>
                <w:rFonts w:hint="eastAsia" w:ascii="宋体" w:hAnsi="宋体" w:cs="宋体"/>
                <w:color w:val="auto"/>
                <w:sz w:val="21"/>
                <w:szCs w:val="21"/>
                <w:highlight w:val="none"/>
                <w:lang w:val="en-US" w:eastAsia="zh-CN"/>
              </w:rPr>
              <w:t>吉首大学“两馆”周边建筑物及环境综合提质改造项目</w:t>
            </w:r>
          </w:p>
        </w:tc>
      </w:tr>
      <w:tr w14:paraId="79C090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847" w:type="dxa"/>
            <w:vAlign w:val="center"/>
          </w:tcPr>
          <w:p w14:paraId="1D86EE5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第二章第2.1款</w:t>
            </w:r>
          </w:p>
        </w:tc>
        <w:tc>
          <w:tcPr>
            <w:tcW w:w="1988" w:type="dxa"/>
            <w:vAlign w:val="center"/>
          </w:tcPr>
          <w:p w14:paraId="7F7F884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w:t>
            </w:r>
          </w:p>
        </w:tc>
        <w:tc>
          <w:tcPr>
            <w:tcW w:w="5193" w:type="dxa"/>
            <w:vAlign w:val="center"/>
          </w:tcPr>
          <w:p w14:paraId="0F662BE7">
            <w:pPr>
              <w:pageBreakBefore w:val="0"/>
              <w:kinsoku/>
              <w:overflowPunct/>
              <w:topLinePunct w:val="0"/>
              <w:autoSpaceDE/>
              <w:autoSpaceDN/>
              <w:bidi w:val="0"/>
              <w:adjustRightInd/>
              <w:snapToGrid/>
              <w:spacing w:line="240" w:lineRule="auto"/>
              <w:ind w:left="0" w:leftChars="0"/>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名称：</w:t>
            </w:r>
            <w:r>
              <w:rPr>
                <w:rFonts w:hint="eastAsia" w:ascii="宋体" w:hAnsi="宋体" w:cs="宋体"/>
                <w:color w:val="auto"/>
                <w:kern w:val="0"/>
                <w:sz w:val="21"/>
                <w:szCs w:val="21"/>
                <w:highlight w:val="none"/>
                <w:lang w:val="en-US" w:eastAsia="zh-CN"/>
              </w:rPr>
              <w:t>吉首大学</w:t>
            </w:r>
          </w:p>
          <w:p w14:paraId="557334C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地址：</w:t>
            </w:r>
            <w:r>
              <w:rPr>
                <w:rFonts w:hint="eastAsia" w:ascii="宋体" w:hAnsi="宋体" w:cs="宋体"/>
                <w:color w:val="auto"/>
                <w:szCs w:val="21"/>
                <w:highlight w:val="none"/>
                <w:lang w:eastAsia="zh-CN"/>
              </w:rPr>
              <w:t xml:space="preserve">吉首市吉首大学砂子坳校区第十一教学楼 </w:t>
            </w:r>
          </w:p>
          <w:p w14:paraId="2914131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联系人：</w:t>
            </w:r>
            <w:r>
              <w:rPr>
                <w:rFonts w:hint="eastAsia" w:ascii="宋体" w:hAnsi="宋体" w:cs="宋体"/>
                <w:color w:val="auto"/>
                <w:szCs w:val="21"/>
                <w:highlight w:val="none"/>
                <w:lang w:val="en-US" w:eastAsia="zh-CN"/>
              </w:rPr>
              <w:t>游老师</w:t>
            </w:r>
          </w:p>
          <w:p w14:paraId="01077ED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电话：</w:t>
            </w:r>
            <w:r>
              <w:rPr>
                <w:rFonts w:hint="eastAsia" w:ascii="宋体" w:hAnsi="宋体" w:cs="宋体"/>
                <w:color w:val="auto"/>
                <w:szCs w:val="21"/>
                <w:highlight w:val="none"/>
                <w:lang w:val="en-US" w:eastAsia="zh-CN"/>
              </w:rPr>
              <w:t>0743-8517795</w:t>
            </w:r>
          </w:p>
        </w:tc>
      </w:tr>
      <w:tr w14:paraId="5AE2A0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2" w:hRule="atLeast"/>
          <w:jc w:val="center"/>
        </w:trPr>
        <w:tc>
          <w:tcPr>
            <w:tcW w:w="1847" w:type="dxa"/>
            <w:vAlign w:val="center"/>
          </w:tcPr>
          <w:p w14:paraId="6C8B365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第二章第2.2款</w:t>
            </w:r>
          </w:p>
        </w:tc>
        <w:tc>
          <w:tcPr>
            <w:tcW w:w="1988" w:type="dxa"/>
            <w:vAlign w:val="center"/>
          </w:tcPr>
          <w:p w14:paraId="365EF25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采购代理机构</w:t>
            </w:r>
          </w:p>
        </w:tc>
        <w:tc>
          <w:tcPr>
            <w:tcW w:w="5193" w:type="dxa"/>
            <w:vAlign w:val="center"/>
          </w:tcPr>
          <w:p w14:paraId="3F5A655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名称：</w:t>
            </w:r>
            <w:r>
              <w:rPr>
                <w:rFonts w:hint="eastAsia" w:ascii="宋体" w:hAnsi="宋体" w:cs="宋体"/>
                <w:color w:val="auto"/>
                <w:kern w:val="0"/>
                <w:sz w:val="21"/>
                <w:szCs w:val="21"/>
                <w:highlight w:val="none"/>
                <w:lang w:eastAsia="zh-CN"/>
              </w:rPr>
              <w:t>湖南大音项目管理有限公司</w:t>
            </w:r>
          </w:p>
          <w:p w14:paraId="509AE9A4">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地址：</w:t>
            </w:r>
            <w:r>
              <w:rPr>
                <w:rFonts w:hint="eastAsia" w:ascii="宋体" w:hAnsi="宋体" w:cs="宋体"/>
                <w:color w:val="auto"/>
                <w:sz w:val="21"/>
                <w:szCs w:val="21"/>
                <w:highlight w:val="none"/>
                <w:lang w:val="en-US" w:eastAsia="zh-CN"/>
              </w:rPr>
              <w:t>湖南省湘西高新区·宏大广场2号公寓楼7层</w:t>
            </w:r>
          </w:p>
          <w:p w14:paraId="4B3A32E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lang w:val="en-US" w:eastAsia="zh-CN"/>
              </w:rPr>
              <w:t>联系人：</w:t>
            </w:r>
            <w:r>
              <w:rPr>
                <w:rFonts w:hint="eastAsia" w:ascii="宋体" w:hAnsi="宋体" w:cs="宋体"/>
                <w:bCs/>
                <w:color w:val="auto"/>
                <w:sz w:val="21"/>
                <w:szCs w:val="21"/>
                <w:highlight w:val="none"/>
                <w:lang w:eastAsia="zh-CN"/>
              </w:rPr>
              <w:t>尚雪娇</w:t>
            </w:r>
          </w:p>
          <w:p w14:paraId="1C88EE52">
            <w:pPr>
              <w:pageBreakBefore w:val="0"/>
              <w:kinsoku/>
              <w:overflowPunct/>
              <w:topLinePunct w:val="0"/>
              <w:autoSpaceDE/>
              <w:autoSpaceDN/>
              <w:bidi w:val="0"/>
              <w:adjustRightInd/>
              <w:snapToGrid/>
              <w:spacing w:line="240" w:lineRule="auto"/>
              <w:ind w:left="0" w:leftChars="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电话：</w:t>
            </w:r>
            <w:r>
              <w:rPr>
                <w:rFonts w:hint="eastAsia" w:ascii="宋体" w:hAnsi="宋体" w:cs="宋体"/>
                <w:color w:val="auto"/>
                <w:sz w:val="21"/>
                <w:szCs w:val="21"/>
                <w:highlight w:val="none"/>
                <w:lang w:val="en-US" w:eastAsia="zh-CN"/>
              </w:rPr>
              <w:t>18608438865</w:t>
            </w:r>
          </w:p>
          <w:p w14:paraId="72722F41">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电子邮箱：</w:t>
            </w:r>
            <w:r>
              <w:rPr>
                <w:rFonts w:hint="eastAsia" w:ascii="宋体" w:hAnsi="宋体" w:cs="宋体"/>
                <w:bCs/>
                <w:color w:val="auto"/>
                <w:sz w:val="21"/>
                <w:szCs w:val="21"/>
                <w:highlight w:val="none"/>
                <w:lang w:eastAsia="zh-CN"/>
              </w:rPr>
              <w:t>2567507714@qq.com</w:t>
            </w:r>
          </w:p>
        </w:tc>
      </w:tr>
      <w:tr w14:paraId="7E92E0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7" w:type="dxa"/>
            <w:vAlign w:val="center"/>
          </w:tcPr>
          <w:p w14:paraId="2CD6514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第二章第2.3款</w:t>
            </w:r>
          </w:p>
        </w:tc>
        <w:tc>
          <w:tcPr>
            <w:tcW w:w="1988" w:type="dxa"/>
            <w:vAlign w:val="center"/>
          </w:tcPr>
          <w:p w14:paraId="398506F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供应商的邀请方式</w:t>
            </w:r>
          </w:p>
        </w:tc>
        <w:tc>
          <w:tcPr>
            <w:tcW w:w="5193" w:type="dxa"/>
            <w:vAlign w:val="center"/>
          </w:tcPr>
          <w:p w14:paraId="17EC5CD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公告邀请</w:t>
            </w:r>
          </w:p>
        </w:tc>
      </w:tr>
      <w:tr w14:paraId="3CFDCF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1847" w:type="dxa"/>
            <w:vAlign w:val="center"/>
          </w:tcPr>
          <w:p w14:paraId="71E93B3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第二章第3.1款</w:t>
            </w:r>
          </w:p>
        </w:tc>
        <w:tc>
          <w:tcPr>
            <w:tcW w:w="1988" w:type="dxa"/>
            <w:vAlign w:val="center"/>
          </w:tcPr>
          <w:p w14:paraId="368BD87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供应商资格条件</w:t>
            </w:r>
          </w:p>
        </w:tc>
        <w:tc>
          <w:tcPr>
            <w:tcW w:w="5193" w:type="dxa"/>
            <w:vAlign w:val="center"/>
          </w:tcPr>
          <w:p w14:paraId="070AB49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（一）基本资格条件：</w:t>
            </w:r>
          </w:p>
          <w:p w14:paraId="565D122B">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1、供应商的基本资格条件：供应商必须是在中华人民共和国境内注册登记的法人、其他组织或者自然人，且应当符合《政府采购法》第二十二条第一款的规定，即：</w:t>
            </w:r>
          </w:p>
          <w:p w14:paraId="374F228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p w14:paraId="75F113D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（2）具有良好的商业信誉和健全的财务会计制度；</w:t>
            </w:r>
          </w:p>
          <w:p w14:paraId="5A180FCF">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（3）具有履行合同所必需的设备和专业技术能力；</w:t>
            </w:r>
          </w:p>
          <w:p w14:paraId="44915BF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（4）有依法缴纳税收和社会保障资金的良好记录；</w:t>
            </w:r>
          </w:p>
          <w:p w14:paraId="131B161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（5）参加政府采购活动前三年内，在经营活动中没有重大违法记录；</w:t>
            </w:r>
          </w:p>
          <w:p w14:paraId="24E1EBCB">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（6）法律、行政法规规定的其他条件。</w:t>
            </w:r>
          </w:p>
          <w:p w14:paraId="39AB8FCB">
            <w:pPr>
              <w:pStyle w:val="25"/>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
                <w:bCs/>
                <w:color w:val="auto"/>
                <w:sz w:val="21"/>
                <w:szCs w:val="21"/>
                <w:highlight w:val="none"/>
              </w:rPr>
              <w:t>供应商的特定资格条件</w:t>
            </w:r>
            <w:r>
              <w:rPr>
                <w:rFonts w:hint="eastAsia" w:ascii="宋体" w:hAnsi="宋体" w:eastAsia="宋体" w:cs="宋体"/>
                <w:color w:val="auto"/>
                <w:sz w:val="21"/>
                <w:szCs w:val="21"/>
                <w:highlight w:val="none"/>
              </w:rPr>
              <w:t>：</w:t>
            </w:r>
          </w:p>
          <w:p w14:paraId="32ACD2A8">
            <w:pPr>
              <w:pStyle w:val="61"/>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供应商须具备建设行政主管部门颁发的建筑工程施工总承包二级及以上资质，且企业安全生产许可证处于有效期内；</w:t>
            </w:r>
            <w:r>
              <w:rPr>
                <w:rFonts w:hint="eastAsia" w:ascii="宋体" w:hAnsi="宋体" w:eastAsia="宋体" w:cs="Times New Roman"/>
                <w:color w:val="auto"/>
                <w:sz w:val="21"/>
                <w:szCs w:val="21"/>
                <w:highlight w:val="none"/>
                <w14:ligatures w14:val="none"/>
              </w:rPr>
              <w:t>湖南省外</w:t>
            </w:r>
            <w:r>
              <w:rPr>
                <w:rFonts w:hint="eastAsia" w:ascii="宋体" w:hAnsi="宋体" w:cs="宋体"/>
                <w:color w:val="auto"/>
                <w:sz w:val="21"/>
                <w:szCs w:val="21"/>
                <w:highlight w:val="none"/>
                <w:lang w:val="en-US" w:eastAsia="zh-CN"/>
              </w:rPr>
              <w:t>入湘企业应在“湖南省住房和城乡建设网”进行基本信息登记（以“湖南省住房和城乡建设网”查询为准并</w:t>
            </w:r>
            <w:r>
              <w:rPr>
                <w:rFonts w:hint="eastAsia" w:ascii="宋体" w:hAnsi="宋体" w:eastAsia="宋体" w:cs="Times New Roman"/>
                <w:color w:val="auto"/>
                <w:sz w:val="21"/>
                <w:szCs w:val="21"/>
                <w:highlight w:val="none"/>
                <w14:ligatures w14:val="none"/>
              </w:rPr>
              <w:t>附登记证明截图</w:t>
            </w:r>
            <w:r>
              <w:rPr>
                <w:rFonts w:hint="eastAsia" w:ascii="宋体" w:hAnsi="宋体" w:cs="宋体"/>
                <w:color w:val="auto"/>
                <w:sz w:val="21"/>
                <w:szCs w:val="21"/>
                <w:highlight w:val="none"/>
                <w:lang w:val="en-US" w:eastAsia="zh-CN"/>
              </w:rPr>
              <w:t>）或具有入湘施工登记证（处于有效期内）；</w:t>
            </w:r>
          </w:p>
          <w:p w14:paraId="73B01B6A">
            <w:pPr>
              <w:pStyle w:val="61"/>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本项目为专门面向中小企业采购项目，各供应商应按政府采购促进中小企业发展相关规定及采购文件的响应文件组成中的“《中小企业声明函》”格式填写并在响应文件中提供《中小企业声明函》，否则视为无效响应。</w:t>
            </w:r>
          </w:p>
          <w:p w14:paraId="1B736FE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、单位负责人为同一人或者存在直接控股、管理关系的不同供应商，不得参加同一合同项下的政府采购活动。</w:t>
            </w:r>
          </w:p>
          <w:p w14:paraId="36AF93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、为本采购项目提供整体设计、规范编制或者项目管理、监理、检测等服务的，不得再参加此项目的其他采购活动。</w:t>
            </w:r>
          </w:p>
          <w:p w14:paraId="4A29F0C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、供应商提供未列入失信被执行人、重大税收违法案件当事人名单、政府采购严重违法失信行为记录名单的书面承诺（格式自拟）。</w:t>
            </w:r>
          </w:p>
          <w:p w14:paraId="5F47CFB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、本次磋商采购</w:t>
            </w:r>
            <w:r>
              <w:rPr>
                <w:rFonts w:hint="eastAsia" w:ascii="宋体" w:hAnsi="宋体" w:eastAsia="宋体" w:cs="宋体"/>
                <w:color w:val="auto"/>
                <w:sz w:val="21"/>
                <w:szCs w:val="21"/>
                <w:highlight w:val="none"/>
                <w:u w:val="single"/>
              </w:rPr>
              <w:t>不接受</w:t>
            </w:r>
            <w:r>
              <w:rPr>
                <w:rFonts w:hint="eastAsia" w:ascii="宋体" w:hAnsi="宋体" w:eastAsia="宋体" w:cs="宋体"/>
                <w:color w:val="auto"/>
                <w:sz w:val="21"/>
                <w:szCs w:val="21"/>
                <w:highlight w:val="none"/>
              </w:rPr>
              <w:t>(接受或不接受)供应商为联合体形式。</w:t>
            </w:r>
          </w:p>
        </w:tc>
      </w:tr>
      <w:tr w14:paraId="1403C8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4" w:hRule="atLeast"/>
          <w:jc w:val="center"/>
        </w:trPr>
        <w:tc>
          <w:tcPr>
            <w:tcW w:w="1847" w:type="dxa"/>
            <w:vAlign w:val="center"/>
          </w:tcPr>
          <w:p w14:paraId="002436E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第二章第6.1款</w:t>
            </w:r>
          </w:p>
        </w:tc>
        <w:tc>
          <w:tcPr>
            <w:tcW w:w="1988" w:type="dxa"/>
            <w:vAlign w:val="center"/>
          </w:tcPr>
          <w:p w14:paraId="7B08C17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联合体形式</w:t>
            </w:r>
          </w:p>
        </w:tc>
        <w:tc>
          <w:tcPr>
            <w:tcW w:w="5193" w:type="dxa"/>
            <w:vAlign w:val="center"/>
          </w:tcPr>
          <w:p w14:paraId="0A97E6C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■不接受</w:t>
            </w:r>
          </w:p>
          <w:p w14:paraId="06AE5B4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w:t>
            </w:r>
          </w:p>
        </w:tc>
      </w:tr>
      <w:tr w14:paraId="40DFFB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9" w:hRule="atLeast"/>
          <w:jc w:val="center"/>
        </w:trPr>
        <w:tc>
          <w:tcPr>
            <w:tcW w:w="1847" w:type="dxa"/>
            <w:vAlign w:val="center"/>
          </w:tcPr>
          <w:p w14:paraId="2AA1C8E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第二章第6.2款</w:t>
            </w:r>
          </w:p>
        </w:tc>
        <w:tc>
          <w:tcPr>
            <w:tcW w:w="1988" w:type="dxa"/>
            <w:vAlign w:val="center"/>
          </w:tcPr>
          <w:p w14:paraId="14935BC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对联合体各方的要求</w:t>
            </w:r>
          </w:p>
        </w:tc>
        <w:tc>
          <w:tcPr>
            <w:tcW w:w="5193" w:type="dxa"/>
            <w:vAlign w:val="center"/>
          </w:tcPr>
          <w:p w14:paraId="5A1D440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本项目不接受联合体投标</w:t>
            </w:r>
          </w:p>
        </w:tc>
      </w:tr>
      <w:tr w14:paraId="72F7AA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7" w:type="dxa"/>
            <w:vAlign w:val="center"/>
          </w:tcPr>
          <w:p w14:paraId="303B84A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第二章第7.1款</w:t>
            </w:r>
          </w:p>
        </w:tc>
        <w:tc>
          <w:tcPr>
            <w:tcW w:w="1988" w:type="dxa"/>
            <w:vAlign w:val="center"/>
          </w:tcPr>
          <w:p w14:paraId="0D0058A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现场勘察</w:t>
            </w:r>
          </w:p>
        </w:tc>
        <w:tc>
          <w:tcPr>
            <w:tcW w:w="5193" w:type="dxa"/>
            <w:vAlign w:val="center"/>
          </w:tcPr>
          <w:p w14:paraId="1A1ADDF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■采购人不组织</w:t>
            </w:r>
          </w:p>
          <w:p w14:paraId="77755C0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□采购人组织，时间：地点：联系人：</w:t>
            </w:r>
          </w:p>
        </w:tc>
      </w:tr>
      <w:tr w14:paraId="1133FD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7" w:type="dxa"/>
            <w:vAlign w:val="center"/>
          </w:tcPr>
          <w:p w14:paraId="4D28174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第二章第8.1款</w:t>
            </w:r>
          </w:p>
        </w:tc>
        <w:tc>
          <w:tcPr>
            <w:tcW w:w="1988" w:type="dxa"/>
            <w:vAlign w:val="center"/>
          </w:tcPr>
          <w:p w14:paraId="2E9B4246">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采购进口产品</w:t>
            </w:r>
          </w:p>
        </w:tc>
        <w:tc>
          <w:tcPr>
            <w:tcW w:w="5193" w:type="dxa"/>
            <w:vAlign w:val="center"/>
          </w:tcPr>
          <w:p w14:paraId="3FF7B88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■本项目拒绝采购进口产品</w:t>
            </w:r>
          </w:p>
          <w:p w14:paraId="0334EEC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□本项目已经财政部门审核同意购买进口产品</w:t>
            </w:r>
          </w:p>
        </w:tc>
      </w:tr>
      <w:tr w14:paraId="19F358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5" w:hRule="atLeast"/>
          <w:jc w:val="center"/>
        </w:trPr>
        <w:tc>
          <w:tcPr>
            <w:tcW w:w="1847" w:type="dxa"/>
            <w:vAlign w:val="center"/>
          </w:tcPr>
          <w:p w14:paraId="1FAAF35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第二章第9.</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款</w:t>
            </w:r>
          </w:p>
        </w:tc>
        <w:tc>
          <w:tcPr>
            <w:tcW w:w="1988" w:type="dxa"/>
            <w:vAlign w:val="center"/>
          </w:tcPr>
          <w:p w14:paraId="0A125223">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政府采购优先采购节能产品或环境标志产品</w:t>
            </w:r>
          </w:p>
        </w:tc>
        <w:tc>
          <w:tcPr>
            <w:tcW w:w="5193" w:type="dxa"/>
            <w:vAlign w:val="center"/>
          </w:tcPr>
          <w:p w14:paraId="4EBC23E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品目清单和认证证书实施政府优先采购。采购人拟采购的产品属于品目清单范围的，采购人及其委托的采购代理机构应当依据国家确定的认证机构出具的、处于有效期之内的节能产品、环境标志产品认证证书，对获得证书的产品实施政府优先采购。供应商必需提供节能或环境标志产品认证证书复印件，未按以上要求提供认证证书复印件或不是清单内的产品，评审时不予优先采购：</w:t>
            </w:r>
          </w:p>
          <w:p w14:paraId="2C3DC744">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采用综合评分法时，对于技术和价格分，应分别给予总分值4%-8%的加分。本项目具体加分比例分别为：技术部分/%、价格部分/%。</w:t>
            </w:r>
          </w:p>
        </w:tc>
      </w:tr>
      <w:tr w14:paraId="708B3F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85" w:hRule="atLeast"/>
          <w:jc w:val="center"/>
        </w:trPr>
        <w:tc>
          <w:tcPr>
            <w:tcW w:w="1847" w:type="dxa"/>
            <w:vMerge w:val="restart"/>
            <w:vAlign w:val="center"/>
          </w:tcPr>
          <w:p w14:paraId="5AF6976C">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第二章第9.2款</w:t>
            </w:r>
          </w:p>
        </w:tc>
        <w:tc>
          <w:tcPr>
            <w:tcW w:w="1988" w:type="dxa"/>
            <w:tcBorders>
              <w:top w:val="single" w:color="auto" w:sz="4" w:space="0"/>
            </w:tcBorders>
            <w:vAlign w:val="center"/>
          </w:tcPr>
          <w:p w14:paraId="4A253E44">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w:t>
            </w:r>
            <w:r>
              <w:rPr>
                <w:rFonts w:hint="eastAsia" w:ascii="宋体" w:hAnsi="宋体" w:eastAsia="宋体" w:cs="宋体"/>
                <w:bCs/>
                <w:color w:val="auto"/>
                <w:kern w:val="0"/>
                <w:sz w:val="21"/>
                <w:szCs w:val="21"/>
                <w:highlight w:val="none"/>
              </w:rPr>
              <w:t>支持</w:t>
            </w:r>
            <w:r>
              <w:rPr>
                <w:rFonts w:hint="eastAsia" w:ascii="宋体" w:hAnsi="宋体" w:eastAsia="宋体" w:cs="宋体"/>
                <w:color w:val="auto"/>
                <w:sz w:val="21"/>
                <w:szCs w:val="21"/>
                <w:highlight w:val="none"/>
              </w:rPr>
              <w:t>中小企业发展</w:t>
            </w:r>
          </w:p>
        </w:tc>
        <w:tc>
          <w:tcPr>
            <w:tcW w:w="5193" w:type="dxa"/>
            <w:tcBorders>
              <w:top w:val="single" w:color="auto" w:sz="4" w:space="0"/>
            </w:tcBorders>
            <w:vAlign w:val="center"/>
          </w:tcPr>
          <w:p w14:paraId="4589B1C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■专门面向中小企业采购（应同时在邀请公告中注明）</w:t>
            </w:r>
            <w:r>
              <w:rPr>
                <w:rFonts w:hint="eastAsia" w:ascii="宋体" w:hAnsi="宋体" w:eastAsia="宋体" w:cs="宋体"/>
                <w:color w:val="auto"/>
                <w:kern w:val="0"/>
                <w:sz w:val="21"/>
                <w:szCs w:val="21"/>
                <w:highlight w:val="none"/>
              </w:rPr>
              <w:t>。</w:t>
            </w:r>
          </w:p>
          <w:p w14:paraId="19C6C819">
            <w:pPr>
              <w:pageBreakBefore w:val="0"/>
              <w:kinsoku/>
              <w:overflowPunct/>
              <w:topLinePunct w:val="0"/>
              <w:autoSpaceDE/>
              <w:autoSpaceDN/>
              <w:bidi w:val="0"/>
              <w:adjustRightInd/>
              <w:snapToGrid/>
              <w:spacing w:line="240" w:lineRule="auto"/>
              <w:ind w:left="0" w:leftChars="0"/>
              <w:textAlignment w:val="baseline"/>
              <w:rPr>
                <w:rStyle w:val="103"/>
                <w:rFonts w:hint="eastAsia" w:ascii="宋体" w:hAnsi="宋体" w:eastAsia="宋体" w:cs="宋体"/>
                <w:color w:val="auto"/>
                <w:sz w:val="21"/>
                <w:szCs w:val="21"/>
                <w:highlight w:val="none"/>
              </w:rPr>
            </w:pPr>
            <w:r>
              <w:rPr>
                <w:rStyle w:val="103"/>
                <w:rFonts w:hint="eastAsia" w:ascii="宋体" w:hAnsi="宋体" w:eastAsia="宋体" w:cs="宋体"/>
                <w:color w:val="auto"/>
                <w:kern w:val="0"/>
                <w:sz w:val="21"/>
                <w:szCs w:val="21"/>
                <w:highlight w:val="none"/>
              </w:rPr>
              <w:t>本项目专门面向中小企业采购，不再执行价格评审优惠的扶持政策。</w:t>
            </w:r>
          </w:p>
          <w:p w14:paraId="1D7E5F8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□非专门面向中小企业采购：（供应商如提供有中小企业产品，投标文件必需按磋商文件对中小企业所列要求特别标注说明所投中小企业产品所在品目、品牌、型号，否则评审时不予以考虑）：</w:t>
            </w:r>
          </w:p>
          <w:p w14:paraId="61EC2A6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1、给予小型和微型企业产品的价格给予10%-20%的扣除，用扣除后的价格参与评审，本项目具体扣除比例为</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307CDBA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2、给予联合体小型和微型企业产品的价格给予2%-3%的扣除，用扣除后的价格参与评审，本项目具体扣除比例为</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45552941">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3、给予中型企业产品的价格给予3%-5%的扣除，用扣除后的价格参与评审，本项目具体扣除比例为</w:t>
            </w:r>
            <w:r>
              <w:rPr>
                <w:rFonts w:hint="eastAsia" w:ascii="宋体" w:hAnsi="宋体" w:eastAsia="宋体" w:cs="宋体"/>
                <w:color w:val="auto"/>
                <w:sz w:val="21"/>
                <w:szCs w:val="21"/>
                <w:highlight w:val="none"/>
                <w:u w:val="single"/>
              </w:rPr>
              <w:t>/</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2B2DE74B">
            <w:pPr>
              <w:pStyle w:val="44"/>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firstLine="0" w:firstLineChars="0"/>
              <w:textAlignment w:val="auto"/>
              <w:rPr>
                <w:rFonts w:hint="eastAsia"/>
                <w:color w:val="auto"/>
                <w:highlight w:val="none"/>
              </w:rPr>
            </w:pPr>
            <w:r>
              <w:rPr>
                <w:rFonts w:hint="eastAsia" w:ascii="宋体" w:hAnsi="宋体" w:cs="宋体"/>
                <w:b/>
                <w:bCs/>
                <w:color w:val="auto"/>
                <w:sz w:val="21"/>
                <w:szCs w:val="18"/>
                <w:highlight w:val="none"/>
              </w:rPr>
              <w:t>注：本项目专门面向中小企业采购</w:t>
            </w:r>
            <w:r>
              <w:rPr>
                <w:rFonts w:hint="eastAsia" w:ascii="宋体" w:hAnsi="宋体" w:cs="宋体"/>
                <w:b/>
                <w:bCs/>
                <w:color w:val="auto"/>
                <w:sz w:val="21"/>
                <w:szCs w:val="18"/>
                <w:highlight w:val="none"/>
                <w:lang w:val="en-US" w:eastAsia="zh-CN"/>
              </w:rPr>
              <w:t>（含监狱企业、残疾人福利企业）</w:t>
            </w:r>
            <w:r>
              <w:rPr>
                <w:rFonts w:hint="eastAsia" w:ascii="宋体" w:hAnsi="宋体" w:cs="宋体"/>
                <w:b/>
                <w:bCs/>
                <w:color w:val="auto"/>
                <w:sz w:val="21"/>
                <w:szCs w:val="18"/>
                <w:highlight w:val="none"/>
              </w:rPr>
              <w:t>，价格不再进行扣除。</w:t>
            </w:r>
          </w:p>
        </w:tc>
      </w:tr>
      <w:tr w14:paraId="30848D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0" w:hRule="atLeast"/>
          <w:jc w:val="center"/>
        </w:trPr>
        <w:tc>
          <w:tcPr>
            <w:tcW w:w="1847" w:type="dxa"/>
            <w:vMerge w:val="restart"/>
            <w:tcBorders>
              <w:top w:val="single" w:color="auto" w:sz="4" w:space="0"/>
            </w:tcBorders>
            <w:vAlign w:val="center"/>
          </w:tcPr>
          <w:p w14:paraId="2EBFC66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第二章第9.6款</w:t>
            </w:r>
          </w:p>
        </w:tc>
        <w:tc>
          <w:tcPr>
            <w:tcW w:w="1988" w:type="dxa"/>
            <w:tcBorders>
              <w:top w:val="single" w:color="auto" w:sz="4" w:space="0"/>
            </w:tcBorders>
            <w:vAlign w:val="center"/>
          </w:tcPr>
          <w:p w14:paraId="06FE54C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政府采购支持中小企业融资</w:t>
            </w:r>
          </w:p>
        </w:tc>
        <w:tc>
          <w:tcPr>
            <w:tcW w:w="5193" w:type="dxa"/>
            <w:tcBorders>
              <w:top w:val="single" w:color="auto" w:sz="4" w:space="0"/>
            </w:tcBorders>
            <w:vAlign w:val="center"/>
          </w:tcPr>
          <w:p w14:paraId="0C66D7C8">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有融资需求的，登陆中国湖南政府采购网查询。</w:t>
            </w:r>
          </w:p>
        </w:tc>
      </w:tr>
      <w:tr w14:paraId="464DE9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1847" w:type="dxa"/>
            <w:vMerge w:val="continue"/>
            <w:vAlign w:val="center"/>
          </w:tcPr>
          <w:p w14:paraId="25D7EE5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p>
        </w:tc>
        <w:tc>
          <w:tcPr>
            <w:tcW w:w="1988" w:type="dxa"/>
            <w:tcBorders>
              <w:top w:val="single" w:color="auto" w:sz="4" w:space="0"/>
            </w:tcBorders>
            <w:vAlign w:val="center"/>
          </w:tcPr>
          <w:p w14:paraId="02C1E99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政府采购信用担保</w:t>
            </w:r>
          </w:p>
        </w:tc>
        <w:tc>
          <w:tcPr>
            <w:tcW w:w="5193" w:type="dxa"/>
            <w:vAlign w:val="center"/>
          </w:tcPr>
          <w:p w14:paraId="102E535D">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有履约担保或融资担保需求的，登陆中国湖南政府采购网查询。</w:t>
            </w:r>
          </w:p>
        </w:tc>
      </w:tr>
      <w:tr w14:paraId="4033EA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9028" w:type="dxa"/>
            <w:gridSpan w:val="3"/>
            <w:vAlign w:val="center"/>
          </w:tcPr>
          <w:p w14:paraId="61F23B5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二、磋商文件</w:t>
            </w:r>
          </w:p>
        </w:tc>
      </w:tr>
      <w:tr w14:paraId="6FBE63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847" w:type="dxa"/>
            <w:vAlign w:val="center"/>
          </w:tcPr>
          <w:p w14:paraId="1ABFD7D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第二章第10.2款</w:t>
            </w:r>
          </w:p>
        </w:tc>
        <w:tc>
          <w:tcPr>
            <w:tcW w:w="1988" w:type="dxa"/>
            <w:vAlign w:val="center"/>
          </w:tcPr>
          <w:p w14:paraId="2119000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磋商文件的可能实质性变动内容</w:t>
            </w:r>
          </w:p>
        </w:tc>
        <w:tc>
          <w:tcPr>
            <w:tcW w:w="5193" w:type="dxa"/>
            <w:vAlign w:val="center"/>
          </w:tcPr>
          <w:p w14:paraId="159CC97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服务要求、合同条款</w:t>
            </w:r>
          </w:p>
        </w:tc>
      </w:tr>
      <w:tr w14:paraId="36E59B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847" w:type="dxa"/>
            <w:vAlign w:val="center"/>
          </w:tcPr>
          <w:p w14:paraId="67207D2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第二章第11.1款</w:t>
            </w:r>
          </w:p>
        </w:tc>
        <w:tc>
          <w:tcPr>
            <w:tcW w:w="1988" w:type="dxa"/>
            <w:vAlign w:val="center"/>
          </w:tcPr>
          <w:p w14:paraId="1618F20C">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提供磋商文件期限</w:t>
            </w:r>
          </w:p>
        </w:tc>
        <w:tc>
          <w:tcPr>
            <w:tcW w:w="5193" w:type="dxa"/>
            <w:vAlign w:val="center"/>
          </w:tcPr>
          <w:p w14:paraId="5969343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以磋商公告为准</w:t>
            </w:r>
          </w:p>
        </w:tc>
      </w:tr>
      <w:tr w14:paraId="6FFE29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1847" w:type="dxa"/>
            <w:vAlign w:val="center"/>
          </w:tcPr>
          <w:p w14:paraId="621FF7A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第二章第11.2款</w:t>
            </w:r>
          </w:p>
        </w:tc>
        <w:tc>
          <w:tcPr>
            <w:tcW w:w="1988" w:type="dxa"/>
          </w:tcPr>
          <w:p w14:paraId="6A652B51">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报名需提交的资料</w:t>
            </w:r>
          </w:p>
        </w:tc>
        <w:tc>
          <w:tcPr>
            <w:tcW w:w="5193" w:type="dxa"/>
          </w:tcPr>
          <w:p w14:paraId="74FEB94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以磋商公告为准</w:t>
            </w:r>
          </w:p>
        </w:tc>
      </w:tr>
      <w:tr w14:paraId="1F097C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847" w:type="dxa"/>
            <w:vAlign w:val="center"/>
          </w:tcPr>
          <w:p w14:paraId="2D54B62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第二章第12.1款</w:t>
            </w:r>
          </w:p>
        </w:tc>
        <w:tc>
          <w:tcPr>
            <w:tcW w:w="1988" w:type="dxa"/>
            <w:vAlign w:val="center"/>
          </w:tcPr>
          <w:p w14:paraId="54C3179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提交首次响应文件的截止时间</w:t>
            </w:r>
          </w:p>
        </w:tc>
        <w:tc>
          <w:tcPr>
            <w:tcW w:w="5193" w:type="dxa"/>
            <w:vAlign w:val="center"/>
          </w:tcPr>
          <w:p w14:paraId="3F3F17B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cs="宋体"/>
                <w:b/>
                <w:bCs/>
                <w:color w:val="auto"/>
                <w:kern w:val="0"/>
                <w:sz w:val="21"/>
                <w:szCs w:val="21"/>
                <w:highlight w:val="none"/>
                <w:lang w:eastAsia="zh-CN"/>
              </w:rPr>
              <w:t>202</w:t>
            </w:r>
            <w:r>
              <w:rPr>
                <w:rFonts w:hint="eastAsia" w:ascii="宋体" w:hAnsi="宋体" w:cs="宋体"/>
                <w:b/>
                <w:bCs/>
                <w:color w:val="auto"/>
                <w:kern w:val="0"/>
                <w:sz w:val="21"/>
                <w:szCs w:val="21"/>
                <w:highlight w:val="none"/>
                <w:lang w:val="en-US" w:eastAsia="zh-CN"/>
              </w:rPr>
              <w:t>6</w:t>
            </w:r>
            <w:r>
              <w:rPr>
                <w:rFonts w:hint="eastAsia" w:ascii="宋体" w:hAnsi="宋体" w:cs="宋体"/>
                <w:b/>
                <w:bCs/>
                <w:color w:val="auto"/>
                <w:kern w:val="0"/>
                <w:sz w:val="21"/>
                <w:szCs w:val="21"/>
                <w:highlight w:val="none"/>
                <w:lang w:eastAsia="zh-CN"/>
              </w:rPr>
              <w:t>年</w:t>
            </w:r>
            <w:r>
              <w:rPr>
                <w:rFonts w:hint="eastAsia" w:ascii="宋体" w:hAnsi="宋体" w:cs="宋体"/>
                <w:b/>
                <w:bCs/>
                <w:color w:val="auto"/>
                <w:kern w:val="0"/>
                <w:sz w:val="21"/>
                <w:szCs w:val="21"/>
                <w:highlight w:val="none"/>
                <w:u w:val="single"/>
                <w:lang w:val="en-US" w:eastAsia="zh-CN"/>
              </w:rPr>
              <w:t>3</w:t>
            </w:r>
            <w:r>
              <w:rPr>
                <w:rFonts w:hint="eastAsia" w:ascii="宋体" w:hAnsi="宋体" w:cs="宋体"/>
                <w:b/>
                <w:bCs/>
                <w:color w:val="auto"/>
                <w:kern w:val="0"/>
                <w:sz w:val="21"/>
                <w:szCs w:val="21"/>
                <w:highlight w:val="none"/>
                <w:lang w:val="en-US" w:eastAsia="zh-CN"/>
              </w:rPr>
              <w:t>月</w:t>
            </w:r>
            <w:r>
              <w:rPr>
                <w:rFonts w:hint="eastAsia" w:ascii="宋体" w:hAnsi="宋体" w:cs="宋体"/>
                <w:b/>
                <w:bCs/>
                <w:color w:val="auto"/>
                <w:kern w:val="0"/>
                <w:sz w:val="21"/>
                <w:szCs w:val="21"/>
                <w:highlight w:val="none"/>
                <w:u w:val="single"/>
                <w:lang w:val="en-US" w:eastAsia="zh-CN"/>
              </w:rPr>
              <w:t xml:space="preserve"> 2 </w:t>
            </w:r>
            <w:r>
              <w:rPr>
                <w:rFonts w:hint="eastAsia" w:ascii="宋体" w:hAnsi="宋体" w:cs="宋体"/>
                <w:b/>
                <w:bCs/>
                <w:color w:val="auto"/>
                <w:kern w:val="0"/>
                <w:sz w:val="21"/>
                <w:szCs w:val="21"/>
                <w:highlight w:val="none"/>
                <w:lang w:val="en-US" w:eastAsia="zh-CN"/>
              </w:rPr>
              <w:t>日9</w:t>
            </w:r>
            <w:r>
              <w:rPr>
                <w:rFonts w:hint="eastAsia" w:ascii="宋体" w:hAnsi="宋体" w:cs="宋体"/>
                <w:b/>
                <w:bCs/>
                <w:color w:val="auto"/>
                <w:kern w:val="0"/>
                <w:sz w:val="21"/>
                <w:szCs w:val="21"/>
                <w:highlight w:val="none"/>
                <w:lang w:eastAsia="zh-CN"/>
              </w:rPr>
              <w:t>时</w:t>
            </w:r>
            <w:r>
              <w:rPr>
                <w:rFonts w:hint="eastAsia" w:ascii="宋体" w:hAnsi="宋体" w:cs="宋体"/>
                <w:b/>
                <w:bCs/>
                <w:color w:val="auto"/>
                <w:kern w:val="0"/>
                <w:sz w:val="21"/>
                <w:szCs w:val="21"/>
                <w:highlight w:val="none"/>
                <w:lang w:val="en-US" w:eastAsia="zh-CN"/>
              </w:rPr>
              <w:t>30</w:t>
            </w:r>
            <w:r>
              <w:rPr>
                <w:rFonts w:hint="eastAsia" w:ascii="宋体" w:hAnsi="宋体" w:cs="宋体"/>
                <w:b/>
                <w:bCs/>
                <w:color w:val="auto"/>
                <w:kern w:val="0"/>
                <w:sz w:val="21"/>
                <w:szCs w:val="21"/>
                <w:highlight w:val="none"/>
                <w:lang w:eastAsia="zh-CN"/>
              </w:rPr>
              <w:t>分</w:t>
            </w:r>
            <w:r>
              <w:rPr>
                <w:rFonts w:hint="eastAsia" w:ascii="宋体" w:hAnsi="宋体" w:eastAsia="宋体" w:cs="宋体"/>
                <w:b/>
                <w:bCs/>
                <w:color w:val="auto"/>
                <w:sz w:val="21"/>
                <w:szCs w:val="21"/>
                <w:highlight w:val="none"/>
              </w:rPr>
              <w:t>(北京时间)</w:t>
            </w:r>
          </w:p>
        </w:tc>
      </w:tr>
      <w:tr w14:paraId="5C6EC5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9028" w:type="dxa"/>
            <w:gridSpan w:val="3"/>
            <w:vAlign w:val="center"/>
          </w:tcPr>
          <w:p w14:paraId="75536996">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三、响应文件的编写</w:t>
            </w:r>
          </w:p>
        </w:tc>
      </w:tr>
      <w:tr w14:paraId="711E6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1847" w:type="dxa"/>
            <w:vAlign w:val="center"/>
          </w:tcPr>
          <w:p w14:paraId="446BB594">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第二章第16.4款</w:t>
            </w:r>
          </w:p>
        </w:tc>
        <w:tc>
          <w:tcPr>
            <w:tcW w:w="1988" w:type="dxa"/>
            <w:vAlign w:val="center"/>
          </w:tcPr>
          <w:p w14:paraId="1312C92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采购项目预算</w:t>
            </w:r>
          </w:p>
        </w:tc>
        <w:tc>
          <w:tcPr>
            <w:tcW w:w="5193" w:type="dxa"/>
            <w:vAlign w:val="center"/>
          </w:tcPr>
          <w:p w14:paraId="2BD99951">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本项目采购总预算为</w:t>
            </w:r>
            <w:r>
              <w:rPr>
                <w:rFonts w:hint="eastAsia" w:ascii="宋体" w:hAnsi="宋体" w:cs="宋体"/>
                <w:color w:val="auto"/>
                <w:sz w:val="21"/>
                <w:szCs w:val="21"/>
                <w:highlight w:val="none"/>
                <w:u w:val="single"/>
                <w:lang w:val="en-US" w:eastAsia="zh-CN"/>
              </w:rPr>
              <w:t>3630000.00</w:t>
            </w:r>
            <w:r>
              <w:rPr>
                <w:rFonts w:hint="eastAsia" w:ascii="宋体" w:hAnsi="宋体" w:eastAsia="宋体" w:cs="宋体"/>
                <w:color w:val="auto"/>
                <w:sz w:val="21"/>
                <w:szCs w:val="21"/>
                <w:highlight w:val="none"/>
              </w:rPr>
              <w:t>元，最高限价为</w:t>
            </w:r>
            <w:r>
              <w:rPr>
                <w:rFonts w:hint="eastAsia" w:ascii="宋体" w:hAnsi="宋体" w:cs="宋体"/>
                <w:color w:val="auto"/>
                <w:sz w:val="21"/>
                <w:szCs w:val="21"/>
                <w:highlight w:val="none"/>
                <w:u w:val="single"/>
                <w:lang w:val="en-US" w:eastAsia="zh-CN"/>
              </w:rPr>
              <w:t xml:space="preserve">     3595706.53</w:t>
            </w:r>
            <w:r>
              <w:rPr>
                <w:rFonts w:hint="eastAsia" w:ascii="宋体" w:hAnsi="宋体" w:eastAsia="宋体" w:cs="宋体"/>
                <w:color w:val="auto"/>
                <w:sz w:val="21"/>
                <w:szCs w:val="21"/>
                <w:highlight w:val="none"/>
              </w:rPr>
              <w:t>元。</w:t>
            </w:r>
          </w:p>
        </w:tc>
      </w:tr>
      <w:tr w14:paraId="48E427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5" w:hRule="atLeast"/>
          <w:jc w:val="center"/>
        </w:trPr>
        <w:tc>
          <w:tcPr>
            <w:tcW w:w="1847" w:type="dxa"/>
            <w:vAlign w:val="center"/>
          </w:tcPr>
          <w:p w14:paraId="20589F9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第二章第19.1款</w:t>
            </w:r>
          </w:p>
        </w:tc>
        <w:tc>
          <w:tcPr>
            <w:tcW w:w="1988" w:type="dxa"/>
            <w:vAlign w:val="center"/>
          </w:tcPr>
          <w:p w14:paraId="559C1E1C">
            <w:pPr>
              <w:pageBreakBefore w:val="0"/>
              <w:kinsoku/>
              <w:overflowPunct/>
              <w:topLinePunct w:val="0"/>
              <w:autoSpaceDE/>
              <w:autoSpaceDN/>
              <w:bidi w:val="0"/>
              <w:adjustRightInd/>
              <w:snapToGrid/>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磋商保证金</w:t>
            </w:r>
          </w:p>
        </w:tc>
        <w:tc>
          <w:tcPr>
            <w:tcW w:w="5193" w:type="dxa"/>
            <w:vAlign w:val="center"/>
          </w:tcPr>
          <w:p w14:paraId="670BCDC6">
            <w:pPr>
              <w:pageBreakBefore w:val="0"/>
              <w:kinsoku/>
              <w:wordWrap w:val="0"/>
              <w:overflowPunct/>
              <w:topLinePunct w:val="0"/>
              <w:autoSpaceDE/>
              <w:autoSpaceDN/>
              <w:bidi w:val="0"/>
              <w:adjustRightInd/>
              <w:snapToGrid/>
              <w:spacing w:line="240" w:lineRule="auto"/>
              <w:ind w:left="0" w:leftChars="0"/>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val="en-US" w:eastAsia="zh-CN"/>
              </w:rPr>
              <w:t>不要求</w:t>
            </w:r>
          </w:p>
        </w:tc>
      </w:tr>
      <w:tr w14:paraId="6C68A5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1847" w:type="dxa"/>
            <w:vAlign w:val="center"/>
          </w:tcPr>
          <w:p w14:paraId="275BC98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第二章第20.1款</w:t>
            </w:r>
          </w:p>
        </w:tc>
        <w:tc>
          <w:tcPr>
            <w:tcW w:w="1988" w:type="dxa"/>
            <w:vAlign w:val="center"/>
          </w:tcPr>
          <w:p w14:paraId="26C8EDA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响应文件有效期</w:t>
            </w:r>
          </w:p>
        </w:tc>
        <w:tc>
          <w:tcPr>
            <w:tcW w:w="5193" w:type="dxa"/>
            <w:vAlign w:val="center"/>
          </w:tcPr>
          <w:p w14:paraId="2E480CB6">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90</w:t>
            </w:r>
            <w:r>
              <w:rPr>
                <w:rFonts w:hint="eastAsia" w:ascii="宋体" w:hAnsi="宋体" w:eastAsia="宋体" w:cs="宋体"/>
                <w:color w:val="auto"/>
                <w:sz w:val="21"/>
                <w:szCs w:val="21"/>
                <w:highlight w:val="none"/>
              </w:rPr>
              <w:t>日（日历日）</w:t>
            </w:r>
          </w:p>
        </w:tc>
      </w:tr>
      <w:tr w14:paraId="40A39C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7" w:hRule="atLeast"/>
          <w:jc w:val="center"/>
        </w:trPr>
        <w:tc>
          <w:tcPr>
            <w:tcW w:w="1847" w:type="dxa"/>
            <w:vAlign w:val="center"/>
          </w:tcPr>
          <w:p w14:paraId="3AD16BF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第二章第21.1款</w:t>
            </w:r>
          </w:p>
        </w:tc>
        <w:tc>
          <w:tcPr>
            <w:tcW w:w="1988" w:type="dxa"/>
            <w:vAlign w:val="center"/>
          </w:tcPr>
          <w:p w14:paraId="1BB9B0A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响应文件副本份数</w:t>
            </w:r>
          </w:p>
        </w:tc>
        <w:tc>
          <w:tcPr>
            <w:tcW w:w="5193" w:type="dxa"/>
            <w:vAlign w:val="center"/>
          </w:tcPr>
          <w:p w14:paraId="3733796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正本一份（须每页加盖公章），副本二份，</w:t>
            </w:r>
            <w:r>
              <w:rPr>
                <w:rFonts w:hint="eastAsia" w:ascii="宋体" w:hAnsi="宋体" w:eastAsia="宋体" w:cs="宋体"/>
                <w:b/>
                <w:bCs/>
                <w:color w:val="auto"/>
                <w:sz w:val="21"/>
                <w:szCs w:val="21"/>
                <w:highlight w:val="none"/>
              </w:rPr>
              <w:t>电子文档壹份</w:t>
            </w:r>
            <w:r>
              <w:rPr>
                <w:rFonts w:hint="eastAsia" w:ascii="宋体" w:hAnsi="宋体" w:eastAsia="宋体" w:cs="宋体"/>
                <w:color w:val="auto"/>
                <w:sz w:val="21"/>
                <w:szCs w:val="21"/>
                <w:highlight w:val="none"/>
              </w:rPr>
              <w:t>（电子文件须以PDF的格式存入U盘，内容与纸质投标文件的正本一致)。</w:t>
            </w:r>
          </w:p>
          <w:p w14:paraId="64ACBED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zh-CN"/>
              </w:rPr>
              <w:t>投标文件打印后均采用胶装方式装订</w:t>
            </w:r>
            <w:r>
              <w:rPr>
                <w:rFonts w:hint="eastAsia" w:ascii="宋体" w:hAnsi="宋体" w:eastAsia="宋体" w:cs="宋体"/>
                <w:b/>
                <w:color w:val="auto"/>
                <w:sz w:val="21"/>
                <w:szCs w:val="21"/>
                <w:highlight w:val="none"/>
              </w:rPr>
              <w:t>，装订应牢固、不易拆散和换页，不得采用活页装订。</w:t>
            </w:r>
          </w:p>
        </w:tc>
      </w:tr>
      <w:tr w14:paraId="52D6AF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9028" w:type="dxa"/>
            <w:gridSpan w:val="3"/>
            <w:vAlign w:val="center"/>
          </w:tcPr>
          <w:p w14:paraId="77057B6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四、响应文件的递交</w:t>
            </w:r>
          </w:p>
        </w:tc>
      </w:tr>
      <w:tr w14:paraId="1D90A6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3" w:hRule="atLeast"/>
          <w:jc w:val="center"/>
        </w:trPr>
        <w:tc>
          <w:tcPr>
            <w:tcW w:w="1847" w:type="dxa"/>
            <w:vAlign w:val="center"/>
          </w:tcPr>
          <w:p w14:paraId="033F127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第二章第22.2款</w:t>
            </w:r>
          </w:p>
        </w:tc>
        <w:tc>
          <w:tcPr>
            <w:tcW w:w="1988" w:type="dxa"/>
            <w:vAlign w:val="center"/>
          </w:tcPr>
          <w:p w14:paraId="5680B1C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封套上应载明的信息</w:t>
            </w:r>
          </w:p>
        </w:tc>
        <w:tc>
          <w:tcPr>
            <w:tcW w:w="5193" w:type="dxa"/>
            <w:vAlign w:val="center"/>
          </w:tcPr>
          <w:p w14:paraId="060A22D3">
            <w:pPr>
              <w:pageBreakBefore w:val="0"/>
              <w:kinsoku/>
              <w:overflowPunct/>
              <w:topLinePunct w:val="0"/>
              <w:autoSpaceDE/>
              <w:autoSpaceDN/>
              <w:bidi w:val="0"/>
              <w:adjustRightInd/>
              <w:snapToGrid/>
              <w:spacing w:line="240" w:lineRule="auto"/>
              <w:ind w:left="0" w:leftChars="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吉首大学“两馆”周边建筑物及环境综合提质改造项目</w:t>
            </w:r>
          </w:p>
          <w:p w14:paraId="1C03AA0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政府采购编号：</w:t>
            </w:r>
            <w:r>
              <w:rPr>
                <w:rFonts w:hint="eastAsia" w:ascii="宋体" w:hAnsi="宋体" w:cs="宋体"/>
                <w:color w:val="auto"/>
                <w:sz w:val="21"/>
                <w:szCs w:val="21"/>
                <w:highlight w:val="none"/>
                <w:u w:val="single"/>
                <w:lang w:val="en-US" w:eastAsia="zh-CN"/>
              </w:rPr>
              <w:t xml:space="preserve"> </w:t>
            </w:r>
          </w:p>
          <w:p w14:paraId="5D608ED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委托代理编号：</w:t>
            </w:r>
            <w:r>
              <w:rPr>
                <w:rFonts w:hint="eastAsia" w:ascii="宋体" w:hAnsi="宋体" w:cs="宋体"/>
                <w:color w:val="auto"/>
                <w:sz w:val="21"/>
                <w:szCs w:val="21"/>
                <w:highlight w:val="none"/>
                <w:lang w:val="en-US" w:eastAsia="zh-CN"/>
              </w:rPr>
              <w:t xml:space="preserve"> </w:t>
            </w:r>
          </w:p>
          <w:p w14:paraId="0382BDF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p w14:paraId="6D19EE9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u w:val="single"/>
              </w:rPr>
              <w:t>202</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时</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分之前不得启封</w:t>
            </w:r>
          </w:p>
        </w:tc>
      </w:tr>
      <w:tr w14:paraId="6DF9FC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847" w:type="dxa"/>
            <w:vAlign w:val="center"/>
          </w:tcPr>
          <w:p w14:paraId="67EB8B5B">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第二章第24.1款</w:t>
            </w:r>
          </w:p>
        </w:tc>
        <w:tc>
          <w:tcPr>
            <w:tcW w:w="1988" w:type="dxa"/>
            <w:vAlign w:val="center"/>
          </w:tcPr>
          <w:p w14:paraId="3A173984">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响应文件的递交地点</w:t>
            </w:r>
          </w:p>
        </w:tc>
        <w:tc>
          <w:tcPr>
            <w:tcW w:w="5193" w:type="dxa"/>
            <w:vAlign w:val="center"/>
          </w:tcPr>
          <w:p w14:paraId="3FB3214E">
            <w:pPr>
              <w:pageBreakBefore w:val="0"/>
              <w:kinsoku/>
              <w:overflowPunct/>
              <w:topLinePunct w:val="0"/>
              <w:autoSpaceDE/>
              <w:autoSpaceDN/>
              <w:bidi w:val="0"/>
              <w:adjustRightInd/>
              <w:snapToGrid/>
              <w:spacing w:line="240" w:lineRule="auto"/>
              <w:ind w:left="0" w:leftChars="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吉首大学吉首市砂子坳校区第十一教学楼（图书馆南侧旁新实验大楼）南101室</w:t>
            </w:r>
          </w:p>
        </w:tc>
      </w:tr>
      <w:tr w14:paraId="4D38CE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9028" w:type="dxa"/>
            <w:gridSpan w:val="3"/>
            <w:vAlign w:val="center"/>
          </w:tcPr>
          <w:p w14:paraId="40A1C39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五、响应文件的磋商与评审</w:t>
            </w:r>
          </w:p>
        </w:tc>
      </w:tr>
      <w:tr w14:paraId="425298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1847" w:type="dxa"/>
            <w:vAlign w:val="center"/>
          </w:tcPr>
          <w:p w14:paraId="6F6AA21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第二章第31.2款</w:t>
            </w:r>
          </w:p>
        </w:tc>
        <w:tc>
          <w:tcPr>
            <w:tcW w:w="1988" w:type="dxa"/>
            <w:vAlign w:val="center"/>
          </w:tcPr>
          <w:p w14:paraId="19C6D4F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评审因素和标准</w:t>
            </w:r>
          </w:p>
        </w:tc>
        <w:tc>
          <w:tcPr>
            <w:tcW w:w="5193" w:type="dxa"/>
            <w:vAlign w:val="center"/>
          </w:tcPr>
          <w:p w14:paraId="39A9265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详见“评审因素和标准”</w:t>
            </w:r>
          </w:p>
        </w:tc>
      </w:tr>
      <w:tr w14:paraId="759C9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1847" w:type="dxa"/>
            <w:vAlign w:val="center"/>
          </w:tcPr>
          <w:p w14:paraId="0EF1391D">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第二章第31.3款</w:t>
            </w:r>
          </w:p>
        </w:tc>
        <w:tc>
          <w:tcPr>
            <w:tcW w:w="1988" w:type="dxa"/>
            <w:vAlign w:val="center"/>
          </w:tcPr>
          <w:p w14:paraId="714C713E">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最后报价</w:t>
            </w:r>
            <w:r>
              <w:rPr>
                <w:rFonts w:hint="eastAsia" w:ascii="宋体" w:hAnsi="宋体" w:eastAsia="宋体" w:cs="宋体"/>
                <w:color w:val="auto"/>
                <w:sz w:val="21"/>
                <w:szCs w:val="21"/>
                <w:highlight w:val="none"/>
              </w:rPr>
              <w:t>调整</w:t>
            </w:r>
          </w:p>
        </w:tc>
        <w:tc>
          <w:tcPr>
            <w:tcW w:w="5193" w:type="dxa"/>
            <w:vAlign w:val="center"/>
          </w:tcPr>
          <w:p w14:paraId="205F3180">
            <w:pPr>
              <w:pageBreakBefore w:val="0"/>
              <w:numPr>
                <w:ilvl w:val="0"/>
                <w:numId w:val="1"/>
              </w:numPr>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给予小型和微型企业产品的价格给予10%-20%的扣除，用扣除后的价格参与评审，本项目具体扣除比例为</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w:t>
            </w:r>
          </w:p>
          <w:p w14:paraId="3A082A59">
            <w:pPr>
              <w:pageBreakBefore w:val="0"/>
              <w:numPr>
                <w:ilvl w:val="0"/>
                <w:numId w:val="1"/>
              </w:numPr>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残疾人福利性单位视同小型、微型企业。用扣除后的价格参与评审，本项目具体扣除比例为：</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。监狱企业、残疾人福利性单位属于小型、微型企业的，不重复享受扶持中小企业发展的优惠政策。</w:t>
            </w:r>
          </w:p>
          <w:p w14:paraId="11787396">
            <w:pPr>
              <w:pStyle w:val="44"/>
              <w:keepNext w:val="0"/>
              <w:keepLines w:val="0"/>
              <w:pageBreakBefore w:val="0"/>
              <w:widowControl w:val="0"/>
              <w:kinsoku/>
              <w:wordWrap/>
              <w:overflowPunct/>
              <w:topLinePunct w:val="0"/>
              <w:autoSpaceDE w:val="0"/>
              <w:autoSpaceDN w:val="0"/>
              <w:bidi w:val="0"/>
              <w:adjustRightInd w:val="0"/>
              <w:snapToGrid/>
              <w:spacing w:before="0" w:after="0"/>
              <w:ind w:left="0" w:leftChars="0" w:firstLine="0" w:firstLineChars="0"/>
              <w:textAlignment w:val="auto"/>
              <w:rPr>
                <w:rFonts w:hint="eastAsia"/>
                <w:color w:val="auto"/>
                <w:highlight w:val="none"/>
              </w:rPr>
            </w:pPr>
            <w:r>
              <w:rPr>
                <w:rFonts w:hint="eastAsia" w:ascii="宋体" w:hAnsi="宋体" w:cs="宋体"/>
                <w:b/>
                <w:bCs/>
                <w:color w:val="auto"/>
                <w:sz w:val="21"/>
                <w:szCs w:val="18"/>
                <w:highlight w:val="none"/>
              </w:rPr>
              <w:t>注：本项目专门面向中小企业采购</w:t>
            </w:r>
            <w:r>
              <w:rPr>
                <w:rFonts w:hint="eastAsia" w:ascii="宋体" w:hAnsi="宋体" w:cs="宋体"/>
                <w:b/>
                <w:bCs/>
                <w:color w:val="auto"/>
                <w:sz w:val="21"/>
                <w:szCs w:val="18"/>
                <w:highlight w:val="none"/>
                <w:lang w:val="en-US" w:eastAsia="zh-CN"/>
              </w:rPr>
              <w:t>（含监狱企业、残疾人福利企业）</w:t>
            </w:r>
            <w:r>
              <w:rPr>
                <w:rFonts w:hint="eastAsia" w:ascii="宋体" w:hAnsi="宋体" w:cs="宋体"/>
                <w:b/>
                <w:bCs/>
                <w:color w:val="auto"/>
                <w:sz w:val="21"/>
                <w:szCs w:val="18"/>
                <w:highlight w:val="none"/>
              </w:rPr>
              <w:t>，价格不再进行扣除。</w:t>
            </w:r>
          </w:p>
        </w:tc>
      </w:tr>
      <w:tr w14:paraId="713E8A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1847" w:type="dxa"/>
            <w:vAlign w:val="center"/>
          </w:tcPr>
          <w:p w14:paraId="2730B521">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第二章第31.5款</w:t>
            </w:r>
          </w:p>
        </w:tc>
        <w:tc>
          <w:tcPr>
            <w:tcW w:w="1988" w:type="dxa"/>
            <w:vAlign w:val="center"/>
          </w:tcPr>
          <w:p w14:paraId="1BC6B37C">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技术、商务、价格得分或总得分调整</w:t>
            </w:r>
          </w:p>
        </w:tc>
        <w:tc>
          <w:tcPr>
            <w:tcW w:w="5193" w:type="dxa"/>
            <w:vAlign w:val="center"/>
          </w:tcPr>
          <w:p w14:paraId="5AA0CF3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符合第二章第9.1款规定，按第二章第31.6款规定及本款分值调整：</w:t>
            </w:r>
          </w:p>
          <w:p w14:paraId="70CCDDB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节能产品：</w:t>
            </w:r>
          </w:p>
          <w:p w14:paraId="77C5535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技术加分＝技术分值×加分比例×（节能产品最后报价÷最后总报价）；</w:t>
            </w:r>
          </w:p>
          <w:p w14:paraId="3A1D797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价格加分＝价格分值×加分比例×（节能产品最后</w:t>
            </w:r>
          </w:p>
          <w:p w14:paraId="69ED34F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报价÷最后总报价）。</w:t>
            </w:r>
          </w:p>
          <w:p w14:paraId="4EA88C9F">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2、环境标志产品：</w:t>
            </w:r>
          </w:p>
          <w:p w14:paraId="004919D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技术加分＝技术分值×加分比例×（环境标志产品最后报价÷最后总报价）；</w:t>
            </w:r>
          </w:p>
          <w:p w14:paraId="1FA1CF2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价格加分＝价格分值×加分比例×（环境标志产品</w:t>
            </w:r>
          </w:p>
          <w:p w14:paraId="6945883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最后报价÷最后总报价）。</w:t>
            </w:r>
          </w:p>
        </w:tc>
      </w:tr>
      <w:tr w14:paraId="748E63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 w:hRule="atLeast"/>
          <w:jc w:val="center"/>
        </w:trPr>
        <w:tc>
          <w:tcPr>
            <w:tcW w:w="1847" w:type="dxa"/>
            <w:vAlign w:val="center"/>
          </w:tcPr>
          <w:p w14:paraId="328DFE83">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第二章第31.6款</w:t>
            </w:r>
          </w:p>
        </w:tc>
        <w:tc>
          <w:tcPr>
            <w:tcW w:w="1988" w:type="dxa"/>
            <w:vAlign w:val="center"/>
          </w:tcPr>
          <w:p w14:paraId="2A9F85DE">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多处或部分获得政府采购政策优惠的计算方法</w:t>
            </w:r>
          </w:p>
        </w:tc>
        <w:tc>
          <w:tcPr>
            <w:tcW w:w="5193" w:type="dxa"/>
            <w:vAlign w:val="center"/>
          </w:tcPr>
          <w:p w14:paraId="45C1E07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1、供应商投标产品具备政府采购优先采购环境标志的，标委员会评审时，对其优惠政策进行评审。</w:t>
            </w:r>
          </w:p>
          <w:p w14:paraId="39FD3DC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2、扶持中小企业发展的优惠政策可以叠加享受。</w:t>
            </w:r>
          </w:p>
          <w:p w14:paraId="70609202">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3、残疾人福利性单位属于小型、微型企业的，不重复享受扶持中小企业发展的优惠政策。</w:t>
            </w:r>
          </w:p>
          <w:p w14:paraId="6AC7083E">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按磋商文件要求提供相关的证明文件：所投产品为中小企业生产的，应如实填写并提供生产厂家的《中小企业声明函》及《提供中型、小型、微型企业产品清单》；产品属于“节能产品”或“环境标志产品”的，应如实填写并提供《提供“节能产品”、“环境标志产品”清单》并提供《节能产品政府采购清单》、《环境标志产品政府采购清单》中该产品所在页复印件。否则，磋商小组不予认可。</w:t>
            </w:r>
          </w:p>
        </w:tc>
      </w:tr>
      <w:tr w14:paraId="55891B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3" w:hRule="atLeast"/>
          <w:jc w:val="center"/>
        </w:trPr>
        <w:tc>
          <w:tcPr>
            <w:tcW w:w="9028" w:type="dxa"/>
            <w:gridSpan w:val="3"/>
            <w:vAlign w:val="center"/>
          </w:tcPr>
          <w:p w14:paraId="25A31D5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六、成交结果信息公布与授予合同</w:t>
            </w:r>
          </w:p>
        </w:tc>
      </w:tr>
      <w:tr w14:paraId="71F34B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8" w:hRule="atLeast"/>
          <w:jc w:val="center"/>
        </w:trPr>
        <w:tc>
          <w:tcPr>
            <w:tcW w:w="1847" w:type="dxa"/>
            <w:vAlign w:val="center"/>
          </w:tcPr>
          <w:p w14:paraId="2549B610">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第二章第37.1款、</w:t>
            </w:r>
          </w:p>
        </w:tc>
        <w:tc>
          <w:tcPr>
            <w:tcW w:w="1988" w:type="dxa"/>
            <w:vAlign w:val="center"/>
          </w:tcPr>
          <w:p w14:paraId="5890EC56">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财政部门指定的媒体</w:t>
            </w:r>
          </w:p>
        </w:tc>
        <w:tc>
          <w:tcPr>
            <w:tcW w:w="5193" w:type="dxa"/>
            <w:vAlign w:val="center"/>
          </w:tcPr>
          <w:p w14:paraId="7AAFD53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中国湖南政府采购网（</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HYPERLINK"http://ggzy.xiangtan.gov.cn"</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http://ggzy.xiangtan.gov.cn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w:t>
            </w:r>
          </w:p>
        </w:tc>
      </w:tr>
      <w:tr w14:paraId="55F57B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2" w:hRule="atLeast"/>
          <w:jc w:val="center"/>
        </w:trPr>
        <w:tc>
          <w:tcPr>
            <w:tcW w:w="1847" w:type="dxa"/>
            <w:vAlign w:val="center"/>
          </w:tcPr>
          <w:p w14:paraId="1FB4813A">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第二章第39.3款</w:t>
            </w:r>
          </w:p>
        </w:tc>
        <w:tc>
          <w:tcPr>
            <w:tcW w:w="1988" w:type="dxa"/>
            <w:vAlign w:val="center"/>
          </w:tcPr>
          <w:p w14:paraId="1FEC41FD">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5193" w:type="dxa"/>
            <w:vAlign w:val="center"/>
          </w:tcPr>
          <w:p w14:paraId="7A8F2C69">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■不要求提供</w:t>
            </w:r>
          </w:p>
          <w:p w14:paraId="3FC94198">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□要求提供</w:t>
            </w:r>
          </w:p>
        </w:tc>
      </w:tr>
      <w:tr w14:paraId="5AEAA1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93" w:hRule="atLeast"/>
          <w:jc w:val="center"/>
        </w:trPr>
        <w:tc>
          <w:tcPr>
            <w:tcW w:w="9028" w:type="dxa"/>
            <w:gridSpan w:val="3"/>
            <w:vAlign w:val="center"/>
          </w:tcPr>
          <w:p w14:paraId="40FA38EC">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七、其他规定</w:t>
            </w:r>
          </w:p>
        </w:tc>
      </w:tr>
      <w:tr w14:paraId="712E48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7" w:type="dxa"/>
            <w:vAlign w:val="center"/>
          </w:tcPr>
          <w:p w14:paraId="1479B045">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第二章第41.1款</w:t>
            </w:r>
          </w:p>
        </w:tc>
        <w:tc>
          <w:tcPr>
            <w:tcW w:w="1988" w:type="dxa"/>
            <w:vAlign w:val="center"/>
          </w:tcPr>
          <w:p w14:paraId="13D4EEF7">
            <w:pPr>
              <w:pageBreakBefore w:val="0"/>
              <w:kinsoku/>
              <w:overflowPunct/>
              <w:topLinePunct w:val="0"/>
              <w:autoSpaceDE/>
              <w:autoSpaceDN/>
              <w:bidi w:val="0"/>
              <w:adjustRightInd/>
              <w:snapToGrid/>
              <w:spacing w:line="240" w:lineRule="auto"/>
              <w:ind w:left="0" w:left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采购代理服务费</w:t>
            </w:r>
          </w:p>
        </w:tc>
        <w:tc>
          <w:tcPr>
            <w:tcW w:w="5193" w:type="dxa"/>
            <w:vAlign w:val="center"/>
          </w:tcPr>
          <w:p w14:paraId="069D978F">
            <w:pPr>
              <w:pStyle w:val="3"/>
              <w:pageBreakBefore w:val="0"/>
              <w:kinsoku/>
              <w:overflowPunct/>
              <w:topLinePunct w:val="0"/>
              <w:autoSpaceDE/>
              <w:autoSpaceDN/>
              <w:bidi w:val="0"/>
              <w:adjustRightInd/>
              <w:snapToGrid/>
              <w:spacing w:line="240" w:lineRule="auto"/>
              <w:ind w:left="0" w:leftChars="0"/>
              <w:rPr>
                <w:rFonts w:hint="eastAsia" w:ascii="宋体" w:hAnsi="宋体" w:eastAsia="宋体" w:cs="宋体"/>
                <w:b w:val="0"/>
                <w:bCs w:val="0"/>
                <w:color w:val="auto"/>
                <w:sz w:val="21"/>
                <w:szCs w:val="21"/>
                <w:highlight w:val="none"/>
              </w:rPr>
            </w:pPr>
            <w:bookmarkStart w:id="48" w:name="_Toc23273"/>
            <w:r>
              <w:rPr>
                <w:rFonts w:hint="eastAsia" w:ascii="宋体" w:hAnsi="宋体" w:eastAsia="宋体" w:cs="宋体"/>
                <w:b w:val="0"/>
                <w:bCs w:val="0"/>
                <w:color w:val="auto"/>
                <w:sz w:val="21"/>
                <w:szCs w:val="21"/>
                <w:highlight w:val="none"/>
              </w:rPr>
              <w:t>本项</w:t>
            </w:r>
            <w:r>
              <w:rPr>
                <w:rFonts w:hint="eastAsia" w:ascii="宋体" w:hAnsi="宋体" w:eastAsia="宋体" w:cs="宋体"/>
                <w:b w:val="0"/>
                <w:bCs w:val="0"/>
                <w:color w:val="auto"/>
                <w:sz w:val="21"/>
                <w:szCs w:val="21"/>
                <w:highlight w:val="none"/>
                <w:lang w:val="en-US" w:eastAsia="zh-CN"/>
              </w:rPr>
              <w:t>目采购代理服务费及评审费由采购人支付：最高限价</w:t>
            </w:r>
            <w:r>
              <w:rPr>
                <w:rFonts w:hint="eastAsia" w:ascii="宋体" w:hAnsi="宋体" w:cs="宋体"/>
                <w:b w:val="0"/>
                <w:bCs w:val="0"/>
                <w:color w:val="auto"/>
                <w:sz w:val="21"/>
                <w:szCs w:val="21"/>
                <w:highlight w:val="none"/>
                <w:u w:val="single"/>
                <w:lang w:val="en-US" w:eastAsia="zh-CN"/>
              </w:rPr>
              <w:t>35000.00</w:t>
            </w:r>
            <w:r>
              <w:rPr>
                <w:rFonts w:hint="eastAsia" w:ascii="宋体" w:hAnsi="宋体" w:eastAsia="宋体" w:cs="宋体"/>
                <w:b w:val="0"/>
                <w:bCs w:val="0"/>
                <w:color w:val="auto"/>
                <w:sz w:val="21"/>
                <w:szCs w:val="21"/>
                <w:highlight w:val="none"/>
                <w:lang w:val="en-US" w:eastAsia="zh-CN"/>
              </w:rPr>
              <w:t>元。</w:t>
            </w:r>
            <w:bookmarkEnd w:id="48"/>
          </w:p>
        </w:tc>
      </w:tr>
      <w:tr w14:paraId="07434D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847" w:type="dxa"/>
            <w:vAlign w:val="center"/>
          </w:tcPr>
          <w:p w14:paraId="09227ABF">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第二章第42.1款</w:t>
            </w:r>
          </w:p>
        </w:tc>
        <w:tc>
          <w:tcPr>
            <w:tcW w:w="1988" w:type="dxa"/>
            <w:vAlign w:val="center"/>
          </w:tcPr>
          <w:p w14:paraId="2761DF18">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其他规定</w:t>
            </w:r>
          </w:p>
        </w:tc>
        <w:tc>
          <w:tcPr>
            <w:tcW w:w="5193" w:type="dxa"/>
            <w:vAlign w:val="center"/>
          </w:tcPr>
          <w:p w14:paraId="4E3D9C21">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财政部关于在政府采购活动中查询及使用信用记录有关问题的通知》（财库〔2016〕125号）的规定，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54E24A2">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1、信用信息查询的查询渠道：“信用中国”网站（www.creditchina.gov.cn）、中国政府采购网（www.ccgp.gov.cn）。</w:t>
            </w:r>
          </w:p>
          <w:p w14:paraId="1657ACCC">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2、信用信息查询的截止时点：至本项目响应文件递交截止时间止。</w:t>
            </w:r>
          </w:p>
          <w:p w14:paraId="6825B776">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3、信用信息查询记录的具体方式：采购人或采购代理机构在开标时在规定的查询渠道进行查询。</w:t>
            </w:r>
          </w:p>
          <w:p w14:paraId="40CD2A20">
            <w:pPr>
              <w:keepNext w:val="0"/>
              <w:keepLines w:val="0"/>
              <w:pageBreakBefore w:val="0"/>
              <w:widowControl w:val="0"/>
              <w:kinsoku/>
              <w:wordWrap w:val="0"/>
              <w:overflowPunct/>
              <w:topLinePunct w:val="0"/>
              <w:autoSpaceDE/>
              <w:autoSpaceDN/>
              <w:bidi w:val="0"/>
              <w:adjustRightInd/>
              <w:snapToGrid/>
              <w:spacing w:line="240" w:lineRule="auto"/>
              <w:ind w:left="0" w:left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4、信用信息查询记录证据留存的具体方式：查询记录的网上打印件。</w:t>
            </w:r>
          </w:p>
        </w:tc>
      </w:tr>
      <w:tr w14:paraId="69B7D6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1" w:hRule="atLeast"/>
          <w:jc w:val="center"/>
        </w:trPr>
        <w:tc>
          <w:tcPr>
            <w:tcW w:w="1847" w:type="dxa"/>
            <w:shd w:val="clear" w:color="auto" w:fill="auto"/>
            <w:vAlign w:val="center"/>
          </w:tcPr>
          <w:p w14:paraId="2CA50E3A">
            <w:pPr>
              <w:pageBreakBefore w:val="0"/>
              <w:kinsoku/>
              <w:overflowPunct/>
              <w:topLinePunct w:val="0"/>
              <w:autoSpaceDE/>
              <w:autoSpaceDN/>
              <w:bidi w:val="0"/>
              <w:adjustRightInd/>
              <w:snapToGrid/>
              <w:spacing w:line="240" w:lineRule="auto"/>
              <w:ind w:left="0" w:leftChars="0"/>
              <w:jc w:val="center"/>
              <w:rPr>
                <w:rFonts w:hint="eastAsia" w:ascii="宋体" w:hAnsi="宋体" w:eastAsia="宋体" w:cs="宋体"/>
                <w:color w:val="auto"/>
                <w:kern w:val="2"/>
                <w:sz w:val="21"/>
                <w:szCs w:val="21"/>
                <w:highlight w:val="none"/>
                <w:lang w:val="en-US" w:eastAsia="zh-CN" w:bidi="ar-SA"/>
              </w:rPr>
            </w:pPr>
            <w:bookmarkStart w:id="49" w:name="_Toc10408"/>
            <w:bookmarkStart w:id="50" w:name="_Toc24203"/>
            <w:bookmarkStart w:id="51" w:name="_Toc21947"/>
            <w:bookmarkStart w:id="52" w:name="_Toc8358"/>
            <w:bookmarkStart w:id="53" w:name="_Toc11317"/>
            <w:r>
              <w:rPr>
                <w:rFonts w:hint="eastAsia" w:ascii="宋体" w:hAnsi="宋体" w:eastAsia="宋体" w:cs="宋体"/>
                <w:color w:val="auto"/>
                <w:sz w:val="21"/>
                <w:szCs w:val="21"/>
                <w:highlight w:val="none"/>
              </w:rPr>
              <w:t>第二章第42.1款</w:t>
            </w:r>
          </w:p>
        </w:tc>
        <w:tc>
          <w:tcPr>
            <w:tcW w:w="1988" w:type="dxa"/>
            <w:shd w:val="clear" w:color="auto" w:fill="auto"/>
            <w:vAlign w:val="center"/>
          </w:tcPr>
          <w:p w14:paraId="3B00A3E7">
            <w:pPr>
              <w:numPr>
                <w:ilvl w:val="0"/>
                <w:numId w:val="0"/>
              </w:numPr>
              <w:tabs>
                <w:tab w:val="left" w:pos="420"/>
                <w:tab w:val="left" w:pos="7560"/>
                <w:tab w:val="left" w:pos="7740"/>
                <w:tab w:val="left" w:pos="7920"/>
              </w:tabs>
              <w:adjustRightInd w:val="0"/>
              <w:snapToGrid w:val="0"/>
              <w:spacing w:line="36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highlight w:val="none"/>
                <w:lang w:val="en-US" w:eastAsia="zh-CN"/>
              </w:rPr>
              <w:t>异常低价响应审查</w:t>
            </w:r>
          </w:p>
        </w:tc>
        <w:tc>
          <w:tcPr>
            <w:tcW w:w="5193" w:type="dxa"/>
            <w:vAlign w:val="center"/>
          </w:tcPr>
          <w:p w14:paraId="1F7B56C3">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政府采购评审中出现下列情形之一的，评审委员会应当启动异常低价响应审查程序：</w:t>
            </w:r>
          </w:p>
          <w:p w14:paraId="0F2BB1E5">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1.响应报价低于全部通过符合性审查供应商响应报价平均值50%的，即响应报价&lt;全部通过符合性审查供应商响应报价平均值×50%；</w:t>
            </w:r>
          </w:p>
          <w:p w14:paraId="4DA5BF59">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2.响应报价低于通过符合性审查的次低报价供应商响应报价50%的，即响应报价&lt;通过符合性审查的次低报价供应商响应报价×50%；</w:t>
            </w:r>
          </w:p>
          <w:p w14:paraId="43EEACE3">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3.响应报价低于采购项目最高限价45%的，即响应报价&lt;采购项目最高限价×45%；</w:t>
            </w:r>
          </w:p>
          <w:p w14:paraId="37BA8B49">
            <w:pPr>
              <w:keepNext w:val="0"/>
              <w:keepLines w:val="0"/>
              <w:pageBreakBefore w:val="0"/>
              <w:widowControl w:val="0"/>
              <w:kinsoku/>
              <w:wordWrap w:val="0"/>
              <w:overflowPunct/>
              <w:topLinePunct w:val="0"/>
              <w:autoSpaceDE/>
              <w:autoSpaceDN/>
              <w:bidi w:val="0"/>
              <w:adjustRightInd/>
              <w:snapToGrid/>
              <w:spacing w:line="24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4.评审委员会基于专业判断，认为供应商报价过低，有可能影响产品质量或者不能诚信履约的其他情形。</w:t>
            </w:r>
          </w:p>
        </w:tc>
      </w:tr>
    </w:tbl>
    <w:p w14:paraId="2E468E1F">
      <w:pPr>
        <w:jc w:val="center"/>
        <w:rPr>
          <w:color w:val="auto"/>
          <w:highlight w:val="none"/>
        </w:rPr>
      </w:pPr>
      <w:r>
        <w:rPr>
          <w:rFonts w:hint="eastAsia"/>
          <w:color w:val="auto"/>
          <w:highlight w:val="none"/>
        </w:rPr>
        <w:br w:type="page"/>
      </w:r>
      <w:bookmarkEnd w:id="49"/>
      <w:bookmarkEnd w:id="50"/>
      <w:bookmarkEnd w:id="51"/>
      <w:bookmarkEnd w:id="52"/>
      <w:bookmarkEnd w:id="53"/>
      <w:bookmarkStart w:id="54" w:name="_Toc29538858"/>
      <w:bookmarkStart w:id="55" w:name="_Toc16215"/>
      <w:bookmarkStart w:id="56" w:name="_Toc22519"/>
      <w:bookmarkStart w:id="57" w:name="_Toc3451"/>
      <w:bookmarkStart w:id="58" w:name="_Toc23711"/>
      <w:bookmarkStart w:id="59" w:name="_Toc6571"/>
      <w:bookmarkStart w:id="60" w:name="_Toc10226"/>
      <w:bookmarkStart w:id="61" w:name="_Toc20409"/>
      <w:r>
        <w:rPr>
          <w:rFonts w:hint="eastAsia"/>
          <w:color w:val="auto"/>
          <w:highlight w:val="none"/>
        </w:rPr>
        <w:t>第二节</w:t>
      </w:r>
      <w:bookmarkEnd w:id="54"/>
      <w:r>
        <w:rPr>
          <w:rFonts w:hint="eastAsia"/>
          <w:color w:val="auto"/>
          <w:highlight w:val="none"/>
        </w:rPr>
        <w:t>磋商须知正文</w:t>
      </w:r>
      <w:bookmarkEnd w:id="55"/>
      <w:bookmarkEnd w:id="56"/>
      <w:bookmarkEnd w:id="57"/>
      <w:bookmarkEnd w:id="58"/>
      <w:bookmarkEnd w:id="59"/>
      <w:bookmarkEnd w:id="60"/>
      <w:bookmarkEnd w:id="61"/>
    </w:p>
    <w:p w14:paraId="268DB9D1">
      <w:pPr>
        <w:adjustRightInd w:val="0"/>
        <w:snapToGrid w:val="0"/>
        <w:spacing w:line="360" w:lineRule="auto"/>
        <w:rPr>
          <w:rFonts w:ascii="黑体" w:hAnsi="宋体" w:eastAsia="黑体"/>
          <w:color w:val="auto"/>
          <w:sz w:val="24"/>
          <w:highlight w:val="none"/>
        </w:rPr>
      </w:pPr>
      <w:r>
        <w:rPr>
          <w:rFonts w:hint="eastAsia" w:ascii="黑体" w:hAnsi="宋体" w:eastAsia="黑体"/>
          <w:color w:val="auto"/>
          <w:sz w:val="24"/>
          <w:highlight w:val="none"/>
        </w:rPr>
        <w:t>一、说明</w:t>
      </w:r>
    </w:p>
    <w:p w14:paraId="655BD941">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1.适用范围</w:t>
      </w:r>
    </w:p>
    <w:p w14:paraId="2CB90532">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1.1本磋商文件仅适用于磋商须知前附表(以下简称</w:t>
      </w:r>
      <w:r>
        <w:rPr>
          <w:rFonts w:hint="eastAsia" w:ascii="宋体" w:hAnsi="宋体"/>
          <w:b/>
          <w:color w:val="auto"/>
          <w:szCs w:val="21"/>
          <w:highlight w:val="none"/>
        </w:rPr>
        <w:t>磋商须知前附表)</w:t>
      </w:r>
      <w:r>
        <w:rPr>
          <w:rFonts w:hint="eastAsia" w:ascii="宋体" w:hAnsi="宋体"/>
          <w:color w:val="auto"/>
          <w:szCs w:val="21"/>
          <w:highlight w:val="none"/>
        </w:rPr>
        <w:t>中所叙述的采购项目。</w:t>
      </w:r>
    </w:p>
    <w:p w14:paraId="7B107CC0">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2.定义</w:t>
      </w:r>
    </w:p>
    <w:p w14:paraId="00FD6270">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2.1“采购人”是指依法进行政府采购的国家机关、事业单位、团体组织。本次政府采购的采购人名称、地址、电话、联系人见</w:t>
      </w:r>
      <w:r>
        <w:rPr>
          <w:rFonts w:hint="eastAsia" w:ascii="宋体" w:hAnsi="宋体"/>
          <w:b/>
          <w:color w:val="auto"/>
          <w:szCs w:val="21"/>
          <w:highlight w:val="none"/>
        </w:rPr>
        <w:t>磋商须知前附表</w:t>
      </w:r>
      <w:r>
        <w:rPr>
          <w:rFonts w:hint="eastAsia" w:ascii="宋体" w:hAnsi="宋体"/>
          <w:color w:val="auto"/>
          <w:szCs w:val="21"/>
          <w:highlight w:val="none"/>
        </w:rPr>
        <w:t>。</w:t>
      </w:r>
    </w:p>
    <w:p w14:paraId="08F6D5F5">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2.2“采购代理机构”是指接受采购人委托，代理采购项目的集中采购机构和其他采购代理机构。本次政府采购的采购代理机构名称、地址、电话、联系人见</w:t>
      </w:r>
      <w:r>
        <w:rPr>
          <w:rFonts w:hint="eastAsia" w:ascii="宋体" w:hAnsi="宋体"/>
          <w:b/>
          <w:color w:val="auto"/>
          <w:szCs w:val="21"/>
          <w:highlight w:val="none"/>
        </w:rPr>
        <w:t>磋商须知前附表。</w:t>
      </w:r>
    </w:p>
    <w:p w14:paraId="48DCD3B8">
      <w:pPr>
        <w:adjustRightInd w:val="0"/>
        <w:snapToGrid w:val="0"/>
        <w:spacing w:line="360" w:lineRule="auto"/>
        <w:ind w:firstLine="420" w:firstLineChars="200"/>
        <w:rPr>
          <w:rFonts w:ascii="宋体" w:hAnsi="宋体" w:cs="宋体"/>
          <w:bCs/>
          <w:color w:val="auto"/>
          <w:kern w:val="36"/>
          <w:szCs w:val="21"/>
          <w:highlight w:val="none"/>
        </w:rPr>
      </w:pPr>
      <w:r>
        <w:rPr>
          <w:rFonts w:hint="eastAsia" w:ascii="宋体" w:hAnsi="宋体"/>
          <w:color w:val="auto"/>
          <w:szCs w:val="21"/>
          <w:highlight w:val="none"/>
        </w:rPr>
        <w:t>2.3“供应商”是指响应磋商文件要求、参加竞争性磋商采购的法人、其他组织或者自然人。本次政府采购项目</w:t>
      </w:r>
      <w:r>
        <w:rPr>
          <w:rFonts w:hint="eastAsia" w:ascii="宋体" w:hAnsi="宋体" w:cs="宋体"/>
          <w:color w:val="auto"/>
          <w:kern w:val="0"/>
          <w:szCs w:val="21"/>
          <w:highlight w:val="none"/>
        </w:rPr>
        <w:t>邀请</w:t>
      </w:r>
      <w:r>
        <w:rPr>
          <w:rFonts w:hint="eastAsia" w:ascii="宋体" w:hAnsi="宋体"/>
          <w:color w:val="auto"/>
          <w:szCs w:val="21"/>
          <w:highlight w:val="none"/>
        </w:rPr>
        <w:t>的</w:t>
      </w:r>
      <w:r>
        <w:rPr>
          <w:rFonts w:hint="eastAsia" w:ascii="宋体" w:hAnsi="宋体" w:cs="宋体"/>
          <w:color w:val="auto"/>
          <w:kern w:val="0"/>
          <w:szCs w:val="21"/>
          <w:highlight w:val="none"/>
        </w:rPr>
        <w:t>供应商通过</w:t>
      </w:r>
      <w:r>
        <w:rPr>
          <w:rFonts w:hint="eastAsia" w:ascii="宋体" w:hAnsi="宋体"/>
          <w:b/>
          <w:color w:val="auto"/>
          <w:szCs w:val="21"/>
          <w:highlight w:val="none"/>
        </w:rPr>
        <w:t>磋商须知前附表</w:t>
      </w:r>
      <w:r>
        <w:rPr>
          <w:rFonts w:hint="eastAsia" w:ascii="宋体" w:hAnsi="宋体"/>
          <w:color w:val="auto"/>
          <w:szCs w:val="21"/>
          <w:highlight w:val="none"/>
        </w:rPr>
        <w:t>所述方式</w:t>
      </w:r>
      <w:r>
        <w:rPr>
          <w:rFonts w:hint="eastAsia" w:ascii="宋体" w:hAnsi="宋体" w:cs="宋体"/>
          <w:color w:val="auto"/>
          <w:kern w:val="0"/>
          <w:szCs w:val="21"/>
          <w:highlight w:val="none"/>
        </w:rPr>
        <w:t>，邀请符合资格条件的供应商提交响应文件（含资格证明资料），参与竞争性磋商采购活动。</w:t>
      </w:r>
    </w:p>
    <w:p w14:paraId="1929AFFA">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olor w:val="auto"/>
          <w:szCs w:val="21"/>
          <w:highlight w:val="none"/>
        </w:rPr>
        <w:t>2.4“磋商小组”是指</w:t>
      </w:r>
      <w:r>
        <w:rPr>
          <w:rFonts w:hint="eastAsia" w:ascii="宋体" w:hAnsi="宋体" w:cs="宋体"/>
          <w:color w:val="auto"/>
          <w:kern w:val="0"/>
          <w:szCs w:val="21"/>
          <w:highlight w:val="none"/>
        </w:rPr>
        <w:t>依据财政部</w:t>
      </w:r>
      <w:r>
        <w:rPr>
          <w:rFonts w:ascii="宋体" w:hAnsi="宋体" w:cs="宋体"/>
          <w:bCs/>
          <w:color w:val="auto"/>
          <w:kern w:val="36"/>
          <w:szCs w:val="21"/>
          <w:highlight w:val="none"/>
        </w:rPr>
        <w:t>《</w:t>
      </w:r>
      <w:r>
        <w:rPr>
          <w:rFonts w:hint="eastAsia" w:ascii="宋体" w:hAnsi="宋体" w:cs="宋体"/>
          <w:bCs/>
          <w:color w:val="auto"/>
          <w:kern w:val="36"/>
          <w:szCs w:val="21"/>
          <w:highlight w:val="none"/>
        </w:rPr>
        <w:t>政府采购竞争性磋商采购方式管理暂行办法</w:t>
      </w:r>
      <w:r>
        <w:rPr>
          <w:rFonts w:ascii="宋体" w:hAnsi="宋体" w:cs="宋体"/>
          <w:bCs/>
          <w:color w:val="auto"/>
          <w:kern w:val="36"/>
          <w:szCs w:val="21"/>
          <w:highlight w:val="none"/>
        </w:rPr>
        <w:t>》</w:t>
      </w:r>
      <w:r>
        <w:rPr>
          <w:rFonts w:hint="eastAsia" w:ascii="宋体" w:hAnsi="宋体" w:cs="宋体"/>
          <w:bCs/>
          <w:color w:val="auto"/>
          <w:kern w:val="36"/>
          <w:szCs w:val="21"/>
          <w:highlight w:val="none"/>
        </w:rPr>
        <w:t>有关规定组建，依法依规</w:t>
      </w:r>
      <w:r>
        <w:rPr>
          <w:rFonts w:hint="eastAsia" w:ascii="宋体" w:hAnsi="宋体" w:cs="宋体"/>
          <w:color w:val="auto"/>
          <w:kern w:val="0"/>
          <w:szCs w:val="21"/>
          <w:highlight w:val="none"/>
        </w:rPr>
        <w:t>履行其职责和义务的机构。</w:t>
      </w:r>
    </w:p>
    <w:p w14:paraId="217A754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2.5“货物”是指各种形态和种类的物品，包括原资料、燃料、设备、产品等，详见《政府采购品目分类目录》(</w:t>
      </w:r>
      <w:r>
        <w:rPr>
          <w:rStyle w:val="49"/>
          <w:rFonts w:hint="eastAsia" w:ascii="宋体" w:hAnsi="宋体"/>
          <w:b w:val="0"/>
          <w:color w:val="auto"/>
          <w:highlight w:val="none"/>
          <w:lang w:eastAsia="zh-CN"/>
        </w:rPr>
        <w:t>财库[2022]31号</w:t>
      </w:r>
      <w:r>
        <w:rPr>
          <w:rFonts w:hint="eastAsia" w:ascii="宋体" w:hAnsi="宋体"/>
          <w:color w:val="auto"/>
          <w:szCs w:val="21"/>
          <w:highlight w:val="none"/>
        </w:rPr>
        <w:t>)。</w:t>
      </w:r>
    </w:p>
    <w:p w14:paraId="6BD9A1E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2.6“工程”是指建设工程，包括建筑物和构筑物的新建、改建、扩建、装修、拆除、修缮等，详见《政府采购品目分类目录》(</w:t>
      </w:r>
      <w:r>
        <w:rPr>
          <w:rStyle w:val="49"/>
          <w:rFonts w:hint="eastAsia" w:ascii="宋体" w:hAnsi="宋体"/>
          <w:b w:val="0"/>
          <w:color w:val="auto"/>
          <w:highlight w:val="none"/>
          <w:lang w:eastAsia="zh-CN"/>
        </w:rPr>
        <w:t>财库[2022]31号</w:t>
      </w:r>
      <w:r>
        <w:rPr>
          <w:rFonts w:hint="eastAsia" w:ascii="宋体" w:hAnsi="宋体"/>
          <w:color w:val="auto"/>
          <w:szCs w:val="21"/>
          <w:highlight w:val="none"/>
        </w:rPr>
        <w:t>)。</w:t>
      </w:r>
    </w:p>
    <w:p w14:paraId="062A8B57">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2.7“服务”是指除货物和工程以外的其他政府采购对象，详见《政府采购品目分类目录》(</w:t>
      </w:r>
      <w:r>
        <w:rPr>
          <w:rStyle w:val="49"/>
          <w:rFonts w:hint="eastAsia" w:ascii="宋体" w:hAnsi="宋体"/>
          <w:b w:val="0"/>
          <w:color w:val="auto"/>
          <w:highlight w:val="none"/>
          <w:lang w:eastAsia="zh-CN"/>
        </w:rPr>
        <w:t>财库[2022]31号</w:t>
      </w:r>
      <w:r>
        <w:rPr>
          <w:rFonts w:hint="eastAsia" w:ascii="宋体" w:hAnsi="宋体"/>
          <w:color w:val="auto"/>
          <w:szCs w:val="21"/>
          <w:highlight w:val="none"/>
        </w:rPr>
        <w:t>)。</w:t>
      </w:r>
    </w:p>
    <w:p w14:paraId="60E251C9">
      <w:pPr>
        <w:adjustRightInd w:val="0"/>
        <w:snapToGri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2.8</w:t>
      </w:r>
      <w:r>
        <w:rPr>
          <w:rFonts w:hint="eastAsia" w:ascii="宋体" w:hAnsi="宋体"/>
          <w:color w:val="auto"/>
          <w:szCs w:val="21"/>
          <w:highlight w:val="none"/>
        </w:rPr>
        <w:t>“节能产品”或者“环保产品”是指财政部发布的《节能产品政府采购清单》或者《环境标志产品政府采购清单》的产品。</w:t>
      </w:r>
    </w:p>
    <w:p w14:paraId="02D46680">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olor w:val="auto"/>
          <w:szCs w:val="21"/>
          <w:highlight w:val="none"/>
        </w:rPr>
        <w:t>2.9</w:t>
      </w:r>
      <w:r>
        <w:rPr>
          <w:rFonts w:hint="eastAsia" w:ascii="宋体" w:hAnsi="宋体" w:cs="宋体"/>
          <w:color w:val="auto"/>
          <w:kern w:val="0"/>
          <w:szCs w:val="21"/>
          <w:highlight w:val="none"/>
        </w:rPr>
        <w:t>“进口产品”是指通过中国海关报关验放进入中国境内且产自关境外的产品，详见《</w:t>
      </w:r>
      <w:r>
        <w:rPr>
          <w:rFonts w:ascii="宋体" w:hAnsi="宋体" w:cs="宋体"/>
          <w:color w:val="auto"/>
          <w:kern w:val="0"/>
          <w:szCs w:val="21"/>
          <w:highlight w:val="none"/>
        </w:rPr>
        <w:t>关于政府采购进口产品管理有关问题的通知</w:t>
      </w:r>
      <w:r>
        <w:rPr>
          <w:rFonts w:hint="eastAsia" w:ascii="宋体" w:hAnsi="宋体" w:cs="宋体"/>
          <w:color w:val="auto"/>
          <w:kern w:val="0"/>
          <w:szCs w:val="21"/>
          <w:highlight w:val="none"/>
        </w:rPr>
        <w:t>》(财库[2007]119号)。</w:t>
      </w:r>
    </w:p>
    <w:p w14:paraId="451F61D3">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3.供应商的资格要求</w:t>
      </w:r>
    </w:p>
    <w:p w14:paraId="651DE2C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3.1供应商应当符合</w:t>
      </w:r>
      <w:r>
        <w:rPr>
          <w:rFonts w:hint="eastAsia" w:ascii="宋体" w:hAnsi="宋体"/>
          <w:b/>
          <w:color w:val="auto"/>
          <w:szCs w:val="21"/>
          <w:highlight w:val="none"/>
        </w:rPr>
        <w:t>磋商须知前附表</w:t>
      </w:r>
      <w:r>
        <w:rPr>
          <w:rFonts w:hint="eastAsia" w:ascii="宋体" w:hAnsi="宋体"/>
          <w:color w:val="auto"/>
          <w:szCs w:val="21"/>
          <w:highlight w:val="none"/>
        </w:rPr>
        <w:t>中规定的资格条件要求。</w:t>
      </w:r>
    </w:p>
    <w:p w14:paraId="50C42AF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3.2供应商不得存在下列情形之一：</w:t>
      </w:r>
    </w:p>
    <w:p w14:paraId="4A3F50D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（l）与采购人、采购代理机构存在</w:t>
      </w:r>
      <w:r>
        <w:rPr>
          <w:rFonts w:hint="eastAsia" w:ascii="宋体" w:hAnsi="宋体"/>
          <w:bCs/>
          <w:color w:val="auto"/>
          <w:szCs w:val="21"/>
          <w:highlight w:val="none"/>
        </w:rPr>
        <w:t>隶属关系或者其他利害关系</w:t>
      </w:r>
      <w:r>
        <w:rPr>
          <w:rFonts w:hint="eastAsia" w:ascii="宋体" w:hAnsi="宋体"/>
          <w:color w:val="auto"/>
          <w:szCs w:val="21"/>
          <w:highlight w:val="none"/>
        </w:rPr>
        <w:t>。</w:t>
      </w:r>
    </w:p>
    <w:p w14:paraId="4EA78004">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（2）与其他供应商的法定代表人（或者负责人）为同一人，或者与其他供应商存在直接控股、管理关系。</w:t>
      </w:r>
    </w:p>
    <w:p w14:paraId="4D76ACF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w:t>
      </w:r>
      <w:r>
        <w:rPr>
          <w:rFonts w:hint="eastAsia" w:ascii="宋体" w:hAnsi="宋体"/>
          <w:bCs/>
          <w:color w:val="auto"/>
          <w:szCs w:val="21"/>
          <w:highlight w:val="none"/>
        </w:rPr>
        <w:t>受到刑事处罚，或者受到</w:t>
      </w:r>
      <w:r>
        <w:rPr>
          <w:rFonts w:hint="eastAsia" w:ascii="宋体" w:hAnsi="宋体" w:cs="宋体"/>
          <w:color w:val="auto"/>
          <w:kern w:val="0"/>
          <w:szCs w:val="21"/>
          <w:highlight w:val="none"/>
          <w:lang w:val="zh-CN"/>
        </w:rPr>
        <w:t>较大数额罚款（较大数额罚款”认定为200万元以上的罚款，法律、行政法规以及国务院有关部门明确规定相关领域“较大数额罚款”标准高于200万元的，从其规定。）、</w:t>
      </w:r>
      <w:r>
        <w:rPr>
          <w:rFonts w:hint="eastAsia" w:ascii="宋体" w:hAnsi="宋体"/>
          <w:bCs/>
          <w:color w:val="auto"/>
          <w:szCs w:val="21"/>
          <w:highlight w:val="none"/>
        </w:rPr>
        <w:t>责令停产停业、在一至三年内禁止参加政府采购活动、暂扣或者吊销许可证、暂扣或者吊销执照等情形之一的行政处罚，或者存在</w:t>
      </w:r>
      <w:r>
        <w:rPr>
          <w:rFonts w:hint="eastAsia" w:ascii="宋体" w:hAnsi="宋体"/>
          <w:color w:val="auto"/>
          <w:szCs w:val="21"/>
          <w:highlight w:val="none"/>
        </w:rPr>
        <w:t>财政部门认定的其他重大违法记录。</w:t>
      </w:r>
    </w:p>
    <w:p w14:paraId="118FA4CB">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4.参与磋商的费用</w:t>
      </w:r>
    </w:p>
    <w:p w14:paraId="61C7C81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4.1无论磋商的结果如何，供应商应自行承担所有与竞争性磋商采购活动有关的全部费用。</w:t>
      </w:r>
    </w:p>
    <w:p w14:paraId="47D412E7">
      <w:pPr>
        <w:pStyle w:val="25"/>
        <w:adjustRightInd w:val="0"/>
        <w:snapToGrid w:val="0"/>
        <w:spacing w:line="360" w:lineRule="auto"/>
        <w:rPr>
          <w:rFonts w:hAnsi="宋体"/>
          <w:b/>
          <w:bCs/>
          <w:color w:val="auto"/>
          <w:highlight w:val="none"/>
        </w:rPr>
      </w:pPr>
      <w:r>
        <w:rPr>
          <w:rFonts w:hint="eastAsia" w:hAnsi="宋体"/>
          <w:b/>
          <w:color w:val="auto"/>
          <w:highlight w:val="none"/>
        </w:rPr>
        <w:t>5．</w:t>
      </w:r>
      <w:r>
        <w:rPr>
          <w:rFonts w:hint="eastAsia" w:hAnsi="宋体"/>
          <w:b/>
          <w:bCs/>
          <w:color w:val="auto"/>
          <w:highlight w:val="none"/>
        </w:rPr>
        <w:t>授权委托</w:t>
      </w:r>
    </w:p>
    <w:p w14:paraId="3C42DB24">
      <w:pPr>
        <w:pStyle w:val="25"/>
        <w:adjustRightInd w:val="0"/>
        <w:snapToGrid w:val="0"/>
        <w:spacing w:line="360" w:lineRule="auto"/>
        <w:ind w:firstLine="420" w:firstLineChars="200"/>
        <w:rPr>
          <w:rFonts w:hAnsi="宋体" w:cs="宋体"/>
          <w:color w:val="auto"/>
          <w:highlight w:val="none"/>
        </w:rPr>
      </w:pPr>
      <w:r>
        <w:rPr>
          <w:rFonts w:hint="eastAsia" w:hAnsi="宋体"/>
          <w:color w:val="auto"/>
          <w:highlight w:val="none"/>
        </w:rPr>
        <w:t>5.1供应商代表为供应商法定代表人的，应持有法定代表人身份证明。供应商代表不是供应商法定代表人的，应持有法定代表人授权书，并附法定代表人身份证明。</w:t>
      </w:r>
      <w:r>
        <w:rPr>
          <w:rFonts w:hint="eastAsia" w:hAnsi="宋体" w:cs="宋体"/>
          <w:color w:val="auto"/>
          <w:highlight w:val="none"/>
        </w:rPr>
        <w:t>请供应商的法人代表（或授权代表）凭法人证明（或授权委托书原件）及身份证原件准时参加磋商会议，否则，其磋商响应文件将被拒绝</w:t>
      </w:r>
      <w:r>
        <w:rPr>
          <w:rFonts w:hint="eastAsia" w:hAnsi="宋体"/>
          <w:color w:val="auto"/>
          <w:highlight w:val="none"/>
        </w:rPr>
        <w:t>。</w:t>
      </w:r>
    </w:p>
    <w:p w14:paraId="0C96439A">
      <w:pPr>
        <w:pStyle w:val="25"/>
        <w:adjustRightInd w:val="0"/>
        <w:snapToGrid w:val="0"/>
        <w:spacing w:line="360" w:lineRule="auto"/>
        <w:rPr>
          <w:rFonts w:hAnsi="宋体"/>
          <w:b/>
          <w:color w:val="auto"/>
          <w:highlight w:val="none"/>
        </w:rPr>
      </w:pPr>
      <w:r>
        <w:rPr>
          <w:rFonts w:hint="eastAsia" w:hAnsi="宋体"/>
          <w:b/>
          <w:color w:val="auto"/>
          <w:highlight w:val="none"/>
        </w:rPr>
        <w:t>6．联合体形式</w:t>
      </w:r>
    </w:p>
    <w:p w14:paraId="40C31887">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6.1除</w:t>
      </w:r>
      <w:r>
        <w:rPr>
          <w:rFonts w:hint="eastAsia" w:hAnsi="宋体"/>
          <w:b/>
          <w:color w:val="auto"/>
          <w:highlight w:val="none"/>
        </w:rPr>
        <w:t>磋商须知前附表</w:t>
      </w:r>
      <w:r>
        <w:rPr>
          <w:rFonts w:hint="eastAsia" w:hAnsi="宋体"/>
          <w:color w:val="auto"/>
          <w:highlight w:val="none"/>
        </w:rPr>
        <w:t>中另有规定，本次磋商采购不接受为联合体形式的供应商。</w:t>
      </w:r>
    </w:p>
    <w:p w14:paraId="0FEC68CB">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6.2供应商</w:t>
      </w:r>
      <w:r>
        <w:rPr>
          <w:rFonts w:hint="eastAsia" w:hAnsi="宋体"/>
          <w:color w:val="auto"/>
          <w:highlight w:val="none"/>
        </w:rPr>
        <w:t>为联合体形式的</w:t>
      </w:r>
      <w:r>
        <w:rPr>
          <w:rFonts w:hint="eastAsia" w:ascii="宋体" w:hAnsi="宋体"/>
          <w:color w:val="auto"/>
          <w:szCs w:val="21"/>
          <w:highlight w:val="none"/>
        </w:rPr>
        <w:t>，除应符合本章第3条规定外，还应遵守以下规定：</w:t>
      </w:r>
    </w:p>
    <w:p w14:paraId="03A59F90">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（l）联合体各方必须签订联合体协议书，明确联合体牵头人和各方的义务、工作、合同工作量比例；</w:t>
      </w:r>
    </w:p>
    <w:p w14:paraId="6321F189">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（2）联合体各方均应当符合本章第3.1</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规定的供应商基本资格条件；</w:t>
      </w:r>
    </w:p>
    <w:p w14:paraId="3B3212DB">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highlight w:val="none"/>
        </w:rPr>
        <w:t>除</w:t>
      </w:r>
      <w:r>
        <w:rPr>
          <w:rFonts w:hint="eastAsia" w:ascii="宋体" w:hAnsi="宋体"/>
          <w:b/>
          <w:color w:val="auto"/>
          <w:highlight w:val="none"/>
        </w:rPr>
        <w:t>磋商须知前附表</w:t>
      </w:r>
      <w:r>
        <w:rPr>
          <w:rFonts w:hint="eastAsia" w:ascii="宋体" w:hAnsi="宋体"/>
          <w:color w:val="auto"/>
          <w:highlight w:val="none"/>
        </w:rPr>
        <w:t>中另有规定，</w:t>
      </w:r>
      <w:r>
        <w:rPr>
          <w:rFonts w:hint="eastAsia" w:ascii="宋体" w:hAnsi="宋体"/>
          <w:color w:val="auto"/>
          <w:szCs w:val="21"/>
          <w:highlight w:val="none"/>
        </w:rPr>
        <w:t>联合体各方中至少有一方应当符合本章第3.1</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规定的供应商特定资格条件；</w:t>
      </w:r>
    </w:p>
    <w:p w14:paraId="52351093">
      <w:pPr>
        <w:adjustRightInd w:val="0"/>
        <w:snapToGrid w:val="0"/>
        <w:spacing w:line="360" w:lineRule="auto"/>
        <w:ind w:firstLine="420" w:firstLineChars="200"/>
        <w:jc w:val="left"/>
        <w:rPr>
          <w:rFonts w:ascii="宋体" w:hAnsi="宋体" w:cs="宋体"/>
          <w:color w:val="auto"/>
          <w:kern w:val="0"/>
          <w:szCs w:val="21"/>
          <w:highlight w:val="none"/>
          <w:lang w:val="zh-CN"/>
        </w:rPr>
      </w:pPr>
      <w:r>
        <w:rPr>
          <w:rFonts w:hint="eastAsia" w:ascii="宋体" w:hAnsi="宋体"/>
          <w:color w:val="auto"/>
          <w:szCs w:val="21"/>
          <w:highlight w:val="none"/>
        </w:rPr>
        <w:t>（4）</w:t>
      </w:r>
      <w:r>
        <w:rPr>
          <w:rFonts w:hint="eastAsia" w:ascii="宋体" w:hAnsi="宋体" w:cs="宋体"/>
          <w:color w:val="auto"/>
          <w:kern w:val="0"/>
          <w:szCs w:val="21"/>
          <w:highlight w:val="none"/>
          <w:lang w:val="zh-CN"/>
        </w:rPr>
        <w:t>联合体各方不得再单独或与其他供应商组成新的联合体参加同一项目的采购活动。</w:t>
      </w:r>
    </w:p>
    <w:p w14:paraId="2C8C442C">
      <w:pPr>
        <w:adjustRightInd w:val="0"/>
        <w:snapToGrid w:val="0"/>
        <w:spacing w:line="360" w:lineRule="auto"/>
        <w:rPr>
          <w:rFonts w:ascii="宋体" w:hAnsi="宋体"/>
          <w:b/>
          <w:color w:val="auto"/>
          <w:szCs w:val="21"/>
          <w:highlight w:val="none"/>
        </w:rPr>
      </w:pPr>
      <w:r>
        <w:rPr>
          <w:rFonts w:hint="eastAsia" w:ascii="宋体" w:hAnsi="宋体"/>
          <w:b/>
          <w:color w:val="auto"/>
          <w:szCs w:val="21"/>
          <w:highlight w:val="none"/>
        </w:rPr>
        <w:t>7.现场勘察</w:t>
      </w:r>
    </w:p>
    <w:p w14:paraId="1653409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7.1供应商应按</w:t>
      </w:r>
      <w:r>
        <w:rPr>
          <w:rFonts w:hint="eastAsia" w:hAnsi="宋体"/>
          <w:b/>
          <w:color w:val="auto"/>
          <w:highlight w:val="none"/>
        </w:rPr>
        <w:t>磋商须知前附表</w:t>
      </w:r>
      <w:r>
        <w:rPr>
          <w:rFonts w:hint="eastAsia" w:hAnsi="宋体"/>
          <w:color w:val="auto"/>
          <w:highlight w:val="none"/>
        </w:rPr>
        <w:t>中规定</w:t>
      </w:r>
      <w:r>
        <w:rPr>
          <w:rFonts w:hint="eastAsia" w:ascii="宋体" w:hAnsi="宋体"/>
          <w:color w:val="auto"/>
          <w:szCs w:val="21"/>
          <w:highlight w:val="none"/>
        </w:rPr>
        <w:t>对采购项目现场和周围环境的现场考察。</w:t>
      </w:r>
    </w:p>
    <w:p w14:paraId="23426E2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7.2勘查现场的费用由供应商自己承担，勘察期间所发生的人身伤害及财产损失由供应商自己负责。</w:t>
      </w:r>
    </w:p>
    <w:p w14:paraId="2807A017">
      <w:pPr>
        <w:adjustRightInd w:val="0"/>
        <w:snapToGrid w:val="0"/>
        <w:spacing w:line="360" w:lineRule="auto"/>
        <w:ind w:firstLine="420" w:firstLineChars="200"/>
        <w:jc w:val="left"/>
        <w:rPr>
          <w:rFonts w:ascii="宋体" w:hAnsi="宋体"/>
          <w:b/>
          <w:color w:val="auto"/>
          <w:szCs w:val="21"/>
          <w:highlight w:val="none"/>
        </w:rPr>
      </w:pPr>
      <w:r>
        <w:rPr>
          <w:rFonts w:hint="eastAsia" w:ascii="宋体" w:hAnsi="宋体"/>
          <w:color w:val="auto"/>
          <w:szCs w:val="21"/>
          <w:highlight w:val="none"/>
        </w:rPr>
        <w:t>7.3采购人不对供应商据此而做出的推论、理解和结论负责。一旦成交，供应商不得以任何借口，提出额外补偿，或延长合同期限的要求。</w:t>
      </w:r>
    </w:p>
    <w:p w14:paraId="3372EA77">
      <w:pPr>
        <w:adjustRightInd w:val="0"/>
        <w:snapToGrid w:val="0"/>
        <w:spacing w:line="360" w:lineRule="auto"/>
        <w:jc w:val="left"/>
        <w:rPr>
          <w:rFonts w:ascii="宋体" w:hAnsi="宋体"/>
          <w:b/>
          <w:color w:val="auto"/>
          <w:szCs w:val="21"/>
          <w:highlight w:val="none"/>
        </w:rPr>
      </w:pPr>
      <w:r>
        <w:rPr>
          <w:rFonts w:hint="eastAsia" w:ascii="宋体" w:hAnsi="宋体"/>
          <w:b/>
          <w:color w:val="auto"/>
          <w:szCs w:val="21"/>
          <w:highlight w:val="none"/>
        </w:rPr>
        <w:t>8.采购进口产品</w:t>
      </w:r>
    </w:p>
    <w:p w14:paraId="43EB27EC">
      <w:pPr>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olor w:val="auto"/>
          <w:szCs w:val="21"/>
          <w:highlight w:val="none"/>
        </w:rPr>
        <w:t>8.1除</w:t>
      </w:r>
      <w:r>
        <w:rPr>
          <w:rFonts w:hint="eastAsia" w:ascii="宋体" w:hAnsi="宋体"/>
          <w:b/>
          <w:color w:val="auto"/>
          <w:szCs w:val="21"/>
          <w:highlight w:val="none"/>
        </w:rPr>
        <w:t>磋商文件前附表</w:t>
      </w:r>
      <w:r>
        <w:rPr>
          <w:rFonts w:hint="eastAsia" w:ascii="宋体" w:hAnsi="宋体"/>
          <w:color w:val="auto"/>
          <w:szCs w:val="21"/>
          <w:highlight w:val="none"/>
        </w:rPr>
        <w:t>另有规定外，本项目</w:t>
      </w:r>
      <w:r>
        <w:rPr>
          <w:rFonts w:hint="eastAsia" w:ascii="宋体" w:hAnsi="宋体" w:cs="宋体"/>
          <w:color w:val="auto"/>
          <w:kern w:val="0"/>
          <w:szCs w:val="21"/>
          <w:highlight w:val="none"/>
        </w:rPr>
        <w:t>拒绝进口产品参加</w:t>
      </w:r>
      <w:r>
        <w:rPr>
          <w:rFonts w:hint="eastAsia" w:ascii="宋体" w:hAnsi="宋体"/>
          <w:color w:val="auto"/>
          <w:szCs w:val="21"/>
          <w:highlight w:val="none"/>
        </w:rPr>
        <w:t>竞争性磋商采购活动</w:t>
      </w:r>
      <w:r>
        <w:rPr>
          <w:rFonts w:hint="eastAsia" w:ascii="宋体" w:hAnsi="宋体" w:cs="宋体"/>
          <w:color w:val="auto"/>
          <w:kern w:val="0"/>
          <w:szCs w:val="21"/>
          <w:highlight w:val="none"/>
        </w:rPr>
        <w:t>。</w:t>
      </w:r>
    </w:p>
    <w:p w14:paraId="0E0C8078">
      <w:pPr>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8.2</w:t>
      </w:r>
      <w:r>
        <w:rPr>
          <w:rFonts w:hint="eastAsia" w:ascii="宋体" w:hAnsi="宋体"/>
          <w:color w:val="auto"/>
          <w:szCs w:val="21"/>
          <w:highlight w:val="none"/>
        </w:rPr>
        <w:t>本章第7.1</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w:t>
      </w:r>
      <w:r>
        <w:rPr>
          <w:rFonts w:ascii="宋体" w:hAnsi="宋体" w:cs="宋体"/>
          <w:color w:val="auto"/>
          <w:kern w:val="0"/>
          <w:szCs w:val="21"/>
          <w:highlight w:val="none"/>
        </w:rPr>
        <w:t>同意购买进口产品的</w:t>
      </w:r>
      <w:r>
        <w:rPr>
          <w:rFonts w:hint="eastAsia" w:ascii="宋体" w:hAnsi="宋体" w:cs="宋体"/>
          <w:color w:val="auto"/>
          <w:kern w:val="0"/>
          <w:szCs w:val="21"/>
          <w:highlight w:val="none"/>
        </w:rPr>
        <w:t>，</w:t>
      </w:r>
      <w:r>
        <w:rPr>
          <w:rFonts w:hint="eastAsia" w:ascii="宋体" w:hAnsi="宋体"/>
          <w:color w:val="auto"/>
          <w:szCs w:val="21"/>
          <w:highlight w:val="none"/>
        </w:rPr>
        <w:t>本项目</w:t>
      </w:r>
      <w:r>
        <w:rPr>
          <w:rFonts w:hint="eastAsia" w:ascii="宋体" w:hAnsi="宋体" w:cs="宋体"/>
          <w:color w:val="auto"/>
          <w:kern w:val="0"/>
          <w:szCs w:val="21"/>
          <w:highlight w:val="none"/>
          <w:lang w:val="zh-CN"/>
        </w:rPr>
        <w:t>采购活动</w:t>
      </w:r>
      <w:r>
        <w:rPr>
          <w:rFonts w:hint="eastAsia" w:ascii="宋体" w:hAnsi="宋体" w:cs="宋体"/>
          <w:color w:val="auto"/>
          <w:kern w:val="0"/>
          <w:szCs w:val="21"/>
          <w:highlight w:val="none"/>
        </w:rPr>
        <w:t>不</w:t>
      </w:r>
      <w:r>
        <w:rPr>
          <w:rFonts w:ascii="宋体" w:hAnsi="宋体" w:cs="宋体"/>
          <w:color w:val="auto"/>
          <w:kern w:val="0"/>
          <w:szCs w:val="21"/>
          <w:highlight w:val="none"/>
        </w:rPr>
        <w:t>限制满足</w:t>
      </w:r>
      <w:r>
        <w:rPr>
          <w:rFonts w:hint="eastAsia" w:ascii="宋体" w:hAnsi="宋体"/>
          <w:color w:val="auto"/>
          <w:szCs w:val="21"/>
          <w:highlight w:val="none"/>
        </w:rPr>
        <w:t>磋商文件要求</w:t>
      </w:r>
      <w:r>
        <w:rPr>
          <w:rFonts w:ascii="宋体" w:hAnsi="宋体" w:cs="宋体"/>
          <w:color w:val="auto"/>
          <w:kern w:val="0"/>
          <w:szCs w:val="21"/>
          <w:highlight w:val="none"/>
        </w:rPr>
        <w:t>的国内产品参与</w:t>
      </w:r>
      <w:r>
        <w:rPr>
          <w:rFonts w:hint="eastAsia" w:ascii="宋体" w:hAnsi="宋体"/>
          <w:color w:val="auto"/>
          <w:szCs w:val="21"/>
          <w:highlight w:val="none"/>
        </w:rPr>
        <w:t>竞争性磋商</w:t>
      </w:r>
      <w:r>
        <w:rPr>
          <w:rFonts w:ascii="宋体" w:hAnsi="宋体" w:cs="宋体"/>
          <w:color w:val="auto"/>
          <w:kern w:val="0"/>
          <w:szCs w:val="21"/>
          <w:highlight w:val="none"/>
        </w:rPr>
        <w:t>。</w:t>
      </w:r>
    </w:p>
    <w:p w14:paraId="243A7F7D">
      <w:pPr>
        <w:adjustRightInd w:val="0"/>
        <w:snapToGrid w:val="0"/>
        <w:spacing w:line="360" w:lineRule="auto"/>
        <w:jc w:val="left"/>
        <w:rPr>
          <w:rFonts w:ascii="宋体" w:hAnsi="宋体"/>
          <w:b/>
          <w:color w:val="auto"/>
          <w:szCs w:val="21"/>
          <w:highlight w:val="none"/>
        </w:rPr>
      </w:pPr>
      <w:r>
        <w:rPr>
          <w:rFonts w:hint="eastAsia" w:ascii="宋体" w:hAnsi="宋体"/>
          <w:b/>
          <w:bCs/>
          <w:color w:val="auto"/>
          <w:szCs w:val="21"/>
          <w:highlight w:val="none"/>
        </w:rPr>
        <w:t>9.</w:t>
      </w:r>
      <w:r>
        <w:rPr>
          <w:rFonts w:hint="eastAsia" w:ascii="宋体" w:hAnsi="宋体"/>
          <w:b/>
          <w:color w:val="auto"/>
          <w:szCs w:val="21"/>
          <w:highlight w:val="none"/>
        </w:rPr>
        <w:t>政府采购政策支持</w:t>
      </w:r>
    </w:p>
    <w:p w14:paraId="28A6F21B">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9.1对列入财政部、国家发展改革委发布的《节能产品政府采购清单》且属于应当“强制采购的节能产品”，按照规定实行强制采购。实行政府采购强制采购的节能产品见</w:t>
      </w:r>
      <w:r>
        <w:rPr>
          <w:rFonts w:hint="eastAsia" w:ascii="宋体" w:hAnsi="宋体" w:cs="宋体"/>
          <w:b/>
          <w:color w:val="auto"/>
          <w:kern w:val="0"/>
          <w:szCs w:val="21"/>
          <w:highlight w:val="none"/>
        </w:rPr>
        <w:t>磋商文件前附表。</w:t>
      </w:r>
    </w:p>
    <w:p w14:paraId="18D3FAFE">
      <w:pPr>
        <w:pStyle w:val="25"/>
        <w:adjustRightInd w:val="0"/>
        <w:snapToGrid w:val="0"/>
        <w:spacing w:line="360" w:lineRule="auto"/>
        <w:ind w:firstLine="420" w:firstLineChars="200"/>
        <w:rPr>
          <w:color w:val="auto"/>
          <w:highlight w:val="none"/>
        </w:rPr>
      </w:pPr>
      <w:r>
        <w:rPr>
          <w:rFonts w:hint="eastAsia" w:hAnsi="宋体" w:cs="宋体"/>
          <w:color w:val="auto"/>
          <w:kern w:val="0"/>
          <w:highlight w:val="none"/>
        </w:rPr>
        <w:t>9.2对列入财政部、国家发展改革委发布的《节能产品政府采购清单》的“非强制采购节能产品”，财政部、环境保护部发布的《环境标志产品政府采购清单》的“环境标志产品”以及中小企业，实行优先采购，按照省级以上财政部门有关政策规定，评审时进行价格扣除或加分。实行政府采购优先采购的优惠率见</w:t>
      </w:r>
      <w:r>
        <w:rPr>
          <w:rFonts w:hint="eastAsia" w:hAnsi="宋体" w:cs="宋体"/>
          <w:b/>
          <w:color w:val="auto"/>
          <w:kern w:val="0"/>
          <w:highlight w:val="none"/>
        </w:rPr>
        <w:t>磋商文件前附表。</w:t>
      </w:r>
    </w:p>
    <w:p w14:paraId="590E2DBE">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9.3产品同时属于“非强制采购节能产品”、“环境标志产品”的，评审时只有其中一项能享受优先待遇(供应商自行选择，并在报价文件中并填报相关信息及数据)；中小企业可以与同时属于“非强制采购节能产品”、“环境标志产品”中的一项重复计算。</w:t>
      </w:r>
    </w:p>
    <w:p w14:paraId="63F9CAFA">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9.4同一项目中部分产品属于优先采购政策的，评审时只对该部分产品的报价实行价格扣除及加分。</w:t>
      </w:r>
    </w:p>
    <w:p w14:paraId="3A4DD6D6">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lang w:val="en-US" w:eastAsia="zh-CN"/>
        </w:rPr>
        <w:t>5</w:t>
      </w:r>
      <w:r>
        <w:rPr>
          <w:rFonts w:hint="eastAsia" w:ascii="宋体" w:hAnsi="宋体"/>
          <w:color w:val="auto"/>
          <w:szCs w:val="21"/>
          <w:highlight w:val="none"/>
        </w:rPr>
        <w:t>符合本章第9.1</w:t>
      </w:r>
      <w:r>
        <w:rPr>
          <w:rFonts w:hint="eastAsia" w:ascii="宋体" w:hAnsi="宋体" w:cs="宋体"/>
          <w:color w:val="auto"/>
          <w:kern w:val="0"/>
          <w:szCs w:val="21"/>
          <w:highlight w:val="none"/>
          <w:lang w:val="zh-CN"/>
        </w:rPr>
        <w:t>款、</w:t>
      </w:r>
      <w:r>
        <w:rPr>
          <w:rFonts w:hint="eastAsia" w:ascii="宋体" w:hAnsi="宋体"/>
          <w:color w:val="auto"/>
          <w:szCs w:val="21"/>
          <w:highlight w:val="none"/>
        </w:rPr>
        <w:t>第9.2</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规定的，应提供相关证明资料。</w:t>
      </w:r>
    </w:p>
    <w:p w14:paraId="2B592A8F">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9.</w:t>
      </w:r>
      <w:r>
        <w:rPr>
          <w:rFonts w:hint="eastAsia" w:ascii="宋体" w:hAnsi="宋体"/>
          <w:color w:val="auto"/>
          <w:szCs w:val="21"/>
          <w:highlight w:val="none"/>
          <w:lang w:val="en-US" w:eastAsia="zh-CN"/>
        </w:rPr>
        <w:t>6</w:t>
      </w:r>
      <w:r>
        <w:rPr>
          <w:rFonts w:hint="eastAsia" w:ascii="宋体" w:hAnsi="宋体"/>
          <w:color w:val="auto"/>
          <w:szCs w:val="21"/>
          <w:highlight w:val="none"/>
        </w:rPr>
        <w:t>供应商有融资、担保需求的，具体办理流程可向</w:t>
      </w:r>
      <w:r>
        <w:rPr>
          <w:rFonts w:hint="eastAsia" w:ascii="宋体" w:hAnsi="宋体"/>
          <w:b/>
          <w:color w:val="auto"/>
          <w:szCs w:val="21"/>
          <w:highlight w:val="none"/>
        </w:rPr>
        <w:t>磋商须知前附表</w:t>
      </w:r>
      <w:r>
        <w:rPr>
          <w:rFonts w:hint="eastAsia" w:ascii="宋体" w:hAnsi="宋体"/>
          <w:color w:val="auto"/>
          <w:szCs w:val="21"/>
          <w:highlight w:val="none"/>
        </w:rPr>
        <w:t>所列金融机构和担保机构询问。</w:t>
      </w:r>
    </w:p>
    <w:p w14:paraId="0787629F">
      <w:pPr>
        <w:adjustRightInd w:val="0"/>
        <w:snapToGrid w:val="0"/>
        <w:spacing w:line="360" w:lineRule="auto"/>
        <w:ind w:left="902" w:hanging="902" w:hangingChars="376"/>
        <w:rPr>
          <w:rFonts w:ascii="黑体" w:hAnsi="宋体" w:eastAsia="黑体"/>
          <w:color w:val="auto"/>
          <w:sz w:val="24"/>
          <w:highlight w:val="none"/>
        </w:rPr>
      </w:pPr>
      <w:r>
        <w:rPr>
          <w:rFonts w:hint="eastAsia" w:ascii="黑体" w:hAnsi="宋体" w:eastAsia="黑体"/>
          <w:color w:val="auto"/>
          <w:sz w:val="24"/>
          <w:highlight w:val="none"/>
        </w:rPr>
        <w:t>二、磋商文件</w:t>
      </w:r>
    </w:p>
    <w:p w14:paraId="7FEE070C">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10．磋商文件的组成</w:t>
      </w:r>
    </w:p>
    <w:p w14:paraId="599FE04E">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10.1磋商文件由下列文件组成：</w:t>
      </w:r>
    </w:p>
    <w:p w14:paraId="5374D011">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第一章磋商邀请</w:t>
      </w:r>
    </w:p>
    <w:p w14:paraId="0A3D127E">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第二章磋商须知</w:t>
      </w:r>
    </w:p>
    <w:p w14:paraId="6A71D627">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第三章政府采购合同格式条款</w:t>
      </w:r>
    </w:p>
    <w:p w14:paraId="37B30FC5">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第四章采购需求</w:t>
      </w:r>
    </w:p>
    <w:p w14:paraId="02F37772">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第五章响应文件组成</w:t>
      </w:r>
    </w:p>
    <w:p w14:paraId="66952873">
      <w:pPr>
        <w:pStyle w:val="25"/>
        <w:adjustRightInd w:val="0"/>
        <w:snapToGrid w:val="0"/>
        <w:spacing w:line="360" w:lineRule="auto"/>
        <w:ind w:firstLine="420" w:firstLineChars="200"/>
        <w:rPr>
          <w:rFonts w:hAnsi="宋体" w:cs="宋体"/>
          <w:color w:val="auto"/>
          <w:kern w:val="0"/>
          <w:highlight w:val="none"/>
        </w:rPr>
      </w:pPr>
      <w:r>
        <w:rPr>
          <w:rFonts w:hint="eastAsia"/>
          <w:color w:val="auto"/>
          <w:highlight w:val="none"/>
        </w:rPr>
        <w:t>10.2</w:t>
      </w:r>
      <w:r>
        <w:rPr>
          <w:rFonts w:hint="eastAsia" w:hAnsi="宋体" w:cs="宋体"/>
          <w:color w:val="auto"/>
          <w:kern w:val="0"/>
          <w:highlight w:val="none"/>
        </w:rPr>
        <w:t>磋商小组根据与供应商磋商情况可能实质性变动的内容，包括采购需求中的技术、服务要求以及合同条款，</w:t>
      </w:r>
      <w:r>
        <w:rPr>
          <w:rFonts w:hint="eastAsia"/>
          <w:color w:val="auto"/>
          <w:highlight w:val="none"/>
        </w:rPr>
        <w:t>在</w:t>
      </w:r>
      <w:r>
        <w:rPr>
          <w:rFonts w:hint="eastAsia"/>
          <w:b/>
          <w:color w:val="auto"/>
          <w:highlight w:val="none"/>
        </w:rPr>
        <w:t>磋商须知前附表</w:t>
      </w:r>
      <w:r>
        <w:rPr>
          <w:rFonts w:hint="eastAsia"/>
          <w:color w:val="auto"/>
          <w:highlight w:val="none"/>
        </w:rPr>
        <w:t>中明确。</w:t>
      </w:r>
    </w:p>
    <w:p w14:paraId="7D0598F5">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10.3</w:t>
      </w:r>
      <w:r>
        <w:rPr>
          <w:rFonts w:hint="eastAsia" w:ascii="宋体" w:hAnsi="宋体"/>
          <w:color w:val="auto"/>
          <w:szCs w:val="21"/>
          <w:highlight w:val="none"/>
        </w:rPr>
        <w:t>供应商应仔细阅读</w:t>
      </w:r>
      <w:r>
        <w:rPr>
          <w:rFonts w:hint="eastAsia" w:ascii="宋体" w:hAnsi="宋体"/>
          <w:bCs/>
          <w:color w:val="auto"/>
          <w:szCs w:val="21"/>
          <w:highlight w:val="none"/>
        </w:rPr>
        <w:t>磋商</w:t>
      </w:r>
      <w:r>
        <w:rPr>
          <w:rFonts w:hint="eastAsia" w:ascii="宋体" w:hAnsi="宋体"/>
          <w:color w:val="auto"/>
          <w:szCs w:val="21"/>
          <w:highlight w:val="none"/>
        </w:rPr>
        <w:t>文件的全部内容，按照</w:t>
      </w:r>
      <w:r>
        <w:rPr>
          <w:rFonts w:hint="eastAsia" w:ascii="宋体" w:hAnsi="宋体"/>
          <w:bCs/>
          <w:color w:val="auto"/>
          <w:szCs w:val="21"/>
          <w:highlight w:val="none"/>
        </w:rPr>
        <w:t>磋商</w:t>
      </w:r>
      <w:r>
        <w:rPr>
          <w:rFonts w:hint="eastAsia" w:ascii="宋体" w:hAnsi="宋体"/>
          <w:color w:val="auto"/>
          <w:szCs w:val="21"/>
          <w:highlight w:val="none"/>
        </w:rPr>
        <w:t>文件要求编制</w:t>
      </w:r>
      <w:r>
        <w:rPr>
          <w:rFonts w:hint="eastAsia"/>
          <w:color w:val="auto"/>
          <w:szCs w:val="21"/>
          <w:highlight w:val="none"/>
        </w:rPr>
        <w:t>响应</w:t>
      </w:r>
      <w:r>
        <w:rPr>
          <w:rFonts w:hint="eastAsia" w:ascii="宋体" w:hAnsi="宋体"/>
          <w:color w:val="auto"/>
          <w:szCs w:val="21"/>
          <w:highlight w:val="none"/>
        </w:rPr>
        <w:t>文件。任何对</w:t>
      </w:r>
      <w:r>
        <w:rPr>
          <w:rFonts w:hint="eastAsia" w:ascii="宋体" w:hAnsi="宋体"/>
          <w:bCs/>
          <w:color w:val="auto"/>
          <w:szCs w:val="21"/>
          <w:highlight w:val="none"/>
        </w:rPr>
        <w:t>磋商</w:t>
      </w:r>
      <w:r>
        <w:rPr>
          <w:rFonts w:hint="eastAsia" w:ascii="宋体" w:hAnsi="宋体"/>
          <w:color w:val="auto"/>
          <w:szCs w:val="21"/>
          <w:highlight w:val="none"/>
        </w:rPr>
        <w:t>文件的忽略或误解不能作为</w:t>
      </w:r>
      <w:r>
        <w:rPr>
          <w:rFonts w:hint="eastAsia"/>
          <w:color w:val="auto"/>
          <w:szCs w:val="21"/>
          <w:highlight w:val="none"/>
        </w:rPr>
        <w:t>响应</w:t>
      </w:r>
      <w:r>
        <w:rPr>
          <w:rFonts w:hint="eastAsia" w:ascii="宋体" w:hAnsi="宋体"/>
          <w:color w:val="auto"/>
          <w:szCs w:val="21"/>
          <w:highlight w:val="none"/>
        </w:rPr>
        <w:t>文件存在缺陷或瑕疵的理由，其风险由供应商承担。</w:t>
      </w:r>
    </w:p>
    <w:p w14:paraId="27C66160">
      <w:pPr>
        <w:adjustRightInd w:val="0"/>
        <w:snapToGrid w:val="0"/>
        <w:spacing w:line="360" w:lineRule="auto"/>
        <w:rPr>
          <w:rFonts w:ascii="宋体" w:hAnsi="宋体"/>
          <w:b/>
          <w:color w:val="auto"/>
          <w:szCs w:val="21"/>
          <w:highlight w:val="none"/>
        </w:rPr>
      </w:pPr>
      <w:r>
        <w:rPr>
          <w:rFonts w:hint="eastAsia" w:ascii="宋体" w:hAnsi="宋体"/>
          <w:b/>
          <w:color w:val="auto"/>
          <w:szCs w:val="21"/>
          <w:highlight w:val="none"/>
        </w:rPr>
        <w:t>11.磋商文件的提供期限</w:t>
      </w:r>
    </w:p>
    <w:p w14:paraId="6EC03D63">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11.1磋商文件的提供期限自开始发出之日起不得少于五个工作日。具体提供期限见</w:t>
      </w:r>
      <w:r>
        <w:rPr>
          <w:rFonts w:hint="eastAsia" w:ascii="宋体" w:hAnsi="宋体"/>
          <w:b/>
          <w:color w:val="auto"/>
          <w:szCs w:val="21"/>
          <w:highlight w:val="none"/>
        </w:rPr>
        <w:t>磋商文件前附表</w:t>
      </w:r>
      <w:r>
        <w:rPr>
          <w:rFonts w:hint="eastAsia" w:ascii="宋体" w:hAnsi="宋体"/>
          <w:color w:val="auto"/>
          <w:szCs w:val="21"/>
          <w:highlight w:val="none"/>
        </w:rPr>
        <w:t>。</w:t>
      </w:r>
    </w:p>
    <w:p w14:paraId="0D13FAAB">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11.2供应商应持</w:t>
      </w:r>
      <w:r>
        <w:rPr>
          <w:rFonts w:hint="eastAsia" w:ascii="宋体" w:hAnsi="宋体"/>
          <w:b/>
          <w:color w:val="auto"/>
          <w:szCs w:val="21"/>
          <w:highlight w:val="none"/>
        </w:rPr>
        <w:t>磋商文件前附表</w:t>
      </w:r>
      <w:r>
        <w:rPr>
          <w:rFonts w:hint="eastAsia" w:ascii="宋体" w:hAnsi="宋体"/>
          <w:color w:val="auto"/>
          <w:szCs w:val="21"/>
          <w:highlight w:val="none"/>
        </w:rPr>
        <w:t>规定的资料领取磋商文件。</w:t>
      </w:r>
    </w:p>
    <w:p w14:paraId="397CAEF5">
      <w:pPr>
        <w:pStyle w:val="25"/>
        <w:adjustRightInd w:val="0"/>
        <w:snapToGrid w:val="0"/>
        <w:spacing w:line="360" w:lineRule="auto"/>
        <w:rPr>
          <w:rFonts w:hAnsi="宋体"/>
          <w:color w:val="auto"/>
          <w:highlight w:val="none"/>
        </w:rPr>
      </w:pPr>
      <w:r>
        <w:rPr>
          <w:rFonts w:hint="eastAsia" w:hAnsi="宋体"/>
          <w:b/>
          <w:color w:val="auto"/>
          <w:highlight w:val="none"/>
        </w:rPr>
        <w:t>12.</w:t>
      </w:r>
      <w:r>
        <w:rPr>
          <w:rFonts w:hint="eastAsia" w:hAnsi="宋体" w:cs="宋体"/>
          <w:b/>
          <w:color w:val="auto"/>
          <w:kern w:val="0"/>
          <w:highlight w:val="none"/>
        </w:rPr>
        <w:t>提交首次响应文件</w:t>
      </w:r>
      <w:r>
        <w:rPr>
          <w:rFonts w:hint="eastAsia" w:hAnsi="宋体"/>
          <w:b/>
          <w:color w:val="auto"/>
          <w:highlight w:val="none"/>
        </w:rPr>
        <w:t>的</w:t>
      </w:r>
      <w:r>
        <w:rPr>
          <w:rFonts w:hint="eastAsia" w:hAnsi="宋体" w:cs="宋体"/>
          <w:b/>
          <w:color w:val="auto"/>
          <w:kern w:val="0"/>
          <w:highlight w:val="none"/>
        </w:rPr>
        <w:t>截止</w:t>
      </w:r>
      <w:r>
        <w:rPr>
          <w:rFonts w:hint="eastAsia" w:hAnsi="宋体"/>
          <w:b/>
          <w:color w:val="auto"/>
          <w:highlight w:val="none"/>
        </w:rPr>
        <w:t>时间</w:t>
      </w:r>
    </w:p>
    <w:p w14:paraId="461E19FC">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12.1</w:t>
      </w:r>
      <w:r>
        <w:rPr>
          <w:rFonts w:hint="eastAsia" w:hAnsi="宋体" w:cs="宋体"/>
          <w:color w:val="auto"/>
          <w:kern w:val="0"/>
          <w:highlight w:val="none"/>
        </w:rPr>
        <w:t>供应商提交首次响应文件截止</w:t>
      </w:r>
      <w:r>
        <w:rPr>
          <w:rFonts w:hint="eastAsia" w:hAnsi="宋体"/>
          <w:color w:val="auto"/>
          <w:highlight w:val="none"/>
        </w:rPr>
        <w:t>时间见</w:t>
      </w:r>
      <w:r>
        <w:rPr>
          <w:rFonts w:hint="eastAsia" w:hAnsi="宋体"/>
          <w:b/>
          <w:color w:val="auto"/>
          <w:highlight w:val="none"/>
        </w:rPr>
        <w:t>磋商须知前附表</w:t>
      </w:r>
      <w:r>
        <w:rPr>
          <w:rFonts w:hint="eastAsia" w:hAnsi="宋体"/>
          <w:color w:val="auto"/>
          <w:highlight w:val="none"/>
        </w:rPr>
        <w:t>。</w:t>
      </w:r>
    </w:p>
    <w:p w14:paraId="65D6FF0D">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13.磋商文件的澄清</w:t>
      </w:r>
      <w:r>
        <w:rPr>
          <w:rFonts w:hint="eastAsia" w:ascii="宋体" w:hAnsi="宋体"/>
          <w:b/>
          <w:color w:val="auto"/>
          <w:kern w:val="0"/>
          <w:szCs w:val="21"/>
          <w:highlight w:val="none"/>
          <w:lang w:val="zh-CN"/>
        </w:rPr>
        <w:t>或者</w:t>
      </w:r>
      <w:r>
        <w:rPr>
          <w:rFonts w:hint="eastAsia" w:ascii="宋体" w:hAnsi="宋体"/>
          <w:b/>
          <w:bCs/>
          <w:color w:val="auto"/>
          <w:szCs w:val="21"/>
          <w:highlight w:val="none"/>
        </w:rPr>
        <w:t>修改</w:t>
      </w:r>
    </w:p>
    <w:p w14:paraId="30B4B6C1">
      <w:pPr>
        <w:adjustRightInd w:val="0"/>
        <w:snapToGrid w:val="0"/>
        <w:spacing w:line="360" w:lineRule="auto"/>
        <w:ind w:right="-105" w:rightChars="-50" w:firstLine="420" w:firstLineChars="200"/>
        <w:rPr>
          <w:rFonts w:ascii="宋体" w:hAnsi="宋体" w:cs="宋体"/>
          <w:color w:val="auto"/>
          <w:kern w:val="0"/>
          <w:szCs w:val="21"/>
          <w:highlight w:val="none"/>
        </w:rPr>
      </w:pPr>
      <w:r>
        <w:rPr>
          <w:rFonts w:hint="eastAsia" w:ascii="宋体" w:hAnsi="宋体"/>
          <w:color w:val="auto"/>
          <w:szCs w:val="21"/>
          <w:highlight w:val="none"/>
        </w:rPr>
        <w:t>13.1在</w:t>
      </w:r>
      <w:r>
        <w:rPr>
          <w:rFonts w:hint="eastAsia" w:ascii="宋体" w:hAnsi="宋体" w:cs="宋体"/>
          <w:color w:val="auto"/>
          <w:kern w:val="0"/>
          <w:szCs w:val="21"/>
          <w:highlight w:val="none"/>
        </w:rPr>
        <w:t>提交首次响应文件截止之日前，采购人、采购代理机构可以对已发出的磋商文件进行必要的澄清或者修改。</w:t>
      </w:r>
    </w:p>
    <w:p w14:paraId="2C934E4C">
      <w:pPr>
        <w:adjustRightInd w:val="0"/>
        <w:snapToGrid w:val="0"/>
        <w:spacing w:line="360" w:lineRule="auto"/>
        <w:ind w:right="-105" w:rightChars="-50" w:firstLine="420" w:firstLineChars="200"/>
        <w:rPr>
          <w:rFonts w:ascii="宋体" w:hAnsi="宋体" w:cs="宋体"/>
          <w:color w:val="auto"/>
          <w:kern w:val="0"/>
          <w:szCs w:val="21"/>
          <w:highlight w:val="none"/>
        </w:rPr>
      </w:pPr>
      <w:r>
        <w:rPr>
          <w:rFonts w:hint="eastAsia" w:ascii="宋体" w:hAnsi="宋体"/>
          <w:color w:val="auto"/>
          <w:szCs w:val="21"/>
          <w:highlight w:val="none"/>
        </w:rPr>
        <w:t>13.2</w:t>
      </w:r>
      <w:r>
        <w:rPr>
          <w:rFonts w:hint="eastAsia" w:ascii="宋体" w:hAnsi="宋体" w:cs="宋体"/>
          <w:color w:val="auto"/>
          <w:kern w:val="0"/>
          <w:szCs w:val="21"/>
          <w:highlight w:val="none"/>
        </w:rPr>
        <w:t>澄清或者修改的内容可能影响响应文件编制的，采购人、采购代理机构应当在提交首次响应文件截止之日5日前，通过网上形式通知所有接收磋商文件的供应商，不足5日的，顺延供应商提交首次响应文件截止时间。</w:t>
      </w:r>
    </w:p>
    <w:p w14:paraId="45B39C0B">
      <w:pPr>
        <w:pStyle w:val="25"/>
        <w:adjustRightInd w:val="0"/>
        <w:snapToGrid w:val="0"/>
        <w:spacing w:line="360" w:lineRule="auto"/>
        <w:ind w:firstLine="420" w:firstLineChars="200"/>
        <w:rPr>
          <w:color w:val="auto"/>
          <w:highlight w:val="none"/>
        </w:rPr>
      </w:pPr>
      <w:r>
        <w:rPr>
          <w:rFonts w:hint="eastAsia"/>
          <w:color w:val="auto"/>
          <w:highlight w:val="none"/>
        </w:rPr>
        <w:t>13.2</w:t>
      </w:r>
      <w:r>
        <w:rPr>
          <w:rFonts w:hint="eastAsia" w:hAnsi="宋体" w:cs="宋体"/>
          <w:color w:val="auto"/>
          <w:kern w:val="0"/>
          <w:highlight w:val="none"/>
        </w:rPr>
        <w:t>提交首次响应文件截止时间前对磋商文件澄清或者修改内容，为磋商文件的组成部分。</w:t>
      </w:r>
    </w:p>
    <w:p w14:paraId="5767C264">
      <w:pPr>
        <w:adjustRightInd w:val="0"/>
        <w:snapToGrid w:val="0"/>
        <w:spacing w:line="360" w:lineRule="auto"/>
        <w:ind w:left="902" w:hanging="902" w:hangingChars="376"/>
        <w:rPr>
          <w:rFonts w:ascii="黑体" w:hAnsi="宋体" w:eastAsia="黑体"/>
          <w:color w:val="auto"/>
          <w:sz w:val="24"/>
          <w:highlight w:val="none"/>
        </w:rPr>
      </w:pPr>
      <w:r>
        <w:rPr>
          <w:rFonts w:hint="eastAsia" w:ascii="黑体" w:hAnsi="宋体" w:eastAsia="黑体"/>
          <w:color w:val="auto"/>
          <w:sz w:val="24"/>
          <w:highlight w:val="none"/>
        </w:rPr>
        <w:t>三、响应文件</w:t>
      </w:r>
    </w:p>
    <w:p w14:paraId="689C0BCA">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14.一般要求</w:t>
      </w:r>
    </w:p>
    <w:p w14:paraId="46A12FE4">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14.1供应商应仔细阅读磋商文件的所有内容，按磋商文件的要求编制响应文件，并保证所提供的全部资料的真实性，以使其响应文件对磋商文件做出实质性的响应。</w:t>
      </w:r>
    </w:p>
    <w:p w14:paraId="4B36E4E9">
      <w:pPr>
        <w:adjustRightInd w:val="0"/>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14.2</w:t>
      </w:r>
      <w:r>
        <w:rPr>
          <w:rFonts w:hint="eastAsia" w:ascii="宋体" w:hAnsi="宋体"/>
          <w:color w:val="auto"/>
          <w:szCs w:val="21"/>
          <w:highlight w:val="none"/>
        </w:rPr>
        <w:t>供应商提交的响应文件及供应商与采购人或采购代理机构、磋商小组就有关磋商的所有来往函电均使用中文。供应商可以提交其它语言的资料，但应附中文注释，在有差异时以中文为准。</w:t>
      </w:r>
    </w:p>
    <w:p w14:paraId="698CC803">
      <w:pPr>
        <w:pStyle w:val="25"/>
        <w:adjustRightInd w:val="0"/>
        <w:snapToGrid w:val="0"/>
        <w:spacing w:line="360" w:lineRule="auto"/>
        <w:ind w:firstLine="420" w:firstLineChars="200"/>
        <w:rPr>
          <w:rFonts w:hAnsi="宋体"/>
          <w:color w:val="auto"/>
          <w:highlight w:val="none"/>
        </w:rPr>
      </w:pPr>
      <w:r>
        <w:rPr>
          <w:rFonts w:hint="eastAsia" w:hAnsi="宋体"/>
          <w:bCs/>
          <w:color w:val="auto"/>
          <w:highlight w:val="none"/>
        </w:rPr>
        <w:t>14.3</w:t>
      </w:r>
      <w:r>
        <w:rPr>
          <w:rFonts w:hint="eastAsia" w:hAnsi="宋体"/>
          <w:color w:val="auto"/>
          <w:highlight w:val="none"/>
        </w:rPr>
        <w:t>计量单位应使用我国法定计量单位，未列明时应默认为我国法定计量单位。</w:t>
      </w:r>
    </w:p>
    <w:p w14:paraId="074C28C1">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14.4响应文件应采用书面形式，电报、传真、电子邮件形式的响应文件概不接受。</w:t>
      </w:r>
    </w:p>
    <w:p w14:paraId="4247A61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14.5供应商应按磋商文件中提供的响应文件格式填写。</w:t>
      </w:r>
    </w:p>
    <w:p w14:paraId="02D93C28">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15.</w:t>
      </w:r>
      <w:r>
        <w:rPr>
          <w:rFonts w:hint="eastAsia" w:ascii="宋体" w:hAnsi="宋体"/>
          <w:b/>
          <w:color w:val="auto"/>
          <w:szCs w:val="21"/>
          <w:highlight w:val="none"/>
        </w:rPr>
        <w:t>响应文件</w:t>
      </w:r>
      <w:r>
        <w:rPr>
          <w:rFonts w:hint="eastAsia" w:ascii="宋体" w:hAnsi="宋体"/>
          <w:b/>
          <w:bCs/>
          <w:color w:val="auto"/>
          <w:szCs w:val="21"/>
          <w:highlight w:val="none"/>
        </w:rPr>
        <w:t>的组成</w:t>
      </w:r>
    </w:p>
    <w:p w14:paraId="2F6C46B4">
      <w:pPr>
        <w:adjustRightInd w:val="0"/>
        <w:snapToGrid w:val="0"/>
        <w:spacing w:line="360" w:lineRule="auto"/>
        <w:ind w:firstLine="420" w:firstLineChars="200"/>
        <w:jc w:val="left"/>
        <w:outlineLvl w:val="0"/>
        <w:rPr>
          <w:rFonts w:ascii="宋体" w:hAnsi="宋体"/>
          <w:color w:val="auto"/>
          <w:szCs w:val="21"/>
          <w:highlight w:val="none"/>
        </w:rPr>
      </w:pPr>
      <w:bookmarkStart w:id="62" w:name="_Toc19432"/>
      <w:r>
        <w:rPr>
          <w:rFonts w:hint="eastAsia" w:ascii="宋体" w:hAnsi="宋体"/>
          <w:color w:val="auto"/>
          <w:highlight w:val="none"/>
        </w:rPr>
        <w:t>15.1</w:t>
      </w:r>
      <w:r>
        <w:rPr>
          <w:rFonts w:hint="eastAsia" w:hAnsi="宋体"/>
          <w:color w:val="auto"/>
          <w:highlight w:val="none"/>
        </w:rPr>
        <w:t xml:space="preserve"> 响应文件包括下列内容：</w:t>
      </w:r>
      <w:bookmarkEnd w:id="62"/>
      <w:r>
        <w:rPr>
          <w:rFonts w:hint="eastAsia" w:ascii="宋体" w:hAnsi="宋体"/>
          <w:color w:val="auto"/>
          <w:szCs w:val="21"/>
          <w:highlight w:val="none"/>
        </w:rPr>
        <w:t xml:space="preserve"> </w:t>
      </w:r>
    </w:p>
    <w:p w14:paraId="2206417C">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第一章 磋商通知</w:t>
      </w:r>
    </w:p>
    <w:p w14:paraId="362C9908">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第二章 磋商须知</w:t>
      </w:r>
    </w:p>
    <w:p w14:paraId="281E94E7">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第三章 评审方法及标准</w:t>
      </w:r>
    </w:p>
    <w:p w14:paraId="6592F6F7">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第四章 政府采购合同格式条款</w:t>
      </w:r>
    </w:p>
    <w:p w14:paraId="5AC91200">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第五章 采购需求</w:t>
      </w:r>
    </w:p>
    <w:p w14:paraId="6ADC6C30">
      <w:pPr>
        <w:pStyle w:val="25"/>
        <w:adjustRightInd w:val="0"/>
        <w:snapToGrid w:val="0"/>
        <w:spacing w:line="420" w:lineRule="exact"/>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第六章 响应文件组成</w:t>
      </w:r>
    </w:p>
    <w:p w14:paraId="635BCA19">
      <w:pPr>
        <w:adjustRightInd w:val="0"/>
        <w:snapToGrid w:val="0"/>
        <w:spacing w:line="360" w:lineRule="auto"/>
        <w:ind w:firstLine="420" w:firstLineChars="200"/>
        <w:rPr>
          <w:rFonts w:hAnsi="宋体"/>
          <w:color w:val="auto"/>
          <w:highlight w:val="none"/>
        </w:rPr>
      </w:pPr>
      <w:r>
        <w:rPr>
          <w:rFonts w:hint="eastAsia" w:ascii="宋体" w:hAnsi="宋体"/>
          <w:color w:val="auto"/>
          <w:highlight w:val="none"/>
        </w:rPr>
        <w:t>15.2在磋商过程中，</w:t>
      </w:r>
      <w:r>
        <w:rPr>
          <w:rFonts w:hint="eastAsia" w:ascii="宋体" w:hAnsi="宋体"/>
          <w:color w:val="auto"/>
          <w:szCs w:val="21"/>
          <w:highlight w:val="none"/>
        </w:rPr>
        <w:t>供应商</w:t>
      </w:r>
      <w:r>
        <w:rPr>
          <w:rFonts w:hint="eastAsia" w:ascii="宋体" w:hAnsi="宋体"/>
          <w:color w:val="auto"/>
          <w:highlight w:val="none"/>
        </w:rPr>
        <w:t>根据</w:t>
      </w:r>
      <w:r>
        <w:rPr>
          <w:rFonts w:hint="eastAsia" w:ascii="宋体" w:hAnsi="宋体" w:cs="宋体"/>
          <w:color w:val="auto"/>
          <w:kern w:val="0"/>
          <w:szCs w:val="21"/>
          <w:highlight w:val="none"/>
        </w:rPr>
        <w:t>磋商小组</w:t>
      </w:r>
      <w:r>
        <w:rPr>
          <w:rFonts w:hint="eastAsia" w:ascii="宋体" w:hAnsi="宋体"/>
          <w:bCs/>
          <w:color w:val="auto"/>
          <w:szCs w:val="21"/>
          <w:highlight w:val="none"/>
        </w:rPr>
        <w:t>书面形式要求</w:t>
      </w:r>
      <w:r>
        <w:rPr>
          <w:rFonts w:hint="eastAsia" w:ascii="宋体" w:hAnsi="宋体" w:cs="宋体"/>
          <w:color w:val="auto"/>
          <w:kern w:val="0"/>
          <w:szCs w:val="21"/>
          <w:highlight w:val="none"/>
        </w:rPr>
        <w:t>提交的</w:t>
      </w:r>
      <w:r>
        <w:rPr>
          <w:rFonts w:hint="eastAsia" w:hAnsi="宋体"/>
          <w:color w:val="auto"/>
          <w:highlight w:val="none"/>
        </w:rPr>
        <w:t>最后报价(或者</w:t>
      </w:r>
      <w:r>
        <w:rPr>
          <w:rFonts w:hint="eastAsia" w:ascii="宋体" w:hAnsi="宋体"/>
          <w:bCs/>
          <w:color w:val="auto"/>
          <w:szCs w:val="21"/>
          <w:highlight w:val="none"/>
        </w:rPr>
        <w:t>重</w:t>
      </w:r>
      <w:r>
        <w:rPr>
          <w:rFonts w:hint="eastAsia" w:ascii="宋体" w:hAnsi="宋体" w:cs="宋体"/>
          <w:color w:val="auto"/>
          <w:kern w:val="0"/>
          <w:szCs w:val="21"/>
          <w:highlight w:val="none"/>
        </w:rPr>
        <w:t>新提交的响应文件和</w:t>
      </w:r>
      <w:r>
        <w:rPr>
          <w:rFonts w:hint="eastAsia" w:hAnsi="宋体"/>
          <w:color w:val="auto"/>
          <w:highlight w:val="none"/>
        </w:rPr>
        <w:t>最后报价)是</w:t>
      </w:r>
      <w:r>
        <w:rPr>
          <w:rFonts w:hint="eastAsia" w:ascii="宋体" w:hAnsi="宋体"/>
          <w:color w:val="auto"/>
          <w:szCs w:val="21"/>
          <w:highlight w:val="none"/>
        </w:rPr>
        <w:t>响应文件</w:t>
      </w:r>
      <w:r>
        <w:rPr>
          <w:rFonts w:hint="eastAsia" w:hAnsi="宋体"/>
          <w:color w:val="auto"/>
          <w:highlight w:val="none"/>
        </w:rPr>
        <w:t>的有效组成部分。</w:t>
      </w:r>
    </w:p>
    <w:p w14:paraId="00895028">
      <w:pPr>
        <w:adjustRightInd w:val="0"/>
        <w:snapToGrid w:val="0"/>
        <w:spacing w:line="360" w:lineRule="auto"/>
        <w:ind w:firstLine="420" w:firstLineChars="200"/>
        <w:rPr>
          <w:rFonts w:hAnsi="宋体"/>
          <w:b/>
          <w:color w:val="auto"/>
          <w:highlight w:val="none"/>
        </w:rPr>
      </w:pPr>
      <w:r>
        <w:rPr>
          <w:rFonts w:hint="eastAsia" w:ascii="宋体" w:hAnsi="宋体"/>
          <w:color w:val="auto"/>
          <w:highlight w:val="none"/>
        </w:rPr>
        <w:t>15.3</w:t>
      </w:r>
      <w:r>
        <w:rPr>
          <w:rFonts w:hint="eastAsia" w:ascii="宋体" w:hAnsi="宋体" w:cs="宋体"/>
          <w:color w:val="auto"/>
          <w:kern w:val="0"/>
          <w:szCs w:val="21"/>
          <w:highlight w:val="none"/>
        </w:rPr>
        <w:t>磋商文件规定可能发生实质性变动的，供应商应当在</w:t>
      </w:r>
      <w:r>
        <w:rPr>
          <w:rFonts w:hint="eastAsia" w:hAnsi="宋体"/>
          <w:color w:val="auto"/>
          <w:highlight w:val="none"/>
        </w:rPr>
        <w:t>《技术/商务响应与偏离表》中对应内容注明。</w:t>
      </w:r>
    </w:p>
    <w:p w14:paraId="0F42016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highlight w:val="none"/>
        </w:rPr>
        <w:t>15.4</w:t>
      </w:r>
      <w:r>
        <w:rPr>
          <w:rFonts w:hint="eastAsia" w:ascii="宋体" w:hAnsi="宋体"/>
          <w:color w:val="auto"/>
          <w:szCs w:val="21"/>
          <w:highlight w:val="none"/>
        </w:rPr>
        <w:t>根据《政府采购法》第四十二条的规定，供应商无论成交与否，其响应文件不予退还。</w:t>
      </w:r>
    </w:p>
    <w:p w14:paraId="0B308CFB">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16.报价</w:t>
      </w:r>
    </w:p>
    <w:p w14:paraId="02F0B2C6">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16.1供应商应当根据磋商文件要求和范围，以</w:t>
      </w:r>
      <w:r>
        <w:rPr>
          <w:rFonts w:hint="eastAsia" w:ascii="宋体" w:hAnsi="宋体"/>
          <w:bCs/>
          <w:color w:val="auto"/>
          <w:szCs w:val="21"/>
          <w:highlight w:val="none"/>
        </w:rPr>
        <w:t>人民币</w:t>
      </w:r>
      <w:r>
        <w:rPr>
          <w:rFonts w:hint="eastAsia" w:ascii="宋体" w:hAnsi="宋体"/>
          <w:color w:val="auto"/>
          <w:szCs w:val="21"/>
          <w:highlight w:val="none"/>
        </w:rPr>
        <w:t>报价，以元为单位，保留小数点后两位。</w:t>
      </w:r>
    </w:p>
    <w:p w14:paraId="43287E8B">
      <w:pPr>
        <w:pStyle w:val="121"/>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16.2供应商应按第五章响应文件组成格式填写。</w:t>
      </w:r>
    </w:p>
    <w:p w14:paraId="3635661A">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16.3响应文件中标明的价格在合同执行过程中是固定不变的，不得以任何理由予以变更。以可变动价格提交的报价将被认为是非实质响应而被拒绝。</w:t>
      </w:r>
    </w:p>
    <w:p w14:paraId="6AA9E132">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16.4</w:t>
      </w:r>
      <w:r>
        <w:rPr>
          <w:rFonts w:hint="eastAsia" w:hAnsi="宋体" w:cs="宋体"/>
          <w:color w:val="auto"/>
          <w:kern w:val="0"/>
          <w:highlight w:val="none"/>
          <w:lang w:val="zh-CN"/>
        </w:rPr>
        <w:t>供应商</w:t>
      </w:r>
      <w:r>
        <w:rPr>
          <w:rFonts w:hint="eastAsia" w:hAnsi="宋体"/>
          <w:color w:val="auto"/>
          <w:highlight w:val="none"/>
        </w:rPr>
        <w:t>的报价不得超过采购项目预算，采购项目预算或其计算方法见</w:t>
      </w:r>
      <w:r>
        <w:rPr>
          <w:rFonts w:hint="eastAsia" w:hAnsi="宋体"/>
          <w:b/>
          <w:color w:val="auto"/>
          <w:highlight w:val="none"/>
        </w:rPr>
        <w:t>磋商须知前附表</w:t>
      </w:r>
      <w:r>
        <w:rPr>
          <w:rFonts w:hint="eastAsia" w:hAnsi="宋体"/>
          <w:color w:val="auto"/>
          <w:highlight w:val="none"/>
        </w:rPr>
        <w:t>。</w:t>
      </w:r>
    </w:p>
    <w:p w14:paraId="7A4939F6">
      <w:pPr>
        <w:pStyle w:val="25"/>
        <w:adjustRightInd w:val="0"/>
        <w:snapToGrid w:val="0"/>
        <w:spacing w:line="360" w:lineRule="auto"/>
        <w:rPr>
          <w:b/>
          <w:color w:val="auto"/>
          <w:highlight w:val="none"/>
        </w:rPr>
      </w:pPr>
      <w:r>
        <w:rPr>
          <w:rFonts w:hint="eastAsia"/>
          <w:b/>
          <w:color w:val="auto"/>
          <w:highlight w:val="none"/>
        </w:rPr>
        <w:t>17.供应商符合磋商文件规定的证明文件</w:t>
      </w:r>
    </w:p>
    <w:p w14:paraId="742824FA">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highlight w:val="none"/>
        </w:rPr>
        <w:t>17.1供应商应提交满足本章第3.1款规定的资格条件要求的证明文件,该证明文件作为响应文件的一部分。</w:t>
      </w:r>
    </w:p>
    <w:p w14:paraId="4CF15F31">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highlight w:val="none"/>
        </w:rPr>
        <w:t>17.2如果供应商为联合体，则应提交联合体各方资格证明文件、联合体协议。否则，在评审时将其视为无效响应。</w:t>
      </w:r>
    </w:p>
    <w:p w14:paraId="30124C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17.3除</w:t>
      </w:r>
      <w:r>
        <w:rPr>
          <w:rFonts w:hint="eastAsia" w:ascii="宋体" w:hAnsi="宋体"/>
          <w:b/>
          <w:color w:val="auto"/>
          <w:szCs w:val="21"/>
          <w:highlight w:val="none"/>
        </w:rPr>
        <w:t>磋商须知前附表</w:t>
      </w:r>
      <w:r>
        <w:rPr>
          <w:rFonts w:hint="eastAsia" w:ascii="宋体" w:hAnsi="宋体"/>
          <w:color w:val="auto"/>
          <w:szCs w:val="21"/>
          <w:highlight w:val="none"/>
        </w:rPr>
        <w:t>另有规定外，供应商提供的货物及服务不是供应商制造或拥有的，则必须提供经销、或代理采购货物、或采购货物提供售后服务的证明文件。</w:t>
      </w:r>
    </w:p>
    <w:p w14:paraId="0F7BB9C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color w:val="auto"/>
          <w:szCs w:val="21"/>
          <w:highlight w:val="none"/>
        </w:rPr>
      </w:pPr>
      <w:r>
        <w:rPr>
          <w:rFonts w:hint="eastAsia" w:ascii="宋体" w:hAnsi="宋体"/>
          <w:b/>
          <w:color w:val="auto"/>
          <w:szCs w:val="21"/>
          <w:highlight w:val="none"/>
        </w:rPr>
        <w:t>18．样品提供</w:t>
      </w:r>
    </w:p>
    <w:p w14:paraId="1FBFE38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18.1</w:t>
      </w:r>
      <w:r>
        <w:rPr>
          <w:rFonts w:hint="eastAsia" w:ascii="宋体" w:hAnsi="宋体"/>
          <w:b/>
          <w:color w:val="auto"/>
          <w:highlight w:val="none"/>
        </w:rPr>
        <w:t>磋商须知前附表</w:t>
      </w:r>
      <w:r>
        <w:rPr>
          <w:rFonts w:hint="eastAsia" w:ascii="宋体" w:hAnsi="宋体"/>
          <w:color w:val="auto"/>
          <w:szCs w:val="21"/>
          <w:highlight w:val="none"/>
        </w:rPr>
        <w:t>规定</w:t>
      </w:r>
      <w:r>
        <w:rPr>
          <w:rFonts w:hint="eastAsia" w:ascii="宋体" w:hAnsi="宋体"/>
          <w:bCs/>
          <w:color w:val="auto"/>
          <w:highlight w:val="none"/>
        </w:rPr>
        <w:t>供应商</w:t>
      </w:r>
      <w:r>
        <w:rPr>
          <w:rFonts w:hint="eastAsia" w:ascii="宋体" w:hAnsi="宋体"/>
          <w:color w:val="auto"/>
          <w:szCs w:val="21"/>
          <w:highlight w:val="none"/>
        </w:rPr>
        <w:t>在</w:t>
      </w:r>
      <w:r>
        <w:rPr>
          <w:rFonts w:hint="eastAsia" w:ascii="宋体" w:hAnsi="宋体"/>
          <w:color w:val="auto"/>
          <w:highlight w:val="none"/>
        </w:rPr>
        <w:t>磋商</w:t>
      </w:r>
      <w:r>
        <w:rPr>
          <w:rFonts w:hint="eastAsia" w:ascii="宋体" w:hAnsi="宋体"/>
          <w:color w:val="auto"/>
          <w:szCs w:val="21"/>
          <w:highlight w:val="none"/>
        </w:rPr>
        <w:t>时提供样品的，</w:t>
      </w:r>
      <w:r>
        <w:rPr>
          <w:rFonts w:hint="eastAsia" w:ascii="宋体" w:hAnsi="宋体"/>
          <w:bCs/>
          <w:color w:val="auto"/>
          <w:highlight w:val="none"/>
        </w:rPr>
        <w:t>供应商</w:t>
      </w:r>
      <w:r>
        <w:rPr>
          <w:rFonts w:ascii="宋体" w:hAnsi="宋体"/>
          <w:color w:val="auto"/>
          <w:szCs w:val="21"/>
          <w:highlight w:val="none"/>
        </w:rPr>
        <w:t>有以下情形之一的</w:t>
      </w:r>
      <w:r>
        <w:rPr>
          <w:rFonts w:hint="eastAsia" w:ascii="宋体" w:hAnsi="宋体"/>
          <w:color w:val="auto"/>
          <w:szCs w:val="21"/>
          <w:highlight w:val="none"/>
        </w:rPr>
        <w:t>，在评审时将其视为无效响应。</w:t>
      </w:r>
    </w:p>
    <w:p w14:paraId="770C46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（1）未在</w:t>
      </w:r>
      <w:r>
        <w:rPr>
          <w:rFonts w:hint="eastAsia" w:ascii="宋体" w:hAnsi="宋体"/>
          <w:b/>
          <w:color w:val="auto"/>
          <w:highlight w:val="none"/>
        </w:rPr>
        <w:t>磋商须知前附表</w:t>
      </w:r>
      <w:r>
        <w:rPr>
          <w:rFonts w:hint="eastAsia" w:ascii="宋体" w:hAnsi="宋体"/>
          <w:color w:val="auto"/>
          <w:szCs w:val="21"/>
          <w:highlight w:val="none"/>
        </w:rPr>
        <w:t>规定的提交时间、地点提交</w:t>
      </w:r>
      <w:r>
        <w:rPr>
          <w:rFonts w:ascii="宋体" w:hAnsi="宋体"/>
          <w:color w:val="auto"/>
          <w:szCs w:val="21"/>
          <w:highlight w:val="none"/>
        </w:rPr>
        <w:t>的</w:t>
      </w:r>
      <w:r>
        <w:rPr>
          <w:rFonts w:hint="eastAsia" w:ascii="宋体" w:hAnsi="宋体"/>
          <w:color w:val="auto"/>
          <w:szCs w:val="21"/>
          <w:highlight w:val="none"/>
        </w:rPr>
        <w:t>；</w:t>
      </w:r>
    </w:p>
    <w:p w14:paraId="255F373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rPr>
        <w:t>（2）</w:t>
      </w:r>
      <w:r>
        <w:rPr>
          <w:rFonts w:hint="eastAsia" w:ascii="宋体" w:hAnsi="宋体"/>
          <w:bCs/>
          <w:color w:val="auto"/>
          <w:highlight w:val="none"/>
        </w:rPr>
        <w:t>供应商</w:t>
      </w:r>
      <w:r>
        <w:rPr>
          <w:rFonts w:hint="eastAsia" w:ascii="宋体" w:hAnsi="宋体"/>
          <w:color w:val="auto"/>
          <w:szCs w:val="21"/>
          <w:highlight w:val="none"/>
        </w:rPr>
        <w:t>提供的样品与响应文件中提供样品的型号、规格不一致</w:t>
      </w:r>
      <w:r>
        <w:rPr>
          <w:rFonts w:ascii="宋体" w:hAnsi="宋体"/>
          <w:color w:val="auto"/>
          <w:szCs w:val="21"/>
          <w:highlight w:val="none"/>
        </w:rPr>
        <w:t>的</w:t>
      </w:r>
      <w:r>
        <w:rPr>
          <w:rFonts w:hint="eastAsia" w:ascii="宋体" w:hAnsi="宋体"/>
          <w:color w:val="auto"/>
          <w:szCs w:val="21"/>
          <w:highlight w:val="none"/>
        </w:rPr>
        <w:t>。</w:t>
      </w:r>
    </w:p>
    <w:p w14:paraId="27EF98D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b/>
          <w:bCs/>
          <w:color w:val="auto"/>
          <w:szCs w:val="21"/>
          <w:highlight w:val="none"/>
        </w:rPr>
      </w:pPr>
      <w:r>
        <w:rPr>
          <w:rFonts w:hint="eastAsia" w:ascii="宋体" w:hAnsi="宋体"/>
          <w:b/>
          <w:bCs/>
          <w:color w:val="auto"/>
          <w:szCs w:val="21"/>
          <w:highlight w:val="none"/>
        </w:rPr>
        <w:t>19.磋商保证金</w:t>
      </w:r>
    </w:p>
    <w:p w14:paraId="7576774F">
      <w:pPr>
        <w:pStyle w:val="25"/>
        <w:adjustRightInd w:val="0"/>
        <w:snapToGrid w:val="0"/>
        <w:spacing w:line="360" w:lineRule="auto"/>
        <w:ind w:firstLine="420" w:firstLineChars="200"/>
        <w:rPr>
          <w:rFonts w:hAnsi="宋体"/>
          <w:bCs/>
          <w:color w:val="auto"/>
          <w:highlight w:val="none"/>
        </w:rPr>
      </w:pPr>
      <w:r>
        <w:rPr>
          <w:rFonts w:hint="eastAsia" w:hAnsi="宋体"/>
          <w:color w:val="auto"/>
          <w:highlight w:val="none"/>
        </w:rPr>
        <w:t>19.1</w:t>
      </w:r>
      <w:r>
        <w:rPr>
          <w:rFonts w:hint="eastAsia" w:hAnsi="宋体"/>
          <w:b/>
          <w:color w:val="auto"/>
          <w:highlight w:val="none"/>
        </w:rPr>
        <w:t>磋商须知前附表</w:t>
      </w:r>
      <w:r>
        <w:rPr>
          <w:rFonts w:hint="eastAsia" w:hAnsi="宋体"/>
          <w:color w:val="auto"/>
          <w:highlight w:val="none"/>
        </w:rPr>
        <w:t>规定交纳磋商</w:t>
      </w:r>
      <w:r>
        <w:rPr>
          <w:rFonts w:hint="eastAsia" w:hAnsi="宋体"/>
          <w:bCs/>
          <w:color w:val="auto"/>
          <w:highlight w:val="none"/>
        </w:rPr>
        <w:t>保证金的</w:t>
      </w:r>
      <w:r>
        <w:rPr>
          <w:rFonts w:hint="eastAsia" w:hAnsi="宋体"/>
          <w:color w:val="auto"/>
          <w:highlight w:val="none"/>
        </w:rPr>
        <w:t>，在</w:t>
      </w:r>
      <w:r>
        <w:rPr>
          <w:rFonts w:hint="eastAsia" w:hAnsi="宋体" w:cs="宋体"/>
          <w:color w:val="auto"/>
          <w:kern w:val="0"/>
          <w:highlight w:val="none"/>
        </w:rPr>
        <w:t>提交首次响应文件截止时间</w:t>
      </w:r>
      <w:r>
        <w:rPr>
          <w:rFonts w:hint="eastAsia" w:hAnsi="宋体"/>
          <w:color w:val="auto"/>
          <w:highlight w:val="none"/>
        </w:rPr>
        <w:t>前应按</w:t>
      </w:r>
      <w:r>
        <w:rPr>
          <w:rFonts w:hint="eastAsia" w:hAnsi="宋体"/>
          <w:b/>
          <w:color w:val="auto"/>
          <w:highlight w:val="none"/>
        </w:rPr>
        <w:t>磋商须知前附表</w:t>
      </w:r>
      <w:r>
        <w:rPr>
          <w:rFonts w:hint="eastAsia" w:hAnsi="宋体"/>
          <w:color w:val="auto"/>
          <w:highlight w:val="none"/>
        </w:rPr>
        <w:t>规定的磋商</w:t>
      </w:r>
      <w:r>
        <w:rPr>
          <w:rFonts w:hint="eastAsia" w:hAnsi="宋体"/>
          <w:bCs/>
          <w:color w:val="auto"/>
          <w:highlight w:val="none"/>
        </w:rPr>
        <w:t>保证金形式交纳，不得以现金方式交纳</w:t>
      </w:r>
      <w:r>
        <w:rPr>
          <w:rFonts w:hint="eastAsia" w:hAnsi="宋体"/>
          <w:color w:val="auto"/>
          <w:highlight w:val="none"/>
        </w:rPr>
        <w:t>。磋商</w:t>
      </w:r>
      <w:r>
        <w:rPr>
          <w:rFonts w:hint="eastAsia" w:hAnsi="宋体"/>
          <w:bCs/>
          <w:color w:val="auto"/>
          <w:highlight w:val="none"/>
        </w:rPr>
        <w:t>保证金有效期应当与</w:t>
      </w:r>
      <w:r>
        <w:rPr>
          <w:rFonts w:hint="eastAsia" w:hAnsi="宋体"/>
          <w:color w:val="auto"/>
          <w:highlight w:val="none"/>
        </w:rPr>
        <w:t>本章第20.1</w:t>
      </w:r>
      <w:r>
        <w:rPr>
          <w:rFonts w:hint="eastAsia" w:hAnsi="宋体" w:cs="宋体"/>
          <w:color w:val="auto"/>
          <w:kern w:val="0"/>
          <w:highlight w:val="none"/>
          <w:lang w:val="zh-CN"/>
        </w:rPr>
        <w:t>款</w:t>
      </w:r>
      <w:r>
        <w:rPr>
          <w:rFonts w:hint="eastAsia" w:hAnsi="宋体"/>
          <w:color w:val="auto"/>
          <w:highlight w:val="none"/>
        </w:rPr>
        <w:t>规定的</w:t>
      </w:r>
      <w:r>
        <w:rPr>
          <w:rFonts w:hint="eastAsia" w:hAnsi="宋体"/>
          <w:bCs/>
          <w:color w:val="auto"/>
          <w:highlight w:val="none"/>
        </w:rPr>
        <w:t>响应文件有效期一致。</w:t>
      </w:r>
    </w:p>
    <w:p w14:paraId="2FA4BACA">
      <w:pPr>
        <w:adjustRightInd w:val="0"/>
        <w:snapToGrid w:val="0"/>
        <w:spacing w:line="360" w:lineRule="auto"/>
        <w:ind w:firstLine="420" w:firstLineChars="200"/>
        <w:rPr>
          <w:rFonts w:ascii="宋体" w:hAnsi="宋体"/>
          <w:b/>
          <w:color w:val="auto"/>
          <w:szCs w:val="21"/>
          <w:highlight w:val="none"/>
        </w:rPr>
      </w:pPr>
      <w:r>
        <w:rPr>
          <w:rFonts w:hint="eastAsia" w:ascii="宋体" w:hAnsi="宋体"/>
          <w:color w:val="auto"/>
          <w:szCs w:val="21"/>
          <w:highlight w:val="none"/>
        </w:rPr>
        <w:t>19.2</w:t>
      </w:r>
      <w:r>
        <w:rPr>
          <w:rFonts w:hint="eastAsia" w:ascii="宋体" w:hAnsi="宋体" w:cs="宋体"/>
          <w:color w:val="auto"/>
          <w:kern w:val="0"/>
          <w:szCs w:val="21"/>
          <w:highlight w:val="none"/>
          <w:lang w:val="zh-CN"/>
        </w:rPr>
        <w:t>供应商为联合体的，可以由联合体中的一方或者共同交纳磋商保证金，其交纳的磋商保证金，对联合体各方均具有约束力。</w:t>
      </w:r>
    </w:p>
    <w:p w14:paraId="23A8DF6D">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19.3供应商未按照磋商文件要求提交磋商保证金的，响应无效。</w:t>
      </w:r>
    </w:p>
    <w:p w14:paraId="5188D9B9">
      <w:pPr>
        <w:pStyle w:val="25"/>
        <w:tabs>
          <w:tab w:val="left" w:pos="6300"/>
        </w:tabs>
        <w:adjustRightInd w:val="0"/>
        <w:snapToGrid w:val="0"/>
        <w:spacing w:line="360" w:lineRule="auto"/>
        <w:ind w:firstLine="420" w:firstLineChars="200"/>
        <w:rPr>
          <w:rFonts w:hAnsi="宋体"/>
          <w:color w:val="auto"/>
          <w:highlight w:val="none"/>
        </w:rPr>
      </w:pPr>
      <w:r>
        <w:rPr>
          <w:rFonts w:hint="eastAsia" w:hAnsi="宋体"/>
          <w:color w:val="auto"/>
          <w:highlight w:val="none"/>
        </w:rPr>
        <w:t>19.4采购代理机构在成交通知书发出后5个工作日内退还未成交供应商的磋商保证金；在采购合同签订后5个工作日内退还成交供应商的磋商保证金，但因供应商自身原因导致无法及时退还的除外。</w:t>
      </w:r>
    </w:p>
    <w:p w14:paraId="24E55369">
      <w:pPr>
        <w:pStyle w:val="25"/>
        <w:adjustRightInd w:val="0"/>
        <w:snapToGrid w:val="0"/>
        <w:spacing w:line="360" w:lineRule="auto"/>
        <w:ind w:firstLine="420" w:firstLineChars="200"/>
        <w:rPr>
          <w:color w:val="auto"/>
          <w:kern w:val="0"/>
          <w:highlight w:val="none"/>
        </w:rPr>
      </w:pPr>
      <w:r>
        <w:rPr>
          <w:rFonts w:hint="eastAsia"/>
          <w:color w:val="auto"/>
          <w:highlight w:val="none"/>
        </w:rPr>
        <w:t>19.5</w:t>
      </w:r>
      <w:r>
        <w:rPr>
          <w:rFonts w:hint="eastAsia"/>
          <w:color w:val="auto"/>
          <w:kern w:val="0"/>
          <w:highlight w:val="none"/>
        </w:rPr>
        <w:t>有下列情形之一的，磋商保证金不予退还，并上缴本级财政国库：</w:t>
      </w:r>
    </w:p>
    <w:p w14:paraId="03391135">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（1）供应商在提交首次响应文件截止时间后撤回响应文件的；</w:t>
      </w:r>
    </w:p>
    <w:p w14:paraId="48A024EA">
      <w:pPr>
        <w:widowControl/>
        <w:adjustRightInd w:val="0"/>
        <w:snapToGrid w:val="0"/>
        <w:spacing w:line="360" w:lineRule="auto"/>
        <w:ind w:firstLine="420" w:firstLineChars="200"/>
        <w:jc w:val="left"/>
        <w:rPr>
          <w:color w:val="auto"/>
          <w:kern w:val="0"/>
          <w:highlight w:val="none"/>
        </w:rPr>
      </w:pPr>
      <w:r>
        <w:rPr>
          <w:rFonts w:hint="eastAsia"/>
          <w:color w:val="auto"/>
          <w:kern w:val="0"/>
          <w:highlight w:val="none"/>
        </w:rPr>
        <w:t>（2）供应商在响应文件中提供虚假资料的；</w:t>
      </w:r>
    </w:p>
    <w:p w14:paraId="184252C3">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color w:val="auto"/>
          <w:kern w:val="0"/>
          <w:highlight w:val="none"/>
        </w:rPr>
        <w:t>（3）</w:t>
      </w:r>
      <w:r>
        <w:rPr>
          <w:rFonts w:hint="eastAsia"/>
          <w:color w:val="auto"/>
          <w:highlight w:val="none"/>
        </w:rPr>
        <w:t>确定成交结果后，无正当理由放弃成交资格的；</w:t>
      </w:r>
    </w:p>
    <w:p w14:paraId="5ED11209">
      <w:pPr>
        <w:widowControl/>
        <w:adjustRightInd w:val="0"/>
        <w:snapToGrid w:val="0"/>
        <w:spacing w:line="360" w:lineRule="auto"/>
        <w:ind w:firstLine="525" w:firstLineChars="250"/>
        <w:jc w:val="left"/>
        <w:rPr>
          <w:rFonts w:ascii="宋体" w:hAnsi="宋体" w:cs="宋体"/>
          <w:color w:val="auto"/>
          <w:kern w:val="0"/>
          <w:szCs w:val="21"/>
          <w:highlight w:val="none"/>
        </w:rPr>
      </w:pPr>
      <w:r>
        <w:rPr>
          <w:rFonts w:hint="eastAsia" w:ascii="宋体" w:hAnsi="宋体" w:cs="宋体"/>
          <w:color w:val="auto"/>
          <w:kern w:val="0"/>
          <w:szCs w:val="21"/>
          <w:highlight w:val="none"/>
        </w:rPr>
        <w:t>(4)除因不可抗力或磋商文件认可的情形以外，成交供应商不与采购人签订合同的；</w:t>
      </w:r>
    </w:p>
    <w:p w14:paraId="1B3DF8F1">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（5）供应商与采购人、其他供应商或者采购代理机构恶意串通的；</w:t>
      </w:r>
    </w:p>
    <w:p w14:paraId="09A62EDE">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（6）磋商文件规定的其他情形。</w:t>
      </w:r>
    </w:p>
    <w:p w14:paraId="02245E46">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20.</w:t>
      </w:r>
      <w:r>
        <w:rPr>
          <w:rFonts w:hint="eastAsia" w:hAnsi="宋体"/>
          <w:b/>
          <w:color w:val="auto"/>
          <w:highlight w:val="none"/>
        </w:rPr>
        <w:t>响应文件</w:t>
      </w:r>
      <w:r>
        <w:rPr>
          <w:rFonts w:hint="eastAsia" w:ascii="宋体" w:hAnsi="宋体"/>
          <w:b/>
          <w:color w:val="auto"/>
          <w:szCs w:val="21"/>
          <w:highlight w:val="none"/>
        </w:rPr>
        <w:t>有效期</w:t>
      </w:r>
    </w:p>
    <w:p w14:paraId="4D1715A1">
      <w:pPr>
        <w:adjustRightInd w:val="0"/>
        <w:snapToGrid w:val="0"/>
        <w:spacing w:line="360" w:lineRule="auto"/>
        <w:ind w:firstLine="420" w:firstLineChars="200"/>
        <w:jc w:val="left"/>
        <w:rPr>
          <w:rFonts w:hAnsi="宋体"/>
          <w:color w:val="auto"/>
          <w:highlight w:val="none"/>
        </w:rPr>
      </w:pPr>
      <w:r>
        <w:rPr>
          <w:rFonts w:hint="eastAsia" w:ascii="宋体" w:hAnsi="宋体"/>
          <w:color w:val="auto"/>
          <w:highlight w:val="none"/>
        </w:rPr>
        <w:t>20.1响应文件</w:t>
      </w:r>
      <w:r>
        <w:rPr>
          <w:rFonts w:hint="eastAsia" w:ascii="宋体" w:hAnsi="宋体"/>
          <w:color w:val="auto"/>
          <w:szCs w:val="21"/>
          <w:highlight w:val="none"/>
        </w:rPr>
        <w:t>有效期见</w:t>
      </w:r>
      <w:r>
        <w:rPr>
          <w:rFonts w:hint="eastAsia" w:ascii="宋体" w:hAnsi="宋体"/>
          <w:b/>
          <w:color w:val="auto"/>
          <w:highlight w:val="none"/>
        </w:rPr>
        <w:t>磋商须知前附表</w:t>
      </w:r>
      <w:r>
        <w:rPr>
          <w:rFonts w:hint="eastAsia" w:ascii="宋体" w:hAnsi="宋体"/>
          <w:color w:val="auto"/>
          <w:szCs w:val="21"/>
          <w:highlight w:val="none"/>
        </w:rPr>
        <w:t>，在此期间</w:t>
      </w:r>
      <w:r>
        <w:rPr>
          <w:rFonts w:hint="eastAsia" w:ascii="宋体" w:hAnsi="宋体"/>
          <w:color w:val="auto"/>
          <w:highlight w:val="none"/>
        </w:rPr>
        <w:t>响应</w:t>
      </w:r>
      <w:r>
        <w:rPr>
          <w:rFonts w:hint="eastAsia" w:ascii="宋体" w:hAnsi="宋体"/>
          <w:color w:val="auto"/>
          <w:szCs w:val="21"/>
          <w:highlight w:val="none"/>
        </w:rPr>
        <w:t>文件对供应商具有法律约束力，</w:t>
      </w:r>
      <w:r>
        <w:rPr>
          <w:rFonts w:hint="eastAsia" w:ascii="宋体" w:hAnsi="宋体" w:cs="Arial"/>
          <w:color w:val="auto"/>
          <w:highlight w:val="none"/>
        </w:rPr>
        <w:t>从</w:t>
      </w:r>
      <w:r>
        <w:rPr>
          <w:rFonts w:hint="eastAsia" w:ascii="宋体" w:hAnsi="宋体" w:cs="宋体"/>
          <w:color w:val="auto"/>
          <w:kern w:val="0"/>
          <w:szCs w:val="21"/>
          <w:highlight w:val="none"/>
        </w:rPr>
        <w:t>提交首次响应文件截止时间</w:t>
      </w:r>
      <w:r>
        <w:rPr>
          <w:rFonts w:hint="eastAsia" w:hAnsi="宋体"/>
          <w:color w:val="auto"/>
          <w:highlight w:val="none"/>
        </w:rPr>
        <w:t>之日</w:t>
      </w:r>
      <w:r>
        <w:rPr>
          <w:rFonts w:hint="eastAsia" w:hAnsi="宋体" w:cs="Arial"/>
          <w:color w:val="auto"/>
          <w:highlight w:val="none"/>
        </w:rPr>
        <w:t>起计算。</w:t>
      </w:r>
      <w:r>
        <w:rPr>
          <w:rFonts w:hint="eastAsia" w:hAnsi="宋体"/>
          <w:color w:val="auto"/>
          <w:highlight w:val="none"/>
        </w:rPr>
        <w:t>响应文件有效期不足的将被视为无效响应。</w:t>
      </w:r>
    </w:p>
    <w:p w14:paraId="4D5F7E32">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21.响应文件的签署及规定</w:t>
      </w:r>
    </w:p>
    <w:p w14:paraId="12EC0E3F">
      <w:pPr>
        <w:pStyle w:val="25"/>
        <w:adjustRightInd w:val="0"/>
        <w:snapToGrid w:val="0"/>
        <w:spacing w:line="360" w:lineRule="auto"/>
        <w:ind w:firstLine="420" w:firstLineChars="200"/>
        <w:rPr>
          <w:rFonts w:hAnsi="宋体"/>
          <w:b/>
          <w:bCs/>
          <w:color w:val="auto"/>
          <w:highlight w:val="none"/>
        </w:rPr>
      </w:pPr>
      <w:r>
        <w:rPr>
          <w:rFonts w:hint="eastAsia" w:hAnsi="宋体"/>
          <w:color w:val="auto"/>
          <w:highlight w:val="none"/>
        </w:rPr>
        <w:t>21.1响应文件的正本和副本应装订成册，正本一份，副本份数见</w:t>
      </w:r>
      <w:r>
        <w:rPr>
          <w:rFonts w:hint="eastAsia" w:hAnsi="宋体"/>
          <w:b/>
          <w:color w:val="auto"/>
          <w:highlight w:val="none"/>
        </w:rPr>
        <w:t>磋商须知前附表</w:t>
      </w:r>
      <w:r>
        <w:rPr>
          <w:rFonts w:hint="eastAsia" w:hAnsi="宋体"/>
          <w:color w:val="auto"/>
          <w:highlight w:val="none"/>
        </w:rPr>
        <w:t>。正本和副本的封面上应标记“正本”或“副本”的字样，当正本和副本有差异时，以正本为准。电子版</w:t>
      </w:r>
      <w:r>
        <w:rPr>
          <w:rFonts w:hint="eastAsia" w:hAnsi="宋体"/>
          <w:b/>
          <w:bCs/>
          <w:color w:val="auto"/>
          <w:highlight w:val="none"/>
        </w:rPr>
        <w:t>（电子文件须以PDF的格式存入U盘，内容与纸质投标文件的正本一致）。</w:t>
      </w:r>
    </w:p>
    <w:p w14:paraId="157C5A5F">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21.2响应文件正本和副本应按磋商文件要求签章处盖单位章和由法定代表人或其委托代理人签字；任何加行、涂改、增删，应有法定代表人或其委托代理人在旁边签字。否则，将导致响应文件无效。</w:t>
      </w:r>
    </w:p>
    <w:p w14:paraId="6C8E5655">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21.3在磋商过程中，供应商按磋商文件规定和磋商小组要求</w:t>
      </w:r>
      <w:r>
        <w:rPr>
          <w:rFonts w:hint="eastAsia" w:hAnsi="宋体" w:cs="宋体"/>
          <w:color w:val="auto"/>
          <w:kern w:val="0"/>
          <w:highlight w:val="none"/>
        </w:rPr>
        <w:t>提交的</w:t>
      </w:r>
      <w:r>
        <w:rPr>
          <w:rFonts w:hint="eastAsia" w:hAnsi="宋体"/>
          <w:color w:val="auto"/>
          <w:highlight w:val="none"/>
        </w:rPr>
        <w:t>最后报价(或者</w:t>
      </w:r>
      <w:r>
        <w:rPr>
          <w:rFonts w:hint="eastAsia" w:hAnsi="宋体"/>
          <w:bCs/>
          <w:color w:val="auto"/>
          <w:highlight w:val="none"/>
        </w:rPr>
        <w:t>重</w:t>
      </w:r>
      <w:r>
        <w:rPr>
          <w:rFonts w:hint="eastAsia" w:hAnsi="宋体" w:cs="宋体"/>
          <w:color w:val="auto"/>
          <w:kern w:val="0"/>
          <w:highlight w:val="none"/>
        </w:rPr>
        <w:t>新提交的响应文件和</w:t>
      </w:r>
      <w:r>
        <w:rPr>
          <w:rFonts w:hint="eastAsia" w:hAnsi="宋体"/>
          <w:color w:val="auto"/>
          <w:highlight w:val="none"/>
        </w:rPr>
        <w:t>最后报价)，可打印或用不退色墨水书写，但需经法定代表人或其委托代理人签字，</w:t>
      </w:r>
      <w:r>
        <w:rPr>
          <w:rFonts w:hint="eastAsia" w:hAnsi="宋体" w:cs="宋体"/>
          <w:color w:val="auto"/>
          <w:kern w:val="0"/>
          <w:highlight w:val="none"/>
        </w:rPr>
        <w:t>或者加盖供应商单位章</w:t>
      </w:r>
      <w:r>
        <w:rPr>
          <w:rFonts w:hint="eastAsia" w:hAnsi="宋体"/>
          <w:color w:val="auto"/>
          <w:highlight w:val="none"/>
        </w:rPr>
        <w:t>。否则，将导致响应文件无效。</w:t>
      </w:r>
    </w:p>
    <w:p w14:paraId="2D3A9496">
      <w:pPr>
        <w:adjustRightInd w:val="0"/>
        <w:snapToGrid w:val="0"/>
        <w:spacing w:line="360" w:lineRule="auto"/>
        <w:rPr>
          <w:rFonts w:ascii="黑体" w:hAnsi="宋体" w:eastAsia="黑体"/>
          <w:color w:val="auto"/>
          <w:sz w:val="24"/>
          <w:highlight w:val="none"/>
        </w:rPr>
      </w:pPr>
      <w:r>
        <w:rPr>
          <w:rFonts w:hint="eastAsia" w:ascii="黑体" w:hAnsi="宋体" w:eastAsia="黑体"/>
          <w:color w:val="auto"/>
          <w:sz w:val="24"/>
          <w:highlight w:val="none"/>
        </w:rPr>
        <w:t>四、响应文件的递交</w:t>
      </w:r>
    </w:p>
    <w:p w14:paraId="5BF9F587">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22.</w:t>
      </w:r>
      <w:r>
        <w:rPr>
          <w:rFonts w:hint="eastAsia" w:ascii="宋体" w:hAnsi="宋体"/>
          <w:b/>
          <w:color w:val="auto"/>
          <w:szCs w:val="21"/>
          <w:highlight w:val="none"/>
        </w:rPr>
        <w:t>响应文件</w:t>
      </w:r>
      <w:r>
        <w:rPr>
          <w:rFonts w:hint="eastAsia" w:ascii="宋体" w:hAnsi="宋体"/>
          <w:b/>
          <w:bCs/>
          <w:color w:val="auto"/>
          <w:szCs w:val="21"/>
          <w:highlight w:val="none"/>
        </w:rPr>
        <w:t>的密封和标记</w:t>
      </w:r>
    </w:p>
    <w:p w14:paraId="356DF766">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22.1</w:t>
      </w:r>
      <w:r>
        <w:rPr>
          <w:rFonts w:hint="eastAsia" w:hAnsi="宋体" w:cs="宋体"/>
          <w:color w:val="auto"/>
          <w:highlight w:val="none"/>
        </w:rPr>
        <w:t>各供应商必须将响应文件正本、副本、电子档U盘、所有原件（如磋商文件有规定提交的，须列明详细清单），各自单独密封，分别独立包装，分别加贴封条，并在封套的封口处（封套两端折叠封口处）盖供应商单位章并由法定代表人或授权委托人签字，一并递交，不得混装</w:t>
      </w:r>
      <w:r>
        <w:rPr>
          <w:rFonts w:hint="eastAsia" w:hAnsi="宋体"/>
          <w:color w:val="auto"/>
          <w:highlight w:val="none"/>
        </w:rPr>
        <w:t>。</w:t>
      </w:r>
    </w:p>
    <w:p w14:paraId="161F4967">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22.2响应文件封套上应写明的内容见</w:t>
      </w:r>
      <w:r>
        <w:rPr>
          <w:rFonts w:hint="eastAsia" w:ascii="宋体" w:hAnsi="宋体"/>
          <w:b/>
          <w:color w:val="auto"/>
          <w:szCs w:val="21"/>
          <w:highlight w:val="none"/>
        </w:rPr>
        <w:t>磋商须知前附表。</w:t>
      </w:r>
    </w:p>
    <w:p w14:paraId="0BA9C97F">
      <w:pPr>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22.3响应文件如果未按上述规定密封和加写标记，采购人或采购代理机构将拒绝接收。</w:t>
      </w:r>
    </w:p>
    <w:p w14:paraId="4B2F8B17">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23.响应文件的</w:t>
      </w:r>
      <w:r>
        <w:rPr>
          <w:rFonts w:hint="eastAsia" w:ascii="宋体" w:hAnsi="宋体" w:cs="宋体"/>
          <w:b/>
          <w:color w:val="auto"/>
          <w:kern w:val="0"/>
          <w:szCs w:val="21"/>
          <w:highlight w:val="none"/>
          <w:lang w:val="zh-CN"/>
        </w:rPr>
        <w:t>补充、修改或者撤回</w:t>
      </w:r>
    </w:p>
    <w:p w14:paraId="19E7011F">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23.1</w:t>
      </w:r>
      <w:r>
        <w:rPr>
          <w:rFonts w:hint="eastAsia" w:hAnsi="宋体" w:cs="宋体"/>
          <w:color w:val="auto"/>
          <w:kern w:val="0"/>
          <w:highlight w:val="none"/>
        </w:rPr>
        <w:t>供应商在提交首次响应文件截止时间前，可以对所提交的首次响应文件进行补充、修改或者撤回，并书面通知采购人、采购代理机构。</w:t>
      </w:r>
      <w:r>
        <w:rPr>
          <w:rFonts w:hint="eastAsia" w:hAnsi="宋体"/>
          <w:color w:val="auto"/>
          <w:highlight w:val="none"/>
        </w:rPr>
        <w:t>该通知应有供应商法定代表人或其委托代理人签字。</w:t>
      </w:r>
    </w:p>
    <w:p w14:paraId="38DAA5CB">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23.2</w:t>
      </w:r>
      <w:r>
        <w:rPr>
          <w:rFonts w:hint="eastAsia" w:hAnsi="宋体" w:cs="宋体"/>
          <w:color w:val="auto"/>
          <w:kern w:val="0"/>
          <w:highlight w:val="none"/>
          <w:lang w:val="zh-CN"/>
        </w:rPr>
        <w:t>补充、修改的内容与响应文件不一致时，以补充、修改的内容为准。</w:t>
      </w:r>
    </w:p>
    <w:p w14:paraId="27F5C2B2">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24.响应文件的递交与接收</w:t>
      </w:r>
    </w:p>
    <w:p w14:paraId="4CFAB51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24.1供应商应在</w:t>
      </w:r>
      <w:r>
        <w:rPr>
          <w:rFonts w:hint="eastAsia" w:ascii="宋体" w:hAnsi="宋体" w:cs="宋体"/>
          <w:color w:val="auto"/>
          <w:kern w:val="0"/>
          <w:szCs w:val="21"/>
          <w:highlight w:val="none"/>
        </w:rPr>
        <w:t>提交首次响应文件截止时间</w:t>
      </w:r>
      <w:r>
        <w:rPr>
          <w:rFonts w:hint="eastAsia" w:ascii="宋体" w:hAnsi="宋体"/>
          <w:color w:val="auto"/>
          <w:szCs w:val="21"/>
          <w:highlight w:val="none"/>
        </w:rPr>
        <w:t>前，将响应文件送</w:t>
      </w:r>
      <w:r>
        <w:rPr>
          <w:rFonts w:hint="eastAsia" w:ascii="宋体" w:hAnsi="宋体" w:cs="Arial"/>
          <w:color w:val="auto"/>
          <w:szCs w:val="21"/>
          <w:highlight w:val="none"/>
        </w:rPr>
        <w:t>达</w:t>
      </w:r>
      <w:r>
        <w:rPr>
          <w:rFonts w:hint="eastAsia" w:ascii="宋体" w:hAnsi="宋体"/>
          <w:b/>
          <w:color w:val="auto"/>
          <w:szCs w:val="21"/>
          <w:highlight w:val="none"/>
        </w:rPr>
        <w:t>磋商须知前附表</w:t>
      </w:r>
      <w:r>
        <w:rPr>
          <w:rFonts w:hint="eastAsia" w:ascii="宋体" w:hAnsi="宋体"/>
          <w:color w:val="auto"/>
          <w:szCs w:val="21"/>
          <w:highlight w:val="none"/>
        </w:rPr>
        <w:t>中指定的地点。</w:t>
      </w:r>
      <w:r>
        <w:rPr>
          <w:rFonts w:hint="eastAsia" w:hAnsi="宋体" w:cs="宋体"/>
          <w:color w:val="auto"/>
          <w:kern w:val="0"/>
          <w:highlight w:val="none"/>
        </w:rPr>
        <w:t>在截止时间后送达的响应文件，采购人、采购代理机构或者磋商小组应当拒收。</w:t>
      </w:r>
    </w:p>
    <w:p w14:paraId="3E52E892">
      <w:pPr>
        <w:pStyle w:val="25"/>
        <w:adjustRightInd w:val="0"/>
        <w:snapToGrid w:val="0"/>
        <w:spacing w:line="360" w:lineRule="auto"/>
        <w:ind w:firstLine="420" w:firstLineChars="200"/>
        <w:rPr>
          <w:rFonts w:hAnsi="宋体"/>
          <w:color w:val="auto"/>
          <w:highlight w:val="none"/>
        </w:rPr>
      </w:pPr>
      <w:r>
        <w:rPr>
          <w:rFonts w:hint="eastAsia" w:hAnsi="宋体"/>
          <w:color w:val="auto"/>
          <w:highlight w:val="none"/>
        </w:rPr>
        <w:t>24.2</w:t>
      </w:r>
      <w:r>
        <w:rPr>
          <w:rFonts w:hint="eastAsia" w:hAnsi="宋体" w:cs="宋体"/>
          <w:color w:val="auto"/>
          <w:kern w:val="0"/>
          <w:highlight w:val="none"/>
        </w:rPr>
        <w:t>在提交首次响应文件截止时间后，</w:t>
      </w:r>
      <w:r>
        <w:rPr>
          <w:rFonts w:hint="eastAsia" w:hAnsi="宋体"/>
          <w:color w:val="auto"/>
          <w:highlight w:val="none"/>
        </w:rPr>
        <w:t>由</w:t>
      </w:r>
      <w:r>
        <w:rPr>
          <w:rFonts w:hint="eastAsia" w:hAnsi="宋体"/>
          <w:bCs/>
          <w:color w:val="auto"/>
          <w:highlight w:val="none"/>
        </w:rPr>
        <w:t>供应商代表</w:t>
      </w:r>
      <w:r>
        <w:rPr>
          <w:rFonts w:hint="eastAsia" w:hAnsi="宋体"/>
          <w:color w:val="auto"/>
          <w:highlight w:val="none"/>
        </w:rPr>
        <w:t>当场查验</w:t>
      </w:r>
      <w:r>
        <w:rPr>
          <w:rFonts w:hint="eastAsia" w:hAnsi="宋体"/>
          <w:bCs/>
          <w:color w:val="auto"/>
          <w:highlight w:val="none"/>
        </w:rPr>
        <w:t>响应文件</w:t>
      </w:r>
      <w:r>
        <w:rPr>
          <w:rFonts w:hint="eastAsia" w:hAnsi="宋体"/>
          <w:color w:val="auto"/>
          <w:highlight w:val="none"/>
        </w:rPr>
        <w:t>的密封状况，采购人或</w:t>
      </w:r>
      <w:r>
        <w:rPr>
          <w:rFonts w:hint="eastAsia" w:hAnsi="宋体"/>
          <w:bCs/>
          <w:color w:val="auto"/>
          <w:highlight w:val="none"/>
        </w:rPr>
        <w:t>采购代理机构</w:t>
      </w:r>
      <w:r>
        <w:rPr>
          <w:rFonts w:hint="eastAsia" w:hAnsi="宋体"/>
          <w:color w:val="auto"/>
          <w:highlight w:val="none"/>
        </w:rPr>
        <w:t>不当场拆封</w:t>
      </w:r>
      <w:r>
        <w:rPr>
          <w:rFonts w:hint="eastAsia" w:hAnsi="宋体"/>
          <w:bCs/>
          <w:color w:val="auto"/>
          <w:highlight w:val="none"/>
        </w:rPr>
        <w:t>响应文件</w:t>
      </w:r>
      <w:r>
        <w:rPr>
          <w:rFonts w:hint="eastAsia" w:hAnsi="宋体"/>
          <w:color w:val="auto"/>
          <w:highlight w:val="none"/>
        </w:rPr>
        <w:t>。</w:t>
      </w:r>
    </w:p>
    <w:p w14:paraId="2C4A80BF">
      <w:pPr>
        <w:adjustRightInd w:val="0"/>
        <w:snapToGrid w:val="0"/>
        <w:spacing w:line="360" w:lineRule="auto"/>
        <w:rPr>
          <w:rFonts w:ascii="黑体" w:hAnsi="宋体" w:eastAsia="黑体"/>
          <w:color w:val="auto"/>
          <w:sz w:val="24"/>
          <w:highlight w:val="none"/>
        </w:rPr>
      </w:pPr>
      <w:r>
        <w:rPr>
          <w:rFonts w:hint="eastAsia" w:ascii="黑体" w:hAnsi="宋体" w:eastAsia="黑体"/>
          <w:color w:val="auto"/>
          <w:sz w:val="24"/>
          <w:highlight w:val="none"/>
        </w:rPr>
        <w:t>五、响应文件的磋商与评审</w:t>
      </w:r>
    </w:p>
    <w:p w14:paraId="47EA638E">
      <w:pPr>
        <w:tabs>
          <w:tab w:val="left" w:pos="0"/>
        </w:tabs>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25.磋商程序</w:t>
      </w:r>
    </w:p>
    <w:p w14:paraId="5D737C2E">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cs="宋体"/>
          <w:color w:val="auto"/>
          <w:kern w:val="0"/>
          <w:szCs w:val="21"/>
          <w:highlight w:val="none"/>
        </w:rPr>
        <w:t>25.1磋商程序：响应文件审查、磋商（包括澄清）、响应文件评审、</w:t>
      </w:r>
      <w:r>
        <w:rPr>
          <w:rFonts w:hint="eastAsia" w:ascii="宋体" w:hAnsi="宋体"/>
          <w:bCs/>
          <w:color w:val="auto"/>
          <w:szCs w:val="21"/>
          <w:highlight w:val="none"/>
        </w:rPr>
        <w:t>提出成交供应商。其中，</w:t>
      </w:r>
      <w:r>
        <w:rPr>
          <w:rFonts w:hint="eastAsia" w:ascii="宋体" w:hAnsi="宋体" w:cs="宋体"/>
          <w:color w:val="auto"/>
          <w:kern w:val="0"/>
          <w:szCs w:val="21"/>
          <w:highlight w:val="none"/>
        </w:rPr>
        <w:t>磋商按</w:t>
      </w:r>
      <w:r>
        <w:rPr>
          <w:rFonts w:hint="eastAsia" w:ascii="宋体" w:hAnsi="宋体"/>
          <w:color w:val="auto"/>
          <w:szCs w:val="21"/>
          <w:highlight w:val="none"/>
        </w:rPr>
        <w:t>本章</w:t>
      </w:r>
      <w:r>
        <w:rPr>
          <w:rFonts w:hint="eastAsia" w:hAnsi="宋体"/>
          <w:color w:val="auto"/>
          <w:highlight w:val="none"/>
        </w:rPr>
        <w:t>第</w:t>
      </w:r>
      <w:r>
        <w:rPr>
          <w:rFonts w:hint="eastAsia" w:ascii="宋体" w:hAnsi="宋体"/>
          <w:color w:val="auto"/>
          <w:highlight w:val="none"/>
        </w:rPr>
        <w:t>30.1</w:t>
      </w:r>
      <w:r>
        <w:rPr>
          <w:rFonts w:hint="eastAsia" w:ascii="宋体" w:hAnsi="宋体" w:cs="宋体"/>
          <w:color w:val="auto"/>
          <w:kern w:val="0"/>
          <w:szCs w:val="21"/>
          <w:highlight w:val="none"/>
          <w:lang w:val="zh-CN"/>
        </w:rPr>
        <w:t>款或者</w:t>
      </w:r>
      <w:r>
        <w:rPr>
          <w:rFonts w:hint="eastAsia" w:ascii="宋体" w:hAnsi="宋体"/>
          <w:color w:val="auto"/>
          <w:highlight w:val="none"/>
        </w:rPr>
        <w:t>第30.2</w:t>
      </w:r>
      <w:r>
        <w:rPr>
          <w:rFonts w:hint="eastAsia" w:ascii="宋体" w:hAnsi="宋体" w:cs="宋体"/>
          <w:color w:val="auto"/>
          <w:kern w:val="0"/>
          <w:szCs w:val="21"/>
          <w:highlight w:val="none"/>
          <w:lang w:val="zh-CN"/>
        </w:rPr>
        <w:t>款</w:t>
      </w:r>
      <w:r>
        <w:rPr>
          <w:rFonts w:hint="eastAsia" w:hAnsi="宋体"/>
          <w:color w:val="auto"/>
          <w:highlight w:val="none"/>
        </w:rPr>
        <w:t>情形</w:t>
      </w:r>
      <w:r>
        <w:rPr>
          <w:rFonts w:hint="eastAsia" w:ascii="宋体" w:hAnsi="宋体"/>
          <w:bCs/>
          <w:color w:val="auto"/>
          <w:szCs w:val="21"/>
          <w:highlight w:val="none"/>
        </w:rPr>
        <w:t>进行。</w:t>
      </w:r>
    </w:p>
    <w:p w14:paraId="53137461">
      <w:pPr>
        <w:widowControl/>
        <w:adjustRightInd w:val="0"/>
        <w:snapToGrid w:val="0"/>
        <w:spacing w:line="360" w:lineRule="auto"/>
        <w:rPr>
          <w:rFonts w:ascii="宋体" w:hAnsi="宋体"/>
          <w:b/>
          <w:color w:val="auto"/>
          <w:szCs w:val="21"/>
          <w:highlight w:val="none"/>
        </w:rPr>
      </w:pPr>
      <w:r>
        <w:rPr>
          <w:rFonts w:hint="eastAsia" w:ascii="宋体" w:hAnsi="宋体" w:cs="宋体"/>
          <w:b/>
          <w:color w:val="auto"/>
          <w:kern w:val="0"/>
          <w:szCs w:val="21"/>
          <w:highlight w:val="none"/>
        </w:rPr>
        <w:t>26.响应文件审查</w:t>
      </w:r>
    </w:p>
    <w:p w14:paraId="77332920">
      <w:pPr>
        <w:adjustRightInd w:val="0"/>
        <w:snapToGrid w:val="0"/>
        <w:spacing w:before="120"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26.1资格性审查：根据本章第3.1项规定的供应商资格条件要求，对</w:t>
      </w:r>
      <w:r>
        <w:rPr>
          <w:rFonts w:hint="eastAsia" w:ascii="宋体" w:hAnsi="宋体"/>
          <w:color w:val="auto"/>
          <w:highlight w:val="none"/>
        </w:rPr>
        <w:t>响应</w:t>
      </w:r>
      <w:r>
        <w:rPr>
          <w:rFonts w:hint="eastAsia" w:ascii="宋体" w:hAnsi="宋体"/>
          <w:color w:val="auto"/>
          <w:szCs w:val="21"/>
          <w:highlight w:val="none"/>
        </w:rPr>
        <w:t>文件的资格证明等进行审查，以确定供应商是否具备磋商资格条件。</w:t>
      </w:r>
    </w:p>
    <w:p w14:paraId="017DADD1">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26.2符合性审查:对响应文件(包括首次提交的响应文件、重新提交的响应文件)的有效性、完整性和响应程度进行审查，以确定是否对磋商文件的实质性要求作出响应。</w:t>
      </w:r>
    </w:p>
    <w:p w14:paraId="10198C88">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26.3响应文件审查结束后，磋商小组所有成员集中与单一供应商分别进行磋商，并给予所有参加磋商的供应商平等的磋商机会。供应商应派其法定代表人或委托代理人参加磋商。</w:t>
      </w:r>
    </w:p>
    <w:p w14:paraId="5AEECE45">
      <w:pPr>
        <w:pStyle w:val="25"/>
        <w:adjustRightInd w:val="0"/>
        <w:snapToGrid w:val="0"/>
        <w:spacing w:line="360" w:lineRule="auto"/>
        <w:rPr>
          <w:rFonts w:hAnsi="宋体" w:cs="宋体"/>
          <w:b/>
          <w:color w:val="auto"/>
          <w:kern w:val="0"/>
          <w:highlight w:val="none"/>
        </w:rPr>
      </w:pPr>
      <w:r>
        <w:rPr>
          <w:rFonts w:hint="eastAsia" w:hAnsi="宋体" w:cs="宋体"/>
          <w:b/>
          <w:color w:val="auto"/>
          <w:kern w:val="0"/>
          <w:highlight w:val="none"/>
        </w:rPr>
        <w:t>27.实质性响应</w:t>
      </w:r>
    </w:p>
    <w:p w14:paraId="527E45F4">
      <w:pPr>
        <w:pStyle w:val="25"/>
        <w:adjustRightInd w:val="0"/>
        <w:snapToGrid w:val="0"/>
        <w:spacing w:line="360" w:lineRule="auto"/>
        <w:ind w:firstLine="420" w:firstLineChars="200"/>
        <w:rPr>
          <w:rFonts w:hAnsi="宋体" w:cs="Arial"/>
          <w:color w:val="auto"/>
          <w:kern w:val="0"/>
          <w:highlight w:val="none"/>
          <w:u w:val="single"/>
        </w:rPr>
      </w:pPr>
      <w:r>
        <w:rPr>
          <w:rFonts w:hint="eastAsia" w:hAnsi="宋体" w:cs="宋体"/>
          <w:color w:val="auto"/>
          <w:kern w:val="0"/>
          <w:highlight w:val="none"/>
        </w:rPr>
        <w:t>27.1</w:t>
      </w:r>
      <w:r>
        <w:rPr>
          <w:rFonts w:hint="eastAsia" w:hAnsi="宋体"/>
          <w:color w:val="auto"/>
          <w:highlight w:val="none"/>
        </w:rPr>
        <w:t>实质性响应是指响应文件(包括首次响应文件、重新提交的响应文件)与磋商文件要求的所有条款、条件和规格相符，没有偏离。偏离</w:t>
      </w:r>
      <w:r>
        <w:rPr>
          <w:rFonts w:hint="eastAsia"/>
          <w:color w:val="auto"/>
          <w:highlight w:val="none"/>
        </w:rPr>
        <w:t>指不满足、或不响应</w:t>
      </w:r>
      <w:r>
        <w:rPr>
          <w:rFonts w:hint="eastAsia" w:hAnsi="宋体"/>
          <w:color w:val="auto"/>
          <w:highlight w:val="none"/>
        </w:rPr>
        <w:t>磋商文件</w:t>
      </w:r>
      <w:r>
        <w:rPr>
          <w:rFonts w:hint="eastAsia"/>
          <w:color w:val="auto"/>
          <w:highlight w:val="none"/>
        </w:rPr>
        <w:t>的要求。</w:t>
      </w:r>
    </w:p>
    <w:p w14:paraId="042E8F6C">
      <w:pPr>
        <w:tabs>
          <w:tab w:val="left" w:pos="0"/>
          <w:tab w:val="left" w:pos="7560"/>
          <w:tab w:val="left" w:pos="7740"/>
          <w:tab w:val="left" w:pos="7920"/>
        </w:tabs>
        <w:adjustRightInd w:val="0"/>
        <w:snapToGrid w:val="0"/>
        <w:spacing w:line="360" w:lineRule="auto"/>
        <w:ind w:right="23" w:rightChars="11" w:firstLine="420" w:firstLineChars="200"/>
        <w:rPr>
          <w:rFonts w:ascii="宋体" w:hAnsi="宋体"/>
          <w:color w:val="auto"/>
          <w:szCs w:val="21"/>
          <w:highlight w:val="none"/>
        </w:rPr>
      </w:pPr>
      <w:r>
        <w:rPr>
          <w:rFonts w:hint="eastAsia" w:ascii="宋体" w:hAnsi="宋体"/>
          <w:color w:val="auto"/>
          <w:szCs w:val="21"/>
          <w:highlight w:val="none"/>
        </w:rPr>
        <w:t>27.2</w:t>
      </w:r>
      <w:r>
        <w:rPr>
          <w:rFonts w:hint="eastAsia" w:ascii="宋体" w:hAnsi="宋体"/>
          <w:color w:val="auto"/>
          <w:highlight w:val="none"/>
        </w:rPr>
        <w:t>响应文件是否实质性响应磋商文件要求由磋商小组依据磋商文件规定认定。</w:t>
      </w:r>
      <w:r>
        <w:rPr>
          <w:rFonts w:hint="eastAsia" w:ascii="宋体" w:hAnsi="宋体" w:cs="宋体"/>
          <w:color w:val="auto"/>
          <w:kern w:val="0"/>
          <w:szCs w:val="21"/>
          <w:highlight w:val="none"/>
        </w:rPr>
        <w:t>磋商小组</w:t>
      </w:r>
      <w:r>
        <w:rPr>
          <w:rFonts w:hint="eastAsia" w:ascii="宋体" w:hAnsi="宋体"/>
          <w:color w:val="auto"/>
          <w:szCs w:val="21"/>
          <w:highlight w:val="none"/>
        </w:rPr>
        <w:t>决定</w:t>
      </w:r>
      <w:r>
        <w:rPr>
          <w:rFonts w:hint="eastAsia" w:ascii="宋体" w:hAnsi="宋体"/>
          <w:color w:val="auto"/>
          <w:highlight w:val="none"/>
        </w:rPr>
        <w:t>响应文件</w:t>
      </w:r>
      <w:r>
        <w:rPr>
          <w:rFonts w:hint="eastAsia" w:ascii="宋体" w:hAnsi="宋体"/>
          <w:color w:val="auto"/>
          <w:szCs w:val="21"/>
          <w:highlight w:val="none"/>
        </w:rPr>
        <w:t>的响应性只根据</w:t>
      </w:r>
      <w:r>
        <w:rPr>
          <w:rFonts w:hint="eastAsia" w:ascii="宋体" w:hAnsi="宋体"/>
          <w:color w:val="auto"/>
          <w:highlight w:val="none"/>
        </w:rPr>
        <w:t>响应文件</w:t>
      </w:r>
      <w:r>
        <w:rPr>
          <w:rFonts w:hint="eastAsia" w:ascii="宋体" w:hAnsi="宋体"/>
          <w:color w:val="auto"/>
          <w:szCs w:val="21"/>
          <w:highlight w:val="none"/>
        </w:rPr>
        <w:t>本身的真实无误的内容，而不依据外部的证据。</w:t>
      </w:r>
    </w:p>
    <w:p w14:paraId="2DCF2936">
      <w:pPr>
        <w:pStyle w:val="25"/>
        <w:adjustRightInd w:val="0"/>
        <w:snapToGrid w:val="0"/>
        <w:spacing w:line="360" w:lineRule="auto"/>
        <w:rPr>
          <w:rFonts w:cs="宋体"/>
          <w:b/>
          <w:color w:val="auto"/>
          <w:kern w:val="0"/>
          <w:highlight w:val="none"/>
        </w:rPr>
      </w:pPr>
      <w:r>
        <w:rPr>
          <w:rFonts w:hint="eastAsia" w:cs="宋体"/>
          <w:b/>
          <w:color w:val="auto"/>
          <w:kern w:val="0"/>
          <w:highlight w:val="none"/>
        </w:rPr>
        <w:t>28.无效响应</w:t>
      </w:r>
    </w:p>
    <w:p w14:paraId="3B8D8FF6">
      <w:pPr>
        <w:pStyle w:val="25"/>
        <w:adjustRightInd w:val="0"/>
        <w:snapToGrid w:val="0"/>
        <w:spacing w:line="360" w:lineRule="auto"/>
        <w:ind w:firstLine="411" w:firstLineChars="196"/>
        <w:rPr>
          <w:rFonts w:hAnsi="宋体" w:cs="宋体"/>
          <w:b/>
          <w:color w:val="auto"/>
          <w:kern w:val="0"/>
          <w:highlight w:val="none"/>
        </w:rPr>
      </w:pPr>
      <w:r>
        <w:rPr>
          <w:rFonts w:hint="eastAsia" w:cs="宋体"/>
          <w:color w:val="auto"/>
          <w:kern w:val="0"/>
          <w:highlight w:val="none"/>
        </w:rPr>
        <w:t>28.1</w:t>
      </w:r>
      <w:r>
        <w:rPr>
          <w:rFonts w:hint="eastAsia"/>
          <w:color w:val="auto"/>
          <w:highlight w:val="none"/>
        </w:rPr>
        <w:t>磋商小组在对资格性和符合性进行审查时，有下列情况之一的，属无效响应，</w:t>
      </w:r>
      <w:r>
        <w:rPr>
          <w:rFonts w:hint="eastAsia" w:cs="宋体"/>
          <w:color w:val="auto"/>
          <w:kern w:val="0"/>
          <w:highlight w:val="none"/>
        </w:rPr>
        <w:t>磋商小组应当告知有关供应商</w:t>
      </w:r>
      <w:r>
        <w:rPr>
          <w:rFonts w:hint="eastAsia"/>
          <w:color w:val="auto"/>
          <w:highlight w:val="none"/>
        </w:rPr>
        <w:t>：</w:t>
      </w:r>
    </w:p>
    <w:p w14:paraId="64D0D69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（1）供应商不具备本章第3.1款规定的供应商资格条件要求，或存在本章第3.3款情形的；</w:t>
      </w:r>
    </w:p>
    <w:p w14:paraId="7F64445A">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（2）联合体不符合本章第3.2款规定的；</w:t>
      </w:r>
    </w:p>
    <w:p w14:paraId="1AF1C740">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（3）应交未交磋商保证金或金额不足、磋商保证金缴纳形式不符合磋商文件要求的；</w:t>
      </w:r>
    </w:p>
    <w:p w14:paraId="6CF751AD">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（4）响应文件未按照磋商文件要求签署、盖章的；</w:t>
      </w:r>
    </w:p>
    <w:p w14:paraId="5D523DAC">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（5）响应文件不满足本章第27.1款规定的实质性要求的；</w:t>
      </w:r>
    </w:p>
    <w:p w14:paraId="3168645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（6）报价超过采购项目预算的；</w:t>
      </w:r>
    </w:p>
    <w:p w14:paraId="24D14D8F">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（7）响应文件有效期不足的；</w:t>
      </w:r>
    </w:p>
    <w:p w14:paraId="45C06039">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（8）响应文件不符合法律、规章、规范性文件和磋商文件规定及要求的。</w:t>
      </w:r>
    </w:p>
    <w:p w14:paraId="1409E869">
      <w:pPr>
        <w:widowControl/>
        <w:adjustRightInd w:val="0"/>
        <w:snapToGrid w:val="0"/>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29.澄清</w:t>
      </w:r>
    </w:p>
    <w:p w14:paraId="4085DF30">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29.1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14:paraId="2C2CDFE8">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29.2最后报价计算错误修正的原则：最后报价</w:t>
      </w:r>
      <w:r>
        <w:rPr>
          <w:rFonts w:hint="eastAsia" w:ascii="宋体" w:hAnsi="宋体" w:cs="Arial"/>
          <w:color w:val="auto"/>
          <w:kern w:val="0"/>
          <w:szCs w:val="21"/>
          <w:highlight w:val="none"/>
        </w:rPr>
        <w:t>的大写金额和小写金额不一致的，以大写金额为准；总价金额与按分项报价汇总金额不一致的，以分项报价金额计算结果为准；分项报价金额小数点有明显错位的，应以总价为准，并修改分项报价。</w:t>
      </w:r>
    </w:p>
    <w:p w14:paraId="58805E8F">
      <w:pPr>
        <w:widowControl/>
        <w:adjustRightInd w:val="0"/>
        <w:snapToGrid w:val="0"/>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30.磋商</w:t>
      </w:r>
    </w:p>
    <w:p w14:paraId="495F06B1">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cs="宋体"/>
          <w:color w:val="auto"/>
          <w:kern w:val="0"/>
          <w:szCs w:val="21"/>
          <w:highlight w:val="none"/>
        </w:rPr>
        <w:t>30.1</w:t>
      </w:r>
      <w:r>
        <w:rPr>
          <w:rFonts w:hint="eastAsia" w:ascii="宋体" w:hAnsi="宋体"/>
          <w:color w:val="auto"/>
          <w:highlight w:val="none"/>
        </w:rPr>
        <w:t>本章第10.2项</w:t>
      </w:r>
      <w:r>
        <w:rPr>
          <w:rFonts w:hint="eastAsia" w:ascii="宋体" w:hAnsi="宋体" w:cs="宋体"/>
          <w:color w:val="auto"/>
          <w:kern w:val="0"/>
          <w:szCs w:val="21"/>
          <w:highlight w:val="none"/>
        </w:rPr>
        <w:t>未明确磋商文件实质性变动内容的，或者磋商文件明确了可能发生实质性变动内容，但在磋商过程中，</w:t>
      </w:r>
      <w:r>
        <w:rPr>
          <w:rFonts w:hint="eastAsia" w:ascii="宋体" w:hAnsi="宋体"/>
          <w:bCs/>
          <w:color w:val="auto"/>
          <w:szCs w:val="21"/>
          <w:highlight w:val="none"/>
        </w:rPr>
        <w:t>磋商小组</w:t>
      </w:r>
      <w:r>
        <w:rPr>
          <w:rFonts w:hint="eastAsia" w:ascii="宋体" w:hAnsi="宋体" w:cs="Arial"/>
          <w:color w:val="auto"/>
          <w:kern w:val="0"/>
          <w:szCs w:val="21"/>
          <w:highlight w:val="none"/>
        </w:rPr>
        <w:t>根据</w:t>
      </w:r>
      <w:r>
        <w:rPr>
          <w:rFonts w:hint="eastAsia" w:ascii="宋体" w:hAnsi="宋体" w:cs="宋体"/>
          <w:color w:val="auto"/>
          <w:kern w:val="0"/>
          <w:szCs w:val="21"/>
          <w:highlight w:val="none"/>
        </w:rPr>
        <w:t>磋商情况</w:t>
      </w:r>
      <w:r>
        <w:rPr>
          <w:rFonts w:hint="eastAsia" w:ascii="宋体" w:hAnsi="宋体"/>
          <w:bCs/>
          <w:color w:val="auto"/>
          <w:szCs w:val="21"/>
          <w:highlight w:val="none"/>
        </w:rPr>
        <w:t>认为</w:t>
      </w:r>
      <w:r>
        <w:rPr>
          <w:rFonts w:hint="eastAsia" w:ascii="宋体" w:hAnsi="宋体" w:cs="宋体"/>
          <w:color w:val="auto"/>
          <w:kern w:val="0"/>
          <w:szCs w:val="21"/>
          <w:highlight w:val="none"/>
        </w:rPr>
        <w:t>磋商文件无需发生实质性变动的，磋商小组应当直接与响应文件审查合格的供应商就价格组织</w:t>
      </w:r>
      <w:r>
        <w:rPr>
          <w:rFonts w:hint="eastAsia" w:ascii="宋体" w:hAnsi="宋体"/>
          <w:bCs/>
          <w:color w:val="auto"/>
          <w:szCs w:val="21"/>
          <w:highlight w:val="none"/>
        </w:rPr>
        <w:t>多轮磋商。</w:t>
      </w:r>
    </w:p>
    <w:p w14:paraId="0C0CDA2D">
      <w:pPr>
        <w:widowControl/>
        <w:tabs>
          <w:tab w:val="left" w:pos="1080"/>
          <w:tab w:val="left" w:pos="1260"/>
        </w:tabs>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（1）磋商结束后，磋商小组应当要求所有继续参加磋商的供应商在磋商小组规定时间内提交最后报价。</w:t>
      </w:r>
    </w:p>
    <w:p w14:paraId="7D38E559">
      <w:pPr>
        <w:widowControl/>
        <w:tabs>
          <w:tab w:val="left" w:pos="1080"/>
          <w:tab w:val="left" w:pos="1260"/>
        </w:tabs>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（2）磋商文件明确可能发生实质性变动，但在磋商过程中</w:t>
      </w:r>
      <w:r>
        <w:rPr>
          <w:rFonts w:hint="eastAsia" w:ascii="宋体" w:hAnsi="宋体"/>
          <w:bCs/>
          <w:color w:val="auto"/>
          <w:szCs w:val="21"/>
          <w:highlight w:val="none"/>
        </w:rPr>
        <w:t>磋商小组</w:t>
      </w:r>
      <w:r>
        <w:rPr>
          <w:rFonts w:hint="eastAsia" w:ascii="宋体" w:hAnsi="宋体" w:cs="Arial"/>
          <w:color w:val="auto"/>
          <w:kern w:val="0"/>
          <w:szCs w:val="21"/>
          <w:highlight w:val="none"/>
        </w:rPr>
        <w:t>根据</w:t>
      </w:r>
      <w:r>
        <w:rPr>
          <w:rFonts w:hint="eastAsia" w:ascii="宋体" w:hAnsi="宋体" w:cs="宋体"/>
          <w:color w:val="auto"/>
          <w:kern w:val="0"/>
          <w:szCs w:val="21"/>
          <w:highlight w:val="none"/>
        </w:rPr>
        <w:t>磋商情况</w:t>
      </w:r>
      <w:r>
        <w:rPr>
          <w:rFonts w:hint="eastAsia" w:ascii="宋体" w:hAnsi="宋体"/>
          <w:bCs/>
          <w:color w:val="auto"/>
          <w:szCs w:val="21"/>
          <w:highlight w:val="none"/>
        </w:rPr>
        <w:t>认为</w:t>
      </w:r>
      <w:r>
        <w:rPr>
          <w:rFonts w:hint="eastAsia" w:ascii="宋体" w:hAnsi="宋体" w:cs="宋体"/>
          <w:color w:val="auto"/>
          <w:kern w:val="0"/>
          <w:szCs w:val="21"/>
          <w:highlight w:val="none"/>
        </w:rPr>
        <w:t>磋商文件无需发生实质性变动的，磋商小组不另行通知。</w:t>
      </w:r>
    </w:p>
    <w:p w14:paraId="743EE275">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30.2</w:t>
      </w:r>
      <w:r>
        <w:rPr>
          <w:rFonts w:hint="eastAsia" w:ascii="宋体" w:hAnsi="宋体"/>
          <w:color w:val="auto"/>
          <w:highlight w:val="none"/>
        </w:rPr>
        <w:t>本章第10.2</w:t>
      </w:r>
      <w:r>
        <w:rPr>
          <w:rFonts w:hint="eastAsia" w:ascii="宋体" w:hAnsi="宋体" w:cs="宋体"/>
          <w:color w:val="auto"/>
          <w:kern w:val="0"/>
          <w:szCs w:val="21"/>
          <w:highlight w:val="none"/>
          <w:lang w:val="zh-CN"/>
        </w:rPr>
        <w:t>款</w:t>
      </w:r>
      <w:r>
        <w:rPr>
          <w:rFonts w:hint="eastAsia" w:ascii="宋体" w:hAnsi="宋体" w:cs="宋体"/>
          <w:color w:val="auto"/>
          <w:kern w:val="0"/>
          <w:szCs w:val="21"/>
          <w:highlight w:val="none"/>
        </w:rPr>
        <w:t>明确磋商文件实质性变动内容的，</w:t>
      </w:r>
      <w:r>
        <w:rPr>
          <w:rFonts w:hint="eastAsia" w:ascii="宋体" w:hAnsi="宋体"/>
          <w:bCs/>
          <w:color w:val="auto"/>
          <w:szCs w:val="21"/>
          <w:highlight w:val="none"/>
        </w:rPr>
        <w:t>磋商小组</w:t>
      </w:r>
      <w:r>
        <w:rPr>
          <w:rFonts w:hint="eastAsia" w:ascii="宋体" w:hAnsi="宋体" w:cs="宋体"/>
          <w:color w:val="auto"/>
          <w:kern w:val="0"/>
          <w:szCs w:val="21"/>
          <w:highlight w:val="none"/>
        </w:rPr>
        <w:t>可以组织多轮磋商。</w:t>
      </w:r>
      <w:r>
        <w:rPr>
          <w:rFonts w:hint="eastAsia" w:ascii="宋体" w:hAnsi="宋体"/>
          <w:bCs/>
          <w:color w:val="auto"/>
          <w:szCs w:val="21"/>
          <w:highlight w:val="none"/>
        </w:rPr>
        <w:t>在每一轮磋商中，磋商小组</w:t>
      </w:r>
      <w:r>
        <w:rPr>
          <w:rFonts w:hint="eastAsia" w:ascii="宋体" w:hAnsi="宋体" w:cs="宋体"/>
          <w:color w:val="auto"/>
          <w:kern w:val="0"/>
          <w:szCs w:val="21"/>
          <w:highlight w:val="none"/>
        </w:rPr>
        <w:t>可以</w:t>
      </w:r>
      <w:r>
        <w:rPr>
          <w:rFonts w:hint="eastAsia" w:ascii="宋体" w:hAnsi="宋体" w:cs="Arial"/>
          <w:color w:val="auto"/>
          <w:kern w:val="0"/>
          <w:szCs w:val="21"/>
          <w:highlight w:val="none"/>
        </w:rPr>
        <w:t>根据</w:t>
      </w:r>
      <w:r>
        <w:rPr>
          <w:rFonts w:hint="eastAsia" w:ascii="宋体" w:hAnsi="宋体" w:cs="宋体"/>
          <w:color w:val="auto"/>
          <w:kern w:val="0"/>
          <w:szCs w:val="21"/>
          <w:highlight w:val="none"/>
        </w:rPr>
        <w:t>磋商文件规定和磋商情况，</w:t>
      </w:r>
      <w:r>
        <w:rPr>
          <w:rFonts w:hint="eastAsia" w:ascii="宋体" w:hAnsi="宋体"/>
          <w:bCs/>
          <w:color w:val="auto"/>
          <w:szCs w:val="21"/>
          <w:highlight w:val="none"/>
        </w:rPr>
        <w:t>对磋商文件的</w:t>
      </w:r>
      <w:r>
        <w:rPr>
          <w:rFonts w:hint="eastAsia" w:ascii="宋体" w:hAnsi="宋体" w:cs="宋体"/>
          <w:color w:val="auto"/>
          <w:kern w:val="0"/>
          <w:szCs w:val="21"/>
          <w:highlight w:val="none"/>
        </w:rPr>
        <w:t>采购需求中的技术、服务要求以及合同草案条款</w:t>
      </w:r>
      <w:r>
        <w:rPr>
          <w:rFonts w:hint="eastAsia" w:ascii="宋体" w:hAnsi="宋体"/>
          <w:bCs/>
          <w:color w:val="auto"/>
          <w:szCs w:val="21"/>
          <w:highlight w:val="none"/>
        </w:rPr>
        <w:t>作实质性变动(磋商文件的实质性变动内容为磋商文件的组成部分)，并以书面形式要求</w:t>
      </w:r>
      <w:r>
        <w:rPr>
          <w:rFonts w:hint="eastAsia" w:ascii="宋体" w:hAnsi="宋体" w:cs="宋体"/>
          <w:color w:val="auto"/>
          <w:kern w:val="0"/>
          <w:szCs w:val="21"/>
          <w:highlight w:val="none"/>
        </w:rPr>
        <w:t>响应文件审查合格</w:t>
      </w:r>
      <w:r>
        <w:rPr>
          <w:rFonts w:hint="eastAsia" w:ascii="宋体" w:hAnsi="宋体"/>
          <w:bCs/>
          <w:color w:val="auto"/>
          <w:szCs w:val="21"/>
          <w:highlight w:val="none"/>
        </w:rPr>
        <w:t>的供应商，在规定的</w:t>
      </w:r>
      <w:r>
        <w:rPr>
          <w:rFonts w:hint="eastAsia" w:ascii="宋体" w:hAnsi="宋体" w:cs="宋体"/>
          <w:color w:val="auto"/>
          <w:kern w:val="0"/>
          <w:szCs w:val="21"/>
          <w:highlight w:val="none"/>
        </w:rPr>
        <w:t>截止时间前</w:t>
      </w:r>
      <w:r>
        <w:rPr>
          <w:rFonts w:hint="eastAsia" w:ascii="宋体" w:hAnsi="宋体"/>
          <w:bCs/>
          <w:color w:val="auto"/>
          <w:szCs w:val="21"/>
          <w:highlight w:val="none"/>
        </w:rPr>
        <w:t>重</w:t>
      </w:r>
      <w:r>
        <w:rPr>
          <w:rFonts w:hint="eastAsia" w:ascii="宋体" w:hAnsi="宋体" w:cs="宋体"/>
          <w:color w:val="auto"/>
          <w:kern w:val="0"/>
          <w:szCs w:val="21"/>
          <w:highlight w:val="none"/>
        </w:rPr>
        <w:t>新提交响应文件</w:t>
      </w:r>
      <w:r>
        <w:rPr>
          <w:rFonts w:hint="eastAsia" w:ascii="宋体" w:hAnsi="宋体"/>
          <w:bCs/>
          <w:color w:val="auto"/>
          <w:szCs w:val="21"/>
          <w:highlight w:val="none"/>
        </w:rPr>
        <w:t>。</w:t>
      </w:r>
      <w:r>
        <w:rPr>
          <w:rFonts w:hint="eastAsia" w:ascii="宋体" w:hAnsi="宋体" w:cs="宋体"/>
          <w:color w:val="auto"/>
          <w:kern w:val="0"/>
          <w:szCs w:val="21"/>
          <w:highlight w:val="none"/>
        </w:rPr>
        <w:t>磋商小组应当</w:t>
      </w:r>
      <w:r>
        <w:rPr>
          <w:rFonts w:hint="eastAsia" w:ascii="宋体" w:hAnsi="宋体"/>
          <w:color w:val="auto"/>
          <w:szCs w:val="21"/>
          <w:highlight w:val="none"/>
        </w:rPr>
        <w:t>根据本章第26.2</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w:t>
      </w:r>
      <w:r>
        <w:rPr>
          <w:rFonts w:hint="eastAsia" w:ascii="宋体" w:hAnsi="宋体" w:cs="宋体"/>
          <w:color w:val="auto"/>
          <w:kern w:val="0"/>
          <w:szCs w:val="21"/>
          <w:highlight w:val="none"/>
        </w:rPr>
        <w:t>对供应商重新提交的响应文件进行审查。供应商重新提交的响应文件审查不合格的，不得进入下一轮磋商，也不得要求提交最后报价。</w:t>
      </w:r>
    </w:p>
    <w:p w14:paraId="0A28CB4A">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（1）磋商文件能够详细列明采购需求的技术、服务要求的，磋商结束后，磋商小组应当要求所有继续参加磋商的供应商在规定时间内提交最后报价。</w:t>
      </w:r>
    </w:p>
    <w:p w14:paraId="1F793005">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0D0DE88B">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bCs/>
          <w:color w:val="auto"/>
          <w:szCs w:val="21"/>
          <w:highlight w:val="none"/>
        </w:rPr>
        <w:t>30.3</w:t>
      </w:r>
      <w:r>
        <w:rPr>
          <w:rFonts w:hint="eastAsia" w:ascii="宋体" w:hAnsi="宋体"/>
          <w:bCs/>
          <w:color w:val="auto"/>
          <w:highlight w:val="none"/>
        </w:rPr>
        <w:t>重</w:t>
      </w:r>
      <w:r>
        <w:rPr>
          <w:rFonts w:hint="eastAsia" w:ascii="宋体" w:hAnsi="宋体" w:cs="宋体"/>
          <w:color w:val="auto"/>
          <w:kern w:val="0"/>
          <w:highlight w:val="none"/>
        </w:rPr>
        <w:t>新提交的响应文件</w:t>
      </w:r>
      <w:r>
        <w:rPr>
          <w:rFonts w:hint="eastAsia" w:ascii="宋体" w:hAnsi="宋体"/>
          <w:color w:val="auto"/>
          <w:highlight w:val="none"/>
        </w:rPr>
        <w:t>或者最后报价应按</w:t>
      </w:r>
      <w:r>
        <w:rPr>
          <w:rFonts w:hint="eastAsia" w:ascii="宋体" w:hAnsi="宋体" w:cs="宋体"/>
          <w:color w:val="auto"/>
          <w:kern w:val="0"/>
          <w:szCs w:val="21"/>
          <w:highlight w:val="none"/>
        </w:rPr>
        <w:t>本章第</w:t>
      </w:r>
      <w:r>
        <w:rPr>
          <w:rFonts w:hint="eastAsia" w:ascii="宋体" w:hAnsi="宋体"/>
          <w:color w:val="auto"/>
          <w:highlight w:val="none"/>
        </w:rPr>
        <w:t>21.3</w:t>
      </w:r>
      <w:r>
        <w:rPr>
          <w:rFonts w:hint="eastAsia" w:ascii="宋体" w:hAnsi="宋体" w:cs="宋体"/>
          <w:color w:val="auto"/>
          <w:kern w:val="0"/>
          <w:szCs w:val="21"/>
          <w:highlight w:val="none"/>
          <w:lang w:val="zh-CN"/>
        </w:rPr>
        <w:t>款</w:t>
      </w:r>
      <w:r>
        <w:rPr>
          <w:rFonts w:hint="eastAsia" w:ascii="宋体" w:hAnsi="宋体"/>
          <w:color w:val="auto"/>
          <w:highlight w:val="none"/>
        </w:rPr>
        <w:t>规定，</w:t>
      </w:r>
      <w:r>
        <w:rPr>
          <w:rFonts w:hint="eastAsia" w:ascii="宋体" w:hAnsi="宋体" w:cs="宋体"/>
          <w:color w:val="auto"/>
          <w:kern w:val="0"/>
          <w:szCs w:val="21"/>
          <w:highlight w:val="none"/>
        </w:rPr>
        <w:t>由其法定代表人或其委托代理人签字或者加盖</w:t>
      </w:r>
      <w:r>
        <w:rPr>
          <w:rFonts w:hint="eastAsia" w:ascii="宋体" w:hAnsi="宋体" w:cs="宋体"/>
          <w:color w:val="auto"/>
          <w:kern w:val="0"/>
          <w:highlight w:val="none"/>
        </w:rPr>
        <w:t>供应商单位</w:t>
      </w:r>
      <w:r>
        <w:rPr>
          <w:rFonts w:hint="eastAsia" w:ascii="宋体" w:hAnsi="宋体" w:cs="宋体"/>
          <w:color w:val="auto"/>
          <w:kern w:val="0"/>
          <w:szCs w:val="21"/>
          <w:highlight w:val="none"/>
        </w:rPr>
        <w:t>章，在规定时间内密封递交给磋商小组</w:t>
      </w:r>
      <w:r>
        <w:rPr>
          <w:rFonts w:hint="eastAsia" w:ascii="宋体" w:hAnsi="宋体"/>
          <w:bCs/>
          <w:color w:val="auto"/>
          <w:szCs w:val="21"/>
          <w:highlight w:val="none"/>
        </w:rPr>
        <w:t>。</w:t>
      </w:r>
    </w:p>
    <w:p w14:paraId="5D22927F">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cs="宋体"/>
          <w:color w:val="auto"/>
          <w:kern w:val="0"/>
          <w:szCs w:val="21"/>
          <w:highlight w:val="none"/>
        </w:rPr>
        <w:t>30.4</w:t>
      </w:r>
      <w:r>
        <w:rPr>
          <w:rFonts w:hint="eastAsia" w:ascii="宋体" w:hAnsi="宋体" w:cs="宋体"/>
          <w:color w:val="auto"/>
          <w:kern w:val="0"/>
          <w:szCs w:val="21"/>
          <w:highlight w:val="none"/>
          <w:lang w:val="zh-CN"/>
        </w:rPr>
        <w:t>供应商的</w:t>
      </w:r>
      <w:r>
        <w:rPr>
          <w:rFonts w:hint="eastAsia" w:ascii="宋体" w:hAnsi="宋体"/>
          <w:bCs/>
          <w:color w:val="auto"/>
          <w:szCs w:val="21"/>
          <w:highlight w:val="none"/>
        </w:rPr>
        <w:t>最</w:t>
      </w:r>
      <w:r>
        <w:rPr>
          <w:rFonts w:hint="eastAsia" w:ascii="宋体" w:hAnsi="宋体" w:cs="宋体"/>
          <w:color w:val="auto"/>
          <w:kern w:val="0"/>
          <w:szCs w:val="21"/>
          <w:highlight w:val="none"/>
          <w:lang w:val="zh-CN"/>
        </w:rPr>
        <w:t>后</w:t>
      </w:r>
      <w:r>
        <w:rPr>
          <w:rFonts w:hint="eastAsia" w:ascii="宋体" w:hAnsi="宋体"/>
          <w:bCs/>
          <w:color w:val="auto"/>
          <w:szCs w:val="21"/>
          <w:highlight w:val="none"/>
        </w:rPr>
        <w:t>报价及</w:t>
      </w:r>
      <w:r>
        <w:rPr>
          <w:rFonts w:hint="eastAsia" w:ascii="宋体" w:hAnsi="宋体" w:cs="宋体"/>
          <w:color w:val="auto"/>
          <w:kern w:val="0"/>
          <w:szCs w:val="21"/>
          <w:highlight w:val="none"/>
        </w:rPr>
        <w:t>政府采购政策规定的价格扣除情况，磋商小组应召集所有参加最后报价的供应商当场开封公布，并由供应商代表签字确认。投标单位每次磋商的报价应比前一次更具有优势，不能超出前一次报价</w:t>
      </w:r>
      <w:r>
        <w:rPr>
          <w:rFonts w:hint="eastAsia" w:ascii="宋体" w:hAnsi="宋体"/>
          <w:bCs/>
          <w:color w:val="auto"/>
          <w:szCs w:val="21"/>
          <w:highlight w:val="none"/>
        </w:rPr>
        <w:t>。磋商小组认为供应商最后报价明显不合理或低于成本，有可能影响项目实施和不能诚信履约的，可要求其在规定期限内提供书面文件及相关证明材料解释说明，否则，按无效响应处理。</w:t>
      </w:r>
    </w:p>
    <w:p w14:paraId="1AEB96F8">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30.5提交首次响应文件的供应商，在提交最后报价之前，可以根据磋商情况退出磋商，</w:t>
      </w:r>
      <w:r>
        <w:rPr>
          <w:rFonts w:hint="eastAsia" w:ascii="宋体" w:hAnsi="宋体" w:cs="宋体"/>
          <w:color w:val="auto"/>
          <w:kern w:val="0"/>
          <w:highlight w:val="none"/>
        </w:rPr>
        <w:t>并书面通知采购代理机构或者磋商小组。</w:t>
      </w:r>
      <w:r>
        <w:rPr>
          <w:rFonts w:hint="eastAsia" w:ascii="宋体" w:hAnsi="宋体"/>
          <w:color w:val="auto"/>
          <w:highlight w:val="none"/>
        </w:rPr>
        <w:t>该通知由供应商法定代表人或其委托代理人签字。</w:t>
      </w:r>
      <w:r>
        <w:rPr>
          <w:rFonts w:hint="eastAsia" w:ascii="宋体" w:hAnsi="宋体" w:cs="宋体"/>
          <w:color w:val="auto"/>
          <w:kern w:val="0"/>
          <w:szCs w:val="21"/>
          <w:highlight w:val="none"/>
        </w:rPr>
        <w:t>采购代理机构</w:t>
      </w:r>
      <w:r>
        <w:rPr>
          <w:rFonts w:hint="eastAsia" w:ascii="宋体" w:hAnsi="宋体" w:cs="宋体"/>
          <w:color w:val="auto"/>
          <w:kern w:val="0"/>
          <w:highlight w:val="none"/>
        </w:rPr>
        <w:t>按</w:t>
      </w:r>
      <w:r>
        <w:rPr>
          <w:rFonts w:hint="eastAsia" w:ascii="宋体" w:hAnsi="宋体" w:cs="宋体"/>
          <w:color w:val="auto"/>
          <w:kern w:val="0"/>
          <w:szCs w:val="21"/>
          <w:highlight w:val="none"/>
        </w:rPr>
        <w:t>本章第</w:t>
      </w:r>
      <w:r>
        <w:rPr>
          <w:rFonts w:hint="eastAsia" w:ascii="宋体" w:hAnsi="宋体"/>
          <w:color w:val="auto"/>
          <w:highlight w:val="none"/>
        </w:rPr>
        <w:t>19.4</w:t>
      </w:r>
      <w:r>
        <w:rPr>
          <w:rFonts w:hint="eastAsia" w:ascii="宋体" w:hAnsi="宋体" w:cs="宋体"/>
          <w:color w:val="auto"/>
          <w:kern w:val="0"/>
          <w:szCs w:val="21"/>
          <w:highlight w:val="none"/>
          <w:lang w:val="zh-CN"/>
        </w:rPr>
        <w:t>款</w:t>
      </w:r>
      <w:r>
        <w:rPr>
          <w:rFonts w:hint="eastAsia" w:ascii="宋体" w:hAnsi="宋体"/>
          <w:color w:val="auto"/>
          <w:highlight w:val="none"/>
        </w:rPr>
        <w:t>规定</w:t>
      </w:r>
      <w:r>
        <w:rPr>
          <w:rFonts w:hint="eastAsia" w:ascii="宋体" w:hAnsi="宋体" w:cs="宋体"/>
          <w:color w:val="auto"/>
          <w:kern w:val="0"/>
          <w:szCs w:val="21"/>
          <w:highlight w:val="none"/>
        </w:rPr>
        <w:t>退还退出磋商的供应商的磋商保证金。</w:t>
      </w:r>
    </w:p>
    <w:p w14:paraId="3D9297C3">
      <w:pPr>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bCs/>
          <w:color w:val="auto"/>
          <w:szCs w:val="21"/>
          <w:highlight w:val="none"/>
        </w:rPr>
        <w:t>30.6</w:t>
      </w:r>
      <w:r>
        <w:rPr>
          <w:rFonts w:hint="eastAsia" w:ascii="宋体" w:hAnsi="宋体" w:cs="宋体"/>
          <w:color w:val="auto"/>
          <w:kern w:val="0"/>
          <w:szCs w:val="21"/>
          <w:highlight w:val="none"/>
        </w:rPr>
        <w:t>提交首次响应文件的供应商，未按磋商文件规定及磋商小组要求提交最后报价(或者</w:t>
      </w:r>
      <w:r>
        <w:rPr>
          <w:rFonts w:hint="eastAsia" w:ascii="宋体" w:hAnsi="宋体"/>
          <w:bCs/>
          <w:color w:val="auto"/>
          <w:szCs w:val="21"/>
          <w:highlight w:val="none"/>
        </w:rPr>
        <w:t>重</w:t>
      </w:r>
      <w:r>
        <w:rPr>
          <w:rFonts w:hint="eastAsia" w:ascii="宋体" w:hAnsi="宋体" w:cs="宋体"/>
          <w:color w:val="auto"/>
          <w:kern w:val="0"/>
          <w:szCs w:val="21"/>
          <w:highlight w:val="none"/>
        </w:rPr>
        <w:t>新提交的响应文件和最后报价)，且又</w:t>
      </w:r>
      <w:r>
        <w:rPr>
          <w:rFonts w:hint="eastAsia" w:ascii="宋体" w:hAnsi="宋体" w:cs="宋体"/>
          <w:color w:val="auto"/>
          <w:kern w:val="0"/>
          <w:highlight w:val="none"/>
        </w:rPr>
        <w:t>未按</w:t>
      </w:r>
      <w:r>
        <w:rPr>
          <w:rFonts w:hint="eastAsia" w:ascii="宋体" w:hAnsi="宋体" w:cs="宋体"/>
          <w:color w:val="auto"/>
          <w:kern w:val="0"/>
          <w:szCs w:val="21"/>
          <w:highlight w:val="none"/>
        </w:rPr>
        <w:t>本章第</w:t>
      </w:r>
      <w:r>
        <w:rPr>
          <w:rFonts w:hint="eastAsia" w:ascii="宋体" w:hAnsi="宋体"/>
          <w:color w:val="auto"/>
          <w:highlight w:val="none"/>
        </w:rPr>
        <w:t>30.5</w:t>
      </w:r>
      <w:r>
        <w:rPr>
          <w:rFonts w:hint="eastAsia" w:ascii="宋体" w:hAnsi="宋体" w:cs="宋体"/>
          <w:color w:val="auto"/>
          <w:kern w:val="0"/>
          <w:szCs w:val="21"/>
          <w:highlight w:val="none"/>
          <w:lang w:val="zh-CN"/>
        </w:rPr>
        <w:t>款</w:t>
      </w:r>
      <w:r>
        <w:rPr>
          <w:rFonts w:hint="eastAsia" w:ascii="宋体" w:hAnsi="宋体"/>
          <w:color w:val="auto"/>
          <w:highlight w:val="none"/>
        </w:rPr>
        <w:t>规定</w:t>
      </w:r>
      <w:r>
        <w:rPr>
          <w:rFonts w:hint="eastAsia" w:ascii="宋体" w:hAnsi="宋体" w:cs="宋体"/>
          <w:color w:val="auto"/>
          <w:kern w:val="0"/>
          <w:szCs w:val="21"/>
          <w:highlight w:val="none"/>
        </w:rPr>
        <w:t>退出磋商的，供应商的磋商保证金不予退还。</w:t>
      </w:r>
    </w:p>
    <w:p w14:paraId="5592D14F">
      <w:pPr>
        <w:widowControl/>
        <w:tabs>
          <w:tab w:val="left" w:pos="6358"/>
        </w:tabs>
        <w:adjustRightInd w:val="0"/>
        <w:snapToGrid w:val="0"/>
        <w:spacing w:line="360" w:lineRule="auto"/>
        <w:jc w:val="left"/>
        <w:rPr>
          <w:rFonts w:ascii="宋体" w:hAnsi="宋体"/>
          <w:b/>
          <w:bCs/>
          <w:color w:val="auto"/>
          <w:szCs w:val="21"/>
          <w:highlight w:val="none"/>
        </w:rPr>
      </w:pPr>
      <w:r>
        <w:rPr>
          <w:rFonts w:hint="eastAsia" w:ascii="宋体" w:hAnsi="宋体" w:cs="宋体"/>
          <w:b/>
          <w:color w:val="auto"/>
          <w:kern w:val="0"/>
          <w:szCs w:val="21"/>
          <w:highlight w:val="none"/>
        </w:rPr>
        <w:t>31.响应文件评审</w:t>
      </w:r>
      <w:r>
        <w:rPr>
          <w:rFonts w:ascii="宋体" w:hAnsi="宋体" w:cs="宋体"/>
          <w:b/>
          <w:color w:val="auto"/>
          <w:kern w:val="0"/>
          <w:szCs w:val="21"/>
          <w:highlight w:val="none"/>
        </w:rPr>
        <w:tab/>
      </w:r>
    </w:p>
    <w:p w14:paraId="34796940">
      <w:pPr>
        <w:widowControl/>
        <w:adjustRightInd w:val="0"/>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31.1经磋商确定最终采购需求和提交最后报价的供应商后，由磋商小组采用综合评分法对提交最后报价的供应商的响应文件和最后报价进行综合评价。</w:t>
      </w:r>
    </w:p>
    <w:p w14:paraId="08124325">
      <w:pPr>
        <w:widowControl/>
        <w:adjustRightInd w:val="0"/>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31.2综合评分法，是指响应文件满足磋商文件全部实质性要求且按评审因素的量化指标评审得分最高的供应商为成交候选供应商的评审方法。本采购项目的评审因素和标准见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b/>
          <w:bCs/>
          <w:color w:val="auto"/>
          <w:szCs w:val="21"/>
          <w:highlight w:val="none"/>
        </w:rPr>
        <w:t>磋商须知前附表。</w:t>
      </w:r>
    </w:p>
    <w:p w14:paraId="2D657B49">
      <w:pPr>
        <w:widowControl/>
        <w:adjustRightInd w:val="0"/>
        <w:snapToGrid w:val="0"/>
        <w:spacing w:before="120" w:beforeLines="50" w:line="360" w:lineRule="auto"/>
        <w:ind w:firstLine="420" w:firstLineChars="200"/>
        <w:jc w:val="left"/>
        <w:rPr>
          <w:rFonts w:ascii="宋体" w:hAnsi="宋体"/>
          <w:bCs/>
          <w:color w:val="auto"/>
          <w:szCs w:val="21"/>
          <w:highlight w:val="none"/>
        </w:rPr>
      </w:pPr>
      <w:r>
        <w:rPr>
          <w:rFonts w:hint="eastAsia" w:ascii="宋体" w:hAnsi="宋体" w:cs="宋体"/>
          <w:color w:val="auto"/>
          <w:kern w:val="0"/>
          <w:szCs w:val="21"/>
          <w:highlight w:val="none"/>
        </w:rPr>
        <w:t>31.3</w:t>
      </w:r>
      <w:r>
        <w:rPr>
          <w:rFonts w:hint="eastAsia" w:ascii="宋体" w:hAnsi="宋体"/>
          <w:color w:val="auto"/>
          <w:szCs w:val="21"/>
          <w:highlight w:val="none"/>
        </w:rPr>
        <w:t>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宋体" w:hAnsi="宋体"/>
          <w:b/>
          <w:color w:val="auto"/>
          <w:szCs w:val="21"/>
          <w:highlight w:val="none"/>
        </w:rPr>
        <w:t>磋商须知前附表</w:t>
      </w:r>
      <w:r>
        <w:rPr>
          <w:rFonts w:hint="eastAsia" w:ascii="宋体" w:hAnsi="宋体"/>
          <w:color w:val="auto"/>
          <w:szCs w:val="21"/>
          <w:highlight w:val="none"/>
        </w:rPr>
        <w:t>。</w:t>
      </w:r>
    </w:p>
    <w:p w14:paraId="70659CC0">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31.4综合评分法中的价格分采用低价优先法计算，即满足磋商文件要求且经调整后的最后报价最低的供应商的价格为磋商基准价，其价格分为满分。其他供应商的价格分按照下列公式计算：</w:t>
      </w:r>
    </w:p>
    <w:p w14:paraId="6A35305A">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磋商报价得分=（磋商基准价/最后磋商报价）×价格权值×100</w:t>
      </w:r>
    </w:p>
    <w:p w14:paraId="2769576D">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项目评审过程中，不得去掉最后报价中的最高报价和最低报价。</w:t>
      </w:r>
    </w:p>
    <w:p w14:paraId="34BD380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bCs/>
          <w:color w:val="auto"/>
          <w:szCs w:val="21"/>
          <w:highlight w:val="none"/>
        </w:rPr>
        <w:t>31.5</w:t>
      </w:r>
      <w:r>
        <w:rPr>
          <w:rFonts w:hint="eastAsia" w:ascii="宋体" w:hAnsi="宋体"/>
          <w:color w:val="auto"/>
          <w:szCs w:val="21"/>
          <w:highlight w:val="none"/>
        </w:rPr>
        <w:t>涉及政府采购政策优惠对供应商分值进行调整的，</w:t>
      </w:r>
      <w:r>
        <w:rPr>
          <w:rFonts w:hint="eastAsia" w:ascii="宋体" w:hAnsi="宋体"/>
          <w:bCs/>
          <w:color w:val="auto"/>
          <w:szCs w:val="21"/>
          <w:highlight w:val="none"/>
        </w:rPr>
        <w:t>按</w:t>
      </w:r>
      <w:r>
        <w:rPr>
          <w:rFonts w:hint="eastAsia" w:ascii="宋体" w:hAnsi="宋体"/>
          <w:b/>
          <w:color w:val="auto"/>
          <w:szCs w:val="21"/>
          <w:highlight w:val="none"/>
        </w:rPr>
        <w:t>磋商须知前附表</w:t>
      </w:r>
      <w:r>
        <w:rPr>
          <w:rFonts w:hint="eastAsia" w:ascii="宋体" w:hAnsi="宋体"/>
          <w:bCs/>
          <w:color w:val="auto"/>
          <w:szCs w:val="21"/>
          <w:highlight w:val="none"/>
        </w:rPr>
        <w:t>规定</w:t>
      </w:r>
      <w:r>
        <w:rPr>
          <w:rFonts w:hint="eastAsia" w:ascii="宋体" w:hAnsi="宋体"/>
          <w:color w:val="auto"/>
          <w:szCs w:val="21"/>
          <w:highlight w:val="none"/>
        </w:rPr>
        <w:t>调整供应商的技术、商务、价格</w:t>
      </w:r>
      <w:r>
        <w:rPr>
          <w:rFonts w:hint="eastAsia" w:ascii="宋体" w:hAnsi="宋体" w:cs="宋体"/>
          <w:color w:val="auto"/>
          <w:kern w:val="0"/>
          <w:szCs w:val="21"/>
          <w:highlight w:val="none"/>
        </w:rPr>
        <w:t>得分或总得分</w:t>
      </w:r>
      <w:r>
        <w:rPr>
          <w:rFonts w:hint="eastAsia" w:ascii="宋体" w:hAnsi="宋体"/>
          <w:color w:val="auto"/>
          <w:szCs w:val="21"/>
          <w:highlight w:val="none"/>
        </w:rPr>
        <w:t>。</w:t>
      </w:r>
    </w:p>
    <w:p w14:paraId="508DB59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31.6涉及多处或部分获得政府采购政策优惠的，其多处或部分享受政府采购优惠政策的计算方法见</w:t>
      </w:r>
      <w:r>
        <w:rPr>
          <w:rFonts w:hint="eastAsia" w:ascii="宋体" w:hAnsi="宋体"/>
          <w:b/>
          <w:color w:val="auto"/>
          <w:szCs w:val="21"/>
          <w:highlight w:val="none"/>
        </w:rPr>
        <w:t>磋商须知前附表</w:t>
      </w:r>
      <w:r>
        <w:rPr>
          <w:rFonts w:hint="eastAsia" w:ascii="宋体" w:hAnsi="宋体"/>
          <w:color w:val="auto"/>
          <w:szCs w:val="21"/>
          <w:highlight w:val="none"/>
        </w:rPr>
        <w:t>相关规定。</w:t>
      </w:r>
    </w:p>
    <w:p w14:paraId="67CE254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olor w:val="auto"/>
          <w:szCs w:val="21"/>
          <w:highlight w:val="none"/>
        </w:rPr>
      </w:pPr>
      <w:r>
        <w:rPr>
          <w:rFonts w:hint="eastAsia" w:ascii="宋体" w:hAnsi="宋体" w:cs="宋体"/>
          <w:color w:val="auto"/>
          <w:kern w:val="0"/>
          <w:szCs w:val="21"/>
          <w:highlight w:val="none"/>
        </w:rPr>
        <w:t>31.7</w:t>
      </w:r>
      <w:r>
        <w:rPr>
          <w:rFonts w:hint="eastAsia" w:ascii="宋体" w:hAnsi="宋体"/>
          <w:color w:val="auto"/>
          <w:szCs w:val="21"/>
          <w:highlight w:val="none"/>
        </w:rPr>
        <w:t>评审时，磋商小组各成员应当独立对每个供应商的</w:t>
      </w:r>
      <w:r>
        <w:rPr>
          <w:rFonts w:hint="eastAsia" w:ascii="宋体" w:hAnsi="宋体"/>
          <w:bCs/>
          <w:color w:val="auto"/>
          <w:szCs w:val="21"/>
          <w:highlight w:val="none"/>
        </w:rPr>
        <w:t>响应文件</w:t>
      </w:r>
      <w:r>
        <w:rPr>
          <w:rFonts w:hint="eastAsia" w:ascii="宋体" w:hAnsi="宋体"/>
          <w:color w:val="auto"/>
          <w:szCs w:val="21"/>
          <w:highlight w:val="none"/>
        </w:rPr>
        <w:t>进行评价、评分，并按照政府采购优惠政策对最后报价进行价格扣除和技术、商务、价格加分后，汇总各供应商的总得分。</w:t>
      </w:r>
    </w:p>
    <w:p w14:paraId="709C518E">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宋体" w:hAnsi="宋体"/>
          <w:b/>
          <w:bCs/>
          <w:color w:val="auto"/>
          <w:szCs w:val="21"/>
          <w:highlight w:val="none"/>
        </w:rPr>
      </w:pPr>
      <w:r>
        <w:rPr>
          <w:rFonts w:hint="eastAsia" w:ascii="宋体" w:hAnsi="宋体"/>
          <w:b/>
          <w:bCs/>
          <w:color w:val="auto"/>
          <w:szCs w:val="21"/>
          <w:highlight w:val="none"/>
        </w:rPr>
        <w:t>32</w:t>
      </w:r>
      <w:r>
        <w:rPr>
          <w:rFonts w:hint="eastAsia" w:ascii="宋体" w:hAnsi="宋体" w:cs="宋体"/>
          <w:b/>
          <w:color w:val="auto"/>
          <w:kern w:val="0"/>
          <w:szCs w:val="21"/>
          <w:highlight w:val="none"/>
        </w:rPr>
        <w:t>.</w:t>
      </w:r>
      <w:r>
        <w:rPr>
          <w:rFonts w:hint="eastAsia" w:ascii="宋体" w:hAnsi="宋体"/>
          <w:b/>
          <w:bCs/>
          <w:color w:val="auto"/>
          <w:szCs w:val="21"/>
          <w:highlight w:val="none"/>
        </w:rPr>
        <w:t>提出成交供应商</w:t>
      </w:r>
    </w:p>
    <w:p w14:paraId="08D46BD3">
      <w:pPr>
        <w:keepNext w:val="0"/>
        <w:keepLines w:val="0"/>
        <w:pageBreakBefore w:val="0"/>
        <w:widowControl/>
        <w:kinsoku/>
        <w:wordWrap/>
        <w:overflowPunct/>
        <w:topLinePunct w:val="0"/>
        <w:autoSpaceDE/>
        <w:autoSpaceDN/>
        <w:bidi w:val="0"/>
        <w:spacing w:line="420" w:lineRule="atLeast"/>
        <w:ind w:firstLine="420"/>
        <w:jc w:val="left"/>
        <w:textAlignment w:val="auto"/>
        <w:rPr>
          <w:rFonts w:ascii="宋体" w:hAnsi="宋体"/>
          <w:bCs/>
          <w:color w:val="auto"/>
          <w:szCs w:val="21"/>
          <w:highlight w:val="none"/>
        </w:rPr>
      </w:pPr>
      <w:r>
        <w:rPr>
          <w:rFonts w:hint="eastAsia" w:ascii="宋体" w:hAnsi="宋体" w:cs="宋体"/>
          <w:color w:val="auto"/>
          <w:kern w:val="0"/>
          <w:szCs w:val="21"/>
          <w:highlight w:val="none"/>
        </w:rPr>
        <w:t>32.1</w:t>
      </w:r>
      <w:r>
        <w:rPr>
          <w:rFonts w:hint="eastAsia" w:ascii="宋体" w:hAnsi="宋体"/>
          <w:bCs/>
          <w:color w:val="auto"/>
          <w:szCs w:val="21"/>
          <w:highlight w:val="none"/>
        </w:rPr>
        <w:t>磋商小组应当根据综合评分情况，按照评审得分由高到低顺序推荐3名（含）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宋体" w:hAnsi="宋体" w:cs="宋体"/>
          <w:color w:val="auto"/>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宋体" w:hAnsi="宋体"/>
          <w:bCs/>
          <w:color w:val="auto"/>
          <w:szCs w:val="21"/>
          <w:highlight w:val="none"/>
        </w:rPr>
        <w:t>可以推荐2家成交候选供应商。</w:t>
      </w:r>
    </w:p>
    <w:p w14:paraId="3A02B84D">
      <w:pPr>
        <w:keepNext w:val="0"/>
        <w:keepLines w:val="0"/>
        <w:pageBreakBefore w:val="0"/>
        <w:widowControl/>
        <w:kinsoku/>
        <w:wordWrap/>
        <w:overflowPunct/>
        <w:topLinePunct w:val="0"/>
        <w:autoSpaceDE/>
        <w:autoSpaceDN/>
        <w:bidi w:val="0"/>
        <w:spacing w:line="420" w:lineRule="atLeast"/>
        <w:jc w:val="left"/>
        <w:textAlignment w:val="auto"/>
        <w:rPr>
          <w:rFonts w:ascii="宋体" w:hAnsi="宋体"/>
          <w:b/>
          <w:bCs/>
          <w:color w:val="auto"/>
          <w:szCs w:val="21"/>
          <w:highlight w:val="none"/>
        </w:rPr>
      </w:pPr>
      <w:r>
        <w:rPr>
          <w:rFonts w:hint="eastAsia" w:ascii="宋体" w:hAnsi="宋体"/>
          <w:b/>
          <w:bCs/>
          <w:color w:val="auto"/>
          <w:szCs w:val="21"/>
          <w:highlight w:val="none"/>
        </w:rPr>
        <w:t>33.确定成交供应商</w:t>
      </w:r>
    </w:p>
    <w:p w14:paraId="439F9A6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33.1采购代理机构应当在评审结束后2个工作日内将评审报告送采购人确认。</w:t>
      </w:r>
    </w:p>
    <w:p w14:paraId="10F6E0A6">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33.2采购人应当在收到评审报告后5个工作日内，从评审报告提出的成交候选供应商中，按照排序由高到低的原则确定成交供应商，也可以书面授权磋商小组直接确定成交供应商。</w:t>
      </w:r>
    </w:p>
    <w:p w14:paraId="4EF13803">
      <w:pPr>
        <w:pStyle w:val="25"/>
        <w:adjustRightInd w:val="0"/>
        <w:snapToGrid w:val="0"/>
        <w:spacing w:line="360" w:lineRule="auto"/>
        <w:ind w:left="632" w:hanging="632" w:hangingChars="300"/>
        <w:rPr>
          <w:rFonts w:hAnsi="宋体"/>
          <w:b/>
          <w:color w:val="auto"/>
          <w:highlight w:val="none"/>
        </w:rPr>
      </w:pPr>
      <w:r>
        <w:rPr>
          <w:rFonts w:hint="eastAsia" w:hAnsi="宋体"/>
          <w:b/>
          <w:color w:val="auto"/>
          <w:highlight w:val="none"/>
        </w:rPr>
        <w:t>34.磋商终止</w:t>
      </w:r>
    </w:p>
    <w:p w14:paraId="39DF8643">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bCs/>
          <w:color w:val="auto"/>
          <w:szCs w:val="21"/>
          <w:highlight w:val="none"/>
        </w:rPr>
        <w:t>34.1</w:t>
      </w:r>
      <w:r>
        <w:rPr>
          <w:rFonts w:hint="eastAsia" w:ascii="宋体" w:hAnsi="宋体" w:cs="宋体"/>
          <w:color w:val="auto"/>
          <w:kern w:val="0"/>
          <w:szCs w:val="21"/>
          <w:highlight w:val="none"/>
        </w:rPr>
        <w:t>出现下列情形之一的，采购人或者采购代理机构应当终止竞争性磋商采购活动，</w:t>
      </w:r>
      <w:r>
        <w:rPr>
          <w:rFonts w:hint="eastAsia" w:ascii="宋体" w:hAnsi="宋体"/>
          <w:color w:val="auto"/>
          <w:highlight w:val="none"/>
        </w:rPr>
        <w:t>在本章第37.1款指定的媒体上</w:t>
      </w:r>
      <w:r>
        <w:rPr>
          <w:rFonts w:hint="eastAsia" w:ascii="宋体" w:hAnsi="宋体" w:cs="宋体"/>
          <w:color w:val="auto"/>
          <w:kern w:val="0"/>
          <w:szCs w:val="21"/>
          <w:highlight w:val="none"/>
        </w:rPr>
        <w:t>发布项目终止公告并说明原因，重新开展采购活动：</w:t>
      </w:r>
    </w:p>
    <w:p w14:paraId="4BBE40EA">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（1）因情况变化，不再符合规定的竞争性磋商采购方式适用情形的；</w:t>
      </w:r>
    </w:p>
    <w:p w14:paraId="0C327BB8">
      <w:pPr>
        <w:widowControl/>
        <w:adjustRightInd w:val="0"/>
        <w:snapToGrid w:val="0"/>
        <w:spacing w:line="360" w:lineRule="auto"/>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rPr>
        <w:t>（2）出现影响采购公正的违法、违规行为的；</w:t>
      </w:r>
    </w:p>
    <w:p w14:paraId="1C6A1BC6">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cs="宋体"/>
          <w:color w:val="auto"/>
          <w:kern w:val="0"/>
          <w:szCs w:val="21"/>
          <w:highlight w:val="none"/>
        </w:rPr>
        <w:t>（3）</w:t>
      </w:r>
      <w:r>
        <w:rPr>
          <w:rFonts w:hint="eastAsia" w:ascii="宋体" w:hAnsi="宋体"/>
          <w:bCs/>
          <w:color w:val="auto"/>
          <w:szCs w:val="21"/>
          <w:highlight w:val="none"/>
        </w:rPr>
        <w:t>除《政府采购竞争性磋商采购方式管理暂行办法》(财库〔2014〕214号)</w:t>
      </w:r>
      <w:r>
        <w:rPr>
          <w:rFonts w:hint="eastAsia" w:ascii="宋体" w:hAnsi="宋体" w:cs="宋体"/>
          <w:color w:val="auto"/>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宋体" w:hAnsi="宋体"/>
          <w:bCs/>
          <w:color w:val="auto"/>
          <w:szCs w:val="21"/>
          <w:highlight w:val="none"/>
        </w:rPr>
        <w:t>情形外，在采购过程中符合要求的供应商或者报价未超过采购预算的供应商不足3家的；</w:t>
      </w:r>
    </w:p>
    <w:p w14:paraId="127823DF">
      <w:pPr>
        <w:widowControl/>
        <w:adjustRightInd w:val="0"/>
        <w:snapToGrid w:val="0"/>
        <w:spacing w:line="360" w:lineRule="auto"/>
        <w:ind w:firstLine="420"/>
        <w:jc w:val="left"/>
        <w:rPr>
          <w:rFonts w:ascii="宋体" w:hAnsi="宋体"/>
          <w:bCs/>
          <w:color w:val="auto"/>
          <w:szCs w:val="21"/>
          <w:highlight w:val="none"/>
        </w:rPr>
      </w:pPr>
      <w:r>
        <w:rPr>
          <w:rFonts w:hint="eastAsia" w:ascii="宋体" w:hAnsi="宋体" w:cs="宋体"/>
          <w:color w:val="auto"/>
          <w:kern w:val="0"/>
          <w:szCs w:val="21"/>
          <w:highlight w:val="none"/>
        </w:rPr>
        <w:t>（4）因重大变故，采购任务取消的。</w:t>
      </w:r>
    </w:p>
    <w:p w14:paraId="13356E44">
      <w:pPr>
        <w:widowControl/>
        <w:adjustRightInd w:val="0"/>
        <w:snapToGrid w:val="0"/>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35．重新评审</w:t>
      </w:r>
    </w:p>
    <w:p w14:paraId="6FAA5309">
      <w:pPr>
        <w:widowControl/>
        <w:adjustRightInd w:val="0"/>
        <w:snapToGri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35.1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7D250A0F">
      <w:pPr>
        <w:adjustRightInd w:val="0"/>
        <w:snapToGrid w:val="0"/>
        <w:spacing w:line="360" w:lineRule="auto"/>
        <w:rPr>
          <w:rFonts w:ascii="宋体" w:hAnsi="宋体"/>
          <w:b/>
          <w:bCs/>
          <w:color w:val="auto"/>
          <w:szCs w:val="21"/>
          <w:highlight w:val="none"/>
        </w:rPr>
      </w:pPr>
      <w:r>
        <w:rPr>
          <w:rFonts w:hint="eastAsia" w:ascii="宋体" w:hAnsi="宋体"/>
          <w:b/>
          <w:bCs/>
          <w:color w:val="auto"/>
          <w:szCs w:val="21"/>
          <w:highlight w:val="none"/>
        </w:rPr>
        <w:t>36.保密及串通行为</w:t>
      </w:r>
    </w:p>
    <w:p w14:paraId="4667E7BF">
      <w:pPr>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36.1磋商小组成员以及与评审工作有关的人员不得泄露评审情况以及评审过程中获悉的国家秘密、商业秘密。</w:t>
      </w:r>
    </w:p>
    <w:p w14:paraId="272DED7E">
      <w:pPr>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36.2</w:t>
      </w:r>
      <w:r>
        <w:rPr>
          <w:rFonts w:hint="eastAsia" w:ascii="宋体" w:hAnsi="宋体" w:cs="宋体"/>
          <w:color w:val="auto"/>
          <w:kern w:val="0"/>
          <w:szCs w:val="21"/>
          <w:highlight w:val="none"/>
        </w:rPr>
        <w:t>供应商</w:t>
      </w:r>
      <w:r>
        <w:rPr>
          <w:rFonts w:hint="eastAsia" w:ascii="宋体" w:hAnsi="宋体"/>
          <w:color w:val="auto"/>
          <w:szCs w:val="21"/>
          <w:highlight w:val="none"/>
        </w:rPr>
        <w:t>不得与</w:t>
      </w:r>
      <w:r>
        <w:rPr>
          <w:rFonts w:hint="eastAsia" w:ascii="宋体" w:hAnsi="宋体" w:cs="宋体"/>
          <w:color w:val="auto"/>
          <w:kern w:val="0"/>
          <w:szCs w:val="21"/>
          <w:highlight w:val="none"/>
        </w:rPr>
        <w:t>采购人、采购代理机构、其他供应商恶意</w:t>
      </w:r>
      <w:r>
        <w:rPr>
          <w:rFonts w:hint="eastAsia" w:ascii="宋体" w:hAnsi="宋体"/>
          <w:color w:val="auto"/>
          <w:szCs w:val="21"/>
          <w:highlight w:val="none"/>
        </w:rPr>
        <w:t>串通；不得向</w:t>
      </w:r>
      <w:r>
        <w:rPr>
          <w:rFonts w:hint="eastAsia" w:ascii="宋体" w:hAnsi="宋体" w:cs="宋体"/>
          <w:color w:val="auto"/>
          <w:kern w:val="0"/>
          <w:szCs w:val="21"/>
          <w:highlight w:val="none"/>
        </w:rPr>
        <w:t>采购人、采购代理机构</w:t>
      </w:r>
      <w:r>
        <w:rPr>
          <w:rFonts w:hint="eastAsia" w:ascii="宋体" w:hAnsi="宋体"/>
          <w:color w:val="auto"/>
          <w:szCs w:val="21"/>
          <w:highlight w:val="none"/>
        </w:rPr>
        <w:t>或者磋商小组成员行贿或者提供其他不正当利益；不得提供虚假资料谋取成交；不得以任何方式干扰、影响采购工作。</w:t>
      </w:r>
    </w:p>
    <w:p w14:paraId="060B3141">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s="Arial"/>
          <w:color w:val="auto"/>
          <w:sz w:val="21"/>
          <w:szCs w:val="21"/>
          <w:highlight w:val="none"/>
        </w:rPr>
        <w:t>36.3</w:t>
      </w:r>
      <w:r>
        <w:rPr>
          <w:rFonts w:hint="eastAsia"/>
          <w:color w:val="auto"/>
          <w:sz w:val="21"/>
          <w:szCs w:val="21"/>
          <w:highlight w:val="none"/>
          <w:lang w:val="zh-CN"/>
        </w:rPr>
        <w:t>有下列情形之一的，属于恶意串通，对供应商依照政府采购法第七十七条第一款的规定追究法律责任：</w:t>
      </w:r>
    </w:p>
    <w:p w14:paraId="5D901C41">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（一）供应商直接或者间接从采购人或者采购代理机构处获得其他供应商的相关情况并修改其投标文件或者响应文件；</w:t>
      </w:r>
    </w:p>
    <w:p w14:paraId="51E630B7">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（二）供应商按照采购人或者采购代理机构的授意撤换、修改投标文件或者响应文件；</w:t>
      </w:r>
    </w:p>
    <w:p w14:paraId="37A538AF">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（三）供应商之间协商报价、技术方案等投标文件或者响应文件的实质性内容；</w:t>
      </w:r>
    </w:p>
    <w:p w14:paraId="243414B1">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（四）属于同一集团、协会、商会等组织成员的供应商按照该组织要求协同参加政府采购活动；</w:t>
      </w:r>
    </w:p>
    <w:p w14:paraId="39B5B3AC">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（五）供应商之间事先约定由某一特定供应商中标、成交；</w:t>
      </w:r>
    </w:p>
    <w:p w14:paraId="098ED51B">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color w:val="auto"/>
          <w:sz w:val="21"/>
          <w:szCs w:val="21"/>
          <w:highlight w:val="none"/>
          <w:lang w:val="zh-CN"/>
        </w:rPr>
      </w:pPr>
      <w:r>
        <w:rPr>
          <w:rFonts w:hint="eastAsia"/>
          <w:color w:val="auto"/>
          <w:sz w:val="21"/>
          <w:szCs w:val="21"/>
          <w:highlight w:val="none"/>
          <w:lang w:val="zh-CN"/>
        </w:rPr>
        <w:t>（六）供应商之间商定部分供应商放弃参加政府采购活动或者放弃中标、成交；</w:t>
      </w:r>
    </w:p>
    <w:p w14:paraId="4E1138C6">
      <w:pPr>
        <w:pStyle w:val="40"/>
        <w:keepNext w:val="0"/>
        <w:keepLines w:val="0"/>
        <w:pageBreakBefore w:val="0"/>
        <w:widowControl/>
        <w:kinsoku/>
        <w:wordWrap/>
        <w:overflowPunct/>
        <w:topLinePunct w:val="0"/>
        <w:autoSpaceDE/>
        <w:autoSpaceDN/>
        <w:bidi w:val="0"/>
        <w:adjustRightInd w:val="0"/>
        <w:snapToGrid w:val="0"/>
        <w:spacing w:before="0" w:beforeAutospacing="0" w:after="0" w:afterAutospacing="0" w:line="348" w:lineRule="auto"/>
        <w:ind w:firstLine="420" w:firstLineChars="200"/>
        <w:textAlignment w:val="auto"/>
        <w:rPr>
          <w:color w:val="auto"/>
          <w:sz w:val="21"/>
          <w:szCs w:val="21"/>
          <w:highlight w:val="none"/>
          <w:lang w:val="zh-CN"/>
        </w:rPr>
      </w:pPr>
      <w:r>
        <w:rPr>
          <w:rFonts w:hint="eastAsia"/>
          <w:color w:val="auto"/>
          <w:sz w:val="21"/>
          <w:szCs w:val="21"/>
          <w:highlight w:val="none"/>
          <w:lang w:val="zh-CN"/>
        </w:rPr>
        <w:t>（七）供应商与采购人或者采购代理机构之间、供应商相互之间，为谋求特定供应商中标、成交或者排斥其他供应商的其他串通行为。</w:t>
      </w:r>
    </w:p>
    <w:p w14:paraId="39BD267E">
      <w:pPr>
        <w:adjustRightInd w:val="0"/>
        <w:snapToGrid w:val="0"/>
        <w:spacing w:line="348" w:lineRule="auto"/>
        <w:rPr>
          <w:rFonts w:ascii="黑体" w:hAnsi="宋体" w:eastAsia="黑体"/>
          <w:color w:val="auto"/>
          <w:sz w:val="24"/>
          <w:highlight w:val="none"/>
        </w:rPr>
      </w:pPr>
      <w:r>
        <w:rPr>
          <w:rFonts w:hint="eastAsia" w:ascii="黑体" w:hAnsi="宋体" w:eastAsia="黑体"/>
          <w:color w:val="auto"/>
          <w:sz w:val="24"/>
          <w:highlight w:val="none"/>
        </w:rPr>
        <w:t>六、成交结果信息公布与授予合同</w:t>
      </w:r>
    </w:p>
    <w:p w14:paraId="29C4B3DB">
      <w:pPr>
        <w:adjustRightInd w:val="0"/>
        <w:snapToGrid w:val="0"/>
        <w:spacing w:line="348" w:lineRule="auto"/>
        <w:rPr>
          <w:rFonts w:ascii="宋体" w:hAnsi="宋体"/>
          <w:b/>
          <w:bCs/>
          <w:color w:val="auto"/>
          <w:szCs w:val="21"/>
          <w:highlight w:val="none"/>
        </w:rPr>
      </w:pPr>
      <w:r>
        <w:rPr>
          <w:rFonts w:hint="eastAsia" w:ascii="宋体" w:hAnsi="宋体"/>
          <w:b/>
          <w:bCs/>
          <w:color w:val="auto"/>
          <w:szCs w:val="21"/>
          <w:highlight w:val="none"/>
        </w:rPr>
        <w:t>37.成交信息的公布</w:t>
      </w:r>
    </w:p>
    <w:p w14:paraId="5BF18EBA">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37.1成交供应商确定后2个工作日内，成交结果信息将在</w:t>
      </w:r>
      <w:r>
        <w:rPr>
          <w:rFonts w:hint="eastAsia" w:hAnsi="宋体"/>
          <w:b/>
          <w:color w:val="auto"/>
          <w:highlight w:val="none"/>
        </w:rPr>
        <w:t>磋商须知前附表</w:t>
      </w:r>
      <w:r>
        <w:rPr>
          <w:rFonts w:hint="eastAsia" w:hAnsi="宋体"/>
          <w:color w:val="auto"/>
          <w:highlight w:val="none"/>
        </w:rPr>
        <w:t>指定的媒体上公布。</w:t>
      </w:r>
    </w:p>
    <w:p w14:paraId="5EA615CD">
      <w:pPr>
        <w:adjustRightInd w:val="0"/>
        <w:snapToGrid w:val="0"/>
        <w:spacing w:line="348" w:lineRule="auto"/>
        <w:rPr>
          <w:rFonts w:ascii="宋体" w:hAnsi="宋体"/>
          <w:b/>
          <w:bCs/>
          <w:color w:val="auto"/>
          <w:szCs w:val="21"/>
          <w:highlight w:val="none"/>
        </w:rPr>
      </w:pPr>
      <w:r>
        <w:rPr>
          <w:rFonts w:hint="eastAsia" w:ascii="宋体" w:hAnsi="宋体"/>
          <w:b/>
          <w:bCs/>
          <w:color w:val="auto"/>
          <w:szCs w:val="21"/>
          <w:highlight w:val="none"/>
        </w:rPr>
        <w:t>38.询问及质疑</w:t>
      </w:r>
    </w:p>
    <w:p w14:paraId="58881959">
      <w:pPr>
        <w:adjustRightInd w:val="0"/>
        <w:snapToGrid w:val="0"/>
        <w:spacing w:line="348" w:lineRule="auto"/>
        <w:ind w:firstLine="420" w:firstLineChars="200"/>
        <w:jc w:val="left"/>
        <w:rPr>
          <w:rFonts w:hAnsi="宋体"/>
          <w:color w:val="auto"/>
          <w:highlight w:val="none"/>
        </w:rPr>
      </w:pPr>
      <w:r>
        <w:rPr>
          <w:rFonts w:hint="eastAsia" w:ascii="宋体" w:hAnsi="宋体"/>
          <w:color w:val="auto"/>
          <w:szCs w:val="21"/>
          <w:highlight w:val="none"/>
        </w:rPr>
        <w:t>38.1供应商对政府采购活动事项有疑问的，可以向采购人或采购代理机构提出询问。</w:t>
      </w:r>
    </w:p>
    <w:p w14:paraId="6B4F58C1">
      <w:pPr>
        <w:adjustRightInd w:val="0"/>
        <w:snapToGrid w:val="0"/>
        <w:spacing w:line="348" w:lineRule="auto"/>
        <w:ind w:firstLine="420" w:firstLineChars="200"/>
        <w:jc w:val="left"/>
        <w:rPr>
          <w:rFonts w:ascii="宋体" w:hAnsi="宋体"/>
          <w:color w:val="auto"/>
          <w:szCs w:val="21"/>
          <w:highlight w:val="none"/>
        </w:rPr>
      </w:pPr>
      <w:r>
        <w:rPr>
          <w:rFonts w:hint="eastAsia" w:ascii="宋体" w:hAnsi="宋体"/>
          <w:color w:val="auto"/>
          <w:szCs w:val="21"/>
          <w:highlight w:val="none"/>
        </w:rPr>
        <w:t>38.2供应商若认为磋商文件、采购过程和成交结果使自己的权益受到损害，可以按法律、行政法规及湖南省财政厅规范性文件规定向采购人或采购代理机构提出质疑。</w:t>
      </w:r>
    </w:p>
    <w:p w14:paraId="5F901BCF">
      <w:pPr>
        <w:adjustRightInd w:val="0"/>
        <w:snapToGrid w:val="0"/>
        <w:spacing w:line="348" w:lineRule="auto"/>
        <w:rPr>
          <w:rFonts w:ascii="宋体" w:hAnsi="宋体"/>
          <w:b/>
          <w:bCs/>
          <w:color w:val="auto"/>
          <w:szCs w:val="21"/>
          <w:highlight w:val="none"/>
        </w:rPr>
      </w:pPr>
      <w:r>
        <w:rPr>
          <w:rFonts w:hint="eastAsia" w:ascii="宋体" w:hAnsi="宋体"/>
          <w:b/>
          <w:bCs/>
          <w:color w:val="auto"/>
          <w:szCs w:val="21"/>
          <w:highlight w:val="none"/>
        </w:rPr>
        <w:t>39.成交通知</w:t>
      </w:r>
    </w:p>
    <w:p w14:paraId="7B9AAE6C">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39.1成交供应商确定后，采购人或采购代理机构将以书面形式向成交供应商发出成交通知书。成交通知书对采购人和成交供应商具有同等法律效力。</w:t>
      </w:r>
    </w:p>
    <w:p w14:paraId="5FB0F8D7">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39.2成交通知书是合同文件的组成部分。</w:t>
      </w:r>
    </w:p>
    <w:p w14:paraId="07E22A50">
      <w:pPr>
        <w:tabs>
          <w:tab w:val="left" w:pos="7560"/>
          <w:tab w:val="left" w:pos="7740"/>
          <w:tab w:val="left" w:pos="7920"/>
        </w:tabs>
        <w:autoSpaceDN w:val="0"/>
        <w:adjustRightInd w:val="0"/>
        <w:snapToGrid w:val="0"/>
        <w:spacing w:line="348"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39.3</w:t>
      </w:r>
      <w:r>
        <w:rPr>
          <w:rFonts w:hint="eastAsia" w:ascii="宋体" w:hAnsi="宋体"/>
          <w:color w:val="auto"/>
          <w:szCs w:val="21"/>
          <w:highlight w:val="none"/>
        </w:rPr>
        <w:t>成交供应商在收到采购代理机构的成交通知书后10日内，应按照</w:t>
      </w:r>
      <w:r>
        <w:rPr>
          <w:rFonts w:hint="eastAsia" w:ascii="宋体" w:hAnsi="宋体"/>
          <w:b/>
          <w:color w:val="auto"/>
          <w:szCs w:val="21"/>
          <w:highlight w:val="none"/>
        </w:rPr>
        <w:t>磋商须知前附表</w:t>
      </w:r>
      <w:r>
        <w:rPr>
          <w:rFonts w:hint="eastAsia" w:ascii="宋体" w:hAnsi="宋体"/>
          <w:color w:val="auto"/>
          <w:szCs w:val="21"/>
          <w:highlight w:val="none"/>
        </w:rPr>
        <w:t>的规定，向采购人提交履约担保。</w:t>
      </w:r>
    </w:p>
    <w:p w14:paraId="63B14C97">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39.4成交供应商</w:t>
      </w:r>
      <w:r>
        <w:rPr>
          <w:rFonts w:hint="eastAsia" w:hAnsi="宋体"/>
          <w:color w:val="auto"/>
          <w:spacing w:val="4"/>
          <w:highlight w:val="none"/>
        </w:rPr>
        <w:t>没有按照本章第39.3</w:t>
      </w:r>
      <w:r>
        <w:rPr>
          <w:rFonts w:hint="eastAsia" w:hAnsi="宋体" w:cs="宋体"/>
          <w:color w:val="auto"/>
          <w:kern w:val="0"/>
          <w:highlight w:val="none"/>
          <w:lang w:val="zh-CN"/>
        </w:rPr>
        <w:t>款</w:t>
      </w:r>
      <w:r>
        <w:rPr>
          <w:rFonts w:hint="eastAsia" w:hAnsi="宋体"/>
          <w:color w:val="auto"/>
          <w:spacing w:val="4"/>
          <w:highlight w:val="none"/>
        </w:rPr>
        <w:t>规定</w:t>
      </w:r>
      <w:r>
        <w:rPr>
          <w:rFonts w:hint="eastAsia" w:hAnsi="宋体"/>
          <w:color w:val="auto"/>
          <w:highlight w:val="none"/>
        </w:rPr>
        <w:t>提交履约担保的</w:t>
      </w:r>
      <w:r>
        <w:rPr>
          <w:rFonts w:hint="eastAsia" w:hAnsi="宋体"/>
          <w:color w:val="auto"/>
          <w:spacing w:val="4"/>
          <w:highlight w:val="none"/>
        </w:rPr>
        <w:t>，视为放弃</w:t>
      </w:r>
      <w:r>
        <w:rPr>
          <w:rFonts w:hint="eastAsia" w:hAnsi="宋体"/>
          <w:color w:val="auto"/>
          <w:highlight w:val="none"/>
        </w:rPr>
        <w:t>成交资格</w:t>
      </w:r>
      <w:r>
        <w:rPr>
          <w:rFonts w:hint="eastAsia" w:hAnsi="宋体"/>
          <w:color w:val="auto"/>
          <w:spacing w:val="4"/>
          <w:highlight w:val="none"/>
        </w:rPr>
        <w:t>，</w:t>
      </w:r>
      <w:r>
        <w:rPr>
          <w:rFonts w:hint="eastAsia" w:hAnsi="宋体"/>
          <w:color w:val="auto"/>
          <w:spacing w:val="2"/>
          <w:highlight w:val="none"/>
        </w:rPr>
        <w:t>其保证金不予退还。</w:t>
      </w:r>
    </w:p>
    <w:p w14:paraId="48266EC0">
      <w:pPr>
        <w:adjustRightInd w:val="0"/>
        <w:snapToGrid w:val="0"/>
        <w:spacing w:line="348" w:lineRule="auto"/>
        <w:rPr>
          <w:rFonts w:ascii="宋体" w:hAnsi="宋体"/>
          <w:b/>
          <w:bCs/>
          <w:color w:val="auto"/>
          <w:szCs w:val="21"/>
          <w:highlight w:val="none"/>
        </w:rPr>
      </w:pPr>
      <w:r>
        <w:rPr>
          <w:rFonts w:hint="eastAsia" w:ascii="宋体" w:hAnsi="宋体"/>
          <w:b/>
          <w:bCs/>
          <w:color w:val="auto"/>
          <w:szCs w:val="21"/>
          <w:highlight w:val="none"/>
        </w:rPr>
        <w:t>40.签订合同</w:t>
      </w:r>
    </w:p>
    <w:p w14:paraId="0053011E">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40.1成交供应商应当在成交通知书发出之日起30日内与采购人签订政府采购合同。</w:t>
      </w:r>
    </w:p>
    <w:p w14:paraId="664AC2B5">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40.2磋商文件、成交供应商的响应文件等均为签订政府采购合同的依据。</w:t>
      </w:r>
    </w:p>
    <w:p w14:paraId="506998C8">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40.3成交供应商应当按照合同约定履行义务。成交供应商不得向他人转让成交项目，也不得将成交项目分包后分别向他人转让。</w:t>
      </w:r>
    </w:p>
    <w:p w14:paraId="164F90FD">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40.4成交供应商有下列情形之一的，责令限期改正，情节严重的，列入不良行为记录名单，在1至3年内禁止参加政府采购活动，并予以通报：</w:t>
      </w:r>
    </w:p>
    <w:p w14:paraId="4E8FDDE1">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（一）成交后无正当理由不与采购人签订合同的；</w:t>
      </w:r>
    </w:p>
    <w:p w14:paraId="55B1DBC3">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（二）未按照采购文件确定的事项签订政府采购合同，或者与采购人另行订立背离合同实质性内容的协议的；</w:t>
      </w:r>
    </w:p>
    <w:p w14:paraId="54C3AE26">
      <w:pPr>
        <w:pStyle w:val="25"/>
        <w:adjustRightInd w:val="0"/>
        <w:snapToGrid w:val="0"/>
        <w:spacing w:line="348" w:lineRule="auto"/>
        <w:ind w:firstLine="420" w:firstLineChars="200"/>
        <w:rPr>
          <w:rFonts w:hAnsi="宋体"/>
          <w:color w:val="auto"/>
          <w:highlight w:val="none"/>
        </w:rPr>
      </w:pPr>
      <w:r>
        <w:rPr>
          <w:rFonts w:hint="eastAsia" w:hAnsi="宋体"/>
          <w:color w:val="auto"/>
          <w:highlight w:val="none"/>
        </w:rPr>
        <w:t>（三）拒绝履行合同义务的；</w:t>
      </w:r>
    </w:p>
    <w:p w14:paraId="100BF1EE">
      <w:pPr>
        <w:pStyle w:val="25"/>
        <w:adjustRightInd w:val="0"/>
        <w:snapToGrid w:val="0"/>
        <w:spacing w:line="348" w:lineRule="auto"/>
        <w:ind w:firstLine="420" w:firstLineChars="200"/>
        <w:rPr>
          <w:rFonts w:hAnsi="宋体" w:cs="宋体"/>
          <w:color w:val="auto"/>
          <w:kern w:val="0"/>
          <w:highlight w:val="none"/>
        </w:rPr>
      </w:pPr>
      <w:r>
        <w:rPr>
          <w:rFonts w:hint="eastAsia" w:hAnsi="宋体"/>
          <w:color w:val="auto"/>
          <w:highlight w:val="none"/>
        </w:rPr>
        <w:t>（四）</w:t>
      </w:r>
      <w:r>
        <w:rPr>
          <w:rFonts w:hint="eastAsia" w:hAnsi="宋体" w:cs="宋体"/>
          <w:color w:val="auto"/>
          <w:kern w:val="0"/>
          <w:highlight w:val="none"/>
        </w:rPr>
        <w:t>违反法律、规章、规范性文件规定的。</w:t>
      </w:r>
    </w:p>
    <w:p w14:paraId="1F13BDBD">
      <w:pPr>
        <w:adjustRightInd w:val="0"/>
        <w:snapToGrid w:val="0"/>
        <w:spacing w:line="348" w:lineRule="auto"/>
        <w:rPr>
          <w:rFonts w:ascii="黑体" w:hAnsi="宋体" w:eastAsia="黑体"/>
          <w:color w:val="auto"/>
          <w:sz w:val="24"/>
          <w:highlight w:val="none"/>
        </w:rPr>
      </w:pPr>
      <w:r>
        <w:rPr>
          <w:rFonts w:hint="eastAsia" w:ascii="黑体" w:hAnsi="宋体" w:eastAsia="黑体"/>
          <w:color w:val="auto"/>
          <w:sz w:val="24"/>
          <w:highlight w:val="none"/>
        </w:rPr>
        <w:t>七、其他规定</w:t>
      </w:r>
    </w:p>
    <w:p w14:paraId="28DD5E7B">
      <w:pPr>
        <w:adjustRightInd w:val="0"/>
        <w:snapToGrid w:val="0"/>
        <w:spacing w:line="348" w:lineRule="auto"/>
        <w:jc w:val="left"/>
        <w:rPr>
          <w:rFonts w:ascii="宋体" w:hAnsi="宋体"/>
          <w:b/>
          <w:color w:val="auto"/>
          <w:szCs w:val="21"/>
          <w:highlight w:val="none"/>
        </w:rPr>
      </w:pPr>
      <w:r>
        <w:rPr>
          <w:rFonts w:hint="eastAsia" w:ascii="宋体" w:hAnsi="宋体"/>
          <w:b/>
          <w:color w:val="auto"/>
          <w:szCs w:val="21"/>
          <w:highlight w:val="none"/>
        </w:rPr>
        <w:t>41.1采购代理服务费</w:t>
      </w:r>
    </w:p>
    <w:p w14:paraId="6F3EE2C1">
      <w:pPr>
        <w:tabs>
          <w:tab w:val="left" w:pos="420"/>
          <w:tab w:val="left" w:pos="7560"/>
          <w:tab w:val="left" w:pos="7740"/>
          <w:tab w:val="left" w:pos="7920"/>
        </w:tabs>
        <w:adjustRightInd w:val="0"/>
        <w:snapToGrid w:val="0"/>
        <w:spacing w:line="348" w:lineRule="auto"/>
        <w:ind w:firstLine="420" w:firstLineChars="200"/>
        <w:rPr>
          <w:rFonts w:ascii="宋体" w:hAnsi="宋体"/>
          <w:color w:val="auto"/>
          <w:szCs w:val="21"/>
          <w:highlight w:val="none"/>
        </w:rPr>
      </w:pPr>
      <w:r>
        <w:rPr>
          <w:rFonts w:hint="eastAsia" w:ascii="宋体" w:hAnsi="宋体"/>
          <w:color w:val="auto"/>
          <w:szCs w:val="21"/>
          <w:highlight w:val="none"/>
        </w:rPr>
        <w:t>41.1采购代理机构应按</w:t>
      </w:r>
      <w:r>
        <w:rPr>
          <w:rFonts w:hint="eastAsia" w:ascii="宋体" w:hAnsi="宋体"/>
          <w:b/>
          <w:color w:val="auto"/>
          <w:szCs w:val="21"/>
          <w:highlight w:val="none"/>
        </w:rPr>
        <w:t>磋商须知前附表</w:t>
      </w:r>
      <w:r>
        <w:rPr>
          <w:rFonts w:hint="eastAsia" w:ascii="宋体" w:hAnsi="宋体"/>
          <w:color w:val="auto"/>
          <w:szCs w:val="21"/>
          <w:highlight w:val="none"/>
        </w:rPr>
        <w:t>规定收取采购代理服务费。</w:t>
      </w:r>
    </w:p>
    <w:p w14:paraId="12789A31">
      <w:pPr>
        <w:tabs>
          <w:tab w:val="left" w:pos="420"/>
          <w:tab w:val="left" w:pos="7560"/>
          <w:tab w:val="left" w:pos="7740"/>
          <w:tab w:val="left" w:pos="7920"/>
        </w:tabs>
        <w:adjustRightInd w:val="0"/>
        <w:snapToGrid w:val="0"/>
        <w:spacing w:line="348" w:lineRule="auto"/>
        <w:rPr>
          <w:rFonts w:hAnsi="宋体"/>
          <w:b/>
          <w:color w:val="auto"/>
          <w:highlight w:val="none"/>
        </w:rPr>
      </w:pPr>
      <w:r>
        <w:rPr>
          <w:rFonts w:hint="eastAsia" w:ascii="宋体" w:hAnsi="宋体"/>
          <w:b/>
          <w:color w:val="auto"/>
          <w:szCs w:val="21"/>
          <w:highlight w:val="none"/>
        </w:rPr>
        <w:t>42.</w:t>
      </w:r>
      <w:r>
        <w:rPr>
          <w:rFonts w:hint="eastAsia" w:hAnsi="宋体"/>
          <w:b/>
          <w:color w:val="auto"/>
          <w:highlight w:val="none"/>
        </w:rPr>
        <w:t>其他规定</w:t>
      </w:r>
    </w:p>
    <w:p w14:paraId="7CA38EA1">
      <w:pPr>
        <w:tabs>
          <w:tab w:val="left" w:pos="420"/>
          <w:tab w:val="left" w:pos="7560"/>
          <w:tab w:val="left" w:pos="7740"/>
          <w:tab w:val="left" w:pos="7920"/>
        </w:tabs>
        <w:adjustRightInd w:val="0"/>
        <w:snapToGrid w:val="0"/>
        <w:spacing w:line="348" w:lineRule="auto"/>
        <w:ind w:firstLine="420" w:firstLineChars="200"/>
        <w:rPr>
          <w:rFonts w:ascii="黑体" w:eastAsia="黑体"/>
          <w:b/>
          <w:color w:val="auto"/>
          <w:sz w:val="32"/>
          <w:szCs w:val="32"/>
          <w:highlight w:val="none"/>
        </w:rPr>
      </w:pPr>
      <w:r>
        <w:rPr>
          <w:rFonts w:hint="eastAsia" w:ascii="宋体" w:hAnsi="宋体"/>
          <w:color w:val="auto"/>
          <w:highlight w:val="none"/>
        </w:rPr>
        <w:t>42.1</w:t>
      </w:r>
      <w:r>
        <w:rPr>
          <w:rFonts w:hint="eastAsia" w:ascii="宋体" w:hAnsi="宋体"/>
          <w:color w:val="auto"/>
          <w:szCs w:val="21"/>
          <w:highlight w:val="none"/>
        </w:rPr>
        <w:t>磋商文件</w:t>
      </w:r>
      <w:r>
        <w:rPr>
          <w:rFonts w:hint="eastAsia" w:hAnsi="宋体"/>
          <w:color w:val="auto"/>
          <w:highlight w:val="none"/>
        </w:rPr>
        <w:t>的其他规定</w:t>
      </w:r>
      <w:r>
        <w:rPr>
          <w:rFonts w:hint="eastAsia" w:ascii="宋体" w:hAnsi="宋体"/>
          <w:color w:val="auto"/>
          <w:szCs w:val="21"/>
          <w:highlight w:val="none"/>
        </w:rPr>
        <w:t>见</w:t>
      </w:r>
      <w:r>
        <w:rPr>
          <w:rFonts w:hint="eastAsia" w:ascii="宋体" w:hAnsi="宋体"/>
          <w:b/>
          <w:color w:val="auto"/>
          <w:szCs w:val="21"/>
          <w:highlight w:val="none"/>
        </w:rPr>
        <w:t>磋商须知前附表</w:t>
      </w:r>
      <w:r>
        <w:rPr>
          <w:rFonts w:hint="eastAsia" w:ascii="宋体" w:hAnsi="宋体"/>
          <w:color w:val="auto"/>
          <w:szCs w:val="21"/>
          <w:highlight w:val="none"/>
        </w:rPr>
        <w:t>。</w:t>
      </w:r>
    </w:p>
    <w:p w14:paraId="718C0758">
      <w:pPr>
        <w:rPr>
          <w:rFonts w:hint="eastAsia" w:asciiTheme="majorEastAsia" w:hAnsiTheme="majorEastAsia" w:eastAsiaTheme="majorEastAsia" w:cstheme="majorEastAsia"/>
          <w:b/>
          <w:bCs/>
          <w:color w:val="auto"/>
          <w:sz w:val="32"/>
          <w:szCs w:val="32"/>
          <w:highlight w:val="none"/>
        </w:rPr>
      </w:pPr>
      <w:r>
        <w:rPr>
          <w:rFonts w:hint="eastAsia" w:asciiTheme="majorEastAsia" w:hAnsiTheme="majorEastAsia" w:eastAsiaTheme="majorEastAsia" w:cstheme="majorEastAsia"/>
          <w:b/>
          <w:bCs/>
          <w:color w:val="auto"/>
          <w:sz w:val="32"/>
          <w:szCs w:val="32"/>
          <w:highlight w:val="none"/>
        </w:rPr>
        <w:br w:type="page"/>
      </w:r>
    </w:p>
    <w:p w14:paraId="297B883D">
      <w:pPr>
        <w:adjustRightInd w:val="0"/>
        <w:snapToGrid w:val="0"/>
        <w:spacing w:before="120" w:beforeLines="50"/>
        <w:jc w:val="center"/>
        <w:outlineLvl w:val="0"/>
        <w:rPr>
          <w:rFonts w:asciiTheme="majorEastAsia" w:hAnsiTheme="majorEastAsia" w:eastAsiaTheme="majorEastAsia" w:cstheme="majorEastAsia"/>
          <w:b/>
          <w:bCs/>
          <w:color w:val="auto"/>
          <w:sz w:val="32"/>
          <w:szCs w:val="32"/>
          <w:highlight w:val="none"/>
        </w:rPr>
      </w:pPr>
      <w:bookmarkStart w:id="63" w:name="_Toc23922"/>
      <w:r>
        <w:rPr>
          <w:rFonts w:hint="eastAsia" w:asciiTheme="majorEastAsia" w:hAnsiTheme="majorEastAsia" w:eastAsiaTheme="majorEastAsia" w:cstheme="majorEastAsia"/>
          <w:b/>
          <w:bCs/>
          <w:color w:val="auto"/>
          <w:sz w:val="32"/>
          <w:szCs w:val="32"/>
          <w:highlight w:val="none"/>
        </w:rPr>
        <w:t>第三章 评审办法及标准</w:t>
      </w:r>
      <w:bookmarkEnd w:id="63"/>
    </w:p>
    <w:p w14:paraId="53189D16">
      <w:pPr>
        <w:adjustRightInd w:val="0"/>
        <w:snapToGrid w:val="0"/>
        <w:spacing w:before="120" w:beforeLines="50" w:line="360" w:lineRule="auto"/>
        <w:outlineLvl w:val="1"/>
        <w:rPr>
          <w:rFonts w:asciiTheme="minorEastAsia" w:hAnsiTheme="minorEastAsia" w:eastAsiaTheme="minorEastAsia" w:cstheme="minorEastAsia"/>
          <w:b/>
          <w:color w:val="auto"/>
          <w:szCs w:val="21"/>
          <w:highlight w:val="none"/>
        </w:rPr>
      </w:pPr>
      <w:bookmarkStart w:id="64" w:name="_Toc5296"/>
      <w:r>
        <w:rPr>
          <w:rFonts w:hint="eastAsia" w:asciiTheme="minorEastAsia" w:hAnsiTheme="minorEastAsia" w:eastAsiaTheme="minorEastAsia" w:cstheme="minorEastAsia"/>
          <w:b/>
          <w:color w:val="auto"/>
          <w:szCs w:val="21"/>
          <w:highlight w:val="none"/>
        </w:rPr>
        <w:t>1.磋商小组</w:t>
      </w:r>
      <w:bookmarkEnd w:id="64"/>
    </w:p>
    <w:p w14:paraId="373CA0CB">
      <w:pPr>
        <w:adjustRightInd w:val="0"/>
        <w:snapToGrid w:val="0"/>
        <w:spacing w:before="120" w:beforeLines="50"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1.1评审由依法组成的磋商小组负责。</w:t>
      </w:r>
    </w:p>
    <w:p w14:paraId="36BBAEAE">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Theme="minorEastAsia" w:hAnsiTheme="minorEastAsia" w:eastAsiaTheme="minorEastAsia" w:cstheme="minorEastAsia"/>
          <w:b/>
          <w:color w:val="auto"/>
          <w:szCs w:val="21"/>
          <w:highlight w:val="none"/>
        </w:rPr>
      </w:pPr>
      <w:bookmarkStart w:id="65" w:name="_Toc20372"/>
      <w:r>
        <w:rPr>
          <w:rFonts w:hint="eastAsia" w:asciiTheme="minorEastAsia" w:hAnsiTheme="minorEastAsia" w:eastAsiaTheme="minorEastAsia" w:cstheme="minorEastAsia"/>
          <w:b/>
          <w:bCs/>
          <w:color w:val="auto"/>
          <w:szCs w:val="21"/>
          <w:highlight w:val="none"/>
        </w:rPr>
        <w:t>2.</w:t>
      </w:r>
      <w:r>
        <w:rPr>
          <w:rFonts w:hint="eastAsia" w:asciiTheme="minorEastAsia" w:hAnsiTheme="minorEastAsia" w:eastAsiaTheme="minorEastAsia" w:cstheme="minorEastAsia"/>
          <w:b/>
          <w:color w:val="auto"/>
          <w:szCs w:val="21"/>
          <w:highlight w:val="none"/>
        </w:rPr>
        <w:t>评审方法</w:t>
      </w:r>
      <w:bookmarkEnd w:id="65"/>
    </w:p>
    <w:p w14:paraId="087B808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2.1评审方法：综合评分法，即响应文件能够最大限度的满足磋商文件规定的各项综合评价标准且经评审得分最高的供应商为成交供应商的评标方法。</w:t>
      </w:r>
    </w:p>
    <w:p w14:paraId="25B9A83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2.2本采购项目</w:t>
      </w:r>
      <w:r>
        <w:rPr>
          <w:rFonts w:hint="eastAsia" w:asciiTheme="minorEastAsia" w:hAnsiTheme="minorEastAsia" w:eastAsiaTheme="minorEastAsia" w:cstheme="minorEastAsia"/>
          <w:color w:val="auto"/>
          <w:szCs w:val="21"/>
          <w:highlight w:val="none"/>
        </w:rPr>
        <w:t>的评审因素和标准见</w:t>
      </w:r>
      <w:r>
        <w:rPr>
          <w:rFonts w:hint="eastAsia" w:asciiTheme="minorEastAsia" w:hAnsiTheme="minorEastAsia" w:eastAsiaTheme="minorEastAsia" w:cstheme="minorEastAsia"/>
          <w:b/>
          <w:color w:val="auto"/>
          <w:szCs w:val="21"/>
          <w:highlight w:val="none"/>
        </w:rPr>
        <w:t>磋商文件前附表，</w:t>
      </w:r>
      <w:r>
        <w:rPr>
          <w:rFonts w:hint="eastAsia" w:asciiTheme="minorEastAsia" w:hAnsiTheme="minorEastAsia" w:eastAsiaTheme="minorEastAsia" w:cstheme="minorEastAsia"/>
          <w:color w:val="auto"/>
          <w:szCs w:val="21"/>
          <w:highlight w:val="none"/>
        </w:rPr>
        <w:t>不得对响应文件优于磋商文件要求的评审因素给予加分。</w:t>
      </w:r>
    </w:p>
    <w:p w14:paraId="3065DB2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评审因素：价格、技术、财务状况、信誉、业绩、服务、对磋商文件的响应程度，以及相应的比重或者权值等，但不包括第二章“磋商须知”第3.1</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color w:val="auto"/>
          <w:szCs w:val="21"/>
          <w:highlight w:val="none"/>
        </w:rPr>
        <w:t>规定的供应商资格条件。</w:t>
      </w:r>
    </w:p>
    <w:p w14:paraId="2E87853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2.3</w:t>
      </w:r>
      <w:r>
        <w:rPr>
          <w:rFonts w:hint="eastAsia" w:asciiTheme="minorEastAsia" w:hAnsiTheme="minorEastAsia" w:eastAsiaTheme="minorEastAsia" w:cstheme="minorEastAsia"/>
          <w:color w:val="auto"/>
          <w:szCs w:val="21"/>
          <w:highlight w:val="none"/>
        </w:rPr>
        <w:t>权值的取值范围见下表，本采购项目的权值见</w:t>
      </w:r>
      <w:r>
        <w:rPr>
          <w:rFonts w:hint="eastAsia" w:asciiTheme="minorEastAsia" w:hAnsiTheme="minorEastAsia" w:eastAsiaTheme="minorEastAsia" w:cstheme="minorEastAsia"/>
          <w:b/>
          <w:color w:val="auto"/>
          <w:szCs w:val="21"/>
          <w:highlight w:val="none"/>
        </w:rPr>
        <w:t>磋商文件前附表。</w:t>
      </w:r>
    </w:p>
    <w:tbl>
      <w:tblPr>
        <w:tblStyle w:val="46"/>
        <w:tblW w:w="88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14:paraId="6A85CA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6" w:hRule="atLeast"/>
        </w:trPr>
        <w:tc>
          <w:tcPr>
            <w:tcW w:w="720" w:type="dxa"/>
            <w:tcBorders>
              <w:top w:val="single" w:color="auto" w:sz="12" w:space="0"/>
            </w:tcBorders>
            <w:vAlign w:val="center"/>
          </w:tcPr>
          <w:p w14:paraId="195BA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序号</w:t>
            </w:r>
          </w:p>
        </w:tc>
        <w:tc>
          <w:tcPr>
            <w:tcW w:w="4680" w:type="dxa"/>
            <w:tcBorders>
              <w:top w:val="single" w:color="auto" w:sz="12" w:space="0"/>
            </w:tcBorders>
            <w:vAlign w:val="center"/>
          </w:tcPr>
          <w:p w14:paraId="587B32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项目</w:t>
            </w:r>
          </w:p>
        </w:tc>
        <w:tc>
          <w:tcPr>
            <w:tcW w:w="3420" w:type="dxa"/>
            <w:tcBorders>
              <w:top w:val="single" w:color="auto" w:sz="12" w:space="0"/>
            </w:tcBorders>
            <w:vAlign w:val="center"/>
          </w:tcPr>
          <w:p w14:paraId="7F854A4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权值的取值</w:t>
            </w:r>
          </w:p>
        </w:tc>
      </w:tr>
      <w:tr w14:paraId="2BBDF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20" w:type="dxa"/>
            <w:vAlign w:val="center"/>
          </w:tcPr>
          <w:p w14:paraId="0F3072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1</w:t>
            </w:r>
          </w:p>
        </w:tc>
        <w:tc>
          <w:tcPr>
            <w:tcW w:w="4680" w:type="dxa"/>
            <w:tcBorders>
              <w:bottom w:val="single" w:color="auto" w:sz="4" w:space="0"/>
            </w:tcBorders>
            <w:shd w:val="clear" w:color="auto" w:fill="auto"/>
            <w:vAlign w:val="center"/>
          </w:tcPr>
          <w:p w14:paraId="57817E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lang w:val="en-US" w:eastAsia="zh-CN" w:bidi="ar-SA"/>
              </w:rPr>
            </w:pPr>
            <w:r>
              <w:rPr>
                <w:rFonts w:hint="eastAsia" w:asciiTheme="minorEastAsia" w:hAnsiTheme="minorEastAsia" w:eastAsiaTheme="minorEastAsia" w:cstheme="minorEastAsia"/>
                <w:color w:val="auto"/>
                <w:kern w:val="0"/>
                <w:sz w:val="20"/>
                <w:szCs w:val="21"/>
                <w:highlight w:val="none"/>
              </w:rPr>
              <w:t>价格</w:t>
            </w:r>
          </w:p>
        </w:tc>
        <w:tc>
          <w:tcPr>
            <w:tcW w:w="3420" w:type="dxa"/>
            <w:tcBorders>
              <w:bottom w:val="single" w:color="auto" w:sz="4" w:space="0"/>
            </w:tcBorders>
            <w:shd w:val="clear" w:color="auto" w:fill="auto"/>
            <w:vAlign w:val="center"/>
          </w:tcPr>
          <w:p w14:paraId="745C4E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color w:val="auto"/>
                <w:kern w:val="0"/>
                <w:sz w:val="20"/>
                <w:szCs w:val="21"/>
                <w:highlight w:val="none"/>
                <w:lang w:val="en-US" w:eastAsia="zh-CN" w:bidi="ar-SA"/>
              </w:rPr>
            </w:pPr>
            <w:r>
              <w:rPr>
                <w:rFonts w:hint="eastAsia" w:asciiTheme="minorEastAsia" w:hAnsiTheme="minorEastAsia" w:eastAsiaTheme="minorEastAsia" w:cstheme="minorEastAsia"/>
                <w:color w:val="auto"/>
                <w:kern w:val="0"/>
                <w:sz w:val="20"/>
                <w:szCs w:val="21"/>
                <w:highlight w:val="none"/>
                <w:lang w:val="en-US" w:eastAsia="zh-CN"/>
              </w:rPr>
              <w:t>20</w:t>
            </w:r>
          </w:p>
        </w:tc>
      </w:tr>
      <w:tr w14:paraId="127DB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720" w:type="dxa"/>
            <w:vAlign w:val="center"/>
          </w:tcPr>
          <w:p w14:paraId="7A7665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2</w:t>
            </w:r>
          </w:p>
        </w:tc>
        <w:tc>
          <w:tcPr>
            <w:tcW w:w="4680" w:type="dxa"/>
            <w:tcBorders>
              <w:top w:val="single" w:color="auto" w:sz="4" w:space="0"/>
            </w:tcBorders>
            <w:vAlign w:val="center"/>
          </w:tcPr>
          <w:p w14:paraId="72AEFC6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技术</w:t>
            </w:r>
          </w:p>
        </w:tc>
        <w:tc>
          <w:tcPr>
            <w:tcW w:w="3420" w:type="dxa"/>
            <w:tcBorders>
              <w:top w:val="single" w:color="auto" w:sz="4" w:space="0"/>
              <w:bottom w:val="single" w:color="auto" w:sz="4" w:space="0"/>
            </w:tcBorders>
            <w:vAlign w:val="center"/>
          </w:tcPr>
          <w:p w14:paraId="489F42A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color w:val="auto"/>
                <w:kern w:val="0"/>
                <w:sz w:val="20"/>
                <w:szCs w:val="21"/>
                <w:highlight w:val="none"/>
                <w:lang w:val="en-US" w:eastAsia="zh-CN"/>
              </w:rPr>
            </w:pPr>
            <w:r>
              <w:rPr>
                <w:rFonts w:hint="eastAsia" w:asciiTheme="minorEastAsia" w:hAnsiTheme="minorEastAsia" w:eastAsiaTheme="minorEastAsia" w:cstheme="minorEastAsia"/>
                <w:color w:val="auto"/>
                <w:kern w:val="0"/>
                <w:sz w:val="20"/>
                <w:szCs w:val="21"/>
                <w:highlight w:val="none"/>
                <w:lang w:val="en-US" w:eastAsia="zh-CN"/>
              </w:rPr>
              <w:t>55</w:t>
            </w:r>
          </w:p>
        </w:tc>
      </w:tr>
      <w:tr w14:paraId="409BB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720" w:type="dxa"/>
            <w:vAlign w:val="center"/>
          </w:tcPr>
          <w:p w14:paraId="46C4AA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3</w:t>
            </w:r>
          </w:p>
        </w:tc>
        <w:tc>
          <w:tcPr>
            <w:tcW w:w="4680" w:type="dxa"/>
            <w:shd w:val="clear" w:color="auto" w:fill="auto"/>
            <w:vAlign w:val="center"/>
          </w:tcPr>
          <w:p w14:paraId="6CF0C9A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color w:val="auto"/>
                <w:kern w:val="0"/>
                <w:sz w:val="20"/>
                <w:szCs w:val="21"/>
                <w:highlight w:val="none"/>
                <w:lang w:val="en-US" w:eastAsia="zh-CN" w:bidi="ar-SA"/>
              </w:rPr>
            </w:pPr>
            <w:r>
              <w:rPr>
                <w:rFonts w:hint="eastAsia" w:asciiTheme="minorEastAsia" w:hAnsiTheme="minorEastAsia" w:eastAsiaTheme="minorEastAsia" w:cstheme="minorEastAsia"/>
                <w:color w:val="auto"/>
                <w:kern w:val="0"/>
                <w:sz w:val="20"/>
                <w:szCs w:val="21"/>
                <w:highlight w:val="none"/>
              </w:rPr>
              <w:t>商务</w:t>
            </w:r>
          </w:p>
        </w:tc>
        <w:tc>
          <w:tcPr>
            <w:tcW w:w="3420" w:type="dxa"/>
            <w:tcBorders>
              <w:top w:val="single" w:color="auto" w:sz="4" w:space="0"/>
            </w:tcBorders>
            <w:shd w:val="clear" w:color="auto" w:fill="auto"/>
            <w:vAlign w:val="center"/>
          </w:tcPr>
          <w:p w14:paraId="55CE9BE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color w:val="auto"/>
                <w:kern w:val="0"/>
                <w:sz w:val="20"/>
                <w:szCs w:val="21"/>
                <w:highlight w:val="none"/>
                <w:lang w:val="en-US" w:eastAsia="zh-CN" w:bidi="ar-SA"/>
              </w:rPr>
            </w:pPr>
            <w:r>
              <w:rPr>
                <w:rFonts w:hint="eastAsia" w:asciiTheme="minorEastAsia" w:hAnsiTheme="minorEastAsia" w:eastAsiaTheme="minorEastAsia" w:cstheme="minorEastAsia"/>
                <w:color w:val="auto"/>
                <w:kern w:val="0"/>
                <w:sz w:val="20"/>
                <w:szCs w:val="21"/>
                <w:highlight w:val="none"/>
                <w:lang w:val="en-US" w:eastAsia="zh-CN"/>
              </w:rPr>
              <w:t>25</w:t>
            </w:r>
          </w:p>
        </w:tc>
      </w:tr>
      <w:tr w14:paraId="4D29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5400" w:type="dxa"/>
            <w:gridSpan w:val="2"/>
            <w:tcBorders>
              <w:bottom w:val="single" w:color="auto" w:sz="12" w:space="0"/>
            </w:tcBorders>
            <w:vAlign w:val="center"/>
          </w:tcPr>
          <w:p w14:paraId="436AD0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∑(1+2+3)=100</w:t>
            </w:r>
          </w:p>
        </w:tc>
        <w:tc>
          <w:tcPr>
            <w:tcW w:w="3420" w:type="dxa"/>
            <w:tcBorders>
              <w:bottom w:val="single" w:color="auto" w:sz="12" w:space="0"/>
            </w:tcBorders>
            <w:vAlign w:val="center"/>
          </w:tcPr>
          <w:p w14:paraId="05C6236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100</w:t>
            </w:r>
          </w:p>
        </w:tc>
      </w:tr>
    </w:tbl>
    <w:p w14:paraId="7860CF3E">
      <w:pPr>
        <w:keepNext w:val="0"/>
        <w:keepLines w:val="0"/>
        <w:pageBreakBefore w:val="0"/>
        <w:tabs>
          <w:tab w:val="left" w:pos="0"/>
        </w:tabs>
        <w:kinsoku/>
        <w:wordWrap/>
        <w:overflowPunct/>
        <w:topLinePunct w:val="0"/>
        <w:autoSpaceDE/>
        <w:autoSpaceDN/>
        <w:bidi w:val="0"/>
        <w:adjustRightInd w:val="0"/>
        <w:snapToGrid w:val="0"/>
        <w:spacing w:line="360" w:lineRule="auto"/>
        <w:textAlignment w:val="auto"/>
        <w:outlineLvl w:val="1"/>
        <w:rPr>
          <w:rFonts w:asciiTheme="minorEastAsia" w:hAnsiTheme="minorEastAsia" w:eastAsiaTheme="minorEastAsia" w:cstheme="minorEastAsia"/>
          <w:b/>
          <w:bCs/>
          <w:color w:val="auto"/>
          <w:szCs w:val="21"/>
          <w:highlight w:val="none"/>
        </w:rPr>
      </w:pPr>
      <w:bookmarkStart w:id="66" w:name="_Toc20605"/>
      <w:r>
        <w:rPr>
          <w:rFonts w:hint="eastAsia" w:asciiTheme="minorEastAsia" w:hAnsiTheme="minorEastAsia" w:eastAsiaTheme="minorEastAsia" w:cstheme="minorEastAsia"/>
          <w:b/>
          <w:bCs/>
          <w:color w:val="auto"/>
          <w:szCs w:val="21"/>
          <w:highlight w:val="none"/>
        </w:rPr>
        <w:t>3.比较与评价</w:t>
      </w:r>
      <w:bookmarkEnd w:id="66"/>
    </w:p>
    <w:p w14:paraId="2A000A80">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3.1磋商小组应按照磋商文件中规定的评审方法、</w:t>
      </w:r>
      <w:r>
        <w:rPr>
          <w:rFonts w:hint="eastAsia" w:asciiTheme="minorEastAsia" w:hAnsiTheme="minorEastAsia" w:eastAsiaTheme="minorEastAsia" w:cstheme="minorEastAsia"/>
          <w:color w:val="auto"/>
          <w:szCs w:val="21"/>
          <w:highlight w:val="none"/>
        </w:rPr>
        <w:t>标准和评标因素，</w:t>
      </w:r>
      <w:r>
        <w:rPr>
          <w:rFonts w:hint="eastAsia" w:asciiTheme="minorEastAsia" w:hAnsiTheme="minorEastAsia" w:eastAsiaTheme="minorEastAsia" w:cstheme="minorEastAsia"/>
          <w:bCs/>
          <w:color w:val="auto"/>
          <w:szCs w:val="21"/>
          <w:highlight w:val="none"/>
        </w:rPr>
        <w:t>对</w:t>
      </w:r>
      <w:r>
        <w:rPr>
          <w:rFonts w:hint="eastAsia" w:asciiTheme="minorEastAsia" w:hAnsiTheme="minorEastAsia" w:eastAsiaTheme="minorEastAsia" w:cstheme="minorEastAsia"/>
          <w:color w:val="auto"/>
          <w:szCs w:val="21"/>
          <w:highlight w:val="none"/>
        </w:rPr>
        <w:t>资格性检查和符合性检查</w:t>
      </w:r>
      <w:r>
        <w:rPr>
          <w:rFonts w:hint="eastAsia" w:asciiTheme="minorEastAsia" w:hAnsiTheme="minorEastAsia" w:eastAsiaTheme="minorEastAsia" w:cstheme="minorEastAsia"/>
          <w:bCs/>
          <w:color w:val="auto"/>
          <w:szCs w:val="21"/>
          <w:highlight w:val="none"/>
        </w:rPr>
        <w:t>合格的响应文件进行评估，综合比较与评价。</w:t>
      </w:r>
    </w:p>
    <w:p w14:paraId="17130D8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3.2最终</w:t>
      </w:r>
      <w:r>
        <w:rPr>
          <w:rFonts w:hint="eastAsia" w:asciiTheme="minorEastAsia" w:hAnsiTheme="minorEastAsia" w:eastAsiaTheme="minorEastAsia" w:cstheme="minorEastAsia"/>
          <w:color w:val="auto"/>
          <w:szCs w:val="21"/>
          <w:highlight w:val="none"/>
        </w:rPr>
        <w:t>报价评价。磋商小组以最终报价为基础，</w:t>
      </w:r>
      <w:r>
        <w:rPr>
          <w:rFonts w:hint="eastAsia" w:asciiTheme="minorEastAsia" w:hAnsiTheme="minorEastAsia" w:eastAsiaTheme="minorEastAsia" w:cstheme="minorEastAsia"/>
          <w:color w:val="auto"/>
          <w:kern w:val="0"/>
          <w:szCs w:val="21"/>
          <w:highlight w:val="none"/>
        </w:rPr>
        <w:t>依次</w:t>
      </w:r>
      <w:r>
        <w:rPr>
          <w:rFonts w:hint="eastAsia" w:asciiTheme="minorEastAsia" w:hAnsiTheme="minorEastAsia" w:eastAsiaTheme="minorEastAsia" w:cstheme="minorEastAsia"/>
          <w:color w:val="auto"/>
          <w:szCs w:val="21"/>
          <w:highlight w:val="none"/>
        </w:rPr>
        <w:t>对最终报价进行</w:t>
      </w:r>
      <w:r>
        <w:rPr>
          <w:rFonts w:hint="eastAsia" w:asciiTheme="minorEastAsia" w:hAnsiTheme="minorEastAsia" w:eastAsiaTheme="minorEastAsia" w:cstheme="minorEastAsia"/>
          <w:color w:val="auto"/>
          <w:kern w:val="0"/>
          <w:szCs w:val="21"/>
          <w:highlight w:val="none"/>
        </w:rPr>
        <w:t>算术</w:t>
      </w:r>
      <w:r>
        <w:rPr>
          <w:rFonts w:hint="eastAsia" w:asciiTheme="minorEastAsia" w:hAnsiTheme="minorEastAsia" w:eastAsiaTheme="minorEastAsia" w:cstheme="minorEastAsia"/>
          <w:color w:val="auto"/>
          <w:szCs w:val="21"/>
          <w:highlight w:val="none"/>
        </w:rPr>
        <w:t>修正和政府采购政策优惠价格扣除计算。</w:t>
      </w:r>
    </w:p>
    <w:p w14:paraId="10FC490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Cs/>
          <w:color w:val="auto"/>
          <w:szCs w:val="21"/>
          <w:highlight w:val="none"/>
        </w:rPr>
        <w:t>3.3</w:t>
      </w:r>
      <w:r>
        <w:rPr>
          <w:rFonts w:hint="eastAsia" w:asciiTheme="minorEastAsia" w:hAnsiTheme="minorEastAsia" w:eastAsiaTheme="minorEastAsia" w:cstheme="minorEastAsia"/>
          <w:color w:val="auto"/>
          <w:kern w:val="0"/>
          <w:szCs w:val="21"/>
          <w:highlight w:val="none"/>
        </w:rPr>
        <w:t>价格分采用低价优先法计算，即满足磋商文件要求且最终报价最低的价格为评审基准价，其价格分为满分，其他</w:t>
      </w:r>
      <w:r>
        <w:rPr>
          <w:rFonts w:hint="eastAsia" w:asciiTheme="minorEastAsia" w:hAnsiTheme="minorEastAsia" w:eastAsiaTheme="minorEastAsia" w:cstheme="minorEastAsia"/>
          <w:color w:val="auto"/>
          <w:szCs w:val="21"/>
          <w:highlight w:val="none"/>
        </w:rPr>
        <w:t>有效</w:t>
      </w:r>
      <w:r>
        <w:rPr>
          <w:rFonts w:hint="eastAsia" w:asciiTheme="minorEastAsia" w:hAnsiTheme="minorEastAsia" w:eastAsiaTheme="minorEastAsia" w:cstheme="minorEastAsia"/>
          <w:color w:val="auto"/>
          <w:kern w:val="0"/>
          <w:szCs w:val="21"/>
          <w:highlight w:val="none"/>
        </w:rPr>
        <w:t>供应商的价格分按照下列公式计算：</w:t>
      </w:r>
    </w:p>
    <w:p w14:paraId="3A8D59A1">
      <w:pPr>
        <w:keepNext w:val="0"/>
        <w:keepLines w:val="0"/>
        <w:pageBreakBefore w:val="0"/>
        <w:kinsoku/>
        <w:wordWrap/>
        <w:overflowPunct/>
        <w:topLinePunct w:val="0"/>
        <w:autoSpaceDE/>
        <w:autoSpaceDN/>
        <w:bidi w:val="0"/>
        <w:spacing w:line="360" w:lineRule="auto"/>
        <w:ind w:firstLine="420" w:firstLineChars="200"/>
        <w:textAlignment w:val="auto"/>
        <w:rPr>
          <w:rFonts w:hint="default" w:ascii="宋体" w:hAnsi="宋体" w:eastAsia="宋体"/>
          <w:color w:val="auto"/>
          <w:highlight w:val="none"/>
          <w:lang w:val="en-US" w:eastAsia="zh-CN"/>
        </w:rPr>
      </w:pPr>
      <w:r>
        <w:rPr>
          <w:rFonts w:hint="eastAsia" w:ascii="宋体" w:hAnsi="宋体"/>
          <w:color w:val="auto"/>
          <w:highlight w:val="none"/>
        </w:rPr>
        <w:t>磋商报价得分=（磋商基准价/最后磋商报价）×</w:t>
      </w:r>
      <w:r>
        <w:rPr>
          <w:rFonts w:hint="eastAsia" w:ascii="宋体" w:hAnsi="宋体"/>
          <w:color w:val="auto"/>
          <w:highlight w:val="none"/>
          <w:lang w:val="en-US" w:eastAsia="zh-CN"/>
        </w:rPr>
        <w:t>20</w:t>
      </w:r>
    </w:p>
    <w:p w14:paraId="50A7F59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本项所称最终报价为按</w:t>
      </w:r>
      <w:r>
        <w:rPr>
          <w:rFonts w:hint="eastAsia" w:asciiTheme="minorEastAsia" w:hAnsiTheme="minorEastAsia" w:eastAsiaTheme="minorEastAsia" w:cstheme="minorEastAsia"/>
          <w:bCs/>
          <w:color w:val="auto"/>
          <w:szCs w:val="21"/>
          <w:highlight w:val="none"/>
        </w:rPr>
        <w:t>本章第3.2</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bCs/>
          <w:color w:val="auto"/>
          <w:szCs w:val="21"/>
          <w:highlight w:val="none"/>
        </w:rPr>
        <w:t>规定</w:t>
      </w:r>
      <w:r>
        <w:rPr>
          <w:rFonts w:hint="eastAsia" w:asciiTheme="minorEastAsia" w:hAnsiTheme="minorEastAsia" w:eastAsiaTheme="minorEastAsia" w:cstheme="minorEastAsia"/>
          <w:color w:val="auto"/>
          <w:szCs w:val="21"/>
          <w:highlight w:val="none"/>
        </w:rPr>
        <w:t>价值扣除后的最终报价。</w:t>
      </w:r>
    </w:p>
    <w:p w14:paraId="75C0794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bCs/>
          <w:color w:val="auto"/>
          <w:szCs w:val="21"/>
          <w:highlight w:val="none"/>
        </w:rPr>
        <w:t>3.4</w:t>
      </w:r>
      <w:r>
        <w:rPr>
          <w:rFonts w:hint="eastAsia" w:asciiTheme="minorEastAsia" w:hAnsiTheme="minorEastAsia" w:eastAsiaTheme="minorEastAsia" w:cstheme="minorEastAsia"/>
          <w:color w:val="auto"/>
          <w:spacing w:val="-4"/>
          <w:szCs w:val="21"/>
          <w:highlight w:val="none"/>
        </w:rPr>
        <w:t>涉及政府采购政策优惠的，</w:t>
      </w:r>
      <w:r>
        <w:rPr>
          <w:rFonts w:hint="eastAsia" w:asciiTheme="minorEastAsia" w:hAnsiTheme="minorEastAsia" w:eastAsiaTheme="minorEastAsia" w:cstheme="minorEastAsia"/>
          <w:bCs/>
          <w:color w:val="auto"/>
          <w:spacing w:val="-4"/>
          <w:szCs w:val="21"/>
          <w:highlight w:val="none"/>
        </w:rPr>
        <w:t>按</w:t>
      </w:r>
      <w:r>
        <w:rPr>
          <w:rFonts w:hint="eastAsia" w:asciiTheme="minorEastAsia" w:hAnsiTheme="minorEastAsia" w:eastAsiaTheme="minorEastAsia" w:cstheme="minorEastAsia"/>
          <w:b/>
          <w:color w:val="auto"/>
          <w:spacing w:val="-4"/>
          <w:szCs w:val="21"/>
          <w:highlight w:val="none"/>
        </w:rPr>
        <w:t>磋商文件前附表</w:t>
      </w:r>
      <w:r>
        <w:rPr>
          <w:rFonts w:hint="eastAsia" w:asciiTheme="minorEastAsia" w:hAnsiTheme="minorEastAsia" w:eastAsiaTheme="minorEastAsia" w:cstheme="minorEastAsia"/>
          <w:bCs/>
          <w:color w:val="auto"/>
          <w:spacing w:val="-4"/>
          <w:szCs w:val="21"/>
          <w:highlight w:val="none"/>
        </w:rPr>
        <w:t>规定</w:t>
      </w:r>
      <w:r>
        <w:rPr>
          <w:rFonts w:hint="eastAsia" w:asciiTheme="minorEastAsia" w:hAnsiTheme="minorEastAsia" w:eastAsiaTheme="minorEastAsia" w:cstheme="minorEastAsia"/>
          <w:color w:val="auto"/>
          <w:spacing w:val="-4"/>
          <w:szCs w:val="21"/>
          <w:highlight w:val="none"/>
        </w:rPr>
        <w:t>调整供应商的技术、价格</w:t>
      </w:r>
      <w:r>
        <w:rPr>
          <w:rFonts w:hint="eastAsia" w:asciiTheme="minorEastAsia" w:hAnsiTheme="minorEastAsia" w:eastAsiaTheme="minorEastAsia" w:cstheme="minorEastAsia"/>
          <w:color w:val="auto"/>
          <w:spacing w:val="-4"/>
          <w:kern w:val="0"/>
          <w:szCs w:val="21"/>
          <w:highlight w:val="none"/>
        </w:rPr>
        <w:t>得分或总得分</w:t>
      </w:r>
      <w:r>
        <w:rPr>
          <w:rFonts w:hint="eastAsia" w:asciiTheme="minorEastAsia" w:hAnsiTheme="minorEastAsia" w:eastAsiaTheme="minorEastAsia" w:cstheme="minorEastAsia"/>
          <w:color w:val="auto"/>
          <w:spacing w:val="-4"/>
          <w:szCs w:val="21"/>
          <w:highlight w:val="none"/>
        </w:rPr>
        <w:t>。</w:t>
      </w:r>
    </w:p>
    <w:p w14:paraId="08E28F13">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kern w:val="0"/>
          <w:highlight w:val="none"/>
        </w:rPr>
      </w:pPr>
      <w:r>
        <w:rPr>
          <w:rFonts w:hint="eastAsia" w:ascii="宋体" w:hAnsi="宋体" w:cs="宋体"/>
          <w:color w:val="auto"/>
          <w:kern w:val="0"/>
          <w:highlight w:val="none"/>
        </w:rPr>
        <w:t xml:space="preserve">3.4.1 </w:t>
      </w:r>
      <w:r>
        <w:rPr>
          <w:rFonts w:hint="eastAsia" w:ascii="宋体" w:hAnsi="宋体" w:cs="宋体"/>
          <w:color w:val="auto"/>
          <w:highlight w:val="none"/>
        </w:rPr>
        <w:t>价格评审优惠：</w:t>
      </w:r>
    </w:p>
    <w:p w14:paraId="5519A7F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（1）供应商</w:t>
      </w:r>
      <w:r>
        <w:rPr>
          <w:rFonts w:hint="eastAsia" w:asciiTheme="minorEastAsia" w:hAnsiTheme="minorEastAsia" w:eastAsiaTheme="minorEastAsia" w:cstheme="minorEastAsia"/>
          <w:bCs/>
          <w:color w:val="auto"/>
          <w:szCs w:val="21"/>
          <w:highlight w:val="none"/>
        </w:rPr>
        <w:t>全部为符合政策要求的中小企业，</w:t>
      </w:r>
      <w:r>
        <w:rPr>
          <w:rFonts w:hint="eastAsia" w:ascii="宋体" w:hAnsi="宋体" w:cs="宋体"/>
          <w:color w:val="auto"/>
          <w:highlight w:val="none"/>
        </w:rPr>
        <w:t>投标价格按</w:t>
      </w:r>
      <w:r>
        <w:rPr>
          <w:rFonts w:hint="eastAsia" w:asciiTheme="minorEastAsia" w:hAnsiTheme="minorEastAsia" w:eastAsiaTheme="minorEastAsia" w:cstheme="minorEastAsia"/>
          <w:b/>
          <w:color w:val="auto"/>
          <w:szCs w:val="21"/>
          <w:highlight w:val="none"/>
        </w:rPr>
        <w:t>磋商文件前附表</w:t>
      </w:r>
      <w:r>
        <w:rPr>
          <w:rFonts w:hint="eastAsia" w:ascii="宋体" w:hAnsi="宋体" w:cs="宋体"/>
          <w:color w:val="auto"/>
          <w:szCs w:val="21"/>
          <w:highlight w:val="none"/>
        </w:rPr>
        <w:t>有关规定</w:t>
      </w:r>
      <w:r>
        <w:rPr>
          <w:rFonts w:hint="eastAsia" w:ascii="宋体" w:hAnsi="宋体" w:cs="宋体"/>
          <w:color w:val="auto"/>
          <w:highlight w:val="none"/>
        </w:rPr>
        <w:t>给予一定比例的价格折扣，用扣除后的价格参与评审。</w:t>
      </w:r>
    </w:p>
    <w:p w14:paraId="7B1FD2DB">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宋体" w:hAnsi="宋体" w:cs="宋体"/>
          <w:color w:val="auto"/>
          <w:highlight w:val="none"/>
        </w:rPr>
        <w:t>（2）小型、微型企业参加联合体投标并在联合体协议中明确其在合同金额占联合体合同总金额 30%以上的，该联合体投标价格按</w:t>
      </w:r>
      <w:r>
        <w:rPr>
          <w:rFonts w:hint="eastAsia" w:ascii="宋体" w:hAnsi="宋体" w:cs="宋体"/>
          <w:color w:val="auto"/>
          <w:szCs w:val="21"/>
          <w:highlight w:val="none"/>
        </w:rPr>
        <w:t>招标文件第四章第一节有关规定</w:t>
      </w:r>
      <w:r>
        <w:rPr>
          <w:rFonts w:hint="eastAsia" w:ascii="宋体" w:hAnsi="宋体" w:cs="宋体"/>
          <w:color w:val="auto"/>
          <w:highlight w:val="none"/>
        </w:rPr>
        <w:t>给予一定比例的价格</w:t>
      </w:r>
      <w:r>
        <w:rPr>
          <w:rFonts w:hint="eastAsia" w:asciiTheme="minorEastAsia" w:hAnsiTheme="minorEastAsia" w:eastAsiaTheme="minorEastAsia" w:cstheme="minorEastAsia"/>
          <w:bCs/>
          <w:color w:val="auto"/>
          <w:szCs w:val="21"/>
          <w:highlight w:val="none"/>
        </w:rPr>
        <w:t>折扣，用扣除后的价格参与评审。联合体各方均为小型、微型企业的，联合体视同为小型、微型企业；</w:t>
      </w:r>
    </w:p>
    <w:p w14:paraId="48FD4A35">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（3）监狱企业、残疾人福利性单位视同小型、微型企业，享受评审中价格扣除等促进中小企业发展的政府采购政策。</w:t>
      </w:r>
    </w:p>
    <w:p w14:paraId="65B2E116">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3.4.2政府采购政策交叉与叠加</w:t>
      </w:r>
    </w:p>
    <w:p w14:paraId="4ABE71D6">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（1）供应商同时符合小型、微型企业及监狱企业、残疾人福利性单位要求的，评审时只有一种类型享受价格评审优惠政策；</w:t>
      </w:r>
    </w:p>
    <w:p w14:paraId="4EB8F644">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（2）供应商应按本章第3.4.3款规定提供相关证明资料（包括提供相关报价）。</w:t>
      </w:r>
    </w:p>
    <w:p w14:paraId="2F4585D1">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3.4.3供应商符合本章第3.4.1款规定的，应提供相关证明资料。</w:t>
      </w:r>
    </w:p>
    <w:p w14:paraId="26CC2EA9">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（1）中小企业：按《政府采购促进中小企业发展管理办法》（财库【2020】46号）</w:t>
      </w:r>
      <w:r>
        <w:rPr>
          <w:rFonts w:hint="eastAsia" w:asciiTheme="minorEastAsia" w:hAnsiTheme="minorEastAsia" w:eastAsiaTheme="minorEastAsia"/>
          <w:color w:val="auto"/>
          <w:szCs w:val="21"/>
          <w:highlight w:val="none"/>
        </w:rPr>
        <w:t>、</w:t>
      </w:r>
      <w:r>
        <w:rPr>
          <w:rFonts w:hint="eastAsia" w:ascii="宋体" w:hAnsi="宋体"/>
          <w:color w:val="auto"/>
          <w:highlight w:val="none"/>
        </w:rPr>
        <w:t>湖南省财政厅关于政府采购促进中小企业发展有关措施的通知（</w:t>
      </w:r>
      <w:r>
        <w:rPr>
          <w:rFonts w:hint="eastAsia" w:asciiTheme="minorEastAsia" w:hAnsiTheme="minorEastAsia" w:eastAsiaTheme="minorEastAsia"/>
          <w:color w:val="auto"/>
          <w:highlight w:val="none"/>
        </w:rPr>
        <w:t>湘财购[2022]17号</w:t>
      </w:r>
      <w:r>
        <w:rPr>
          <w:rFonts w:hint="eastAsia" w:ascii="宋体" w:hAnsi="宋体"/>
          <w:color w:val="auto"/>
          <w:highlight w:val="none"/>
        </w:rPr>
        <w:t>）</w:t>
      </w:r>
      <w:r>
        <w:rPr>
          <w:rFonts w:hint="eastAsia" w:asciiTheme="minorEastAsia" w:hAnsiTheme="minorEastAsia" w:eastAsiaTheme="minorEastAsia" w:cstheme="minorEastAsia"/>
          <w:bCs/>
          <w:color w:val="auto"/>
          <w:szCs w:val="21"/>
          <w:highlight w:val="none"/>
        </w:rPr>
        <w:t>规定，供应商提供《小型、微型企业声明函》（格式）。</w:t>
      </w:r>
    </w:p>
    <w:p w14:paraId="40529DBB">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（2）监狱企业：按《关于政府采购支持监狱企业发展有关问题的通知》(财库〔2014〕68号)文件规定提供证明文件（复印件）。</w:t>
      </w:r>
    </w:p>
    <w:p w14:paraId="167FE858">
      <w:pPr>
        <w:keepNext w:val="0"/>
        <w:keepLines w:val="0"/>
        <w:pageBreakBefore w:val="0"/>
        <w:tabs>
          <w:tab w:val="left" w:pos="0"/>
        </w:tabs>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（4）残疾人福利性单位：按《关于促进残疾人就业政府采购政策的通知》(财库〔2017〕141号)文件规定提供《残疾人福利性单位声明函》（格式）</w:t>
      </w:r>
    </w:p>
    <w:p w14:paraId="0F63F01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3.5涉及多处获得政府采购政策优惠的，涉及调整得分的，</w:t>
      </w:r>
      <w:r>
        <w:rPr>
          <w:rFonts w:hint="eastAsia" w:asciiTheme="minorEastAsia" w:hAnsiTheme="minorEastAsia" w:eastAsiaTheme="minorEastAsia" w:cstheme="minorEastAsia"/>
          <w:color w:val="auto"/>
          <w:kern w:val="0"/>
          <w:szCs w:val="21"/>
          <w:highlight w:val="none"/>
        </w:rPr>
        <w:t>按</w:t>
      </w:r>
      <w:r>
        <w:rPr>
          <w:rFonts w:hint="eastAsia" w:asciiTheme="minorEastAsia" w:hAnsiTheme="minorEastAsia" w:eastAsiaTheme="minorEastAsia" w:cstheme="minorEastAsia"/>
          <w:bCs/>
          <w:color w:val="auto"/>
          <w:szCs w:val="21"/>
          <w:highlight w:val="none"/>
        </w:rPr>
        <w:t>本章第3.4</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bCs/>
          <w:color w:val="auto"/>
          <w:szCs w:val="21"/>
          <w:highlight w:val="none"/>
        </w:rPr>
        <w:t>规定</w:t>
      </w:r>
      <w:r>
        <w:rPr>
          <w:rFonts w:hint="eastAsia" w:asciiTheme="minorEastAsia" w:hAnsiTheme="minorEastAsia" w:eastAsiaTheme="minorEastAsia" w:cstheme="minorEastAsia"/>
          <w:color w:val="auto"/>
          <w:szCs w:val="21"/>
          <w:highlight w:val="none"/>
        </w:rPr>
        <w:t>调整得分；涉及调整价格的，</w:t>
      </w:r>
      <w:r>
        <w:rPr>
          <w:rFonts w:hint="eastAsia" w:asciiTheme="minorEastAsia" w:hAnsiTheme="minorEastAsia" w:eastAsiaTheme="minorEastAsia" w:cstheme="minorEastAsia"/>
          <w:color w:val="auto"/>
          <w:kern w:val="0"/>
          <w:szCs w:val="21"/>
          <w:highlight w:val="none"/>
        </w:rPr>
        <w:t>按</w:t>
      </w:r>
      <w:r>
        <w:rPr>
          <w:rFonts w:hint="eastAsia" w:asciiTheme="minorEastAsia" w:hAnsiTheme="minorEastAsia" w:eastAsiaTheme="minorEastAsia" w:cstheme="minorEastAsia"/>
          <w:bCs/>
          <w:color w:val="auto"/>
          <w:szCs w:val="21"/>
          <w:highlight w:val="none"/>
        </w:rPr>
        <w:t>本章第3.2</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bCs/>
          <w:color w:val="auto"/>
          <w:szCs w:val="21"/>
          <w:highlight w:val="none"/>
        </w:rPr>
        <w:t>规定</w:t>
      </w:r>
      <w:r>
        <w:rPr>
          <w:rFonts w:hint="eastAsia" w:asciiTheme="minorEastAsia" w:hAnsiTheme="minorEastAsia" w:eastAsiaTheme="minorEastAsia" w:cstheme="minorEastAsia"/>
          <w:color w:val="auto"/>
          <w:szCs w:val="21"/>
          <w:highlight w:val="none"/>
        </w:rPr>
        <w:t>调整价格。综合调整见</w:t>
      </w:r>
      <w:r>
        <w:rPr>
          <w:rFonts w:hint="eastAsia" w:asciiTheme="minorEastAsia" w:hAnsiTheme="minorEastAsia" w:eastAsiaTheme="minorEastAsia" w:cstheme="minorEastAsia"/>
          <w:b/>
          <w:color w:val="auto"/>
          <w:szCs w:val="21"/>
          <w:highlight w:val="none"/>
        </w:rPr>
        <w:t>磋商文件前附表</w:t>
      </w:r>
      <w:r>
        <w:rPr>
          <w:rFonts w:hint="eastAsia" w:asciiTheme="minorEastAsia" w:hAnsiTheme="minorEastAsia" w:eastAsiaTheme="minorEastAsia" w:cstheme="minorEastAsia"/>
          <w:color w:val="auto"/>
          <w:szCs w:val="21"/>
          <w:highlight w:val="none"/>
        </w:rPr>
        <w:t>相关规定。</w:t>
      </w:r>
    </w:p>
    <w:p w14:paraId="4D470DE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3.6</w:t>
      </w:r>
      <w:r>
        <w:rPr>
          <w:rFonts w:hint="eastAsia" w:asciiTheme="minorEastAsia" w:hAnsiTheme="minorEastAsia" w:eastAsiaTheme="minorEastAsia" w:cstheme="minorEastAsia"/>
          <w:color w:val="auto"/>
          <w:szCs w:val="21"/>
          <w:highlight w:val="none"/>
        </w:rPr>
        <w:t>评审时，磋商小组各成员应当独立对每个供应商的</w:t>
      </w:r>
      <w:r>
        <w:rPr>
          <w:rFonts w:hint="eastAsia" w:asciiTheme="minorEastAsia" w:hAnsiTheme="minorEastAsia" w:eastAsiaTheme="minorEastAsia" w:cstheme="minorEastAsia"/>
          <w:bCs/>
          <w:color w:val="auto"/>
          <w:szCs w:val="21"/>
          <w:highlight w:val="none"/>
        </w:rPr>
        <w:t>响应文件</w:t>
      </w:r>
      <w:r>
        <w:rPr>
          <w:rFonts w:hint="eastAsia" w:asciiTheme="minorEastAsia" w:hAnsiTheme="minorEastAsia" w:eastAsiaTheme="minorEastAsia" w:cstheme="minorEastAsia"/>
          <w:color w:val="auto"/>
          <w:szCs w:val="21"/>
          <w:highlight w:val="none"/>
        </w:rPr>
        <w:t>进行评价、评分，然后汇总每个供应商项评分因素的得分。</w:t>
      </w:r>
    </w:p>
    <w:p w14:paraId="1A7B4F0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3.7评分细则</w:t>
      </w:r>
    </w:p>
    <w:p w14:paraId="58CE17DE">
      <w:pPr>
        <w:adjustRightInd w:val="0"/>
        <w:snapToGrid w:val="0"/>
        <w:spacing w:before="120" w:beforeLines="50" w:line="360" w:lineRule="auto"/>
        <w:ind w:firstLine="420" w:firstLineChars="200"/>
        <w:jc w:val="left"/>
        <w:rPr>
          <w:rFonts w:ascii="宋体" w:hAnsi="宋体"/>
          <w:bCs/>
          <w:color w:val="auto"/>
          <w:szCs w:val="21"/>
          <w:highlight w:val="none"/>
        </w:rPr>
      </w:pPr>
    </w:p>
    <w:p w14:paraId="20D62AF1">
      <w:pPr>
        <w:widowControl/>
        <w:jc w:val="left"/>
        <w:outlineLvl w:val="9"/>
        <w:rPr>
          <w:rFonts w:ascii="宋体" w:hAnsi="宋体"/>
          <w:bCs/>
          <w:color w:val="auto"/>
          <w:szCs w:val="21"/>
          <w:highlight w:val="none"/>
        </w:rPr>
      </w:pPr>
      <w:r>
        <w:rPr>
          <w:rFonts w:ascii="宋体" w:hAnsi="宋体"/>
          <w:bCs/>
          <w:color w:val="auto"/>
          <w:szCs w:val="21"/>
          <w:highlight w:val="none"/>
        </w:rPr>
        <w:br w:type="page"/>
      </w:r>
    </w:p>
    <w:p w14:paraId="676FEFE1">
      <w:pPr>
        <w:widowControl/>
        <w:jc w:val="center"/>
        <w:rPr>
          <w:rFonts w:hint="eastAsia" w:ascii="黑体" w:hAnsi="华文中宋" w:eastAsia="黑体"/>
          <w:color w:val="auto"/>
          <w:sz w:val="24"/>
          <w:highlight w:val="none"/>
        </w:rPr>
      </w:pPr>
      <w:r>
        <w:rPr>
          <w:rFonts w:hint="eastAsia" w:ascii="黑体" w:hAnsi="华文中宋" w:eastAsia="黑体"/>
          <w:color w:val="auto"/>
          <w:sz w:val="24"/>
          <w:highlight w:val="none"/>
        </w:rPr>
        <w:t>评分标准表</w:t>
      </w:r>
    </w:p>
    <w:p w14:paraId="1D46E701">
      <w:pPr>
        <w:pStyle w:val="12"/>
        <w:rPr>
          <w:rFonts w:hint="eastAsia" w:ascii="黑体" w:hAnsi="华文中宋" w:eastAsia="黑体"/>
          <w:color w:val="auto"/>
          <w:sz w:val="24"/>
          <w:highlight w:val="none"/>
        </w:rPr>
      </w:pPr>
    </w:p>
    <w:tbl>
      <w:tblPr>
        <w:tblStyle w:val="46"/>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87"/>
        <w:gridCol w:w="1159"/>
        <w:gridCol w:w="678"/>
        <w:gridCol w:w="6162"/>
      </w:tblGrid>
      <w:tr w14:paraId="3486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36" w:type="pct"/>
            <w:gridSpan w:val="2"/>
            <w:vAlign w:val="center"/>
          </w:tcPr>
          <w:p w14:paraId="0328EA49">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项目</w:t>
            </w:r>
          </w:p>
        </w:tc>
        <w:tc>
          <w:tcPr>
            <w:tcW w:w="373" w:type="pct"/>
            <w:vAlign w:val="center"/>
          </w:tcPr>
          <w:p w14:paraId="01F55C1F">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分值</w:t>
            </w:r>
          </w:p>
        </w:tc>
        <w:tc>
          <w:tcPr>
            <w:tcW w:w="3390" w:type="pct"/>
            <w:vAlign w:val="center"/>
          </w:tcPr>
          <w:p w14:paraId="2D5BE34F">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分值细则</w:t>
            </w:r>
          </w:p>
        </w:tc>
      </w:tr>
      <w:tr w14:paraId="0566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236" w:type="pct"/>
            <w:gridSpan w:val="2"/>
            <w:vAlign w:val="center"/>
          </w:tcPr>
          <w:p w14:paraId="6328D365">
            <w:pPr>
              <w:jc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lang w:val="en-US" w:eastAsia="zh-CN"/>
              </w:rPr>
              <w:t>响应</w:t>
            </w:r>
            <w:r>
              <w:rPr>
                <w:rFonts w:hint="eastAsia" w:cs="楷体" w:asciiTheme="minorEastAsia" w:hAnsiTheme="minorEastAsia" w:eastAsiaTheme="minorEastAsia"/>
                <w:color w:val="auto"/>
                <w:highlight w:val="none"/>
              </w:rPr>
              <w:t>报价</w:t>
            </w:r>
          </w:p>
          <w:p w14:paraId="1681A53A">
            <w:pPr>
              <w:jc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w:t>
            </w:r>
            <w:r>
              <w:rPr>
                <w:rFonts w:hint="eastAsia" w:cs="楷体" w:asciiTheme="minorEastAsia" w:hAnsiTheme="minorEastAsia" w:eastAsiaTheme="minorEastAsia"/>
                <w:color w:val="auto"/>
                <w:highlight w:val="none"/>
                <w:lang w:val="en-US" w:eastAsia="zh-CN"/>
              </w:rPr>
              <w:t>20</w:t>
            </w:r>
            <w:r>
              <w:rPr>
                <w:rFonts w:hint="eastAsia" w:cs="楷体" w:asciiTheme="minorEastAsia" w:hAnsiTheme="minorEastAsia" w:eastAsiaTheme="minorEastAsia"/>
                <w:color w:val="auto"/>
                <w:highlight w:val="none"/>
              </w:rPr>
              <w:t>分）</w:t>
            </w:r>
          </w:p>
        </w:tc>
        <w:tc>
          <w:tcPr>
            <w:tcW w:w="373" w:type="pct"/>
            <w:vAlign w:val="center"/>
          </w:tcPr>
          <w:p w14:paraId="18A53DC9">
            <w:pPr>
              <w:jc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20</w:t>
            </w:r>
          </w:p>
        </w:tc>
        <w:tc>
          <w:tcPr>
            <w:tcW w:w="3390" w:type="pct"/>
            <w:vAlign w:val="center"/>
          </w:tcPr>
          <w:p w14:paraId="28ACF79C">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宋体" w:cs="宋体"/>
                <w:color w:val="auto"/>
                <w:highlight w:val="none"/>
              </w:rPr>
            </w:pPr>
            <w:r>
              <w:rPr>
                <w:rFonts w:hint="eastAsia" w:ascii="宋体" w:hAnsi="宋体" w:cs="宋体"/>
                <w:color w:val="auto"/>
                <w:highlight w:val="none"/>
              </w:rPr>
              <w:t>报价调整：本项目专门面向中小企业采购，不再执行价格评审优惠的扶持政策。</w:t>
            </w:r>
          </w:p>
          <w:p w14:paraId="37BD2CDD">
            <w:pPr>
              <w:keepNext w:val="0"/>
              <w:keepLines w:val="0"/>
              <w:pageBreakBefore w:val="0"/>
              <w:kinsoku/>
              <w:wordWrap/>
              <w:overflowPunct/>
              <w:topLinePunct w:val="0"/>
              <w:autoSpaceDE/>
              <w:autoSpaceDN/>
              <w:bidi w:val="0"/>
              <w:adjustRightInd/>
              <w:snapToGrid/>
              <w:spacing w:line="240" w:lineRule="auto"/>
              <w:textAlignment w:val="auto"/>
              <w:rPr>
                <w:rFonts w:hint="default" w:ascii="宋体" w:hAnsi="宋体" w:eastAsia="宋体"/>
                <w:color w:val="auto"/>
                <w:highlight w:val="none"/>
                <w:lang w:val="en-US" w:eastAsia="zh-CN"/>
              </w:rPr>
            </w:pPr>
            <w:r>
              <w:rPr>
                <w:rFonts w:hint="eastAsia" w:ascii="宋体" w:hAnsi="宋体" w:cs="宋体"/>
                <w:color w:val="auto"/>
                <w:highlight w:val="none"/>
              </w:rPr>
              <w:t>2、以经磋商小组一致认定满足采购文件要求</w:t>
            </w:r>
            <w:r>
              <w:rPr>
                <w:rFonts w:hint="eastAsia" w:ascii="宋体" w:hAnsi="宋体"/>
                <w:color w:val="auto"/>
                <w:highlight w:val="none"/>
              </w:rPr>
              <w:t>且最后报价最低的投标人的价格为磋商基准价，其价格分为满分</w:t>
            </w:r>
            <w:r>
              <w:rPr>
                <w:rFonts w:hint="eastAsia" w:ascii="宋体" w:hAnsi="宋体"/>
                <w:color w:val="auto"/>
                <w:highlight w:val="none"/>
                <w:lang w:val="en-US" w:eastAsia="zh-CN"/>
              </w:rPr>
              <w:t>20</w:t>
            </w:r>
            <w:r>
              <w:rPr>
                <w:rFonts w:hint="eastAsia" w:ascii="宋体" w:hAnsi="宋体"/>
                <w:color w:val="auto"/>
                <w:highlight w:val="none"/>
              </w:rPr>
              <w:t>分。其他投标人的价格分统一按照下列公式计算：磋商报价得分=（磋商基准价/最后磋商报价）×</w:t>
            </w:r>
            <w:r>
              <w:rPr>
                <w:rFonts w:hint="eastAsia" w:ascii="宋体" w:hAnsi="宋体"/>
                <w:color w:val="auto"/>
                <w:highlight w:val="none"/>
                <w:lang w:val="en-US" w:eastAsia="zh-CN"/>
              </w:rPr>
              <w:t>20</w:t>
            </w:r>
          </w:p>
          <w:p w14:paraId="30DF2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注：政府采购评审中出现下列情形之一的，评审委员会应当启动异常低价投标（响应）审查程序：</w:t>
            </w:r>
          </w:p>
          <w:p w14:paraId="6CA170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default" w:ascii="宋体" w:hAnsi="宋体" w:eastAsia="宋体" w:cs="宋体"/>
                <w:i w:val="0"/>
                <w:iCs w:val="0"/>
                <w:caps w:val="0"/>
                <w:color w:val="auto"/>
                <w:spacing w:val="4"/>
                <w:sz w:val="21"/>
                <w:szCs w:val="21"/>
                <w:highlight w:val="none"/>
                <w:lang w:eastAsia="zh-CN" w:bidi="ar"/>
              </w:rPr>
            </w:pP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1.投标（响应）报价低于全部通过符合性审查供应商投标（响应）报价平均值</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50%</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的</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不得超过65%</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，即投标（响应）报价&lt;全部通过符合性审查供应商投标（响应）报价平均值×</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50%</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p>
          <w:p w14:paraId="31E644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default" w:ascii="宋体" w:hAnsi="宋体" w:eastAsia="宋体" w:cs="宋体"/>
                <w:i w:val="0"/>
                <w:iCs w:val="0"/>
                <w:caps w:val="0"/>
                <w:color w:val="auto"/>
                <w:spacing w:val="4"/>
                <w:sz w:val="21"/>
                <w:szCs w:val="21"/>
                <w:highlight w:val="none"/>
                <w:lang w:eastAsia="zh-CN" w:bidi="ar"/>
              </w:rPr>
            </w:pP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2.投标（响应）报价低于通过符合性审查的次低报价供应商投标（响应）报价</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50%</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的</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不得超过65%</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，即投标（响应）报价&lt;通过符合性审查的次低报价供应商投标（响应）报价×</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50%</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p>
          <w:p w14:paraId="0C1F5D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default" w:ascii="宋体" w:hAnsi="宋体" w:eastAsia="宋体" w:cs="宋体"/>
                <w:i w:val="0"/>
                <w:iCs w:val="0"/>
                <w:caps w:val="0"/>
                <w:color w:val="auto"/>
                <w:spacing w:val="4"/>
                <w:sz w:val="21"/>
                <w:szCs w:val="21"/>
                <w:highlight w:val="none"/>
                <w:lang w:eastAsia="zh-CN" w:bidi="ar"/>
              </w:rPr>
            </w:pP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3.投标（响应）报价低于采购项目最高限价</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45%</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的</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不得超过65%</w:t>
            </w:r>
            <w:r>
              <w:rPr>
                <w:rFonts w:hint="eastAsia"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，即投标（响应）报价&lt;采购项目最高限价×</w:t>
            </w:r>
            <w:r>
              <w:rPr>
                <w:rFonts w:hint="eastAsia" w:ascii="宋体" w:hAnsi="宋体" w:eastAsia="宋体" w:cs="宋体"/>
                <w:i w:val="0"/>
                <w:iCs w:val="0"/>
                <w:caps w:val="0"/>
                <w:snapToGrid w:val="0"/>
                <w:color w:val="auto"/>
                <w:spacing w:val="4"/>
                <w:kern w:val="0"/>
                <w:sz w:val="21"/>
                <w:szCs w:val="21"/>
                <w:highlight w:val="none"/>
                <w:u w:val="single"/>
                <w:shd w:val="clear" w:color="auto" w:fill="auto"/>
                <w:vertAlign w:val="baseline"/>
                <w:lang w:val="en-US" w:eastAsia="zh-CN" w:bidi="ar"/>
              </w:rPr>
              <w:t>45%</w:t>
            </w: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w:t>
            </w:r>
          </w:p>
          <w:p w14:paraId="659F6A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default" w:ascii="宋体" w:hAnsi="宋体" w:eastAsia="宋体" w:cs="宋体"/>
                <w:i w:val="0"/>
                <w:iCs w:val="0"/>
                <w:caps w:val="0"/>
                <w:color w:val="auto"/>
                <w:spacing w:val="4"/>
                <w:sz w:val="21"/>
                <w:szCs w:val="21"/>
                <w:highlight w:val="none"/>
                <w:lang w:eastAsia="zh-CN" w:bidi="ar"/>
              </w:rPr>
            </w:pP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4.评审委员会基于专业判断，认为供应商报价过低，有可能影响产品质量或者不能诚信履约的其他情形。</w:t>
            </w:r>
          </w:p>
          <w:p w14:paraId="52E9A2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Autospacing="0" w:after="0" w:afterAutospacing="0" w:line="240" w:lineRule="auto"/>
              <w:ind w:left="0" w:right="0" w:firstLine="0" w:firstLineChars="0"/>
              <w:jc w:val="both"/>
              <w:textAlignment w:val="auto"/>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pPr>
            <w:r>
              <w:rPr>
                <w:rFonts w:hint="default" w:ascii="宋体" w:hAnsi="宋体" w:eastAsia="宋体" w:cs="宋体"/>
                <w:i w:val="0"/>
                <w:iCs w:val="0"/>
                <w:caps w:val="0"/>
                <w:snapToGrid w:val="0"/>
                <w:color w:val="auto"/>
                <w:spacing w:val="4"/>
                <w:kern w:val="0"/>
                <w:sz w:val="21"/>
                <w:szCs w:val="21"/>
                <w:highlight w:val="none"/>
                <w:shd w:val="clear" w:color="auto" w:fill="auto"/>
                <w:vertAlign w:val="baseline"/>
                <w:lang w:val="en-US" w:eastAsia="zh-CN" w:bidi="ar"/>
              </w:rPr>
              <w:t>相关法律法规对供应商报价有规定的，从其规定。</w:t>
            </w:r>
          </w:p>
          <w:p w14:paraId="4DCB793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b/>
                <w:bCs/>
                <w:color w:val="auto"/>
                <w:highlight w:val="none"/>
              </w:rPr>
            </w:pPr>
            <w:r>
              <w:rPr>
                <w:rFonts w:hint="default" w:ascii="宋体" w:hAnsi="宋体" w:eastAsia="宋体" w:cs="宋体"/>
                <w:i w:val="0"/>
                <w:iCs w:val="0"/>
                <w:caps w:val="0"/>
                <w:color w:val="auto"/>
                <w:spacing w:val="4"/>
                <w:kern w:val="2"/>
                <w:sz w:val="21"/>
                <w:szCs w:val="21"/>
                <w:highlight w:val="none"/>
                <w:shd w:val="clear" w:color="auto" w:fill="auto"/>
                <w:lang w:val="zh-CN" w:eastAsia="zh-CN" w:bidi="ar"/>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rFonts w:hint="eastAsia" w:ascii="宋体" w:hAnsi="宋体" w:eastAsia="宋体" w:cs="宋体"/>
                <w:i w:val="0"/>
                <w:iCs w:val="0"/>
                <w:caps w:val="0"/>
                <w:color w:val="auto"/>
                <w:spacing w:val="4"/>
                <w:kern w:val="2"/>
                <w:sz w:val="21"/>
                <w:szCs w:val="21"/>
                <w:highlight w:val="none"/>
                <w:u w:val="single"/>
                <w:shd w:val="clear" w:color="auto" w:fill="auto"/>
                <w:lang w:val="en-US" w:eastAsia="zh-CN" w:bidi="ar"/>
              </w:rPr>
              <w:t>30</w:t>
            </w:r>
            <w:r>
              <w:rPr>
                <w:rFonts w:hint="default" w:ascii="宋体" w:hAnsi="宋体" w:eastAsia="宋体" w:cs="宋体"/>
                <w:i w:val="0"/>
                <w:iCs w:val="0"/>
                <w:caps w:val="0"/>
                <w:color w:val="auto"/>
                <w:spacing w:val="4"/>
                <w:kern w:val="2"/>
                <w:sz w:val="21"/>
                <w:szCs w:val="21"/>
                <w:highlight w:val="none"/>
                <w:shd w:val="clear" w:color="auto" w:fill="auto"/>
                <w:lang w:val="zh-CN" w:eastAsia="zh-CN" w:bidi="ar"/>
              </w:rPr>
              <w:t>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21BD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8" w:type="pct"/>
            <w:vMerge w:val="restart"/>
            <w:vAlign w:val="center"/>
          </w:tcPr>
          <w:p w14:paraId="2C36E50E">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技术部分</w:t>
            </w:r>
          </w:p>
          <w:p w14:paraId="37691B28">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lang w:eastAsia="zh-CN"/>
              </w:rPr>
              <w:t>（</w:t>
            </w:r>
            <w:r>
              <w:rPr>
                <w:rFonts w:hint="eastAsia" w:cs="楷体" w:asciiTheme="minorEastAsia" w:hAnsiTheme="minorEastAsia" w:eastAsiaTheme="minorEastAsia"/>
                <w:color w:val="auto"/>
                <w:highlight w:val="none"/>
                <w:lang w:val="en-US" w:eastAsia="zh-CN"/>
              </w:rPr>
              <w:t>55分</w:t>
            </w:r>
            <w:r>
              <w:rPr>
                <w:rFonts w:hint="eastAsia" w:cs="楷体" w:asciiTheme="minorEastAsia" w:hAnsiTheme="minorEastAsia" w:eastAsiaTheme="minorEastAsia"/>
                <w:color w:val="auto"/>
                <w:highlight w:val="none"/>
              </w:rPr>
              <w:t>）</w:t>
            </w:r>
          </w:p>
        </w:tc>
        <w:tc>
          <w:tcPr>
            <w:tcW w:w="637" w:type="pct"/>
            <w:vAlign w:val="center"/>
          </w:tcPr>
          <w:p w14:paraId="34ABDE8F">
            <w:pPr>
              <w:jc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施工方案</w:t>
            </w:r>
            <w:r>
              <w:rPr>
                <w:rFonts w:hint="eastAsia" w:ascii="宋体" w:hAnsi="宋体" w:cs="宋体"/>
                <w:color w:val="auto"/>
                <w:kern w:val="0"/>
                <w:highlight w:val="none"/>
              </w:rPr>
              <w:t>与技术措施</w:t>
            </w:r>
          </w:p>
        </w:tc>
        <w:tc>
          <w:tcPr>
            <w:tcW w:w="373" w:type="pct"/>
            <w:vAlign w:val="center"/>
          </w:tcPr>
          <w:p w14:paraId="6511E3DC">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10</w:t>
            </w:r>
          </w:p>
        </w:tc>
        <w:tc>
          <w:tcPr>
            <w:tcW w:w="3390" w:type="pct"/>
            <w:vAlign w:val="center"/>
          </w:tcPr>
          <w:p w14:paraId="51145604">
            <w:pPr>
              <w:widowControl/>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供应商针对本项目提供施工方案与技术措施方案，方案应包括：①</w:t>
            </w:r>
            <w:r>
              <w:rPr>
                <w:rFonts w:hint="eastAsia" w:ascii="Calibri" w:hAnsi="Calibri" w:eastAsia="宋体" w:cs="Times New Roman"/>
                <w:color w:val="auto"/>
                <w:highlight w:val="none"/>
                <w:lang w:val="en-US" w:eastAsia="zh-Hans"/>
              </w:rPr>
              <w:t>项目总体概况</w:t>
            </w:r>
            <w:r>
              <w:rPr>
                <w:rFonts w:hint="eastAsia" w:ascii="宋体" w:hAnsi="宋体" w:eastAsia="宋体" w:cs="宋体"/>
                <w:bCs/>
                <w:color w:val="auto"/>
                <w:szCs w:val="21"/>
                <w:highlight w:val="none"/>
                <w:lang w:val="en-US" w:eastAsia="zh-CN"/>
              </w:rPr>
              <w:t>、②</w:t>
            </w:r>
            <w:r>
              <w:rPr>
                <w:rFonts w:hint="eastAsia" w:ascii="宋体" w:hAnsi="宋体" w:cs="宋体"/>
                <w:bCs/>
                <w:color w:val="auto"/>
                <w:szCs w:val="21"/>
                <w:highlight w:val="none"/>
                <w:lang w:val="en-US" w:eastAsia="zh-CN"/>
              </w:rPr>
              <w:t>项目</w:t>
            </w:r>
            <w:r>
              <w:rPr>
                <w:rFonts w:hint="eastAsia" w:ascii="Calibri" w:hAnsi="Calibri" w:eastAsia="宋体" w:cs="Times New Roman"/>
                <w:color w:val="auto"/>
                <w:highlight w:val="none"/>
                <w:lang w:val="en-US" w:eastAsia="zh-Hans"/>
              </w:rPr>
              <w:t>部署及措施</w:t>
            </w:r>
            <w:r>
              <w:rPr>
                <w:rFonts w:hint="eastAsia" w:ascii="宋体" w:hAnsi="宋体" w:eastAsia="宋体" w:cs="宋体"/>
                <w:bCs/>
                <w:color w:val="auto"/>
                <w:szCs w:val="21"/>
                <w:highlight w:val="none"/>
                <w:lang w:val="en-US" w:eastAsia="zh-CN"/>
              </w:rPr>
              <w:t>、③</w:t>
            </w:r>
            <w:r>
              <w:rPr>
                <w:rFonts w:hint="eastAsia" w:ascii="Calibri" w:hAnsi="Calibri" w:eastAsia="宋体" w:cs="Times New Roman"/>
                <w:color w:val="auto"/>
                <w:highlight w:val="none"/>
                <w:lang w:val="en-US" w:eastAsia="zh-Hans"/>
              </w:rPr>
              <w:t>项目主要关键方案</w:t>
            </w:r>
            <w:r>
              <w:rPr>
                <w:rFonts w:hint="eastAsia" w:ascii="宋体" w:hAnsi="宋体" w:eastAsia="宋体" w:cs="宋体"/>
                <w:bCs/>
                <w:color w:val="auto"/>
                <w:szCs w:val="21"/>
                <w:highlight w:val="none"/>
                <w:lang w:val="en-US" w:eastAsia="zh-CN"/>
              </w:rPr>
              <w:t>、④</w:t>
            </w:r>
            <w:r>
              <w:rPr>
                <w:rFonts w:hint="eastAsia" w:ascii="Calibri" w:hAnsi="Calibri" w:eastAsia="宋体" w:cs="Times New Roman"/>
                <w:color w:val="auto"/>
                <w:highlight w:val="none"/>
                <w:lang w:val="en-US" w:eastAsia="zh-Hans"/>
              </w:rPr>
              <w:t>施工平面布置</w:t>
            </w:r>
            <w:r>
              <w:rPr>
                <w:rFonts w:hint="eastAsia" w:ascii="宋体" w:hAnsi="宋体" w:eastAsia="宋体" w:cs="宋体"/>
                <w:bCs/>
                <w:color w:val="auto"/>
                <w:szCs w:val="21"/>
                <w:highlight w:val="none"/>
                <w:lang w:val="en-US" w:eastAsia="zh-CN"/>
              </w:rPr>
              <w:t>、⑤</w:t>
            </w:r>
            <w:r>
              <w:rPr>
                <w:rFonts w:hint="eastAsia" w:ascii="Calibri" w:hAnsi="Calibri" w:eastAsia="宋体" w:cs="Times New Roman"/>
                <w:color w:val="auto"/>
                <w:highlight w:val="none"/>
                <w:lang w:val="en-US" w:eastAsia="zh-Hans"/>
              </w:rPr>
              <w:t>主要施工顺序、施工工艺、作业方法、作业流程</w:t>
            </w:r>
            <w:r>
              <w:rPr>
                <w:rFonts w:hint="eastAsia" w:ascii="宋体" w:hAnsi="宋体" w:eastAsia="宋体" w:cs="宋体"/>
                <w:bCs/>
                <w:color w:val="auto"/>
                <w:szCs w:val="21"/>
                <w:highlight w:val="none"/>
                <w:lang w:val="en-US" w:eastAsia="zh-CN"/>
              </w:rPr>
              <w:t>等。</w:t>
            </w:r>
          </w:p>
          <w:p w14:paraId="7DCCC216">
            <w:pPr>
              <w:adjustRightInd w:val="0"/>
              <w:snapToGrid w:val="0"/>
              <w:rPr>
                <w:rFonts w:cs="楷体" w:asciiTheme="minorEastAsia" w:hAnsiTheme="minorEastAsia" w:eastAsiaTheme="minorEastAsia"/>
                <w:color w:val="auto"/>
                <w:highlight w:val="none"/>
              </w:rPr>
            </w:pPr>
            <w:r>
              <w:rPr>
                <w:rFonts w:hint="eastAsia" w:ascii="宋体" w:hAnsi="宋体" w:eastAsia="宋体" w:cs="宋体"/>
                <w:bCs/>
                <w:color w:val="auto"/>
                <w:szCs w:val="21"/>
                <w:highlight w:val="none"/>
                <w:lang w:val="en-US" w:eastAsia="zh-CN"/>
              </w:rPr>
              <w:t>方案完善、措施合理、可操作性强的计</w:t>
            </w:r>
            <w:r>
              <w:rPr>
                <w:rFonts w:hint="eastAsia" w:ascii="宋体" w:hAnsi="宋体" w:cs="宋体"/>
                <w:bCs/>
                <w:color w:val="auto"/>
                <w:szCs w:val="21"/>
                <w:highlight w:val="none"/>
                <w:lang w:val="en-US" w:eastAsia="zh-CN"/>
              </w:rPr>
              <w:t>10</w:t>
            </w:r>
            <w:r>
              <w:rPr>
                <w:rFonts w:hint="eastAsia" w:ascii="宋体" w:hAnsi="宋体" w:eastAsia="宋体" w:cs="宋体"/>
                <w:bCs/>
                <w:color w:val="auto"/>
                <w:szCs w:val="21"/>
                <w:highlight w:val="none"/>
                <w:lang w:val="en-US" w:eastAsia="zh-CN"/>
              </w:rPr>
              <w:t>分，有缺漏项每处扣</w:t>
            </w:r>
            <w:r>
              <w:rPr>
                <w:rFonts w:hint="eastAsia" w:ascii="宋体" w:hAnsi="宋体" w:cs="宋体"/>
                <w:bCs/>
                <w:color w:val="auto"/>
                <w:szCs w:val="21"/>
                <w:highlight w:val="none"/>
                <w:lang w:val="en-US" w:eastAsia="zh-CN"/>
              </w:rPr>
              <w:t>2</w:t>
            </w:r>
            <w:r>
              <w:rPr>
                <w:rFonts w:hint="eastAsia" w:ascii="宋体" w:hAnsi="宋体" w:eastAsia="宋体" w:cs="宋体"/>
                <w:bCs/>
                <w:color w:val="auto"/>
                <w:szCs w:val="21"/>
                <w:highlight w:val="none"/>
                <w:lang w:val="en-US" w:eastAsia="zh-CN"/>
              </w:rPr>
              <w:t>分；方案内容欠全面或不够详细或欠合理（指存在施工方案与技术措施未贴合采购需求、不符合本项目实施的、不符合本项目性质、表述笼统或前后不一致等情况）的每处扣1分，扣完</w:t>
            </w:r>
            <w:r>
              <w:rPr>
                <w:rFonts w:hint="eastAsia" w:ascii="宋体" w:hAnsi="宋体" w:cs="宋体"/>
                <w:bCs/>
                <w:color w:val="auto"/>
                <w:szCs w:val="21"/>
                <w:highlight w:val="none"/>
                <w:lang w:val="en-US" w:eastAsia="zh-CN"/>
              </w:rPr>
              <w:t>10分</w:t>
            </w:r>
            <w:r>
              <w:rPr>
                <w:rFonts w:hint="eastAsia" w:ascii="宋体" w:hAnsi="宋体" w:eastAsia="宋体" w:cs="宋体"/>
                <w:bCs/>
                <w:color w:val="auto"/>
                <w:szCs w:val="21"/>
                <w:highlight w:val="none"/>
                <w:lang w:val="en-US" w:eastAsia="zh-CN"/>
              </w:rPr>
              <w:t>为止。未提供方案的计0分。</w:t>
            </w:r>
          </w:p>
        </w:tc>
      </w:tr>
      <w:tr w14:paraId="1C7A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98" w:type="pct"/>
            <w:vMerge w:val="continue"/>
            <w:vAlign w:val="center"/>
          </w:tcPr>
          <w:p w14:paraId="64550C20">
            <w:pPr>
              <w:jc w:val="center"/>
              <w:rPr>
                <w:rFonts w:cs="楷体" w:asciiTheme="minorEastAsia" w:hAnsiTheme="minorEastAsia" w:eastAsiaTheme="minorEastAsia"/>
                <w:color w:val="auto"/>
                <w:highlight w:val="none"/>
              </w:rPr>
            </w:pPr>
          </w:p>
        </w:tc>
        <w:tc>
          <w:tcPr>
            <w:tcW w:w="637" w:type="pct"/>
            <w:vAlign w:val="center"/>
          </w:tcPr>
          <w:p w14:paraId="15851C36">
            <w:pPr>
              <w:jc w:val="center"/>
              <w:rPr>
                <w:rFonts w:hint="eastAsia" w:ascii="宋体" w:hAnsi="宋体" w:eastAsia="宋体" w:cs="宋体"/>
                <w:color w:val="auto"/>
                <w:szCs w:val="21"/>
                <w:highlight w:val="none"/>
                <w:lang w:eastAsia="zh-CN"/>
              </w:rPr>
            </w:pPr>
            <w:r>
              <w:rPr>
                <w:rFonts w:hint="eastAsia" w:ascii="宋体" w:hAnsi="宋体" w:eastAsia="宋体" w:cs="宋体"/>
                <w:caps w:val="0"/>
                <w:color w:val="auto"/>
                <w:spacing w:val="0"/>
                <w:sz w:val="21"/>
                <w:szCs w:val="21"/>
                <w:highlight w:val="none"/>
              </w:rPr>
              <w:t>工程进度计划与保证措施</w:t>
            </w:r>
          </w:p>
        </w:tc>
        <w:tc>
          <w:tcPr>
            <w:tcW w:w="373" w:type="pct"/>
            <w:vAlign w:val="center"/>
          </w:tcPr>
          <w:p w14:paraId="61C9725A">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9</w:t>
            </w:r>
          </w:p>
        </w:tc>
        <w:tc>
          <w:tcPr>
            <w:tcW w:w="3390" w:type="pct"/>
            <w:vAlign w:val="center"/>
          </w:tcPr>
          <w:p w14:paraId="3F86A8A7">
            <w:pPr>
              <w:adjustRightInd w:val="0"/>
              <w:snapToGrid w:val="0"/>
              <w:rPr>
                <w:rFonts w:hint="default" w:ascii="宋体" w:hAnsi="宋体" w:cs="宋体"/>
                <w:color w:val="auto"/>
                <w:highlight w:val="none"/>
                <w:lang w:val="en-US" w:eastAsia="zh-CN"/>
              </w:rPr>
            </w:pPr>
            <w:r>
              <w:rPr>
                <w:rFonts w:hint="eastAsia" w:ascii="宋体" w:hAnsi="宋体" w:cs="宋体"/>
                <w:color w:val="auto"/>
                <w:highlight w:val="none"/>
                <w:lang w:val="en-US" w:eastAsia="zh-CN"/>
              </w:rPr>
              <w:t>供应商针对本项目提供</w:t>
            </w:r>
            <w:r>
              <w:rPr>
                <w:rFonts w:hint="eastAsia" w:ascii="宋体" w:hAnsi="宋体" w:cs="宋体"/>
                <w:color w:val="auto"/>
                <w:highlight w:val="none"/>
              </w:rPr>
              <w:t>工程进度计划与保证措施</w:t>
            </w:r>
            <w:r>
              <w:rPr>
                <w:rFonts w:hint="eastAsia" w:ascii="宋体" w:hAnsi="宋体" w:cs="宋体"/>
                <w:color w:val="auto"/>
                <w:highlight w:val="none"/>
                <w:lang w:val="en-US" w:eastAsia="zh-CN"/>
              </w:rPr>
              <w:t>方案，方案应包括：①</w:t>
            </w:r>
            <w:r>
              <w:rPr>
                <w:rFonts w:hint="eastAsia" w:ascii="Calibri" w:hAnsi="Calibri" w:eastAsia="宋体" w:cs="Times New Roman"/>
                <w:color w:val="auto"/>
                <w:highlight w:val="none"/>
                <w:lang w:val="en-US" w:eastAsia="zh-Hans"/>
              </w:rPr>
              <w:t>总工期及节点工期</w:t>
            </w:r>
            <w:r>
              <w:rPr>
                <w:rFonts w:hint="eastAsia" w:ascii="Calibri" w:hAnsi="Calibri" w:cs="Times New Roman"/>
                <w:color w:val="auto"/>
                <w:highlight w:val="none"/>
                <w:lang w:val="en-US" w:eastAsia="zh-CN"/>
              </w:rPr>
              <w:t>安排</w:t>
            </w:r>
            <w:r>
              <w:rPr>
                <w:rFonts w:hint="eastAsia" w:ascii="宋体" w:hAnsi="宋体" w:cs="宋体"/>
                <w:color w:val="auto"/>
                <w:highlight w:val="none"/>
              </w:rPr>
              <w:t>、</w:t>
            </w:r>
            <w:r>
              <w:rPr>
                <w:rFonts w:hint="eastAsia" w:ascii="宋体" w:hAnsi="宋体" w:cs="宋体"/>
                <w:color w:val="auto"/>
                <w:highlight w:val="none"/>
                <w:lang w:val="en-US" w:eastAsia="zh-CN"/>
              </w:rPr>
              <w:t>②</w:t>
            </w:r>
            <w:r>
              <w:rPr>
                <w:rFonts w:hint="eastAsia" w:ascii="Calibri" w:hAnsi="Calibri" w:eastAsia="宋体" w:cs="Times New Roman"/>
                <w:color w:val="auto"/>
                <w:highlight w:val="none"/>
                <w:lang w:val="en-US" w:eastAsia="zh-Hans"/>
              </w:rPr>
              <w:t>施工进度计划</w:t>
            </w:r>
            <w:r>
              <w:rPr>
                <w:rFonts w:hint="eastAsia" w:ascii="宋体" w:hAnsi="宋体" w:cs="宋体"/>
                <w:color w:val="auto"/>
                <w:highlight w:val="none"/>
                <w:lang w:eastAsia="zh-CN"/>
              </w:rPr>
              <w:t>、</w:t>
            </w:r>
            <w:r>
              <w:rPr>
                <w:rFonts w:hint="eastAsia" w:ascii="宋体" w:hAnsi="宋体" w:cs="宋体"/>
                <w:color w:val="auto"/>
                <w:highlight w:val="none"/>
                <w:lang w:val="en-US" w:eastAsia="zh-CN"/>
              </w:rPr>
              <w:t>③</w:t>
            </w:r>
            <w:r>
              <w:rPr>
                <w:rFonts w:hint="eastAsia" w:ascii="Calibri" w:hAnsi="Calibri" w:eastAsia="宋体" w:cs="Times New Roman"/>
                <w:color w:val="auto"/>
                <w:highlight w:val="none"/>
                <w:lang w:val="en-US" w:eastAsia="zh-Hans"/>
              </w:rPr>
              <w:t>施工进度管理</w:t>
            </w:r>
            <w:r>
              <w:rPr>
                <w:rFonts w:hint="eastAsia" w:ascii="宋体" w:hAnsi="宋体" w:cs="宋体"/>
                <w:color w:val="auto"/>
                <w:highlight w:val="none"/>
                <w:lang w:val="en-US" w:eastAsia="zh-CN"/>
              </w:rPr>
              <w:t>等。</w:t>
            </w:r>
          </w:p>
          <w:p w14:paraId="6ED1F97B">
            <w:pPr>
              <w:adjustRightInd w:val="0"/>
              <w:snapToGrid w:val="0"/>
              <w:rPr>
                <w:rFonts w:ascii="宋体" w:hAnsi="宋体" w:cs="宋体"/>
                <w:color w:val="auto"/>
                <w:highlight w:val="none"/>
              </w:rPr>
            </w:pPr>
            <w:r>
              <w:rPr>
                <w:rFonts w:hint="eastAsia" w:ascii="宋体" w:hAnsi="宋体" w:eastAsia="宋体" w:cs="宋体"/>
                <w:bCs/>
                <w:color w:val="auto"/>
                <w:szCs w:val="21"/>
                <w:highlight w:val="none"/>
                <w:lang w:val="en-US" w:eastAsia="zh-CN"/>
              </w:rPr>
              <w:t>方案完善、</w:t>
            </w:r>
            <w:r>
              <w:rPr>
                <w:rFonts w:hint="eastAsia" w:ascii="宋体" w:hAnsi="宋体" w:cs="宋体"/>
                <w:color w:val="auto"/>
                <w:highlight w:val="none"/>
                <w:lang w:val="en-US" w:eastAsia="zh-CN"/>
              </w:rPr>
              <w:t>措施合理、可操作性强的计9分，有缺漏项每处扣3分；方案内容欠全面或不够详细或欠合理（指存在</w:t>
            </w:r>
            <w:r>
              <w:rPr>
                <w:rFonts w:hint="eastAsia" w:ascii="宋体" w:hAnsi="宋体" w:cs="宋体"/>
                <w:color w:val="auto"/>
                <w:highlight w:val="none"/>
              </w:rPr>
              <w:t>工程进度计划与保证措施</w:t>
            </w:r>
            <w:r>
              <w:rPr>
                <w:rFonts w:hint="eastAsia" w:ascii="宋体" w:hAnsi="宋体" w:cs="宋体"/>
                <w:color w:val="auto"/>
                <w:highlight w:val="none"/>
                <w:lang w:val="en-US" w:eastAsia="zh-CN"/>
              </w:rPr>
              <w:t>未贴合采购需求、不符合本项目实施的、不符合本项目性质、表述笼统或前后不一致等情况）的每处扣1.5分，扣完9分为止。未提供方案的计0分。</w:t>
            </w:r>
          </w:p>
        </w:tc>
      </w:tr>
      <w:tr w14:paraId="54D3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2" w:hRule="atLeast"/>
        </w:trPr>
        <w:tc>
          <w:tcPr>
            <w:tcW w:w="598" w:type="pct"/>
            <w:vMerge w:val="continue"/>
            <w:vAlign w:val="center"/>
          </w:tcPr>
          <w:p w14:paraId="152A18A4">
            <w:pPr>
              <w:jc w:val="center"/>
              <w:rPr>
                <w:rFonts w:cs="楷体" w:asciiTheme="minorEastAsia" w:hAnsiTheme="minorEastAsia" w:eastAsiaTheme="minorEastAsia"/>
                <w:color w:val="auto"/>
                <w:highlight w:val="none"/>
              </w:rPr>
            </w:pPr>
          </w:p>
        </w:tc>
        <w:tc>
          <w:tcPr>
            <w:tcW w:w="637" w:type="pct"/>
            <w:vAlign w:val="center"/>
          </w:tcPr>
          <w:p w14:paraId="1FB08C8B">
            <w:pPr>
              <w:jc w:val="center"/>
              <w:rPr>
                <w:rFonts w:ascii="宋体" w:hAnsi="宋体" w:cs="宋体"/>
                <w:color w:val="auto"/>
                <w:szCs w:val="21"/>
                <w:highlight w:val="none"/>
              </w:rPr>
            </w:pPr>
            <w:r>
              <w:rPr>
                <w:rFonts w:hint="eastAsia" w:ascii="宋体" w:hAnsi="宋体" w:eastAsia="宋体" w:cs="宋体"/>
                <w:caps w:val="0"/>
                <w:color w:val="auto"/>
                <w:spacing w:val="0"/>
                <w:sz w:val="21"/>
                <w:szCs w:val="21"/>
                <w:highlight w:val="none"/>
              </w:rPr>
              <w:t>质量管理体系与措施</w:t>
            </w:r>
          </w:p>
        </w:tc>
        <w:tc>
          <w:tcPr>
            <w:tcW w:w="373" w:type="pct"/>
            <w:vAlign w:val="center"/>
          </w:tcPr>
          <w:p w14:paraId="384FDCB4">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12</w:t>
            </w:r>
          </w:p>
        </w:tc>
        <w:tc>
          <w:tcPr>
            <w:tcW w:w="3390" w:type="pct"/>
            <w:vAlign w:val="center"/>
          </w:tcPr>
          <w:p w14:paraId="5FCD92C0">
            <w:pPr>
              <w:adjustRightInd w:val="0"/>
              <w:snapToGrid w:val="0"/>
              <w:rPr>
                <w:rFonts w:hint="eastAsia" w:ascii="宋体" w:hAnsi="宋体" w:cs="宋体"/>
                <w:color w:val="auto"/>
                <w:highlight w:val="none"/>
                <w:lang w:val="en-US" w:eastAsia="zh-CN"/>
              </w:rPr>
            </w:pPr>
            <w:r>
              <w:rPr>
                <w:rFonts w:hint="eastAsia" w:ascii="宋体" w:hAnsi="宋体" w:cs="宋体"/>
                <w:color w:val="auto"/>
                <w:highlight w:val="none"/>
                <w:lang w:val="en-US" w:eastAsia="zh-CN"/>
              </w:rPr>
              <w:t>供应商针对本项目提供质量管理体系与措施方案，方案应包括：①质量目标、②</w:t>
            </w:r>
            <w:r>
              <w:rPr>
                <w:rFonts w:hint="eastAsia" w:ascii="Calibri" w:hAnsi="Calibri" w:eastAsia="宋体" w:cs="Times New Roman"/>
                <w:color w:val="auto"/>
                <w:highlight w:val="none"/>
                <w:lang w:val="en-US" w:eastAsia="zh-Hans"/>
              </w:rPr>
              <w:t>管理机构</w:t>
            </w:r>
            <w:r>
              <w:rPr>
                <w:rFonts w:hint="eastAsia" w:ascii="宋体" w:hAnsi="宋体" w:cs="宋体"/>
                <w:color w:val="auto"/>
                <w:highlight w:val="none"/>
                <w:lang w:val="en-US" w:eastAsia="zh-CN"/>
              </w:rPr>
              <w:t>、③管理制度、④</w:t>
            </w:r>
            <w:r>
              <w:rPr>
                <w:rFonts w:hint="eastAsia" w:ascii="Calibri" w:hAnsi="Calibri" w:eastAsia="宋体" w:cs="Times New Roman"/>
                <w:color w:val="auto"/>
                <w:highlight w:val="none"/>
                <w:lang w:val="en-US" w:eastAsia="zh-Hans"/>
              </w:rPr>
              <w:t>实施与监控措施</w:t>
            </w:r>
            <w:r>
              <w:rPr>
                <w:rFonts w:hint="eastAsia" w:ascii="宋体" w:hAnsi="宋体" w:cs="宋体"/>
                <w:color w:val="auto"/>
                <w:highlight w:val="none"/>
                <w:lang w:val="en-US" w:eastAsia="zh-CN"/>
              </w:rPr>
              <w:t>等。</w:t>
            </w:r>
          </w:p>
          <w:p w14:paraId="3D3DCA9F">
            <w:pPr>
              <w:adjustRightInd w:val="0"/>
              <w:snapToGrid w:val="0"/>
              <w:rPr>
                <w:rFonts w:ascii="宋体" w:hAnsi="宋体" w:cs="宋体"/>
                <w:color w:val="auto"/>
                <w:highlight w:val="none"/>
              </w:rPr>
            </w:pPr>
            <w:r>
              <w:rPr>
                <w:rFonts w:hint="eastAsia" w:ascii="宋体" w:hAnsi="宋体" w:cs="宋体"/>
                <w:color w:val="auto"/>
                <w:highlight w:val="none"/>
                <w:lang w:val="en-US" w:eastAsia="zh-CN"/>
              </w:rPr>
              <w:t>方案完善、措施合理、可操作性强的计12分，有缺漏项每处扣3分；方案内容欠全面或不够详细或欠合理（指存在质量管理体系与措施未贴合采购需求、不符合本项目实施的、不符合本项目性质、表述笼统或前后不一致等情况）的每处扣1.5分，扣完12分为止。未提供方案的计0分。</w:t>
            </w:r>
          </w:p>
        </w:tc>
      </w:tr>
      <w:tr w14:paraId="14B2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598" w:type="pct"/>
            <w:vMerge w:val="continue"/>
            <w:vAlign w:val="center"/>
          </w:tcPr>
          <w:p w14:paraId="46CD31D3">
            <w:pPr>
              <w:jc w:val="center"/>
              <w:rPr>
                <w:rFonts w:cs="楷体" w:asciiTheme="minorEastAsia" w:hAnsiTheme="minorEastAsia" w:eastAsiaTheme="minorEastAsia"/>
                <w:color w:val="auto"/>
                <w:highlight w:val="none"/>
              </w:rPr>
            </w:pPr>
          </w:p>
        </w:tc>
        <w:tc>
          <w:tcPr>
            <w:tcW w:w="637" w:type="pct"/>
            <w:vAlign w:val="center"/>
          </w:tcPr>
          <w:p w14:paraId="46ECAF40">
            <w:pPr>
              <w:jc w:val="center"/>
              <w:rPr>
                <w:rFonts w:ascii="宋体" w:hAnsi="宋体" w:cs="宋体"/>
                <w:color w:val="auto"/>
                <w:szCs w:val="21"/>
                <w:highlight w:val="none"/>
              </w:rPr>
            </w:pPr>
            <w:r>
              <w:rPr>
                <w:rFonts w:hint="eastAsia" w:ascii="宋体" w:hAnsi="宋体" w:eastAsia="宋体" w:cs="宋体"/>
                <w:caps w:val="0"/>
                <w:color w:val="auto"/>
                <w:spacing w:val="0"/>
                <w:kern w:val="0"/>
                <w:sz w:val="21"/>
                <w:szCs w:val="21"/>
                <w:highlight w:val="none"/>
                <w:lang w:val="en-US" w:eastAsia="zh-CN" w:bidi="ar"/>
              </w:rPr>
              <w:t>环境保护管理体系与措施</w:t>
            </w:r>
          </w:p>
        </w:tc>
        <w:tc>
          <w:tcPr>
            <w:tcW w:w="373" w:type="pct"/>
            <w:vAlign w:val="center"/>
          </w:tcPr>
          <w:p w14:paraId="17A487FE">
            <w:pPr>
              <w:widowControl/>
              <w:jc w:val="center"/>
              <w:textAlignment w:val="center"/>
              <w:rPr>
                <w:rFonts w:hint="eastAsia" w:eastAsia="宋体" w:cs="楷体" w:asciiTheme="minorEastAsia" w:hAnsiTheme="minorEastAsia"/>
                <w:color w:val="auto"/>
                <w:highlight w:val="none"/>
                <w:lang w:val="en-US" w:eastAsia="zh-CN"/>
              </w:rPr>
            </w:pPr>
            <w:r>
              <w:rPr>
                <w:rFonts w:hint="eastAsia"/>
                <w:color w:val="auto"/>
                <w:highlight w:val="none"/>
                <w:lang w:val="en-US" w:eastAsia="zh-CN"/>
              </w:rPr>
              <w:t>8</w:t>
            </w:r>
          </w:p>
        </w:tc>
        <w:tc>
          <w:tcPr>
            <w:tcW w:w="3390" w:type="pct"/>
            <w:vAlign w:val="center"/>
          </w:tcPr>
          <w:p w14:paraId="3F53DC75">
            <w:pPr>
              <w:rPr>
                <w:rFonts w:hint="eastAsia" w:ascii="宋体" w:hAnsi="宋体" w:cs="宋体"/>
                <w:color w:val="auto"/>
                <w:kern w:val="0"/>
                <w:highlight w:val="none"/>
                <w:lang w:val="en-US" w:eastAsia="zh-CN"/>
              </w:rPr>
            </w:pPr>
            <w:r>
              <w:rPr>
                <w:rFonts w:hint="eastAsia" w:ascii="宋体" w:hAnsi="宋体" w:cs="宋体"/>
                <w:color w:val="auto"/>
                <w:kern w:val="0"/>
                <w:highlight w:val="none"/>
              </w:rPr>
              <w:t>供应商针对本项目提供环境保护管理体系与措施方案，方案应包括：①环境</w:t>
            </w:r>
            <w:r>
              <w:rPr>
                <w:rFonts w:hint="eastAsia" w:ascii="Calibri" w:hAnsi="Calibri" w:eastAsia="宋体" w:cs="Times New Roman"/>
                <w:color w:val="auto"/>
                <w:highlight w:val="none"/>
                <w:lang w:val="en-US" w:eastAsia="zh-Hans"/>
              </w:rPr>
              <w:t>管理</w:t>
            </w:r>
            <w:r>
              <w:rPr>
                <w:rFonts w:hint="eastAsia" w:ascii="宋体" w:hAnsi="宋体" w:cs="宋体"/>
                <w:color w:val="auto"/>
                <w:kern w:val="0"/>
                <w:highlight w:val="none"/>
              </w:rPr>
              <w:t>目标、②管理机构、③管理制度、④</w:t>
            </w:r>
            <w:r>
              <w:rPr>
                <w:rFonts w:hint="eastAsia" w:ascii="Calibri" w:hAnsi="Calibri" w:eastAsia="宋体" w:cs="Times New Roman"/>
                <w:color w:val="auto"/>
                <w:highlight w:val="none"/>
                <w:lang w:val="en-US" w:eastAsia="zh-Hans"/>
              </w:rPr>
              <w:t>实施与监控措施</w:t>
            </w:r>
            <w:r>
              <w:rPr>
                <w:rFonts w:hint="eastAsia" w:ascii="宋体" w:hAnsi="宋体" w:cs="宋体"/>
                <w:color w:val="auto"/>
                <w:kern w:val="0"/>
                <w:highlight w:val="none"/>
                <w:lang w:val="en-US" w:eastAsia="zh-CN"/>
              </w:rPr>
              <w:t>等。</w:t>
            </w:r>
          </w:p>
          <w:p w14:paraId="2119B076">
            <w:pPr>
              <w:rPr>
                <w:rFonts w:ascii="宋体" w:hAnsi="宋体" w:cs="宋体"/>
                <w:color w:val="auto"/>
                <w:kern w:val="0"/>
                <w:highlight w:val="none"/>
              </w:rPr>
            </w:pPr>
            <w:r>
              <w:rPr>
                <w:rFonts w:hint="eastAsia" w:ascii="宋体" w:hAnsi="宋体" w:cs="宋体"/>
                <w:color w:val="auto"/>
                <w:kern w:val="0"/>
                <w:highlight w:val="none"/>
              </w:rPr>
              <w:t>方案完善、措施合理、可操作性强的计</w:t>
            </w:r>
            <w:r>
              <w:rPr>
                <w:rFonts w:hint="eastAsia" w:ascii="宋体" w:hAnsi="宋体" w:cs="宋体"/>
                <w:color w:val="auto"/>
                <w:kern w:val="0"/>
                <w:highlight w:val="none"/>
                <w:lang w:val="en-US" w:eastAsia="zh-CN"/>
              </w:rPr>
              <w:t>8</w:t>
            </w:r>
            <w:r>
              <w:rPr>
                <w:rFonts w:hint="eastAsia" w:ascii="宋体" w:hAnsi="宋体" w:cs="宋体"/>
                <w:color w:val="auto"/>
                <w:kern w:val="0"/>
                <w:highlight w:val="none"/>
              </w:rPr>
              <w:t>分，有缺漏项每处扣</w:t>
            </w:r>
            <w:r>
              <w:rPr>
                <w:rFonts w:hint="eastAsia" w:ascii="宋体" w:hAnsi="宋体" w:cs="宋体"/>
                <w:color w:val="auto"/>
                <w:kern w:val="0"/>
                <w:highlight w:val="none"/>
                <w:lang w:val="en-US" w:eastAsia="zh-CN"/>
              </w:rPr>
              <w:t>2</w:t>
            </w:r>
            <w:r>
              <w:rPr>
                <w:rFonts w:hint="eastAsia" w:ascii="宋体" w:hAnsi="宋体" w:cs="宋体"/>
                <w:color w:val="auto"/>
                <w:kern w:val="0"/>
                <w:highlight w:val="none"/>
              </w:rPr>
              <w:t>分，方案内容欠全面或不够详细或欠合理（指存在环境保护管理体系与措施未贴合采购需求、不符合本项目实施的、不符合本项目性质、表述笼统或前后不一致等情况）的每处扣</w:t>
            </w:r>
            <w:r>
              <w:rPr>
                <w:rFonts w:hint="eastAsia" w:ascii="宋体" w:hAnsi="宋体" w:cs="宋体"/>
                <w:color w:val="auto"/>
                <w:kern w:val="0"/>
                <w:highlight w:val="none"/>
                <w:lang w:val="en-US" w:eastAsia="zh-CN"/>
              </w:rPr>
              <w:t>1</w:t>
            </w:r>
            <w:r>
              <w:rPr>
                <w:rFonts w:hint="eastAsia" w:ascii="宋体" w:hAnsi="宋体" w:cs="宋体"/>
                <w:color w:val="auto"/>
                <w:kern w:val="0"/>
                <w:highlight w:val="none"/>
              </w:rPr>
              <w:t>分，扣完</w:t>
            </w:r>
            <w:r>
              <w:rPr>
                <w:rFonts w:hint="eastAsia" w:ascii="宋体" w:hAnsi="宋体" w:cs="宋体"/>
                <w:color w:val="auto"/>
                <w:kern w:val="0"/>
                <w:highlight w:val="none"/>
                <w:lang w:val="en-US" w:eastAsia="zh-CN"/>
              </w:rPr>
              <w:t>8分</w:t>
            </w:r>
            <w:r>
              <w:rPr>
                <w:rFonts w:hint="eastAsia" w:ascii="宋体" w:hAnsi="宋体" w:cs="宋体"/>
                <w:color w:val="auto"/>
                <w:kern w:val="0"/>
                <w:highlight w:val="none"/>
              </w:rPr>
              <w:t>为止。未提供方案的计0分。</w:t>
            </w:r>
          </w:p>
        </w:tc>
      </w:tr>
      <w:tr w14:paraId="22BE3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1" w:hRule="atLeast"/>
        </w:trPr>
        <w:tc>
          <w:tcPr>
            <w:tcW w:w="598" w:type="pct"/>
            <w:vMerge w:val="continue"/>
            <w:vAlign w:val="center"/>
          </w:tcPr>
          <w:p w14:paraId="1D89524C">
            <w:pPr>
              <w:jc w:val="center"/>
              <w:rPr>
                <w:rFonts w:cs="楷体" w:asciiTheme="minorEastAsia" w:hAnsiTheme="minorEastAsia" w:eastAsiaTheme="minorEastAsia"/>
                <w:color w:val="auto"/>
                <w:highlight w:val="none"/>
              </w:rPr>
            </w:pPr>
          </w:p>
        </w:tc>
        <w:tc>
          <w:tcPr>
            <w:tcW w:w="637" w:type="pct"/>
            <w:vAlign w:val="center"/>
          </w:tcPr>
          <w:p w14:paraId="6C40643B">
            <w:pPr>
              <w:jc w:val="center"/>
              <w:rPr>
                <w:rFonts w:ascii="宋体" w:hAnsi="宋体" w:cs="宋体"/>
                <w:color w:val="auto"/>
                <w:szCs w:val="21"/>
                <w:highlight w:val="none"/>
              </w:rPr>
            </w:pPr>
            <w:r>
              <w:rPr>
                <w:rFonts w:ascii="宋体" w:hAnsi="宋体" w:cs="宋体"/>
                <w:color w:val="auto"/>
                <w:highlight w:val="none"/>
              </w:rPr>
              <w:t>安全管理体系与措施</w:t>
            </w:r>
          </w:p>
        </w:tc>
        <w:tc>
          <w:tcPr>
            <w:tcW w:w="373" w:type="pct"/>
            <w:vAlign w:val="center"/>
          </w:tcPr>
          <w:p w14:paraId="3381F3FF">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12</w:t>
            </w:r>
          </w:p>
        </w:tc>
        <w:tc>
          <w:tcPr>
            <w:tcW w:w="3390" w:type="pct"/>
            <w:vAlign w:val="center"/>
          </w:tcPr>
          <w:p w14:paraId="202EC99A">
            <w:pPr>
              <w:adjustRightInd w:val="0"/>
              <w:snapToGrid w:val="0"/>
              <w:rPr>
                <w:rFonts w:hint="eastAsia" w:ascii="宋体" w:hAnsi="宋体" w:cs="宋体"/>
                <w:color w:val="auto"/>
                <w:szCs w:val="21"/>
                <w:highlight w:val="none"/>
                <w:lang w:val="en-US" w:eastAsia="zh-CN"/>
              </w:rPr>
            </w:pPr>
            <w:r>
              <w:rPr>
                <w:rFonts w:hint="eastAsia" w:ascii="宋体" w:hAnsi="宋体" w:cs="宋体"/>
                <w:color w:val="auto"/>
                <w:szCs w:val="21"/>
                <w:highlight w:val="none"/>
              </w:rPr>
              <w:t>供应商针对本项目提供</w:t>
            </w:r>
            <w:r>
              <w:rPr>
                <w:rFonts w:ascii="宋体" w:hAnsi="宋体" w:cs="宋体"/>
                <w:color w:val="auto"/>
                <w:szCs w:val="21"/>
                <w:highlight w:val="none"/>
              </w:rPr>
              <w:t>安全管理体系与措施</w:t>
            </w:r>
            <w:r>
              <w:rPr>
                <w:rFonts w:hint="eastAsia" w:ascii="宋体" w:hAnsi="宋体" w:cs="宋体"/>
                <w:color w:val="auto"/>
                <w:szCs w:val="21"/>
                <w:highlight w:val="none"/>
              </w:rPr>
              <w:t>，方案应包括：</w:t>
            </w:r>
            <w:r>
              <w:rPr>
                <w:rFonts w:hint="eastAsia" w:ascii="宋体" w:hAnsi="宋体" w:cs="宋体"/>
                <w:color w:val="auto"/>
                <w:szCs w:val="21"/>
                <w:highlight w:val="none"/>
                <w:lang w:val="en-US" w:eastAsia="zh-CN"/>
              </w:rPr>
              <w:t>①</w:t>
            </w:r>
            <w:r>
              <w:rPr>
                <w:rFonts w:hint="eastAsia" w:ascii="Calibri" w:hAnsi="Calibri" w:eastAsia="宋体" w:cs="Times New Roman"/>
                <w:color w:val="auto"/>
                <w:highlight w:val="none"/>
                <w:lang w:val="en-US" w:eastAsia="zh-Hans"/>
              </w:rPr>
              <w:t>管理目标</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②</w:t>
            </w:r>
            <w:r>
              <w:rPr>
                <w:rFonts w:hint="eastAsia" w:ascii="Calibri" w:hAnsi="Calibri" w:eastAsia="宋体" w:cs="Times New Roman"/>
                <w:color w:val="auto"/>
                <w:highlight w:val="none"/>
                <w:lang w:val="en-US" w:eastAsia="zh-Hans"/>
              </w:rPr>
              <w:t>管理机构</w:t>
            </w:r>
            <w:r>
              <w:rPr>
                <w:rFonts w:hint="eastAsia" w:ascii="Calibri" w:hAnsi="Calibri" w:cs="Times New Roman"/>
                <w:color w:val="auto"/>
                <w:highlight w:val="none"/>
                <w:lang w:val="en-US" w:eastAsia="zh-CN"/>
              </w:rPr>
              <w:t>、</w:t>
            </w:r>
            <w:r>
              <w:rPr>
                <w:rFonts w:hint="eastAsia" w:ascii="宋体" w:hAnsi="宋体" w:cs="宋体"/>
                <w:color w:val="auto"/>
                <w:kern w:val="0"/>
                <w:highlight w:val="none"/>
              </w:rPr>
              <w:t>③</w:t>
            </w:r>
            <w:r>
              <w:rPr>
                <w:rFonts w:hint="eastAsia" w:ascii="Calibri" w:hAnsi="Calibri" w:eastAsia="宋体" w:cs="Times New Roman"/>
                <w:color w:val="auto"/>
                <w:highlight w:val="none"/>
                <w:lang w:val="en-US" w:eastAsia="zh-Hans"/>
              </w:rPr>
              <w:t>管理制度</w:t>
            </w:r>
            <w:r>
              <w:rPr>
                <w:rFonts w:hint="eastAsia" w:ascii="Calibri" w:hAnsi="Calibri" w:cs="Times New Roman"/>
                <w:color w:val="auto"/>
                <w:highlight w:val="none"/>
                <w:lang w:val="en-US" w:eastAsia="zh-CN"/>
              </w:rPr>
              <w:t>、</w:t>
            </w:r>
            <w:r>
              <w:rPr>
                <w:rFonts w:hint="eastAsia" w:ascii="宋体" w:hAnsi="宋体" w:cs="宋体"/>
                <w:color w:val="auto"/>
                <w:kern w:val="0"/>
                <w:highlight w:val="none"/>
              </w:rPr>
              <w:t>④</w:t>
            </w:r>
            <w:r>
              <w:rPr>
                <w:rFonts w:hint="eastAsia" w:ascii="Calibri" w:hAnsi="Calibri" w:eastAsia="宋体" w:cs="Times New Roman"/>
                <w:color w:val="auto"/>
                <w:highlight w:val="none"/>
                <w:lang w:val="en-US" w:eastAsia="zh-Hans"/>
              </w:rPr>
              <w:t>实施与监控措施</w:t>
            </w:r>
            <w:r>
              <w:rPr>
                <w:rFonts w:hint="eastAsia" w:ascii="宋体" w:hAnsi="宋体" w:cs="宋体"/>
                <w:color w:val="auto"/>
                <w:szCs w:val="21"/>
                <w:highlight w:val="none"/>
                <w:lang w:val="en-US" w:eastAsia="zh-CN"/>
              </w:rPr>
              <w:t>等。</w:t>
            </w:r>
          </w:p>
          <w:p w14:paraId="77B996FD">
            <w:pPr>
              <w:adjustRightInd w:val="0"/>
              <w:snapToGrid w:val="0"/>
              <w:rPr>
                <w:rFonts w:ascii="宋体" w:hAnsi="宋体" w:cs="宋体"/>
                <w:color w:val="auto"/>
                <w:szCs w:val="21"/>
                <w:highlight w:val="none"/>
              </w:rPr>
            </w:pPr>
            <w:r>
              <w:rPr>
                <w:rFonts w:hint="eastAsia" w:ascii="宋体" w:hAnsi="宋体" w:cs="宋体"/>
                <w:color w:val="auto"/>
                <w:szCs w:val="21"/>
                <w:highlight w:val="none"/>
              </w:rPr>
              <w:t>方案完善、措施合理、可操作性强的计</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分，有缺漏项每处扣</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分，方案内容欠全面或不够详细或欠合理（指存在</w:t>
            </w:r>
            <w:r>
              <w:rPr>
                <w:rFonts w:ascii="宋体" w:hAnsi="宋体" w:cs="宋体"/>
                <w:color w:val="auto"/>
                <w:highlight w:val="none"/>
              </w:rPr>
              <w:t>安全管理体系与措施</w:t>
            </w:r>
            <w:r>
              <w:rPr>
                <w:rFonts w:hint="eastAsia" w:ascii="宋体" w:hAnsi="宋体" w:cs="宋体"/>
                <w:color w:val="auto"/>
                <w:szCs w:val="21"/>
                <w:highlight w:val="none"/>
              </w:rPr>
              <w:t>未贴合采购需求、不符合本项目实施的、不符合本项目性质、表述笼统或前后不一致等情况）的每处扣</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rPr>
              <w:t>分，扣完</w:t>
            </w:r>
            <w:r>
              <w:rPr>
                <w:rFonts w:hint="eastAsia" w:ascii="宋体" w:hAnsi="宋体" w:cs="宋体"/>
                <w:color w:val="auto"/>
                <w:szCs w:val="21"/>
                <w:highlight w:val="none"/>
                <w:lang w:val="en-US" w:eastAsia="zh-CN"/>
              </w:rPr>
              <w:t>12分</w:t>
            </w:r>
            <w:r>
              <w:rPr>
                <w:rFonts w:hint="eastAsia" w:ascii="宋体" w:hAnsi="宋体" w:cs="宋体"/>
                <w:color w:val="auto"/>
                <w:szCs w:val="21"/>
                <w:highlight w:val="none"/>
              </w:rPr>
              <w:t>为止。未提供方案的计0分。</w:t>
            </w:r>
          </w:p>
        </w:tc>
      </w:tr>
      <w:tr w14:paraId="5F17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1" w:hRule="atLeast"/>
        </w:trPr>
        <w:tc>
          <w:tcPr>
            <w:tcW w:w="598" w:type="pct"/>
            <w:vAlign w:val="center"/>
          </w:tcPr>
          <w:p w14:paraId="338D0D16">
            <w:pPr>
              <w:jc w:val="center"/>
              <w:rPr>
                <w:rFonts w:cs="楷体" w:asciiTheme="minorEastAsia" w:hAnsiTheme="minorEastAsia" w:eastAsiaTheme="minorEastAsia"/>
                <w:color w:val="auto"/>
                <w:highlight w:val="none"/>
              </w:rPr>
            </w:pPr>
          </w:p>
        </w:tc>
        <w:tc>
          <w:tcPr>
            <w:tcW w:w="637" w:type="pct"/>
            <w:vAlign w:val="center"/>
          </w:tcPr>
          <w:p w14:paraId="250ACAE5">
            <w:pPr>
              <w:jc w:val="center"/>
              <w:rPr>
                <w:rFonts w:ascii="宋体" w:hAnsi="宋体" w:cs="宋体"/>
                <w:color w:val="auto"/>
                <w:highlight w:val="none"/>
              </w:rPr>
            </w:pPr>
            <w:r>
              <w:rPr>
                <w:rFonts w:hint="eastAsia" w:ascii="Calibri" w:hAnsi="Calibri" w:eastAsia="宋体" w:cs="Times New Roman"/>
                <w:color w:val="auto"/>
                <w:highlight w:val="none"/>
                <w:lang w:val="en-US" w:eastAsia="zh-Hans"/>
              </w:rPr>
              <w:t>资源配备计划</w:t>
            </w:r>
          </w:p>
        </w:tc>
        <w:tc>
          <w:tcPr>
            <w:tcW w:w="373" w:type="pct"/>
            <w:vAlign w:val="center"/>
          </w:tcPr>
          <w:p w14:paraId="7D39FD24">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4</w:t>
            </w:r>
          </w:p>
        </w:tc>
        <w:tc>
          <w:tcPr>
            <w:tcW w:w="3390" w:type="pct"/>
            <w:vAlign w:val="center"/>
          </w:tcPr>
          <w:p w14:paraId="6B579095">
            <w:pPr>
              <w:adjustRightInd w:val="0"/>
              <w:snapToGrid w:val="0"/>
              <w:rPr>
                <w:rFonts w:hint="eastAsia" w:ascii="宋体" w:hAnsi="宋体" w:cs="宋体"/>
                <w:color w:val="auto"/>
                <w:szCs w:val="21"/>
                <w:highlight w:val="none"/>
                <w:lang w:val="en-US" w:eastAsia="zh-CN"/>
              </w:rPr>
            </w:pPr>
            <w:r>
              <w:rPr>
                <w:rFonts w:hint="eastAsia" w:ascii="宋体" w:hAnsi="宋体" w:cs="宋体"/>
                <w:color w:val="auto"/>
                <w:szCs w:val="21"/>
                <w:highlight w:val="none"/>
              </w:rPr>
              <w:t>供应商针对本项目提供</w:t>
            </w:r>
            <w:r>
              <w:rPr>
                <w:rFonts w:hint="eastAsia" w:ascii="Calibri" w:hAnsi="Calibri" w:eastAsia="宋体" w:cs="Times New Roman"/>
                <w:color w:val="auto"/>
                <w:highlight w:val="none"/>
                <w:lang w:val="en-US" w:eastAsia="zh-Hans"/>
              </w:rPr>
              <w:t>资源配备计划</w:t>
            </w:r>
            <w:r>
              <w:rPr>
                <w:rFonts w:hint="eastAsia" w:ascii="宋体" w:hAnsi="宋体" w:cs="宋体"/>
                <w:color w:val="auto"/>
                <w:szCs w:val="21"/>
                <w:highlight w:val="none"/>
              </w:rPr>
              <w:t>，方案应包括：</w:t>
            </w:r>
            <w:r>
              <w:rPr>
                <w:rFonts w:hint="eastAsia" w:ascii="宋体" w:hAnsi="宋体" w:cs="宋体"/>
                <w:color w:val="auto"/>
                <w:szCs w:val="21"/>
                <w:highlight w:val="none"/>
                <w:lang w:val="en-US" w:eastAsia="zh-CN"/>
              </w:rPr>
              <w:t>①</w:t>
            </w:r>
            <w:r>
              <w:rPr>
                <w:rFonts w:hint="eastAsia" w:ascii="Calibri" w:hAnsi="Calibri" w:eastAsia="宋体" w:cs="Times New Roman"/>
                <w:color w:val="auto"/>
                <w:highlight w:val="none"/>
                <w:lang w:val="en-US" w:eastAsia="zh-Hans"/>
              </w:rPr>
              <w:t>资源投入计划</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②</w:t>
            </w:r>
            <w:r>
              <w:rPr>
                <w:rFonts w:hint="eastAsia" w:ascii="Calibri" w:hAnsi="Calibri" w:eastAsia="宋体" w:cs="Times New Roman"/>
                <w:color w:val="auto"/>
                <w:highlight w:val="none"/>
                <w:lang w:val="en-US" w:eastAsia="zh-Hans"/>
              </w:rPr>
              <w:t>调配投入计划</w:t>
            </w:r>
            <w:r>
              <w:rPr>
                <w:rFonts w:hint="eastAsia" w:ascii="宋体" w:hAnsi="宋体" w:cs="宋体"/>
                <w:color w:val="auto"/>
                <w:szCs w:val="21"/>
                <w:highlight w:val="none"/>
                <w:lang w:val="en-US" w:eastAsia="zh-CN"/>
              </w:rPr>
              <w:t>等。</w:t>
            </w:r>
          </w:p>
          <w:p w14:paraId="04AEB4E5">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方案完善、措施合理、可操作性强的计</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分，有缺漏项每处扣</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分，方案内容欠全面或不够详细或欠合理（指存在</w:t>
            </w:r>
            <w:r>
              <w:rPr>
                <w:rFonts w:hint="eastAsia" w:ascii="Calibri" w:hAnsi="Calibri" w:eastAsia="宋体" w:cs="Times New Roman"/>
                <w:color w:val="auto"/>
                <w:highlight w:val="none"/>
                <w:lang w:val="en-US" w:eastAsia="zh-Hans"/>
              </w:rPr>
              <w:t>资源配备计划</w:t>
            </w:r>
            <w:r>
              <w:rPr>
                <w:rFonts w:hint="eastAsia" w:ascii="宋体" w:hAnsi="宋体" w:cs="宋体"/>
                <w:color w:val="auto"/>
                <w:szCs w:val="21"/>
                <w:highlight w:val="none"/>
              </w:rPr>
              <w:t>未贴合采购需求、不符合本项目实施的、不符合本项目性质、表述笼统或前后不一致等情况）的每处扣</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分，扣完为止。未提供方案的计0分。</w:t>
            </w:r>
          </w:p>
        </w:tc>
      </w:tr>
      <w:tr w14:paraId="3BED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87" w:hRule="atLeast"/>
        </w:trPr>
        <w:tc>
          <w:tcPr>
            <w:tcW w:w="598" w:type="pct"/>
            <w:vMerge w:val="restart"/>
            <w:vAlign w:val="center"/>
          </w:tcPr>
          <w:p w14:paraId="2A830290">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商务部</w:t>
            </w:r>
          </w:p>
          <w:p w14:paraId="13985D0C">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rPr>
              <w:t>分（</w:t>
            </w:r>
            <w:r>
              <w:rPr>
                <w:rFonts w:hint="eastAsia" w:eastAsiaTheme="minorEastAsia"/>
                <w:color w:val="auto"/>
                <w:highlight w:val="none"/>
                <w:lang w:val="en-US" w:eastAsia="zh-CN"/>
              </w:rPr>
              <w:t>25</w:t>
            </w:r>
          </w:p>
          <w:p w14:paraId="5F4C2730">
            <w:pPr>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分）</w:t>
            </w:r>
          </w:p>
        </w:tc>
        <w:tc>
          <w:tcPr>
            <w:tcW w:w="637" w:type="pct"/>
            <w:vAlign w:val="center"/>
          </w:tcPr>
          <w:p w14:paraId="30DF775B">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类似业绩</w:t>
            </w:r>
          </w:p>
        </w:tc>
        <w:tc>
          <w:tcPr>
            <w:tcW w:w="373" w:type="pct"/>
            <w:vAlign w:val="center"/>
          </w:tcPr>
          <w:p w14:paraId="00C2896D">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10</w:t>
            </w:r>
          </w:p>
        </w:tc>
        <w:tc>
          <w:tcPr>
            <w:tcW w:w="3390" w:type="pct"/>
            <w:vAlign w:val="center"/>
          </w:tcPr>
          <w:p w14:paraId="197AAA43">
            <w:pPr>
              <w:widowControl/>
              <w:adjustRightInd w:val="0"/>
              <w:snapToGrid w:val="0"/>
              <w:jc w:val="left"/>
              <w:rPr>
                <w:rFonts w:hint="eastAsia"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供应商具有2023年1月1日（以合同签订时间为准）至今的类似工程项目业绩的，每提供一个计5分，本项最多计10分（提供</w:t>
            </w:r>
            <w:r>
              <w:rPr>
                <w:rFonts w:hint="eastAsia" w:ascii="宋体" w:hAnsi="宋体" w:eastAsia="宋体" w:cs="Times New Roman"/>
                <w:b w:val="0"/>
                <w:bCs w:val="0"/>
                <w:snapToGrid/>
                <w:color w:val="auto"/>
                <w:kern w:val="2"/>
                <w:sz w:val="21"/>
                <w:szCs w:val="21"/>
                <w:highlight w:val="none"/>
                <w:lang w:eastAsia="zh-CN"/>
                <w14:ligatures w14:val="none"/>
              </w:rPr>
              <w:t>中标通知书（或施工合同）或采购人（甲方）出具的相关证明材料，及由建设方、施工方、监理方、设计方盖章认可的竣工验收证明，否则不计分</w:t>
            </w:r>
            <w:r>
              <w:rPr>
                <w:rFonts w:hint="eastAsia" w:cs="楷体" w:asciiTheme="minorEastAsia" w:hAnsiTheme="minorEastAsia" w:eastAsiaTheme="minorEastAsia"/>
                <w:color w:val="auto"/>
                <w:highlight w:val="none"/>
                <w:lang w:val="en-US" w:eastAsia="zh-CN"/>
              </w:rPr>
              <w:t>）。</w:t>
            </w:r>
          </w:p>
        </w:tc>
      </w:tr>
      <w:tr w14:paraId="219B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87" w:hRule="atLeast"/>
        </w:trPr>
        <w:tc>
          <w:tcPr>
            <w:tcW w:w="598" w:type="pct"/>
            <w:vMerge w:val="continue"/>
            <w:vAlign w:val="center"/>
          </w:tcPr>
          <w:p w14:paraId="00940B40">
            <w:pPr>
              <w:jc w:val="center"/>
              <w:textAlignment w:val="center"/>
              <w:rPr>
                <w:rFonts w:hint="eastAsia" w:cs="楷体" w:asciiTheme="minorEastAsia" w:hAnsiTheme="minorEastAsia" w:eastAsiaTheme="minorEastAsia"/>
                <w:color w:val="auto"/>
                <w:highlight w:val="none"/>
              </w:rPr>
            </w:pPr>
          </w:p>
        </w:tc>
        <w:tc>
          <w:tcPr>
            <w:tcW w:w="637" w:type="pct"/>
            <w:vAlign w:val="center"/>
          </w:tcPr>
          <w:p w14:paraId="163C6C28">
            <w:pPr>
              <w:widowControl/>
              <w:jc w:val="center"/>
              <w:textAlignment w:val="center"/>
              <w:rPr>
                <w:rFonts w:hint="eastAsia" w:cs="楷体" w:asciiTheme="minorEastAsia" w:hAnsiTheme="minorEastAsia" w:eastAsiaTheme="minorEastAsia"/>
                <w:color w:val="auto"/>
                <w:highlight w:val="none"/>
              </w:rPr>
            </w:pPr>
            <w:r>
              <w:rPr>
                <w:rFonts w:hint="eastAsia" w:ascii="Times New Roman" w:eastAsia="宋体"/>
                <w:color w:val="auto"/>
                <w:highlight w:val="none"/>
                <w:lang w:val="en-US" w:eastAsia="zh-CN"/>
              </w:rPr>
              <w:t>人员配备</w:t>
            </w:r>
          </w:p>
        </w:tc>
        <w:tc>
          <w:tcPr>
            <w:tcW w:w="373" w:type="pct"/>
            <w:vAlign w:val="center"/>
          </w:tcPr>
          <w:p w14:paraId="0AE8BBAD">
            <w:pPr>
              <w:widowControl/>
              <w:jc w:val="center"/>
              <w:textAlignment w:val="center"/>
              <w:rPr>
                <w:rFonts w:hint="default" w:cs="楷体" w:asciiTheme="minorEastAsia" w:hAnsiTheme="minorEastAsia" w:eastAsiaTheme="minorEastAsia"/>
                <w:color w:val="auto"/>
                <w:highlight w:val="none"/>
                <w:lang w:val="en-US" w:eastAsia="zh-CN"/>
              </w:rPr>
            </w:pPr>
            <w:r>
              <w:rPr>
                <w:rFonts w:hint="eastAsia" w:cs="楷体" w:asciiTheme="minorEastAsia" w:hAnsiTheme="minorEastAsia" w:eastAsiaTheme="minorEastAsia"/>
                <w:color w:val="auto"/>
                <w:highlight w:val="none"/>
                <w:lang w:val="en-US" w:eastAsia="zh-CN"/>
              </w:rPr>
              <w:t>10</w:t>
            </w:r>
          </w:p>
        </w:tc>
        <w:tc>
          <w:tcPr>
            <w:tcW w:w="3390" w:type="pct"/>
            <w:vAlign w:val="center"/>
          </w:tcPr>
          <w:p w14:paraId="7BC8C5BE">
            <w:pPr>
              <w:pStyle w:val="297"/>
              <w:keepNext w:val="0"/>
              <w:keepLines w:val="0"/>
              <w:pageBreakBefore w:val="0"/>
              <w:widowControl w:val="0"/>
              <w:numPr>
                <w:ilvl w:val="0"/>
                <w:numId w:val="0"/>
              </w:numPr>
              <w:kinsoku/>
              <w:wordWrap/>
              <w:overflowPunct/>
              <w:topLinePunct w:val="0"/>
              <w:autoSpaceDE/>
              <w:autoSpaceDN/>
              <w:bidi w:val="0"/>
              <w:spacing w:line="240"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拟任项目负责人（项目经理）具有建筑工程专业壹级注册建造师执业资格和具备项目负责人安全生产考核合格证书的计3分；项目负责人（项目经理）具有建筑工程专业</w:t>
            </w:r>
            <w:r>
              <w:rPr>
                <w:rFonts w:hint="eastAsia" w:ascii="宋体" w:hAnsi="宋体" w:cs="宋体"/>
                <w:color w:val="auto"/>
                <w:sz w:val="21"/>
                <w:szCs w:val="21"/>
                <w:highlight w:val="none"/>
                <w:lang w:val="en-US" w:eastAsia="zh-CN"/>
              </w:rPr>
              <w:t>贰</w:t>
            </w:r>
            <w:r>
              <w:rPr>
                <w:rFonts w:hint="eastAsia" w:ascii="宋体" w:hAnsi="宋体" w:eastAsia="宋体" w:cs="宋体"/>
                <w:color w:val="auto"/>
                <w:sz w:val="21"/>
                <w:szCs w:val="21"/>
                <w:highlight w:val="none"/>
                <w:lang w:val="en-US" w:eastAsia="zh-CN"/>
              </w:rPr>
              <w:t>级注册建造师执业资格和具备项目负责人安全生产考核合格证书的计</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w:t>
            </w:r>
          </w:p>
          <w:p w14:paraId="32063DF5">
            <w:pPr>
              <w:pStyle w:val="297"/>
              <w:keepNext w:val="0"/>
              <w:keepLines w:val="0"/>
              <w:pageBreakBefore w:val="0"/>
              <w:widowControl w:val="0"/>
              <w:numPr>
                <w:ilvl w:val="0"/>
                <w:numId w:val="0"/>
              </w:numPr>
              <w:kinsoku/>
              <w:wordWrap/>
              <w:overflowPunct/>
              <w:topLinePunct w:val="0"/>
              <w:autoSpaceDE/>
              <w:autoSpaceDN/>
              <w:bidi w:val="0"/>
              <w:spacing w:line="240" w:lineRule="auto"/>
              <w:ind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拟任技术负责人具有建筑工程相关专业高级</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以上职称的计</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分；拟任技术负责人具有建筑工程相关专业</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级职称的计</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分</w:t>
            </w:r>
            <w:r>
              <w:rPr>
                <w:rFonts w:hint="eastAsia" w:ascii="宋体" w:hAnsi="宋体" w:eastAsia="宋体" w:cs="宋体"/>
                <w:color w:val="auto"/>
                <w:szCs w:val="21"/>
                <w:highlight w:val="none"/>
                <w:lang w:eastAsia="zh-CN"/>
              </w:rPr>
              <w:t>。</w:t>
            </w:r>
          </w:p>
          <w:p w14:paraId="22679F0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拟投入本项目的团队人员</w:t>
            </w:r>
            <w:r>
              <w:rPr>
                <w:rFonts w:hint="eastAsia" w:ascii="宋体" w:hAnsi="宋体" w:eastAsia="宋体" w:cs="宋体"/>
                <w:color w:val="auto"/>
                <w:szCs w:val="21"/>
                <w:highlight w:val="none"/>
                <w:lang w:eastAsia="zh-CN"/>
              </w:rPr>
              <w:t>（</w:t>
            </w:r>
            <w:r>
              <w:rPr>
                <w:rStyle w:val="48"/>
                <w:rFonts w:ascii="宋体" w:hAnsi="宋体" w:eastAsia="宋体" w:cs="宋体"/>
                <w:b w:val="0"/>
                <w:color w:val="auto"/>
                <w:sz w:val="21"/>
                <w:szCs w:val="24"/>
                <w:highlight w:val="none"/>
              </w:rPr>
              <w:t>不含项目负责人、技术负责人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中，具有建筑工程相关专业</w:t>
            </w:r>
            <w:r>
              <w:rPr>
                <w:rFonts w:hint="eastAsia" w:ascii="宋体" w:hAnsi="宋体" w:eastAsia="宋体" w:cs="宋体"/>
                <w:color w:val="auto"/>
                <w:szCs w:val="21"/>
                <w:highlight w:val="none"/>
                <w:lang w:eastAsia="zh-CN"/>
              </w:rPr>
              <w:t>中</w:t>
            </w:r>
            <w:r>
              <w:rPr>
                <w:rFonts w:hint="eastAsia" w:ascii="宋体" w:hAnsi="宋体" w:eastAsia="宋体" w:cs="宋体"/>
                <w:color w:val="auto"/>
                <w:szCs w:val="21"/>
                <w:highlight w:val="none"/>
              </w:rPr>
              <w:t>级</w:t>
            </w:r>
            <w:r>
              <w:rPr>
                <w:rFonts w:hint="eastAsia" w:ascii="宋体" w:hAnsi="宋体" w:eastAsia="宋体" w:cs="宋体"/>
                <w:color w:val="auto"/>
                <w:szCs w:val="21"/>
                <w:highlight w:val="none"/>
                <w:lang w:eastAsia="zh-CN"/>
              </w:rPr>
              <w:t>及</w:t>
            </w:r>
            <w:r>
              <w:rPr>
                <w:rFonts w:hint="eastAsia" w:ascii="宋体" w:hAnsi="宋体" w:eastAsia="宋体" w:cs="宋体"/>
                <w:color w:val="auto"/>
                <w:szCs w:val="21"/>
                <w:highlight w:val="none"/>
              </w:rPr>
              <w:t>以上职称</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每人计</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分，本项最多计</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分。</w:t>
            </w:r>
          </w:p>
          <w:p w14:paraId="5585FC10">
            <w:pPr>
              <w:widowControl/>
              <w:adjustRightInd w:val="0"/>
              <w:snapToGrid w:val="0"/>
              <w:jc w:val="left"/>
              <w:rPr>
                <w:rFonts w:hint="eastAsia" w:cs="楷体" w:asciiTheme="minorEastAsia" w:hAnsiTheme="minorEastAsia" w:eastAsiaTheme="minorEastAsia"/>
                <w:color w:val="auto"/>
                <w:highlight w:val="none"/>
                <w:lang w:val="en-US" w:eastAsia="zh-CN"/>
              </w:rPr>
            </w:pPr>
            <w:r>
              <w:rPr>
                <w:rFonts w:hint="eastAsia" w:ascii="宋体" w:hAnsi="宋体" w:eastAsia="宋体" w:cs="宋体"/>
                <w:color w:val="auto"/>
                <w:szCs w:val="21"/>
                <w:highlight w:val="none"/>
              </w:rPr>
              <w:t>注：上述人员不重复</w:t>
            </w:r>
            <w:r>
              <w:rPr>
                <w:rFonts w:hint="eastAsia" w:ascii="宋体" w:hAnsi="宋体" w:eastAsia="宋体" w:cs="宋体"/>
                <w:color w:val="auto"/>
                <w:szCs w:val="21"/>
                <w:highlight w:val="none"/>
                <w:lang w:eastAsia="zh-CN"/>
              </w:rPr>
              <w:t>计</w:t>
            </w:r>
            <w:r>
              <w:rPr>
                <w:rFonts w:hint="eastAsia" w:ascii="宋体" w:hAnsi="宋体" w:eastAsia="宋体" w:cs="宋体"/>
                <w:color w:val="auto"/>
                <w:szCs w:val="21"/>
                <w:highlight w:val="none"/>
              </w:rPr>
              <w:t>分，提供相关证书复印件、人员近3个月在投标单位社保缴</w:t>
            </w:r>
            <w:r>
              <w:rPr>
                <w:rFonts w:hint="eastAsia" w:ascii="宋体" w:hAnsi="宋体" w:eastAsia="宋体" w:cs="宋体"/>
                <w:color w:val="auto"/>
                <w:szCs w:val="21"/>
                <w:highlight w:val="none"/>
                <w:lang w:eastAsia="zh-CN"/>
              </w:rPr>
              <w:t>纳</w:t>
            </w:r>
            <w:r>
              <w:rPr>
                <w:rFonts w:hint="eastAsia" w:ascii="宋体" w:hAnsi="宋体" w:eastAsia="宋体" w:cs="宋体"/>
                <w:color w:val="auto"/>
                <w:szCs w:val="21"/>
                <w:highlight w:val="none"/>
              </w:rPr>
              <w:t>证明复印件并加盖</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公章，否则不计分。</w:t>
            </w:r>
          </w:p>
        </w:tc>
      </w:tr>
      <w:tr w14:paraId="4BD0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598" w:type="pct"/>
            <w:vMerge w:val="continue"/>
            <w:vAlign w:val="center"/>
          </w:tcPr>
          <w:p w14:paraId="692AC0E1">
            <w:pPr>
              <w:widowControl/>
              <w:jc w:val="center"/>
              <w:textAlignment w:val="center"/>
              <w:rPr>
                <w:rFonts w:cs="楷体" w:asciiTheme="minorEastAsia" w:hAnsiTheme="minorEastAsia" w:eastAsiaTheme="minorEastAsia"/>
                <w:color w:val="auto"/>
                <w:highlight w:val="none"/>
              </w:rPr>
            </w:pPr>
          </w:p>
        </w:tc>
        <w:tc>
          <w:tcPr>
            <w:tcW w:w="637" w:type="pct"/>
            <w:vAlign w:val="center"/>
          </w:tcPr>
          <w:p w14:paraId="27F596F1">
            <w:pPr>
              <w:widowControl/>
              <w:jc w:val="center"/>
              <w:textAlignment w:val="center"/>
              <w:rPr>
                <w:rFonts w:cs="楷体" w:asciiTheme="minorEastAsia" w:hAnsiTheme="minorEastAsia" w:eastAsiaTheme="minorEastAsia"/>
                <w:color w:val="auto"/>
                <w:highlight w:val="none"/>
              </w:rPr>
            </w:pPr>
            <w:r>
              <w:rPr>
                <w:rFonts w:hint="eastAsia" w:ascii="宋体" w:eastAsia="宋体" w:cs="宋体"/>
                <w:bCs/>
                <w:color w:val="auto"/>
                <w:spacing w:val="0"/>
                <w:sz w:val="21"/>
                <w:szCs w:val="21"/>
                <w:highlight w:val="none"/>
                <w:lang w:val="en-US" w:eastAsia="zh-CN" w:bidi="ar-SA"/>
              </w:rPr>
              <w:t>不良行为记录</w:t>
            </w:r>
          </w:p>
        </w:tc>
        <w:tc>
          <w:tcPr>
            <w:tcW w:w="373" w:type="pct"/>
            <w:vAlign w:val="center"/>
          </w:tcPr>
          <w:p w14:paraId="418305A2">
            <w:pPr>
              <w:widowControl/>
              <w:jc w:val="center"/>
              <w:textAlignment w:val="center"/>
              <w:rPr>
                <w:rFonts w:hint="eastAsia" w:cs="楷体" w:asciiTheme="minorEastAsia" w:hAnsiTheme="minorEastAsia" w:eastAsiaTheme="minorEastAsia"/>
                <w:color w:val="auto"/>
                <w:highlight w:val="none"/>
                <w:lang w:eastAsia="zh-CN"/>
              </w:rPr>
            </w:pPr>
            <w:r>
              <w:rPr>
                <w:rFonts w:hint="eastAsia" w:cs="楷体" w:asciiTheme="minorEastAsia" w:hAnsiTheme="minorEastAsia" w:eastAsiaTheme="minorEastAsia"/>
                <w:color w:val="auto"/>
                <w:highlight w:val="none"/>
                <w:lang w:val="en-US" w:eastAsia="zh-CN"/>
              </w:rPr>
              <w:t>5</w:t>
            </w:r>
          </w:p>
        </w:tc>
        <w:tc>
          <w:tcPr>
            <w:tcW w:w="3390" w:type="pct"/>
            <w:vAlign w:val="center"/>
          </w:tcPr>
          <w:p w14:paraId="5B4C8FB6">
            <w:pPr>
              <w:widowControl/>
              <w:jc w:val="left"/>
              <w:textAlignment w:val="center"/>
              <w:rPr>
                <w:rFonts w:hint="eastAsia" w:ascii="宋体" w:hAnsi="Times New Roman" w:eastAsia="宋体" w:cs="宋体"/>
                <w:bCs/>
                <w:color w:val="auto"/>
                <w:spacing w:val="0"/>
                <w:sz w:val="21"/>
                <w:szCs w:val="21"/>
                <w:highlight w:val="none"/>
                <w:lang w:val="en-US" w:eastAsia="zh-CN" w:bidi="ar-SA"/>
              </w:rPr>
            </w:pPr>
            <w:r>
              <w:rPr>
                <w:rFonts w:hint="eastAsia" w:ascii="宋体" w:hAnsi="宋体" w:eastAsia="宋体" w:cs="Times New Roman"/>
                <w:color w:val="auto"/>
                <w:kern w:val="0"/>
                <w:sz w:val="20"/>
                <w:szCs w:val="20"/>
                <w:highlight w:val="none"/>
                <w14:ligatures w14:val="none"/>
              </w:rPr>
              <w:t>1</w:t>
            </w:r>
            <w:r>
              <w:rPr>
                <w:rFonts w:hint="eastAsia" w:ascii="宋体" w:hAnsi="Times New Roman" w:eastAsia="宋体" w:cs="宋体"/>
                <w:bCs/>
                <w:color w:val="auto"/>
                <w:spacing w:val="0"/>
                <w:sz w:val="21"/>
                <w:szCs w:val="21"/>
                <w:highlight w:val="none"/>
                <w:lang w:val="en-US" w:eastAsia="zh-CN" w:bidi="ar-SA"/>
              </w:rPr>
              <w:t>、</w:t>
            </w:r>
            <w:r>
              <w:rPr>
                <w:rFonts w:hint="eastAsia" w:ascii="宋体" w:hAnsi="Times New Roman" w:eastAsia="宋体" w:cs="宋体"/>
                <w:bCs/>
                <w:color w:val="auto"/>
                <w:spacing w:val="0"/>
                <w:sz w:val="21"/>
                <w:szCs w:val="21"/>
                <w:highlight w:val="none"/>
                <w:lang w:val="en-US" w:eastAsia="zh-Hans" w:bidi="ar-SA"/>
              </w:rPr>
              <w:t>供应商在</w:t>
            </w:r>
            <w:r>
              <w:rPr>
                <w:rFonts w:hint="eastAsia" w:ascii="宋体" w:hAnsi="Times New Roman" w:eastAsia="宋体" w:cs="宋体"/>
                <w:bCs/>
                <w:color w:val="auto"/>
                <w:spacing w:val="0"/>
                <w:sz w:val="21"/>
                <w:szCs w:val="21"/>
                <w:highlight w:val="none"/>
                <w:lang w:val="en-US" w:eastAsia="zh-CN" w:bidi="ar-SA"/>
              </w:rPr>
              <w:t>磋商响应</w:t>
            </w:r>
            <w:r>
              <w:rPr>
                <w:rFonts w:hint="eastAsia" w:ascii="宋体" w:hAnsi="Times New Roman" w:eastAsia="宋体" w:cs="宋体"/>
                <w:bCs/>
                <w:color w:val="auto"/>
                <w:spacing w:val="0"/>
                <w:sz w:val="21"/>
                <w:szCs w:val="21"/>
                <w:highlight w:val="none"/>
                <w:lang w:val="en-US" w:eastAsia="zh-Hans" w:bidi="ar-SA"/>
              </w:rPr>
              <w:t>截止日前</w:t>
            </w:r>
            <w:r>
              <w:rPr>
                <w:rFonts w:hint="eastAsia" w:ascii="宋体" w:hAnsi="Times New Roman" w:eastAsia="宋体" w:cs="宋体"/>
                <w:bCs/>
                <w:color w:val="auto"/>
                <w:spacing w:val="0"/>
                <w:sz w:val="21"/>
                <w:szCs w:val="21"/>
                <w:highlight w:val="none"/>
                <w:lang w:val="en-US" w:eastAsia="zh-CN" w:bidi="ar-SA"/>
              </w:rPr>
              <w:t>180天内</w:t>
            </w:r>
            <w:r>
              <w:rPr>
                <w:rFonts w:hint="eastAsia" w:ascii="宋体" w:hAnsi="Times New Roman" w:eastAsia="宋体" w:cs="宋体"/>
                <w:bCs/>
                <w:color w:val="auto"/>
                <w:spacing w:val="0"/>
                <w:sz w:val="21"/>
                <w:szCs w:val="21"/>
                <w:highlight w:val="none"/>
                <w:lang w:val="en-US" w:eastAsia="zh-Hans" w:bidi="ar-SA"/>
              </w:rPr>
              <w:t>未被建设主管部门列入建筑市场责任主体不良行为记录名单的计</w:t>
            </w:r>
            <w:r>
              <w:rPr>
                <w:rFonts w:hint="eastAsia" w:ascii="宋体" w:hAnsi="Times New Roman" w:eastAsia="宋体" w:cs="宋体"/>
                <w:bCs/>
                <w:color w:val="auto"/>
                <w:spacing w:val="0"/>
                <w:sz w:val="21"/>
                <w:szCs w:val="21"/>
                <w:highlight w:val="none"/>
                <w:lang w:val="en-US" w:eastAsia="zh-CN" w:bidi="ar-SA"/>
              </w:rPr>
              <w:t>2.5分；</w:t>
            </w:r>
          </w:p>
          <w:p w14:paraId="7918D4DA">
            <w:pPr>
              <w:widowControl/>
              <w:jc w:val="left"/>
              <w:textAlignment w:val="center"/>
              <w:rPr>
                <w:rFonts w:hint="eastAsia" w:ascii="宋体" w:hAnsi="Times New Roman" w:eastAsia="宋体" w:cs="宋体"/>
                <w:bCs/>
                <w:color w:val="auto"/>
                <w:spacing w:val="0"/>
                <w:sz w:val="21"/>
                <w:szCs w:val="21"/>
                <w:highlight w:val="none"/>
                <w:lang w:val="en-US" w:eastAsia="zh-CN" w:bidi="ar-SA"/>
              </w:rPr>
            </w:pPr>
            <w:r>
              <w:rPr>
                <w:rFonts w:hint="eastAsia" w:ascii="宋体" w:hAnsi="Times New Roman" w:eastAsia="宋体" w:cs="宋体"/>
                <w:bCs/>
                <w:color w:val="auto"/>
                <w:spacing w:val="0"/>
                <w:sz w:val="21"/>
                <w:szCs w:val="21"/>
                <w:highlight w:val="none"/>
                <w:lang w:val="en-US" w:eastAsia="zh-CN" w:bidi="ar-SA"/>
              </w:rPr>
              <w:t>2、</w:t>
            </w:r>
            <w:r>
              <w:rPr>
                <w:rFonts w:hint="eastAsia" w:ascii="宋体" w:hAnsi="Times New Roman" w:eastAsia="宋体" w:cs="宋体"/>
                <w:bCs/>
                <w:color w:val="auto"/>
                <w:spacing w:val="0"/>
                <w:sz w:val="21"/>
                <w:szCs w:val="21"/>
                <w:highlight w:val="none"/>
                <w:lang w:val="en-US" w:eastAsia="zh-Hans" w:bidi="ar-SA"/>
              </w:rPr>
              <w:t>项目负责人在</w:t>
            </w:r>
            <w:r>
              <w:rPr>
                <w:rFonts w:hint="eastAsia" w:ascii="宋体" w:hAnsi="Times New Roman" w:eastAsia="宋体" w:cs="宋体"/>
                <w:bCs/>
                <w:color w:val="auto"/>
                <w:spacing w:val="0"/>
                <w:sz w:val="21"/>
                <w:szCs w:val="21"/>
                <w:highlight w:val="none"/>
                <w:lang w:val="en-US" w:eastAsia="zh-CN" w:bidi="ar-SA"/>
              </w:rPr>
              <w:t>磋商响应</w:t>
            </w:r>
            <w:r>
              <w:rPr>
                <w:rFonts w:hint="eastAsia" w:ascii="宋体" w:hAnsi="Times New Roman" w:eastAsia="宋体" w:cs="宋体"/>
                <w:bCs/>
                <w:color w:val="auto"/>
                <w:spacing w:val="0"/>
                <w:sz w:val="21"/>
                <w:szCs w:val="21"/>
                <w:highlight w:val="none"/>
                <w:lang w:val="en-US" w:eastAsia="zh-Hans" w:bidi="ar-SA"/>
              </w:rPr>
              <w:t>截止日前</w:t>
            </w:r>
            <w:r>
              <w:rPr>
                <w:rFonts w:hint="eastAsia" w:ascii="宋体" w:hAnsi="Times New Roman" w:eastAsia="宋体" w:cs="宋体"/>
                <w:bCs/>
                <w:color w:val="auto"/>
                <w:spacing w:val="0"/>
                <w:sz w:val="21"/>
                <w:szCs w:val="21"/>
                <w:highlight w:val="none"/>
                <w:lang w:val="en-US" w:eastAsia="zh-CN" w:bidi="ar-SA"/>
              </w:rPr>
              <w:t>720天内</w:t>
            </w:r>
            <w:r>
              <w:rPr>
                <w:rFonts w:hint="eastAsia" w:ascii="宋体" w:hAnsi="Times New Roman" w:eastAsia="宋体" w:cs="宋体"/>
                <w:bCs/>
                <w:color w:val="auto"/>
                <w:spacing w:val="0"/>
                <w:sz w:val="21"/>
                <w:szCs w:val="21"/>
                <w:highlight w:val="none"/>
                <w:lang w:val="en-US" w:eastAsia="zh-Hans" w:bidi="ar-SA"/>
              </w:rPr>
              <w:t>未被建设主管部门列入建筑市场责任主体不良行为记录名单的计</w:t>
            </w:r>
            <w:r>
              <w:rPr>
                <w:rFonts w:hint="eastAsia" w:ascii="宋体" w:hAnsi="Times New Roman" w:eastAsia="宋体" w:cs="宋体"/>
                <w:bCs/>
                <w:color w:val="auto"/>
                <w:spacing w:val="0"/>
                <w:sz w:val="21"/>
                <w:szCs w:val="21"/>
                <w:highlight w:val="none"/>
                <w:lang w:val="en-US" w:eastAsia="zh-CN" w:bidi="ar-SA"/>
              </w:rPr>
              <w:t>2.5分。</w:t>
            </w:r>
          </w:p>
          <w:p w14:paraId="155E511B">
            <w:pPr>
              <w:widowControl/>
              <w:jc w:val="left"/>
              <w:textAlignment w:val="center"/>
              <w:rPr>
                <w:color w:val="auto"/>
                <w:highlight w:val="none"/>
              </w:rPr>
            </w:pPr>
            <w:r>
              <w:rPr>
                <w:rFonts w:hint="eastAsia" w:ascii="宋体" w:hAnsi="Times New Roman" w:eastAsia="宋体" w:cs="宋体"/>
                <w:bCs/>
                <w:color w:val="auto"/>
                <w:spacing w:val="0"/>
                <w:sz w:val="21"/>
                <w:szCs w:val="21"/>
                <w:highlight w:val="none"/>
                <w:lang w:val="en-US" w:eastAsia="zh-CN" w:bidi="ar-SA"/>
              </w:rPr>
              <w:t>（注：须提供供应商及项目负责人在对应时间段内未被建设主管部门列入建筑市场责任主体不良行为记录名单的承诺函并加盖公章，未提供则不计分）</w:t>
            </w:r>
          </w:p>
        </w:tc>
      </w:tr>
      <w:tr w14:paraId="5ED2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36" w:type="pct"/>
            <w:gridSpan w:val="2"/>
            <w:vAlign w:val="center"/>
          </w:tcPr>
          <w:p w14:paraId="19B7BFFB">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合计</w:t>
            </w:r>
          </w:p>
        </w:tc>
        <w:tc>
          <w:tcPr>
            <w:tcW w:w="373" w:type="pct"/>
            <w:vAlign w:val="center"/>
          </w:tcPr>
          <w:p w14:paraId="40647184">
            <w:pPr>
              <w:widowControl/>
              <w:jc w:val="center"/>
              <w:textAlignment w:val="center"/>
              <w:rPr>
                <w:rFonts w:cs="楷体" w:asciiTheme="minorEastAsia" w:hAnsiTheme="minorEastAsia" w:eastAsiaTheme="minorEastAsia"/>
                <w:color w:val="auto"/>
                <w:highlight w:val="none"/>
              </w:rPr>
            </w:pPr>
            <w:r>
              <w:rPr>
                <w:rFonts w:hint="eastAsia" w:cs="楷体" w:asciiTheme="minorEastAsia" w:hAnsiTheme="minorEastAsia" w:eastAsiaTheme="minorEastAsia"/>
                <w:color w:val="auto"/>
                <w:highlight w:val="none"/>
              </w:rPr>
              <w:t>100</w:t>
            </w:r>
          </w:p>
        </w:tc>
        <w:tc>
          <w:tcPr>
            <w:tcW w:w="3390" w:type="pct"/>
            <w:vAlign w:val="center"/>
          </w:tcPr>
          <w:p w14:paraId="5F32D24A">
            <w:pPr>
              <w:rPr>
                <w:rFonts w:cs="楷体" w:asciiTheme="minorEastAsia" w:hAnsiTheme="minorEastAsia" w:eastAsiaTheme="minorEastAsia"/>
                <w:color w:val="auto"/>
                <w:highlight w:val="none"/>
              </w:rPr>
            </w:pPr>
          </w:p>
        </w:tc>
      </w:tr>
      <w:tr w14:paraId="070B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gridSpan w:val="4"/>
            <w:vAlign w:val="center"/>
          </w:tcPr>
          <w:p w14:paraId="20B44637">
            <w:pPr>
              <w:adjustRightInd w:val="0"/>
              <w:snapToGrid w:val="0"/>
              <w:rPr>
                <w:rFonts w:ascii="宋体" w:hAnsi="宋体" w:cs="宋体"/>
                <w:color w:val="auto"/>
                <w:szCs w:val="21"/>
                <w:highlight w:val="none"/>
              </w:rPr>
            </w:pPr>
            <w:r>
              <w:rPr>
                <w:rFonts w:hint="eastAsia" w:ascii="宋体" w:hAnsi="宋体" w:cs="宋体"/>
                <w:color w:val="auto"/>
                <w:szCs w:val="21"/>
                <w:highlight w:val="none"/>
              </w:rPr>
              <w:t>说明：</w:t>
            </w:r>
          </w:p>
          <w:p w14:paraId="6B0F7F2B">
            <w:pPr>
              <w:adjustRightInd w:val="0"/>
              <w:snapToGrid w:val="0"/>
              <w:rPr>
                <w:rFonts w:ascii="宋体" w:hAnsi="宋体" w:cs="宋体"/>
                <w:color w:val="auto"/>
                <w:szCs w:val="21"/>
                <w:highlight w:val="none"/>
              </w:rPr>
            </w:pPr>
            <w:r>
              <w:rPr>
                <w:rFonts w:hint="eastAsia" w:ascii="宋体" w:hAnsi="宋体" w:cs="宋体"/>
                <w:color w:val="auto"/>
                <w:szCs w:val="21"/>
                <w:highlight w:val="none"/>
              </w:rPr>
              <w:t>1、评分依据评标标准，对照响应文件进行。评标标准涉及要求提供复印件的，响应文件中须附相关证书和证明文件的复印件并加盖单位公章，否则相应计分项不予计分。</w:t>
            </w:r>
          </w:p>
          <w:p w14:paraId="20EDA128">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rPr>
              <w:t>2、磋商小组认为供应商的报价明显低于其他供应商报价，使得其投标报价可能低于本招标项目成本价的，有可能影响项目质量或不能诚信履约的，给采购人带来严重风险的，供应商应按磋商小组要求作出书面说明并提供相关证明材料，不做说明、不能合理说明或不能提供相关证明材料或拒绝说明的，将被认定为恶意低价竞标并作无效投标处理。</w:t>
            </w:r>
          </w:p>
          <w:p w14:paraId="71D91A9F">
            <w:pPr>
              <w:pStyle w:val="63"/>
              <w:rPr>
                <w:color w:val="auto"/>
                <w:highlight w:val="none"/>
              </w:rPr>
            </w:pPr>
            <w:r>
              <w:rPr>
                <w:rFonts w:hint="eastAsia" w:ascii="宋体" w:hAnsi="宋体" w:cs="宋体"/>
                <w:color w:val="auto"/>
                <w:szCs w:val="21"/>
                <w:highlight w:val="none"/>
                <w:lang w:val="en-US" w:eastAsia="zh-CN"/>
              </w:rPr>
              <w:t>3、评分所指缺陷为：有标题无实质性描述、非专门针对本项目或不适用项目特性的情形、内容不完整或缺少关键节点、套用其他项目方案、内容前后矛盾、涉及的规范及标准错误、不利于项目实施、不可能实现的情形等任意一种情形。</w:t>
            </w:r>
          </w:p>
          <w:p w14:paraId="423A5996">
            <w:pPr>
              <w:widowControl w:val="0"/>
              <w:kinsoku/>
              <w:autoSpaceDE/>
              <w:autoSpaceDN/>
              <w:adjustRightInd/>
              <w:snapToGrid/>
              <w:spacing w:after="0" w:line="240" w:lineRule="auto"/>
              <w:jc w:val="both"/>
              <w:textAlignment w:val="auto"/>
              <w:rPr>
                <w:rFonts w:hint="eastAsia" w:ascii="宋体" w:hAnsi="宋体" w:eastAsia="宋体" w:cs="Times New Roman"/>
                <w:b w:val="0"/>
                <w:bCs w:val="0"/>
                <w:snapToGrid/>
                <w:color w:val="auto"/>
                <w:kern w:val="2"/>
                <w:sz w:val="21"/>
                <w:szCs w:val="21"/>
                <w:highlight w:val="none"/>
                <w:lang w:eastAsia="zh-CN"/>
                <w14:ligatures w14:val="none"/>
              </w:rPr>
            </w:pPr>
            <w:r>
              <w:rPr>
                <w:rFonts w:hint="eastAsia" w:ascii="宋体" w:hAnsi="宋体" w:eastAsia="宋体" w:cs="Times New Roman"/>
                <w:b w:val="0"/>
                <w:bCs w:val="0"/>
                <w:snapToGrid/>
                <w:color w:val="auto"/>
                <w:kern w:val="2"/>
                <w:sz w:val="21"/>
                <w:szCs w:val="21"/>
                <w:highlight w:val="none"/>
                <w:lang w:val="en-US" w:eastAsia="zh-CN"/>
                <w14:ligatures w14:val="none"/>
              </w:rPr>
              <w:t>4、</w:t>
            </w:r>
            <w:r>
              <w:rPr>
                <w:rFonts w:hint="eastAsia" w:ascii="宋体" w:hAnsi="宋体" w:cs="Times New Roman"/>
                <w:b w:val="0"/>
                <w:bCs w:val="0"/>
                <w:snapToGrid/>
                <w:color w:val="auto"/>
                <w:kern w:val="2"/>
                <w:sz w:val="21"/>
                <w:szCs w:val="21"/>
                <w:highlight w:val="none"/>
                <w:lang w:val="en-US" w:eastAsia="zh-CN"/>
                <w14:ligatures w14:val="none"/>
              </w:rPr>
              <w:t>类似</w:t>
            </w:r>
            <w:r>
              <w:rPr>
                <w:rFonts w:hint="eastAsia" w:ascii="宋体" w:hAnsi="宋体" w:eastAsia="宋体" w:cs="Times New Roman"/>
                <w:b w:val="0"/>
                <w:bCs w:val="0"/>
                <w:snapToGrid/>
                <w:color w:val="auto"/>
                <w:kern w:val="2"/>
                <w:sz w:val="21"/>
                <w:szCs w:val="21"/>
                <w:highlight w:val="none"/>
                <w:lang w:eastAsia="zh-CN"/>
                <w14:ligatures w14:val="none"/>
              </w:rPr>
              <w:t>业绩须提供证明材料，包括中标通知书（或施工合同）或采购人（甲方）出具的相关证明材料，及由建设方、施工方、监理方、设计方盖章认可的竣工验收证明，否则不计分。</w:t>
            </w:r>
          </w:p>
          <w:p w14:paraId="5EF6D6AE">
            <w:pPr>
              <w:pStyle w:val="63"/>
              <w:rPr>
                <w:rFonts w:hint="eastAsia"/>
                <w:color w:val="auto"/>
                <w:highlight w:val="none"/>
                <w:lang w:val="en-US" w:eastAsia="zh-CN"/>
              </w:rPr>
            </w:pPr>
            <w:r>
              <w:rPr>
                <w:rFonts w:hint="eastAsia" w:ascii="宋体" w:hAnsi="宋体" w:eastAsia="宋体" w:cs="Times New Roman"/>
                <w:b w:val="0"/>
                <w:bCs w:val="0"/>
                <w:snapToGrid/>
                <w:color w:val="auto"/>
                <w:kern w:val="2"/>
                <w:sz w:val="21"/>
                <w:szCs w:val="21"/>
                <w:highlight w:val="none"/>
                <w:lang w:val="en-US" w:eastAsia="zh-CN"/>
                <w14:ligatures w14:val="none"/>
              </w:rPr>
              <w:t>5、</w:t>
            </w:r>
            <w:r>
              <w:rPr>
                <w:rFonts w:hint="eastAsia" w:ascii="宋体" w:hAnsi="宋体" w:eastAsia="宋体" w:cs="Times New Roman"/>
                <w:b w:val="0"/>
                <w:bCs w:val="0"/>
                <w:snapToGrid/>
                <w:color w:val="auto"/>
                <w:kern w:val="2"/>
                <w:sz w:val="21"/>
                <w:szCs w:val="21"/>
                <w:highlight w:val="none"/>
                <w:lang w:eastAsia="zh-CN"/>
                <w14:ligatures w14:val="none"/>
              </w:rPr>
              <w:t>似项目业绩为：近3年（1095天）的</w:t>
            </w:r>
            <w:r>
              <w:rPr>
                <w:rFonts w:hint="eastAsia" w:ascii="宋体" w:hAnsi="宋体" w:cs="Times New Roman"/>
                <w:b w:val="0"/>
                <w:bCs w:val="0"/>
                <w:snapToGrid/>
                <w:color w:val="auto"/>
                <w:kern w:val="2"/>
                <w:sz w:val="21"/>
                <w:szCs w:val="21"/>
                <w:highlight w:val="none"/>
                <w:lang w:val="en-US" w:eastAsia="zh-CN"/>
                <w14:ligatures w14:val="none"/>
              </w:rPr>
              <w:t>类似项目业绩</w:t>
            </w:r>
            <w:r>
              <w:rPr>
                <w:rFonts w:hint="eastAsia" w:ascii="宋体" w:hAnsi="宋体" w:eastAsia="宋体" w:cs="Times New Roman"/>
                <w:b w:val="0"/>
                <w:bCs w:val="0"/>
                <w:snapToGrid/>
                <w:color w:val="auto"/>
                <w:kern w:val="2"/>
                <w:sz w:val="21"/>
                <w:szCs w:val="21"/>
                <w:highlight w:val="none"/>
                <w:lang w:eastAsia="zh-CN"/>
                <w14:ligatures w14:val="none"/>
              </w:rPr>
              <w:t>（自竣工验收签字之日起至提交响应文件截止之日止。须提供中标通知书（或施工合同）或采购人（甲方）出具的相关证明材料，及竣工验收证明。类似工程业绩时间以竣工验收证明上建设单位签字时间为准），如工程业绩为总包单位范围内的专业工程依法分包的，仅计算对应分包单位的类似工程业绩，总包单位不计算该类似项目工程业绩。</w:t>
            </w:r>
          </w:p>
        </w:tc>
      </w:tr>
    </w:tbl>
    <w:p w14:paraId="3C41A794">
      <w:pPr>
        <w:keepNext w:val="0"/>
        <w:keepLines w:val="0"/>
        <w:pageBreakBefore w:val="0"/>
        <w:widowControl w:val="0"/>
        <w:numPr>
          <w:ilvl w:val="0"/>
          <w:numId w:val="3"/>
        </w:numPr>
        <w:kinsoku/>
        <w:wordWrap/>
        <w:overflowPunct/>
        <w:topLinePunct w:val="0"/>
        <w:autoSpaceDE/>
        <w:autoSpaceDN/>
        <w:bidi w:val="0"/>
        <w:adjustRightInd w:val="0"/>
        <w:snapToGrid w:val="0"/>
        <w:spacing w:line="440" w:lineRule="exact"/>
        <w:textAlignment w:val="auto"/>
        <w:outlineLvl w:val="1"/>
        <w:rPr>
          <w:rFonts w:asciiTheme="minorEastAsia" w:hAnsiTheme="minorEastAsia" w:eastAsiaTheme="minorEastAsia" w:cstheme="minorEastAsia"/>
          <w:color w:val="auto"/>
          <w:szCs w:val="21"/>
          <w:highlight w:val="none"/>
        </w:rPr>
      </w:pPr>
      <w:bookmarkStart w:id="67" w:name="_Toc32433"/>
      <w:bookmarkStart w:id="68" w:name="_Toc17538"/>
      <w:bookmarkStart w:id="69" w:name="_Toc12809"/>
      <w:bookmarkStart w:id="70" w:name="_Toc6810"/>
      <w:bookmarkStart w:id="71" w:name="_Toc22540"/>
      <w:bookmarkStart w:id="72" w:name="_Toc27253"/>
      <w:bookmarkStart w:id="73" w:name="_Toc29054"/>
      <w:r>
        <w:rPr>
          <w:rFonts w:hint="eastAsia" w:asciiTheme="minorEastAsia" w:hAnsiTheme="minorEastAsia" w:eastAsiaTheme="minorEastAsia" w:cstheme="minorEastAsia"/>
          <w:b/>
          <w:color w:val="auto"/>
          <w:szCs w:val="21"/>
          <w:highlight w:val="none"/>
        </w:rPr>
        <w:t>推荐成交候选人名单</w:t>
      </w:r>
      <w:bookmarkEnd w:id="67"/>
    </w:p>
    <w:p w14:paraId="0982D2D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color w:val="auto"/>
          <w:szCs w:val="21"/>
          <w:highlight w:val="none"/>
        </w:rPr>
        <w:t>4.1按评审后得分由高到低顺序排列。得分相同的，按最终报价由低到高顺序排列。得分且最终报价相同的，按技术指标优劣顺序排列。</w:t>
      </w:r>
    </w:p>
    <w:p w14:paraId="7E1CB2AD">
      <w:pPr>
        <w:rPr>
          <w:color w:val="auto"/>
          <w:highlight w:val="none"/>
        </w:rPr>
      </w:pPr>
      <w:r>
        <w:rPr>
          <w:rFonts w:hint="eastAsia"/>
          <w:color w:val="auto"/>
          <w:highlight w:val="none"/>
        </w:rPr>
        <w:br w:type="page"/>
      </w:r>
    </w:p>
    <w:p w14:paraId="5675A3C1">
      <w:pPr>
        <w:pStyle w:val="61"/>
        <w:rPr>
          <w:color w:val="auto"/>
          <w:highlight w:val="none"/>
        </w:rPr>
      </w:pPr>
    </w:p>
    <w:p w14:paraId="3C4F4E71">
      <w:pPr>
        <w:pStyle w:val="2"/>
        <w:rPr>
          <w:color w:val="auto"/>
          <w:highlight w:val="none"/>
        </w:rPr>
      </w:pPr>
      <w:bookmarkStart w:id="74" w:name="_Toc20537"/>
      <w:r>
        <w:rPr>
          <w:rFonts w:hint="eastAsia"/>
          <w:color w:val="auto"/>
          <w:highlight w:val="none"/>
        </w:rPr>
        <w:t>第四章 政府采购合同</w:t>
      </w:r>
      <w:bookmarkEnd w:id="68"/>
      <w:bookmarkEnd w:id="69"/>
      <w:bookmarkEnd w:id="70"/>
      <w:bookmarkEnd w:id="71"/>
      <w:bookmarkEnd w:id="72"/>
      <w:bookmarkEnd w:id="73"/>
      <w:r>
        <w:rPr>
          <w:rFonts w:hint="eastAsia"/>
          <w:color w:val="auto"/>
          <w:highlight w:val="none"/>
        </w:rPr>
        <w:t>格式</w:t>
      </w:r>
      <w:bookmarkEnd w:id="74"/>
    </w:p>
    <w:p w14:paraId="21EC44A5">
      <w:pPr>
        <w:pStyle w:val="3"/>
        <w:jc w:val="center"/>
        <w:outlineLvl w:val="9"/>
        <w:rPr>
          <w:color w:val="auto"/>
          <w:highlight w:val="none"/>
        </w:rPr>
      </w:pPr>
      <w:bookmarkStart w:id="75" w:name="_Toc19689"/>
      <w:bookmarkStart w:id="76" w:name="_Toc17490"/>
      <w:bookmarkStart w:id="77" w:name="_Toc22201110"/>
      <w:bookmarkStart w:id="78" w:name="_Toc13515"/>
      <w:bookmarkStart w:id="79" w:name="_Toc29538911"/>
      <w:bookmarkStart w:id="80" w:name="_Toc14700"/>
      <w:bookmarkStart w:id="81" w:name="_Toc18246"/>
      <w:bookmarkStart w:id="82" w:name="_Toc16769"/>
    </w:p>
    <w:bookmarkEnd w:id="75"/>
    <w:bookmarkEnd w:id="76"/>
    <w:bookmarkEnd w:id="77"/>
    <w:bookmarkEnd w:id="78"/>
    <w:bookmarkEnd w:id="79"/>
    <w:bookmarkEnd w:id="80"/>
    <w:bookmarkEnd w:id="81"/>
    <w:bookmarkEnd w:id="82"/>
    <w:p w14:paraId="0166789A">
      <w:pPr>
        <w:keepNext/>
        <w:keepLines/>
        <w:adjustRightInd w:val="0"/>
        <w:snapToGrid w:val="0"/>
        <w:spacing w:beforeLines="50" w:line="360" w:lineRule="auto"/>
        <w:ind w:firstLine="138"/>
        <w:jc w:val="center"/>
        <w:outlineLvl w:val="1"/>
        <w:rPr>
          <w:rFonts w:ascii="黑体" w:hAnsi="华文中宋" w:eastAsia="黑体"/>
          <w:b/>
          <w:bCs/>
          <w:color w:val="auto"/>
          <w:sz w:val="28"/>
          <w:szCs w:val="28"/>
          <w:highlight w:val="none"/>
        </w:rPr>
      </w:pPr>
      <w:bookmarkStart w:id="83" w:name="_Toc10877"/>
      <w:bookmarkStart w:id="84" w:name="_Toc10693"/>
      <w:bookmarkStart w:id="85" w:name="_Toc28848"/>
      <w:bookmarkStart w:id="86" w:name="_Toc27247"/>
      <w:bookmarkStart w:id="87" w:name="_Toc30309"/>
      <w:bookmarkStart w:id="88" w:name="_Toc539"/>
      <w:bookmarkStart w:id="89" w:name="_Toc2181"/>
      <w:bookmarkStart w:id="90" w:name="_Toc30111"/>
      <w:r>
        <w:rPr>
          <w:rFonts w:hint="eastAsia" w:ascii="黑体" w:hAnsi="华文中宋" w:eastAsia="黑体"/>
          <w:b/>
          <w:bCs/>
          <w:color w:val="auto"/>
          <w:sz w:val="28"/>
          <w:szCs w:val="28"/>
          <w:highlight w:val="none"/>
        </w:rPr>
        <w:t>第一节 合同协议书</w:t>
      </w:r>
      <w:bookmarkEnd w:id="83"/>
    </w:p>
    <w:p w14:paraId="6B38FA36">
      <w:pPr>
        <w:adjustRightInd w:val="0"/>
        <w:snapToGrid w:val="0"/>
        <w:spacing w:beforeLines="50" w:line="360" w:lineRule="auto"/>
        <w:ind w:firstLine="5460" w:firstLineChars="2600"/>
        <w:rPr>
          <w:rFonts w:ascii="宋体" w:hAnsi="宋体"/>
          <w:b/>
          <w:color w:val="auto"/>
          <w:szCs w:val="21"/>
          <w:highlight w:val="none"/>
        </w:rPr>
      </w:pPr>
      <w:r>
        <w:rPr>
          <w:rFonts w:hint="eastAsia" w:ascii="宋体" w:hAnsi="宋体"/>
          <w:color w:val="auto"/>
          <w:szCs w:val="21"/>
          <w:highlight w:val="none"/>
        </w:rPr>
        <w:t>采购合同编号：</w:t>
      </w:r>
    </w:p>
    <w:p w14:paraId="14709939">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采购人（全称）：</w:t>
      </w:r>
      <w:r>
        <w:rPr>
          <w:rFonts w:hint="eastAsia" w:ascii="宋体" w:hAnsi="宋体"/>
          <w:color w:val="auto"/>
          <w:szCs w:val="21"/>
          <w:highlight w:val="none"/>
          <w:u w:val="single"/>
        </w:rPr>
        <w:t xml:space="preserve">                             </w:t>
      </w:r>
      <w:r>
        <w:rPr>
          <w:rFonts w:hint="eastAsia" w:ascii="宋体" w:hAnsi="宋体"/>
          <w:color w:val="auto"/>
          <w:szCs w:val="21"/>
          <w:highlight w:val="none"/>
        </w:rPr>
        <w:t>（甲方）</w:t>
      </w:r>
    </w:p>
    <w:p w14:paraId="09987DD2">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供应商（全称）：</w:t>
      </w:r>
      <w:r>
        <w:rPr>
          <w:rFonts w:hint="eastAsia" w:ascii="宋体" w:hAnsi="宋体"/>
          <w:color w:val="auto"/>
          <w:szCs w:val="21"/>
          <w:highlight w:val="none"/>
          <w:u w:val="single"/>
        </w:rPr>
        <w:t xml:space="preserve">                             </w:t>
      </w:r>
      <w:r>
        <w:rPr>
          <w:rFonts w:hint="eastAsia" w:ascii="宋体" w:hAnsi="宋体"/>
          <w:color w:val="auto"/>
          <w:szCs w:val="21"/>
          <w:highlight w:val="none"/>
        </w:rPr>
        <w:t>（乙方）</w:t>
      </w:r>
    </w:p>
    <w:p w14:paraId="54A61BBA">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为了保护甲、乙双方合法权益，根据《中华人民共和国民法典》、《中华人民共和国政府采购法》及其他有关法律、法规、规章，双方签订本合同协议书。</w:t>
      </w:r>
    </w:p>
    <w:p w14:paraId="5EB50923">
      <w:pPr>
        <w:adjustRightInd w:val="0"/>
        <w:snapToGrid w:val="0"/>
        <w:spacing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1.项目信息</w:t>
      </w:r>
    </w:p>
    <w:p w14:paraId="1C0A860A">
      <w:pPr>
        <w:adjustRightInd w:val="0"/>
        <w:snapToGrid w:val="0"/>
        <w:spacing w:beforeLines="50" w:line="360" w:lineRule="auto"/>
        <w:ind w:left="420" w:leftChars="200"/>
        <w:rPr>
          <w:rFonts w:ascii="宋体" w:hAnsi="宋体"/>
          <w:color w:val="auto"/>
          <w:szCs w:val="21"/>
          <w:highlight w:val="none"/>
        </w:rPr>
      </w:pPr>
      <w:r>
        <w:rPr>
          <w:rFonts w:hint="eastAsia" w:ascii="宋体" w:hAnsi="宋体"/>
          <w:color w:val="auto"/>
          <w:szCs w:val="21"/>
          <w:highlight w:val="none"/>
        </w:rPr>
        <w:t>（1）采购项目名称：</w:t>
      </w:r>
      <w:r>
        <w:rPr>
          <w:rFonts w:ascii="宋体" w:hAnsi="宋体"/>
          <w:color w:val="auto"/>
          <w:szCs w:val="21"/>
          <w:highlight w:val="none"/>
          <w:u w:val="single"/>
        </w:rPr>
        <w:t xml:space="preserve">                                          </w:t>
      </w:r>
    </w:p>
    <w:p w14:paraId="74148AD0">
      <w:pPr>
        <w:adjustRightInd w:val="0"/>
        <w:snapToGrid w:val="0"/>
        <w:spacing w:beforeLines="50" w:line="360" w:lineRule="auto"/>
        <w:ind w:left="420" w:leftChars="200"/>
        <w:rPr>
          <w:rFonts w:ascii="宋体" w:hAnsi="宋体"/>
          <w:color w:val="auto"/>
          <w:szCs w:val="21"/>
          <w:highlight w:val="none"/>
        </w:rPr>
      </w:pPr>
      <w:r>
        <w:rPr>
          <w:rFonts w:hint="eastAsia" w:ascii="宋体" w:hAnsi="宋体"/>
          <w:color w:val="auto"/>
          <w:szCs w:val="21"/>
          <w:highlight w:val="none"/>
        </w:rPr>
        <w:t>（2）政府采购计划编号：</w:t>
      </w:r>
      <w:r>
        <w:rPr>
          <w:rFonts w:ascii="宋体" w:hAnsi="宋体"/>
          <w:color w:val="auto"/>
          <w:szCs w:val="21"/>
          <w:highlight w:val="none"/>
          <w:u w:val="single"/>
        </w:rPr>
        <w:t xml:space="preserve">                          </w:t>
      </w:r>
      <w:r>
        <w:rPr>
          <w:rFonts w:ascii="宋体" w:hAnsi="宋体"/>
          <w:color w:val="auto"/>
          <w:szCs w:val="21"/>
          <w:highlight w:val="none"/>
        </w:rPr>
        <w:t xml:space="preserve"> </w:t>
      </w:r>
    </w:p>
    <w:p w14:paraId="4CBF154E">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（3）项目内容：</w:t>
      </w:r>
      <w:r>
        <w:rPr>
          <w:rFonts w:hint="eastAsia" w:ascii="宋体" w:hAnsi="宋体"/>
          <w:color w:val="auto"/>
          <w:szCs w:val="21"/>
          <w:highlight w:val="none"/>
          <w:u w:val="single"/>
        </w:rPr>
        <w:t xml:space="preserve">                             </w:t>
      </w:r>
    </w:p>
    <w:p w14:paraId="71A3238D">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（4）是否分包：</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1E49028">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（5）项目负责人：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2C0F634">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（6）联系电话：</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17AFB8A">
      <w:pPr>
        <w:adjustRightInd w:val="0"/>
        <w:snapToGrid w:val="0"/>
        <w:spacing w:beforeLines="50" w:line="360" w:lineRule="auto"/>
        <w:ind w:firstLine="413" w:firstLineChars="196"/>
        <w:rPr>
          <w:rFonts w:ascii="宋体" w:hAnsi="宋体"/>
          <w:b/>
          <w:color w:val="auto"/>
          <w:szCs w:val="21"/>
          <w:highlight w:val="none"/>
        </w:rPr>
      </w:pPr>
      <w:r>
        <w:rPr>
          <w:rFonts w:hint="eastAsia" w:ascii="宋体" w:hAnsi="宋体"/>
          <w:b/>
          <w:color w:val="auto"/>
          <w:szCs w:val="21"/>
          <w:highlight w:val="none"/>
        </w:rPr>
        <w:t>2.合同金额</w:t>
      </w:r>
    </w:p>
    <w:p w14:paraId="7DD025A8">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（1）合同金额小写：</w:t>
      </w:r>
      <w:r>
        <w:rPr>
          <w:rFonts w:hint="eastAsia" w:ascii="宋体" w:hAnsi="宋体"/>
          <w:color w:val="auto"/>
          <w:szCs w:val="21"/>
          <w:highlight w:val="none"/>
          <w:u w:val="single"/>
        </w:rPr>
        <w:t xml:space="preserve">                      </w:t>
      </w:r>
    </w:p>
    <w:p w14:paraId="79364A43">
      <w:pPr>
        <w:adjustRightInd w:val="0"/>
        <w:snapToGrid w:val="0"/>
        <w:spacing w:beforeLines="50" w:line="360" w:lineRule="auto"/>
        <w:ind w:firstLine="1260" w:firstLineChars="600"/>
        <w:rPr>
          <w:rFonts w:ascii="宋体" w:hAnsi="宋体"/>
          <w:b/>
          <w:color w:val="auto"/>
          <w:szCs w:val="21"/>
          <w:highlight w:val="none"/>
        </w:rPr>
      </w:pPr>
      <w:r>
        <w:rPr>
          <w:rFonts w:hint="eastAsia" w:ascii="宋体" w:hAnsi="宋体"/>
          <w:color w:val="auto"/>
          <w:szCs w:val="21"/>
          <w:highlight w:val="none"/>
        </w:rPr>
        <w:t>大写：</w:t>
      </w:r>
      <w:r>
        <w:rPr>
          <w:rFonts w:hint="eastAsia" w:ascii="宋体" w:hAnsi="宋体"/>
          <w:color w:val="auto"/>
          <w:szCs w:val="21"/>
          <w:highlight w:val="none"/>
          <w:u w:val="single"/>
        </w:rPr>
        <w:t xml:space="preserve">                      </w:t>
      </w:r>
    </w:p>
    <w:p w14:paraId="2C65099A">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（2）具体标的见附件。</w:t>
      </w:r>
    </w:p>
    <w:p w14:paraId="24D42789">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（3）合同定价方式：</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固定总价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固定单价 </w:t>
      </w:r>
      <w:r>
        <w:rPr>
          <w:rFonts w:hint="eastAsia" w:ascii="宋体" w:hAnsi="宋体"/>
          <w:iCs/>
          <w:color w:val="auto"/>
          <w:szCs w:val="21"/>
          <w:highlight w:val="none"/>
        </w:rPr>
        <w:sym w:font="Wingdings" w:char="00A8"/>
      </w:r>
      <w:r>
        <w:rPr>
          <w:rFonts w:hint="eastAsia" w:ascii="宋体" w:hAnsi="宋体"/>
          <w:iCs/>
          <w:color w:val="auto"/>
          <w:szCs w:val="21"/>
          <w:highlight w:val="none"/>
        </w:rPr>
        <w:t xml:space="preserve">成本补偿 </w:t>
      </w:r>
      <w:r>
        <w:rPr>
          <w:rFonts w:hint="eastAsia" w:ascii="宋体" w:hAnsi="宋体"/>
          <w:iCs/>
          <w:color w:val="auto"/>
          <w:szCs w:val="21"/>
          <w:highlight w:val="none"/>
        </w:rPr>
        <w:sym w:font="Wingdings" w:char="00A8"/>
      </w:r>
      <w:r>
        <w:rPr>
          <w:rFonts w:hint="eastAsia" w:ascii="宋体" w:hAnsi="宋体"/>
          <w:iCs/>
          <w:color w:val="auto"/>
          <w:szCs w:val="21"/>
          <w:highlight w:val="none"/>
        </w:rPr>
        <w:t>绩效激励</w:t>
      </w:r>
    </w:p>
    <w:p w14:paraId="66F2FDA9">
      <w:pPr>
        <w:spacing w:line="360" w:lineRule="auto"/>
        <w:ind w:firstLine="420" w:firstLineChars="200"/>
        <w:rPr>
          <w:color w:val="auto"/>
          <w:szCs w:val="21"/>
          <w:highlight w:val="none"/>
        </w:rPr>
      </w:pPr>
      <w:r>
        <w:rPr>
          <w:rFonts w:hint="eastAsia" w:ascii="宋体" w:hAnsi="宋体"/>
          <w:color w:val="auto"/>
          <w:szCs w:val="21"/>
          <w:highlight w:val="none"/>
        </w:rPr>
        <w:t>（4）付款方式（按项目实际勾选填写）：</w:t>
      </w:r>
    </w:p>
    <w:p w14:paraId="02F03922">
      <w:pPr>
        <w:adjustRightInd w:val="0"/>
        <w:snapToGrid w:val="0"/>
        <w:spacing w:beforeLines="50" w:line="360" w:lineRule="auto"/>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全额付款：</w:t>
      </w:r>
      <w:r>
        <w:rPr>
          <w:rFonts w:hint="eastAsia" w:ascii="宋体" w:hAnsi="宋体"/>
          <w:color w:val="auto"/>
          <w:szCs w:val="21"/>
          <w:highlight w:val="none"/>
          <w:u w:val="single"/>
        </w:rPr>
        <w:t xml:space="preserve">     （应一次性支付全部合同款项）                    </w:t>
      </w:r>
    </w:p>
    <w:p w14:paraId="0AE7220B">
      <w:pPr>
        <w:adjustRightInd w:val="0"/>
        <w:snapToGrid w:val="0"/>
        <w:spacing w:beforeLines="50" w:line="360" w:lineRule="auto"/>
        <w:ind w:firstLine="630" w:firstLineChars="300"/>
        <w:rPr>
          <w:rFonts w:ascii="宋体" w:hAnsi="宋体"/>
          <w:color w:val="auto"/>
          <w:szCs w:val="21"/>
          <w:highlight w:val="none"/>
          <w:u w:val="single"/>
        </w:rPr>
      </w:pPr>
      <w:r>
        <w:rPr>
          <w:rFonts w:hint="eastAsia" w:ascii="宋体" w:hAnsi="宋体"/>
          <w:color w:val="auto"/>
          <w:szCs w:val="21"/>
          <w:highlight w:val="none"/>
        </w:rPr>
        <w:sym w:font="Wingdings" w:char="00A8"/>
      </w:r>
      <w:r>
        <w:rPr>
          <w:rFonts w:hint="eastAsia" w:ascii="宋体" w:hAnsi="宋体"/>
          <w:color w:val="auto"/>
          <w:szCs w:val="21"/>
          <w:highlight w:val="none"/>
        </w:rPr>
        <w:t>预付款：</w:t>
      </w:r>
      <w:r>
        <w:rPr>
          <w:rFonts w:hint="eastAsia" w:ascii="宋体" w:hAnsi="宋体"/>
          <w:color w:val="auto"/>
          <w:szCs w:val="21"/>
          <w:highlight w:val="none"/>
          <w:u w:val="single"/>
        </w:rPr>
        <w:t xml:space="preserve">    （应明确预付款的支付比例和支付条件）               </w:t>
      </w:r>
    </w:p>
    <w:p w14:paraId="30F70AC7">
      <w:pPr>
        <w:adjustRightInd w:val="0"/>
        <w:snapToGrid w:val="0"/>
        <w:spacing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分期付款：</w:t>
      </w:r>
      <w:r>
        <w:rPr>
          <w:rFonts w:hint="eastAsia" w:ascii="宋体" w:hAnsi="宋体"/>
          <w:color w:val="auto"/>
          <w:szCs w:val="21"/>
          <w:highlight w:val="none"/>
          <w:u w:val="single"/>
        </w:rPr>
        <w:t xml:space="preserve">     （应按照季度分期支付合同款项）                   </w:t>
      </w:r>
    </w:p>
    <w:p w14:paraId="43DF6C20">
      <w:pPr>
        <w:adjustRightInd w:val="0"/>
        <w:snapToGrid w:val="0"/>
        <w:spacing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成本补偿：</w:t>
      </w:r>
      <w:r>
        <w:rPr>
          <w:rFonts w:hint="eastAsia" w:ascii="宋体" w:hAnsi="宋体"/>
          <w:color w:val="auto"/>
          <w:szCs w:val="21"/>
          <w:highlight w:val="none"/>
          <w:u w:val="single"/>
        </w:rPr>
        <w:t xml:space="preserve">      （应明确按照成本补偿方式的支付方式和支付条件）   </w:t>
      </w:r>
    </w:p>
    <w:p w14:paraId="66C33EF3">
      <w:pPr>
        <w:adjustRightInd w:val="0"/>
        <w:snapToGrid w:val="0"/>
        <w:spacing w:beforeLines="50" w:line="360" w:lineRule="auto"/>
        <w:ind w:firstLine="630" w:firstLineChars="300"/>
        <w:rPr>
          <w:rFonts w:ascii="宋体" w:hAnsi="宋体"/>
          <w:color w:val="auto"/>
          <w:szCs w:val="21"/>
          <w:highlight w:val="none"/>
        </w:rPr>
      </w:pPr>
      <w:r>
        <w:rPr>
          <w:rFonts w:hint="eastAsia" w:ascii="宋体" w:hAnsi="宋体"/>
          <w:color w:val="auto"/>
          <w:szCs w:val="21"/>
          <w:highlight w:val="none"/>
        </w:rPr>
        <w:sym w:font="Wingdings" w:char="00A8"/>
      </w:r>
      <w:r>
        <w:rPr>
          <w:rFonts w:hint="eastAsia" w:ascii="宋体" w:hAnsi="宋体"/>
          <w:color w:val="auto"/>
          <w:szCs w:val="21"/>
          <w:highlight w:val="none"/>
        </w:rPr>
        <w:t>绩效激励：</w:t>
      </w:r>
      <w:r>
        <w:rPr>
          <w:rFonts w:hint="eastAsia" w:ascii="宋体" w:hAnsi="宋体"/>
          <w:color w:val="auto"/>
          <w:szCs w:val="21"/>
          <w:highlight w:val="none"/>
          <w:u w:val="single"/>
        </w:rPr>
        <w:t xml:space="preserve">      （应明确按照绩效激励方式的支付方式和支付条件）   </w:t>
      </w:r>
    </w:p>
    <w:p w14:paraId="2EACF9E4">
      <w:pPr>
        <w:adjustRightInd w:val="0"/>
        <w:snapToGrid w:val="0"/>
        <w:spacing w:beforeLines="50" w:line="360" w:lineRule="auto"/>
        <w:ind w:firstLine="422" w:firstLineChars="200"/>
        <w:rPr>
          <w:rFonts w:ascii="宋体" w:hAnsi="宋体"/>
          <w:color w:val="auto"/>
          <w:szCs w:val="21"/>
          <w:highlight w:val="none"/>
          <w:u w:val="single"/>
        </w:rPr>
      </w:pPr>
      <w:r>
        <w:rPr>
          <w:rFonts w:hint="eastAsia" w:ascii="宋体" w:hAnsi="宋体"/>
          <w:b/>
          <w:color w:val="auto"/>
          <w:szCs w:val="21"/>
          <w:highlight w:val="none"/>
        </w:rPr>
        <w:t>3.合同履行</w:t>
      </w:r>
    </w:p>
    <w:p w14:paraId="0121A767">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（1）起始日期：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日，完成日期：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日。总日历天数：</w:t>
      </w:r>
      <w:r>
        <w:rPr>
          <w:rFonts w:hint="eastAsia" w:ascii="宋体" w:hAnsi="宋体"/>
          <w:color w:val="auto"/>
          <w:szCs w:val="21"/>
          <w:highlight w:val="none"/>
          <w:u w:val="single"/>
        </w:rPr>
        <w:t xml:space="preserve">     </w:t>
      </w:r>
      <w:r>
        <w:rPr>
          <w:rFonts w:hint="eastAsia" w:ascii="宋体" w:hAnsi="宋体"/>
          <w:color w:val="auto"/>
          <w:szCs w:val="21"/>
          <w:highlight w:val="none"/>
        </w:rPr>
        <w:t>天。</w:t>
      </w:r>
    </w:p>
    <w:p w14:paraId="706E0252">
      <w:pPr>
        <w:adjustRightInd w:val="0"/>
        <w:snapToGrid w:val="0"/>
        <w:spacing w:beforeLines="50"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（2）地点</w:t>
      </w:r>
      <w:r>
        <w:rPr>
          <w:rFonts w:hint="eastAsia" w:ascii="宋体" w:hAnsi="宋体"/>
          <w:b/>
          <w:color w:val="auto"/>
          <w:szCs w:val="21"/>
          <w:highlight w:val="none"/>
        </w:rPr>
        <w:t>：</w:t>
      </w:r>
      <w:r>
        <w:rPr>
          <w:rFonts w:hint="eastAsia" w:ascii="宋体" w:hAnsi="宋体"/>
          <w:color w:val="auto"/>
          <w:szCs w:val="21"/>
          <w:highlight w:val="none"/>
          <w:u w:val="single"/>
        </w:rPr>
        <w:t xml:space="preserve">                             </w:t>
      </w:r>
    </w:p>
    <w:p w14:paraId="6A25C328">
      <w:pPr>
        <w:adjustRightInd w:val="0"/>
        <w:snapToGrid w:val="0"/>
        <w:spacing w:beforeLines="50"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（3）方式：</w:t>
      </w:r>
      <w:r>
        <w:rPr>
          <w:rFonts w:hint="eastAsia" w:ascii="宋体" w:hAnsi="宋体"/>
          <w:color w:val="auto"/>
          <w:szCs w:val="21"/>
          <w:highlight w:val="none"/>
          <w:u w:val="single"/>
        </w:rPr>
        <w:t xml:space="preserve">                             </w:t>
      </w:r>
    </w:p>
    <w:p w14:paraId="24178CD4">
      <w:pPr>
        <w:adjustRightInd w:val="0"/>
        <w:snapToGrid w:val="0"/>
        <w:spacing w:beforeLines="50"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（4）履约担保：</w:t>
      </w:r>
      <w:r>
        <w:rPr>
          <w:rFonts w:hint="eastAsia" w:ascii="宋体" w:hAnsi="宋体"/>
          <w:bCs/>
          <w:color w:val="auto"/>
          <w:szCs w:val="21"/>
          <w:highlight w:val="none"/>
          <w:u w:val="single"/>
        </w:rPr>
        <w:t>履约担保的金额、形式和期限要求</w:t>
      </w:r>
      <w:r>
        <w:rPr>
          <w:rFonts w:hint="eastAsia" w:ascii="宋体" w:hAnsi="宋体"/>
          <w:bCs/>
          <w:color w:val="auto"/>
          <w:szCs w:val="21"/>
          <w:highlight w:val="none"/>
        </w:rPr>
        <w:t>。</w:t>
      </w:r>
    </w:p>
    <w:p w14:paraId="363650B2">
      <w:pPr>
        <w:adjustRightInd w:val="0"/>
        <w:snapToGrid w:val="0"/>
        <w:spacing w:beforeLines="50"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（5）质量保证金：</w:t>
      </w:r>
      <w:r>
        <w:rPr>
          <w:rFonts w:hint="eastAsia" w:ascii="宋体" w:hAnsi="宋体"/>
          <w:bCs/>
          <w:color w:val="auto"/>
          <w:szCs w:val="21"/>
          <w:highlight w:val="none"/>
          <w:u w:val="single"/>
        </w:rPr>
        <w:t>质量保证金的金额、形式和期限要求</w:t>
      </w:r>
      <w:r>
        <w:rPr>
          <w:rFonts w:hint="eastAsia" w:ascii="宋体" w:hAnsi="宋体"/>
          <w:bCs/>
          <w:color w:val="auto"/>
          <w:szCs w:val="21"/>
          <w:highlight w:val="none"/>
        </w:rPr>
        <w:t>。</w:t>
      </w:r>
    </w:p>
    <w:p w14:paraId="5101FFBA">
      <w:pPr>
        <w:adjustRightInd w:val="0"/>
        <w:snapToGrid w:val="0"/>
        <w:spacing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4.合同验收</w:t>
      </w:r>
    </w:p>
    <w:p w14:paraId="5C995804">
      <w:pPr>
        <w:adjustRightInd w:val="0"/>
        <w:snapToGrid w:val="0"/>
        <w:spacing w:beforeLines="50"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（1）验收主体：</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3AEF579B">
      <w:pPr>
        <w:adjustRightInd w:val="0"/>
        <w:snapToGrid w:val="0"/>
        <w:spacing w:beforeLines="50"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（2）验收方式：</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7D618B92">
      <w:pPr>
        <w:adjustRightInd w:val="0"/>
        <w:snapToGrid w:val="0"/>
        <w:spacing w:beforeLines="50"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（3）验收标准：</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4A98D051">
      <w:pPr>
        <w:adjustRightInd w:val="0"/>
        <w:snapToGrid w:val="0"/>
        <w:spacing w:beforeLines="50" w:line="360" w:lineRule="auto"/>
        <w:ind w:firstLine="422" w:firstLineChars="200"/>
        <w:rPr>
          <w:rFonts w:ascii="宋体" w:hAnsi="宋体"/>
          <w:b/>
          <w:color w:val="auto"/>
          <w:szCs w:val="21"/>
          <w:highlight w:val="none"/>
        </w:rPr>
      </w:pPr>
      <w:r>
        <w:rPr>
          <w:rFonts w:hint="eastAsia" w:ascii="宋体" w:hAnsi="宋体"/>
          <w:b/>
          <w:color w:val="auto"/>
          <w:szCs w:val="21"/>
          <w:highlight w:val="none"/>
        </w:rPr>
        <w:t>5.组成合同的文件</w:t>
      </w:r>
    </w:p>
    <w:p w14:paraId="486B23E4">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本协议书与下列文件一起构成合同文件，如下述文件之间有任何抵触、矛盾或歧义，应按以下顺序解释：</w:t>
      </w:r>
    </w:p>
    <w:p w14:paraId="00F10D78">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（1）在采购或合同履行过程中乙方作出的承诺以及双方协商达成的变更或补充协议</w:t>
      </w:r>
    </w:p>
    <w:p w14:paraId="783A95DB">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（2）本合同协议书</w:t>
      </w:r>
    </w:p>
    <w:p w14:paraId="66055D66">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（3）成交通知书</w:t>
      </w:r>
    </w:p>
    <w:p w14:paraId="27950E70">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（4）响应文件</w:t>
      </w:r>
    </w:p>
    <w:p w14:paraId="096938E2">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（5）政府采购合同专用条款</w:t>
      </w:r>
    </w:p>
    <w:p w14:paraId="11212A22">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（6）政府采购合同通用条款</w:t>
      </w:r>
    </w:p>
    <w:p w14:paraId="73FDA37A">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（7）标准、规范及有关技术文件，图纸。</w:t>
      </w:r>
    </w:p>
    <w:p w14:paraId="249F0778">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（8）其他合同文件。</w:t>
      </w:r>
    </w:p>
    <w:p w14:paraId="72AA7F51">
      <w:pPr>
        <w:adjustRightInd w:val="0"/>
        <w:snapToGrid w:val="0"/>
        <w:spacing w:beforeLines="50" w:line="360" w:lineRule="auto"/>
        <w:ind w:firstLine="310" w:firstLineChars="147"/>
        <w:rPr>
          <w:rFonts w:ascii="宋体" w:hAnsi="宋体"/>
          <w:b/>
          <w:color w:val="auto"/>
          <w:szCs w:val="21"/>
          <w:highlight w:val="none"/>
        </w:rPr>
      </w:pPr>
      <w:r>
        <w:rPr>
          <w:rFonts w:hint="eastAsia" w:ascii="宋体" w:hAnsi="宋体"/>
          <w:b/>
          <w:color w:val="auto"/>
          <w:szCs w:val="21"/>
          <w:highlight w:val="none"/>
        </w:rPr>
        <w:t>6.合同生效</w:t>
      </w:r>
    </w:p>
    <w:p w14:paraId="360D910C">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本合同自</w:t>
      </w:r>
      <w:r>
        <w:rPr>
          <w:rFonts w:hint="eastAsia" w:ascii="宋体" w:hAnsi="宋体"/>
          <w:color w:val="auto"/>
          <w:szCs w:val="21"/>
          <w:highlight w:val="none"/>
          <w:u w:val="single"/>
        </w:rPr>
        <w:t xml:space="preserve">                             </w:t>
      </w:r>
      <w:r>
        <w:rPr>
          <w:rFonts w:hint="eastAsia" w:ascii="宋体" w:hAnsi="宋体"/>
          <w:color w:val="auto"/>
          <w:szCs w:val="21"/>
          <w:highlight w:val="none"/>
        </w:rPr>
        <w:t>生效。</w:t>
      </w:r>
    </w:p>
    <w:p w14:paraId="5CD006BD">
      <w:pPr>
        <w:adjustRightInd w:val="0"/>
        <w:snapToGrid w:val="0"/>
        <w:spacing w:beforeLines="50" w:line="360" w:lineRule="auto"/>
        <w:ind w:firstLine="310" w:firstLineChars="147"/>
        <w:rPr>
          <w:rFonts w:ascii="宋体" w:hAnsi="宋体"/>
          <w:b/>
          <w:color w:val="auto"/>
          <w:szCs w:val="21"/>
          <w:highlight w:val="none"/>
        </w:rPr>
      </w:pPr>
      <w:r>
        <w:rPr>
          <w:rFonts w:hint="eastAsia" w:ascii="宋体" w:hAnsi="宋体"/>
          <w:b/>
          <w:color w:val="auto"/>
          <w:szCs w:val="21"/>
          <w:highlight w:val="none"/>
        </w:rPr>
        <w:t>7.合同份数</w:t>
      </w:r>
    </w:p>
    <w:p w14:paraId="4BD3B20B">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本合同一式</w:t>
      </w:r>
      <w:r>
        <w:rPr>
          <w:rFonts w:hint="eastAsia" w:ascii="宋体" w:hAnsi="宋体"/>
          <w:color w:val="auto"/>
          <w:szCs w:val="21"/>
          <w:highlight w:val="none"/>
          <w:u w:val="single"/>
        </w:rPr>
        <w:t xml:space="preserve">    </w:t>
      </w:r>
      <w:r>
        <w:rPr>
          <w:rFonts w:hint="eastAsia" w:ascii="宋体" w:hAnsi="宋体"/>
          <w:color w:val="auto"/>
          <w:szCs w:val="21"/>
          <w:highlight w:val="none"/>
        </w:rPr>
        <w:t>份，采购人执</w:t>
      </w:r>
      <w:r>
        <w:rPr>
          <w:rFonts w:hint="eastAsia" w:ascii="宋体" w:hAnsi="宋体"/>
          <w:color w:val="auto"/>
          <w:szCs w:val="21"/>
          <w:highlight w:val="none"/>
          <w:u w:val="single"/>
        </w:rPr>
        <w:t xml:space="preserve">   </w:t>
      </w:r>
      <w:r>
        <w:rPr>
          <w:rFonts w:hint="eastAsia" w:ascii="宋体" w:hAnsi="宋体"/>
          <w:color w:val="auto"/>
          <w:szCs w:val="21"/>
          <w:highlight w:val="none"/>
        </w:rPr>
        <w:t>份，供应商执</w:t>
      </w:r>
      <w:r>
        <w:rPr>
          <w:rFonts w:hint="eastAsia" w:ascii="宋体" w:hAnsi="宋体"/>
          <w:color w:val="auto"/>
          <w:szCs w:val="21"/>
          <w:highlight w:val="none"/>
          <w:u w:val="single"/>
        </w:rPr>
        <w:t xml:space="preserve">   </w:t>
      </w:r>
      <w:r>
        <w:rPr>
          <w:rFonts w:hint="eastAsia" w:ascii="宋体" w:hAnsi="宋体"/>
          <w:color w:val="auto"/>
          <w:szCs w:val="21"/>
          <w:highlight w:val="none"/>
        </w:rPr>
        <w:t>份，均具有同等法律效力。</w:t>
      </w:r>
    </w:p>
    <w:p w14:paraId="3CD89654">
      <w:pPr>
        <w:adjustRightInd w:val="0"/>
        <w:snapToGrid w:val="0"/>
        <w:spacing w:beforeLines="50" w:line="360" w:lineRule="auto"/>
        <w:rPr>
          <w:rFonts w:ascii="宋体" w:hAnsi="宋体"/>
          <w:color w:val="auto"/>
          <w:szCs w:val="21"/>
          <w:highlight w:val="none"/>
        </w:rPr>
      </w:pPr>
    </w:p>
    <w:p w14:paraId="2990575C">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合同订立时间：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4B35461">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合同订立地点：</w:t>
      </w:r>
      <w:r>
        <w:rPr>
          <w:rFonts w:hint="eastAsia" w:ascii="宋体" w:hAnsi="宋体"/>
          <w:color w:val="auto"/>
          <w:szCs w:val="21"/>
          <w:highlight w:val="none"/>
          <w:u w:val="single"/>
        </w:rPr>
        <w:t xml:space="preserve">                           </w:t>
      </w:r>
    </w:p>
    <w:p w14:paraId="59912A87">
      <w:pPr>
        <w:adjustRightInd w:val="0"/>
        <w:snapToGrid w:val="0"/>
        <w:spacing w:before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附件：具体标的明细、分包合同等。    </w:t>
      </w:r>
    </w:p>
    <w:p w14:paraId="400B0742">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甲      方：（公章）                     乙      方：（公章）</w:t>
      </w:r>
    </w:p>
    <w:p w14:paraId="13C9C9A0">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u w:val="none"/>
        </w:rPr>
        <w:t xml:space="preserve">                   </w:t>
      </w:r>
      <w:r>
        <w:rPr>
          <w:rFonts w:hint="eastAsia" w:ascii="宋体" w:hAnsi="宋体"/>
          <w:color w:val="auto"/>
          <w:szCs w:val="21"/>
          <w:highlight w:val="none"/>
        </w:rPr>
        <w:t xml:space="preserve">         法定代表人：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65AD5278">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none"/>
        </w:rPr>
        <w:t xml:space="preserve">                    </w:t>
      </w:r>
      <w:r>
        <w:rPr>
          <w:rFonts w:hint="eastAsia" w:ascii="宋体" w:hAnsi="宋体"/>
          <w:color w:val="auto"/>
          <w:szCs w:val="21"/>
          <w:highlight w:val="none"/>
        </w:rPr>
        <w:t xml:space="preserve">        委托代理人：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78891704">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电      话：</w:t>
      </w:r>
      <w:r>
        <w:rPr>
          <w:rFonts w:hint="eastAsia" w:ascii="宋体" w:hAnsi="宋体"/>
          <w:color w:val="auto"/>
          <w:szCs w:val="21"/>
          <w:highlight w:val="none"/>
          <w:u w:val="none"/>
        </w:rPr>
        <w:t xml:space="preserve">                   </w:t>
      </w:r>
      <w:r>
        <w:rPr>
          <w:rFonts w:hint="eastAsia" w:ascii="宋体" w:hAnsi="宋体"/>
          <w:color w:val="auto"/>
          <w:szCs w:val="21"/>
          <w:highlight w:val="none"/>
        </w:rPr>
        <w:t xml:space="preserve">         电      话：</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6C177D39">
      <w:pPr>
        <w:adjustRightInd w:val="0"/>
        <w:snapToGrid w:val="0"/>
        <w:spacing w:beforeLines="50" w:line="360" w:lineRule="auto"/>
        <w:rPr>
          <w:rFonts w:ascii="宋体" w:hAnsi="宋体"/>
          <w:color w:val="auto"/>
          <w:szCs w:val="21"/>
          <w:highlight w:val="none"/>
        </w:rPr>
      </w:pPr>
      <w:r>
        <w:rPr>
          <w:rFonts w:hint="eastAsia" w:ascii="宋体" w:hAnsi="宋体"/>
          <w:color w:val="auto"/>
          <w:szCs w:val="21"/>
          <w:highlight w:val="none"/>
        </w:rPr>
        <w:t>传      真：</w:t>
      </w:r>
      <w:r>
        <w:rPr>
          <w:rFonts w:hint="eastAsia" w:ascii="宋体" w:hAnsi="宋体"/>
          <w:color w:val="auto"/>
          <w:szCs w:val="21"/>
          <w:highlight w:val="none"/>
          <w:u w:val="none"/>
        </w:rPr>
        <w:t xml:space="preserve">                   </w:t>
      </w:r>
      <w:r>
        <w:rPr>
          <w:rFonts w:hint="eastAsia" w:ascii="宋体" w:hAnsi="宋体"/>
          <w:color w:val="auto"/>
          <w:szCs w:val="21"/>
          <w:highlight w:val="none"/>
        </w:rPr>
        <w:t xml:space="preserve">         传      真：</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14:paraId="0A38D1BF">
      <w:pPr>
        <w:adjustRightInd w:val="0"/>
        <w:snapToGrid w:val="0"/>
        <w:spacing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 xml:space="preserve">                                    开 户 银 行：</w:t>
      </w:r>
      <w:r>
        <w:rPr>
          <w:rFonts w:hint="eastAsia" w:ascii="宋体" w:hAnsi="宋体"/>
          <w:color w:val="auto"/>
          <w:szCs w:val="21"/>
          <w:highlight w:val="none"/>
          <w:u w:val="single"/>
        </w:rPr>
        <w:t xml:space="preserve">                   </w:t>
      </w:r>
    </w:p>
    <w:p w14:paraId="014452A9">
      <w:pPr>
        <w:adjustRightInd w:val="0"/>
        <w:snapToGrid w:val="0"/>
        <w:spacing w:beforeLines="50" w:line="360" w:lineRule="auto"/>
        <w:jc w:val="center"/>
        <w:rPr>
          <w:rFonts w:hint="eastAsia" w:ascii="宋体" w:hAnsi="宋体"/>
          <w:color w:val="auto"/>
          <w:szCs w:val="21"/>
          <w:highlight w:val="none"/>
          <w:u w:val="single"/>
        </w:rPr>
      </w:pPr>
      <w:r>
        <w:rPr>
          <w:rFonts w:hint="eastAsia" w:ascii="宋体" w:hAnsi="宋体"/>
          <w:color w:val="auto"/>
          <w:szCs w:val="21"/>
          <w:highlight w:val="none"/>
        </w:rPr>
        <w:t xml:space="preserve">      账      号：</w:t>
      </w:r>
      <w:r>
        <w:rPr>
          <w:rFonts w:hint="eastAsia" w:ascii="宋体" w:hAnsi="宋体"/>
          <w:color w:val="auto"/>
          <w:szCs w:val="21"/>
          <w:highlight w:val="none"/>
          <w:u w:val="single"/>
        </w:rPr>
        <w:t xml:space="preserve">          </w:t>
      </w:r>
    </w:p>
    <w:p w14:paraId="46CC773A">
      <w:pPr>
        <w:adjustRightInd w:val="0"/>
        <w:snapToGrid w:val="0"/>
        <w:spacing w:beforeLines="50" w:line="360" w:lineRule="auto"/>
        <w:jc w:val="center"/>
        <w:rPr>
          <w:rFonts w:hint="eastAsia" w:ascii="宋体" w:hAnsi="宋体"/>
          <w:color w:val="auto"/>
          <w:szCs w:val="21"/>
          <w:highlight w:val="none"/>
          <w:u w:val="single"/>
        </w:rPr>
      </w:pPr>
    </w:p>
    <w:p w14:paraId="45731F32">
      <w:pPr>
        <w:rPr>
          <w:rFonts w:hint="eastAsia" w:ascii="宋体" w:hAnsi="宋体"/>
          <w:color w:val="auto"/>
          <w:szCs w:val="21"/>
          <w:highlight w:val="none"/>
          <w:u w:val="single"/>
        </w:rPr>
      </w:pPr>
      <w:r>
        <w:rPr>
          <w:rFonts w:hint="eastAsia" w:ascii="宋体" w:hAnsi="宋体"/>
          <w:color w:val="auto"/>
          <w:szCs w:val="21"/>
          <w:highlight w:val="none"/>
          <w:u w:val="single"/>
        </w:rPr>
        <w:br w:type="page"/>
      </w:r>
    </w:p>
    <w:p w14:paraId="212A8B79">
      <w:pPr>
        <w:tabs>
          <w:tab w:val="left" w:pos="8820"/>
          <w:tab w:val="left" w:pos="9345"/>
          <w:tab w:val="left" w:pos="9765"/>
        </w:tabs>
        <w:adjustRightInd w:val="0"/>
        <w:snapToGrid w:val="0"/>
        <w:spacing w:beforeLines="50" w:line="360" w:lineRule="auto"/>
        <w:ind w:right="384" w:rightChars="183" w:firstLine="157"/>
        <w:jc w:val="center"/>
        <w:rPr>
          <w:rFonts w:ascii="黑体" w:hAnsi="华文中宋" w:eastAsia="黑体"/>
          <w:b/>
          <w:bCs/>
          <w:color w:val="auto"/>
          <w:sz w:val="32"/>
          <w:szCs w:val="32"/>
          <w:highlight w:val="none"/>
        </w:rPr>
      </w:pPr>
      <w:r>
        <w:rPr>
          <w:rFonts w:hint="eastAsia" w:ascii="黑体" w:hAnsi="华文中宋" w:eastAsia="黑体"/>
          <w:b/>
          <w:bCs/>
          <w:color w:val="auto"/>
          <w:sz w:val="32"/>
          <w:szCs w:val="32"/>
          <w:highlight w:val="none"/>
        </w:rPr>
        <w:t>二、政府采购合同通用条款</w:t>
      </w:r>
    </w:p>
    <w:p w14:paraId="1699A70E">
      <w:pPr>
        <w:tabs>
          <w:tab w:val="left" w:pos="8820"/>
          <w:tab w:val="left" w:pos="9345"/>
          <w:tab w:val="left" w:pos="9765"/>
        </w:tabs>
        <w:adjustRightInd w:val="0"/>
        <w:snapToGrid w:val="0"/>
        <w:spacing w:beforeLines="50" w:line="360" w:lineRule="auto"/>
        <w:ind w:right="384" w:rightChars="183" w:firstLine="138"/>
        <w:rPr>
          <w:rFonts w:ascii="黑体" w:hAnsi="华文中宋" w:eastAsia="黑体"/>
          <w:b/>
          <w:bCs/>
          <w:color w:val="auto"/>
          <w:sz w:val="28"/>
          <w:szCs w:val="28"/>
          <w:highlight w:val="none"/>
        </w:rPr>
      </w:pPr>
    </w:p>
    <w:p w14:paraId="6E7A782A">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说明：“通用合同条款”采用《建设工程施工合同（示范文本）》（GF-2017-0201）的“通用合同条款”。</w:t>
      </w:r>
    </w:p>
    <w:p w14:paraId="6C1FA9D5">
      <w:pPr>
        <w:rPr>
          <w:rFonts w:hint="eastAsia" w:ascii="宋体" w:hAnsi="宋体"/>
          <w:color w:val="auto"/>
          <w:szCs w:val="21"/>
          <w:highlight w:val="none"/>
          <w:u w:val="single"/>
        </w:rPr>
      </w:pPr>
      <w:r>
        <w:rPr>
          <w:rFonts w:hint="eastAsia" w:ascii="宋体" w:hAnsi="宋体"/>
          <w:color w:val="auto"/>
          <w:szCs w:val="21"/>
          <w:highlight w:val="none"/>
          <w:u w:val="single"/>
        </w:rPr>
        <w:br w:type="page"/>
      </w:r>
    </w:p>
    <w:p w14:paraId="6A5772CE">
      <w:pPr>
        <w:adjustRightInd w:val="0"/>
        <w:snapToGrid w:val="0"/>
        <w:spacing w:beforeLines="50" w:line="360" w:lineRule="auto"/>
        <w:jc w:val="center"/>
        <w:rPr>
          <w:rFonts w:ascii="宋体" w:hAnsi="宋体"/>
          <w:b/>
          <w:color w:val="auto"/>
          <w:szCs w:val="21"/>
          <w:highlight w:val="none"/>
        </w:rPr>
      </w:pPr>
      <w:r>
        <w:rPr>
          <w:rFonts w:hint="eastAsia" w:ascii="黑体" w:hAnsi="华文中宋" w:eastAsia="黑体"/>
          <w:b/>
          <w:bCs/>
          <w:color w:val="auto"/>
          <w:sz w:val="32"/>
          <w:szCs w:val="32"/>
          <w:highlight w:val="none"/>
        </w:rPr>
        <w:t>三、政府采购合同专用条款</w:t>
      </w:r>
    </w:p>
    <w:p w14:paraId="19447F82">
      <w:pPr>
        <w:adjustRightInd w:val="0"/>
        <w:snapToGrid w:val="0"/>
        <w:spacing w:beforeLines="50" w:line="360" w:lineRule="auto"/>
        <w:ind w:firstLine="420" w:firstLineChars="200"/>
        <w:rPr>
          <w:rFonts w:hint="eastAsia" w:ascii="宋体" w:hAnsi="宋体"/>
          <w:color w:val="auto"/>
          <w:szCs w:val="21"/>
          <w:highlight w:val="none"/>
        </w:rPr>
      </w:pPr>
    </w:p>
    <w:p w14:paraId="4960808E">
      <w:pPr>
        <w:ind w:firstLine="420" w:firstLineChars="200"/>
        <w:rPr>
          <w:rFonts w:ascii="宋体" w:hAnsi="宋体"/>
          <w:color w:val="auto"/>
          <w:szCs w:val="21"/>
          <w:highlight w:val="none"/>
        </w:rPr>
      </w:pPr>
    </w:p>
    <w:p w14:paraId="64B68BF9">
      <w:pPr>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 </w:t>
      </w:r>
    </w:p>
    <w:p w14:paraId="3570BE41">
      <w:pPr>
        <w:rPr>
          <w:rFonts w:hint="eastAsia"/>
          <w:color w:val="auto"/>
          <w:highlight w:val="none"/>
        </w:rPr>
      </w:pPr>
      <w:r>
        <w:rPr>
          <w:rFonts w:hint="eastAsia"/>
          <w:color w:val="auto"/>
          <w:highlight w:val="none"/>
        </w:rPr>
        <w:br w:type="page"/>
      </w:r>
    </w:p>
    <w:p w14:paraId="2382FFCF">
      <w:pPr>
        <w:pStyle w:val="2"/>
        <w:rPr>
          <w:color w:val="auto"/>
          <w:highlight w:val="none"/>
        </w:rPr>
      </w:pPr>
      <w:r>
        <w:rPr>
          <w:rFonts w:hint="eastAsia"/>
          <w:color w:val="auto"/>
          <w:highlight w:val="none"/>
        </w:rPr>
        <w:t>第五章采购需求</w:t>
      </w:r>
      <w:bookmarkEnd w:id="84"/>
      <w:bookmarkEnd w:id="85"/>
      <w:bookmarkEnd w:id="86"/>
      <w:bookmarkEnd w:id="87"/>
      <w:bookmarkEnd w:id="88"/>
      <w:bookmarkEnd w:id="89"/>
      <w:bookmarkEnd w:id="90"/>
    </w:p>
    <w:p w14:paraId="1CE44141">
      <w:pPr>
        <w:pStyle w:val="190"/>
        <w:widowControl/>
        <w:tabs>
          <w:tab w:val="left" w:pos="9000"/>
        </w:tabs>
        <w:spacing w:line="360" w:lineRule="auto"/>
        <w:ind w:firstLine="0" w:firstLineChars="0"/>
        <w:jc w:val="left"/>
        <w:rPr>
          <w:rFonts w:ascii="宋体" w:hAnsi="宋体" w:cs="宋体"/>
          <w:b/>
          <w:color w:val="auto"/>
          <w:kern w:val="0"/>
          <w:szCs w:val="21"/>
          <w:highlight w:val="none"/>
        </w:rPr>
      </w:pPr>
    </w:p>
    <w:p w14:paraId="4FB59B4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ascii="宋体" w:hAnsi="宋体"/>
          <w:b/>
          <w:color w:val="auto"/>
          <w:sz w:val="24"/>
          <w:szCs w:val="24"/>
          <w:highlight w:val="none"/>
        </w:rPr>
      </w:pPr>
      <w:r>
        <w:rPr>
          <w:rFonts w:hint="default" w:ascii="宋体" w:hAnsi="宋体" w:eastAsia="宋体" w:cs="Times New Roman"/>
          <w:b/>
          <w:color w:val="auto"/>
          <w:kern w:val="2"/>
          <w:sz w:val="24"/>
          <w:szCs w:val="24"/>
          <w:highlight w:val="none"/>
          <w:lang w:val="en-US" w:eastAsia="zh-CN" w:bidi="ar-SA"/>
        </w:rPr>
        <w:t>第一节</w:t>
      </w:r>
      <w:r>
        <w:rPr>
          <w:rFonts w:hint="eastAsia" w:ascii="宋体" w:hAnsi="宋体" w:cs="Times New Roman"/>
          <w:b/>
          <w:color w:val="auto"/>
          <w:kern w:val="2"/>
          <w:sz w:val="24"/>
          <w:szCs w:val="24"/>
          <w:highlight w:val="none"/>
          <w:lang w:val="en-US" w:eastAsia="zh-CN" w:bidi="ar-SA"/>
        </w:rPr>
        <w:t xml:space="preserve">  </w:t>
      </w:r>
      <w:r>
        <w:rPr>
          <w:rFonts w:hint="eastAsia"/>
          <w:b/>
          <w:color w:val="auto"/>
          <w:sz w:val="24"/>
          <w:szCs w:val="24"/>
          <w:highlight w:val="none"/>
        </w:rPr>
        <w:t>技术要求</w:t>
      </w:r>
    </w:p>
    <w:p w14:paraId="3EF66164">
      <w:pPr>
        <w:pStyle w:val="61"/>
        <w:keepNext w:val="0"/>
        <w:keepLines w:val="0"/>
        <w:pageBreakBefore w:val="0"/>
        <w:widowControl w:val="0"/>
        <w:kinsoku/>
        <w:wordWrap/>
        <w:overflowPunct/>
        <w:topLinePunct w:val="0"/>
        <w:autoSpaceDE/>
        <w:autoSpaceDN/>
        <w:bidi w:val="0"/>
        <w:spacing w:line="240" w:lineRule="auto"/>
        <w:ind w:firstLine="422"/>
        <w:textAlignment w:val="auto"/>
        <w:rPr>
          <w:b/>
          <w:color w:val="auto"/>
          <w:szCs w:val="21"/>
          <w:highlight w:val="none"/>
        </w:rPr>
      </w:pPr>
      <w:r>
        <w:rPr>
          <w:rFonts w:hint="eastAsia" w:ascii="宋体" w:hAnsi="宋体" w:eastAsia="宋体" w:cs="Times New Roman"/>
          <w:b/>
          <w:bCs/>
          <w:color w:val="auto"/>
          <w:kern w:val="2"/>
          <w:sz w:val="21"/>
          <w:szCs w:val="21"/>
          <w:highlight w:val="none"/>
          <w:lang w:val="en-US" w:eastAsia="zh-CN" w:bidi="ar-SA"/>
        </w:rPr>
        <w:t>一、</w:t>
      </w:r>
      <w:r>
        <w:rPr>
          <w:rFonts w:hint="eastAsia"/>
          <w:b/>
          <w:color w:val="auto"/>
          <w:szCs w:val="21"/>
          <w:highlight w:val="none"/>
        </w:rPr>
        <w:t>采购清单</w:t>
      </w:r>
    </w:p>
    <w:tbl>
      <w:tblPr>
        <w:tblStyle w:val="46"/>
        <w:tblW w:w="89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7"/>
        <w:gridCol w:w="2856"/>
        <w:gridCol w:w="1549"/>
        <w:gridCol w:w="1585"/>
        <w:gridCol w:w="2231"/>
      </w:tblGrid>
      <w:tr w14:paraId="6662C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8" w:hRule="atLeast"/>
          <w:jc w:val="center"/>
        </w:trPr>
        <w:tc>
          <w:tcPr>
            <w:tcW w:w="717" w:type="dxa"/>
            <w:vAlign w:val="center"/>
          </w:tcPr>
          <w:p w14:paraId="318171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序号</w:t>
            </w:r>
          </w:p>
        </w:tc>
        <w:tc>
          <w:tcPr>
            <w:tcW w:w="2856" w:type="dxa"/>
            <w:vAlign w:val="center"/>
          </w:tcPr>
          <w:p w14:paraId="4029350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包名称</w:t>
            </w:r>
          </w:p>
        </w:tc>
        <w:tc>
          <w:tcPr>
            <w:tcW w:w="1549" w:type="dxa"/>
            <w:vAlign w:val="center"/>
          </w:tcPr>
          <w:p w14:paraId="53CD85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宋体" w:hAnsi="宋体" w:cs="宋体"/>
                <w:color w:val="auto"/>
                <w:kern w:val="0"/>
                <w:szCs w:val="21"/>
                <w:highlight w:val="none"/>
              </w:rPr>
              <w:t>简要技术要求</w:t>
            </w:r>
          </w:p>
        </w:tc>
        <w:tc>
          <w:tcPr>
            <w:tcW w:w="1585" w:type="dxa"/>
            <w:vAlign w:val="center"/>
          </w:tcPr>
          <w:p w14:paraId="2F9E0F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采购项目预算</w:t>
            </w:r>
          </w:p>
          <w:p w14:paraId="47753B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（元人民币）</w:t>
            </w:r>
          </w:p>
        </w:tc>
        <w:tc>
          <w:tcPr>
            <w:tcW w:w="2231" w:type="dxa"/>
            <w:vAlign w:val="center"/>
          </w:tcPr>
          <w:p w14:paraId="02EFF3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采购项目最高限价</w:t>
            </w:r>
          </w:p>
          <w:p w14:paraId="6F6166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（元人民币）</w:t>
            </w:r>
          </w:p>
        </w:tc>
      </w:tr>
      <w:tr w14:paraId="636A9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atLeast"/>
          <w:jc w:val="center"/>
        </w:trPr>
        <w:tc>
          <w:tcPr>
            <w:tcW w:w="717" w:type="dxa"/>
            <w:vAlign w:val="center"/>
          </w:tcPr>
          <w:p w14:paraId="6F3B63F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856" w:type="dxa"/>
            <w:vAlign w:val="center"/>
          </w:tcPr>
          <w:p w14:paraId="5FCCE9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吉首大学“两馆”周边建筑物及环境综合提质改造项目</w:t>
            </w:r>
          </w:p>
        </w:tc>
        <w:tc>
          <w:tcPr>
            <w:tcW w:w="1549" w:type="dxa"/>
            <w:vAlign w:val="center"/>
          </w:tcPr>
          <w:p w14:paraId="1F85CD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详见采购需求</w:t>
            </w:r>
          </w:p>
        </w:tc>
        <w:tc>
          <w:tcPr>
            <w:tcW w:w="1585" w:type="dxa"/>
            <w:shd w:val="clear" w:color="auto" w:fill="auto"/>
            <w:vAlign w:val="center"/>
          </w:tcPr>
          <w:p w14:paraId="28B28FE2">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3630000.00</w:t>
            </w:r>
          </w:p>
        </w:tc>
        <w:tc>
          <w:tcPr>
            <w:tcW w:w="2231" w:type="dxa"/>
            <w:shd w:val="clear" w:color="auto" w:fill="auto"/>
            <w:vAlign w:val="center"/>
          </w:tcPr>
          <w:p w14:paraId="01FAA20B">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3595706.53</w:t>
            </w:r>
          </w:p>
        </w:tc>
      </w:tr>
    </w:tbl>
    <w:p w14:paraId="7D3305E3">
      <w:pPr>
        <w:pStyle w:val="61"/>
        <w:ind w:firstLine="0" w:firstLineChars="0"/>
        <w:rPr>
          <w:color w:val="auto"/>
          <w:szCs w:val="21"/>
          <w:highlight w:val="none"/>
        </w:rPr>
      </w:pPr>
    </w:p>
    <w:p w14:paraId="158FF866">
      <w:pPr>
        <w:keepNext w:val="0"/>
        <w:keepLines w:val="0"/>
        <w:pageBreakBefore w:val="0"/>
        <w:kinsoku/>
        <w:wordWrap/>
        <w:overflowPunct/>
        <w:topLinePunct w:val="0"/>
        <w:autoSpaceDE/>
        <w:autoSpaceDN/>
        <w:bidi w:val="0"/>
        <w:adjustRightInd w:val="0"/>
        <w:snapToGrid w:val="0"/>
        <w:spacing w:line="360" w:lineRule="auto"/>
        <w:ind w:left="0" w:right="0" w:rightChars="0" w:firstLine="422" w:firstLineChars="200"/>
        <w:jc w:val="both"/>
        <w:rPr>
          <w:rFonts w:hint="eastAsia" w:ascii="宋体" w:hAnsi="宋体" w:eastAsia="宋体" w:cs="宋体"/>
          <w:color w:val="auto"/>
          <w:highlight w:val="none"/>
          <w:lang w:val="en-US" w:eastAsia="zh-CN"/>
        </w:rPr>
      </w:pPr>
      <w:r>
        <w:rPr>
          <w:rFonts w:hint="eastAsia" w:ascii="宋体" w:hAnsi="宋体" w:eastAsia="宋体" w:cs="宋体"/>
          <w:b/>
          <w:bCs/>
          <w:color w:val="auto"/>
          <w:szCs w:val="21"/>
          <w:highlight w:val="none"/>
        </w:rPr>
        <w:t>二、项目地点：</w:t>
      </w:r>
      <w:r>
        <w:rPr>
          <w:rFonts w:hint="eastAsia" w:ascii="宋体" w:hAnsi="宋体" w:cs="宋体"/>
          <w:color w:val="auto"/>
          <w:szCs w:val="21"/>
          <w:highlight w:val="none"/>
          <w:lang w:eastAsia="zh-CN"/>
        </w:rPr>
        <w:t>吉首大学砂子坳校区</w:t>
      </w:r>
    </w:p>
    <w:p w14:paraId="47CB77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2"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bCs/>
          <w:color w:val="auto"/>
          <w:szCs w:val="21"/>
          <w:highlight w:val="none"/>
        </w:rPr>
        <w:t>三、项目概况：</w:t>
      </w:r>
      <w:r>
        <w:rPr>
          <w:rFonts w:hint="eastAsia" w:ascii="宋体" w:hAnsi="宋体" w:cs="宋体"/>
          <w:b w:val="0"/>
          <w:bCs w:val="0"/>
          <w:color w:val="auto"/>
          <w:szCs w:val="21"/>
          <w:highlight w:val="none"/>
          <w:lang w:val="en-US" w:eastAsia="zh-CN"/>
        </w:rPr>
        <w:t>本工</w:t>
      </w:r>
      <w:r>
        <w:rPr>
          <w:rFonts w:hint="eastAsia" w:ascii="宋体" w:hAnsi="宋体" w:eastAsia="宋体" w:cs="宋体"/>
          <w:b w:val="0"/>
          <w:bCs w:val="0"/>
          <w:color w:val="auto"/>
          <w:szCs w:val="21"/>
          <w:highlight w:val="none"/>
          <w:lang w:val="en-US" w:eastAsia="zh-CN"/>
        </w:rPr>
        <w:t>程系吉首大学“两馆”周边建筑物及环境综合提质改造项目。</w:t>
      </w:r>
    </w:p>
    <w:p w14:paraId="749081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0"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项目主要施工内容</w:t>
      </w:r>
      <w:r>
        <w:rPr>
          <w:rFonts w:hint="eastAsia" w:ascii="宋体" w:hAnsi="宋体" w:eastAsia="宋体" w:cs="宋体"/>
          <w:b w:val="0"/>
          <w:bCs w:val="0"/>
          <w:color w:val="auto"/>
          <w:szCs w:val="21"/>
          <w:highlight w:val="none"/>
          <w:lang w:val="en-US" w:eastAsia="zh-CN"/>
        </w:rPr>
        <w:t>包括：</w:t>
      </w:r>
      <w:r>
        <w:rPr>
          <w:color w:val="auto"/>
          <w:spacing w:val="-1"/>
          <w:highlight w:val="none"/>
        </w:rPr>
        <w:t>新建吉首大学南门，</w:t>
      </w:r>
      <w:r>
        <w:rPr>
          <w:color w:val="auto"/>
          <w:highlight w:val="none"/>
        </w:rPr>
        <w:t>文创中心维修改造，原派出所附属楼维修改造</w:t>
      </w:r>
      <w:r>
        <w:rPr>
          <w:color w:val="auto"/>
          <w:spacing w:val="-1"/>
          <w:highlight w:val="none"/>
        </w:rPr>
        <w:t>，民族文化博物</w:t>
      </w:r>
      <w:r>
        <w:rPr>
          <w:color w:val="auto"/>
          <w:highlight w:val="none"/>
        </w:rPr>
        <w:t>馆大门改造，室外附属工程等。涵盖的专业工</w:t>
      </w:r>
      <w:r>
        <w:rPr>
          <w:color w:val="auto"/>
          <w:spacing w:val="-1"/>
          <w:highlight w:val="none"/>
        </w:rPr>
        <w:t>程包括拆除、建</w:t>
      </w:r>
      <w:r>
        <w:rPr>
          <w:color w:val="auto"/>
          <w:spacing w:val="-2"/>
          <w:highlight w:val="none"/>
        </w:rPr>
        <w:t>筑、装饰、电气、给排水、弱电、室外铺装、室外道路、室外</w:t>
      </w:r>
      <w:r>
        <w:rPr>
          <w:color w:val="auto"/>
          <w:spacing w:val="-8"/>
          <w:highlight w:val="none"/>
        </w:rPr>
        <w:t>绿化、室外景观亮化工程等。</w:t>
      </w:r>
    </w:p>
    <w:p w14:paraId="57E1A3E0">
      <w:pPr>
        <w:pStyle w:val="29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right="0" w:rightChars="0" w:firstLine="422" w:firstLineChars="200"/>
        <w:jc w:val="both"/>
        <w:textAlignment w:val="auto"/>
        <w:rPr>
          <w:rFonts w:hint="eastAsia" w:ascii="宋体" w:hAnsi="宋体" w:eastAsia="宋体" w:cs="宋体"/>
          <w:color w:val="auto"/>
          <w:szCs w:val="21"/>
          <w:highlight w:val="none"/>
        </w:rPr>
      </w:pPr>
      <w:r>
        <w:rPr>
          <w:rFonts w:hint="eastAsia" w:ascii="宋体" w:hAnsi="宋体" w:eastAsia="宋体" w:cs="宋体"/>
          <w:b/>
          <w:bCs/>
          <w:color w:val="auto"/>
          <w:kern w:val="2"/>
          <w:sz w:val="21"/>
          <w:szCs w:val="21"/>
          <w:highlight w:val="none"/>
          <w:lang w:val="en-US" w:eastAsia="zh-CN" w:bidi="ar-SA"/>
        </w:rPr>
        <w:t>四、工程承包范围</w:t>
      </w:r>
      <w:r>
        <w:rPr>
          <w:rFonts w:hint="eastAsia" w:ascii="宋体" w:hAnsi="宋体" w:eastAsia="宋体" w:cs="宋体"/>
          <w:b/>
          <w:bCs/>
          <w:color w:val="auto"/>
          <w:szCs w:val="21"/>
          <w:highlight w:val="none"/>
        </w:rPr>
        <w:t xml:space="preserve">: </w:t>
      </w:r>
      <w:r>
        <w:rPr>
          <w:rFonts w:hint="eastAsia" w:ascii="宋体" w:hAnsi="宋体" w:eastAsia="宋体" w:cs="宋体"/>
          <w:color w:val="auto"/>
          <w:szCs w:val="21"/>
          <w:highlight w:val="none"/>
        </w:rPr>
        <w:t>见工程量清单</w:t>
      </w:r>
      <w:r>
        <w:rPr>
          <w:rFonts w:hint="eastAsia" w:ascii="宋体" w:hAnsi="宋体" w:eastAsia="宋体" w:cs="宋体"/>
          <w:color w:val="auto"/>
          <w:szCs w:val="21"/>
          <w:highlight w:val="none"/>
          <w:lang w:val="en-US" w:eastAsia="zh-CN"/>
        </w:rPr>
        <w:t>及图纸</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另册</w:t>
      </w:r>
      <w:r>
        <w:rPr>
          <w:rFonts w:hint="eastAsia" w:ascii="宋体" w:hAnsi="宋体" w:eastAsia="宋体" w:cs="宋体"/>
          <w:color w:val="auto"/>
          <w:szCs w:val="21"/>
          <w:highlight w:val="none"/>
        </w:rPr>
        <w:t>）。</w:t>
      </w:r>
    </w:p>
    <w:p w14:paraId="012F426F">
      <w:pPr>
        <w:keepNext w:val="0"/>
        <w:keepLines w:val="0"/>
        <w:pageBreakBefore w:val="0"/>
        <w:widowControl w:val="0"/>
        <w:kinsoku/>
        <w:wordWrap/>
        <w:overflowPunct/>
        <w:topLinePunct w:val="0"/>
        <w:autoSpaceDE/>
        <w:autoSpaceDN/>
        <w:bidi w:val="0"/>
        <w:spacing w:line="360" w:lineRule="auto"/>
        <w:ind w:left="0" w:right="0" w:rightChars="0" w:firstLine="420" w:firstLineChars="200"/>
        <w:jc w:val="both"/>
        <w:rPr>
          <w:rFonts w:hint="default" w:ascii="宋体" w:hAnsi="宋体" w:eastAsia="宋体" w:cs="宋体"/>
          <w:b w:val="0"/>
          <w:bCs w:val="0"/>
          <w:color w:val="auto"/>
          <w:kern w:val="2"/>
          <w:sz w:val="21"/>
          <w:szCs w:val="21"/>
          <w:highlight w:val="none"/>
          <w:lang w:val="en-US" w:eastAsia="zh-CN"/>
        </w:rPr>
      </w:pPr>
      <w:r>
        <w:rPr>
          <w:rFonts w:hint="eastAsia" w:ascii="宋体" w:hAnsi="宋体" w:eastAsia="宋体" w:cs="宋体"/>
          <w:color w:val="auto"/>
          <w:szCs w:val="21"/>
          <w:highlight w:val="none"/>
          <w:lang w:eastAsia="zh-CN"/>
        </w:rPr>
        <w:t>供应商提供的投标报价工程量清单必须完全响应采购人公布的工程量清单，不得缺漏项，否则视为不合格供应商。供应商分项价格表按工程量清单内容制作。</w:t>
      </w:r>
      <w:r>
        <w:rPr>
          <w:rFonts w:hint="eastAsia" w:ascii="宋体" w:hAnsi="宋体" w:eastAsia="宋体" w:cs="宋体"/>
          <w:bCs w:val="0"/>
          <w:color w:val="auto"/>
          <w:kern w:val="2"/>
          <w:sz w:val="21"/>
          <w:szCs w:val="21"/>
          <w:highlight w:val="none"/>
          <w:lang w:eastAsia="zh-CN"/>
        </w:rPr>
        <w:t>投标报价中的绿色施工安全防护措施项目费、安全责任险、环境保护税</w:t>
      </w:r>
      <w:r>
        <w:rPr>
          <w:rFonts w:hint="eastAsia" w:ascii="宋体" w:hAnsi="宋体" w:eastAsia="宋体" w:cs="宋体"/>
          <w:bCs w:val="0"/>
          <w:color w:val="auto"/>
          <w:kern w:val="2"/>
          <w:sz w:val="21"/>
          <w:szCs w:val="21"/>
          <w:highlight w:val="none"/>
          <w:lang w:val="en-US" w:eastAsia="zh-CN"/>
        </w:rPr>
        <w:t>须</w:t>
      </w:r>
      <w:r>
        <w:rPr>
          <w:rFonts w:hint="eastAsia" w:ascii="宋体" w:hAnsi="宋体" w:eastAsia="宋体" w:cs="宋体"/>
          <w:bCs w:val="0"/>
          <w:color w:val="auto"/>
          <w:kern w:val="2"/>
          <w:sz w:val="21"/>
          <w:szCs w:val="21"/>
          <w:highlight w:val="none"/>
          <w:lang w:eastAsia="zh-CN"/>
        </w:rPr>
        <w:t>按照省住房城乡建设主管部门的规定计算，增值税按照政府有关主管部门的规定计算费用，</w:t>
      </w:r>
      <w:r>
        <w:rPr>
          <w:rFonts w:hint="eastAsia" w:ascii="宋体" w:hAnsi="宋体" w:eastAsia="宋体" w:cs="宋体"/>
          <w:b/>
          <w:bCs/>
          <w:color w:val="auto"/>
          <w:kern w:val="2"/>
          <w:sz w:val="21"/>
          <w:szCs w:val="21"/>
          <w:highlight w:val="none"/>
          <w:lang w:eastAsia="zh-CN"/>
        </w:rPr>
        <w:t>投标报价中的暂估价或暂列金额</w:t>
      </w:r>
      <w:r>
        <w:rPr>
          <w:rFonts w:hint="eastAsia" w:ascii="宋体" w:hAnsi="宋体" w:eastAsia="宋体" w:cs="宋体"/>
          <w:b/>
          <w:bCs/>
          <w:color w:val="auto"/>
          <w:kern w:val="2"/>
          <w:sz w:val="21"/>
          <w:szCs w:val="21"/>
          <w:highlight w:val="none"/>
          <w:lang w:val="en-US" w:eastAsia="zh-CN"/>
        </w:rPr>
        <w:t>须</w:t>
      </w:r>
      <w:r>
        <w:rPr>
          <w:rFonts w:hint="eastAsia" w:ascii="宋体" w:hAnsi="宋体" w:eastAsia="宋体" w:cs="宋体"/>
          <w:b/>
          <w:bCs/>
          <w:color w:val="auto"/>
          <w:kern w:val="2"/>
          <w:sz w:val="21"/>
          <w:szCs w:val="21"/>
          <w:highlight w:val="none"/>
          <w:lang w:eastAsia="zh-CN"/>
        </w:rPr>
        <w:t>与招标人公布的暂估价（</w:t>
      </w:r>
      <w:r>
        <w:rPr>
          <w:rFonts w:hint="eastAsia" w:ascii="宋体" w:hAnsi="宋体" w:eastAsia="宋体" w:cs="宋体"/>
          <w:b/>
          <w:bCs/>
          <w:color w:val="auto"/>
          <w:kern w:val="2"/>
          <w:sz w:val="21"/>
          <w:szCs w:val="21"/>
          <w:highlight w:val="none"/>
          <w:lang w:val="en-US" w:eastAsia="zh-CN"/>
        </w:rPr>
        <w:t>如有</w:t>
      </w:r>
      <w:r>
        <w:rPr>
          <w:rFonts w:hint="eastAsia" w:ascii="宋体" w:hAnsi="宋体" w:eastAsia="宋体" w:cs="宋体"/>
          <w:b/>
          <w:bCs/>
          <w:color w:val="auto"/>
          <w:kern w:val="2"/>
          <w:sz w:val="21"/>
          <w:szCs w:val="21"/>
          <w:highlight w:val="none"/>
          <w:lang w:eastAsia="zh-CN"/>
        </w:rPr>
        <w:t>）或暂列金额（</w:t>
      </w:r>
      <w:r>
        <w:rPr>
          <w:rFonts w:hint="eastAsia" w:ascii="宋体" w:hAnsi="宋体" w:eastAsia="宋体" w:cs="宋体"/>
          <w:b/>
          <w:bCs/>
          <w:color w:val="auto"/>
          <w:kern w:val="2"/>
          <w:sz w:val="21"/>
          <w:szCs w:val="21"/>
          <w:highlight w:val="none"/>
          <w:lang w:val="en-US" w:eastAsia="zh-CN"/>
        </w:rPr>
        <w:t>如有</w:t>
      </w:r>
      <w:r>
        <w:rPr>
          <w:rFonts w:hint="eastAsia" w:ascii="宋体" w:hAnsi="宋体" w:eastAsia="宋体" w:cs="宋体"/>
          <w:b/>
          <w:bCs/>
          <w:color w:val="auto"/>
          <w:kern w:val="2"/>
          <w:sz w:val="21"/>
          <w:szCs w:val="21"/>
          <w:highlight w:val="none"/>
          <w:lang w:eastAsia="zh-CN"/>
        </w:rPr>
        <w:t>）保持一致</w:t>
      </w:r>
      <w:r>
        <w:rPr>
          <w:rFonts w:hint="eastAsia" w:ascii="宋体" w:hAnsi="宋体" w:cs="宋体"/>
          <w:b/>
          <w:bCs/>
          <w:color w:val="auto"/>
          <w:kern w:val="2"/>
          <w:sz w:val="21"/>
          <w:szCs w:val="21"/>
          <w:highlight w:val="none"/>
          <w:lang w:eastAsia="zh-CN"/>
        </w:rPr>
        <w:t>，</w:t>
      </w:r>
      <w:r>
        <w:rPr>
          <w:rFonts w:hint="eastAsia" w:ascii="宋体" w:hAnsi="宋体" w:cs="宋体"/>
          <w:b w:val="0"/>
          <w:bCs w:val="0"/>
          <w:color w:val="auto"/>
          <w:kern w:val="2"/>
          <w:sz w:val="21"/>
          <w:szCs w:val="21"/>
          <w:highlight w:val="none"/>
          <w:lang w:val="en-US" w:eastAsia="zh-CN"/>
        </w:rPr>
        <w:t>投标人不得缺项漏项，否则视为无效报价。</w:t>
      </w:r>
    </w:p>
    <w:p w14:paraId="175E59CC">
      <w:pPr>
        <w:pStyle w:val="16"/>
        <w:keepNext w:val="0"/>
        <w:keepLines w:val="0"/>
        <w:pageBreakBefore w:val="0"/>
        <w:kinsoku/>
        <w:wordWrap/>
        <w:overflowPunct/>
        <w:topLinePunct w:val="0"/>
        <w:autoSpaceDE/>
        <w:autoSpaceDN/>
        <w:bidi w:val="0"/>
        <w:spacing w:line="360" w:lineRule="auto"/>
        <w:ind w:left="0" w:right="0" w:rightChars="0" w:firstLine="422" w:firstLineChars="2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项目实施要求</w:t>
      </w:r>
    </w:p>
    <w:p w14:paraId="3EC6FBAD">
      <w:pPr>
        <w:keepNext w:val="0"/>
        <w:keepLines w:val="0"/>
        <w:pageBreakBefore w:val="0"/>
        <w:widowControl/>
        <w:kinsoku/>
        <w:wordWrap/>
        <w:overflowPunct/>
        <w:topLinePunct w:val="0"/>
        <w:autoSpaceDE/>
        <w:autoSpaceDN/>
        <w:bidi w:val="0"/>
        <w:spacing w:line="360" w:lineRule="auto"/>
        <w:ind w:left="0" w:right="0" w:rightChars="0" w:firstLine="422"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1．建筑材料运输、保管及保险</w:t>
      </w:r>
    </w:p>
    <w:p w14:paraId="29D555F0">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负责建筑材料到施工地点的全部运输，包括装卸及现场搬运等。</w:t>
      </w:r>
    </w:p>
    <w:p w14:paraId="70A876B2">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负责建筑材料在施工地点的保管，直至项目验收合格。</w:t>
      </w:r>
    </w:p>
    <w:p w14:paraId="67A0B4FA">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负责其派出的施工人员的安全监管和人身意外保险</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包括对第三方安全负责</w:t>
      </w:r>
      <w:r>
        <w:rPr>
          <w:rFonts w:hint="eastAsia" w:ascii="宋体" w:hAnsi="宋体" w:eastAsia="宋体" w:cs="宋体"/>
          <w:color w:val="auto"/>
          <w:sz w:val="21"/>
          <w:szCs w:val="21"/>
          <w:highlight w:val="none"/>
        </w:rPr>
        <w:t>。</w:t>
      </w:r>
    </w:p>
    <w:p w14:paraId="259A2FD9">
      <w:pPr>
        <w:keepNext w:val="0"/>
        <w:keepLines w:val="0"/>
        <w:pageBreakBefore w:val="0"/>
        <w:widowControl/>
        <w:kinsoku/>
        <w:wordWrap/>
        <w:overflowPunct/>
        <w:topLinePunct w:val="0"/>
        <w:autoSpaceDE/>
        <w:autoSpaceDN/>
        <w:bidi w:val="0"/>
        <w:spacing w:line="360" w:lineRule="auto"/>
        <w:ind w:left="0" w:right="0" w:rightChars="0" w:firstLine="422" w:firstLineChars="200"/>
        <w:jc w:val="both"/>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2．施工要求</w:t>
      </w:r>
    </w:p>
    <w:p w14:paraId="11064630">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施工现场的关键岗位人员须与投标的关键岗位人员保持一致，否则采购人有权取消中标资格。</w:t>
      </w:r>
    </w:p>
    <w:p w14:paraId="086B3806">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须加强施工的组织管理，所有施工人员须遵守文明安全施工的有关规章制度，持证上岗。</w:t>
      </w:r>
    </w:p>
    <w:p w14:paraId="3F18FC41">
      <w:pPr>
        <w:pStyle w:val="25"/>
        <w:adjustRightInd w:val="0"/>
        <w:snapToGrid w:val="0"/>
        <w:spacing w:before="120" w:beforeLines="50"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2.3成交供应商在正式施工前需与此采购人确定缴纳施工用水用电费用。</w:t>
      </w:r>
    </w:p>
    <w:p w14:paraId="1400178A">
      <w:pPr>
        <w:keepNext w:val="0"/>
        <w:keepLines w:val="0"/>
        <w:pageBreakBefore w:val="0"/>
        <w:widowControl/>
        <w:kinsoku/>
        <w:wordWrap/>
        <w:overflowPunct/>
        <w:topLinePunct w:val="0"/>
        <w:autoSpaceDE/>
        <w:autoSpaceDN/>
        <w:bidi w:val="0"/>
        <w:spacing w:line="360" w:lineRule="auto"/>
        <w:ind w:left="0" w:right="0" w:rightChars="0" w:firstLine="420" w:firstLineChars="200"/>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成交供应商在施工过程中不得破坏建筑物结构，建筑物外装饰（瓷砖、外墙漆、内墙漆等），水电管线，设备设施等，如有损坏照原样恢复，拒绝恢复，采购人有权请其他单位施工。产生的费用从工程款中扣除。</w:t>
      </w:r>
    </w:p>
    <w:p w14:paraId="3BFAA9BC">
      <w:pPr>
        <w:keepNext w:val="0"/>
        <w:keepLines w:val="0"/>
        <w:pageBreakBefore w:val="0"/>
        <w:kinsoku/>
        <w:wordWrap/>
        <w:overflowPunct/>
        <w:topLinePunct w:val="0"/>
        <w:autoSpaceDE/>
        <w:autoSpaceDN/>
        <w:bidi w:val="0"/>
        <w:spacing w:line="360" w:lineRule="auto"/>
        <w:ind w:left="0" w:right="0" w:rightChars="0" w:firstLine="422" w:firstLineChars="200"/>
        <w:jc w:val="both"/>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3．验收要求</w:t>
      </w:r>
    </w:p>
    <w:p w14:paraId="1A5D943A">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3.1由采购人组织验收活动，</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负责在当地建设行政主管部门办理工程竣工验收备案</w:t>
      </w:r>
      <w:r>
        <w:rPr>
          <w:rFonts w:hint="eastAsia" w:ascii="宋体" w:hAnsi="宋体" w:eastAsia="宋体" w:cs="宋体"/>
          <w:bCs/>
          <w:color w:val="auto"/>
          <w:szCs w:val="21"/>
          <w:highlight w:val="none"/>
          <w:lang w:val="en-US" w:eastAsia="zh-CN"/>
        </w:rPr>
        <w:t>(如需)</w:t>
      </w:r>
      <w:r>
        <w:rPr>
          <w:rFonts w:hint="eastAsia" w:ascii="宋体" w:hAnsi="宋体" w:eastAsia="宋体" w:cs="宋体"/>
          <w:bCs/>
          <w:color w:val="auto"/>
          <w:szCs w:val="21"/>
          <w:highlight w:val="none"/>
        </w:rPr>
        <w:t>。</w:t>
      </w:r>
    </w:p>
    <w:p w14:paraId="36A19A29">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3.2</w:t>
      </w:r>
      <w:r>
        <w:rPr>
          <w:rFonts w:hint="eastAsia" w:ascii="宋体" w:hAnsi="宋体" w:eastAsia="宋体" w:cs="宋体"/>
          <w:bCs/>
          <w:color w:val="auto"/>
          <w:szCs w:val="21"/>
          <w:highlight w:val="none"/>
        </w:rPr>
        <w:t>验收过程中产生纠纷的，由质量技术监督部门认定的检测机构检测</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如为</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原因造成的，由</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承担检测费用；否则，由采购人承担。</w:t>
      </w:r>
    </w:p>
    <w:p w14:paraId="5E02D3BB">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项目验收不合格，由</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返工直至合格，有关返工、再行验收，以及给采购人造成的损失费用由</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承担。连续两次项目验收不合格的，采购人可终止合同，由此带来的一切损失由</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bCs/>
          <w:color w:val="auto"/>
          <w:szCs w:val="21"/>
          <w:highlight w:val="none"/>
        </w:rPr>
        <w:t>承担。</w:t>
      </w:r>
    </w:p>
    <w:p w14:paraId="0C7DDF51">
      <w:pPr>
        <w:pStyle w:val="296"/>
        <w:keepNext w:val="0"/>
        <w:keepLines w:val="0"/>
        <w:pageBreakBefore w:val="0"/>
        <w:kinsoku/>
        <w:wordWrap/>
        <w:overflowPunct/>
        <w:topLinePunct w:val="0"/>
        <w:autoSpaceDE/>
        <w:autoSpaceDN/>
        <w:bidi w:val="0"/>
        <w:spacing w:line="360" w:lineRule="auto"/>
        <w:ind w:left="0" w:leftChars="0" w:right="0" w:rightChars="0" w:firstLine="420" w:firstLineChars="200"/>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cs="宋体"/>
          <w:bCs/>
          <w:color w:val="auto"/>
          <w:kern w:val="2"/>
          <w:sz w:val="21"/>
          <w:szCs w:val="21"/>
          <w:highlight w:val="none"/>
          <w:lang w:val="en-US" w:eastAsia="zh-CN" w:bidi="ar-SA"/>
        </w:rPr>
        <w:t>4</w:t>
      </w:r>
      <w:r>
        <w:rPr>
          <w:rFonts w:hint="eastAsia" w:ascii="宋体" w:hAnsi="宋体" w:cs="宋体"/>
          <w:bCs/>
          <w:color w:val="auto"/>
          <w:sz w:val="21"/>
          <w:szCs w:val="21"/>
          <w:highlight w:val="none"/>
        </w:rPr>
        <w:t>项目完成后，成交供应商应将项目有关的全部资料，包括产品资料、技术文档、施工图纸等，移交采购人。</w:t>
      </w:r>
    </w:p>
    <w:p w14:paraId="1D68908B">
      <w:pPr>
        <w:keepNext w:val="0"/>
        <w:keepLines w:val="0"/>
        <w:pageBreakBefore w:val="0"/>
        <w:kinsoku/>
        <w:wordWrap/>
        <w:overflowPunct/>
        <w:topLinePunct w:val="0"/>
        <w:autoSpaceDE/>
        <w:autoSpaceDN/>
        <w:bidi w:val="0"/>
        <w:spacing w:line="360" w:lineRule="auto"/>
        <w:ind w:left="0" w:right="0" w:rightChars="0" w:firstLine="422" w:firstLineChars="200"/>
        <w:jc w:val="both"/>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4．质量保证</w:t>
      </w:r>
    </w:p>
    <w:p w14:paraId="34DA7778">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4.1</w:t>
      </w:r>
      <w:r>
        <w:rPr>
          <w:rFonts w:hint="eastAsia" w:ascii="宋体" w:hAnsi="宋体" w:eastAsia="宋体" w:cs="宋体"/>
          <w:color w:val="auto"/>
          <w:szCs w:val="21"/>
          <w:highlight w:val="none"/>
          <w:lang w:val="en-US" w:eastAsia="zh-CN"/>
        </w:rPr>
        <w:t>满足设计要求，符合现行国家、地方、行业有关工程施工验收规范合格标准</w:t>
      </w:r>
      <w:r>
        <w:rPr>
          <w:rFonts w:hint="eastAsia" w:ascii="宋体" w:hAnsi="宋体" w:eastAsia="宋体" w:cs="宋体"/>
          <w:bCs/>
          <w:color w:val="auto"/>
          <w:szCs w:val="21"/>
          <w:highlight w:val="none"/>
        </w:rPr>
        <w:t>。</w:t>
      </w:r>
    </w:p>
    <w:p w14:paraId="2301A378">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4.2施工期间，应接受采购人的监督管理，遵守有关规定。</w:t>
      </w:r>
    </w:p>
    <w:p w14:paraId="3A00EFEE">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4.3质量保修：按《房屋建筑工程质量保修办法》（建设部2000年80号令）保修。</w:t>
      </w:r>
    </w:p>
    <w:p w14:paraId="755B8C1A">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4.4</w:t>
      </w:r>
      <w:r>
        <w:rPr>
          <w:rFonts w:hint="eastAsia" w:ascii="宋体" w:hAnsi="宋体" w:eastAsia="宋体" w:cs="宋体"/>
          <w:bCs/>
          <w:color w:val="auto"/>
          <w:szCs w:val="21"/>
          <w:highlight w:val="none"/>
        </w:rPr>
        <w:t>质量保修费用</w:t>
      </w:r>
      <w:r>
        <w:rPr>
          <w:rFonts w:hint="eastAsia" w:ascii="宋体" w:hAnsi="宋体" w:cs="宋体"/>
          <w:bCs/>
          <w:color w:val="auto"/>
          <w:sz w:val="21"/>
          <w:szCs w:val="21"/>
          <w:highlight w:val="none"/>
        </w:rPr>
        <w:t>：质量保修费用及相关的损害赔偿费，由造成质量缺陷的责任方承担。</w:t>
      </w:r>
    </w:p>
    <w:p w14:paraId="45225618">
      <w:pPr>
        <w:keepNext w:val="0"/>
        <w:keepLines w:val="0"/>
        <w:pageBreakBefore w:val="0"/>
        <w:numPr>
          <w:ilvl w:val="0"/>
          <w:numId w:val="4"/>
        </w:numPr>
        <w:kinsoku/>
        <w:wordWrap/>
        <w:overflowPunct/>
        <w:topLinePunct w:val="0"/>
        <w:autoSpaceDE/>
        <w:autoSpaceDN/>
        <w:bidi w:val="0"/>
        <w:adjustRightInd w:val="0"/>
        <w:snapToGrid w:val="0"/>
        <w:spacing w:line="360" w:lineRule="auto"/>
        <w:ind w:left="0" w:right="0" w:rightChars="0" w:firstLine="422" w:firstLineChars="200"/>
        <w:jc w:val="both"/>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工程量清单编制依据</w:t>
      </w:r>
    </w:p>
    <w:p w14:paraId="6D448BCC">
      <w:pPr>
        <w:keepNext w:val="0"/>
        <w:keepLines w:val="0"/>
        <w:pageBreakBefore w:val="0"/>
        <w:numPr>
          <w:ilvl w:val="0"/>
          <w:numId w:val="0"/>
        </w:numPr>
        <w:kinsoku/>
        <w:wordWrap/>
        <w:overflowPunct/>
        <w:topLinePunct w:val="0"/>
        <w:autoSpaceDE/>
        <w:autoSpaceDN/>
        <w:bidi w:val="0"/>
        <w:adjustRightInd w:val="0"/>
        <w:snapToGrid w:val="0"/>
        <w:spacing w:line="360" w:lineRule="auto"/>
        <w:ind w:left="0" w:right="0" w:rightChars="0" w:firstLine="420" w:firstLineChars="200"/>
        <w:jc w:val="both"/>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w:t>
      </w:r>
      <w:r>
        <w:rPr>
          <w:rFonts w:hint="eastAsia" w:ascii="宋体" w:hAnsi="宋体" w:eastAsia="宋体" w:cs="宋体"/>
          <w:b w:val="0"/>
          <w:bCs/>
          <w:color w:val="auto"/>
          <w:szCs w:val="21"/>
          <w:highlight w:val="none"/>
        </w:rPr>
        <w:t>工程量清单编制依据</w:t>
      </w:r>
    </w:p>
    <w:p w14:paraId="2B32FF5A">
      <w:pPr>
        <w:keepNext w:val="0"/>
        <w:keepLines w:val="0"/>
        <w:pageBreakBefore w:val="0"/>
        <w:widowControl w:val="0"/>
        <w:kinsoku/>
        <w:wordWrap/>
        <w:overflowPunct/>
        <w:topLinePunct w:val="0"/>
        <w:autoSpaceDE/>
        <w:autoSpaceDN/>
        <w:bidi w:val="0"/>
        <w:spacing w:line="360" w:lineRule="auto"/>
        <w:ind w:left="0" w:right="0" w:righ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w:t>
      </w:r>
      <w:r>
        <w:rPr>
          <w:rFonts w:hint="eastAsia" w:ascii="宋体" w:hAnsi="宋体" w:cs="宋体"/>
          <w:b w:val="0"/>
          <w:bCs/>
          <w:color w:val="auto"/>
          <w:kern w:val="2"/>
          <w:sz w:val="21"/>
          <w:szCs w:val="21"/>
          <w:highlight w:val="none"/>
          <w:lang w:val="en-US" w:eastAsia="zh-CN" w:bidi="ar-SA"/>
        </w:rPr>
        <w:t>.1</w:t>
      </w:r>
      <w:r>
        <w:rPr>
          <w:rFonts w:hint="eastAsia" w:ascii="宋体" w:hAnsi="宋体" w:eastAsia="宋体" w:cs="宋体"/>
          <w:b w:val="0"/>
          <w:bCs/>
          <w:color w:val="auto"/>
          <w:kern w:val="2"/>
          <w:sz w:val="21"/>
          <w:szCs w:val="21"/>
          <w:highlight w:val="none"/>
          <w:lang w:val="en-US" w:eastAsia="zh-CN" w:bidi="ar-SA"/>
        </w:rPr>
        <w:t>、工程量清单及设计图纸等；</w:t>
      </w:r>
    </w:p>
    <w:p w14:paraId="4C5BC984">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1.2、《建设工程工程量清单计价标准》（GB/T 50500-2024）；</w:t>
      </w:r>
    </w:p>
    <w:p w14:paraId="7752A351">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lang w:eastAsia="en-US"/>
        </w:rPr>
        <w:t>《关于执行&lt;建设工程工程量清单计价标准&gt;及配套工程量计算标准的通知》（湘建科函〔2025〕150号）、《关于发布&lt;2025湖南省建设工程消耗量标准&gt; 的通知》（湘建科函〔2025〕151号）</w:t>
      </w:r>
      <w:r>
        <w:rPr>
          <w:rFonts w:hint="eastAsia" w:ascii="宋体" w:hAnsi="宋体" w:eastAsia="宋体" w:cs="宋体"/>
          <w:color w:val="auto"/>
          <w:szCs w:val="21"/>
          <w:highlight w:val="none"/>
          <w:lang w:val="en-US" w:eastAsia="zh-CN"/>
        </w:rPr>
        <w:t>；</w:t>
      </w:r>
    </w:p>
    <w:p w14:paraId="696D3464">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lang w:eastAsia="en-US"/>
        </w:rPr>
        <w:t>2025年《湖南省房屋建筑与装饰工程消耗量》、2025年《湖南省安装工程消耗量标准》、 2025年《湖南省市政工程消耗量标准》、2025年《湖南省园林绿化工程消耗量标准》、2025年《湖南省市政排水设施维护工程消耗量标准》及其解释文件、《湖南省建设工程造价管理总站关于发布2025年湖南省建设工程人工费指数的通知》（湘建价建〔2025〕18号）</w:t>
      </w:r>
      <w:r>
        <w:rPr>
          <w:rFonts w:hint="eastAsia" w:ascii="宋体" w:hAnsi="宋体" w:eastAsia="宋体" w:cs="宋体"/>
          <w:color w:val="auto"/>
          <w:szCs w:val="21"/>
          <w:highlight w:val="none"/>
          <w:lang w:val="en-US" w:eastAsia="zh-CN"/>
        </w:rPr>
        <w:t>；</w:t>
      </w:r>
    </w:p>
    <w:p w14:paraId="4DAF9AEE">
      <w:pPr>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1.5、国家及湖南省现行其它有关文件、规范、标准等。</w:t>
      </w:r>
    </w:p>
    <w:p w14:paraId="47062EF5">
      <w:pPr>
        <w:keepNext w:val="0"/>
        <w:keepLines w:val="0"/>
        <w:pageBreakBefore w:val="0"/>
        <w:widowControl w:val="0"/>
        <w:kinsoku/>
        <w:wordWrap/>
        <w:overflowPunct/>
        <w:topLinePunct w:val="0"/>
        <w:autoSpaceDE/>
        <w:autoSpaceDN/>
        <w:bidi w:val="0"/>
        <w:spacing w:line="360" w:lineRule="auto"/>
        <w:ind w:left="0" w:right="0" w:rightChars="0" w:firstLine="422"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七、其他要求</w:t>
      </w:r>
    </w:p>
    <w:p w14:paraId="7711765C">
      <w:pPr>
        <w:keepNext w:val="0"/>
        <w:keepLines w:val="0"/>
        <w:pageBreakBefore w:val="0"/>
        <w:widowControl w:val="0"/>
        <w:numPr>
          <w:ilvl w:val="0"/>
          <w:numId w:val="0"/>
        </w:numPr>
        <w:kinsoku/>
        <w:wordWrap/>
        <w:overflowPunct/>
        <w:topLinePunct w:val="0"/>
        <w:autoSpaceDE/>
        <w:autoSpaceDN/>
        <w:bidi w:val="0"/>
        <w:spacing w:line="360" w:lineRule="auto"/>
        <w:ind w:left="0" w:right="0" w:rightChars="0" w:firstLine="420" w:firstLineChars="200"/>
        <w:jc w:val="both"/>
        <w:textAlignment w:val="auto"/>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eastAsia="宋体" w:cs="宋体"/>
          <w:b w:val="0"/>
          <w:color w:val="auto"/>
          <w:spacing w:val="0"/>
          <w:w w:val="100"/>
          <w:kern w:val="2"/>
          <w:sz w:val="21"/>
          <w:szCs w:val="21"/>
          <w:highlight w:val="none"/>
          <w:lang w:val="en-US" w:eastAsia="zh-CN" w:bidi="ar-SA"/>
        </w:rPr>
        <w:t>1、材料要求：主要材料经采购人确认样品后方可采购、落地验收后方可投入使用。</w:t>
      </w:r>
    </w:p>
    <w:p w14:paraId="3B06EC8A">
      <w:pPr>
        <w:keepNext w:val="0"/>
        <w:keepLines w:val="0"/>
        <w:pageBreakBefore w:val="0"/>
        <w:widowControl w:val="0"/>
        <w:numPr>
          <w:ilvl w:val="0"/>
          <w:numId w:val="0"/>
        </w:numPr>
        <w:kinsoku/>
        <w:wordWrap/>
        <w:overflowPunct/>
        <w:topLinePunct w:val="0"/>
        <w:autoSpaceDE/>
        <w:autoSpaceDN/>
        <w:bidi w:val="0"/>
        <w:spacing w:line="360" w:lineRule="auto"/>
        <w:ind w:left="0" w:right="0" w:rightChars="0" w:firstLine="420" w:firstLineChars="200"/>
        <w:jc w:val="both"/>
        <w:textAlignment w:val="auto"/>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cs="宋体"/>
          <w:b w:val="0"/>
          <w:color w:val="auto"/>
          <w:spacing w:val="0"/>
          <w:w w:val="100"/>
          <w:kern w:val="2"/>
          <w:sz w:val="21"/>
          <w:szCs w:val="21"/>
          <w:highlight w:val="none"/>
          <w:lang w:val="en-US" w:eastAsia="zh-CN" w:bidi="ar-SA"/>
        </w:rPr>
        <w:t>2、</w:t>
      </w:r>
      <w:r>
        <w:rPr>
          <w:rFonts w:hint="eastAsia" w:ascii="宋体" w:hAnsi="宋体" w:eastAsia="宋体" w:cs="宋体"/>
          <w:b w:val="0"/>
          <w:color w:val="auto"/>
          <w:spacing w:val="0"/>
          <w:w w:val="100"/>
          <w:kern w:val="2"/>
          <w:sz w:val="21"/>
          <w:szCs w:val="21"/>
          <w:highlight w:val="none"/>
          <w:lang w:val="en-US" w:eastAsia="zh-CN" w:bidi="ar-SA"/>
        </w:rPr>
        <w:t>供应商在投标前，如需踏勘现场的自行踏勘，勘察现场所发生的费用和相关风险由供应商自己承担；中标后，成交供应商以不了解现场情况为由向采购人提出的任何索赔，采购人不予受理。</w:t>
      </w:r>
    </w:p>
    <w:p w14:paraId="7D1A3B5C">
      <w:pPr>
        <w:keepNext w:val="0"/>
        <w:keepLines w:val="0"/>
        <w:pageBreakBefore w:val="0"/>
        <w:widowControl w:val="0"/>
        <w:numPr>
          <w:ilvl w:val="0"/>
          <w:numId w:val="0"/>
        </w:numPr>
        <w:kinsoku/>
        <w:wordWrap/>
        <w:overflowPunct/>
        <w:topLinePunct w:val="0"/>
        <w:autoSpaceDE/>
        <w:autoSpaceDN/>
        <w:bidi w:val="0"/>
        <w:spacing w:line="360" w:lineRule="auto"/>
        <w:ind w:left="0" w:right="0" w:rightChars="0" w:firstLine="420" w:firstLineChars="200"/>
        <w:jc w:val="both"/>
        <w:textAlignment w:val="auto"/>
        <w:rPr>
          <w:rFonts w:hint="eastAsia" w:ascii="宋体" w:hAnsi="宋体" w:eastAsia="宋体" w:cs="宋体"/>
          <w:b w:val="0"/>
          <w:color w:val="auto"/>
          <w:spacing w:val="0"/>
          <w:w w:val="100"/>
          <w:kern w:val="2"/>
          <w:sz w:val="21"/>
          <w:szCs w:val="21"/>
          <w:highlight w:val="none"/>
          <w:lang w:val="en-US" w:eastAsia="zh-CN" w:bidi="ar-SA"/>
        </w:rPr>
      </w:pPr>
      <w:r>
        <w:rPr>
          <w:rFonts w:hint="eastAsia" w:ascii="宋体" w:hAnsi="宋体" w:cs="宋体"/>
          <w:b w:val="0"/>
          <w:color w:val="auto"/>
          <w:spacing w:val="0"/>
          <w:w w:val="100"/>
          <w:kern w:val="2"/>
          <w:sz w:val="21"/>
          <w:szCs w:val="21"/>
          <w:highlight w:val="none"/>
          <w:lang w:val="en-US" w:eastAsia="zh-CN" w:bidi="ar-SA"/>
        </w:rPr>
        <w:t>3</w:t>
      </w:r>
      <w:r>
        <w:rPr>
          <w:rFonts w:hint="eastAsia" w:ascii="宋体" w:hAnsi="宋体" w:eastAsia="宋体" w:cs="宋体"/>
          <w:b w:val="0"/>
          <w:color w:val="auto"/>
          <w:spacing w:val="0"/>
          <w:w w:val="100"/>
          <w:kern w:val="2"/>
          <w:sz w:val="21"/>
          <w:szCs w:val="21"/>
          <w:highlight w:val="none"/>
          <w:lang w:val="en-US" w:eastAsia="zh-CN" w:bidi="ar-SA"/>
        </w:rPr>
        <w:t>、供应商或成交供应商在参与本项目的全部过程中，应负责其派出的所有工作人员的人身意外保险以及承担人身意外事故引发的责任、损失和所有费用</w:t>
      </w:r>
      <w:r>
        <w:rPr>
          <w:rFonts w:hint="eastAsia" w:ascii="宋体" w:hAnsi="宋体" w:cs="宋体"/>
          <w:b w:val="0"/>
          <w:color w:val="auto"/>
          <w:spacing w:val="0"/>
          <w:w w:val="100"/>
          <w:kern w:val="2"/>
          <w:sz w:val="21"/>
          <w:szCs w:val="21"/>
          <w:highlight w:val="none"/>
          <w:lang w:val="en-US" w:eastAsia="zh-CN" w:bidi="ar-SA"/>
        </w:rPr>
        <w:t>，</w:t>
      </w:r>
      <w:r>
        <w:rPr>
          <w:rFonts w:hint="eastAsia" w:ascii="宋体" w:hAnsi="宋体" w:cs="宋体"/>
          <w:color w:val="auto"/>
          <w:sz w:val="21"/>
          <w:szCs w:val="21"/>
          <w:highlight w:val="none"/>
          <w:lang w:val="en-US" w:eastAsia="zh-CN"/>
        </w:rPr>
        <w:t>包括对第三方安全负责</w:t>
      </w:r>
      <w:r>
        <w:rPr>
          <w:rFonts w:hint="eastAsia" w:ascii="宋体" w:hAnsi="宋体" w:eastAsia="宋体" w:cs="宋体"/>
          <w:color w:val="auto"/>
          <w:sz w:val="21"/>
          <w:szCs w:val="21"/>
          <w:highlight w:val="none"/>
        </w:rPr>
        <w:t>。</w:t>
      </w:r>
      <w:r>
        <w:rPr>
          <w:rFonts w:hint="eastAsia" w:ascii="宋体" w:hAnsi="宋体" w:eastAsia="宋体" w:cs="宋体"/>
          <w:b w:val="0"/>
          <w:color w:val="auto"/>
          <w:spacing w:val="0"/>
          <w:w w:val="100"/>
          <w:kern w:val="2"/>
          <w:sz w:val="21"/>
          <w:szCs w:val="21"/>
          <w:highlight w:val="none"/>
          <w:lang w:val="en-US" w:eastAsia="zh-CN" w:bidi="ar-SA"/>
        </w:rPr>
        <w:t>采购人不承担供应商或成交供应商工作人员因意外（包括但不限于：在工作中发生的意外以及抵达驻场途中及返程中发生的意外）所致的任何责任。</w:t>
      </w:r>
    </w:p>
    <w:p w14:paraId="6C821B84">
      <w:pPr>
        <w:pStyle w:val="16"/>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
          <w:bCs/>
          <w:color w:val="auto"/>
          <w:sz w:val="21"/>
          <w:szCs w:val="21"/>
          <w:highlight w:val="none"/>
        </w:rPr>
      </w:pPr>
      <w:r>
        <w:rPr>
          <w:rFonts w:hint="eastAsia" w:ascii="宋体" w:hAnsi="宋体" w:cs="宋体"/>
          <w:b w:val="0"/>
          <w:color w:val="auto"/>
          <w:spacing w:val="0"/>
          <w:w w:val="100"/>
          <w:kern w:val="2"/>
          <w:sz w:val="21"/>
          <w:szCs w:val="21"/>
          <w:highlight w:val="none"/>
          <w:lang w:val="en-US" w:eastAsia="zh-CN" w:bidi="ar-SA"/>
        </w:rPr>
        <w:t>4</w:t>
      </w:r>
      <w:r>
        <w:rPr>
          <w:rFonts w:hint="eastAsia" w:ascii="宋体" w:hAnsi="宋体" w:eastAsia="宋体" w:cs="宋体"/>
          <w:b w:val="0"/>
          <w:color w:val="auto"/>
          <w:spacing w:val="0"/>
          <w:w w:val="100"/>
          <w:kern w:val="2"/>
          <w:sz w:val="21"/>
          <w:szCs w:val="21"/>
          <w:highlight w:val="none"/>
          <w:lang w:val="en-US" w:eastAsia="zh-CN" w:bidi="ar-SA"/>
        </w:rPr>
        <w:t>、供应商提供法定代表人签字并加盖公章的项目负责人授权项目实施委托授权书，承诺中标后不得变更项目负责人，项目负责人不得再行委托第三人等，否则供应商承担违约责任（如经济处罚、停工整改、中止合同履行、上</w:t>
      </w:r>
      <w:r>
        <w:rPr>
          <w:rFonts w:hint="eastAsia" w:ascii="宋体" w:hAnsi="宋体" w:eastAsia="宋体" w:cs="宋体"/>
          <w:b w:val="0"/>
          <w:bCs w:val="0"/>
          <w:color w:val="auto"/>
          <w:sz w:val="21"/>
          <w:szCs w:val="21"/>
          <w:highlight w:val="none"/>
        </w:rPr>
        <w:t>报相关省级行政主管部门）等。</w:t>
      </w:r>
    </w:p>
    <w:p w14:paraId="4512236D">
      <w:pPr>
        <w:pStyle w:val="16"/>
        <w:keepNext w:val="0"/>
        <w:keepLines w:val="0"/>
        <w:pageBreakBefore w:val="0"/>
        <w:kinsoku/>
        <w:wordWrap/>
        <w:overflowPunct/>
        <w:topLinePunct w:val="0"/>
        <w:autoSpaceDE/>
        <w:autoSpaceDN/>
        <w:bidi w:val="0"/>
        <w:spacing w:line="360" w:lineRule="auto"/>
        <w:ind w:left="0" w:right="0" w:rightChars="0" w:firstLine="420" w:firstLineChars="200"/>
        <w:jc w:val="both"/>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lang w:val="en-US" w:eastAsia="zh-CN"/>
        </w:rPr>
        <w:t>5</w:t>
      </w:r>
      <w:r>
        <w:rPr>
          <w:rFonts w:hint="eastAsia" w:ascii="宋体" w:hAnsi="宋体" w:eastAsia="宋体" w:cs="宋体"/>
          <w:bCs/>
          <w:color w:val="auto"/>
          <w:sz w:val="21"/>
          <w:szCs w:val="21"/>
          <w:highlight w:val="none"/>
        </w:rPr>
        <w:t>、成交供应商</w:t>
      </w:r>
      <w:r>
        <w:rPr>
          <w:rFonts w:hint="eastAsia" w:ascii="宋体" w:hAnsi="宋体" w:eastAsia="宋体" w:cs="宋体"/>
          <w:color w:val="auto"/>
          <w:sz w:val="21"/>
          <w:szCs w:val="21"/>
          <w:highlight w:val="none"/>
        </w:rPr>
        <w:t>应切实做好文明施工，保持现场清洁，服从采购人的管理，强化安全责任，抓好安全生产和安全教育，杜绝一切安全事故的发生。在施工现场若发生消防、人身事故、治安事件等所有事故及安全问题，均由</w:t>
      </w:r>
      <w:r>
        <w:rPr>
          <w:rFonts w:hint="eastAsia" w:ascii="宋体" w:hAnsi="宋体" w:eastAsia="宋体" w:cs="宋体"/>
          <w:bCs/>
          <w:color w:val="auto"/>
          <w:sz w:val="21"/>
          <w:szCs w:val="21"/>
          <w:highlight w:val="none"/>
        </w:rPr>
        <w:t>成交供应商</w:t>
      </w:r>
      <w:r>
        <w:rPr>
          <w:rFonts w:hint="eastAsia" w:ascii="宋体" w:hAnsi="宋体" w:eastAsia="宋体" w:cs="宋体"/>
          <w:color w:val="auto"/>
          <w:sz w:val="21"/>
          <w:szCs w:val="21"/>
          <w:highlight w:val="none"/>
        </w:rPr>
        <w:t>承担一切责任和费用，采购人概不负责；如给采购人造成财产损失，</w:t>
      </w:r>
      <w:r>
        <w:rPr>
          <w:rFonts w:hint="eastAsia" w:ascii="宋体" w:hAnsi="宋体" w:eastAsia="宋体" w:cs="宋体"/>
          <w:bCs/>
          <w:color w:val="auto"/>
          <w:sz w:val="21"/>
          <w:szCs w:val="21"/>
          <w:highlight w:val="none"/>
        </w:rPr>
        <w:t>成交供应商</w:t>
      </w:r>
      <w:r>
        <w:rPr>
          <w:rFonts w:hint="eastAsia" w:ascii="宋体" w:hAnsi="宋体" w:eastAsia="宋体" w:cs="宋体"/>
          <w:color w:val="auto"/>
          <w:sz w:val="21"/>
          <w:szCs w:val="21"/>
          <w:highlight w:val="none"/>
        </w:rPr>
        <w:t>要负责赔偿</w:t>
      </w:r>
      <w:r>
        <w:rPr>
          <w:rFonts w:hint="eastAsia" w:ascii="宋体" w:hAnsi="宋体" w:eastAsia="宋体" w:cs="宋体"/>
          <w:color w:val="auto"/>
          <w:sz w:val="21"/>
          <w:szCs w:val="21"/>
          <w:highlight w:val="none"/>
          <w:lang w:eastAsia="zh-CN"/>
        </w:rPr>
        <w:t>。</w:t>
      </w:r>
    </w:p>
    <w:p w14:paraId="09D4EDC1">
      <w:pPr>
        <w:rPr>
          <w:rFonts w:hint="default" w:ascii="Times New Roman" w:hAnsi="Times New Roman" w:eastAsia="宋体" w:cs="Times New Roman"/>
          <w:b/>
          <w:color w:val="auto"/>
          <w:kern w:val="2"/>
          <w:sz w:val="24"/>
          <w:szCs w:val="24"/>
          <w:highlight w:val="none"/>
          <w:lang w:val="en-US" w:eastAsia="zh-CN" w:bidi="ar-SA"/>
        </w:rPr>
      </w:pPr>
      <w:r>
        <w:rPr>
          <w:rFonts w:hint="default" w:ascii="Times New Roman" w:hAnsi="Times New Roman" w:eastAsia="宋体" w:cs="Times New Roman"/>
          <w:b/>
          <w:color w:val="auto"/>
          <w:kern w:val="2"/>
          <w:sz w:val="24"/>
          <w:szCs w:val="24"/>
          <w:highlight w:val="none"/>
          <w:lang w:val="en-US" w:eastAsia="zh-CN" w:bidi="ar-SA"/>
        </w:rPr>
        <w:br w:type="page"/>
      </w:r>
    </w:p>
    <w:p w14:paraId="01D4B626">
      <w:pPr>
        <w:rPr>
          <w:rFonts w:hint="default" w:ascii="Times New Roman" w:hAnsi="Times New Roman" w:eastAsia="宋体" w:cs="Times New Roman"/>
          <w:b/>
          <w:color w:val="auto"/>
          <w:kern w:val="2"/>
          <w:sz w:val="24"/>
          <w:szCs w:val="24"/>
          <w:highlight w:val="none"/>
          <w:lang w:val="en-US" w:eastAsia="zh-CN" w:bidi="ar-SA"/>
        </w:rPr>
      </w:pPr>
    </w:p>
    <w:p w14:paraId="7163929B">
      <w:pPr>
        <w:rPr>
          <w:rFonts w:hint="default" w:ascii="Times New Roman" w:hAnsi="Times New Roman" w:eastAsia="宋体" w:cs="Times New Roman"/>
          <w:b/>
          <w:color w:val="auto"/>
          <w:kern w:val="2"/>
          <w:sz w:val="24"/>
          <w:szCs w:val="24"/>
          <w:highlight w:val="none"/>
          <w:lang w:val="en-US" w:eastAsia="zh-CN" w:bidi="ar-SA"/>
        </w:rPr>
      </w:pPr>
    </w:p>
    <w:p w14:paraId="324A761A">
      <w:pPr>
        <w:rPr>
          <w:rFonts w:hint="default" w:ascii="Times New Roman" w:hAnsi="Times New Roman" w:eastAsia="宋体" w:cs="Times New Roman"/>
          <w:b/>
          <w:color w:val="auto"/>
          <w:kern w:val="2"/>
          <w:sz w:val="24"/>
          <w:szCs w:val="24"/>
          <w:highlight w:val="none"/>
          <w:lang w:val="en-US" w:eastAsia="zh-CN" w:bidi="ar-SA"/>
        </w:rPr>
      </w:pPr>
    </w:p>
    <w:p w14:paraId="448DD22B">
      <w:pPr>
        <w:pStyle w:val="295"/>
        <w:numPr>
          <w:ilvl w:val="0"/>
          <w:numId w:val="0"/>
        </w:numPr>
        <w:adjustRightInd w:val="0"/>
        <w:snapToGrid w:val="0"/>
        <w:spacing w:line="360" w:lineRule="auto"/>
        <w:ind w:left="1259" w:leftChars="0" w:hanging="839" w:firstLineChars="0"/>
        <w:jc w:val="center"/>
        <w:rPr>
          <w:rFonts w:ascii="Times New Roman" w:hAnsi="Times New Roman" w:eastAsia="宋体"/>
          <w:b/>
          <w:color w:val="auto"/>
          <w:szCs w:val="24"/>
          <w:highlight w:val="none"/>
        </w:rPr>
      </w:pPr>
      <w:r>
        <w:rPr>
          <w:rFonts w:hint="default" w:ascii="Times New Roman" w:hAnsi="Times New Roman" w:eastAsia="宋体" w:cs="Times New Roman"/>
          <w:b/>
          <w:color w:val="auto"/>
          <w:kern w:val="2"/>
          <w:sz w:val="24"/>
          <w:szCs w:val="24"/>
          <w:highlight w:val="none"/>
          <w:lang w:val="en-US" w:eastAsia="zh-CN" w:bidi="ar-SA"/>
        </w:rPr>
        <w:t>第二节</w:t>
      </w:r>
      <w:r>
        <w:rPr>
          <w:rFonts w:hint="eastAsia" w:ascii="Times New Roman" w:hAnsi="Times New Roman" w:eastAsia="宋体"/>
          <w:b/>
          <w:color w:val="auto"/>
          <w:sz w:val="24"/>
          <w:szCs w:val="24"/>
          <w:highlight w:val="none"/>
        </w:rPr>
        <w:t xml:space="preserve"> 商务要求</w:t>
      </w:r>
    </w:p>
    <w:p w14:paraId="30EBA661">
      <w:pPr>
        <w:pStyle w:val="61"/>
        <w:numPr>
          <w:ilvl w:val="0"/>
          <w:numId w:val="5"/>
        </w:numPr>
        <w:ind w:firstLine="422"/>
        <w:rPr>
          <w:b/>
          <w:color w:val="auto"/>
          <w:szCs w:val="21"/>
          <w:highlight w:val="none"/>
        </w:rPr>
      </w:pPr>
      <w:r>
        <w:rPr>
          <w:rFonts w:hint="eastAsia"/>
          <w:b/>
          <w:color w:val="auto"/>
          <w:szCs w:val="21"/>
          <w:highlight w:val="none"/>
        </w:rPr>
        <w:t>主要商务要求</w:t>
      </w:r>
    </w:p>
    <w:tbl>
      <w:tblPr>
        <w:tblStyle w:val="46"/>
        <w:tblW w:w="8799" w:type="dxa"/>
        <w:jc w:val="center"/>
        <w:tblLayout w:type="fixed"/>
        <w:tblCellMar>
          <w:top w:w="0" w:type="dxa"/>
          <w:left w:w="0" w:type="dxa"/>
          <w:bottom w:w="0" w:type="dxa"/>
          <w:right w:w="0" w:type="dxa"/>
        </w:tblCellMar>
      </w:tblPr>
      <w:tblGrid>
        <w:gridCol w:w="3025"/>
        <w:gridCol w:w="5774"/>
      </w:tblGrid>
      <w:tr w14:paraId="3BF80921">
        <w:tblPrEx>
          <w:tblCellMar>
            <w:top w:w="0" w:type="dxa"/>
            <w:left w:w="0" w:type="dxa"/>
            <w:bottom w:w="0" w:type="dxa"/>
            <w:right w:w="0" w:type="dxa"/>
          </w:tblCellMar>
        </w:tblPrEx>
        <w:trPr>
          <w:trHeight w:val="438" w:hRule="atLeast"/>
          <w:jc w:val="center"/>
        </w:trPr>
        <w:tc>
          <w:tcPr>
            <w:tcW w:w="302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40638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b/>
                <w:bCs/>
                <w:color w:val="auto"/>
                <w:szCs w:val="21"/>
                <w:highlight w:val="none"/>
              </w:rPr>
              <w:t>条款名称</w:t>
            </w:r>
          </w:p>
        </w:tc>
        <w:tc>
          <w:tcPr>
            <w:tcW w:w="5774"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49D41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b/>
                <w:bCs/>
                <w:color w:val="auto"/>
                <w:szCs w:val="21"/>
                <w:highlight w:val="none"/>
              </w:rPr>
              <w:t>编列内容规定</w:t>
            </w:r>
          </w:p>
        </w:tc>
      </w:tr>
      <w:tr w14:paraId="35A494CB">
        <w:tblPrEx>
          <w:tblCellMar>
            <w:top w:w="0" w:type="dxa"/>
            <w:left w:w="0" w:type="dxa"/>
            <w:bottom w:w="0" w:type="dxa"/>
            <w:right w:w="0" w:type="dxa"/>
          </w:tblCellMar>
        </w:tblPrEx>
        <w:trPr>
          <w:trHeight w:val="438"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03B959A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项目地点</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CAC3EF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eastAsia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吉首大学砂子坳校区</w:t>
            </w:r>
          </w:p>
        </w:tc>
      </w:tr>
      <w:tr w14:paraId="0964DDF8">
        <w:tblPrEx>
          <w:tblCellMar>
            <w:top w:w="0" w:type="dxa"/>
            <w:left w:w="0" w:type="dxa"/>
            <w:bottom w:w="0" w:type="dxa"/>
            <w:right w:w="0" w:type="dxa"/>
          </w:tblCellMar>
        </w:tblPrEx>
        <w:trPr>
          <w:trHeight w:val="438"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37F1AF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项目工期</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BC99CA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hint="eastAsia"/>
                <w:color w:val="auto"/>
                <w:highlight w:val="none"/>
                <w:lang w:eastAsia="zh-CN"/>
              </w:rPr>
              <w:t>合同签订后2个月之内完工</w:t>
            </w:r>
            <w:r>
              <w:rPr>
                <w:rFonts w:hint="eastAsia"/>
                <w:color w:val="auto"/>
                <w:highlight w:val="none"/>
              </w:rPr>
              <w:t>。</w:t>
            </w:r>
          </w:p>
        </w:tc>
      </w:tr>
      <w:tr w14:paraId="6D409EB8">
        <w:tblPrEx>
          <w:tblCellMar>
            <w:top w:w="0" w:type="dxa"/>
            <w:left w:w="0" w:type="dxa"/>
            <w:bottom w:w="0" w:type="dxa"/>
            <w:right w:w="0" w:type="dxa"/>
          </w:tblCellMar>
        </w:tblPrEx>
        <w:trPr>
          <w:trHeight w:val="438"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63B6DE4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质量要求</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710A20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ascii="宋体" w:hAnsi="宋体" w:cs="宋体"/>
                <w:color w:val="auto"/>
                <w:szCs w:val="21"/>
                <w:highlight w:val="none"/>
              </w:rPr>
              <w:t>达到国家和地方有关规定、规范要求</w:t>
            </w:r>
          </w:p>
        </w:tc>
      </w:tr>
      <w:tr w14:paraId="2FA91210">
        <w:tblPrEx>
          <w:tblCellMar>
            <w:top w:w="0" w:type="dxa"/>
            <w:left w:w="0" w:type="dxa"/>
            <w:bottom w:w="0" w:type="dxa"/>
            <w:right w:w="0" w:type="dxa"/>
          </w:tblCellMar>
        </w:tblPrEx>
        <w:trPr>
          <w:trHeight w:val="438"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6841B4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工程保修期</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8D9FAF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ascii="宋体" w:hAnsi="宋体"/>
                <w:color w:val="auto"/>
                <w:szCs w:val="21"/>
                <w:highlight w:val="none"/>
              </w:rPr>
              <w:t>按</w:t>
            </w:r>
            <w:r>
              <w:rPr>
                <w:rFonts w:hint="eastAsia" w:ascii="宋体" w:hAnsi="宋体"/>
                <w:color w:val="auto"/>
                <w:szCs w:val="21"/>
                <w:highlight w:val="none"/>
              </w:rPr>
              <w:t>国家相关规定</w:t>
            </w:r>
            <w:r>
              <w:rPr>
                <w:rFonts w:ascii="宋体" w:hAnsi="宋体"/>
                <w:color w:val="auto"/>
                <w:szCs w:val="21"/>
                <w:highlight w:val="none"/>
              </w:rPr>
              <w:t>保修</w:t>
            </w:r>
          </w:p>
        </w:tc>
      </w:tr>
      <w:tr w14:paraId="4FECE2F0">
        <w:tblPrEx>
          <w:tblCellMar>
            <w:top w:w="0" w:type="dxa"/>
            <w:left w:w="0" w:type="dxa"/>
            <w:bottom w:w="0" w:type="dxa"/>
            <w:right w:w="0" w:type="dxa"/>
          </w:tblCellMar>
        </w:tblPrEx>
        <w:trPr>
          <w:trHeight w:val="1023"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16C998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合同价款支付方式和条件</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F1D7FE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hint="eastAsia" w:ascii="宋体" w:hAnsi="宋体" w:cs="宋体"/>
                <w:color w:val="auto"/>
                <w:szCs w:val="21"/>
                <w:highlight w:val="none"/>
              </w:rPr>
              <w:t>支付方式：</w:t>
            </w:r>
          </w:p>
          <w:p w14:paraId="45CDE8FB">
            <w:pPr>
              <w:keepNext w:val="0"/>
              <w:keepLines w:val="0"/>
              <w:pageBreakBefore w:val="0"/>
              <w:widowControl w:val="0"/>
              <w:kinsoku/>
              <w:wordWrap/>
              <w:overflowPunct/>
              <w:topLinePunct w:val="0"/>
              <w:autoSpaceDE/>
              <w:autoSpaceDN/>
              <w:bidi w:val="0"/>
              <w:adjustRightInd/>
              <w:snapToGrid/>
              <w:spacing w:line="240" w:lineRule="auto"/>
              <w:jc w:val="left"/>
              <w:textAlignment w:val="auto"/>
              <w:rPr>
                <w:color w:val="auto"/>
                <w:highlight w:val="none"/>
              </w:rPr>
            </w:pPr>
            <w:r>
              <w:rPr>
                <w:rFonts w:ascii="宋体" w:hAnsi="宋体" w:cs="宋体"/>
                <w:strike w:val="0"/>
                <w:dstrike w:val="0"/>
                <w:color w:val="auto"/>
                <w:szCs w:val="21"/>
                <w:highlight w:val="none"/>
              </w:rPr>
              <w:t>付款条件：</w:t>
            </w:r>
            <w:r>
              <w:rPr>
                <w:rFonts w:hint="eastAsia" w:ascii="宋体" w:hAnsi="宋体" w:cs="宋体"/>
                <w:color w:val="auto"/>
                <w:szCs w:val="21"/>
                <w:highlight w:val="none"/>
                <w:lang w:val="en-US" w:eastAsia="zh-CN"/>
              </w:rPr>
              <w:t>项目竣工验收合格，经审计完成后支付结算审计金额的97%，余款两年后经甲方验收合格无息支付。</w:t>
            </w:r>
          </w:p>
        </w:tc>
      </w:tr>
      <w:tr w14:paraId="1BE35A25">
        <w:tblPrEx>
          <w:tblCellMar>
            <w:top w:w="0" w:type="dxa"/>
            <w:left w:w="0" w:type="dxa"/>
            <w:bottom w:w="0" w:type="dxa"/>
            <w:right w:w="0" w:type="dxa"/>
          </w:tblCellMar>
        </w:tblPrEx>
        <w:trPr>
          <w:trHeight w:val="827"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4E69AD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解决争议的方式</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A9B51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hint="eastAsia" w:ascii="宋体" w:hAnsi="宋体" w:cs="宋体"/>
                <w:bCs/>
                <w:color w:val="auto"/>
                <w:szCs w:val="21"/>
                <w:highlight w:val="none"/>
              </w:rPr>
              <w:t>合同执行过程中发生争执，由双方协商解决。协商不成时，依法向采购方所在地人民法院起诉。</w:t>
            </w:r>
          </w:p>
        </w:tc>
      </w:tr>
      <w:tr w14:paraId="2A540A30">
        <w:tblPrEx>
          <w:tblCellMar>
            <w:top w:w="0" w:type="dxa"/>
            <w:left w:w="0" w:type="dxa"/>
            <w:bottom w:w="0" w:type="dxa"/>
            <w:right w:w="0" w:type="dxa"/>
          </w:tblCellMar>
        </w:tblPrEx>
        <w:trPr>
          <w:trHeight w:val="489" w:hRule="atLeast"/>
          <w:jc w:val="center"/>
        </w:trPr>
        <w:tc>
          <w:tcPr>
            <w:tcW w:w="3025"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14:paraId="1C50BA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color w:val="auto"/>
                <w:highlight w:val="none"/>
              </w:rPr>
            </w:pPr>
            <w:r>
              <w:rPr>
                <w:rFonts w:hint="eastAsia" w:ascii="宋体" w:hAnsi="宋体" w:cs="宋体"/>
                <w:color w:val="auto"/>
                <w:szCs w:val="21"/>
                <w:highlight w:val="none"/>
              </w:rPr>
              <w:t>合同未尽事项</w:t>
            </w:r>
          </w:p>
        </w:tc>
        <w:tc>
          <w:tcPr>
            <w:tcW w:w="5774"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7E770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color w:val="auto"/>
                <w:highlight w:val="none"/>
              </w:rPr>
            </w:pPr>
            <w:r>
              <w:rPr>
                <w:rFonts w:hint="eastAsia" w:ascii="宋体" w:hAnsi="宋体" w:cs="宋体"/>
                <w:color w:val="auto"/>
                <w:szCs w:val="21"/>
                <w:highlight w:val="none"/>
              </w:rPr>
              <w:t>另行约定</w:t>
            </w:r>
          </w:p>
        </w:tc>
      </w:tr>
    </w:tbl>
    <w:p w14:paraId="6CECA37F">
      <w:pPr>
        <w:widowControl/>
        <w:spacing w:line="360" w:lineRule="auto"/>
        <w:jc w:val="left"/>
        <w:rPr>
          <w:rFonts w:ascii="宋体" w:hAnsi="宋体"/>
          <w:b/>
          <w:color w:val="auto"/>
          <w:szCs w:val="21"/>
          <w:highlight w:val="none"/>
        </w:rPr>
      </w:pPr>
      <w:r>
        <w:rPr>
          <w:rFonts w:hint="eastAsia" w:cs="宋体" w:asciiTheme="minorEastAsia" w:hAnsiTheme="minorEastAsia" w:eastAsiaTheme="minorEastAsia"/>
          <w:b/>
          <w:bCs/>
          <w:color w:val="auto"/>
          <w:szCs w:val="21"/>
          <w:highlight w:val="none"/>
        </w:rPr>
        <w:t>二、</w:t>
      </w:r>
      <w:r>
        <w:rPr>
          <w:rFonts w:hint="eastAsia" w:ascii="宋体" w:hAnsi="宋体"/>
          <w:b/>
          <w:color w:val="auto"/>
          <w:szCs w:val="21"/>
          <w:highlight w:val="none"/>
        </w:rPr>
        <w:t>其他商务要求</w:t>
      </w:r>
    </w:p>
    <w:p w14:paraId="3872B9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1、成交供应商不得以任何形式将本工程转包或分包给其他单位，如发现转包或分包，采购人</w:t>
      </w:r>
      <w:r>
        <w:rPr>
          <w:rFonts w:hint="eastAsia" w:ascii="宋体" w:hAnsi="宋体" w:eastAsia="宋体" w:cs="宋体"/>
          <w:color w:val="auto"/>
          <w:szCs w:val="21"/>
          <w:highlight w:val="none"/>
        </w:rPr>
        <w:t>有权终止合同，所造成的一切损失由成交供应商负责。</w:t>
      </w:r>
    </w:p>
    <w:p w14:paraId="1492605A">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color w:val="auto"/>
          <w:szCs w:val="21"/>
          <w:highlight w:val="none"/>
        </w:rPr>
        <w:t>投标时须提供针对本项目的详细施工方案。</w:t>
      </w:r>
    </w:p>
    <w:p w14:paraId="2051D5E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3、设施设备采购要求：工程量表所附拟采购设施设备及辅助材料质量合格，主材验收时必须有注册商标、产品检验合格证。</w:t>
      </w:r>
    </w:p>
    <w:p w14:paraId="5AB2AC80">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、报价注意事项：</w:t>
      </w:r>
    </w:p>
    <w:p w14:paraId="5F7DADD3">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szCs w:val="21"/>
          <w:highlight w:val="none"/>
        </w:rPr>
      </w:pPr>
      <w:r>
        <w:rPr>
          <w:rFonts w:hint="eastAsia" w:ascii="宋体" w:hAnsi="宋体"/>
          <w:color w:val="auto"/>
          <w:szCs w:val="21"/>
          <w:highlight w:val="none"/>
          <w:lang w:val="en-US" w:eastAsia="zh-CN"/>
        </w:rPr>
        <w:t>4</w:t>
      </w:r>
      <w:r>
        <w:rPr>
          <w:rFonts w:ascii="宋体" w:hAnsi="宋体"/>
          <w:color w:val="auto"/>
          <w:szCs w:val="21"/>
          <w:highlight w:val="none"/>
        </w:rPr>
        <w:t xml:space="preserve">.1 </w:t>
      </w:r>
      <w:r>
        <w:rPr>
          <w:rFonts w:ascii="宋体" w:hAnsi="宋体" w:cs="宋体"/>
          <w:color w:val="auto"/>
          <w:szCs w:val="21"/>
          <w:highlight w:val="none"/>
        </w:rPr>
        <w:t>投标报价应根据设计图纸、工程量清单及填表须知计算。</w:t>
      </w:r>
      <w:r>
        <w:rPr>
          <w:rFonts w:hint="eastAsia" w:ascii="宋体" w:hAnsi="宋体" w:eastAsia="宋体" w:cs="宋体"/>
          <w:color w:val="auto"/>
          <w:sz w:val="21"/>
          <w:szCs w:val="21"/>
          <w:highlight w:val="none"/>
          <w:lang w:eastAsia="zh-CN"/>
        </w:rPr>
        <w:t>供应商</w:t>
      </w:r>
      <w:r>
        <w:rPr>
          <w:rFonts w:ascii="宋体" w:hAnsi="宋体" w:cs="宋体"/>
          <w:color w:val="auto"/>
          <w:szCs w:val="21"/>
          <w:highlight w:val="none"/>
        </w:rPr>
        <w:t>在报价时要充分考虑本工程的一切风险因素（如场地因素、地质资料和地下障碍物因素、外部环境影响因素等等），在投标报价时做出最优和最合适、最有竞争力的报价。</w:t>
      </w:r>
    </w:p>
    <w:p w14:paraId="221DDAFE">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highlight w:val="none"/>
        </w:rPr>
      </w:pPr>
      <w:r>
        <w:rPr>
          <w:rFonts w:hint="eastAsia" w:ascii="宋体" w:hAnsi="宋体" w:cs="宋体"/>
          <w:color w:val="auto"/>
          <w:szCs w:val="21"/>
          <w:highlight w:val="none"/>
          <w:lang w:val="en-US" w:eastAsia="zh-CN"/>
        </w:rPr>
        <w:t>4</w:t>
      </w:r>
      <w:r>
        <w:rPr>
          <w:rFonts w:ascii="宋体" w:hAnsi="宋体" w:cs="宋体"/>
          <w:color w:val="auto"/>
          <w:szCs w:val="21"/>
          <w:highlight w:val="none"/>
        </w:rPr>
        <w:t>.2 临时用水、用电、临时设施费、赶工措施费、交通安全维护设施费、安全文明施工措施费、技术措施项目费、其它措施项目费、工程保险费、管理配合费等工程有关的费用及保证质量（含节能方面）的各项技术措施费，由</w:t>
      </w:r>
      <w:r>
        <w:rPr>
          <w:rFonts w:hint="eastAsia" w:ascii="宋体" w:hAnsi="宋体" w:eastAsia="宋体" w:cs="宋体"/>
          <w:color w:val="auto"/>
          <w:sz w:val="21"/>
          <w:szCs w:val="21"/>
          <w:highlight w:val="none"/>
          <w:lang w:eastAsia="zh-CN"/>
        </w:rPr>
        <w:t>供应商</w:t>
      </w:r>
      <w:r>
        <w:rPr>
          <w:rFonts w:ascii="宋体" w:hAnsi="宋体" w:cs="宋体"/>
          <w:color w:val="auto"/>
          <w:szCs w:val="21"/>
          <w:highlight w:val="none"/>
        </w:rPr>
        <w:t>自行考虑并计入投标报价。</w:t>
      </w:r>
    </w:p>
    <w:p w14:paraId="713945E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highlight w:val="none"/>
        </w:rPr>
      </w:pPr>
      <w:r>
        <w:rPr>
          <w:rFonts w:hint="eastAsia" w:ascii="宋体" w:hAnsi="宋体" w:cs="宋体"/>
          <w:color w:val="auto"/>
          <w:szCs w:val="21"/>
          <w:highlight w:val="none"/>
          <w:lang w:val="en-US" w:eastAsia="zh-CN"/>
        </w:rPr>
        <w:t>4</w:t>
      </w:r>
      <w:r>
        <w:rPr>
          <w:rFonts w:ascii="宋体" w:hAnsi="宋体" w:cs="宋体"/>
          <w:color w:val="auto"/>
          <w:szCs w:val="21"/>
          <w:highlight w:val="none"/>
        </w:rPr>
        <w:t>.3 本次投标报价是包含施工过程风险的报价，承包人在施工过程所需的施工风险处理费用及不可预见费用在投标报价中已包含。</w:t>
      </w:r>
    </w:p>
    <w:p w14:paraId="66E552B1">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highlight w:val="none"/>
        </w:rPr>
      </w:pPr>
      <w:r>
        <w:rPr>
          <w:rFonts w:hint="eastAsia" w:ascii="宋体" w:hAnsi="宋体" w:cs="宋体"/>
          <w:color w:val="auto"/>
          <w:szCs w:val="21"/>
          <w:highlight w:val="none"/>
          <w:lang w:val="en-US" w:eastAsia="zh-CN"/>
        </w:rPr>
        <w:t>4</w:t>
      </w:r>
      <w:r>
        <w:rPr>
          <w:rFonts w:ascii="宋体" w:hAnsi="宋体" w:cs="宋体"/>
          <w:color w:val="auto"/>
          <w:szCs w:val="21"/>
          <w:highlight w:val="none"/>
        </w:rPr>
        <w:t>.4 凡未有详细注明的做法，则按国家及湖南省有关的设计规范及施工验收规范进行施工，</w:t>
      </w:r>
      <w:r>
        <w:rPr>
          <w:rFonts w:hint="eastAsia" w:ascii="宋体" w:hAnsi="宋体" w:eastAsia="宋体" w:cs="宋体"/>
          <w:color w:val="auto"/>
          <w:sz w:val="21"/>
          <w:szCs w:val="21"/>
          <w:highlight w:val="none"/>
          <w:lang w:eastAsia="zh-CN"/>
        </w:rPr>
        <w:t>供应商</w:t>
      </w:r>
      <w:r>
        <w:rPr>
          <w:rFonts w:ascii="宋体" w:hAnsi="宋体" w:cs="宋体"/>
          <w:color w:val="auto"/>
          <w:szCs w:val="21"/>
          <w:highlight w:val="none"/>
        </w:rPr>
        <w:t>在投标报价时须将这些因素考虑在内。</w:t>
      </w:r>
    </w:p>
    <w:p w14:paraId="474B3328">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highlight w:val="none"/>
        </w:rPr>
      </w:pPr>
      <w:r>
        <w:rPr>
          <w:rFonts w:hint="eastAsia" w:ascii="宋体" w:hAnsi="宋体" w:cs="宋体"/>
          <w:color w:val="auto"/>
          <w:szCs w:val="21"/>
          <w:highlight w:val="none"/>
          <w:lang w:val="en-US" w:eastAsia="zh-CN"/>
        </w:rPr>
        <w:t>4</w:t>
      </w:r>
      <w:r>
        <w:rPr>
          <w:rFonts w:ascii="宋体" w:hAnsi="宋体" w:cs="宋体"/>
          <w:color w:val="auto"/>
          <w:szCs w:val="21"/>
          <w:highlight w:val="none"/>
        </w:rPr>
        <w:t>.5</w:t>
      </w:r>
      <w:r>
        <w:rPr>
          <w:rFonts w:hint="eastAsia" w:ascii="宋体" w:hAnsi="宋体" w:eastAsia="宋体" w:cs="宋体"/>
          <w:color w:val="auto"/>
          <w:sz w:val="21"/>
          <w:szCs w:val="21"/>
          <w:highlight w:val="none"/>
          <w:lang w:eastAsia="zh-CN"/>
        </w:rPr>
        <w:t>供应商</w:t>
      </w:r>
      <w:r>
        <w:rPr>
          <w:rFonts w:ascii="宋体" w:hAnsi="宋体" w:cs="宋体"/>
          <w:color w:val="auto"/>
          <w:szCs w:val="21"/>
          <w:highlight w:val="none"/>
        </w:rPr>
        <w:t>应依据采购人提供的设计图、工程量清单及现场踏勘计算工程量，按照相关文件进行编制。</w:t>
      </w:r>
    </w:p>
    <w:p w14:paraId="0A0B95A5">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olor w:val="auto"/>
          <w:highlight w:val="none"/>
        </w:rPr>
      </w:pPr>
      <w:r>
        <w:rPr>
          <w:rFonts w:hint="eastAsia" w:ascii="宋体" w:hAnsi="宋体" w:cs="宋体"/>
          <w:color w:val="auto"/>
          <w:szCs w:val="21"/>
          <w:highlight w:val="none"/>
          <w:lang w:val="en-US" w:eastAsia="zh-CN"/>
        </w:rPr>
        <w:t>4</w:t>
      </w:r>
      <w:r>
        <w:rPr>
          <w:rFonts w:ascii="宋体" w:hAnsi="宋体" w:cs="宋体"/>
          <w:color w:val="auto"/>
          <w:szCs w:val="21"/>
          <w:highlight w:val="none"/>
        </w:rPr>
        <w:t>.6工程所用的主材要求符合国家环保、节能、防火及质量要求，选择中档以上的国内知名品牌。</w:t>
      </w:r>
    </w:p>
    <w:p w14:paraId="2E8A5344">
      <w:pPr>
        <w:keepNext w:val="0"/>
        <w:keepLines w:val="0"/>
        <w:pageBreakBefore w:val="0"/>
        <w:widowControl w:val="0"/>
        <w:kinsoku/>
        <w:wordWrap/>
        <w:overflowPunct/>
        <w:topLinePunct w:val="0"/>
        <w:autoSpaceDE/>
        <w:autoSpaceDN/>
        <w:bidi w:val="0"/>
        <w:adjustRightInd/>
        <w:snapToGrid/>
        <w:spacing w:line="440" w:lineRule="exact"/>
        <w:ind w:firstLine="422"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、本项目专门面向中小企业采购，供应商必须为中型企业或小型企业或微型企业（残疾人福利性单位、监狱企业视同小微企业），中、小、微企业按照《政府采购促进中小企业发展管理办法》（财库﹝2020﹞46 号）的规定提供《中小企业声明函》，残疾人福利性单位提供《残疾人福利性单位声明函》，监狱企业按《财政部 司法部关于政府采购支持监狱企业发展有关问题的通知》(财库〔2014〕68号)文件规定提供证明文件复印件。</w:t>
      </w:r>
    </w:p>
    <w:p w14:paraId="613BF74D">
      <w:pPr>
        <w:pStyle w:val="25"/>
        <w:keepNext w:val="0"/>
        <w:keepLines w:val="0"/>
        <w:pageBreakBefore w:val="0"/>
        <w:widowControl w:val="0"/>
        <w:kinsoku/>
        <w:wordWrap/>
        <w:overflowPunct/>
        <w:topLinePunct w:val="0"/>
        <w:autoSpaceDE/>
        <w:autoSpaceDN/>
        <w:bidi w:val="0"/>
        <w:adjustRightInd w:val="0"/>
        <w:snapToGrid w:val="0"/>
        <w:spacing w:before="120" w:beforeLines="50" w:line="360" w:lineRule="auto"/>
        <w:ind w:firstLine="482" w:firstLineChars="200"/>
        <w:jc w:val="both"/>
        <w:textAlignment w:val="auto"/>
        <w:rPr>
          <w:rFonts w:hint="eastAsia" w:hAnsi="宋体"/>
          <w:b/>
          <w:bCs/>
          <w:color w:val="auto"/>
          <w:sz w:val="24"/>
          <w:szCs w:val="24"/>
          <w:highlight w:val="none"/>
        </w:rPr>
      </w:pPr>
      <w:r>
        <w:rPr>
          <w:rFonts w:hint="eastAsia" w:hAnsi="宋体"/>
          <w:b/>
          <w:bCs/>
          <w:color w:val="auto"/>
          <w:sz w:val="24"/>
          <w:szCs w:val="24"/>
          <w:highlight w:val="none"/>
        </w:rPr>
        <w:t>对于上述项目要求，供应商应在响应文件中进行回应，作出承诺及说明。</w:t>
      </w:r>
      <w:bookmarkStart w:id="91" w:name="_Toc6014"/>
      <w:bookmarkStart w:id="92" w:name="_Toc31469"/>
      <w:bookmarkStart w:id="93" w:name="_Toc22060"/>
      <w:bookmarkStart w:id="94" w:name="_Toc12063"/>
      <w:bookmarkStart w:id="95" w:name="_Toc13949"/>
      <w:bookmarkStart w:id="96" w:name="_Toc24824"/>
      <w:bookmarkStart w:id="97" w:name="_Toc25360"/>
      <w:bookmarkStart w:id="98" w:name="_Toc6947"/>
    </w:p>
    <w:p w14:paraId="3D4A1DF7">
      <w:pPr>
        <w:pStyle w:val="25"/>
        <w:adjustRightInd w:val="0"/>
        <w:snapToGrid w:val="0"/>
        <w:spacing w:before="120" w:beforeLines="50" w:line="360" w:lineRule="auto"/>
        <w:jc w:val="center"/>
        <w:rPr>
          <w:rFonts w:hAnsi="宋体"/>
          <w:b/>
          <w:color w:val="auto"/>
          <w:sz w:val="84"/>
          <w:szCs w:val="84"/>
          <w:highlight w:val="none"/>
        </w:rPr>
      </w:pPr>
      <w:r>
        <w:rPr>
          <w:rFonts w:hAnsi="宋体"/>
          <w:b/>
          <w:color w:val="auto"/>
          <w:sz w:val="84"/>
          <w:szCs w:val="84"/>
          <w:highlight w:val="none"/>
        </w:rPr>
        <w:br w:type="page"/>
      </w:r>
    </w:p>
    <w:bookmarkEnd w:id="91"/>
    <w:bookmarkEnd w:id="92"/>
    <w:bookmarkEnd w:id="93"/>
    <w:bookmarkEnd w:id="94"/>
    <w:bookmarkEnd w:id="95"/>
    <w:bookmarkEnd w:id="96"/>
    <w:bookmarkEnd w:id="97"/>
    <w:bookmarkEnd w:id="98"/>
    <w:p w14:paraId="3E82137F">
      <w:pPr>
        <w:pStyle w:val="61"/>
        <w:rPr>
          <w:color w:val="auto"/>
          <w:highlight w:val="none"/>
        </w:rPr>
      </w:pPr>
    </w:p>
    <w:p w14:paraId="5288FD21">
      <w:pPr>
        <w:pStyle w:val="61"/>
        <w:rPr>
          <w:color w:val="auto"/>
          <w:highlight w:val="none"/>
        </w:rPr>
      </w:pPr>
    </w:p>
    <w:p w14:paraId="4B5D4BFF">
      <w:pPr>
        <w:pStyle w:val="2"/>
        <w:rPr>
          <w:color w:val="auto"/>
          <w:highlight w:val="none"/>
        </w:rPr>
      </w:pPr>
      <w:bookmarkStart w:id="99" w:name="_Toc27468"/>
      <w:r>
        <w:rPr>
          <w:rFonts w:hint="eastAsia"/>
          <w:color w:val="auto"/>
          <w:highlight w:val="none"/>
        </w:rPr>
        <w:t>第六章 响应文件组成</w:t>
      </w:r>
      <w:bookmarkEnd w:id="99"/>
    </w:p>
    <w:p w14:paraId="5DAC8960">
      <w:pPr>
        <w:spacing w:line="360" w:lineRule="auto"/>
        <w:rPr>
          <w:rFonts w:ascii="宋体" w:hAnsi="宋体"/>
          <w:color w:val="auto"/>
          <w:highlight w:val="none"/>
        </w:rPr>
      </w:pPr>
    </w:p>
    <w:p w14:paraId="70F53E9C">
      <w:pPr>
        <w:spacing w:line="360" w:lineRule="auto"/>
        <w:rPr>
          <w:rFonts w:ascii="宋体" w:hAnsi="宋体"/>
          <w:color w:val="auto"/>
          <w:highlight w:val="none"/>
        </w:rPr>
      </w:pPr>
      <w:r>
        <w:rPr>
          <w:rFonts w:hint="eastAsia" w:ascii="宋体" w:hAnsi="宋体"/>
          <w:color w:val="auto"/>
          <w:highlight w:val="none"/>
        </w:rPr>
        <w:t>供应商的响应文件应包含以下几个部分：</w:t>
      </w:r>
    </w:p>
    <w:p w14:paraId="5451701F">
      <w:pPr>
        <w:adjustRightInd w:val="0"/>
        <w:snapToGrid w:val="0"/>
        <w:spacing w:line="360" w:lineRule="auto"/>
        <w:jc w:val="left"/>
        <w:outlineLvl w:val="1"/>
        <w:rPr>
          <w:rFonts w:asciiTheme="minorEastAsia" w:hAnsiTheme="minorEastAsia" w:eastAsiaTheme="minorEastAsia" w:cstheme="minorEastAsia"/>
          <w:b/>
          <w:color w:val="auto"/>
          <w:szCs w:val="21"/>
          <w:highlight w:val="none"/>
        </w:rPr>
      </w:pPr>
      <w:bookmarkStart w:id="100" w:name="_Toc1414"/>
      <w:r>
        <w:rPr>
          <w:rFonts w:hint="eastAsia" w:asciiTheme="minorEastAsia" w:hAnsiTheme="minorEastAsia" w:eastAsiaTheme="minorEastAsia" w:cstheme="minorEastAsia"/>
          <w:b/>
          <w:color w:val="auto"/>
          <w:szCs w:val="21"/>
          <w:highlight w:val="none"/>
        </w:rPr>
        <w:t>一、磋商响应声明</w:t>
      </w:r>
      <w:bookmarkEnd w:id="100"/>
    </w:p>
    <w:p w14:paraId="7D1CE2E2">
      <w:pPr>
        <w:adjustRightInd w:val="0"/>
        <w:snapToGrid w:val="0"/>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附件1：法定代表人身份证明(法定代表人参加磋商)</w:t>
      </w:r>
    </w:p>
    <w:p w14:paraId="16561727">
      <w:pPr>
        <w:adjustRightInd w:val="0"/>
        <w:snapToGrid w:val="0"/>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附件2：法定代表人授权书(委托代理人参加磋商)</w:t>
      </w:r>
    </w:p>
    <w:p w14:paraId="3D41E7B5">
      <w:pPr>
        <w:adjustRightInd w:val="0"/>
        <w:snapToGrid w:val="0"/>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附件3：湖南省政府采购供应商资格承诺函</w:t>
      </w:r>
    </w:p>
    <w:p w14:paraId="64319F96">
      <w:pPr>
        <w:adjustRightInd w:val="0"/>
        <w:snapToGrid w:val="0"/>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附件4：工程质量保修书</w:t>
      </w:r>
    </w:p>
    <w:p w14:paraId="4A2FF0B6">
      <w:pPr>
        <w:adjustRightInd w:val="0"/>
        <w:snapToGrid w:val="0"/>
        <w:spacing w:line="360" w:lineRule="auto"/>
        <w:jc w:val="left"/>
        <w:outlineLvl w:val="1"/>
        <w:rPr>
          <w:rFonts w:asciiTheme="minorEastAsia" w:hAnsiTheme="minorEastAsia" w:eastAsiaTheme="minorEastAsia" w:cstheme="minorEastAsia"/>
          <w:b/>
          <w:color w:val="auto"/>
          <w:szCs w:val="21"/>
          <w:highlight w:val="none"/>
        </w:rPr>
      </w:pPr>
      <w:bookmarkStart w:id="101" w:name="_Toc3694"/>
      <w:r>
        <w:rPr>
          <w:rFonts w:hint="eastAsia" w:asciiTheme="minorEastAsia" w:hAnsiTheme="minorEastAsia" w:eastAsiaTheme="minorEastAsia" w:cstheme="minorEastAsia"/>
          <w:b/>
          <w:color w:val="auto"/>
          <w:szCs w:val="21"/>
          <w:highlight w:val="none"/>
          <w:lang w:val="en-US" w:eastAsia="zh-CN"/>
        </w:rPr>
        <w:t>二</w:t>
      </w:r>
      <w:r>
        <w:rPr>
          <w:rFonts w:hint="eastAsia" w:asciiTheme="minorEastAsia" w:hAnsiTheme="minorEastAsia" w:eastAsiaTheme="minorEastAsia" w:cstheme="minorEastAsia"/>
          <w:b/>
          <w:color w:val="auto"/>
          <w:szCs w:val="21"/>
          <w:highlight w:val="none"/>
        </w:rPr>
        <w:t>、供应商的资格证明材料</w:t>
      </w:r>
      <w:bookmarkEnd w:id="101"/>
    </w:p>
    <w:p w14:paraId="4B4BE2C4">
      <w:pPr>
        <w:adjustRightInd w:val="0"/>
        <w:snapToGrid w:val="0"/>
        <w:spacing w:line="360" w:lineRule="auto"/>
        <w:ind w:firstLine="420" w:firstLineChars="200"/>
        <w:jc w:val="left"/>
        <w:outlineLvl w:val="0"/>
        <w:rPr>
          <w:rFonts w:asciiTheme="minorEastAsia" w:hAnsiTheme="minorEastAsia" w:eastAsiaTheme="minorEastAsia" w:cstheme="minorEastAsia"/>
          <w:color w:val="auto"/>
          <w:szCs w:val="21"/>
          <w:highlight w:val="none"/>
        </w:rPr>
      </w:pPr>
      <w:bookmarkStart w:id="102" w:name="_Toc14920"/>
      <w:r>
        <w:rPr>
          <w:rFonts w:hint="eastAsia" w:asciiTheme="minorEastAsia" w:hAnsiTheme="minorEastAsia" w:eastAsiaTheme="minorEastAsia" w:cstheme="minorEastAsia"/>
          <w:color w:val="auto"/>
          <w:szCs w:val="21"/>
          <w:highlight w:val="none"/>
        </w:rPr>
        <w:t>附件5：供应商基本情况表</w:t>
      </w:r>
      <w:bookmarkEnd w:id="102"/>
    </w:p>
    <w:p w14:paraId="71602DD4">
      <w:pPr>
        <w:adjustRightInd w:val="0"/>
        <w:snapToGrid w:val="0"/>
        <w:spacing w:line="360" w:lineRule="auto"/>
        <w:ind w:firstLine="420" w:firstLineChars="200"/>
        <w:outlineLvl w:val="0"/>
        <w:rPr>
          <w:rFonts w:asciiTheme="minorEastAsia" w:hAnsiTheme="minorEastAsia" w:eastAsiaTheme="minorEastAsia" w:cstheme="minorEastAsia"/>
          <w:color w:val="auto"/>
          <w:szCs w:val="21"/>
          <w:highlight w:val="none"/>
        </w:rPr>
      </w:pPr>
      <w:bookmarkStart w:id="103" w:name="_Toc32558"/>
      <w:r>
        <w:rPr>
          <w:rFonts w:hint="eastAsia" w:asciiTheme="minorEastAsia" w:hAnsiTheme="minorEastAsia" w:eastAsiaTheme="minorEastAsia" w:cstheme="minorEastAsia"/>
          <w:color w:val="auto"/>
          <w:szCs w:val="21"/>
          <w:highlight w:val="none"/>
        </w:rPr>
        <w:t>附件6：供应商的资格条件更新材料</w:t>
      </w:r>
      <w:bookmarkEnd w:id="103"/>
    </w:p>
    <w:p w14:paraId="27AC8E91">
      <w:pPr>
        <w:adjustRightInd w:val="0"/>
        <w:snapToGrid w:val="0"/>
        <w:spacing w:line="360" w:lineRule="auto"/>
        <w:ind w:firstLine="420" w:firstLineChars="200"/>
        <w:jc w:val="left"/>
        <w:outlineLvl w:val="0"/>
        <w:rPr>
          <w:rFonts w:asciiTheme="minorEastAsia" w:hAnsiTheme="minorEastAsia" w:eastAsiaTheme="minorEastAsia" w:cstheme="minorEastAsia"/>
          <w:color w:val="auto"/>
          <w:szCs w:val="21"/>
          <w:highlight w:val="none"/>
        </w:rPr>
      </w:pPr>
      <w:bookmarkStart w:id="104" w:name="_Toc655"/>
      <w:r>
        <w:rPr>
          <w:rFonts w:hint="eastAsia" w:asciiTheme="minorEastAsia" w:hAnsiTheme="minorEastAsia" w:eastAsiaTheme="minorEastAsia" w:cstheme="minorEastAsia"/>
          <w:color w:val="auto"/>
          <w:szCs w:val="21"/>
          <w:highlight w:val="none"/>
        </w:rPr>
        <w:t>附件7：磋商文件规定的基本资格条件证明资料</w:t>
      </w:r>
      <w:bookmarkEnd w:id="104"/>
    </w:p>
    <w:p w14:paraId="25715060">
      <w:pPr>
        <w:adjustRightInd w:val="0"/>
        <w:snapToGrid w:val="0"/>
        <w:spacing w:line="360" w:lineRule="auto"/>
        <w:ind w:firstLine="420" w:firstLineChars="200"/>
        <w:jc w:val="left"/>
        <w:outlineLvl w:val="0"/>
        <w:rPr>
          <w:rFonts w:asciiTheme="minorEastAsia" w:hAnsiTheme="minorEastAsia" w:eastAsiaTheme="minorEastAsia" w:cstheme="minorEastAsia"/>
          <w:color w:val="auto"/>
          <w:szCs w:val="21"/>
          <w:highlight w:val="none"/>
        </w:rPr>
      </w:pPr>
      <w:bookmarkStart w:id="105" w:name="_Toc16353"/>
      <w:r>
        <w:rPr>
          <w:rFonts w:hint="eastAsia" w:asciiTheme="minorEastAsia" w:hAnsiTheme="minorEastAsia" w:eastAsiaTheme="minorEastAsia" w:cstheme="minorEastAsia"/>
          <w:color w:val="auto"/>
          <w:szCs w:val="21"/>
          <w:highlight w:val="none"/>
        </w:rPr>
        <w:t>附件8：磋商文件规定的特定资格条件证明资料</w:t>
      </w:r>
      <w:bookmarkEnd w:id="105"/>
    </w:p>
    <w:p w14:paraId="73C1DA36">
      <w:pPr>
        <w:adjustRightInd w:val="0"/>
        <w:snapToGrid w:val="0"/>
        <w:spacing w:line="360" w:lineRule="auto"/>
        <w:outlineLvl w:val="1"/>
        <w:rPr>
          <w:rFonts w:asciiTheme="minorEastAsia" w:hAnsiTheme="minorEastAsia" w:eastAsiaTheme="minorEastAsia" w:cstheme="minorEastAsia"/>
          <w:color w:val="auto"/>
          <w:szCs w:val="21"/>
          <w:highlight w:val="none"/>
        </w:rPr>
      </w:pPr>
      <w:bookmarkStart w:id="106" w:name="_Toc14460"/>
      <w:r>
        <w:rPr>
          <w:rFonts w:hint="eastAsia" w:asciiTheme="minorEastAsia" w:hAnsiTheme="minorEastAsia" w:eastAsiaTheme="minorEastAsia" w:cstheme="minorEastAsia"/>
          <w:b/>
          <w:color w:val="auto"/>
          <w:highlight w:val="none"/>
          <w:lang w:val="en-US" w:eastAsia="zh-CN"/>
        </w:rPr>
        <w:t>三</w:t>
      </w:r>
      <w:r>
        <w:rPr>
          <w:rFonts w:hint="eastAsia" w:asciiTheme="minorEastAsia" w:hAnsiTheme="minorEastAsia" w:eastAsiaTheme="minorEastAsia" w:cstheme="minorEastAsia"/>
          <w:b/>
          <w:color w:val="auto"/>
          <w:highlight w:val="none"/>
        </w:rPr>
        <w:t>、施工组织设计</w:t>
      </w:r>
      <w:bookmarkEnd w:id="106"/>
    </w:p>
    <w:p w14:paraId="293F77CD">
      <w:pPr>
        <w:adjustRightInd w:val="0"/>
        <w:snapToGrid w:val="0"/>
        <w:spacing w:line="360" w:lineRule="auto"/>
        <w:ind w:firstLine="420" w:firstLineChars="200"/>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附件9：主要人员简历表</w:t>
      </w:r>
    </w:p>
    <w:p w14:paraId="39C89804">
      <w:pPr>
        <w:pStyle w:val="25"/>
        <w:adjustRightInd w:val="0"/>
        <w:snapToGrid w:val="0"/>
        <w:spacing w:line="360" w:lineRule="auto"/>
        <w:rPr>
          <w:rFonts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lang w:val="en-US" w:eastAsia="zh-CN"/>
        </w:rPr>
        <w:t>四</w:t>
      </w:r>
      <w:r>
        <w:rPr>
          <w:rFonts w:hint="eastAsia" w:asciiTheme="minorEastAsia" w:hAnsiTheme="minorEastAsia" w:eastAsiaTheme="minorEastAsia" w:cstheme="minorEastAsia"/>
          <w:b/>
          <w:color w:val="auto"/>
          <w:highlight w:val="none"/>
        </w:rPr>
        <w:t>、技术/商务响应与偏离表</w:t>
      </w:r>
    </w:p>
    <w:p w14:paraId="3519CD82">
      <w:pPr>
        <w:pStyle w:val="25"/>
        <w:adjustRightInd w:val="0"/>
        <w:snapToGrid w:val="0"/>
        <w:spacing w:line="360" w:lineRule="auto"/>
        <w:rPr>
          <w:rFonts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lang w:val="en-US" w:eastAsia="zh-CN"/>
        </w:rPr>
        <w:t>五</w:t>
      </w:r>
      <w:r>
        <w:rPr>
          <w:rFonts w:hint="eastAsia" w:asciiTheme="minorEastAsia" w:hAnsiTheme="minorEastAsia" w:eastAsiaTheme="minorEastAsia" w:cstheme="minorEastAsia"/>
          <w:b/>
          <w:color w:val="auto"/>
          <w:highlight w:val="none"/>
        </w:rPr>
        <w:t>、提供政府采购政策产品等证明材料</w:t>
      </w:r>
    </w:p>
    <w:p w14:paraId="5BA01587">
      <w:pPr>
        <w:pStyle w:val="25"/>
        <w:adjustRightInd w:val="0"/>
        <w:snapToGrid w:val="0"/>
        <w:spacing w:line="360" w:lineRule="auto"/>
        <w:ind w:firstLine="420" w:firstLineChars="2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附件9：中小企业声明函</w:t>
      </w:r>
    </w:p>
    <w:p w14:paraId="1CCC38FA">
      <w:pPr>
        <w:pStyle w:val="25"/>
        <w:adjustRightInd w:val="0"/>
        <w:snapToGrid w:val="0"/>
        <w:spacing w:line="360" w:lineRule="auto"/>
        <w:outlineLvl w:val="1"/>
        <w:rPr>
          <w:rFonts w:asciiTheme="minorEastAsia" w:hAnsiTheme="minorEastAsia" w:eastAsiaTheme="minorEastAsia" w:cstheme="minorEastAsia"/>
          <w:b/>
          <w:color w:val="auto"/>
          <w:highlight w:val="none"/>
        </w:rPr>
      </w:pPr>
      <w:bookmarkStart w:id="107" w:name="_Toc26663"/>
      <w:r>
        <w:rPr>
          <w:rFonts w:hint="eastAsia" w:asciiTheme="minorEastAsia" w:hAnsiTheme="minorEastAsia" w:eastAsiaTheme="minorEastAsia" w:cstheme="minorEastAsia"/>
          <w:b/>
          <w:color w:val="auto"/>
          <w:highlight w:val="none"/>
          <w:lang w:val="en-US" w:eastAsia="zh-CN"/>
        </w:rPr>
        <w:t>六</w:t>
      </w:r>
      <w:r>
        <w:rPr>
          <w:rFonts w:hint="eastAsia" w:asciiTheme="minorEastAsia" w:hAnsiTheme="minorEastAsia" w:eastAsiaTheme="minorEastAsia" w:cstheme="minorEastAsia"/>
          <w:b/>
          <w:color w:val="auto"/>
          <w:highlight w:val="none"/>
        </w:rPr>
        <w:t>、报价一览表及报价文件</w:t>
      </w:r>
      <w:bookmarkEnd w:id="107"/>
    </w:p>
    <w:p w14:paraId="5164F276">
      <w:pPr>
        <w:adjustRightInd w:val="0"/>
        <w:snapToGrid w:val="0"/>
        <w:spacing w:line="360" w:lineRule="auto"/>
        <w:ind w:firstLine="420" w:firstLineChars="200"/>
        <w:jc w:val="left"/>
        <w:outlineLvl w:val="0"/>
        <w:rPr>
          <w:rFonts w:asciiTheme="minorEastAsia" w:hAnsiTheme="minorEastAsia" w:eastAsiaTheme="minorEastAsia" w:cstheme="minorEastAsia"/>
          <w:color w:val="auto"/>
          <w:szCs w:val="21"/>
          <w:highlight w:val="none"/>
        </w:rPr>
      </w:pPr>
      <w:bookmarkStart w:id="108" w:name="_Toc19230"/>
      <w:r>
        <w:rPr>
          <w:rFonts w:hint="eastAsia" w:asciiTheme="minorEastAsia" w:hAnsiTheme="minorEastAsia" w:eastAsiaTheme="minorEastAsia" w:cstheme="minorEastAsia"/>
          <w:color w:val="auto"/>
          <w:szCs w:val="21"/>
          <w:highlight w:val="none"/>
        </w:rPr>
        <w:t>附件10：报价一览表及报价文件</w:t>
      </w:r>
      <w:bookmarkEnd w:id="108"/>
    </w:p>
    <w:p w14:paraId="0D0F6C2D">
      <w:pPr>
        <w:adjustRightInd w:val="0"/>
        <w:snapToGrid w:val="0"/>
        <w:spacing w:line="360" w:lineRule="auto"/>
        <w:ind w:firstLine="420" w:firstLineChars="200"/>
        <w:jc w:val="left"/>
        <w:outlineLvl w:val="0"/>
        <w:rPr>
          <w:rFonts w:asciiTheme="minorEastAsia" w:hAnsiTheme="minorEastAsia" w:eastAsiaTheme="minorEastAsia" w:cstheme="minorEastAsia"/>
          <w:color w:val="auto"/>
          <w:szCs w:val="21"/>
          <w:highlight w:val="none"/>
        </w:rPr>
      </w:pPr>
      <w:bookmarkStart w:id="109" w:name="_Toc20733"/>
      <w:r>
        <w:rPr>
          <w:rFonts w:hint="eastAsia" w:asciiTheme="minorEastAsia" w:hAnsiTheme="minorEastAsia" w:eastAsiaTheme="minorEastAsia" w:cstheme="minorEastAsia"/>
          <w:color w:val="auto"/>
          <w:szCs w:val="21"/>
          <w:highlight w:val="none"/>
        </w:rPr>
        <w:t>附件11：分项报价表</w:t>
      </w:r>
      <w:bookmarkEnd w:id="109"/>
    </w:p>
    <w:p w14:paraId="6C35B74E">
      <w:pPr>
        <w:pStyle w:val="25"/>
        <w:numPr>
          <w:ilvl w:val="0"/>
          <w:numId w:val="0"/>
        </w:numPr>
        <w:adjustRightInd w:val="0"/>
        <w:snapToGrid w:val="0"/>
        <w:spacing w:line="360" w:lineRule="auto"/>
        <w:outlineLvl w:val="1"/>
        <w:rPr>
          <w:rFonts w:asciiTheme="minorEastAsia" w:hAnsiTheme="minorEastAsia" w:eastAsiaTheme="minorEastAsia" w:cstheme="minorEastAsia"/>
          <w:b/>
          <w:color w:val="auto"/>
          <w:highlight w:val="none"/>
        </w:rPr>
      </w:pPr>
      <w:bookmarkStart w:id="110" w:name="_Toc25862"/>
      <w:r>
        <w:rPr>
          <w:rFonts w:hint="eastAsia" w:asciiTheme="minorEastAsia" w:hAnsiTheme="minorEastAsia" w:eastAsiaTheme="minorEastAsia" w:cstheme="minorEastAsia"/>
          <w:b/>
          <w:color w:val="auto"/>
          <w:kern w:val="2"/>
          <w:sz w:val="21"/>
          <w:szCs w:val="21"/>
          <w:highlight w:val="none"/>
          <w:lang w:val="en-US" w:eastAsia="zh-CN" w:bidi="ar-SA"/>
        </w:rPr>
        <w:t>七、</w:t>
      </w:r>
      <w:r>
        <w:rPr>
          <w:rFonts w:hint="eastAsia" w:asciiTheme="minorEastAsia" w:hAnsiTheme="minorEastAsia" w:eastAsiaTheme="minorEastAsia" w:cstheme="minorEastAsia"/>
          <w:b/>
          <w:color w:val="auto"/>
          <w:highlight w:val="none"/>
        </w:rPr>
        <w:t>供应商认为需提供的其它资料</w:t>
      </w:r>
      <w:bookmarkEnd w:id="110"/>
    </w:p>
    <w:p w14:paraId="798EB889">
      <w:pPr>
        <w:adjustRightInd w:val="0"/>
        <w:snapToGrid w:val="0"/>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附件12：主要人员简历表</w:t>
      </w:r>
    </w:p>
    <w:p w14:paraId="488C8A59">
      <w:pPr>
        <w:pStyle w:val="25"/>
        <w:adjustRightInd w:val="0"/>
        <w:snapToGrid w:val="0"/>
        <w:spacing w:line="360" w:lineRule="auto"/>
        <w:outlineLvl w:val="1"/>
        <w:rPr>
          <w:rFonts w:asciiTheme="minorEastAsia" w:hAnsiTheme="minorEastAsia" w:eastAsiaTheme="minorEastAsia" w:cstheme="minorEastAsia"/>
          <w:b/>
          <w:color w:val="auto"/>
          <w:highlight w:val="none"/>
        </w:rPr>
      </w:pPr>
      <w:bookmarkStart w:id="111" w:name="_Toc25133"/>
      <w:r>
        <w:rPr>
          <w:rFonts w:hint="eastAsia" w:asciiTheme="minorEastAsia" w:hAnsiTheme="minorEastAsia" w:eastAsiaTheme="minorEastAsia" w:cstheme="minorEastAsia"/>
          <w:b/>
          <w:color w:val="auto"/>
          <w:highlight w:val="none"/>
          <w:lang w:val="en-US" w:eastAsia="zh-CN"/>
        </w:rPr>
        <w:t>八</w:t>
      </w:r>
      <w:r>
        <w:rPr>
          <w:rFonts w:hint="eastAsia" w:asciiTheme="minorEastAsia" w:hAnsiTheme="minorEastAsia" w:eastAsiaTheme="minorEastAsia" w:cstheme="minorEastAsia"/>
          <w:b/>
          <w:color w:val="auto"/>
          <w:highlight w:val="none"/>
        </w:rPr>
        <w:t>、最后报价</w:t>
      </w:r>
      <w:bookmarkEnd w:id="111"/>
    </w:p>
    <w:p w14:paraId="21D2C178">
      <w:pPr>
        <w:pStyle w:val="25"/>
        <w:adjustRightInd w:val="0"/>
        <w:snapToGrid w:val="0"/>
        <w:spacing w:line="360" w:lineRule="auto"/>
        <w:jc w:val="center"/>
        <w:rPr>
          <w:rFonts w:hAnsi="宋体"/>
          <w:b/>
          <w:color w:val="auto"/>
          <w:sz w:val="32"/>
          <w:szCs w:val="32"/>
          <w:highlight w:val="none"/>
        </w:rPr>
      </w:pPr>
      <w:r>
        <w:rPr>
          <w:rFonts w:hint="eastAsia" w:hAnsi="宋体"/>
          <w:b/>
          <w:color w:val="auto"/>
          <w:sz w:val="32"/>
          <w:szCs w:val="32"/>
          <w:highlight w:val="none"/>
        </w:rPr>
        <w:br w:type="page"/>
      </w:r>
    </w:p>
    <w:p w14:paraId="767E1CF8">
      <w:pPr>
        <w:pStyle w:val="25"/>
        <w:adjustRightInd w:val="0"/>
        <w:snapToGrid w:val="0"/>
        <w:spacing w:line="360" w:lineRule="auto"/>
        <w:jc w:val="center"/>
        <w:rPr>
          <w:rFonts w:hAnsi="宋体"/>
          <w:b/>
          <w:color w:val="auto"/>
          <w:sz w:val="32"/>
          <w:szCs w:val="32"/>
          <w:highlight w:val="none"/>
        </w:rPr>
      </w:pPr>
    </w:p>
    <w:p w14:paraId="7F609CEA">
      <w:pPr>
        <w:rPr>
          <w:rFonts w:hAnsi="宋体"/>
          <w:b/>
          <w:color w:val="auto"/>
          <w:sz w:val="32"/>
          <w:szCs w:val="32"/>
          <w:highlight w:val="none"/>
        </w:rPr>
      </w:pPr>
    </w:p>
    <w:p w14:paraId="20756B08">
      <w:pPr>
        <w:rPr>
          <w:rFonts w:hAnsi="宋体"/>
          <w:b/>
          <w:color w:val="auto"/>
          <w:sz w:val="32"/>
          <w:szCs w:val="32"/>
          <w:highlight w:val="none"/>
        </w:rPr>
      </w:pPr>
    </w:p>
    <w:p w14:paraId="42F1D3CA">
      <w:pPr>
        <w:rPr>
          <w:rFonts w:hAnsi="宋体"/>
          <w:b/>
          <w:color w:val="auto"/>
          <w:sz w:val="32"/>
          <w:szCs w:val="32"/>
          <w:highlight w:val="none"/>
        </w:rPr>
      </w:pPr>
    </w:p>
    <w:p w14:paraId="243EA9AF">
      <w:pPr>
        <w:adjustRightInd w:val="0"/>
        <w:snapToGrid w:val="0"/>
        <w:spacing w:line="360" w:lineRule="auto"/>
        <w:jc w:val="center"/>
        <w:rPr>
          <w:rFonts w:hAnsi="宋体"/>
          <w:b/>
          <w:bCs/>
          <w:color w:val="auto"/>
          <w:sz w:val="72"/>
          <w:szCs w:val="72"/>
          <w:highlight w:val="none"/>
        </w:rPr>
      </w:pPr>
      <w:r>
        <w:rPr>
          <w:rFonts w:hint="eastAsia" w:hAnsi="宋体"/>
          <w:b/>
          <w:bCs/>
          <w:color w:val="auto"/>
          <w:sz w:val="72"/>
          <w:szCs w:val="72"/>
          <w:highlight w:val="none"/>
        </w:rPr>
        <w:t>竞争性磋商</w:t>
      </w:r>
    </w:p>
    <w:p w14:paraId="410D6AFB">
      <w:pPr>
        <w:adjustRightInd w:val="0"/>
        <w:snapToGrid w:val="0"/>
        <w:spacing w:line="360" w:lineRule="auto"/>
        <w:jc w:val="center"/>
        <w:rPr>
          <w:rFonts w:ascii="宋体" w:hAnsi="宋体"/>
          <w:b/>
          <w:bCs/>
          <w:color w:val="auto"/>
          <w:sz w:val="84"/>
          <w:szCs w:val="84"/>
          <w:highlight w:val="none"/>
        </w:rPr>
      </w:pPr>
      <w:r>
        <w:rPr>
          <w:rFonts w:hint="eastAsia" w:ascii="宋体" w:hAnsi="宋体"/>
          <w:b/>
          <w:bCs/>
          <w:color w:val="auto"/>
          <w:sz w:val="84"/>
          <w:szCs w:val="84"/>
          <w:highlight w:val="none"/>
        </w:rPr>
        <w:t>响 应 文 件</w:t>
      </w:r>
    </w:p>
    <w:p w14:paraId="7034CA16">
      <w:pPr>
        <w:adjustRightInd w:val="0"/>
        <w:snapToGrid w:val="0"/>
        <w:spacing w:line="360" w:lineRule="auto"/>
        <w:rPr>
          <w:rFonts w:ascii="黑体" w:hAnsi="黑体" w:eastAsia="黑体"/>
          <w:b/>
          <w:color w:val="auto"/>
          <w:sz w:val="32"/>
          <w:szCs w:val="32"/>
          <w:highlight w:val="none"/>
        </w:rPr>
      </w:pPr>
    </w:p>
    <w:p w14:paraId="02772243">
      <w:pPr>
        <w:adjustRightInd w:val="0"/>
        <w:snapToGrid w:val="0"/>
        <w:spacing w:line="360" w:lineRule="auto"/>
        <w:rPr>
          <w:rFonts w:ascii="宋体" w:hAnsi="宋体"/>
          <w:b/>
          <w:color w:val="auto"/>
          <w:sz w:val="30"/>
          <w:szCs w:val="30"/>
          <w:highlight w:val="none"/>
        </w:rPr>
      </w:pPr>
      <w:r>
        <w:rPr>
          <w:rFonts w:hint="eastAsia" w:ascii="宋体" w:hAnsi="宋体"/>
          <w:b/>
          <w:color w:val="auto"/>
          <w:sz w:val="32"/>
          <w:szCs w:val="32"/>
          <w:highlight w:val="none"/>
        </w:rPr>
        <w:t xml:space="preserve">                     </w:t>
      </w:r>
    </w:p>
    <w:p w14:paraId="70A5FB44">
      <w:pPr>
        <w:pStyle w:val="25"/>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Ansi="宋体" w:cs="宋体"/>
          <w:b/>
          <w:bCs/>
          <w:color w:val="auto"/>
          <w:sz w:val="30"/>
          <w:szCs w:val="30"/>
          <w:highlight w:val="none"/>
          <w:u w:val="single"/>
        </w:rPr>
      </w:pPr>
      <w:r>
        <w:rPr>
          <w:rFonts w:hint="eastAsia" w:hAnsi="宋体" w:cs="宋体"/>
          <w:b/>
          <w:bCs/>
          <w:color w:val="auto"/>
          <w:sz w:val="30"/>
          <w:szCs w:val="30"/>
          <w:highlight w:val="none"/>
        </w:rPr>
        <w:t>采购项目名称：</w:t>
      </w:r>
      <w:r>
        <w:rPr>
          <w:rFonts w:hint="eastAsia"/>
          <w:color w:val="auto"/>
          <w:highlight w:val="none"/>
        </w:rPr>
        <w:t xml:space="preserve">                           </w:t>
      </w:r>
      <w:r>
        <w:rPr>
          <w:rFonts w:hint="eastAsia" w:hAnsi="宋体" w:cs="宋体"/>
          <w:b/>
          <w:bCs/>
          <w:color w:val="auto"/>
          <w:sz w:val="30"/>
          <w:szCs w:val="30"/>
          <w:highlight w:val="none"/>
          <w:u w:val="single"/>
        </w:rPr>
        <w:t xml:space="preserve">         </w:t>
      </w:r>
    </w:p>
    <w:p w14:paraId="78B2F44D">
      <w:pPr>
        <w:pStyle w:val="25"/>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Ansi="宋体" w:cs="宋体"/>
          <w:b/>
          <w:bCs/>
          <w:color w:val="auto"/>
          <w:sz w:val="30"/>
          <w:szCs w:val="30"/>
          <w:highlight w:val="none"/>
        </w:rPr>
      </w:pPr>
      <w:r>
        <w:rPr>
          <w:rFonts w:hint="eastAsia" w:hAnsi="宋体" w:cs="宋体"/>
          <w:b/>
          <w:bCs/>
          <w:color w:val="auto"/>
          <w:sz w:val="30"/>
          <w:szCs w:val="30"/>
          <w:highlight w:val="none"/>
        </w:rPr>
        <w:t>采   购   人：</w:t>
      </w:r>
      <w:r>
        <w:rPr>
          <w:rFonts w:hint="eastAsia" w:hAnsi="宋体" w:cs="宋体"/>
          <w:b/>
          <w:bCs/>
          <w:color w:val="auto"/>
          <w:sz w:val="30"/>
          <w:szCs w:val="30"/>
          <w:highlight w:val="none"/>
          <w:u w:val="single"/>
        </w:rPr>
        <w:t xml:space="preserve">                                      </w:t>
      </w:r>
    </w:p>
    <w:p w14:paraId="584D319A">
      <w:pPr>
        <w:pStyle w:val="25"/>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Ansi="宋体" w:cs="宋体"/>
          <w:b/>
          <w:bCs/>
          <w:color w:val="auto"/>
          <w:sz w:val="30"/>
          <w:szCs w:val="30"/>
          <w:highlight w:val="none"/>
          <w:u w:val="single"/>
        </w:rPr>
      </w:pPr>
      <w:r>
        <w:rPr>
          <w:rFonts w:hint="eastAsia" w:hAnsi="宋体" w:cs="宋体"/>
          <w:b/>
          <w:bCs/>
          <w:color w:val="auto"/>
          <w:sz w:val="30"/>
          <w:szCs w:val="30"/>
          <w:highlight w:val="none"/>
        </w:rPr>
        <w:t>代 理 编 号 ：</w:t>
      </w:r>
      <w:r>
        <w:rPr>
          <w:rFonts w:hint="eastAsia" w:hAnsi="宋体" w:cs="宋体"/>
          <w:b/>
          <w:bCs/>
          <w:color w:val="auto"/>
          <w:sz w:val="30"/>
          <w:szCs w:val="30"/>
          <w:highlight w:val="none"/>
          <w:u w:val="single"/>
        </w:rPr>
        <w:t xml:space="preserve">                                    </w:t>
      </w:r>
    </w:p>
    <w:p w14:paraId="5D00B903">
      <w:pPr>
        <w:pStyle w:val="25"/>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Ansi="宋体" w:cs="宋体"/>
          <w:b/>
          <w:bCs/>
          <w:color w:val="auto"/>
          <w:sz w:val="30"/>
          <w:szCs w:val="30"/>
          <w:highlight w:val="none"/>
          <w:u w:val="single"/>
        </w:rPr>
      </w:pPr>
      <w:r>
        <w:rPr>
          <w:rFonts w:hint="eastAsia" w:hAnsi="宋体" w:cs="宋体"/>
          <w:b/>
          <w:bCs/>
          <w:color w:val="auto"/>
          <w:sz w:val="30"/>
          <w:szCs w:val="30"/>
          <w:highlight w:val="none"/>
        </w:rPr>
        <w:t>采购代理机构：</w:t>
      </w:r>
      <w:r>
        <w:rPr>
          <w:rFonts w:hint="eastAsia"/>
          <w:color w:val="auto"/>
          <w:highlight w:val="none"/>
          <w:u w:val="single"/>
          <w:lang w:val="en-US" w:eastAsia="zh-CN"/>
        </w:rPr>
        <w:t xml:space="preserve">     </w:t>
      </w:r>
      <w:r>
        <w:rPr>
          <w:rFonts w:hint="eastAsia" w:hAnsi="宋体" w:cs="宋体"/>
          <w:b/>
          <w:bCs/>
          <w:color w:val="auto"/>
          <w:sz w:val="30"/>
          <w:szCs w:val="30"/>
          <w:highlight w:val="none"/>
          <w:u w:val="single"/>
        </w:rPr>
        <w:t xml:space="preserve">             </w:t>
      </w:r>
    </w:p>
    <w:p w14:paraId="11C4E85D">
      <w:pPr>
        <w:adjustRightInd w:val="0"/>
        <w:snapToGrid w:val="0"/>
        <w:spacing w:line="360" w:lineRule="auto"/>
        <w:ind w:firstLine="1928" w:firstLineChars="600"/>
        <w:rPr>
          <w:rFonts w:ascii="宋体" w:hAnsi="宋体" w:cs="宋体"/>
          <w:b/>
          <w:bCs/>
          <w:color w:val="auto"/>
          <w:sz w:val="32"/>
          <w:szCs w:val="32"/>
          <w:highlight w:val="none"/>
        </w:rPr>
      </w:pPr>
    </w:p>
    <w:p w14:paraId="0E43C351">
      <w:pPr>
        <w:adjustRightInd w:val="0"/>
        <w:snapToGrid w:val="0"/>
        <w:spacing w:line="360" w:lineRule="auto"/>
        <w:ind w:firstLine="1928" w:firstLineChars="600"/>
        <w:rPr>
          <w:rFonts w:ascii="宋体" w:hAnsi="宋体" w:cs="宋体"/>
          <w:b/>
          <w:bCs/>
          <w:color w:val="auto"/>
          <w:sz w:val="32"/>
          <w:szCs w:val="32"/>
          <w:highlight w:val="none"/>
        </w:rPr>
      </w:pPr>
    </w:p>
    <w:p w14:paraId="739945D4">
      <w:pPr>
        <w:adjustRightInd w:val="0"/>
        <w:snapToGrid w:val="0"/>
        <w:spacing w:line="360" w:lineRule="auto"/>
        <w:ind w:firstLine="1928" w:firstLineChars="600"/>
        <w:rPr>
          <w:rFonts w:ascii="宋体" w:hAnsi="宋体" w:cs="宋体"/>
          <w:b/>
          <w:bCs/>
          <w:color w:val="auto"/>
          <w:sz w:val="32"/>
          <w:szCs w:val="32"/>
          <w:highlight w:val="none"/>
          <w:u w:val="single"/>
        </w:rPr>
      </w:pPr>
      <w:r>
        <w:rPr>
          <w:rFonts w:hint="eastAsia" w:ascii="宋体" w:hAnsi="宋体" w:cs="宋体"/>
          <w:b/>
          <w:bCs/>
          <w:color w:val="auto"/>
          <w:sz w:val="32"/>
          <w:szCs w:val="32"/>
          <w:highlight w:val="none"/>
        </w:rPr>
        <w:t>供应商：</w:t>
      </w:r>
      <w:r>
        <w:rPr>
          <w:rFonts w:hint="eastAsia" w:ascii="宋体" w:hAnsi="宋体" w:cs="宋体"/>
          <w:b/>
          <w:bCs/>
          <w:color w:val="auto"/>
          <w:sz w:val="32"/>
          <w:szCs w:val="32"/>
          <w:highlight w:val="none"/>
          <w:u w:val="single"/>
        </w:rPr>
        <w:t xml:space="preserve">                         </w:t>
      </w:r>
    </w:p>
    <w:p w14:paraId="30AADA87">
      <w:pPr>
        <w:jc w:val="center"/>
        <w:rPr>
          <w:rFonts w:ascii="宋体" w:hAnsi="宋体" w:cs="宋体"/>
          <w:b/>
          <w:bCs/>
          <w:color w:val="auto"/>
          <w:sz w:val="32"/>
          <w:szCs w:val="32"/>
          <w:highlight w:val="none"/>
        </w:rPr>
      </w:pPr>
    </w:p>
    <w:p w14:paraId="284B3CDF">
      <w:pPr>
        <w:jc w:val="center"/>
        <w:rPr>
          <w:rFonts w:ascii="宋体" w:hAnsi="宋体" w:cs="宋体"/>
          <w:b/>
          <w:bCs/>
          <w:color w:val="auto"/>
          <w:sz w:val="32"/>
          <w:szCs w:val="32"/>
          <w:highlight w:val="none"/>
        </w:rPr>
      </w:pPr>
    </w:p>
    <w:p w14:paraId="41047DA5">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年  月  日</w:t>
      </w:r>
    </w:p>
    <w:p w14:paraId="3A10098A">
      <w:pPr>
        <w:rPr>
          <w:rFonts w:ascii="宋体" w:hAnsi="宋体"/>
          <w:b/>
          <w:color w:val="auto"/>
          <w:sz w:val="32"/>
          <w:szCs w:val="32"/>
          <w:highlight w:val="none"/>
        </w:rPr>
      </w:pPr>
      <w:r>
        <w:rPr>
          <w:rFonts w:ascii="宋体" w:hAnsi="宋体"/>
          <w:b/>
          <w:color w:val="auto"/>
          <w:sz w:val="32"/>
          <w:szCs w:val="32"/>
          <w:highlight w:val="none"/>
        </w:rPr>
        <w:br w:type="page"/>
      </w:r>
    </w:p>
    <w:p w14:paraId="67ABE62A">
      <w:pPr>
        <w:spacing w:line="360" w:lineRule="exact"/>
        <w:jc w:val="center"/>
        <w:outlineLvl w:val="1"/>
        <w:rPr>
          <w:rFonts w:ascii="宋体" w:hAnsi="宋体"/>
          <w:b/>
          <w:color w:val="auto"/>
          <w:sz w:val="28"/>
          <w:szCs w:val="28"/>
          <w:highlight w:val="none"/>
        </w:rPr>
      </w:pPr>
      <w:bookmarkStart w:id="112" w:name="_Toc99"/>
      <w:r>
        <w:rPr>
          <w:rFonts w:hint="eastAsia" w:ascii="宋体" w:hAnsi="宋体"/>
          <w:b/>
          <w:color w:val="auto"/>
          <w:sz w:val="28"/>
          <w:szCs w:val="28"/>
          <w:highlight w:val="none"/>
        </w:rPr>
        <w:t>一、磋商响应声明</w:t>
      </w:r>
      <w:bookmarkEnd w:id="112"/>
    </w:p>
    <w:p w14:paraId="70EC964F">
      <w:pPr>
        <w:adjustRightInd w:val="0"/>
        <w:snapToGrid w:val="0"/>
        <w:spacing w:line="360" w:lineRule="auto"/>
        <w:rPr>
          <w:rFonts w:ascii="宋体" w:hAnsi="宋体"/>
          <w:color w:val="auto"/>
          <w:sz w:val="24"/>
          <w:highlight w:val="none"/>
        </w:rPr>
      </w:pPr>
    </w:p>
    <w:p w14:paraId="1E104526">
      <w:pPr>
        <w:adjustRightInd w:val="0"/>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(采购人或采购代理机构)：</w:t>
      </w:r>
    </w:p>
    <w:p w14:paraId="0B51406A">
      <w:pPr>
        <w:keepNext w:val="0"/>
        <w:keepLines w:val="0"/>
        <w:pageBreakBefore w:val="0"/>
        <w:widowControl w:val="0"/>
        <w:kinsoku/>
        <w:wordWrap/>
        <w:overflowPunct/>
        <w:topLinePunct w:val="0"/>
        <w:autoSpaceDE/>
        <w:autoSpaceDN/>
        <w:bidi w:val="0"/>
        <w:adjustRightInd w:val="0"/>
        <w:snapToGrid w:val="0"/>
        <w:spacing w:line="360" w:lineRule="auto"/>
        <w:ind w:firstLine="435"/>
        <w:textAlignment w:val="auto"/>
        <w:rPr>
          <w:rFonts w:ascii="宋体" w:hAnsi="宋体" w:cs="宋体"/>
          <w:color w:val="auto"/>
          <w:szCs w:val="21"/>
          <w:highlight w:val="none"/>
        </w:rPr>
      </w:pPr>
      <w:r>
        <w:rPr>
          <w:rFonts w:hint="eastAsia" w:ascii="宋体" w:hAnsi="宋体" w:cs="宋体"/>
          <w:color w:val="auto"/>
          <w:szCs w:val="21"/>
          <w:highlight w:val="none"/>
        </w:rPr>
        <w:t>根据贵方为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（项目名称）的磋商邀请（采购计划编号：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eastAsia="zh-CN"/>
        </w:rPr>
        <w:t>委托代理编号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），签字代表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（姓名、职务）经正式授权并代表供应商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（供应商名称）提交响应文件正本一份，副本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份；响应文件电子文档：</w:t>
      </w:r>
      <w:r>
        <w:rPr>
          <w:rFonts w:hint="eastAsia" w:ascii="宋体" w:hAnsi="宋体" w:cs="宋体"/>
          <w:color w:val="auto"/>
          <w:szCs w:val="21"/>
          <w:highlight w:val="none"/>
          <w:u w:val="single"/>
        </w:rPr>
        <w:t xml:space="preserve"> 一 </w:t>
      </w:r>
      <w:r>
        <w:rPr>
          <w:rFonts w:hint="eastAsia" w:ascii="宋体" w:hAnsi="宋体" w:cs="宋体"/>
          <w:color w:val="auto"/>
          <w:szCs w:val="21"/>
          <w:highlight w:val="none"/>
        </w:rPr>
        <w:t>份，参加本次采购项目，并在此声明，所递交的响应文件内容完整、真实。</w:t>
      </w:r>
    </w:p>
    <w:p w14:paraId="6C4FAEF2">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color w:val="auto"/>
          <w:highlight w:val="none"/>
        </w:rPr>
      </w:pPr>
      <w:r>
        <w:rPr>
          <w:rFonts w:hint="eastAsia" w:hAnsi="宋体" w:cs="宋体"/>
          <w:color w:val="auto"/>
          <w:highlight w:val="none"/>
        </w:rPr>
        <w:t>一、我方已详细审查磋商文件。我们完全理解并同意放弃对这方面有不明及误解的权力。</w:t>
      </w:r>
    </w:p>
    <w:p w14:paraId="1A6D2D43">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bCs/>
          <w:color w:val="auto"/>
          <w:highlight w:val="none"/>
        </w:rPr>
      </w:pPr>
      <w:r>
        <w:rPr>
          <w:rFonts w:hint="eastAsia" w:hAnsi="宋体" w:cs="宋体"/>
          <w:color w:val="auto"/>
          <w:highlight w:val="none"/>
        </w:rPr>
        <w:t>二、我方愿意向贵方提供任何与本项采购有关的数据、情况和技术资料。若贵方需要，我方愿意提供我方作出的一切承诺的证明材料。</w:t>
      </w:r>
    </w:p>
    <w:p w14:paraId="1592CD59">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color w:val="auto"/>
          <w:highlight w:val="none"/>
        </w:rPr>
      </w:pPr>
      <w:r>
        <w:rPr>
          <w:rFonts w:hint="eastAsia" w:hAnsi="宋体" w:cs="宋体"/>
          <w:color w:val="auto"/>
          <w:highlight w:val="none"/>
        </w:rPr>
        <w:t>三、我方愿意按磋商文件规定和磋商小组要求重新提交响应文件和最后报价。</w:t>
      </w:r>
    </w:p>
    <w:p w14:paraId="11D7FED3">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color w:val="auto"/>
          <w:highlight w:val="none"/>
        </w:rPr>
      </w:pPr>
      <w:r>
        <w:rPr>
          <w:rFonts w:hint="eastAsia" w:hAnsi="宋体" w:cs="宋体"/>
          <w:color w:val="auto"/>
          <w:highlight w:val="none"/>
        </w:rPr>
        <w:t>四、我方同意在磋商文件中规定的提交首次响应文件截止时间起</w:t>
      </w:r>
      <w:r>
        <w:rPr>
          <w:rFonts w:hint="eastAsia" w:hAnsi="宋体" w:cs="宋体"/>
          <w:color w:val="auto"/>
          <w:highlight w:val="none"/>
          <w:u w:val="single"/>
        </w:rPr>
        <w:t xml:space="preserve">    </w:t>
      </w:r>
      <w:r>
        <w:rPr>
          <w:rFonts w:hint="eastAsia" w:hAnsi="宋体" w:cs="宋体"/>
          <w:color w:val="auto"/>
          <w:highlight w:val="none"/>
        </w:rPr>
        <w:t>日内(响应文件有效期)遵守本响应文件中的承诺且在此期限期满之前均具有法律约束力。</w:t>
      </w:r>
    </w:p>
    <w:p w14:paraId="5D8B5702">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color w:val="auto"/>
          <w:highlight w:val="none"/>
        </w:rPr>
      </w:pPr>
      <w:r>
        <w:rPr>
          <w:rFonts w:hint="eastAsia" w:hAnsi="宋体" w:cs="宋体"/>
          <w:color w:val="auto"/>
          <w:highlight w:val="none"/>
        </w:rPr>
        <w:t>五、我方承诺遵守《招标采购法》及实施条例、《招标采购非招标方式管理办法》（财政部第74号令）的有关规定，保证在获得成交资格后，按照磋商文件确定的事项签订招标采购合同，履行双方所签订的合同，并承担合同规定的责任和义务。</w:t>
      </w:r>
    </w:p>
    <w:p w14:paraId="1120FFD3">
      <w:pPr>
        <w:pStyle w:val="2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Ansi="宋体" w:cs="宋体"/>
          <w:color w:val="auto"/>
          <w:highlight w:val="none"/>
        </w:rPr>
      </w:pPr>
      <w:r>
        <w:rPr>
          <w:rFonts w:hint="eastAsia" w:hAnsi="宋体" w:cs="宋体"/>
          <w:color w:val="auto"/>
          <w:highlight w:val="none"/>
        </w:rPr>
        <w:t>六、我方承诺在参与竞争性磋商过程中，若出现《招标采购法》第七十七条、《招标采购法实施条例》第七十二条和《招标采购非招标方式管理办法》第五十四条规定之情形，我方同意接受条款规定作出的处罚。</w:t>
      </w:r>
    </w:p>
    <w:p w14:paraId="56D8F4F0">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宋体" w:hAnsi="宋体" w:cs="宋体"/>
          <w:color w:val="auto"/>
          <w:szCs w:val="21"/>
          <w:highlight w:val="none"/>
        </w:rPr>
      </w:pPr>
      <w:bookmarkStart w:id="113" w:name="_Toc24689"/>
      <w:r>
        <w:rPr>
          <w:rFonts w:hint="eastAsia" w:ascii="宋体" w:hAnsi="宋体" w:cs="宋体"/>
          <w:color w:val="auto"/>
          <w:szCs w:val="21"/>
          <w:highlight w:val="none"/>
        </w:rPr>
        <w:t>七、我方的联系方式：</w:t>
      </w:r>
      <w:bookmarkEnd w:id="113"/>
    </w:p>
    <w:p w14:paraId="23242629">
      <w:pPr>
        <w:adjustRightInd w:val="0"/>
        <w:snapToGrid w:val="0"/>
        <w:spacing w:line="360" w:lineRule="exact"/>
        <w:rPr>
          <w:rFonts w:ascii="宋体" w:hAnsi="宋体" w:cs="Calibri"/>
          <w:color w:val="auto"/>
          <w:highlight w:val="none"/>
          <w:u w:val="single"/>
        </w:rPr>
      </w:pPr>
      <w:r>
        <w:rPr>
          <w:rFonts w:hint="eastAsia" w:ascii="宋体" w:hAnsi="宋体" w:cs="宋体"/>
          <w:color w:val="auto"/>
          <w:szCs w:val="21"/>
          <w:highlight w:val="none"/>
        </w:rPr>
        <w:t>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邮编：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电子邮箱：</w:t>
      </w:r>
      <w:r>
        <w:rPr>
          <w:rFonts w:hint="eastAsia" w:ascii="宋体" w:hAnsi="宋体" w:cs="宋体"/>
          <w:color w:val="auto"/>
          <w:szCs w:val="21"/>
          <w:highlight w:val="none"/>
          <w:u w:val="single"/>
        </w:rPr>
        <w:t xml:space="preserve">            。</w:t>
      </w:r>
    </w:p>
    <w:p w14:paraId="627200B1">
      <w:pPr>
        <w:adjustRightInd w:val="0"/>
        <w:snapToGrid w:val="0"/>
        <w:spacing w:line="360" w:lineRule="auto"/>
        <w:ind w:right="24"/>
        <w:rPr>
          <w:rFonts w:ascii="宋体" w:hAnsi="宋体"/>
          <w:bCs/>
          <w:color w:val="auto"/>
          <w:szCs w:val="21"/>
          <w:highlight w:val="none"/>
        </w:rPr>
      </w:pPr>
    </w:p>
    <w:p w14:paraId="609ED121">
      <w:pPr>
        <w:adjustRightInd w:val="0"/>
        <w:snapToGrid w:val="0"/>
        <w:spacing w:line="360" w:lineRule="auto"/>
        <w:ind w:right="24"/>
        <w:rPr>
          <w:rFonts w:ascii="宋体" w:hAnsi="宋体" w:cs="Courier New"/>
          <w:color w:val="auto"/>
          <w:szCs w:val="21"/>
          <w:highlight w:val="none"/>
        </w:rPr>
      </w:pPr>
      <w:r>
        <w:rPr>
          <w:rFonts w:hint="eastAsia" w:ascii="宋体" w:hAnsi="宋体"/>
          <w:bCs/>
          <w:color w:val="auto"/>
          <w:szCs w:val="21"/>
          <w:highlight w:val="none"/>
        </w:rPr>
        <w:t>附</w:t>
      </w:r>
      <w:r>
        <w:rPr>
          <w:rFonts w:hint="eastAsia" w:ascii="宋体" w:hAnsi="宋体" w:cs="Courier New"/>
          <w:color w:val="auto"/>
          <w:szCs w:val="21"/>
          <w:highlight w:val="none"/>
        </w:rPr>
        <w:t>件1：法定代表人（负责人）身份证明(法定代表人〔负责人〕参加磋商)</w:t>
      </w:r>
    </w:p>
    <w:p w14:paraId="5A525670">
      <w:pPr>
        <w:adjustRightInd w:val="0"/>
        <w:snapToGrid w:val="0"/>
        <w:spacing w:line="360" w:lineRule="auto"/>
        <w:ind w:right="24"/>
        <w:rPr>
          <w:rFonts w:ascii="宋体" w:hAnsi="宋体" w:cs="Courier New"/>
          <w:color w:val="auto"/>
          <w:szCs w:val="21"/>
          <w:highlight w:val="none"/>
        </w:rPr>
      </w:pPr>
      <w:r>
        <w:rPr>
          <w:rFonts w:hint="eastAsia" w:ascii="宋体" w:hAnsi="宋体" w:cs="Courier New"/>
          <w:color w:val="auto"/>
          <w:szCs w:val="21"/>
          <w:highlight w:val="none"/>
        </w:rPr>
        <w:t>附件2：法定代表人（负责人）授权书(委托代理人参加磋商)</w:t>
      </w:r>
    </w:p>
    <w:p w14:paraId="2A7A72E9">
      <w:pPr>
        <w:pStyle w:val="25"/>
        <w:adjustRightInd w:val="0"/>
        <w:snapToGrid w:val="0"/>
        <w:spacing w:line="360" w:lineRule="auto"/>
        <w:rPr>
          <w:rFonts w:hAnsi="宋体"/>
          <w:color w:val="auto"/>
          <w:highlight w:val="none"/>
        </w:rPr>
      </w:pPr>
    </w:p>
    <w:p w14:paraId="473CE882">
      <w:pPr>
        <w:pStyle w:val="25"/>
        <w:adjustRightInd w:val="0"/>
        <w:snapToGrid w:val="0"/>
        <w:spacing w:line="360" w:lineRule="auto"/>
        <w:rPr>
          <w:rFonts w:hAnsi="宋体"/>
          <w:color w:val="auto"/>
          <w:highlight w:val="none"/>
        </w:rPr>
      </w:pPr>
      <w:r>
        <w:rPr>
          <w:rFonts w:hint="eastAsia" w:hAnsi="宋体"/>
          <w:color w:val="auto"/>
          <w:highlight w:val="none"/>
        </w:rPr>
        <w:t>供应商名称(盖单位章)：</w:t>
      </w:r>
    </w:p>
    <w:p w14:paraId="7E4E0F1E">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法定代表人或其委托代理人 (签字)：</w:t>
      </w:r>
      <w:r>
        <w:rPr>
          <w:rFonts w:hint="eastAsia" w:ascii="宋体" w:hAnsi="宋体"/>
          <w:color w:val="auto"/>
          <w:szCs w:val="21"/>
          <w:highlight w:val="none"/>
          <w:u w:val="single"/>
        </w:rPr>
        <w:t xml:space="preserve">            </w:t>
      </w:r>
    </w:p>
    <w:p w14:paraId="5633204C">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6EB860E">
      <w:pPr>
        <w:rPr>
          <w:rFonts w:hint="eastAsia" w:ascii="宋体" w:hAnsi="宋体"/>
          <w:bCs/>
          <w:color w:val="auto"/>
          <w:sz w:val="30"/>
          <w:szCs w:val="30"/>
          <w:highlight w:val="none"/>
        </w:rPr>
      </w:pPr>
      <w:r>
        <w:rPr>
          <w:rFonts w:hint="eastAsia" w:ascii="宋体" w:hAnsi="宋体"/>
          <w:bCs/>
          <w:color w:val="auto"/>
          <w:sz w:val="30"/>
          <w:szCs w:val="30"/>
          <w:highlight w:val="none"/>
        </w:rPr>
        <w:br w:type="page"/>
      </w:r>
    </w:p>
    <w:p w14:paraId="548FA11C">
      <w:pPr>
        <w:adjustRightInd w:val="0"/>
        <w:snapToGrid w:val="0"/>
        <w:spacing w:line="360" w:lineRule="auto"/>
        <w:ind w:right="24"/>
        <w:rPr>
          <w:rFonts w:ascii="宋体" w:hAnsi="宋体"/>
          <w:bCs/>
          <w:color w:val="auto"/>
          <w:sz w:val="30"/>
          <w:szCs w:val="30"/>
          <w:highlight w:val="none"/>
        </w:rPr>
      </w:pPr>
      <w:r>
        <w:rPr>
          <w:rFonts w:hint="eastAsia" w:ascii="宋体" w:hAnsi="宋体"/>
          <w:bCs/>
          <w:color w:val="auto"/>
          <w:sz w:val="30"/>
          <w:szCs w:val="30"/>
          <w:highlight w:val="none"/>
        </w:rPr>
        <w:t>附件1</w:t>
      </w:r>
    </w:p>
    <w:p w14:paraId="3A98C135">
      <w:pPr>
        <w:adjustRightInd w:val="0"/>
        <w:snapToGrid w:val="0"/>
        <w:spacing w:before="120" w:beforeLines="50" w:line="360" w:lineRule="auto"/>
        <w:jc w:val="center"/>
        <w:rPr>
          <w:rFonts w:ascii="宋体" w:hAnsi="宋体"/>
          <w:b/>
          <w:color w:val="auto"/>
          <w:sz w:val="28"/>
          <w:szCs w:val="28"/>
          <w:highlight w:val="none"/>
        </w:rPr>
      </w:pPr>
      <w:r>
        <w:rPr>
          <w:rFonts w:hint="eastAsia" w:ascii="宋体" w:hAnsi="宋体"/>
          <w:b/>
          <w:color w:val="auto"/>
          <w:sz w:val="28"/>
          <w:szCs w:val="28"/>
          <w:highlight w:val="none"/>
        </w:rPr>
        <w:t>法定代表人身份证明(格式)</w:t>
      </w:r>
    </w:p>
    <w:p w14:paraId="35825830">
      <w:pPr>
        <w:snapToGrid w:val="0"/>
        <w:spacing w:line="480" w:lineRule="auto"/>
        <w:rPr>
          <w:rFonts w:ascii="宋体" w:hAnsi="宋体"/>
          <w:color w:val="auto"/>
          <w:szCs w:val="21"/>
          <w:highlight w:val="none"/>
        </w:rPr>
      </w:pPr>
    </w:p>
    <w:p w14:paraId="5487C6AE">
      <w:pPr>
        <w:tabs>
          <w:tab w:val="left" w:pos="3880"/>
        </w:tabs>
        <w:autoSpaceDE w:val="0"/>
        <w:autoSpaceDN w:val="0"/>
        <w:adjustRightInd w:val="0"/>
        <w:snapToGrid w:val="0"/>
        <w:spacing w:before="120" w:beforeLines="50" w:line="360" w:lineRule="auto"/>
        <w:ind w:left="100" w:right="-20"/>
        <w:jc w:val="left"/>
        <w:rPr>
          <w:rFonts w:ascii="宋体" w:hAnsi="宋体" w:cs="宋体"/>
          <w:color w:val="auto"/>
          <w:kern w:val="0"/>
          <w:szCs w:val="21"/>
          <w:highlight w:val="none"/>
          <w:u w:val="single"/>
        </w:rPr>
      </w:pPr>
      <w:r>
        <w:rPr>
          <w:rFonts w:hint="eastAsia" w:ascii="宋体" w:hAnsi="宋体" w:cs="宋体"/>
          <w:color w:val="auto"/>
          <w:kern w:val="0"/>
          <w:position w:val="-4"/>
          <w:szCs w:val="21"/>
          <w:highlight w:val="none"/>
        </w:rPr>
        <w:t>供应商名</w:t>
      </w:r>
      <w:r>
        <w:rPr>
          <w:rFonts w:hint="eastAsia" w:ascii="宋体" w:hAnsi="宋体" w:cs="宋体"/>
          <w:color w:val="auto"/>
          <w:spacing w:val="-2"/>
          <w:kern w:val="0"/>
          <w:position w:val="-4"/>
          <w:szCs w:val="21"/>
          <w:highlight w:val="none"/>
        </w:rPr>
        <w:t>称</w:t>
      </w:r>
      <w:r>
        <w:rPr>
          <w:rFonts w:hint="eastAsia" w:ascii="宋体" w:hAnsi="宋体" w:cs="宋体"/>
          <w:color w:val="auto"/>
          <w:kern w:val="0"/>
          <w:position w:val="-4"/>
          <w:szCs w:val="21"/>
          <w:highlight w:val="none"/>
        </w:rPr>
        <w:t>：</w:t>
      </w:r>
      <w:r>
        <w:rPr>
          <w:rFonts w:hint="eastAsia" w:ascii="宋体" w:hAnsi="宋体" w:cs="宋体"/>
          <w:color w:val="auto"/>
          <w:kern w:val="0"/>
          <w:position w:val="-4"/>
          <w:szCs w:val="21"/>
          <w:highlight w:val="none"/>
          <w:u w:val="single"/>
        </w:rPr>
        <w:t xml:space="preserve">                      </w:t>
      </w:r>
      <w:r>
        <w:rPr>
          <w:rFonts w:hint="eastAsia" w:ascii="宋体" w:hAnsi="宋体" w:cs="宋体"/>
          <w:color w:val="auto"/>
          <w:kern w:val="0"/>
          <w:position w:val="-4"/>
          <w:szCs w:val="21"/>
          <w:highlight w:val="none"/>
          <w:u w:val="single"/>
          <w:lang w:val="en-US" w:eastAsia="zh-CN"/>
        </w:rPr>
        <w:t>；</w:t>
      </w:r>
    </w:p>
    <w:p w14:paraId="770427BA">
      <w:pPr>
        <w:tabs>
          <w:tab w:val="left" w:pos="2400"/>
          <w:tab w:val="left" w:pos="3880"/>
          <w:tab w:val="left" w:pos="5340"/>
          <w:tab w:val="left" w:pos="6820"/>
        </w:tabs>
        <w:autoSpaceDE w:val="0"/>
        <w:autoSpaceDN w:val="0"/>
        <w:adjustRightInd w:val="0"/>
        <w:snapToGrid w:val="0"/>
        <w:spacing w:before="120" w:beforeLines="50" w:line="360" w:lineRule="auto"/>
        <w:ind w:left="100" w:right="-20"/>
        <w:jc w:val="left"/>
        <w:rPr>
          <w:rFonts w:ascii="宋体" w:hAnsi="宋体" w:cs="宋体"/>
          <w:color w:val="auto"/>
          <w:kern w:val="0"/>
          <w:position w:val="-2"/>
          <w:szCs w:val="21"/>
          <w:highlight w:val="none"/>
        </w:rPr>
      </w:pPr>
      <w:r>
        <w:rPr>
          <w:rFonts w:hint="eastAsia" w:ascii="宋体" w:hAnsi="宋体" w:cs="宋体"/>
          <w:color w:val="auto"/>
          <w:kern w:val="0"/>
          <w:position w:val="-2"/>
          <w:szCs w:val="21"/>
          <w:highlight w:val="none"/>
        </w:rPr>
        <w:t>统一社会信用代码：</w:t>
      </w:r>
      <w:r>
        <w:rPr>
          <w:rFonts w:hint="eastAsia" w:ascii="宋体" w:hAnsi="宋体" w:cs="宋体"/>
          <w:color w:val="auto"/>
          <w:kern w:val="0"/>
          <w:position w:val="-4"/>
          <w:szCs w:val="21"/>
          <w:highlight w:val="none"/>
          <w:u w:val="single"/>
        </w:rPr>
        <w:t xml:space="preserve">                      </w:t>
      </w:r>
      <w:r>
        <w:rPr>
          <w:rFonts w:hint="eastAsia" w:ascii="宋体" w:hAnsi="宋体" w:cs="宋体"/>
          <w:color w:val="auto"/>
          <w:kern w:val="0"/>
          <w:position w:val="-4"/>
          <w:szCs w:val="21"/>
          <w:highlight w:val="none"/>
          <w:u w:val="single"/>
          <w:lang w:val="en-US" w:eastAsia="zh-CN"/>
        </w:rPr>
        <w:t>；</w:t>
      </w:r>
      <w:r>
        <w:rPr>
          <w:rFonts w:hint="eastAsia" w:ascii="宋体" w:hAnsi="宋体" w:cs="宋体"/>
          <w:color w:val="auto"/>
          <w:szCs w:val="21"/>
          <w:highlight w:val="none"/>
          <w:u w:val="single"/>
        </w:rPr>
        <w:t xml:space="preserve">                 </w:t>
      </w:r>
    </w:p>
    <w:p w14:paraId="5386B5B4">
      <w:pPr>
        <w:tabs>
          <w:tab w:val="left" w:pos="2400"/>
          <w:tab w:val="left" w:pos="3880"/>
          <w:tab w:val="left" w:pos="5340"/>
          <w:tab w:val="left" w:pos="6820"/>
        </w:tabs>
        <w:autoSpaceDE w:val="0"/>
        <w:autoSpaceDN w:val="0"/>
        <w:adjustRightInd w:val="0"/>
        <w:snapToGrid w:val="0"/>
        <w:spacing w:before="120" w:beforeLines="50" w:line="360" w:lineRule="auto"/>
        <w:ind w:left="100" w:right="-20"/>
        <w:jc w:val="left"/>
        <w:rPr>
          <w:rFonts w:ascii="宋体" w:hAnsi="宋体" w:cs="宋体"/>
          <w:color w:val="auto"/>
          <w:kern w:val="0"/>
          <w:position w:val="-2"/>
          <w:szCs w:val="21"/>
          <w:highlight w:val="none"/>
        </w:rPr>
      </w:pPr>
      <w:r>
        <w:rPr>
          <w:rFonts w:hint="eastAsia" w:ascii="宋体" w:hAnsi="宋体" w:cs="宋体"/>
          <w:color w:val="auto"/>
          <w:kern w:val="0"/>
          <w:position w:val="-2"/>
          <w:szCs w:val="21"/>
          <w:highlight w:val="none"/>
        </w:rPr>
        <w:t>注册地址：</w:t>
      </w:r>
      <w:r>
        <w:rPr>
          <w:rFonts w:hint="eastAsia" w:ascii="宋体" w:hAnsi="宋体" w:cs="宋体"/>
          <w:color w:val="auto"/>
          <w:kern w:val="0"/>
          <w:position w:val="-4"/>
          <w:szCs w:val="21"/>
          <w:highlight w:val="none"/>
          <w:u w:val="single"/>
        </w:rPr>
        <w:t xml:space="preserve">                      </w:t>
      </w:r>
      <w:r>
        <w:rPr>
          <w:rFonts w:hint="eastAsia" w:ascii="宋体" w:hAnsi="宋体" w:cs="宋体"/>
          <w:color w:val="auto"/>
          <w:kern w:val="0"/>
          <w:position w:val="-4"/>
          <w:szCs w:val="21"/>
          <w:highlight w:val="none"/>
          <w:u w:val="single"/>
          <w:lang w:val="en-US" w:eastAsia="zh-CN"/>
        </w:rPr>
        <w:t>；</w:t>
      </w:r>
      <w:r>
        <w:rPr>
          <w:rFonts w:hint="eastAsia" w:ascii="宋体" w:hAnsi="宋体" w:cs="宋体"/>
          <w:color w:val="auto"/>
          <w:szCs w:val="21"/>
          <w:highlight w:val="none"/>
          <w:u w:val="single"/>
        </w:rPr>
        <w:t xml:space="preserve">                </w:t>
      </w:r>
    </w:p>
    <w:p w14:paraId="6EC99B2D">
      <w:pPr>
        <w:tabs>
          <w:tab w:val="left" w:pos="2400"/>
          <w:tab w:val="left" w:pos="3880"/>
          <w:tab w:val="left" w:pos="5340"/>
          <w:tab w:val="left" w:pos="6820"/>
        </w:tabs>
        <w:autoSpaceDE w:val="0"/>
        <w:autoSpaceDN w:val="0"/>
        <w:adjustRightInd w:val="0"/>
        <w:snapToGrid w:val="0"/>
        <w:spacing w:before="120" w:beforeLines="50" w:line="360" w:lineRule="auto"/>
        <w:ind w:right="-23" w:firstLine="210" w:firstLineChars="100"/>
        <w:jc w:val="left"/>
        <w:rPr>
          <w:rFonts w:ascii="宋体" w:hAnsi="宋体" w:cs="宋体"/>
          <w:color w:val="auto"/>
          <w:kern w:val="0"/>
          <w:szCs w:val="21"/>
          <w:highlight w:val="none"/>
        </w:rPr>
      </w:pPr>
      <w:r>
        <w:rPr>
          <w:rFonts w:hint="eastAsia" w:ascii="宋体" w:hAnsi="宋体" w:cs="宋体"/>
          <w:color w:val="auto"/>
          <w:kern w:val="0"/>
          <w:position w:val="-2"/>
          <w:szCs w:val="21"/>
          <w:highlight w:val="none"/>
        </w:rPr>
        <w:t>姓名</w:t>
      </w:r>
      <w:r>
        <w:rPr>
          <w:rFonts w:hint="eastAsia" w:ascii="宋体" w:hAnsi="宋体" w:cs="宋体"/>
          <w:color w:val="auto"/>
          <w:spacing w:val="-2"/>
          <w:kern w:val="0"/>
          <w:position w:val="-2"/>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kern w:val="0"/>
          <w:position w:val="-2"/>
          <w:szCs w:val="21"/>
          <w:highlight w:val="none"/>
        </w:rPr>
        <w:t>性别</w:t>
      </w:r>
      <w:r>
        <w:rPr>
          <w:rFonts w:hint="eastAsia" w:ascii="宋体" w:hAnsi="宋体" w:cs="宋体"/>
          <w:color w:val="auto"/>
          <w:spacing w:val="-2"/>
          <w:kern w:val="0"/>
          <w:position w:val="-2"/>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kern w:val="0"/>
          <w:position w:val="-2"/>
          <w:szCs w:val="21"/>
          <w:highlight w:val="none"/>
        </w:rPr>
        <w:t>年</w:t>
      </w:r>
      <w:r>
        <w:rPr>
          <w:rFonts w:hint="eastAsia" w:ascii="宋体" w:hAnsi="宋体" w:cs="宋体"/>
          <w:color w:val="auto"/>
          <w:spacing w:val="-2"/>
          <w:kern w:val="0"/>
          <w:position w:val="-2"/>
          <w:szCs w:val="21"/>
          <w:highlight w:val="none"/>
        </w:rPr>
        <w:t>龄</w:t>
      </w:r>
      <w:r>
        <w:rPr>
          <w:rFonts w:hint="eastAsia" w:ascii="宋体" w:hAnsi="宋体" w:cs="宋体"/>
          <w:color w:val="auto"/>
          <w:kern w:val="0"/>
          <w:position w:val="-2"/>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kern w:val="0"/>
          <w:position w:val="-2"/>
          <w:szCs w:val="21"/>
          <w:highlight w:val="none"/>
        </w:rPr>
        <w:t>职</w:t>
      </w:r>
      <w:r>
        <w:rPr>
          <w:rFonts w:hint="eastAsia" w:ascii="宋体" w:hAnsi="宋体" w:cs="宋体"/>
          <w:color w:val="auto"/>
          <w:spacing w:val="-2"/>
          <w:kern w:val="0"/>
          <w:position w:val="-2"/>
          <w:szCs w:val="21"/>
          <w:highlight w:val="none"/>
        </w:rPr>
        <w:t>务</w:t>
      </w:r>
      <w:r>
        <w:rPr>
          <w:rFonts w:hint="eastAsia" w:ascii="宋体" w:hAnsi="宋体" w:cs="宋体"/>
          <w:color w:val="auto"/>
          <w:kern w:val="0"/>
          <w:position w:val="-2"/>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kern w:val="0"/>
          <w:position w:val="-2"/>
          <w:szCs w:val="21"/>
          <w:highlight w:val="none"/>
        </w:rPr>
        <w:t>系</w:t>
      </w:r>
      <w:r>
        <w:rPr>
          <w:rFonts w:hint="eastAsia" w:ascii="宋体" w:hAnsi="宋体" w:cs="宋体"/>
          <w:color w:val="auto"/>
          <w:szCs w:val="21"/>
          <w:highlight w:val="none"/>
          <w:u w:val="single"/>
        </w:rPr>
        <w:t xml:space="preserve">         </w:t>
      </w:r>
      <w:r>
        <w:rPr>
          <w:rFonts w:hint="eastAsia" w:ascii="宋体" w:hAnsi="宋体" w:cs="宋体"/>
          <w:color w:val="auto"/>
          <w:spacing w:val="-2"/>
          <w:kern w:val="0"/>
          <w:position w:val="-2"/>
          <w:szCs w:val="21"/>
          <w:highlight w:val="none"/>
        </w:rPr>
        <w:t>（</w:t>
      </w:r>
      <w:r>
        <w:rPr>
          <w:rFonts w:hint="eastAsia" w:ascii="宋体" w:hAnsi="宋体" w:cs="宋体"/>
          <w:color w:val="auto"/>
          <w:kern w:val="0"/>
          <w:position w:val="-2"/>
          <w:szCs w:val="21"/>
          <w:highlight w:val="none"/>
        </w:rPr>
        <w:t>供应商</w:t>
      </w:r>
      <w:r>
        <w:rPr>
          <w:rFonts w:hint="eastAsia" w:ascii="宋体" w:hAnsi="宋体" w:cs="宋体"/>
          <w:color w:val="auto"/>
          <w:spacing w:val="-2"/>
          <w:kern w:val="0"/>
          <w:position w:val="-2"/>
          <w:szCs w:val="21"/>
          <w:highlight w:val="none"/>
        </w:rPr>
        <w:t>名</w:t>
      </w:r>
      <w:r>
        <w:rPr>
          <w:rFonts w:hint="eastAsia" w:ascii="宋体" w:hAnsi="宋体" w:cs="宋体"/>
          <w:color w:val="auto"/>
          <w:kern w:val="0"/>
          <w:position w:val="-2"/>
          <w:szCs w:val="21"/>
          <w:highlight w:val="none"/>
        </w:rPr>
        <w:t>称</w:t>
      </w:r>
      <w:r>
        <w:rPr>
          <w:rFonts w:hint="eastAsia" w:ascii="宋体" w:hAnsi="宋体" w:cs="宋体"/>
          <w:color w:val="auto"/>
          <w:spacing w:val="-2"/>
          <w:kern w:val="0"/>
          <w:position w:val="-2"/>
          <w:szCs w:val="21"/>
          <w:highlight w:val="none"/>
        </w:rPr>
        <w:t>）</w:t>
      </w:r>
      <w:r>
        <w:rPr>
          <w:rFonts w:hint="eastAsia" w:ascii="宋体" w:hAnsi="宋体" w:cs="宋体"/>
          <w:color w:val="auto"/>
          <w:kern w:val="0"/>
          <w:position w:val="-2"/>
          <w:szCs w:val="21"/>
          <w:highlight w:val="none"/>
        </w:rPr>
        <w:t>的</w:t>
      </w:r>
      <w:r>
        <w:rPr>
          <w:rFonts w:hint="eastAsia" w:ascii="宋体" w:hAnsi="宋体" w:cs="宋体"/>
          <w:color w:val="auto"/>
          <w:spacing w:val="-2"/>
          <w:kern w:val="0"/>
          <w:position w:val="-2"/>
          <w:szCs w:val="21"/>
          <w:highlight w:val="none"/>
        </w:rPr>
        <w:t>法定代表人（单位负责人）。</w:t>
      </w:r>
    </w:p>
    <w:p w14:paraId="3BE1605E">
      <w:pPr>
        <w:autoSpaceDE w:val="0"/>
        <w:autoSpaceDN w:val="0"/>
        <w:adjustRightInd w:val="0"/>
        <w:snapToGrid w:val="0"/>
        <w:spacing w:before="120" w:beforeLines="50" w:line="360" w:lineRule="auto"/>
        <w:ind w:left="520" w:right="-20"/>
        <w:jc w:val="left"/>
        <w:rPr>
          <w:rFonts w:ascii="宋体" w:hAnsi="宋体" w:cs="宋体"/>
          <w:color w:val="auto"/>
          <w:kern w:val="0"/>
          <w:szCs w:val="21"/>
          <w:highlight w:val="none"/>
        </w:rPr>
      </w:pPr>
      <w:r>
        <w:rPr>
          <w:rFonts w:hint="eastAsia" w:ascii="宋体" w:hAnsi="宋体" w:cs="宋体"/>
          <w:color w:val="auto"/>
          <w:kern w:val="0"/>
          <w:szCs w:val="21"/>
          <w:highlight w:val="none"/>
        </w:rPr>
        <w:t>特此</w:t>
      </w:r>
      <w:r>
        <w:rPr>
          <w:rFonts w:hint="eastAsia" w:ascii="宋体" w:hAnsi="宋体" w:cs="宋体"/>
          <w:color w:val="auto"/>
          <w:spacing w:val="-2"/>
          <w:kern w:val="0"/>
          <w:szCs w:val="21"/>
          <w:highlight w:val="none"/>
        </w:rPr>
        <w:t>证</w:t>
      </w:r>
      <w:r>
        <w:rPr>
          <w:rFonts w:hint="eastAsia" w:ascii="宋体" w:hAnsi="宋体" w:cs="宋体"/>
          <w:color w:val="auto"/>
          <w:kern w:val="0"/>
          <w:szCs w:val="21"/>
          <w:highlight w:val="none"/>
        </w:rPr>
        <w:t>明。</w:t>
      </w:r>
    </w:p>
    <w:p w14:paraId="169D1D27">
      <w:pPr>
        <w:autoSpaceDE w:val="0"/>
        <w:autoSpaceDN w:val="0"/>
        <w:adjustRightInd w:val="0"/>
        <w:snapToGrid w:val="0"/>
        <w:spacing w:before="120" w:beforeLines="50" w:line="360" w:lineRule="auto"/>
        <w:ind w:left="100" w:right="4231"/>
        <w:jc w:val="left"/>
        <w:rPr>
          <w:rFonts w:ascii="宋体" w:hAnsi="宋体" w:cs="宋体"/>
          <w:color w:val="auto"/>
          <w:kern w:val="0"/>
          <w:szCs w:val="21"/>
          <w:highlight w:val="none"/>
        </w:rPr>
      </w:pPr>
      <w:r>
        <w:rPr>
          <w:rFonts w:hint="eastAsia" w:ascii="宋体" w:hAnsi="宋体" w:cs="宋体"/>
          <w:color w:val="auto"/>
          <w:kern w:val="0"/>
          <w:szCs w:val="21"/>
          <w:highlight w:val="none"/>
        </w:rPr>
        <w:t>附：</w:t>
      </w:r>
      <w:r>
        <w:rPr>
          <w:rFonts w:hint="eastAsia" w:ascii="宋体" w:hAnsi="宋体" w:cs="宋体"/>
          <w:color w:val="auto"/>
          <w:spacing w:val="-2"/>
          <w:kern w:val="0"/>
          <w:szCs w:val="21"/>
          <w:highlight w:val="none"/>
        </w:rPr>
        <w:t>法</w:t>
      </w:r>
      <w:r>
        <w:rPr>
          <w:rFonts w:hint="eastAsia" w:ascii="宋体" w:hAnsi="宋体" w:cs="宋体"/>
          <w:color w:val="auto"/>
          <w:kern w:val="0"/>
          <w:szCs w:val="21"/>
          <w:highlight w:val="none"/>
        </w:rPr>
        <w:t>定</w:t>
      </w:r>
      <w:r>
        <w:rPr>
          <w:rFonts w:hint="eastAsia" w:ascii="宋体" w:hAnsi="宋体" w:cs="宋体"/>
          <w:color w:val="auto"/>
          <w:spacing w:val="-2"/>
          <w:kern w:val="0"/>
          <w:szCs w:val="21"/>
          <w:highlight w:val="none"/>
        </w:rPr>
        <w:t>代</w:t>
      </w:r>
      <w:r>
        <w:rPr>
          <w:rFonts w:hint="eastAsia" w:ascii="宋体" w:hAnsi="宋体" w:cs="宋体"/>
          <w:color w:val="auto"/>
          <w:kern w:val="0"/>
          <w:szCs w:val="21"/>
          <w:highlight w:val="none"/>
        </w:rPr>
        <w:t>表</w:t>
      </w:r>
      <w:r>
        <w:rPr>
          <w:rFonts w:hint="eastAsia" w:ascii="宋体" w:hAnsi="宋体" w:cs="宋体"/>
          <w:color w:val="auto"/>
          <w:spacing w:val="-2"/>
          <w:kern w:val="0"/>
          <w:szCs w:val="21"/>
          <w:highlight w:val="none"/>
        </w:rPr>
        <w:t>人</w:t>
      </w:r>
      <w:r>
        <w:rPr>
          <w:rFonts w:hint="eastAsia" w:ascii="宋体" w:hAnsi="宋体" w:cs="宋体"/>
          <w:color w:val="auto"/>
          <w:kern w:val="0"/>
          <w:szCs w:val="21"/>
          <w:highlight w:val="none"/>
        </w:rPr>
        <w:t>（</w:t>
      </w:r>
      <w:r>
        <w:rPr>
          <w:rFonts w:hint="eastAsia" w:ascii="宋体" w:hAnsi="宋体" w:cs="宋体"/>
          <w:color w:val="auto"/>
          <w:spacing w:val="-2"/>
          <w:kern w:val="0"/>
          <w:szCs w:val="21"/>
          <w:highlight w:val="none"/>
        </w:rPr>
        <w:t>单</w:t>
      </w:r>
      <w:r>
        <w:rPr>
          <w:rFonts w:hint="eastAsia" w:ascii="宋体" w:hAnsi="宋体" w:cs="宋体"/>
          <w:color w:val="auto"/>
          <w:kern w:val="0"/>
          <w:szCs w:val="21"/>
          <w:highlight w:val="none"/>
        </w:rPr>
        <w:t>位</w:t>
      </w:r>
      <w:r>
        <w:rPr>
          <w:rFonts w:hint="eastAsia" w:ascii="宋体" w:hAnsi="宋体" w:cs="宋体"/>
          <w:color w:val="auto"/>
          <w:spacing w:val="-2"/>
          <w:kern w:val="0"/>
          <w:szCs w:val="21"/>
          <w:highlight w:val="none"/>
        </w:rPr>
        <w:t>负</w:t>
      </w:r>
      <w:r>
        <w:rPr>
          <w:rFonts w:hint="eastAsia" w:ascii="宋体" w:hAnsi="宋体" w:cs="宋体"/>
          <w:color w:val="auto"/>
          <w:kern w:val="0"/>
          <w:szCs w:val="21"/>
          <w:highlight w:val="none"/>
        </w:rPr>
        <w:t>责人</w:t>
      </w:r>
      <w:r>
        <w:rPr>
          <w:rFonts w:hint="eastAsia" w:ascii="宋体" w:hAnsi="宋体" w:cs="宋体"/>
          <w:color w:val="auto"/>
          <w:spacing w:val="-2"/>
          <w:kern w:val="0"/>
          <w:szCs w:val="21"/>
          <w:highlight w:val="none"/>
        </w:rPr>
        <w:t>）</w:t>
      </w:r>
      <w:r>
        <w:rPr>
          <w:rFonts w:hint="eastAsia" w:ascii="宋体" w:hAnsi="宋体" w:cs="宋体"/>
          <w:color w:val="auto"/>
          <w:kern w:val="0"/>
          <w:szCs w:val="21"/>
          <w:highlight w:val="none"/>
        </w:rPr>
        <w:t>身</w:t>
      </w:r>
      <w:r>
        <w:rPr>
          <w:rFonts w:hint="eastAsia" w:ascii="宋体" w:hAnsi="宋体" w:cs="宋体"/>
          <w:color w:val="auto"/>
          <w:spacing w:val="-2"/>
          <w:kern w:val="0"/>
          <w:szCs w:val="21"/>
          <w:highlight w:val="none"/>
        </w:rPr>
        <w:t>份</w:t>
      </w:r>
      <w:r>
        <w:rPr>
          <w:rFonts w:hint="eastAsia" w:ascii="宋体" w:hAnsi="宋体" w:cs="宋体"/>
          <w:color w:val="auto"/>
          <w:kern w:val="0"/>
          <w:szCs w:val="21"/>
          <w:highlight w:val="none"/>
        </w:rPr>
        <w:t>证</w:t>
      </w:r>
      <w:r>
        <w:rPr>
          <w:rFonts w:hint="eastAsia" w:ascii="宋体" w:hAnsi="宋体" w:cs="宋体"/>
          <w:color w:val="auto"/>
          <w:spacing w:val="-2"/>
          <w:kern w:val="0"/>
          <w:szCs w:val="21"/>
          <w:highlight w:val="none"/>
        </w:rPr>
        <w:t>复</w:t>
      </w:r>
      <w:r>
        <w:rPr>
          <w:rFonts w:hint="eastAsia" w:ascii="宋体" w:hAnsi="宋体" w:cs="宋体"/>
          <w:color w:val="auto"/>
          <w:kern w:val="0"/>
          <w:szCs w:val="21"/>
          <w:highlight w:val="none"/>
        </w:rPr>
        <w:t>印</w:t>
      </w:r>
      <w:r>
        <w:rPr>
          <w:rFonts w:hint="eastAsia" w:ascii="宋体" w:hAnsi="宋体" w:cs="宋体"/>
          <w:color w:val="auto"/>
          <w:spacing w:val="-2"/>
          <w:kern w:val="0"/>
          <w:szCs w:val="21"/>
          <w:highlight w:val="none"/>
        </w:rPr>
        <w:t>件</w:t>
      </w:r>
      <w:r>
        <w:rPr>
          <w:rFonts w:hint="eastAsia" w:ascii="宋体" w:hAnsi="宋体" w:cs="宋体"/>
          <w:color w:val="auto"/>
          <w:kern w:val="0"/>
          <w:szCs w:val="21"/>
          <w:highlight w:val="none"/>
        </w:rPr>
        <w:t>。</w:t>
      </w:r>
    </w:p>
    <w:tbl>
      <w:tblPr>
        <w:tblStyle w:val="4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3E8C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3898" w:type="dxa"/>
            <w:vAlign w:val="center"/>
          </w:tcPr>
          <w:p w14:paraId="654515F7">
            <w:pPr>
              <w:adjustRightInd w:val="0"/>
              <w:snapToGrid w:val="0"/>
              <w:spacing w:before="120" w:beforeLines="50" w:line="360" w:lineRule="auto"/>
              <w:jc w:val="center"/>
              <w:rPr>
                <w:rFonts w:ascii="宋体" w:hAnsi="宋体" w:cs="宋体"/>
                <w:color w:val="auto"/>
                <w:szCs w:val="21"/>
                <w:highlight w:val="none"/>
              </w:rPr>
            </w:pPr>
            <w:r>
              <w:rPr>
                <w:rFonts w:hint="eastAsia" w:ascii="宋体" w:hAnsi="宋体" w:cs="宋体"/>
                <w:color w:val="auto"/>
                <w:szCs w:val="21"/>
                <w:highlight w:val="none"/>
              </w:rPr>
              <w:t>身份证（正面）</w:t>
            </w:r>
            <w:r>
              <w:rPr>
                <w:rFonts w:hint="eastAsia" w:ascii="宋体" w:hAnsi="宋体" w:cs="宋体"/>
                <w:color w:val="auto"/>
                <w:spacing w:val="-2"/>
                <w:kern w:val="0"/>
                <w:szCs w:val="21"/>
                <w:highlight w:val="none"/>
              </w:rPr>
              <w:t>复</w:t>
            </w:r>
            <w:r>
              <w:rPr>
                <w:rFonts w:hint="eastAsia" w:ascii="宋体" w:hAnsi="宋体" w:cs="宋体"/>
                <w:color w:val="auto"/>
                <w:kern w:val="0"/>
                <w:szCs w:val="21"/>
                <w:highlight w:val="none"/>
              </w:rPr>
              <w:t>印</w:t>
            </w:r>
            <w:r>
              <w:rPr>
                <w:rFonts w:hint="eastAsia" w:ascii="宋体" w:hAnsi="宋体" w:cs="宋体"/>
                <w:color w:val="auto"/>
                <w:spacing w:val="-2"/>
                <w:kern w:val="0"/>
                <w:szCs w:val="21"/>
                <w:highlight w:val="none"/>
              </w:rPr>
              <w:t>件</w:t>
            </w:r>
          </w:p>
        </w:tc>
        <w:tc>
          <w:tcPr>
            <w:tcW w:w="3899" w:type="dxa"/>
            <w:vAlign w:val="center"/>
          </w:tcPr>
          <w:p w14:paraId="0D91160E">
            <w:pPr>
              <w:adjustRightInd w:val="0"/>
              <w:snapToGrid w:val="0"/>
              <w:spacing w:before="120" w:beforeLines="50" w:line="360" w:lineRule="auto"/>
              <w:jc w:val="center"/>
              <w:rPr>
                <w:rFonts w:ascii="宋体" w:hAnsi="宋体" w:cs="宋体"/>
                <w:color w:val="auto"/>
                <w:szCs w:val="21"/>
                <w:highlight w:val="none"/>
              </w:rPr>
            </w:pPr>
            <w:r>
              <w:rPr>
                <w:rFonts w:hint="eastAsia" w:ascii="宋体" w:hAnsi="宋体" w:cs="宋体"/>
                <w:color w:val="auto"/>
                <w:szCs w:val="21"/>
                <w:highlight w:val="none"/>
              </w:rPr>
              <w:t>身份证（反面）</w:t>
            </w:r>
            <w:r>
              <w:rPr>
                <w:rFonts w:hint="eastAsia" w:ascii="宋体" w:hAnsi="宋体" w:cs="宋体"/>
                <w:color w:val="auto"/>
                <w:spacing w:val="-2"/>
                <w:kern w:val="0"/>
                <w:szCs w:val="21"/>
                <w:highlight w:val="none"/>
              </w:rPr>
              <w:t>复</w:t>
            </w:r>
            <w:r>
              <w:rPr>
                <w:rFonts w:hint="eastAsia" w:ascii="宋体" w:hAnsi="宋体" w:cs="宋体"/>
                <w:color w:val="auto"/>
                <w:kern w:val="0"/>
                <w:szCs w:val="21"/>
                <w:highlight w:val="none"/>
              </w:rPr>
              <w:t>印</w:t>
            </w:r>
            <w:r>
              <w:rPr>
                <w:rFonts w:hint="eastAsia" w:ascii="宋体" w:hAnsi="宋体" w:cs="宋体"/>
                <w:color w:val="auto"/>
                <w:spacing w:val="-2"/>
                <w:kern w:val="0"/>
                <w:szCs w:val="21"/>
                <w:highlight w:val="none"/>
              </w:rPr>
              <w:t>件</w:t>
            </w:r>
          </w:p>
        </w:tc>
      </w:tr>
    </w:tbl>
    <w:p w14:paraId="0C8AB761">
      <w:pPr>
        <w:adjustRightInd w:val="0"/>
        <w:snapToGrid w:val="0"/>
        <w:spacing w:before="120" w:beforeLines="50" w:line="360" w:lineRule="auto"/>
        <w:rPr>
          <w:rFonts w:ascii="宋体" w:hAnsi="宋体" w:cs="宋体"/>
          <w:color w:val="auto"/>
          <w:szCs w:val="21"/>
          <w:highlight w:val="none"/>
        </w:rPr>
      </w:pPr>
    </w:p>
    <w:p w14:paraId="310BB4DE">
      <w:pPr>
        <w:adjustRightInd w:val="0"/>
        <w:snapToGrid w:val="0"/>
        <w:spacing w:before="120" w:beforeLines="50" w:line="360" w:lineRule="auto"/>
        <w:rPr>
          <w:rFonts w:ascii="宋体" w:hAnsi="宋体" w:cs="宋体"/>
          <w:color w:val="auto"/>
          <w:szCs w:val="21"/>
          <w:highlight w:val="none"/>
        </w:rPr>
      </w:pPr>
      <w:r>
        <w:rPr>
          <w:rFonts w:hint="eastAsia" w:ascii="宋体" w:hAnsi="宋体" w:cs="宋体"/>
          <w:color w:val="auto"/>
          <w:szCs w:val="21"/>
          <w:highlight w:val="none"/>
        </w:rPr>
        <w:t>注：供应商代表为法定代表人（单位负责人）的提供。供应商为自然人的无需提供。</w:t>
      </w:r>
    </w:p>
    <w:p w14:paraId="3B2547F8">
      <w:pPr>
        <w:adjustRightInd w:val="0"/>
        <w:snapToGrid w:val="0"/>
        <w:spacing w:before="120" w:beforeLines="50" w:line="360" w:lineRule="auto"/>
        <w:rPr>
          <w:rFonts w:ascii="宋体" w:hAnsi="宋体" w:cs="宋体"/>
          <w:color w:val="auto"/>
          <w:szCs w:val="21"/>
          <w:highlight w:val="none"/>
        </w:rPr>
      </w:pPr>
    </w:p>
    <w:p w14:paraId="187EF03C">
      <w:pPr>
        <w:pStyle w:val="25"/>
        <w:adjustRightInd w:val="0"/>
        <w:snapToGrid w:val="0"/>
        <w:spacing w:before="120" w:beforeLines="50" w:line="360" w:lineRule="auto"/>
        <w:rPr>
          <w:rFonts w:hAnsi="宋体" w:cs="宋体"/>
          <w:color w:val="auto"/>
          <w:highlight w:val="none"/>
        </w:rPr>
      </w:pPr>
      <w:r>
        <w:rPr>
          <w:rFonts w:hint="eastAsia" w:hAnsi="宋体" w:cs="宋体"/>
          <w:color w:val="auto"/>
          <w:highlight w:val="none"/>
        </w:rPr>
        <w:t>供应商名称(盖单位公章)：</w:t>
      </w:r>
    </w:p>
    <w:p w14:paraId="7E5C027D">
      <w:pPr>
        <w:adjustRightInd w:val="0"/>
        <w:snapToGrid w:val="0"/>
        <w:spacing w:before="120" w:beforeLines="50" w:line="360" w:lineRule="auto"/>
        <w:ind w:right="24"/>
        <w:rPr>
          <w:rFonts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D877AB5">
      <w:pPr>
        <w:adjustRightInd w:val="0"/>
        <w:snapToGrid w:val="0"/>
        <w:spacing w:before="120" w:beforeLines="50" w:line="360" w:lineRule="auto"/>
        <w:rPr>
          <w:rFonts w:ascii="宋体" w:hAnsi="宋体" w:cs="宋体"/>
          <w:b/>
          <w:color w:val="auto"/>
          <w:highlight w:val="none"/>
        </w:rPr>
      </w:pPr>
    </w:p>
    <w:p w14:paraId="25FB9F6A">
      <w:pPr>
        <w:adjustRightInd w:val="0"/>
        <w:snapToGrid w:val="0"/>
        <w:spacing w:before="120" w:beforeLines="50" w:line="360" w:lineRule="auto"/>
        <w:rPr>
          <w:rFonts w:ascii="宋体" w:hAnsi="宋体" w:cs="宋体"/>
          <w:b/>
          <w:color w:val="auto"/>
          <w:highlight w:val="none"/>
        </w:rPr>
      </w:pPr>
    </w:p>
    <w:p w14:paraId="7CE3F0DA">
      <w:pPr>
        <w:adjustRightInd w:val="0"/>
        <w:snapToGrid w:val="0"/>
        <w:spacing w:line="360" w:lineRule="auto"/>
        <w:ind w:right="420"/>
        <w:rPr>
          <w:rFonts w:ascii="宋体" w:hAnsi="宋体" w:cs="宋体"/>
          <w:color w:val="auto"/>
          <w:szCs w:val="21"/>
          <w:highlight w:val="none"/>
        </w:rPr>
      </w:pPr>
      <w:r>
        <w:rPr>
          <w:rFonts w:hint="eastAsia" w:ascii="宋体" w:hAnsi="宋体" w:cs="宋体"/>
          <w:b/>
          <w:color w:val="auto"/>
          <w:highlight w:val="none"/>
        </w:rPr>
        <w:t>法定代表人参与磋商的，请将此身份证明单独另备一份与法定代表人身份证原件于开标现场身份验证时使用。</w:t>
      </w:r>
    </w:p>
    <w:p w14:paraId="65F085B5">
      <w:pPr>
        <w:adjustRightInd w:val="0"/>
        <w:snapToGrid w:val="0"/>
        <w:spacing w:before="120" w:beforeLines="50" w:line="360" w:lineRule="auto"/>
        <w:rPr>
          <w:rFonts w:ascii="宋体" w:hAnsi="宋体" w:cs="宋体"/>
          <w:color w:val="auto"/>
          <w:szCs w:val="21"/>
          <w:highlight w:val="none"/>
        </w:rPr>
      </w:pPr>
    </w:p>
    <w:p w14:paraId="34D23A78">
      <w:pPr>
        <w:adjustRightInd w:val="0"/>
        <w:snapToGrid w:val="0"/>
        <w:spacing w:before="120" w:beforeLines="50" w:line="360" w:lineRule="auto"/>
        <w:rPr>
          <w:rFonts w:ascii="宋体" w:hAnsi="宋体"/>
          <w:color w:val="auto"/>
          <w:sz w:val="30"/>
          <w:szCs w:val="30"/>
          <w:highlight w:val="none"/>
        </w:rPr>
      </w:pPr>
      <w:r>
        <w:rPr>
          <w:rFonts w:hint="eastAsia" w:ascii="宋体" w:hAnsi="宋体"/>
          <w:bCs/>
          <w:color w:val="auto"/>
          <w:sz w:val="30"/>
          <w:szCs w:val="30"/>
          <w:highlight w:val="none"/>
        </w:rPr>
        <w:br w:type="page"/>
      </w:r>
      <w:r>
        <w:rPr>
          <w:rFonts w:hint="eastAsia" w:ascii="宋体" w:hAnsi="宋体"/>
          <w:bCs/>
          <w:color w:val="auto"/>
          <w:sz w:val="30"/>
          <w:szCs w:val="30"/>
          <w:highlight w:val="none"/>
        </w:rPr>
        <w:t>附件2</w:t>
      </w:r>
    </w:p>
    <w:p w14:paraId="37F8948E">
      <w:pPr>
        <w:spacing w:line="360" w:lineRule="exact"/>
        <w:jc w:val="center"/>
        <w:rPr>
          <w:rFonts w:ascii="宋体" w:hAnsi="宋体"/>
          <w:b/>
          <w:color w:val="auto"/>
          <w:sz w:val="28"/>
          <w:szCs w:val="28"/>
          <w:highlight w:val="none"/>
        </w:rPr>
      </w:pPr>
      <w:r>
        <w:rPr>
          <w:rFonts w:hint="eastAsia" w:ascii="宋体" w:hAnsi="宋体"/>
          <w:b/>
          <w:color w:val="auto"/>
          <w:sz w:val="28"/>
          <w:szCs w:val="28"/>
          <w:highlight w:val="none"/>
        </w:rPr>
        <w:t>授权委托书(格式)</w:t>
      </w:r>
    </w:p>
    <w:p w14:paraId="444A51F6">
      <w:pPr>
        <w:adjustRightInd w:val="0"/>
        <w:snapToGrid w:val="0"/>
        <w:spacing w:line="360" w:lineRule="auto"/>
        <w:jc w:val="center"/>
        <w:rPr>
          <w:rFonts w:ascii="宋体" w:hAnsi="宋体"/>
          <w:b/>
          <w:color w:val="auto"/>
          <w:sz w:val="28"/>
          <w:szCs w:val="28"/>
          <w:highlight w:val="none"/>
        </w:rPr>
      </w:pPr>
    </w:p>
    <w:p w14:paraId="1925B7E8">
      <w:pPr>
        <w:autoSpaceDE w:val="0"/>
        <w:autoSpaceDN w:val="0"/>
        <w:adjustRightInd w:val="0"/>
        <w:snapToGrid w:val="0"/>
        <w:spacing w:before="120" w:beforeLines="50" w:line="360" w:lineRule="auto"/>
        <w:ind w:firstLine="420" w:firstLineChars="200"/>
        <w:jc w:val="left"/>
        <w:rPr>
          <w:rFonts w:ascii="宋体" w:hAnsi="宋体" w:cs="宋体"/>
          <w:color w:val="auto"/>
          <w:kern w:val="0"/>
          <w:szCs w:val="21"/>
          <w:highlight w:val="none"/>
        </w:rPr>
      </w:pPr>
      <w:r>
        <w:rPr>
          <w:rFonts w:hint="eastAsia" w:ascii="宋体" w:hAnsi="宋体"/>
          <w:color w:val="auto"/>
          <w:kern w:val="0"/>
          <w:szCs w:val="21"/>
          <w:highlight w:val="none"/>
        </w:rPr>
        <w:t>本人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（姓名、职务）系</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r>
        <w:rPr>
          <w:rFonts w:hint="eastAsia" w:ascii="宋体" w:hAnsi="宋体"/>
          <w:color w:val="auto"/>
          <w:szCs w:val="21"/>
          <w:highlight w:val="none"/>
        </w:rPr>
        <w:t>供应商</w:t>
      </w:r>
      <w:r>
        <w:rPr>
          <w:rFonts w:hint="eastAsia" w:ascii="宋体" w:hAnsi="宋体"/>
          <w:color w:val="auto"/>
          <w:kern w:val="0"/>
          <w:szCs w:val="21"/>
          <w:highlight w:val="none"/>
        </w:rPr>
        <w:t>名称）的法定代表人，现授权</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（姓名、职务）为我方代理人。代理人根据授权，以我方名义：(1)签署、澄清、补正、修改、撤回、提交</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（项目名称、</w:t>
      </w:r>
      <w:r>
        <w:rPr>
          <w:rFonts w:hint="eastAsia" w:ascii="宋体" w:hAnsi="宋体"/>
          <w:color w:val="auto"/>
          <w:szCs w:val="21"/>
          <w:highlight w:val="none"/>
        </w:rPr>
        <w:t>采购计划</w:t>
      </w:r>
      <w:r>
        <w:rPr>
          <w:rFonts w:hint="eastAsia" w:ascii="宋体" w:hAnsi="宋体"/>
          <w:color w:val="auto"/>
          <w:kern w:val="0"/>
          <w:szCs w:val="21"/>
          <w:highlight w:val="none"/>
        </w:rPr>
        <w:t>编号、</w:t>
      </w:r>
      <w:r>
        <w:rPr>
          <w:rFonts w:hint="eastAsia" w:ascii="宋体" w:hAnsi="宋体"/>
          <w:color w:val="auto"/>
          <w:kern w:val="0"/>
          <w:szCs w:val="21"/>
          <w:highlight w:val="none"/>
          <w:lang w:eastAsia="zh-CN"/>
        </w:rPr>
        <w:t>委托代理编号</w:t>
      </w:r>
      <w:r>
        <w:rPr>
          <w:rFonts w:hint="eastAsia" w:ascii="宋体" w:hAnsi="宋体"/>
          <w:color w:val="auto"/>
          <w:kern w:val="0"/>
          <w:szCs w:val="21"/>
          <w:highlight w:val="none"/>
        </w:rPr>
        <w:t>）响应文件；</w:t>
      </w:r>
      <w:r>
        <w:rPr>
          <w:rFonts w:hint="eastAsia" w:ascii="宋体" w:hAnsi="宋体" w:cs="宋体"/>
          <w:color w:val="auto"/>
          <w:kern w:val="0"/>
          <w:szCs w:val="21"/>
          <w:highlight w:val="none"/>
        </w:rPr>
        <w:t>(2)签署并重新提交响应文件及最后报价；(3)退出磋商（如可能）；(4)签订合同和处理有关事宜，其法律后果由我方承担。</w:t>
      </w:r>
    </w:p>
    <w:p w14:paraId="15F0B3BB">
      <w:pPr>
        <w:autoSpaceDE w:val="0"/>
        <w:autoSpaceDN w:val="0"/>
        <w:adjustRightInd w:val="0"/>
        <w:snapToGrid w:val="0"/>
        <w:spacing w:before="120" w:beforeLines="50" w:line="360" w:lineRule="auto"/>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委托期限：</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p>
    <w:p w14:paraId="3055D787">
      <w:pPr>
        <w:spacing w:line="360" w:lineRule="auto"/>
        <w:ind w:firstLine="435"/>
        <w:rPr>
          <w:rFonts w:ascii="宋体" w:hAnsi="宋体"/>
          <w:color w:val="auto"/>
          <w:kern w:val="0"/>
          <w:szCs w:val="21"/>
          <w:highlight w:val="none"/>
        </w:rPr>
      </w:pPr>
      <w:r>
        <w:rPr>
          <w:rFonts w:hint="eastAsia" w:ascii="宋体" w:hAnsi="宋体"/>
          <w:color w:val="auto"/>
          <w:kern w:val="0"/>
          <w:szCs w:val="21"/>
          <w:highlight w:val="none"/>
        </w:rPr>
        <w:t>代理人无转委托权。</w:t>
      </w:r>
    </w:p>
    <w:p w14:paraId="054109D6">
      <w:pPr>
        <w:spacing w:line="360" w:lineRule="auto"/>
        <w:ind w:firstLine="435"/>
        <w:rPr>
          <w:rFonts w:ascii="宋体" w:hAnsi="宋体"/>
          <w:color w:val="auto"/>
          <w:szCs w:val="21"/>
          <w:highlight w:val="none"/>
        </w:rPr>
      </w:pPr>
      <w:r>
        <w:rPr>
          <w:rFonts w:hint="eastAsia" w:ascii="宋体" w:hAnsi="宋体"/>
          <w:color w:val="auto"/>
          <w:szCs w:val="21"/>
          <w:highlight w:val="none"/>
        </w:rPr>
        <w:t>本授权书于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日签字生效，特此声明。</w:t>
      </w:r>
    </w:p>
    <w:p w14:paraId="0BA7D21B">
      <w:pPr>
        <w:adjustRightInd w:val="0"/>
        <w:snapToGrid w:val="0"/>
        <w:spacing w:before="120" w:beforeLines="50" w:line="360" w:lineRule="auto"/>
        <w:ind w:firstLine="420" w:firstLineChars="200"/>
        <w:rPr>
          <w:rFonts w:ascii="宋体" w:hAnsi="宋体"/>
          <w:color w:val="auto"/>
          <w:szCs w:val="21"/>
          <w:highlight w:val="none"/>
        </w:rPr>
      </w:pPr>
      <w:r>
        <w:rPr>
          <w:rFonts w:hint="eastAsia" w:ascii="宋体" w:hAnsi="宋体"/>
          <w:color w:val="auto"/>
          <w:szCs w:val="21"/>
          <w:highlight w:val="none"/>
        </w:rPr>
        <w:t>附：委托代理人身份证复印件及法定代表人身份证明(附件1，原件)</w:t>
      </w:r>
    </w:p>
    <w:tbl>
      <w:tblPr>
        <w:tblStyle w:val="4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2AFD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3898" w:type="dxa"/>
            <w:vAlign w:val="center"/>
          </w:tcPr>
          <w:p w14:paraId="72CFF993">
            <w:pPr>
              <w:adjustRightInd w:val="0"/>
              <w:snapToGrid w:val="0"/>
              <w:spacing w:before="120" w:beforeLines="50" w:line="360" w:lineRule="auto"/>
              <w:jc w:val="center"/>
              <w:rPr>
                <w:rFonts w:ascii="宋体" w:hAnsi="宋体" w:cs="宋体"/>
                <w:color w:val="auto"/>
                <w:szCs w:val="21"/>
                <w:highlight w:val="none"/>
              </w:rPr>
            </w:pPr>
            <w:r>
              <w:rPr>
                <w:rFonts w:hint="eastAsia" w:ascii="宋体" w:hAnsi="宋体" w:cs="宋体"/>
                <w:color w:val="auto"/>
                <w:szCs w:val="21"/>
                <w:highlight w:val="none"/>
              </w:rPr>
              <w:t>身份证（正反面）</w:t>
            </w:r>
            <w:r>
              <w:rPr>
                <w:rFonts w:hint="eastAsia" w:ascii="宋体" w:hAnsi="宋体" w:cs="宋体"/>
                <w:color w:val="auto"/>
                <w:spacing w:val="-2"/>
                <w:kern w:val="0"/>
                <w:szCs w:val="21"/>
                <w:highlight w:val="none"/>
              </w:rPr>
              <w:t>复</w:t>
            </w:r>
            <w:r>
              <w:rPr>
                <w:rFonts w:hint="eastAsia" w:ascii="宋体" w:hAnsi="宋体" w:cs="宋体"/>
                <w:color w:val="auto"/>
                <w:kern w:val="0"/>
                <w:szCs w:val="21"/>
                <w:highlight w:val="none"/>
              </w:rPr>
              <w:t>印</w:t>
            </w:r>
            <w:r>
              <w:rPr>
                <w:rFonts w:hint="eastAsia" w:ascii="宋体" w:hAnsi="宋体" w:cs="宋体"/>
                <w:color w:val="auto"/>
                <w:spacing w:val="-2"/>
                <w:kern w:val="0"/>
                <w:szCs w:val="21"/>
                <w:highlight w:val="none"/>
              </w:rPr>
              <w:t>件</w:t>
            </w:r>
          </w:p>
        </w:tc>
        <w:tc>
          <w:tcPr>
            <w:tcW w:w="3899" w:type="dxa"/>
            <w:vAlign w:val="center"/>
          </w:tcPr>
          <w:p w14:paraId="6EB7ABCA">
            <w:pPr>
              <w:adjustRightInd w:val="0"/>
              <w:snapToGrid w:val="0"/>
              <w:spacing w:before="120" w:beforeLines="50" w:line="360" w:lineRule="auto"/>
              <w:jc w:val="center"/>
              <w:rPr>
                <w:rFonts w:ascii="宋体" w:hAnsi="宋体" w:cs="宋体"/>
                <w:color w:val="auto"/>
                <w:szCs w:val="21"/>
                <w:highlight w:val="none"/>
              </w:rPr>
            </w:pPr>
            <w:r>
              <w:rPr>
                <w:rFonts w:hint="eastAsia" w:ascii="宋体" w:hAnsi="宋体" w:cs="宋体"/>
                <w:color w:val="auto"/>
                <w:szCs w:val="21"/>
                <w:highlight w:val="none"/>
              </w:rPr>
              <w:t>身份证（正反面）</w:t>
            </w:r>
            <w:r>
              <w:rPr>
                <w:rFonts w:hint="eastAsia" w:ascii="宋体" w:hAnsi="宋体" w:cs="宋体"/>
                <w:color w:val="auto"/>
                <w:spacing w:val="-2"/>
                <w:kern w:val="0"/>
                <w:szCs w:val="21"/>
                <w:highlight w:val="none"/>
              </w:rPr>
              <w:t>复</w:t>
            </w:r>
            <w:r>
              <w:rPr>
                <w:rFonts w:hint="eastAsia" w:ascii="宋体" w:hAnsi="宋体" w:cs="宋体"/>
                <w:color w:val="auto"/>
                <w:kern w:val="0"/>
                <w:szCs w:val="21"/>
                <w:highlight w:val="none"/>
              </w:rPr>
              <w:t>印</w:t>
            </w:r>
            <w:r>
              <w:rPr>
                <w:rFonts w:hint="eastAsia" w:ascii="宋体" w:hAnsi="宋体" w:cs="宋体"/>
                <w:color w:val="auto"/>
                <w:spacing w:val="-2"/>
                <w:kern w:val="0"/>
                <w:szCs w:val="21"/>
                <w:highlight w:val="none"/>
              </w:rPr>
              <w:t>件</w:t>
            </w:r>
          </w:p>
        </w:tc>
      </w:tr>
    </w:tbl>
    <w:p w14:paraId="48AEA098">
      <w:pPr>
        <w:adjustRightInd w:val="0"/>
        <w:snapToGrid w:val="0"/>
        <w:spacing w:line="360" w:lineRule="auto"/>
        <w:ind w:right="420"/>
        <w:rPr>
          <w:rFonts w:ascii="宋体" w:hAnsi="宋体"/>
          <w:color w:val="auto"/>
          <w:szCs w:val="21"/>
          <w:highlight w:val="none"/>
        </w:rPr>
      </w:pPr>
    </w:p>
    <w:p w14:paraId="1471DDC7">
      <w:pPr>
        <w:adjustRightInd w:val="0"/>
        <w:snapToGrid w:val="0"/>
        <w:spacing w:line="360" w:lineRule="auto"/>
        <w:ind w:right="420"/>
        <w:rPr>
          <w:rFonts w:ascii="宋体" w:hAnsi="宋体"/>
          <w:color w:val="auto"/>
          <w:szCs w:val="21"/>
          <w:highlight w:val="none"/>
        </w:rPr>
      </w:pPr>
    </w:p>
    <w:p w14:paraId="3AAC5830">
      <w:pPr>
        <w:adjustRightInd w:val="0"/>
        <w:snapToGrid w:val="0"/>
        <w:spacing w:line="360" w:lineRule="auto"/>
        <w:ind w:right="420"/>
        <w:rPr>
          <w:rFonts w:ascii="宋体" w:hAnsi="宋体"/>
          <w:color w:val="auto"/>
          <w:szCs w:val="21"/>
          <w:highlight w:val="none"/>
        </w:rPr>
      </w:pPr>
      <w:r>
        <w:rPr>
          <w:rFonts w:hint="eastAsia" w:ascii="宋体" w:hAnsi="宋体"/>
          <w:color w:val="auto"/>
          <w:szCs w:val="21"/>
          <w:highlight w:val="none"/>
        </w:rPr>
        <w:t>法定代表人（签字）：</w:t>
      </w:r>
      <w:r>
        <w:rPr>
          <w:rFonts w:hint="eastAsia" w:ascii="宋体" w:hAnsi="宋体"/>
          <w:color w:val="auto"/>
          <w:szCs w:val="21"/>
          <w:highlight w:val="none"/>
          <w:u w:val="single"/>
        </w:rPr>
        <w:t xml:space="preserve">                     </w:t>
      </w:r>
    </w:p>
    <w:p w14:paraId="17778861">
      <w:pPr>
        <w:adjustRightInd w:val="0"/>
        <w:snapToGrid w:val="0"/>
        <w:spacing w:line="360" w:lineRule="auto"/>
        <w:ind w:right="420"/>
        <w:rPr>
          <w:rFonts w:ascii="宋体" w:hAnsi="宋体"/>
          <w:color w:val="auto"/>
          <w:szCs w:val="21"/>
          <w:highlight w:val="none"/>
        </w:rPr>
      </w:pPr>
      <w:r>
        <w:rPr>
          <w:rFonts w:hint="eastAsia" w:ascii="宋体" w:hAnsi="宋体"/>
          <w:color w:val="auto"/>
          <w:szCs w:val="21"/>
          <w:highlight w:val="none"/>
        </w:rPr>
        <w:t>委托代理人（签字）：</w:t>
      </w:r>
      <w:r>
        <w:rPr>
          <w:rFonts w:hint="eastAsia" w:ascii="宋体" w:hAnsi="宋体"/>
          <w:color w:val="auto"/>
          <w:szCs w:val="21"/>
          <w:highlight w:val="none"/>
          <w:u w:val="single"/>
        </w:rPr>
        <w:t xml:space="preserve">                     </w:t>
      </w:r>
    </w:p>
    <w:p w14:paraId="5BA85CA1">
      <w:pPr>
        <w:adjustRightInd w:val="0"/>
        <w:snapToGrid w:val="0"/>
        <w:spacing w:line="360" w:lineRule="auto"/>
        <w:ind w:right="24"/>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32CC851">
      <w:pPr>
        <w:spacing w:line="360" w:lineRule="exact"/>
        <w:rPr>
          <w:rFonts w:ascii="宋体" w:hAnsi="宋体"/>
          <w:b/>
          <w:color w:val="auto"/>
          <w:highlight w:val="none"/>
        </w:rPr>
      </w:pPr>
    </w:p>
    <w:p w14:paraId="50A4D0B1">
      <w:pPr>
        <w:spacing w:line="360" w:lineRule="exact"/>
        <w:rPr>
          <w:rFonts w:ascii="宋体" w:hAnsi="宋体"/>
          <w:b/>
          <w:color w:val="auto"/>
          <w:highlight w:val="none"/>
        </w:rPr>
      </w:pPr>
    </w:p>
    <w:p w14:paraId="041D34DE">
      <w:pPr>
        <w:spacing w:line="360" w:lineRule="exact"/>
        <w:rPr>
          <w:rFonts w:ascii="宋体" w:hAnsi="宋体"/>
          <w:b/>
          <w:color w:val="auto"/>
          <w:highlight w:val="none"/>
        </w:rPr>
      </w:pPr>
    </w:p>
    <w:p w14:paraId="7F66C032">
      <w:pPr>
        <w:adjustRightInd w:val="0"/>
        <w:snapToGrid w:val="0"/>
        <w:spacing w:before="120" w:beforeLines="50" w:line="360" w:lineRule="auto"/>
        <w:ind w:right="420"/>
        <w:rPr>
          <w:rFonts w:ascii="宋体" w:hAnsi="宋体" w:cs="宋体"/>
          <w:color w:val="auto"/>
          <w:szCs w:val="21"/>
          <w:highlight w:val="none"/>
        </w:rPr>
      </w:pPr>
      <w:r>
        <w:rPr>
          <w:rFonts w:hint="eastAsia" w:ascii="宋体" w:hAnsi="宋体" w:cs="宋体"/>
          <w:b/>
          <w:color w:val="auto"/>
          <w:szCs w:val="21"/>
          <w:highlight w:val="none"/>
        </w:rPr>
        <w:t>本授权委托书和法定代表人身份证明（单独另备一份）及委托代理人身份证原件开标现场查验。</w:t>
      </w:r>
    </w:p>
    <w:p w14:paraId="24885FEE">
      <w:pPr>
        <w:rPr>
          <w:rFonts w:ascii="宋体" w:hAnsi="宋体"/>
          <w:b/>
          <w:color w:val="auto"/>
          <w:sz w:val="32"/>
          <w:szCs w:val="32"/>
          <w:highlight w:val="none"/>
        </w:rPr>
      </w:pPr>
      <w:r>
        <w:rPr>
          <w:rFonts w:ascii="宋体" w:hAnsi="宋体"/>
          <w:b/>
          <w:color w:val="auto"/>
          <w:sz w:val="32"/>
          <w:szCs w:val="32"/>
          <w:highlight w:val="none"/>
        </w:rPr>
        <w:br w:type="page"/>
      </w:r>
    </w:p>
    <w:p w14:paraId="641E1A89">
      <w:pPr>
        <w:adjustRightInd w:val="0"/>
        <w:snapToGrid w:val="0"/>
        <w:spacing w:before="120" w:beforeLines="50" w:line="360" w:lineRule="auto"/>
        <w:rPr>
          <w:rFonts w:ascii="宋体" w:hAnsi="宋体"/>
          <w:bCs/>
          <w:color w:val="auto"/>
          <w:sz w:val="30"/>
          <w:szCs w:val="30"/>
          <w:highlight w:val="none"/>
        </w:rPr>
      </w:pPr>
      <w:r>
        <w:rPr>
          <w:rFonts w:hint="eastAsia" w:ascii="宋体" w:hAnsi="宋体"/>
          <w:bCs/>
          <w:color w:val="auto"/>
          <w:sz w:val="30"/>
          <w:szCs w:val="30"/>
          <w:highlight w:val="none"/>
        </w:rPr>
        <w:t>附件3</w:t>
      </w:r>
    </w:p>
    <w:p w14:paraId="724F39EA">
      <w:pPr>
        <w:pStyle w:val="45"/>
        <w:spacing w:after="96"/>
        <w:rPr>
          <w:color w:val="auto"/>
          <w:highlight w:val="none"/>
        </w:rPr>
      </w:pPr>
    </w:p>
    <w:p w14:paraId="11268C9C">
      <w:pPr>
        <w:autoSpaceDE w:val="0"/>
        <w:autoSpaceDN w:val="0"/>
        <w:adjustRightInd w:val="0"/>
        <w:snapToGrid w:val="0"/>
        <w:spacing w:before="120" w:beforeLines="50" w:line="360" w:lineRule="auto"/>
        <w:ind w:right="24"/>
        <w:jc w:val="center"/>
        <w:rPr>
          <w:rFonts w:ascii="黑体" w:hAnsi="黑体" w:eastAsia="黑体" w:cs="微软雅黑"/>
          <w:color w:val="auto"/>
          <w:kern w:val="0"/>
          <w:position w:val="-3"/>
          <w:sz w:val="28"/>
          <w:szCs w:val="28"/>
          <w:highlight w:val="none"/>
        </w:rPr>
      </w:pPr>
      <w:r>
        <w:rPr>
          <w:rFonts w:hint="eastAsia" w:ascii="黑体" w:hAnsi="黑体" w:eastAsia="黑体" w:cs="微软雅黑"/>
          <w:color w:val="auto"/>
          <w:kern w:val="0"/>
          <w:position w:val="-3"/>
          <w:sz w:val="28"/>
          <w:szCs w:val="28"/>
          <w:highlight w:val="none"/>
        </w:rPr>
        <w:t>湖南省政府采购供应商资格承诺函</w:t>
      </w:r>
    </w:p>
    <w:p w14:paraId="074CC6F9">
      <w:pPr>
        <w:spacing w:line="266" w:lineRule="auto"/>
        <w:rPr>
          <w:rFonts w:ascii="Arial"/>
          <w:color w:val="auto"/>
          <w:highlight w:val="none"/>
        </w:rPr>
      </w:pPr>
    </w:p>
    <w:p w14:paraId="5DD4F666">
      <w:pPr>
        <w:spacing w:line="266" w:lineRule="auto"/>
        <w:rPr>
          <w:rFonts w:asciiTheme="minorEastAsia" w:hAnsiTheme="minorEastAsia" w:eastAsiaTheme="minorEastAsia" w:cstheme="minorEastAsia"/>
          <w:color w:val="auto"/>
          <w:szCs w:val="21"/>
          <w:highlight w:val="none"/>
        </w:rPr>
      </w:pPr>
    </w:p>
    <w:p w14:paraId="2C7FEDA7">
      <w:pPr>
        <w:spacing w:line="360" w:lineRule="auto"/>
        <w:ind w:left="1" w:right="113" w:firstLine="646"/>
        <w:rPr>
          <w:rFonts w:ascii="宋体" w:hAnsi="宋体" w:cs="宋体"/>
          <w:color w:val="auto"/>
          <w:spacing w:val="0"/>
          <w:sz w:val="21"/>
          <w:szCs w:val="21"/>
          <w:highlight w:val="none"/>
        </w:rPr>
      </w:pPr>
      <w:r>
        <w:rPr>
          <w:rFonts w:hint="eastAsia" w:ascii="宋体" w:hAnsi="宋体" w:cs="宋体"/>
          <w:color w:val="auto"/>
          <w:spacing w:val="18"/>
          <w:szCs w:val="21"/>
          <w:highlight w:val="none"/>
        </w:rPr>
        <w:t>本</w:t>
      </w:r>
      <w:r>
        <w:rPr>
          <w:rFonts w:hint="eastAsia" w:ascii="宋体" w:hAnsi="宋体" w:cs="宋体"/>
          <w:color w:val="auto"/>
          <w:spacing w:val="11"/>
          <w:szCs w:val="21"/>
          <w:highlight w:val="none"/>
        </w:rPr>
        <w:t>公</w:t>
      </w:r>
      <w:r>
        <w:rPr>
          <w:rFonts w:hint="eastAsia" w:ascii="宋体" w:hAnsi="宋体" w:cs="宋体"/>
          <w:color w:val="auto"/>
          <w:spacing w:val="9"/>
          <w:szCs w:val="21"/>
          <w:highlight w:val="none"/>
        </w:rPr>
        <w:t>司独立承</w:t>
      </w:r>
      <w:r>
        <w:rPr>
          <w:rFonts w:hint="eastAsia" w:ascii="宋体" w:hAnsi="宋体" w:cs="宋体"/>
          <w:color w:val="auto"/>
          <w:spacing w:val="0"/>
          <w:sz w:val="21"/>
          <w:szCs w:val="21"/>
          <w:highlight w:val="none"/>
        </w:rPr>
        <w:t>担民事责任、具有良好的商业信誉和健全的财务会计制度、依法缴纳税收和社会保障资金，在前三年的经营活动中无重大违法记录，未列入严重失信行为名单，符合政府采购 供应商的基本资格要求。</w:t>
      </w:r>
    </w:p>
    <w:p w14:paraId="619FD87F">
      <w:pPr>
        <w:spacing w:line="360" w:lineRule="auto"/>
        <w:ind w:left="1" w:right="113" w:firstLine="646"/>
        <w:rPr>
          <w:rFonts w:ascii="宋体" w:hAnsi="宋体" w:cs="宋体"/>
          <w:color w:val="auto"/>
          <w:spacing w:val="0"/>
          <w:sz w:val="21"/>
          <w:szCs w:val="21"/>
          <w:highlight w:val="none"/>
        </w:rPr>
      </w:pPr>
      <w:r>
        <w:rPr>
          <w:rFonts w:hint="eastAsia" w:ascii="宋体" w:hAnsi="宋体" w:cs="宋体"/>
          <w:color w:val="auto"/>
          <w:spacing w:val="0"/>
          <w:sz w:val="21"/>
          <w:szCs w:val="21"/>
          <w:highlight w:val="none"/>
        </w:rPr>
        <w:t>按 照《政府采购促进中小企业发展管理办法》(财库〔2020〕46 号 )，本公司企业规模为：大型□ 中型□ 小型□ 微型□。</w:t>
      </w:r>
    </w:p>
    <w:p w14:paraId="395BE0F7">
      <w:pPr>
        <w:spacing w:line="360" w:lineRule="auto"/>
        <w:ind w:right="113" w:firstLine="420" w:firstLineChars="200"/>
        <w:rPr>
          <w:rFonts w:ascii="宋体" w:hAnsi="宋体" w:cs="宋体"/>
          <w:color w:val="auto"/>
          <w:spacing w:val="0"/>
          <w:sz w:val="21"/>
          <w:szCs w:val="21"/>
          <w:highlight w:val="none"/>
        </w:rPr>
      </w:pPr>
    </w:p>
    <w:p w14:paraId="62E668A4">
      <w:pPr>
        <w:spacing w:line="360" w:lineRule="auto"/>
        <w:rPr>
          <w:rFonts w:ascii="宋体" w:hAnsi="宋体" w:cs="宋体"/>
          <w:color w:val="auto"/>
          <w:szCs w:val="21"/>
          <w:highlight w:val="none"/>
        </w:rPr>
      </w:pPr>
    </w:p>
    <w:p w14:paraId="5CDD8617">
      <w:pPr>
        <w:spacing w:before="101" w:line="360" w:lineRule="auto"/>
        <w:ind w:left="4487"/>
        <w:rPr>
          <w:rFonts w:ascii="宋体" w:hAnsi="宋体" w:cs="宋体"/>
          <w:color w:val="auto"/>
          <w:szCs w:val="21"/>
          <w:highlight w:val="none"/>
        </w:rPr>
      </w:pPr>
      <w:r>
        <w:rPr>
          <w:rFonts w:hint="eastAsia" w:ascii="宋体" w:hAnsi="宋体" w:cs="宋体"/>
          <w:color w:val="auto"/>
          <w:spacing w:val="7"/>
          <w:szCs w:val="21"/>
          <w:highlight w:val="none"/>
        </w:rPr>
        <w:t>公司 (单位) 名称 (盖章</w:t>
      </w:r>
      <w:r>
        <w:rPr>
          <w:rFonts w:hint="eastAsia" w:ascii="宋体" w:hAnsi="宋体" w:cs="宋体"/>
          <w:color w:val="auto"/>
          <w:spacing w:val="6"/>
          <w:szCs w:val="21"/>
          <w:highlight w:val="none"/>
        </w:rPr>
        <w:t>)</w:t>
      </w:r>
    </w:p>
    <w:p w14:paraId="71DF49BF">
      <w:pPr>
        <w:tabs>
          <w:tab w:val="left" w:pos="5770"/>
        </w:tabs>
        <w:spacing w:before="102" w:line="360" w:lineRule="auto"/>
        <w:ind w:left="4795"/>
        <w:rPr>
          <w:rFonts w:ascii="宋体" w:hAnsi="宋体" w:cs="宋体"/>
          <w:color w:val="auto"/>
          <w:szCs w:val="21"/>
          <w:highlight w:val="none"/>
        </w:rPr>
      </w:pPr>
      <w:r>
        <w:rPr>
          <w:rFonts w:hint="eastAsia" w:ascii="宋体" w:hAnsi="宋体" w:cs="宋体"/>
          <w:color w:val="auto"/>
          <w:szCs w:val="21"/>
          <w:highlight w:val="none"/>
          <w:u w:val="single"/>
        </w:rPr>
        <w:tab/>
      </w:r>
      <w:r>
        <w:rPr>
          <w:rFonts w:hint="eastAsia" w:ascii="宋体" w:hAnsi="宋体" w:cs="宋体"/>
          <w:color w:val="auto"/>
          <w:spacing w:val="-8"/>
          <w:szCs w:val="21"/>
          <w:highlight w:val="none"/>
        </w:rPr>
        <w:t>年</w:t>
      </w:r>
      <w:r>
        <w:rPr>
          <w:rFonts w:hint="eastAsia" w:ascii="宋体" w:hAnsi="宋体" w:cs="宋体"/>
          <w:color w:val="auto"/>
          <w:spacing w:val="-8"/>
          <w:szCs w:val="21"/>
          <w:highlight w:val="none"/>
          <w:u w:val="single"/>
        </w:rPr>
        <w:t xml:space="preserve"> </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 日</w:t>
      </w:r>
    </w:p>
    <w:p w14:paraId="447FF3AE">
      <w:pPr>
        <w:spacing w:line="360" w:lineRule="auto"/>
        <w:rPr>
          <w:rFonts w:ascii="宋体" w:hAnsi="宋体" w:cs="宋体"/>
          <w:color w:val="auto"/>
          <w:szCs w:val="21"/>
          <w:highlight w:val="none"/>
        </w:rPr>
      </w:pPr>
    </w:p>
    <w:p w14:paraId="369563B0">
      <w:pPr>
        <w:spacing w:line="360" w:lineRule="auto"/>
        <w:rPr>
          <w:rFonts w:ascii="宋体" w:hAnsi="宋体" w:cs="宋体"/>
          <w:color w:val="auto"/>
          <w:szCs w:val="21"/>
          <w:highlight w:val="none"/>
        </w:rPr>
      </w:pPr>
    </w:p>
    <w:p w14:paraId="2688B7E6">
      <w:pPr>
        <w:spacing w:before="101" w:line="360" w:lineRule="auto"/>
        <w:ind w:left="21" w:hanging="16"/>
        <w:rPr>
          <w:rFonts w:ascii="宋体" w:hAnsi="宋体" w:cs="宋体"/>
          <w:color w:val="auto"/>
          <w:szCs w:val="21"/>
          <w:highlight w:val="none"/>
        </w:rPr>
      </w:pPr>
      <w:r>
        <w:rPr>
          <w:rFonts w:hint="eastAsia" w:ascii="宋体" w:hAnsi="宋体" w:cs="宋体"/>
          <w:color w:val="auto"/>
          <w:spacing w:val="8"/>
          <w:szCs w:val="21"/>
          <w:highlight w:val="none"/>
        </w:rPr>
        <w:t>机构代码、注册登记机构、日期、有效期、注册资本、地址、</w:t>
      </w:r>
      <w:r>
        <w:rPr>
          <w:rFonts w:hint="eastAsia" w:ascii="宋体" w:hAnsi="宋体" w:cs="宋体"/>
          <w:color w:val="auto"/>
          <w:spacing w:val="2"/>
          <w:szCs w:val="21"/>
          <w:highlight w:val="none"/>
        </w:rPr>
        <w:t>经</w:t>
      </w:r>
      <w:r>
        <w:rPr>
          <w:rFonts w:hint="eastAsia" w:ascii="宋体" w:hAnsi="宋体" w:cs="宋体"/>
          <w:color w:val="auto"/>
          <w:spacing w:val="9"/>
          <w:szCs w:val="21"/>
          <w:highlight w:val="none"/>
        </w:rPr>
        <w:t>济</w:t>
      </w:r>
      <w:r>
        <w:rPr>
          <w:rFonts w:hint="eastAsia" w:ascii="宋体" w:hAnsi="宋体" w:cs="宋体"/>
          <w:color w:val="auto"/>
          <w:spacing w:val="6"/>
          <w:szCs w:val="21"/>
          <w:highlight w:val="none"/>
        </w:rPr>
        <w:t>行业、经济性质</w:t>
      </w:r>
    </w:p>
    <w:p w14:paraId="301202FC">
      <w:pPr>
        <w:spacing w:before="1" w:line="360" w:lineRule="auto"/>
        <w:ind w:left="5" w:right="1001" w:firstLine="13"/>
        <w:rPr>
          <w:rFonts w:ascii="宋体" w:hAnsi="宋体" w:cs="宋体"/>
          <w:color w:val="auto"/>
          <w:spacing w:val="5"/>
          <w:szCs w:val="21"/>
          <w:highlight w:val="none"/>
        </w:rPr>
      </w:pPr>
    </w:p>
    <w:p w14:paraId="61CC9BD1">
      <w:pPr>
        <w:spacing w:before="1" w:line="360" w:lineRule="auto"/>
        <w:ind w:left="5" w:right="1001" w:firstLine="13"/>
        <w:rPr>
          <w:rFonts w:ascii="宋体" w:hAnsi="宋体" w:cs="宋体"/>
          <w:color w:val="auto"/>
          <w:szCs w:val="21"/>
          <w:highlight w:val="none"/>
        </w:rPr>
      </w:pPr>
      <w:r>
        <w:rPr>
          <w:rFonts w:hint="eastAsia" w:ascii="宋体" w:hAnsi="宋体" w:cs="宋体"/>
          <w:color w:val="auto"/>
          <w:spacing w:val="5"/>
          <w:szCs w:val="21"/>
          <w:highlight w:val="none"/>
        </w:rPr>
        <w:t>法定代表人 (负责人) 姓名 (签字)、身份证号、手机号</w:t>
      </w:r>
      <w:r>
        <w:rPr>
          <w:rFonts w:hint="eastAsia" w:ascii="宋体" w:hAnsi="宋体" w:cs="宋体"/>
          <w:color w:val="auto"/>
          <w:spacing w:val="1"/>
          <w:szCs w:val="21"/>
          <w:highlight w:val="none"/>
        </w:rPr>
        <w:t>：</w:t>
      </w:r>
      <w:r>
        <w:rPr>
          <w:rFonts w:hint="eastAsia" w:ascii="宋体" w:hAnsi="宋体" w:cs="宋体"/>
          <w:color w:val="auto"/>
          <w:szCs w:val="21"/>
          <w:highlight w:val="none"/>
        </w:rPr>
        <w:t xml:space="preserve"> </w:t>
      </w:r>
    </w:p>
    <w:p w14:paraId="35D22E49">
      <w:pPr>
        <w:spacing w:before="1" w:line="360" w:lineRule="auto"/>
        <w:ind w:left="5" w:right="1001" w:firstLine="13"/>
        <w:rPr>
          <w:rFonts w:ascii="宋体" w:hAnsi="宋体" w:cs="宋体"/>
          <w:color w:val="auto"/>
          <w:szCs w:val="21"/>
          <w:highlight w:val="none"/>
        </w:rPr>
      </w:pPr>
      <w:r>
        <w:rPr>
          <w:rFonts w:hint="eastAsia" w:ascii="宋体" w:hAnsi="宋体" w:cs="宋体"/>
          <w:color w:val="auto"/>
          <w:spacing w:val="16"/>
          <w:szCs w:val="21"/>
          <w:highlight w:val="none"/>
        </w:rPr>
        <w:t>授</w:t>
      </w:r>
      <w:r>
        <w:rPr>
          <w:rFonts w:hint="eastAsia" w:ascii="宋体" w:hAnsi="宋体" w:cs="宋体"/>
          <w:color w:val="auto"/>
          <w:spacing w:val="8"/>
          <w:szCs w:val="21"/>
          <w:highlight w:val="none"/>
        </w:rPr>
        <w:t>权代表人姓名 (签字)、身份证号、手机号：</w:t>
      </w:r>
    </w:p>
    <w:p w14:paraId="2C6FFEAB">
      <w:pPr>
        <w:rPr>
          <w:rFonts w:ascii="宋体" w:hAnsi="宋体"/>
          <w:b/>
          <w:color w:val="auto"/>
          <w:sz w:val="28"/>
          <w:szCs w:val="28"/>
          <w:highlight w:val="none"/>
        </w:rPr>
      </w:pPr>
      <w:r>
        <w:rPr>
          <w:rFonts w:ascii="宋体" w:hAnsi="宋体"/>
          <w:b/>
          <w:color w:val="auto"/>
          <w:sz w:val="28"/>
          <w:szCs w:val="28"/>
          <w:highlight w:val="none"/>
        </w:rPr>
        <w:br w:type="page"/>
      </w:r>
    </w:p>
    <w:p w14:paraId="53679D11">
      <w:pPr>
        <w:adjustRightInd w:val="0"/>
        <w:snapToGrid w:val="0"/>
        <w:spacing w:before="120" w:beforeLines="50" w:line="360" w:lineRule="auto"/>
        <w:rPr>
          <w:rFonts w:ascii="宋体" w:hAnsi="宋体"/>
          <w:bCs/>
          <w:color w:val="auto"/>
          <w:sz w:val="30"/>
          <w:szCs w:val="30"/>
          <w:highlight w:val="none"/>
        </w:rPr>
      </w:pPr>
      <w:r>
        <w:rPr>
          <w:rFonts w:hint="eastAsia" w:ascii="宋体" w:hAnsi="宋体"/>
          <w:bCs/>
          <w:color w:val="auto"/>
          <w:sz w:val="30"/>
          <w:szCs w:val="30"/>
          <w:highlight w:val="none"/>
        </w:rPr>
        <w:t>附件4</w:t>
      </w:r>
    </w:p>
    <w:p w14:paraId="5BBD2758">
      <w:pPr>
        <w:spacing w:line="360" w:lineRule="auto"/>
        <w:jc w:val="center"/>
        <w:rPr>
          <w:rFonts w:cs="黑体" w:asciiTheme="minorEastAsia" w:hAnsiTheme="minorEastAsia" w:eastAsiaTheme="minorEastAsia"/>
          <w:b/>
          <w:color w:val="auto"/>
          <w:szCs w:val="21"/>
          <w:highlight w:val="none"/>
        </w:rPr>
      </w:pPr>
    </w:p>
    <w:p w14:paraId="0E5D55FC">
      <w:pPr>
        <w:spacing w:line="360" w:lineRule="auto"/>
        <w:ind w:right="-874" w:rightChars="-416"/>
        <w:jc w:val="center"/>
        <w:rPr>
          <w:rFonts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工程质量保修书</w:t>
      </w:r>
    </w:p>
    <w:p w14:paraId="019798D6">
      <w:pPr>
        <w:adjustRightInd w:val="0"/>
        <w:snapToGrid w:val="0"/>
        <w:spacing w:line="360" w:lineRule="auto"/>
        <w:rPr>
          <w:rFonts w:cs="仿宋" w:asciiTheme="minorEastAsia" w:hAnsiTheme="minorEastAsia" w:eastAsiaTheme="minorEastAsia"/>
          <w:color w:val="auto"/>
          <w:szCs w:val="21"/>
          <w:highlight w:val="none"/>
        </w:rPr>
      </w:pPr>
    </w:p>
    <w:p w14:paraId="19F67EAC">
      <w:pPr>
        <w:spacing w:line="480" w:lineRule="atLeast"/>
        <w:ind w:firstLine="176"/>
        <w:jc w:val="center"/>
        <w:rPr>
          <w:color w:val="auto"/>
          <w:szCs w:val="21"/>
          <w:highlight w:val="none"/>
        </w:rPr>
      </w:pPr>
      <w:r>
        <w:rPr>
          <w:rFonts w:ascii="方正小标宋_GBK" w:hAnsi="方正小标宋_GBK" w:eastAsia="方正小标宋_GBK" w:cs="方正小标宋_GBK"/>
          <w:color w:val="auto"/>
          <w:sz w:val="36"/>
          <w:szCs w:val="36"/>
          <w:highlight w:val="none"/>
        </w:rPr>
        <w:t>工程质量保修书(工程类项目适用)</w:t>
      </w:r>
      <w:r>
        <w:rPr>
          <w:color w:val="auto"/>
          <w:szCs w:val="21"/>
          <w:highlight w:val="none"/>
        </w:rPr>
        <w:t xml:space="preserve"> </w:t>
      </w:r>
    </w:p>
    <w:p w14:paraId="508C0208">
      <w:pPr>
        <w:spacing w:line="360" w:lineRule="auto"/>
        <w:rPr>
          <w:color w:val="auto"/>
          <w:highlight w:val="none"/>
        </w:rPr>
      </w:pPr>
      <w:r>
        <w:rPr>
          <w:color w:val="auto"/>
          <w:szCs w:val="21"/>
          <w:highlight w:val="none"/>
        </w:rPr>
        <w:t xml:space="preserve">  </w:t>
      </w:r>
    </w:p>
    <w:p w14:paraId="09F1D8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发包人：（全称）</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19AE10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承包人：（全称）</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163627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为保证</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 </w:t>
      </w:r>
    </w:p>
    <w:p w14:paraId="6AB47D4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1</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质量保修范围</w:t>
      </w:r>
      <w:r>
        <w:rPr>
          <w:rFonts w:hint="eastAsia" w:ascii="宋体" w:hAnsi="宋体" w:cs="宋体"/>
          <w:color w:val="auto"/>
          <w:szCs w:val="21"/>
          <w:highlight w:val="none"/>
        </w:rPr>
        <w:t xml:space="preserve"> </w:t>
      </w:r>
    </w:p>
    <w:p w14:paraId="01E0B7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 </w:t>
      </w:r>
    </w:p>
    <w:p w14:paraId="00E7EB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496170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68343B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（3）</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2883DF2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2</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质量保修期</w:t>
      </w:r>
      <w:r>
        <w:rPr>
          <w:rFonts w:hint="eastAsia" w:ascii="宋体" w:hAnsi="宋体" w:cs="宋体"/>
          <w:color w:val="auto"/>
          <w:szCs w:val="21"/>
          <w:highlight w:val="none"/>
        </w:rPr>
        <w:t xml:space="preserve"> </w:t>
      </w:r>
    </w:p>
    <w:p w14:paraId="51BA0D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2.1 质量保修期从工程实际竣工验收合格之日起计算。单项竣工验收的工程，按单项工程分别计算质量保修期。 </w:t>
      </w:r>
    </w:p>
    <w:p w14:paraId="03F280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2.2 双方根据《建设工程质量管理条例》及有关规定，约定本工程质量保修期如下： </w:t>
      </w:r>
    </w:p>
    <w:p w14:paraId="69DFB8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（1）地基基础工程、主体结构工程为设计文件规定的合理使用年限； </w:t>
      </w:r>
    </w:p>
    <w:p w14:paraId="65D066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（2）屋面防水工程、有防水要求的卫生间、房间和外墙面的防渗漏工程为： </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年； </w:t>
      </w:r>
    </w:p>
    <w:p w14:paraId="4D2309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（3）电气管线工程、给排水管道、设备安装工程为：</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年； </w:t>
      </w:r>
    </w:p>
    <w:p w14:paraId="71F0A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（4）供热、供冷系统工程为：</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个采暖期、供冷期； </w:t>
      </w:r>
    </w:p>
    <w:p w14:paraId="2B4A5B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（5）装饰装修工程为</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年； </w:t>
      </w:r>
    </w:p>
    <w:p w14:paraId="7F23ED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（6）其他项目</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年。 </w:t>
      </w:r>
    </w:p>
    <w:p w14:paraId="7F60998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3</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质量保修责任</w:t>
      </w:r>
      <w:r>
        <w:rPr>
          <w:rFonts w:hint="eastAsia" w:ascii="宋体" w:hAnsi="宋体" w:cs="宋体"/>
          <w:color w:val="auto"/>
          <w:szCs w:val="21"/>
          <w:highlight w:val="none"/>
        </w:rPr>
        <w:t xml:space="preserve"> </w:t>
      </w:r>
    </w:p>
    <w:p w14:paraId="518F0D4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 属于保修范围的项目，承包人应在接到通知后的7天内派人保修，承包人不在约定期限内派人保修，发包人可自行或指派第三方保修。</w:t>
      </w:r>
    </w:p>
    <w:p w14:paraId="115FB1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3.2 发生紧急抢修事故的，承包人在接到通知后，应立即到达事故现场抢修。 </w:t>
      </w:r>
    </w:p>
    <w:p w14:paraId="26C12A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3.3 在国家规定的工程合理使用期限内，承包人应确保地基基础工程和主体结构的安全和质量。凡出现其质量问题，应立即报告当地建设行政主管部门，由设计单位提出保修方案，承包人应立即实施保修。 </w:t>
      </w:r>
    </w:p>
    <w:p w14:paraId="1B46A6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3.4 质量保修完成后，由发包人组织验收。 </w:t>
      </w:r>
    </w:p>
    <w:p w14:paraId="181087F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4</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质量保修费用</w:t>
      </w:r>
      <w:r>
        <w:rPr>
          <w:rFonts w:hint="eastAsia" w:ascii="宋体" w:hAnsi="宋体" w:cs="宋体"/>
          <w:color w:val="auto"/>
          <w:szCs w:val="21"/>
          <w:highlight w:val="none"/>
        </w:rPr>
        <w:t xml:space="preserve"> </w:t>
      </w:r>
    </w:p>
    <w:p w14:paraId="32D9EA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质量保修费用及相关的损害赔偿费，由造成质量缺陷的责任方承担。 </w:t>
      </w:r>
    </w:p>
    <w:p w14:paraId="316307C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5</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质量保证金</w:t>
      </w:r>
      <w:r>
        <w:rPr>
          <w:rFonts w:hint="eastAsia" w:ascii="宋体" w:hAnsi="宋体" w:cs="宋体"/>
          <w:color w:val="auto"/>
          <w:szCs w:val="21"/>
          <w:highlight w:val="none"/>
        </w:rPr>
        <w:t xml:space="preserve"> </w:t>
      </w:r>
    </w:p>
    <w:p w14:paraId="590010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质量保证金的使用、约定、支付、返还与本合同的质量保证金赋予的约定一致。 </w:t>
      </w:r>
    </w:p>
    <w:p w14:paraId="5EBEA31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auto"/>
          <w:highlight w:val="none"/>
        </w:rPr>
      </w:pPr>
      <w:r>
        <w:rPr>
          <w:rFonts w:hint="eastAsia" w:ascii="宋体" w:hAnsi="宋体" w:cs="宋体"/>
          <w:b/>
          <w:bCs/>
          <w:color w:val="auto"/>
          <w:szCs w:val="21"/>
          <w:highlight w:val="none"/>
        </w:rPr>
        <w:t>6</w:t>
      </w:r>
      <w:r>
        <w:rPr>
          <w:rFonts w:hint="eastAsia" w:ascii="宋体" w:hAnsi="宋体" w:cs="宋体"/>
          <w:color w:val="auto"/>
          <w:szCs w:val="21"/>
          <w:highlight w:val="none"/>
        </w:rPr>
        <w:t xml:space="preserve"> </w:t>
      </w:r>
      <w:r>
        <w:rPr>
          <w:rFonts w:hint="eastAsia" w:ascii="宋体" w:hAnsi="宋体" w:cs="宋体"/>
          <w:b/>
          <w:bCs/>
          <w:color w:val="auto"/>
          <w:szCs w:val="21"/>
          <w:highlight w:val="none"/>
        </w:rPr>
        <w:t>其他</w:t>
      </w:r>
      <w:r>
        <w:rPr>
          <w:rFonts w:hint="eastAsia" w:ascii="宋体" w:hAnsi="宋体" w:cs="宋体"/>
          <w:color w:val="auto"/>
          <w:szCs w:val="21"/>
          <w:highlight w:val="none"/>
        </w:rPr>
        <w:t xml:space="preserve"> </w:t>
      </w:r>
    </w:p>
    <w:p w14:paraId="6FDBB0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6.1 双方约定的其它工程质量保修事项：___________________</w:t>
      </w:r>
    </w:p>
    <w:p w14:paraId="47B51F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highlight w:val="none"/>
        </w:rPr>
      </w:pPr>
      <w:r>
        <w:rPr>
          <w:rFonts w:hint="eastAsia" w:ascii="宋体" w:hAnsi="宋体" w:cs="宋体"/>
          <w:color w:val="auto"/>
          <w:szCs w:val="21"/>
          <w:highlight w:val="none"/>
        </w:rPr>
        <w:t xml:space="preserve">6.2 本工程质量保修书，由发包人承包人在工程竣工验收前签署，作为合同附件，其有效期限至保修期满。 </w:t>
      </w:r>
    </w:p>
    <w:p w14:paraId="539AFB85">
      <w:pPr>
        <w:spacing w:line="360" w:lineRule="auto"/>
        <w:ind w:firstLine="103"/>
        <w:rPr>
          <w:rFonts w:ascii="宋体" w:hAnsi="宋体" w:cs="宋体"/>
          <w:color w:val="auto"/>
          <w:highlight w:val="none"/>
        </w:rPr>
      </w:pPr>
      <w:r>
        <w:rPr>
          <w:rFonts w:hint="eastAsia" w:ascii="宋体" w:hAnsi="宋体" w:cs="宋体"/>
          <w:color w:val="auto"/>
          <w:szCs w:val="21"/>
          <w:highlight w:val="none"/>
        </w:rPr>
        <w:t xml:space="preserve">  </w:t>
      </w:r>
    </w:p>
    <w:p w14:paraId="6563A3CD">
      <w:pPr>
        <w:spacing w:line="360" w:lineRule="auto"/>
        <w:ind w:firstLine="103"/>
        <w:rPr>
          <w:rFonts w:ascii="宋体" w:hAnsi="宋体" w:cs="宋体"/>
          <w:color w:val="auto"/>
          <w:highlight w:val="none"/>
        </w:rPr>
      </w:pPr>
      <w:r>
        <w:rPr>
          <w:rFonts w:hint="eastAsia" w:ascii="宋体" w:hAnsi="宋体" w:cs="宋体"/>
          <w:color w:val="auto"/>
          <w:szCs w:val="21"/>
          <w:highlight w:val="none"/>
        </w:rPr>
        <w:t xml:space="preserve">  </w:t>
      </w:r>
    </w:p>
    <w:p w14:paraId="21515C5B">
      <w:pPr>
        <w:spacing w:line="360" w:lineRule="auto"/>
        <w:ind w:firstLine="103"/>
        <w:rPr>
          <w:rFonts w:ascii="宋体" w:hAnsi="宋体" w:cs="宋体"/>
          <w:color w:val="auto"/>
          <w:highlight w:val="none"/>
        </w:rPr>
      </w:pPr>
      <w:r>
        <w:rPr>
          <w:rFonts w:hint="eastAsia" w:ascii="宋体" w:hAnsi="宋体" w:cs="宋体"/>
          <w:color w:val="auto"/>
          <w:szCs w:val="21"/>
          <w:highlight w:val="none"/>
        </w:rPr>
        <w:t>发包人（公章）：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承包人（公章）：</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29D12BD5">
      <w:pPr>
        <w:spacing w:line="360" w:lineRule="auto"/>
        <w:ind w:firstLine="103"/>
        <w:rPr>
          <w:rFonts w:ascii="宋体" w:hAnsi="宋体" w:cs="宋体"/>
          <w:color w:val="auto"/>
          <w:highlight w:val="none"/>
        </w:rPr>
      </w:pPr>
      <w:r>
        <w:rPr>
          <w:rFonts w:hint="eastAsia" w:ascii="宋体" w:hAnsi="宋体" w:cs="宋体"/>
          <w:color w:val="auto"/>
          <w:szCs w:val="21"/>
          <w:highlight w:val="none"/>
        </w:rPr>
        <w:t>法定代表人（签字）：</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法定代表人（签字）：</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w:t>
      </w:r>
    </w:p>
    <w:p w14:paraId="71107578">
      <w:pPr>
        <w:jc w:val="center"/>
        <w:rPr>
          <w:rFonts w:cs="黑体" w:asciiTheme="minorEastAsia" w:hAnsiTheme="minorEastAsia" w:eastAsiaTheme="minorEastAsia"/>
          <w:b/>
          <w:color w:val="auto"/>
          <w:szCs w:val="21"/>
          <w:highlight w:val="none"/>
        </w:rPr>
      </w:pP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年</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月</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w:t>
      </w:r>
      <w:r>
        <w:rPr>
          <w:rFonts w:hint="eastAsia" w:ascii="宋体" w:hAnsi="宋体" w:cs="宋体"/>
          <w:color w:val="auto"/>
          <w:szCs w:val="21"/>
          <w:highlight w:val="none"/>
        </w:rPr>
        <w:t>年</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月</w:t>
      </w:r>
      <w:r>
        <w:rPr>
          <w:rFonts w:hint="eastAsia" w:ascii="宋体" w:hAnsi="宋体" w:cs="宋体"/>
          <w:color w:val="auto"/>
          <w:szCs w:val="21"/>
          <w:highlight w:val="none"/>
          <w:u w:val="single"/>
        </w:rPr>
        <w:t>  </w:t>
      </w:r>
      <w:r>
        <w:rPr>
          <w:rFonts w:hint="eastAsia" w:ascii="宋体" w:hAnsi="宋体" w:cs="宋体"/>
          <w:color w:val="auto"/>
          <w:szCs w:val="21"/>
          <w:highlight w:val="none"/>
        </w:rPr>
        <w:t xml:space="preserve"> 日</w:t>
      </w:r>
    </w:p>
    <w:p w14:paraId="704D91E4">
      <w:pPr>
        <w:jc w:val="center"/>
        <w:rPr>
          <w:rFonts w:cs="黑体" w:asciiTheme="minorEastAsia" w:hAnsiTheme="minorEastAsia" w:eastAsiaTheme="minorEastAsia"/>
          <w:b/>
          <w:color w:val="auto"/>
          <w:szCs w:val="21"/>
          <w:highlight w:val="none"/>
        </w:rPr>
      </w:pPr>
    </w:p>
    <w:p w14:paraId="4C24881F">
      <w:pPr>
        <w:rPr>
          <w:rFonts w:ascii="宋体" w:hAnsi="宋体"/>
          <w:b/>
          <w:color w:val="auto"/>
          <w:sz w:val="28"/>
          <w:szCs w:val="28"/>
          <w:highlight w:val="none"/>
        </w:rPr>
      </w:pPr>
      <w:r>
        <w:rPr>
          <w:rFonts w:ascii="宋体" w:hAnsi="宋体"/>
          <w:b/>
          <w:color w:val="auto"/>
          <w:sz w:val="28"/>
          <w:szCs w:val="28"/>
          <w:highlight w:val="none"/>
        </w:rPr>
        <w:br w:type="page"/>
      </w:r>
    </w:p>
    <w:p w14:paraId="23D31823">
      <w:pPr>
        <w:adjustRightInd w:val="0"/>
        <w:snapToGrid w:val="0"/>
        <w:spacing w:line="360" w:lineRule="auto"/>
        <w:jc w:val="center"/>
        <w:outlineLvl w:val="1"/>
        <w:rPr>
          <w:rFonts w:ascii="宋体" w:hAnsi="宋体"/>
          <w:b/>
          <w:bCs/>
          <w:color w:val="auto"/>
          <w:sz w:val="32"/>
          <w:szCs w:val="32"/>
          <w:highlight w:val="none"/>
        </w:rPr>
      </w:pPr>
      <w:bookmarkStart w:id="114" w:name="_Toc26697"/>
      <w:r>
        <w:rPr>
          <w:rFonts w:hint="eastAsia" w:ascii="宋体" w:hAnsi="宋体"/>
          <w:b/>
          <w:color w:val="auto"/>
          <w:sz w:val="32"/>
          <w:szCs w:val="32"/>
          <w:highlight w:val="none"/>
          <w:lang w:val="en-US" w:eastAsia="zh-CN"/>
        </w:rPr>
        <w:t>二</w:t>
      </w:r>
      <w:r>
        <w:rPr>
          <w:rFonts w:hint="eastAsia" w:ascii="宋体" w:hAnsi="宋体"/>
          <w:b/>
          <w:color w:val="auto"/>
          <w:sz w:val="32"/>
          <w:szCs w:val="32"/>
          <w:highlight w:val="none"/>
        </w:rPr>
        <w:t>、供应商</w:t>
      </w:r>
      <w:r>
        <w:rPr>
          <w:rFonts w:hint="eastAsia" w:ascii="宋体" w:hAnsi="宋体"/>
          <w:b/>
          <w:bCs/>
          <w:color w:val="auto"/>
          <w:sz w:val="32"/>
          <w:szCs w:val="32"/>
          <w:highlight w:val="none"/>
        </w:rPr>
        <w:t>的资格证明资料</w:t>
      </w:r>
      <w:bookmarkEnd w:id="114"/>
    </w:p>
    <w:p w14:paraId="0B8F5976">
      <w:pPr>
        <w:spacing w:line="480" w:lineRule="exact"/>
        <w:rPr>
          <w:rFonts w:ascii="宋体" w:hAnsi="宋体"/>
          <w:color w:val="auto"/>
          <w:sz w:val="30"/>
          <w:szCs w:val="30"/>
          <w:highlight w:val="none"/>
        </w:rPr>
      </w:pPr>
    </w:p>
    <w:p w14:paraId="5D2B4479">
      <w:pPr>
        <w:spacing w:line="480" w:lineRule="exact"/>
        <w:rPr>
          <w:rFonts w:ascii="宋体" w:hAnsi="宋体"/>
          <w:color w:val="auto"/>
          <w:sz w:val="30"/>
          <w:szCs w:val="30"/>
          <w:highlight w:val="none"/>
        </w:rPr>
      </w:pPr>
      <w:r>
        <w:rPr>
          <w:rFonts w:hint="eastAsia" w:ascii="宋体" w:hAnsi="宋体"/>
          <w:color w:val="auto"/>
          <w:sz w:val="30"/>
          <w:szCs w:val="30"/>
          <w:highlight w:val="none"/>
        </w:rPr>
        <w:t>附件5             供应商基本情况表</w:t>
      </w:r>
    </w:p>
    <w:p w14:paraId="0898C853">
      <w:pPr>
        <w:spacing w:line="480" w:lineRule="exact"/>
        <w:rPr>
          <w:rFonts w:ascii="宋体" w:hAnsi="宋体"/>
          <w:color w:val="auto"/>
          <w:sz w:val="30"/>
          <w:szCs w:val="30"/>
          <w:highlight w:val="none"/>
        </w:rPr>
      </w:pPr>
    </w:p>
    <w:p w14:paraId="757640B2">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盖供应商单位章</w:t>
      </w:r>
    </w:p>
    <w:tbl>
      <w:tblPr>
        <w:tblStyle w:val="4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1911"/>
      </w:tblGrid>
      <w:tr w14:paraId="781D3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14:paraId="40130E56">
            <w:pPr>
              <w:topLinePunct/>
              <w:spacing w:line="440" w:lineRule="exact"/>
              <w:jc w:val="center"/>
              <w:rPr>
                <w:rFonts w:ascii="宋体" w:hAnsi="宋体"/>
                <w:color w:val="auto"/>
                <w:szCs w:val="21"/>
                <w:highlight w:val="none"/>
              </w:rPr>
            </w:pPr>
            <w:r>
              <w:rPr>
                <w:rFonts w:hint="eastAsia" w:ascii="宋体" w:hAnsi="宋体"/>
                <w:color w:val="auto"/>
                <w:szCs w:val="21"/>
                <w:highlight w:val="none"/>
              </w:rPr>
              <w:t>供应商</w:t>
            </w:r>
            <w:r>
              <w:rPr>
                <w:rFonts w:ascii="宋体" w:hAnsi="宋体"/>
                <w:color w:val="auto"/>
                <w:szCs w:val="21"/>
                <w:highlight w:val="none"/>
              </w:rPr>
              <w:t>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14:paraId="3587E215">
            <w:pPr>
              <w:topLinePunct/>
              <w:spacing w:line="440" w:lineRule="exact"/>
              <w:jc w:val="center"/>
              <w:rPr>
                <w:rFonts w:ascii="宋体" w:hAnsi="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vAlign w:val="center"/>
          </w:tcPr>
          <w:p w14:paraId="401A3B77">
            <w:pPr>
              <w:topLinePunct/>
              <w:spacing w:line="440" w:lineRule="exact"/>
              <w:jc w:val="center"/>
              <w:rPr>
                <w:rFonts w:ascii="宋体" w:hAnsi="宋体"/>
                <w:color w:val="auto"/>
                <w:szCs w:val="21"/>
                <w:highlight w:val="none"/>
              </w:rPr>
            </w:pPr>
            <w:r>
              <w:rPr>
                <w:rFonts w:ascii="宋体" w:hAnsi="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vAlign w:val="center"/>
          </w:tcPr>
          <w:p w14:paraId="31C348E0">
            <w:pPr>
              <w:topLinePunct/>
              <w:spacing w:line="440" w:lineRule="exact"/>
              <w:jc w:val="center"/>
              <w:rPr>
                <w:rFonts w:ascii="宋体" w:hAnsi="宋体"/>
                <w:color w:val="auto"/>
                <w:szCs w:val="21"/>
                <w:highlight w:val="none"/>
              </w:rPr>
            </w:pPr>
          </w:p>
        </w:tc>
      </w:tr>
      <w:tr w14:paraId="3DDF2B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5549867C">
            <w:pPr>
              <w:topLinePunct/>
              <w:spacing w:line="440" w:lineRule="exact"/>
              <w:jc w:val="center"/>
              <w:rPr>
                <w:rFonts w:ascii="宋体" w:hAnsi="宋体"/>
                <w:color w:val="auto"/>
                <w:szCs w:val="21"/>
                <w:highlight w:val="none"/>
              </w:rPr>
            </w:pPr>
            <w:r>
              <w:rPr>
                <w:rFonts w:hint="eastAsia" w:ascii="宋体" w:hAnsi="宋体"/>
                <w:color w:val="auto"/>
                <w:szCs w:val="21"/>
                <w:highlight w:val="none"/>
              </w:rPr>
              <w:t>委托代理</w:t>
            </w:r>
            <w:r>
              <w:rPr>
                <w:rFonts w:ascii="宋体" w:hAnsi="宋体"/>
                <w:color w:val="auto"/>
                <w:szCs w:val="21"/>
                <w:highlight w:val="none"/>
              </w:rPr>
              <w:t>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1AF04F04">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vAlign w:val="center"/>
          </w:tcPr>
          <w:p w14:paraId="2A2A11F2">
            <w:pPr>
              <w:topLinePunct/>
              <w:spacing w:line="440" w:lineRule="exact"/>
              <w:jc w:val="center"/>
              <w:rPr>
                <w:rFonts w:ascii="宋体" w:hAnsi="宋体"/>
                <w:color w:val="auto"/>
                <w:szCs w:val="21"/>
                <w:highlight w:val="none"/>
              </w:rPr>
            </w:pPr>
            <w:r>
              <w:rPr>
                <w:rFonts w:ascii="宋体" w:hAnsi="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vAlign w:val="center"/>
          </w:tcPr>
          <w:p w14:paraId="5E50CF33">
            <w:pPr>
              <w:topLinePunct/>
              <w:spacing w:line="440" w:lineRule="exact"/>
              <w:jc w:val="center"/>
              <w:rPr>
                <w:rFonts w:ascii="宋体" w:hAnsi="宋体"/>
                <w:color w:val="auto"/>
                <w:szCs w:val="21"/>
                <w:highlight w:val="none"/>
              </w:rPr>
            </w:pPr>
          </w:p>
        </w:tc>
      </w:tr>
      <w:tr w14:paraId="562FCA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7F9AB102">
            <w:pPr>
              <w:topLinePunct/>
              <w:spacing w:line="440" w:lineRule="exact"/>
              <w:jc w:val="center"/>
              <w:rPr>
                <w:rFonts w:ascii="宋体" w:hAnsi="宋体"/>
                <w:color w:val="auto"/>
                <w:szCs w:val="21"/>
                <w:highlight w:val="none"/>
              </w:rPr>
            </w:pPr>
            <w:r>
              <w:rPr>
                <w:rFonts w:hint="eastAsia" w:ascii="宋体" w:hAnsi="宋体"/>
                <w:color w:val="auto"/>
                <w:szCs w:val="21"/>
                <w:highlight w:val="none"/>
              </w:rPr>
              <w:t>办公电话</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0CEF9D1A">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vAlign w:val="center"/>
          </w:tcPr>
          <w:p w14:paraId="61360AD9">
            <w:pPr>
              <w:topLinePunct/>
              <w:spacing w:line="440" w:lineRule="exact"/>
              <w:jc w:val="center"/>
              <w:rPr>
                <w:rFonts w:ascii="宋体" w:hAnsi="宋体"/>
                <w:color w:val="auto"/>
                <w:szCs w:val="21"/>
                <w:highlight w:val="none"/>
              </w:rPr>
            </w:pPr>
            <w:r>
              <w:rPr>
                <w:rFonts w:hint="eastAsia" w:ascii="宋体" w:hAnsi="宋体"/>
                <w:color w:val="auto"/>
                <w:szCs w:val="21"/>
                <w:highlight w:val="none"/>
              </w:rPr>
              <w:t>电子邮箱</w:t>
            </w:r>
          </w:p>
        </w:tc>
        <w:tc>
          <w:tcPr>
            <w:tcW w:w="1911" w:type="dxa"/>
            <w:tcBorders>
              <w:top w:val="single" w:color="auto" w:sz="6" w:space="0"/>
              <w:left w:val="single" w:color="auto" w:sz="6" w:space="0"/>
              <w:bottom w:val="single" w:color="auto" w:sz="6" w:space="0"/>
              <w:right w:val="double" w:color="auto" w:sz="4" w:space="0"/>
            </w:tcBorders>
            <w:vAlign w:val="center"/>
          </w:tcPr>
          <w:p w14:paraId="50C513A7">
            <w:pPr>
              <w:topLinePunct/>
              <w:spacing w:line="440" w:lineRule="exact"/>
              <w:jc w:val="center"/>
              <w:rPr>
                <w:rFonts w:ascii="宋体" w:hAnsi="宋体"/>
                <w:color w:val="auto"/>
                <w:szCs w:val="21"/>
                <w:highlight w:val="none"/>
              </w:rPr>
            </w:pPr>
          </w:p>
        </w:tc>
      </w:tr>
      <w:tr w14:paraId="01060C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14:paraId="34D9385F">
            <w:pPr>
              <w:topLinePunct/>
              <w:spacing w:line="440" w:lineRule="exact"/>
              <w:jc w:val="center"/>
              <w:rPr>
                <w:rFonts w:ascii="宋体" w:hAnsi="宋体"/>
                <w:color w:val="auto"/>
                <w:szCs w:val="21"/>
                <w:highlight w:val="none"/>
              </w:rPr>
            </w:pPr>
            <w:r>
              <w:rPr>
                <w:rFonts w:hint="eastAsia" w:ascii="宋体" w:hAnsi="宋体"/>
                <w:color w:val="auto"/>
                <w:szCs w:val="21"/>
                <w:highlight w:val="none"/>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0AD25A66">
            <w:pPr>
              <w:topLinePunct/>
              <w:spacing w:line="440" w:lineRule="exact"/>
              <w:jc w:val="center"/>
              <w:rPr>
                <w:rFonts w:ascii="宋体" w:hAnsi="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vAlign w:val="center"/>
          </w:tcPr>
          <w:p w14:paraId="3540C3E8">
            <w:pPr>
              <w:topLinePunct/>
              <w:spacing w:line="440" w:lineRule="exact"/>
              <w:jc w:val="center"/>
              <w:rPr>
                <w:rFonts w:ascii="宋体" w:hAnsi="宋体"/>
                <w:color w:val="auto"/>
                <w:szCs w:val="21"/>
                <w:highlight w:val="none"/>
              </w:rPr>
            </w:pPr>
            <w:r>
              <w:rPr>
                <w:rFonts w:hint="eastAsia" w:ascii="宋体" w:hAnsi="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vAlign w:val="center"/>
          </w:tcPr>
          <w:p w14:paraId="22B6EE97">
            <w:pPr>
              <w:topLinePunct/>
              <w:spacing w:line="440" w:lineRule="exact"/>
              <w:jc w:val="center"/>
              <w:rPr>
                <w:rFonts w:ascii="宋体" w:hAnsi="宋体"/>
                <w:color w:val="auto"/>
                <w:szCs w:val="21"/>
                <w:highlight w:val="none"/>
              </w:rPr>
            </w:pPr>
          </w:p>
        </w:tc>
      </w:tr>
      <w:tr w14:paraId="42C28B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14:paraId="3E7BD7B6">
            <w:pPr>
              <w:topLinePunct/>
              <w:spacing w:line="440" w:lineRule="exact"/>
              <w:jc w:val="center"/>
              <w:rPr>
                <w:rFonts w:ascii="宋体" w:hAnsi="宋体"/>
                <w:color w:val="auto"/>
                <w:szCs w:val="21"/>
                <w:highlight w:val="none"/>
              </w:rPr>
            </w:pPr>
            <w:r>
              <w:rPr>
                <w:rFonts w:hint="eastAsia" w:ascii="宋体" w:hAnsi="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04D6531C">
            <w:pPr>
              <w:topLinePunct/>
              <w:spacing w:line="440" w:lineRule="exact"/>
              <w:jc w:val="center"/>
              <w:rPr>
                <w:rFonts w:ascii="宋体" w:hAnsi="宋体"/>
                <w:color w:val="auto"/>
                <w:szCs w:val="21"/>
                <w:highlight w:val="none"/>
              </w:rPr>
            </w:pPr>
            <w:r>
              <w:rPr>
                <w:rFonts w:hint="eastAsia" w:ascii="宋体" w:hAnsi="宋体"/>
                <w:color w:val="auto"/>
                <w:szCs w:val="21"/>
                <w:highlight w:val="none"/>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5AA239DC">
            <w:pPr>
              <w:topLinePunct/>
              <w:spacing w:line="440" w:lineRule="exact"/>
              <w:jc w:val="center"/>
              <w:rPr>
                <w:rFonts w:ascii="宋体" w:hAnsi="宋体"/>
                <w:color w:val="auto"/>
                <w:szCs w:val="21"/>
                <w:highlight w:val="none"/>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22DE1E1A">
            <w:pPr>
              <w:topLinePunct/>
              <w:spacing w:line="440" w:lineRule="exact"/>
              <w:ind w:firstLine="105" w:firstLineChars="50"/>
              <w:jc w:val="center"/>
              <w:rPr>
                <w:rFonts w:ascii="宋体" w:hAnsi="宋体"/>
                <w:color w:val="auto"/>
                <w:szCs w:val="21"/>
                <w:highlight w:val="none"/>
              </w:rPr>
            </w:pPr>
            <w:r>
              <w:rPr>
                <w:rFonts w:hint="eastAsia" w:ascii="宋体" w:hAnsi="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20D99221">
            <w:pPr>
              <w:topLinePunct/>
              <w:spacing w:line="440" w:lineRule="exact"/>
              <w:ind w:firstLine="105" w:firstLineChars="50"/>
              <w:jc w:val="center"/>
              <w:rPr>
                <w:rFonts w:ascii="宋体" w:hAnsi="宋体"/>
                <w:color w:val="auto"/>
                <w:szCs w:val="21"/>
                <w:highlight w:val="none"/>
              </w:rPr>
            </w:pPr>
          </w:p>
        </w:tc>
      </w:tr>
      <w:tr w14:paraId="4D766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6C63A94D">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791464A6">
            <w:pPr>
              <w:topLinePunct/>
              <w:spacing w:line="440" w:lineRule="exact"/>
              <w:jc w:val="center"/>
              <w:rPr>
                <w:rFonts w:ascii="宋体" w:hAnsi="宋体"/>
                <w:color w:val="auto"/>
                <w:szCs w:val="21"/>
                <w:highlight w:val="none"/>
              </w:rPr>
            </w:pPr>
            <w:r>
              <w:rPr>
                <w:rFonts w:hint="eastAsia" w:ascii="宋体" w:hAnsi="宋体"/>
                <w:color w:val="auto"/>
                <w:szCs w:val="21"/>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23B57C00">
            <w:pPr>
              <w:topLinePunct/>
              <w:spacing w:line="440" w:lineRule="exact"/>
              <w:jc w:val="center"/>
              <w:rPr>
                <w:rFonts w:ascii="宋体" w:hAnsi="宋体"/>
                <w:color w:val="auto"/>
                <w:szCs w:val="21"/>
                <w:highlight w:val="none"/>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52E7E0BA">
            <w:pPr>
              <w:topLinePunct/>
              <w:spacing w:line="440" w:lineRule="exact"/>
              <w:ind w:firstLine="105" w:firstLineChars="50"/>
              <w:jc w:val="center"/>
              <w:rPr>
                <w:rFonts w:ascii="宋体" w:hAnsi="宋体"/>
                <w:color w:val="auto"/>
                <w:szCs w:val="21"/>
                <w:highlight w:val="none"/>
              </w:rPr>
            </w:pPr>
            <w:r>
              <w:rPr>
                <w:rFonts w:hint="eastAsia" w:ascii="宋体" w:hAnsi="宋体"/>
                <w:color w:val="auto"/>
                <w:szCs w:val="21"/>
                <w:highlight w:val="none"/>
              </w:rPr>
              <w:t>发证日期</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2CF9E02F">
            <w:pPr>
              <w:topLinePunct/>
              <w:spacing w:line="440" w:lineRule="exact"/>
              <w:ind w:firstLine="105" w:firstLineChars="50"/>
              <w:jc w:val="center"/>
              <w:rPr>
                <w:rFonts w:ascii="宋体" w:hAnsi="宋体"/>
                <w:color w:val="auto"/>
                <w:szCs w:val="21"/>
                <w:highlight w:val="none"/>
              </w:rPr>
            </w:pPr>
          </w:p>
        </w:tc>
      </w:tr>
      <w:tr w14:paraId="52A6E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39437722">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058DF0A0">
            <w:pPr>
              <w:topLinePunct/>
              <w:spacing w:line="440" w:lineRule="exact"/>
              <w:jc w:val="center"/>
              <w:rPr>
                <w:rFonts w:ascii="宋体" w:hAnsi="宋体"/>
                <w:color w:val="auto"/>
                <w:szCs w:val="21"/>
                <w:highlight w:val="none"/>
              </w:rPr>
            </w:pPr>
            <w:r>
              <w:rPr>
                <w:rFonts w:hint="eastAsia" w:ascii="宋体" w:hAnsi="宋体"/>
                <w:color w:val="auto"/>
                <w:szCs w:val="21"/>
                <w:highlight w:val="none"/>
              </w:rPr>
              <w:t>营业范围（主营）</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4CC10CA1">
            <w:pPr>
              <w:topLinePunct/>
              <w:spacing w:line="440" w:lineRule="exact"/>
              <w:ind w:firstLine="105" w:firstLineChars="50"/>
              <w:jc w:val="center"/>
              <w:rPr>
                <w:rFonts w:ascii="宋体" w:hAnsi="宋体"/>
                <w:color w:val="auto"/>
                <w:szCs w:val="21"/>
                <w:highlight w:val="none"/>
              </w:rPr>
            </w:pPr>
          </w:p>
        </w:tc>
      </w:tr>
      <w:tr w14:paraId="65C2B3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32958A01">
            <w:pPr>
              <w:topLinePunct/>
              <w:spacing w:line="440" w:lineRule="exact"/>
              <w:jc w:val="center"/>
              <w:rPr>
                <w:rFonts w:ascii="宋体" w:hAnsi="宋体"/>
                <w:color w:val="auto"/>
                <w:szCs w:val="21"/>
                <w:highlight w:val="none"/>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4F5C044A">
            <w:pPr>
              <w:topLinePunct/>
              <w:spacing w:line="440" w:lineRule="exact"/>
              <w:jc w:val="center"/>
              <w:rPr>
                <w:rFonts w:ascii="宋体" w:hAnsi="宋体"/>
                <w:color w:val="auto"/>
                <w:szCs w:val="21"/>
                <w:highlight w:val="none"/>
              </w:rPr>
            </w:pPr>
            <w:r>
              <w:rPr>
                <w:rFonts w:hint="eastAsia" w:ascii="宋体" w:hAnsi="宋体"/>
                <w:color w:val="auto"/>
                <w:szCs w:val="21"/>
                <w:highlight w:val="none"/>
              </w:rPr>
              <w:t>营业范围（兼营）</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50F1C556">
            <w:pPr>
              <w:topLinePunct/>
              <w:spacing w:line="440" w:lineRule="exact"/>
              <w:ind w:firstLine="105" w:firstLineChars="50"/>
              <w:jc w:val="center"/>
              <w:rPr>
                <w:rFonts w:ascii="宋体" w:hAnsi="宋体"/>
                <w:color w:val="auto"/>
                <w:szCs w:val="21"/>
                <w:highlight w:val="none"/>
              </w:rPr>
            </w:pPr>
          </w:p>
        </w:tc>
      </w:tr>
      <w:tr w14:paraId="39B385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14:paraId="1DF03570">
            <w:pPr>
              <w:topLinePunct/>
              <w:spacing w:line="440" w:lineRule="exact"/>
              <w:jc w:val="center"/>
              <w:rPr>
                <w:rFonts w:ascii="宋体" w:hAnsi="宋体"/>
                <w:color w:val="auto"/>
                <w:szCs w:val="21"/>
                <w:highlight w:val="none"/>
              </w:rPr>
            </w:pPr>
            <w:r>
              <w:rPr>
                <w:rFonts w:hint="eastAsia" w:ascii="宋体" w:hAnsi="宋体"/>
                <w:color w:val="auto"/>
                <w:szCs w:val="21"/>
                <w:highlight w:val="none"/>
              </w:rPr>
              <w:t>基本账户开户行及账号</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15B46FF7">
            <w:pPr>
              <w:topLinePunct/>
              <w:spacing w:line="440" w:lineRule="exact"/>
              <w:jc w:val="center"/>
              <w:rPr>
                <w:rFonts w:ascii="宋体" w:hAnsi="宋体"/>
                <w:color w:val="auto"/>
                <w:szCs w:val="21"/>
                <w:highlight w:val="none"/>
              </w:rPr>
            </w:pPr>
          </w:p>
        </w:tc>
      </w:tr>
      <w:tr w14:paraId="530B5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14:paraId="2BA49E9D">
            <w:pPr>
              <w:topLinePunct/>
              <w:spacing w:line="440" w:lineRule="exact"/>
              <w:jc w:val="center"/>
              <w:rPr>
                <w:rFonts w:ascii="宋体" w:hAnsi="宋体"/>
                <w:color w:val="auto"/>
                <w:szCs w:val="21"/>
                <w:highlight w:val="none"/>
              </w:rPr>
            </w:pPr>
            <w:r>
              <w:rPr>
                <w:rFonts w:hint="eastAsia" w:ascii="宋体" w:hAnsi="宋体"/>
                <w:color w:val="auto"/>
                <w:szCs w:val="21"/>
                <w:highlight w:val="none"/>
              </w:rPr>
              <w:t>税务登记机关</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38A0A03C">
            <w:pPr>
              <w:topLinePunct/>
              <w:spacing w:line="440" w:lineRule="exact"/>
              <w:jc w:val="center"/>
              <w:rPr>
                <w:rFonts w:ascii="宋体" w:hAnsi="宋体"/>
                <w:color w:val="auto"/>
                <w:szCs w:val="21"/>
                <w:highlight w:val="none"/>
              </w:rPr>
            </w:pPr>
          </w:p>
        </w:tc>
      </w:tr>
      <w:tr w14:paraId="59BA3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3ECFFFB0">
            <w:pPr>
              <w:topLinePunct/>
              <w:spacing w:line="440" w:lineRule="exact"/>
              <w:jc w:val="center"/>
              <w:rPr>
                <w:rFonts w:ascii="宋体" w:hAnsi="宋体"/>
                <w:color w:val="auto"/>
                <w:szCs w:val="21"/>
                <w:highlight w:val="none"/>
              </w:rPr>
            </w:pPr>
            <w:r>
              <w:rPr>
                <w:rFonts w:ascii="宋体" w:hAnsi="宋体"/>
                <w:color w:val="auto"/>
                <w:szCs w:val="21"/>
                <w:highlight w:val="none"/>
              </w:rPr>
              <w:t>资质</w:t>
            </w:r>
            <w:r>
              <w:rPr>
                <w:rFonts w:hint="eastAsia" w:ascii="宋体" w:hAnsi="宋体"/>
                <w:color w:val="auto"/>
                <w:szCs w:val="21"/>
                <w:highlight w:val="none"/>
              </w:rPr>
              <w:t>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6AD8F5BB">
            <w:pPr>
              <w:topLinePunct/>
              <w:spacing w:line="440" w:lineRule="exact"/>
              <w:jc w:val="center"/>
              <w:rPr>
                <w:rFonts w:ascii="宋体" w:hAnsi="宋体"/>
                <w:color w:val="auto"/>
                <w:szCs w:val="21"/>
                <w:highlight w:val="none"/>
              </w:rPr>
            </w:pPr>
            <w:r>
              <w:rPr>
                <w:rFonts w:ascii="宋体" w:hAnsi="宋体"/>
                <w:color w:val="auto"/>
                <w:szCs w:val="21"/>
                <w:highlight w:val="none"/>
              </w:rPr>
              <w:t>等级</w:t>
            </w:r>
          </w:p>
        </w:tc>
        <w:tc>
          <w:tcPr>
            <w:tcW w:w="1083" w:type="dxa"/>
            <w:tcBorders>
              <w:top w:val="single" w:color="auto" w:sz="6" w:space="0"/>
              <w:left w:val="single" w:color="auto" w:sz="6" w:space="0"/>
              <w:bottom w:val="single" w:color="auto" w:sz="6" w:space="0"/>
              <w:right w:val="single" w:color="auto" w:sz="6" w:space="0"/>
            </w:tcBorders>
            <w:vAlign w:val="center"/>
          </w:tcPr>
          <w:p w14:paraId="5DD38B51">
            <w:pPr>
              <w:topLinePunct/>
              <w:spacing w:line="440" w:lineRule="exact"/>
              <w:jc w:val="center"/>
              <w:rPr>
                <w:rFonts w:ascii="宋体" w:hAnsi="宋体"/>
                <w:color w:val="auto"/>
                <w:szCs w:val="21"/>
                <w:highlight w:val="none"/>
              </w:rPr>
            </w:pPr>
            <w:r>
              <w:rPr>
                <w:rFonts w:hint="eastAsia" w:ascii="宋体" w:hAnsi="宋体"/>
                <w:color w:val="auto"/>
                <w:szCs w:val="21"/>
                <w:highlight w:val="none"/>
              </w:rPr>
              <w:t>发证机关</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5B8E0D85">
            <w:pPr>
              <w:topLinePunct/>
              <w:spacing w:line="440" w:lineRule="exact"/>
              <w:jc w:val="center"/>
              <w:rPr>
                <w:rFonts w:ascii="宋体" w:hAnsi="宋体"/>
                <w:color w:val="auto"/>
                <w:szCs w:val="21"/>
                <w:highlight w:val="none"/>
              </w:rPr>
            </w:pPr>
            <w:r>
              <w:rPr>
                <w:rFonts w:hint="eastAsia" w:ascii="宋体" w:hAnsi="宋体"/>
                <w:color w:val="auto"/>
                <w:szCs w:val="21"/>
                <w:highlight w:val="none"/>
              </w:rPr>
              <w:t>有效期</w:t>
            </w:r>
          </w:p>
        </w:tc>
      </w:tr>
      <w:tr w14:paraId="0E5BE0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71E58DAA">
            <w:pPr>
              <w:topLinePunct/>
              <w:spacing w:line="440" w:lineRule="exact"/>
              <w:jc w:val="center"/>
              <w:rPr>
                <w:rFonts w:ascii="宋体" w:hAnsi="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0D84CA4A">
            <w:pPr>
              <w:topLinePunct/>
              <w:spacing w:line="440" w:lineRule="exact"/>
              <w:jc w:val="center"/>
              <w:rPr>
                <w:rFonts w:ascii="宋体" w:hAnsi="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vAlign w:val="center"/>
          </w:tcPr>
          <w:p w14:paraId="3B5C1A8D">
            <w:pPr>
              <w:topLinePunct/>
              <w:spacing w:line="440" w:lineRule="exact"/>
              <w:jc w:val="center"/>
              <w:rPr>
                <w:rFonts w:ascii="宋体" w:hAnsi="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1C469844">
            <w:pPr>
              <w:topLinePunct/>
              <w:spacing w:line="440" w:lineRule="exact"/>
              <w:jc w:val="center"/>
              <w:rPr>
                <w:rFonts w:ascii="宋体" w:hAnsi="宋体"/>
                <w:color w:val="auto"/>
                <w:szCs w:val="21"/>
                <w:highlight w:val="none"/>
              </w:rPr>
            </w:pPr>
          </w:p>
        </w:tc>
      </w:tr>
      <w:tr w14:paraId="0A2E3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14:paraId="0B4AAE06">
            <w:pPr>
              <w:topLinePunct/>
              <w:spacing w:line="440" w:lineRule="exact"/>
              <w:jc w:val="center"/>
              <w:rPr>
                <w:rFonts w:ascii="宋体" w:hAnsi="宋体"/>
                <w:color w:val="auto"/>
                <w:szCs w:val="21"/>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5B583BC8">
            <w:pPr>
              <w:topLinePunct/>
              <w:spacing w:line="440" w:lineRule="exact"/>
              <w:jc w:val="center"/>
              <w:rPr>
                <w:rFonts w:ascii="宋体" w:hAnsi="宋体"/>
                <w:color w:val="auto"/>
                <w:szCs w:val="21"/>
                <w:highlight w:val="none"/>
              </w:rPr>
            </w:pPr>
          </w:p>
        </w:tc>
        <w:tc>
          <w:tcPr>
            <w:tcW w:w="1083" w:type="dxa"/>
            <w:tcBorders>
              <w:top w:val="single" w:color="auto" w:sz="6" w:space="0"/>
              <w:left w:val="single" w:color="auto" w:sz="6" w:space="0"/>
              <w:bottom w:val="single" w:color="auto" w:sz="6" w:space="0"/>
              <w:right w:val="single" w:color="auto" w:sz="6" w:space="0"/>
            </w:tcBorders>
            <w:vAlign w:val="center"/>
          </w:tcPr>
          <w:p w14:paraId="7B9C4825">
            <w:pPr>
              <w:topLinePunct/>
              <w:spacing w:line="440" w:lineRule="exact"/>
              <w:jc w:val="center"/>
              <w:rPr>
                <w:rFonts w:ascii="宋体" w:hAnsi="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261681DC">
            <w:pPr>
              <w:topLinePunct/>
              <w:spacing w:line="440" w:lineRule="exact"/>
              <w:jc w:val="center"/>
              <w:rPr>
                <w:rFonts w:ascii="宋体" w:hAnsi="宋体"/>
                <w:color w:val="auto"/>
                <w:szCs w:val="21"/>
                <w:highlight w:val="none"/>
              </w:rPr>
            </w:pPr>
          </w:p>
        </w:tc>
      </w:tr>
      <w:tr w14:paraId="60FF4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9"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14:paraId="47611AAC">
            <w:pPr>
              <w:topLinePunct/>
              <w:spacing w:line="440" w:lineRule="exact"/>
              <w:jc w:val="center"/>
              <w:rPr>
                <w:rFonts w:ascii="宋体" w:hAnsi="宋体"/>
                <w:color w:val="auto"/>
                <w:szCs w:val="21"/>
                <w:highlight w:val="none"/>
              </w:rPr>
            </w:pPr>
            <w:r>
              <w:rPr>
                <w:rFonts w:ascii="宋体" w:hAnsi="宋体"/>
                <w:color w:val="auto"/>
                <w:szCs w:val="21"/>
                <w:highlight w:val="none"/>
              </w:rPr>
              <w:t>备注</w:t>
            </w:r>
          </w:p>
        </w:tc>
        <w:tc>
          <w:tcPr>
            <w:tcW w:w="7562" w:type="dxa"/>
            <w:gridSpan w:val="8"/>
            <w:tcBorders>
              <w:top w:val="single" w:color="auto" w:sz="6" w:space="0"/>
              <w:left w:val="single" w:color="auto" w:sz="6" w:space="0"/>
              <w:bottom w:val="double" w:color="auto" w:sz="4" w:space="0"/>
              <w:right w:val="double" w:color="auto" w:sz="4" w:space="0"/>
            </w:tcBorders>
            <w:vAlign w:val="center"/>
          </w:tcPr>
          <w:p w14:paraId="723485E9">
            <w:pPr>
              <w:topLinePunct/>
              <w:spacing w:line="440" w:lineRule="exact"/>
              <w:rPr>
                <w:rFonts w:ascii="宋体" w:hAnsi="宋体"/>
                <w:color w:val="auto"/>
                <w:szCs w:val="21"/>
                <w:highlight w:val="none"/>
              </w:rPr>
            </w:pPr>
          </w:p>
        </w:tc>
      </w:tr>
    </w:tbl>
    <w:p w14:paraId="68665BC8">
      <w:pPr>
        <w:spacing w:line="480" w:lineRule="exact"/>
        <w:rPr>
          <w:rFonts w:ascii="宋体" w:hAnsi="宋体"/>
          <w:color w:val="auto"/>
          <w:sz w:val="30"/>
          <w:szCs w:val="30"/>
          <w:highlight w:val="none"/>
        </w:rPr>
      </w:pPr>
    </w:p>
    <w:p w14:paraId="7DCD5275">
      <w:pPr>
        <w:spacing w:line="480" w:lineRule="exact"/>
        <w:rPr>
          <w:rFonts w:asciiTheme="minorEastAsia" w:hAnsiTheme="minorEastAsia" w:eastAsiaTheme="minorEastAsia" w:cstheme="minorEastAsia"/>
          <w:color w:val="auto"/>
          <w:sz w:val="24"/>
          <w:highlight w:val="none"/>
        </w:rPr>
      </w:pPr>
      <w:r>
        <w:rPr>
          <w:rFonts w:hint="eastAsia" w:ascii="宋体" w:hAnsi="宋体"/>
          <w:color w:val="auto"/>
          <w:sz w:val="30"/>
          <w:szCs w:val="30"/>
          <w:highlight w:val="none"/>
        </w:rPr>
        <w:br w:type="page"/>
      </w:r>
      <w:r>
        <w:rPr>
          <w:rFonts w:hint="eastAsia" w:ascii="宋体" w:hAnsi="宋体"/>
          <w:color w:val="auto"/>
          <w:sz w:val="30"/>
          <w:szCs w:val="30"/>
          <w:highlight w:val="none"/>
        </w:rPr>
        <w:t>附件6</w:t>
      </w:r>
      <w:r>
        <w:rPr>
          <w:rFonts w:hint="eastAsia" w:asciiTheme="minorEastAsia" w:hAnsiTheme="minorEastAsia" w:eastAsiaTheme="minorEastAsia" w:cstheme="minorEastAsia"/>
          <w:color w:val="auto"/>
          <w:sz w:val="24"/>
          <w:highlight w:val="none"/>
        </w:rPr>
        <w:t>：</w:t>
      </w:r>
    </w:p>
    <w:p w14:paraId="6DBAF7E3">
      <w:pPr>
        <w:adjustRightInd w:val="0"/>
        <w:snapToGrid w:val="0"/>
        <w:jc w:val="center"/>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供应商的资格条件更新材料</w:t>
      </w:r>
    </w:p>
    <w:p w14:paraId="204E2B13">
      <w:pPr>
        <w:adjustRightInd w:val="0"/>
        <w:snapToGrid w:val="0"/>
        <w:spacing w:before="120" w:beforeLines="50"/>
        <w:rPr>
          <w:rFonts w:asciiTheme="minorEastAsia" w:hAnsiTheme="minorEastAsia" w:eastAsiaTheme="minorEastAsia" w:cstheme="minorEastAsia"/>
          <w:color w:val="auto"/>
          <w:szCs w:val="21"/>
          <w:highlight w:val="none"/>
        </w:rPr>
      </w:pPr>
    </w:p>
    <w:p w14:paraId="451DA47F">
      <w:pPr>
        <w:adjustRightInd w:val="0"/>
        <w:snapToGrid w:val="0"/>
        <w:ind w:firstLine="630" w:firstLineChars="3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kern w:val="0"/>
          <w:szCs w:val="21"/>
          <w:highlight w:val="none"/>
          <w:lang w:val="zh-CN"/>
        </w:rPr>
        <w:t>供应商根据磋商文件第二章第14.1项“</w:t>
      </w:r>
      <w:r>
        <w:rPr>
          <w:rFonts w:hint="eastAsia" w:asciiTheme="minorEastAsia" w:hAnsiTheme="minorEastAsia" w:eastAsiaTheme="minorEastAsia" w:cstheme="minorEastAsia"/>
          <w:color w:val="auto"/>
          <w:szCs w:val="21"/>
          <w:highlight w:val="none"/>
        </w:rPr>
        <w:t>在磋商</w:t>
      </w:r>
      <w:r>
        <w:rPr>
          <w:rFonts w:hint="eastAsia" w:asciiTheme="minorEastAsia" w:hAnsiTheme="minorEastAsia" w:eastAsiaTheme="minorEastAsia" w:cstheme="minorEastAsia"/>
          <w:bCs/>
          <w:color w:val="auto"/>
          <w:szCs w:val="21"/>
          <w:highlight w:val="none"/>
        </w:rPr>
        <w:t>小组确定邀请供应商名单起</w:t>
      </w:r>
      <w:r>
        <w:rPr>
          <w:rFonts w:hint="eastAsia" w:asciiTheme="minorEastAsia" w:hAnsiTheme="minorEastAsia" w:eastAsiaTheme="minorEastAsia" w:cstheme="minorEastAsia"/>
          <w:color w:val="auto"/>
          <w:szCs w:val="21"/>
          <w:highlight w:val="none"/>
        </w:rPr>
        <w:t>至</w:t>
      </w:r>
      <w:r>
        <w:rPr>
          <w:rFonts w:hint="eastAsia" w:asciiTheme="minorEastAsia" w:hAnsiTheme="minorEastAsia" w:eastAsiaTheme="minorEastAsia" w:cstheme="minorEastAsia"/>
          <w:color w:val="auto"/>
          <w:kern w:val="0"/>
          <w:szCs w:val="21"/>
          <w:highlight w:val="none"/>
        </w:rPr>
        <w:t>提交首次响应文件</w:t>
      </w:r>
      <w:r>
        <w:rPr>
          <w:rFonts w:hint="eastAsia" w:asciiTheme="minorEastAsia" w:hAnsiTheme="minorEastAsia" w:eastAsiaTheme="minorEastAsia" w:cstheme="minorEastAsia"/>
          <w:color w:val="auto"/>
          <w:szCs w:val="21"/>
          <w:highlight w:val="none"/>
        </w:rPr>
        <w:t>止，供应商资格条件发生重大变化，可能影响资格条件的，供应商应更新或者补充提供的资格证明材料，以证实其各项条件仍能继续满足本章第3.1项规定的供应商资格条件要求</w:t>
      </w:r>
      <w:r>
        <w:rPr>
          <w:rFonts w:hint="eastAsia" w:asciiTheme="minorEastAsia" w:hAnsiTheme="minorEastAsia" w:eastAsiaTheme="minorEastAsia" w:cstheme="minorEastAsia"/>
          <w:color w:val="auto"/>
          <w:kern w:val="0"/>
          <w:szCs w:val="21"/>
          <w:highlight w:val="none"/>
          <w:lang w:val="zh-CN"/>
        </w:rPr>
        <w:t>”的规定，应</w:t>
      </w:r>
      <w:r>
        <w:rPr>
          <w:rFonts w:hint="eastAsia" w:asciiTheme="minorEastAsia" w:hAnsiTheme="minorEastAsia" w:eastAsiaTheme="minorEastAsia" w:cstheme="minorEastAsia"/>
          <w:color w:val="auto"/>
          <w:szCs w:val="21"/>
          <w:highlight w:val="none"/>
        </w:rPr>
        <w:t>提供的更新或者补充资格证明材料。</w:t>
      </w:r>
    </w:p>
    <w:p w14:paraId="3BEB97AA">
      <w:pPr>
        <w:adjustRightInd w:val="0"/>
        <w:snapToGrid w:val="0"/>
        <w:rPr>
          <w:rFonts w:asciiTheme="minorEastAsia" w:hAnsiTheme="minorEastAsia" w:eastAsiaTheme="minorEastAsia" w:cstheme="minorEastAsia"/>
          <w:color w:val="auto"/>
          <w:szCs w:val="21"/>
          <w:highlight w:val="none"/>
        </w:rPr>
      </w:pPr>
    </w:p>
    <w:p w14:paraId="36C882CE">
      <w:pPr>
        <w:adjustRightInd w:val="0"/>
        <w:snapToGrid w:val="0"/>
        <w:rPr>
          <w:rFonts w:asciiTheme="minorEastAsia" w:hAnsiTheme="minorEastAsia" w:eastAsiaTheme="minorEastAsia" w:cstheme="minorEastAsia"/>
          <w:color w:val="auto"/>
          <w:szCs w:val="21"/>
          <w:highlight w:val="none"/>
        </w:rPr>
      </w:pPr>
    </w:p>
    <w:p w14:paraId="01922CB8">
      <w:pPr>
        <w:adjustRightInd w:val="0"/>
        <w:snapToGrid w:val="0"/>
        <w:rPr>
          <w:rFonts w:asciiTheme="minorEastAsia" w:hAnsiTheme="minorEastAsia" w:eastAsiaTheme="minorEastAsia" w:cstheme="minorEastAsia"/>
          <w:color w:val="auto"/>
          <w:szCs w:val="21"/>
          <w:highlight w:val="none"/>
        </w:rPr>
      </w:pPr>
    </w:p>
    <w:p w14:paraId="000BA2C4">
      <w:pPr>
        <w:adjustRightInd w:val="0"/>
        <w:snapToGrid w:val="0"/>
        <w:rPr>
          <w:rFonts w:asciiTheme="minorEastAsia" w:hAnsiTheme="minorEastAsia" w:eastAsiaTheme="minorEastAsia" w:cstheme="minorEastAsia"/>
          <w:color w:val="auto"/>
          <w:szCs w:val="21"/>
          <w:highlight w:val="none"/>
        </w:rPr>
      </w:pPr>
    </w:p>
    <w:p w14:paraId="736378B3">
      <w:pPr>
        <w:spacing w:line="480" w:lineRule="exact"/>
        <w:jc w:val="left"/>
        <w:rPr>
          <w:rFonts w:asciiTheme="minorEastAsia" w:hAnsiTheme="minorEastAsia" w:eastAsiaTheme="minorEastAsia" w:cstheme="minorEastAsia"/>
          <w:color w:val="auto"/>
          <w:sz w:val="30"/>
          <w:szCs w:val="30"/>
          <w:highlight w:val="none"/>
        </w:rPr>
      </w:pPr>
      <w:r>
        <w:rPr>
          <w:rFonts w:hint="eastAsia" w:ascii="宋体" w:hAnsi="宋体"/>
          <w:color w:val="auto"/>
          <w:sz w:val="30"/>
          <w:szCs w:val="30"/>
          <w:highlight w:val="none"/>
        </w:rPr>
        <w:t xml:space="preserve">附件7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30"/>
          <w:szCs w:val="30"/>
          <w:highlight w:val="none"/>
        </w:rPr>
        <w:t xml:space="preserve"> </w:t>
      </w:r>
    </w:p>
    <w:p w14:paraId="4799408E">
      <w:pPr>
        <w:adjustRightInd w:val="0"/>
        <w:snapToGrid w:val="0"/>
        <w:jc w:val="center"/>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磋商文件规定的基本资格条件证明资料</w:t>
      </w:r>
    </w:p>
    <w:p w14:paraId="331A911A">
      <w:pPr>
        <w:spacing w:line="480" w:lineRule="exact"/>
        <w:rPr>
          <w:rFonts w:asciiTheme="minorEastAsia" w:hAnsiTheme="minorEastAsia" w:eastAsiaTheme="minorEastAsia" w:cstheme="minorEastAsia"/>
          <w:color w:val="auto"/>
          <w:szCs w:val="21"/>
          <w:highlight w:val="none"/>
        </w:rPr>
      </w:pPr>
    </w:p>
    <w:p w14:paraId="4CFF478D">
      <w:pPr>
        <w:spacing w:line="480" w:lineRule="exact"/>
        <w:rPr>
          <w:rFonts w:asciiTheme="minorEastAsia" w:hAnsiTheme="minorEastAsia" w:eastAsiaTheme="minorEastAsia" w:cstheme="minorEastAsia"/>
          <w:color w:val="auto"/>
          <w:sz w:val="30"/>
          <w:szCs w:val="30"/>
          <w:highlight w:val="none"/>
        </w:rPr>
      </w:pPr>
    </w:p>
    <w:p w14:paraId="4F6AD33C">
      <w:pPr>
        <w:spacing w:line="480" w:lineRule="exact"/>
        <w:jc w:val="left"/>
        <w:rPr>
          <w:rFonts w:ascii="宋体" w:hAnsi="宋体"/>
          <w:color w:val="auto"/>
          <w:sz w:val="30"/>
          <w:szCs w:val="30"/>
          <w:highlight w:val="none"/>
        </w:rPr>
      </w:pPr>
      <w:r>
        <w:rPr>
          <w:rFonts w:hint="eastAsia" w:ascii="宋体" w:hAnsi="宋体"/>
          <w:color w:val="auto"/>
          <w:sz w:val="30"/>
          <w:szCs w:val="30"/>
          <w:highlight w:val="none"/>
        </w:rPr>
        <w:t>附件8</w:t>
      </w:r>
    </w:p>
    <w:p w14:paraId="4F1DD776">
      <w:pPr>
        <w:spacing w:line="480" w:lineRule="exact"/>
        <w:jc w:val="center"/>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磋商文件规定的特定资格条件证明资料</w:t>
      </w:r>
    </w:p>
    <w:p w14:paraId="01E89B8E">
      <w:pPr>
        <w:adjustRightInd w:val="0"/>
        <w:snapToGrid w:val="0"/>
        <w:ind w:firstLine="630" w:firstLineChars="300"/>
        <w:jc w:val="left"/>
        <w:rPr>
          <w:rFonts w:asciiTheme="minorEastAsia" w:hAnsiTheme="minorEastAsia" w:eastAsiaTheme="minorEastAsia" w:cstheme="minorEastAsia"/>
          <w:color w:val="auto"/>
          <w:kern w:val="0"/>
          <w:szCs w:val="21"/>
          <w:highlight w:val="none"/>
          <w:lang w:val="zh-CN"/>
        </w:rPr>
      </w:pPr>
    </w:p>
    <w:p w14:paraId="448AF405">
      <w:pPr>
        <w:adjustRightInd w:val="0"/>
        <w:snapToGrid w:val="0"/>
        <w:jc w:val="left"/>
        <w:rPr>
          <w:rFonts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lang w:val="zh-CN"/>
        </w:rPr>
        <w:t>备注：提供第二章 磋商须知第3.1款供应商特定资格条件证明资料的复印件。</w:t>
      </w:r>
    </w:p>
    <w:p w14:paraId="10569A8A">
      <w:pPr>
        <w:rPr>
          <w:rFonts w:hint="eastAsia" w:ascii="宋体" w:hAnsi="宋体"/>
          <w:b/>
          <w:bCs/>
          <w:color w:val="auto"/>
          <w:sz w:val="28"/>
          <w:szCs w:val="28"/>
          <w:highlight w:val="none"/>
        </w:rPr>
      </w:pPr>
      <w:r>
        <w:rPr>
          <w:rFonts w:hint="eastAsia" w:ascii="宋体" w:hAnsi="宋体"/>
          <w:b/>
          <w:bCs/>
          <w:color w:val="auto"/>
          <w:sz w:val="28"/>
          <w:szCs w:val="28"/>
          <w:highlight w:val="none"/>
        </w:rPr>
        <w:br w:type="page"/>
      </w:r>
    </w:p>
    <w:p w14:paraId="38172BAD">
      <w:pPr>
        <w:adjustRightInd w:val="0"/>
        <w:snapToGrid w:val="0"/>
        <w:jc w:val="center"/>
        <w:outlineLvl w:val="1"/>
        <w:rPr>
          <w:rFonts w:asciiTheme="minorEastAsia" w:hAnsiTheme="minorEastAsia" w:eastAsiaTheme="minorEastAsia" w:cstheme="minorEastAsia"/>
          <w:b/>
          <w:color w:val="auto"/>
          <w:sz w:val="32"/>
          <w:szCs w:val="32"/>
          <w:highlight w:val="none"/>
        </w:rPr>
      </w:pPr>
      <w:bookmarkStart w:id="115" w:name="_Toc10437"/>
      <w:r>
        <w:rPr>
          <w:rFonts w:hint="eastAsia" w:ascii="宋体" w:hAnsi="宋体"/>
          <w:b/>
          <w:bCs/>
          <w:color w:val="auto"/>
          <w:sz w:val="28"/>
          <w:szCs w:val="28"/>
          <w:highlight w:val="none"/>
          <w:lang w:val="en-US" w:eastAsia="zh-CN"/>
        </w:rPr>
        <w:t>三</w:t>
      </w:r>
      <w:r>
        <w:rPr>
          <w:rFonts w:hint="eastAsia" w:ascii="宋体" w:hAnsi="宋体"/>
          <w:b/>
          <w:bCs/>
          <w:color w:val="auto"/>
          <w:sz w:val="28"/>
          <w:szCs w:val="28"/>
          <w:highlight w:val="none"/>
        </w:rPr>
        <w:t>、</w:t>
      </w:r>
      <w:r>
        <w:rPr>
          <w:rFonts w:hint="eastAsia" w:asciiTheme="minorEastAsia" w:hAnsiTheme="minorEastAsia" w:eastAsiaTheme="minorEastAsia" w:cstheme="minorEastAsia"/>
          <w:b/>
          <w:color w:val="auto"/>
          <w:sz w:val="32"/>
          <w:szCs w:val="32"/>
          <w:highlight w:val="none"/>
        </w:rPr>
        <w:t>施工组织设计</w:t>
      </w:r>
      <w:bookmarkEnd w:id="115"/>
    </w:p>
    <w:p w14:paraId="42B72F55">
      <w:pPr>
        <w:spacing w:line="480" w:lineRule="exact"/>
        <w:jc w:val="center"/>
        <w:rPr>
          <w:rFonts w:ascii="宋体" w:hAnsi="宋体"/>
          <w:b/>
          <w:bCs/>
          <w:color w:val="auto"/>
          <w:sz w:val="28"/>
          <w:szCs w:val="28"/>
          <w:highlight w:val="none"/>
        </w:rPr>
      </w:pPr>
    </w:p>
    <w:p w14:paraId="3911D691">
      <w:pPr>
        <w:adjustRightInd w:val="0"/>
        <w:snapToGrid w:val="0"/>
        <w:ind w:right="24"/>
        <w:jc w:val="center"/>
        <w:rPr>
          <w:rFonts w:asciiTheme="minorEastAsia" w:hAnsiTheme="minorEastAsia" w:eastAsiaTheme="minorEastAsia"/>
          <w:b/>
          <w:color w:val="auto"/>
          <w:sz w:val="28"/>
          <w:szCs w:val="28"/>
          <w:highlight w:val="none"/>
        </w:rPr>
      </w:pPr>
      <w:r>
        <w:rPr>
          <w:rFonts w:hint="eastAsia" w:asciiTheme="minorEastAsia" w:hAnsiTheme="minorEastAsia" w:eastAsiaTheme="minorEastAsia"/>
          <w:b/>
          <w:color w:val="auto"/>
          <w:sz w:val="28"/>
          <w:szCs w:val="28"/>
          <w:highlight w:val="none"/>
        </w:rPr>
        <w:t>施工组织设计</w:t>
      </w:r>
    </w:p>
    <w:p w14:paraId="1377F485">
      <w:pPr>
        <w:adjustRightInd w:val="0"/>
        <w:snapToGrid w:val="0"/>
        <w:rPr>
          <w:rFonts w:asciiTheme="minorEastAsia" w:hAnsiTheme="minorEastAsia" w:eastAsiaTheme="minorEastAsia"/>
          <w:bCs/>
          <w:color w:val="auto"/>
          <w:sz w:val="24"/>
          <w:highlight w:val="none"/>
        </w:rPr>
      </w:pPr>
    </w:p>
    <w:p w14:paraId="21359DE2">
      <w:pPr>
        <w:adjustRightInd w:val="0"/>
        <w:snapToGrid w:val="0"/>
        <w:spacing w:before="50"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施工组织设计可包括但不限于：</w:t>
      </w:r>
    </w:p>
    <w:p w14:paraId="291B9556">
      <w:pPr>
        <w:numPr>
          <w:ilvl w:val="0"/>
          <w:numId w:val="0"/>
        </w:numPr>
        <w:adjustRightInd w:val="0"/>
        <w:snapToGrid w:val="0"/>
        <w:spacing w:before="50" w:line="360" w:lineRule="auto"/>
        <w:ind w:left="425" w:leftChars="0" w:hanging="425" w:firstLineChars="0"/>
        <w:rPr>
          <w:rFonts w:hint="eastAsia" w:asciiTheme="minorEastAsia" w:hAnsiTheme="minorEastAsia" w:eastAsiaTheme="minorEastAsia"/>
          <w:color w:val="auto"/>
          <w:szCs w:val="21"/>
          <w:highlight w:val="none"/>
        </w:rPr>
      </w:pPr>
      <w:r>
        <w:rPr>
          <w:rFonts w:hint="default" w:cs="Times New Roman" w:asciiTheme="minorEastAsia" w:hAnsiTheme="minorEastAsia" w:eastAsiaTheme="minorEastAsia"/>
          <w:color w:val="auto"/>
          <w:kern w:val="2"/>
          <w:sz w:val="21"/>
          <w:szCs w:val="21"/>
          <w:highlight w:val="none"/>
          <w:lang w:val="en-US" w:eastAsia="zh-CN" w:bidi="ar-SA"/>
        </w:rPr>
        <w:t>(1)</w:t>
      </w:r>
      <w:r>
        <w:rPr>
          <w:rFonts w:hint="eastAsia" w:asciiTheme="minorEastAsia" w:hAnsiTheme="minorEastAsia" w:eastAsiaTheme="minorEastAsia"/>
          <w:color w:val="auto"/>
          <w:szCs w:val="21"/>
          <w:highlight w:val="none"/>
        </w:rPr>
        <w:t>施工方案与技术措施</w:t>
      </w:r>
    </w:p>
    <w:p w14:paraId="2905829C">
      <w:pPr>
        <w:numPr>
          <w:ilvl w:val="0"/>
          <w:numId w:val="0"/>
        </w:numPr>
        <w:adjustRightInd w:val="0"/>
        <w:snapToGrid w:val="0"/>
        <w:spacing w:before="50" w:line="360" w:lineRule="auto"/>
        <w:ind w:left="425" w:leftChars="0" w:hanging="425" w:firstLineChars="0"/>
        <w:rPr>
          <w:rFonts w:hint="eastAsia" w:asciiTheme="minorEastAsia" w:hAnsiTheme="minorEastAsia" w:eastAsiaTheme="minorEastAsia"/>
          <w:color w:val="auto"/>
          <w:szCs w:val="21"/>
          <w:highlight w:val="none"/>
          <w:lang w:eastAsia="zh-CN"/>
        </w:rPr>
      </w:pPr>
      <w:r>
        <w:rPr>
          <w:rFonts w:hint="default" w:cs="Times New Roman" w:asciiTheme="minorEastAsia" w:hAnsiTheme="minorEastAsia" w:eastAsiaTheme="minorEastAsia"/>
          <w:color w:val="auto"/>
          <w:kern w:val="2"/>
          <w:sz w:val="21"/>
          <w:szCs w:val="21"/>
          <w:highlight w:val="none"/>
          <w:lang w:val="en-US" w:eastAsia="zh-CN" w:bidi="ar-SA"/>
        </w:rPr>
        <w:t>(2)工程进度计划与保证措施</w:t>
      </w:r>
    </w:p>
    <w:p w14:paraId="24447EC5">
      <w:pPr>
        <w:numPr>
          <w:ilvl w:val="0"/>
          <w:numId w:val="0"/>
        </w:numPr>
        <w:adjustRightInd w:val="0"/>
        <w:snapToGrid w:val="0"/>
        <w:spacing w:before="50" w:line="360" w:lineRule="auto"/>
        <w:ind w:left="425" w:leftChars="0" w:hanging="425" w:firstLineChars="0"/>
        <w:rPr>
          <w:rFonts w:hint="eastAsia" w:asciiTheme="minorEastAsia" w:hAnsiTheme="minorEastAsia" w:eastAsiaTheme="minorEastAsia"/>
          <w:color w:val="auto"/>
          <w:szCs w:val="21"/>
          <w:highlight w:val="none"/>
        </w:rPr>
      </w:pPr>
      <w:r>
        <w:rPr>
          <w:rFonts w:hint="default" w:cs="Times New Roman" w:asciiTheme="minorEastAsia" w:hAnsiTheme="minorEastAsia" w:eastAsiaTheme="minorEastAsia"/>
          <w:color w:val="auto"/>
          <w:kern w:val="2"/>
          <w:sz w:val="21"/>
          <w:szCs w:val="21"/>
          <w:highlight w:val="none"/>
          <w:lang w:val="en-US" w:eastAsia="zh-CN" w:bidi="ar-SA"/>
        </w:rPr>
        <w:t>(3)质量管理体系与措施</w:t>
      </w:r>
    </w:p>
    <w:p w14:paraId="5580C63F">
      <w:pPr>
        <w:numPr>
          <w:ilvl w:val="0"/>
          <w:numId w:val="0"/>
        </w:numPr>
        <w:adjustRightInd w:val="0"/>
        <w:snapToGrid w:val="0"/>
        <w:spacing w:before="50" w:line="360" w:lineRule="auto"/>
        <w:ind w:left="425" w:leftChars="0" w:hanging="425" w:firstLineChars="0"/>
        <w:rPr>
          <w:rFonts w:hint="eastAsia" w:asciiTheme="minorEastAsia" w:hAnsiTheme="minorEastAsia" w:eastAsiaTheme="minorEastAsia"/>
          <w:color w:val="auto"/>
          <w:szCs w:val="21"/>
          <w:highlight w:val="none"/>
        </w:rPr>
      </w:pPr>
      <w:r>
        <w:rPr>
          <w:rFonts w:hint="default" w:cs="Times New Roman" w:asciiTheme="minorEastAsia" w:hAnsiTheme="minorEastAsia" w:eastAsiaTheme="minorEastAsia"/>
          <w:color w:val="auto"/>
          <w:kern w:val="2"/>
          <w:sz w:val="21"/>
          <w:szCs w:val="21"/>
          <w:highlight w:val="none"/>
          <w:lang w:val="en-US" w:eastAsia="zh-CN" w:bidi="ar-SA"/>
        </w:rPr>
        <w:t>(4)环境保护管理体系与措施</w:t>
      </w:r>
    </w:p>
    <w:p w14:paraId="7C5E35AF">
      <w:pPr>
        <w:numPr>
          <w:ilvl w:val="0"/>
          <w:numId w:val="0"/>
        </w:numPr>
        <w:adjustRightInd w:val="0"/>
        <w:snapToGrid w:val="0"/>
        <w:spacing w:before="50" w:line="360" w:lineRule="auto"/>
        <w:ind w:left="425" w:leftChars="0" w:hanging="425" w:firstLineChars="0"/>
        <w:rPr>
          <w:rFonts w:hint="default" w:cs="Times New Roman" w:asciiTheme="minorEastAsia" w:hAnsiTheme="minorEastAsia" w:eastAsiaTheme="minorEastAsia"/>
          <w:color w:val="auto"/>
          <w:kern w:val="2"/>
          <w:sz w:val="21"/>
          <w:szCs w:val="21"/>
          <w:highlight w:val="none"/>
          <w:lang w:val="en-US" w:eastAsia="zh-CN" w:bidi="ar-SA"/>
        </w:rPr>
      </w:pPr>
      <w:r>
        <w:rPr>
          <w:rFonts w:hint="default" w:cs="Times New Roman" w:asciiTheme="minorEastAsia" w:hAnsiTheme="minorEastAsia" w:eastAsiaTheme="minorEastAsia"/>
          <w:color w:val="auto"/>
          <w:kern w:val="2"/>
          <w:sz w:val="21"/>
          <w:szCs w:val="21"/>
          <w:highlight w:val="none"/>
          <w:lang w:val="en-US" w:eastAsia="zh-CN" w:bidi="ar-SA"/>
        </w:rPr>
        <w:t>(5)安全管理体系与措施</w:t>
      </w:r>
    </w:p>
    <w:p w14:paraId="773A9799">
      <w:pPr>
        <w:numPr>
          <w:ilvl w:val="0"/>
          <w:numId w:val="0"/>
        </w:numPr>
        <w:adjustRightInd w:val="0"/>
        <w:snapToGrid w:val="0"/>
        <w:spacing w:before="50" w:line="360" w:lineRule="auto"/>
        <w:ind w:left="425" w:leftChars="0" w:hanging="425" w:firstLineChars="0"/>
        <w:rPr>
          <w:rFonts w:asciiTheme="minorEastAsia" w:hAnsiTheme="minorEastAsia" w:eastAsiaTheme="minorEastAsia"/>
          <w:color w:val="auto"/>
          <w:szCs w:val="21"/>
          <w:highlight w:val="none"/>
        </w:rPr>
      </w:pPr>
      <w:r>
        <w:rPr>
          <w:rFonts w:hint="default" w:cs="Times New Roman" w:asciiTheme="minorEastAsia" w:hAnsiTheme="minorEastAsia" w:eastAsiaTheme="minorEastAsia"/>
          <w:color w:val="auto"/>
          <w:kern w:val="2"/>
          <w:sz w:val="21"/>
          <w:szCs w:val="21"/>
          <w:highlight w:val="none"/>
          <w:lang w:val="en-US" w:eastAsia="zh-CN" w:bidi="ar-SA"/>
        </w:rPr>
        <w:t>(</w:t>
      </w:r>
      <w:r>
        <w:rPr>
          <w:rFonts w:hint="eastAsia" w:cs="Times New Roman" w:asciiTheme="minorEastAsia" w:hAnsiTheme="minorEastAsia" w:eastAsiaTheme="minorEastAsia"/>
          <w:color w:val="auto"/>
          <w:kern w:val="2"/>
          <w:sz w:val="21"/>
          <w:szCs w:val="21"/>
          <w:highlight w:val="none"/>
          <w:lang w:val="en-US" w:eastAsia="zh-CN" w:bidi="ar-SA"/>
        </w:rPr>
        <w:t>6</w:t>
      </w:r>
      <w:r>
        <w:rPr>
          <w:rFonts w:hint="default" w:cs="Times New Roman" w:asciiTheme="minorEastAsia" w:hAnsiTheme="minorEastAsia" w:eastAsiaTheme="minorEastAsia"/>
          <w:color w:val="auto"/>
          <w:kern w:val="2"/>
          <w:sz w:val="21"/>
          <w:szCs w:val="21"/>
          <w:highlight w:val="none"/>
          <w:lang w:val="en-US" w:eastAsia="zh-CN" w:bidi="ar-SA"/>
        </w:rPr>
        <w:t>)资源配备计划</w:t>
      </w:r>
    </w:p>
    <w:p w14:paraId="63B4E847">
      <w:pPr>
        <w:numPr>
          <w:ilvl w:val="0"/>
          <w:numId w:val="0"/>
        </w:numPr>
        <w:adjustRightInd w:val="0"/>
        <w:snapToGrid w:val="0"/>
        <w:spacing w:before="50" w:line="360" w:lineRule="auto"/>
        <w:ind w:left="425" w:leftChars="0" w:hanging="425" w:firstLineChars="0"/>
        <w:rPr>
          <w:rFonts w:hint="default" w:cs="Times New Roman" w:asciiTheme="minorEastAsia" w:hAnsiTheme="minorEastAsia" w:eastAsiaTheme="minorEastAsia"/>
          <w:color w:val="auto"/>
          <w:kern w:val="2"/>
          <w:sz w:val="21"/>
          <w:szCs w:val="21"/>
          <w:highlight w:val="none"/>
          <w:lang w:val="en-US" w:eastAsia="zh-CN" w:bidi="ar-SA"/>
        </w:rPr>
      </w:pPr>
    </w:p>
    <w:p w14:paraId="6283E0C8">
      <w:pPr>
        <w:adjustRightInd w:val="0"/>
        <w:snapToGrid w:val="0"/>
        <w:spacing w:line="360" w:lineRule="auto"/>
        <w:jc w:val="center"/>
        <w:outlineLvl w:val="1"/>
        <w:rPr>
          <w:b/>
          <w:bCs/>
          <w:color w:val="auto"/>
          <w:sz w:val="32"/>
          <w:szCs w:val="40"/>
          <w:highlight w:val="none"/>
        </w:rPr>
      </w:pPr>
      <w:r>
        <w:rPr>
          <w:rFonts w:hint="eastAsia" w:ascii="宋体" w:hAnsi="宋体"/>
          <w:b/>
          <w:color w:val="auto"/>
          <w:sz w:val="32"/>
          <w:szCs w:val="32"/>
          <w:highlight w:val="none"/>
        </w:rPr>
        <w:br w:type="page"/>
      </w:r>
      <w:bookmarkStart w:id="116" w:name="_Toc28615"/>
      <w:bookmarkStart w:id="117" w:name="_Toc7254"/>
      <w:r>
        <w:rPr>
          <w:rFonts w:hint="eastAsia"/>
          <w:b/>
          <w:bCs/>
          <w:color w:val="auto"/>
          <w:sz w:val="28"/>
          <w:szCs w:val="28"/>
          <w:highlight w:val="none"/>
          <w:lang w:val="en-US" w:eastAsia="zh-CN"/>
        </w:rPr>
        <w:t>四</w:t>
      </w:r>
      <w:r>
        <w:rPr>
          <w:rFonts w:hint="eastAsia"/>
          <w:b/>
          <w:bCs/>
          <w:color w:val="auto"/>
          <w:sz w:val="28"/>
          <w:szCs w:val="28"/>
          <w:highlight w:val="none"/>
        </w:rPr>
        <w:t>、技术/商务响应与偏离表</w:t>
      </w:r>
      <w:bookmarkEnd w:id="116"/>
      <w:bookmarkEnd w:id="117"/>
    </w:p>
    <w:tbl>
      <w:tblPr>
        <w:tblStyle w:val="4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603"/>
        <w:gridCol w:w="3450"/>
        <w:gridCol w:w="1296"/>
        <w:gridCol w:w="835"/>
      </w:tblGrid>
      <w:tr w14:paraId="35C0C0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34" w:type="dxa"/>
            <w:vAlign w:val="center"/>
          </w:tcPr>
          <w:p w14:paraId="50532067">
            <w:pPr>
              <w:adjustRightInd w:val="0"/>
              <w:snapToGrid w:val="0"/>
              <w:ind w:left="-88" w:leftChars="-42"/>
              <w:jc w:val="center"/>
              <w:rPr>
                <w:rFonts w:ascii="宋体" w:hAnsi="宋体"/>
                <w:bCs/>
                <w:color w:val="auto"/>
                <w:szCs w:val="21"/>
                <w:highlight w:val="none"/>
              </w:rPr>
            </w:pPr>
            <w:r>
              <w:rPr>
                <w:rFonts w:hint="eastAsia" w:ascii="宋体" w:hAnsi="宋体"/>
                <w:bCs/>
                <w:color w:val="auto"/>
                <w:szCs w:val="21"/>
                <w:highlight w:val="none"/>
              </w:rPr>
              <w:t>序号</w:t>
            </w:r>
          </w:p>
        </w:tc>
        <w:tc>
          <w:tcPr>
            <w:tcW w:w="1685" w:type="dxa"/>
            <w:vAlign w:val="center"/>
          </w:tcPr>
          <w:p w14:paraId="0E74D1E7">
            <w:pPr>
              <w:adjustRightInd w:val="0"/>
              <w:snapToGrid w:val="0"/>
              <w:ind w:left="-88" w:leftChars="-42"/>
              <w:jc w:val="center"/>
              <w:rPr>
                <w:rFonts w:ascii="宋体" w:hAnsi="宋体"/>
                <w:color w:val="auto"/>
                <w:szCs w:val="21"/>
                <w:highlight w:val="none"/>
              </w:rPr>
            </w:pPr>
            <w:r>
              <w:rPr>
                <w:rFonts w:hint="eastAsia" w:ascii="宋体" w:hAnsi="宋体"/>
                <w:color w:val="auto"/>
                <w:szCs w:val="21"/>
                <w:highlight w:val="none"/>
              </w:rPr>
              <w:t>磋商文件条目号</w:t>
            </w:r>
          </w:p>
        </w:tc>
        <w:tc>
          <w:tcPr>
            <w:tcW w:w="1603" w:type="dxa"/>
            <w:vAlign w:val="center"/>
          </w:tcPr>
          <w:p w14:paraId="7D255AF7">
            <w:pPr>
              <w:adjustRightInd w:val="0"/>
              <w:snapToGrid w:val="0"/>
              <w:jc w:val="center"/>
              <w:rPr>
                <w:rFonts w:ascii="宋体" w:hAnsi="宋体"/>
                <w:color w:val="auto"/>
                <w:szCs w:val="21"/>
                <w:highlight w:val="none"/>
              </w:rPr>
            </w:pPr>
            <w:r>
              <w:rPr>
                <w:rFonts w:hint="eastAsia" w:ascii="宋体" w:hAnsi="宋体"/>
                <w:color w:val="auto"/>
                <w:szCs w:val="21"/>
                <w:highlight w:val="none"/>
              </w:rPr>
              <w:t>采购规格/技术（商务）条款</w:t>
            </w:r>
          </w:p>
        </w:tc>
        <w:tc>
          <w:tcPr>
            <w:tcW w:w="3450" w:type="dxa"/>
            <w:vAlign w:val="center"/>
          </w:tcPr>
          <w:p w14:paraId="476CABB2">
            <w:pPr>
              <w:adjustRightInd w:val="0"/>
              <w:snapToGrid w:val="0"/>
              <w:jc w:val="center"/>
              <w:rPr>
                <w:rFonts w:ascii="宋体" w:hAnsi="宋体"/>
                <w:color w:val="auto"/>
                <w:szCs w:val="21"/>
                <w:highlight w:val="none"/>
              </w:rPr>
            </w:pPr>
            <w:r>
              <w:rPr>
                <w:rFonts w:hint="eastAsia" w:ascii="宋体" w:hAnsi="宋体"/>
                <w:color w:val="auto"/>
                <w:szCs w:val="21"/>
                <w:highlight w:val="none"/>
              </w:rPr>
              <w:t>响应文件的规格/技术（商务）条款</w:t>
            </w:r>
          </w:p>
        </w:tc>
        <w:tc>
          <w:tcPr>
            <w:tcW w:w="1296" w:type="dxa"/>
            <w:vAlign w:val="center"/>
          </w:tcPr>
          <w:p w14:paraId="7940A2EB">
            <w:pPr>
              <w:adjustRightInd w:val="0"/>
              <w:snapToGrid w:val="0"/>
              <w:ind w:left="-88" w:leftChars="-42"/>
              <w:jc w:val="center"/>
              <w:rPr>
                <w:rFonts w:ascii="宋体" w:hAnsi="宋体"/>
                <w:color w:val="auto"/>
                <w:szCs w:val="21"/>
                <w:highlight w:val="none"/>
              </w:rPr>
            </w:pPr>
            <w:r>
              <w:rPr>
                <w:rFonts w:hint="eastAsia" w:ascii="宋体" w:hAnsi="宋体"/>
                <w:color w:val="auto"/>
                <w:szCs w:val="21"/>
                <w:highlight w:val="none"/>
              </w:rPr>
              <w:t>响应与偏离</w:t>
            </w:r>
          </w:p>
        </w:tc>
        <w:tc>
          <w:tcPr>
            <w:tcW w:w="835" w:type="dxa"/>
            <w:vAlign w:val="center"/>
          </w:tcPr>
          <w:p w14:paraId="013540F9">
            <w:pPr>
              <w:adjustRightInd w:val="0"/>
              <w:snapToGrid w:val="0"/>
              <w:ind w:left="-88" w:leftChars="-42"/>
              <w:jc w:val="center"/>
              <w:rPr>
                <w:rFonts w:ascii="宋体" w:hAnsi="宋体"/>
                <w:color w:val="auto"/>
                <w:szCs w:val="21"/>
                <w:highlight w:val="none"/>
              </w:rPr>
            </w:pPr>
            <w:r>
              <w:rPr>
                <w:rFonts w:hint="eastAsia" w:ascii="宋体" w:hAnsi="宋体"/>
                <w:color w:val="auto"/>
                <w:szCs w:val="21"/>
                <w:highlight w:val="none"/>
              </w:rPr>
              <w:t>说明</w:t>
            </w:r>
          </w:p>
        </w:tc>
      </w:tr>
      <w:tr w14:paraId="2B9A88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Pr>
          <w:p w14:paraId="01C2CBDC">
            <w:pPr>
              <w:adjustRightInd w:val="0"/>
              <w:snapToGrid w:val="0"/>
              <w:ind w:left="-88" w:leftChars="-42"/>
              <w:jc w:val="center"/>
              <w:rPr>
                <w:rFonts w:ascii="宋体" w:hAnsi="宋体"/>
                <w:color w:val="auto"/>
                <w:szCs w:val="21"/>
                <w:highlight w:val="none"/>
              </w:rPr>
            </w:pPr>
          </w:p>
        </w:tc>
        <w:tc>
          <w:tcPr>
            <w:tcW w:w="1685" w:type="dxa"/>
            <w:vAlign w:val="center"/>
          </w:tcPr>
          <w:p w14:paraId="4AB0378E">
            <w:pPr>
              <w:adjustRightInd w:val="0"/>
              <w:snapToGrid w:val="0"/>
              <w:ind w:left="-88" w:leftChars="-42"/>
              <w:jc w:val="center"/>
              <w:rPr>
                <w:rFonts w:ascii="宋体" w:hAnsi="宋体"/>
                <w:color w:val="auto"/>
                <w:szCs w:val="21"/>
                <w:highlight w:val="none"/>
              </w:rPr>
            </w:pPr>
          </w:p>
        </w:tc>
        <w:tc>
          <w:tcPr>
            <w:tcW w:w="1603" w:type="dxa"/>
            <w:vAlign w:val="center"/>
          </w:tcPr>
          <w:p w14:paraId="0BCF76B2">
            <w:pPr>
              <w:adjustRightInd w:val="0"/>
              <w:snapToGrid w:val="0"/>
              <w:ind w:left="-88" w:leftChars="-42"/>
              <w:jc w:val="center"/>
              <w:rPr>
                <w:rFonts w:ascii="宋体" w:hAnsi="宋体"/>
                <w:color w:val="auto"/>
                <w:szCs w:val="21"/>
                <w:highlight w:val="none"/>
              </w:rPr>
            </w:pPr>
          </w:p>
        </w:tc>
        <w:tc>
          <w:tcPr>
            <w:tcW w:w="3450" w:type="dxa"/>
            <w:vAlign w:val="center"/>
          </w:tcPr>
          <w:p w14:paraId="5E9C56AB">
            <w:pPr>
              <w:adjustRightInd w:val="0"/>
              <w:snapToGrid w:val="0"/>
              <w:ind w:left="-88" w:leftChars="-42"/>
              <w:jc w:val="center"/>
              <w:rPr>
                <w:rFonts w:ascii="宋体" w:hAnsi="宋体"/>
                <w:color w:val="auto"/>
                <w:szCs w:val="21"/>
                <w:highlight w:val="none"/>
              </w:rPr>
            </w:pPr>
          </w:p>
        </w:tc>
        <w:tc>
          <w:tcPr>
            <w:tcW w:w="1296" w:type="dxa"/>
            <w:vAlign w:val="center"/>
          </w:tcPr>
          <w:p w14:paraId="3EC45F23">
            <w:pPr>
              <w:adjustRightInd w:val="0"/>
              <w:snapToGrid w:val="0"/>
              <w:ind w:left="-88" w:leftChars="-42"/>
              <w:jc w:val="center"/>
              <w:rPr>
                <w:rFonts w:ascii="宋体" w:hAnsi="宋体"/>
                <w:color w:val="auto"/>
                <w:szCs w:val="21"/>
                <w:highlight w:val="none"/>
              </w:rPr>
            </w:pPr>
          </w:p>
        </w:tc>
        <w:tc>
          <w:tcPr>
            <w:tcW w:w="835" w:type="dxa"/>
            <w:vAlign w:val="center"/>
          </w:tcPr>
          <w:p w14:paraId="49FEA8FF">
            <w:pPr>
              <w:adjustRightInd w:val="0"/>
              <w:snapToGrid w:val="0"/>
              <w:ind w:left="-88" w:leftChars="-42"/>
              <w:jc w:val="center"/>
              <w:rPr>
                <w:rFonts w:ascii="宋体" w:hAnsi="宋体"/>
                <w:color w:val="auto"/>
                <w:szCs w:val="21"/>
                <w:highlight w:val="none"/>
              </w:rPr>
            </w:pPr>
          </w:p>
        </w:tc>
      </w:tr>
      <w:tr w14:paraId="7D37FC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Pr>
          <w:p w14:paraId="72E61CAD">
            <w:pPr>
              <w:adjustRightInd w:val="0"/>
              <w:snapToGrid w:val="0"/>
              <w:ind w:left="-88" w:leftChars="-42"/>
              <w:jc w:val="center"/>
              <w:rPr>
                <w:rFonts w:ascii="宋体" w:hAnsi="宋体"/>
                <w:color w:val="auto"/>
                <w:szCs w:val="21"/>
                <w:highlight w:val="none"/>
              </w:rPr>
            </w:pPr>
          </w:p>
        </w:tc>
        <w:tc>
          <w:tcPr>
            <w:tcW w:w="1685" w:type="dxa"/>
            <w:vAlign w:val="center"/>
          </w:tcPr>
          <w:p w14:paraId="48FCF611">
            <w:pPr>
              <w:adjustRightInd w:val="0"/>
              <w:snapToGrid w:val="0"/>
              <w:ind w:left="-88" w:leftChars="-42"/>
              <w:jc w:val="center"/>
              <w:rPr>
                <w:rFonts w:ascii="宋体" w:hAnsi="宋体"/>
                <w:color w:val="auto"/>
                <w:szCs w:val="21"/>
                <w:highlight w:val="none"/>
              </w:rPr>
            </w:pPr>
          </w:p>
        </w:tc>
        <w:tc>
          <w:tcPr>
            <w:tcW w:w="1603" w:type="dxa"/>
            <w:vAlign w:val="center"/>
          </w:tcPr>
          <w:p w14:paraId="0F4458D7">
            <w:pPr>
              <w:adjustRightInd w:val="0"/>
              <w:snapToGrid w:val="0"/>
              <w:ind w:left="-88" w:leftChars="-42"/>
              <w:jc w:val="center"/>
              <w:rPr>
                <w:rFonts w:ascii="宋体" w:hAnsi="宋体"/>
                <w:color w:val="auto"/>
                <w:szCs w:val="21"/>
                <w:highlight w:val="none"/>
              </w:rPr>
            </w:pPr>
          </w:p>
        </w:tc>
        <w:tc>
          <w:tcPr>
            <w:tcW w:w="3450" w:type="dxa"/>
            <w:vAlign w:val="center"/>
          </w:tcPr>
          <w:p w14:paraId="44ABC98E">
            <w:pPr>
              <w:adjustRightInd w:val="0"/>
              <w:snapToGrid w:val="0"/>
              <w:ind w:left="-88" w:leftChars="-42"/>
              <w:jc w:val="center"/>
              <w:rPr>
                <w:rFonts w:ascii="宋体" w:hAnsi="宋体"/>
                <w:color w:val="auto"/>
                <w:szCs w:val="21"/>
                <w:highlight w:val="none"/>
              </w:rPr>
            </w:pPr>
          </w:p>
        </w:tc>
        <w:tc>
          <w:tcPr>
            <w:tcW w:w="1296" w:type="dxa"/>
            <w:vAlign w:val="center"/>
          </w:tcPr>
          <w:p w14:paraId="7ED19869">
            <w:pPr>
              <w:adjustRightInd w:val="0"/>
              <w:snapToGrid w:val="0"/>
              <w:ind w:left="-88" w:leftChars="-42"/>
              <w:jc w:val="center"/>
              <w:rPr>
                <w:rFonts w:ascii="宋体" w:hAnsi="宋体"/>
                <w:color w:val="auto"/>
                <w:szCs w:val="21"/>
                <w:highlight w:val="none"/>
              </w:rPr>
            </w:pPr>
          </w:p>
        </w:tc>
        <w:tc>
          <w:tcPr>
            <w:tcW w:w="835" w:type="dxa"/>
            <w:vAlign w:val="center"/>
          </w:tcPr>
          <w:p w14:paraId="2B50C1D8">
            <w:pPr>
              <w:adjustRightInd w:val="0"/>
              <w:snapToGrid w:val="0"/>
              <w:ind w:left="-88" w:leftChars="-42"/>
              <w:jc w:val="center"/>
              <w:rPr>
                <w:rFonts w:ascii="宋体" w:hAnsi="宋体"/>
                <w:color w:val="auto"/>
                <w:szCs w:val="21"/>
                <w:highlight w:val="none"/>
              </w:rPr>
            </w:pPr>
          </w:p>
        </w:tc>
      </w:tr>
      <w:tr w14:paraId="474BCF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Pr>
          <w:p w14:paraId="333CDB1E">
            <w:pPr>
              <w:adjustRightInd w:val="0"/>
              <w:snapToGrid w:val="0"/>
              <w:ind w:left="-88" w:leftChars="-42"/>
              <w:jc w:val="center"/>
              <w:rPr>
                <w:rFonts w:ascii="宋体" w:hAnsi="宋体"/>
                <w:color w:val="auto"/>
                <w:szCs w:val="21"/>
                <w:highlight w:val="none"/>
              </w:rPr>
            </w:pPr>
          </w:p>
        </w:tc>
        <w:tc>
          <w:tcPr>
            <w:tcW w:w="1685" w:type="dxa"/>
            <w:vAlign w:val="center"/>
          </w:tcPr>
          <w:p w14:paraId="418DB541">
            <w:pPr>
              <w:adjustRightInd w:val="0"/>
              <w:snapToGrid w:val="0"/>
              <w:ind w:left="-88" w:leftChars="-42"/>
              <w:jc w:val="center"/>
              <w:rPr>
                <w:rFonts w:ascii="宋体" w:hAnsi="宋体"/>
                <w:color w:val="auto"/>
                <w:szCs w:val="21"/>
                <w:highlight w:val="none"/>
              </w:rPr>
            </w:pPr>
          </w:p>
        </w:tc>
        <w:tc>
          <w:tcPr>
            <w:tcW w:w="1603" w:type="dxa"/>
            <w:vAlign w:val="center"/>
          </w:tcPr>
          <w:p w14:paraId="1DA490E9">
            <w:pPr>
              <w:adjustRightInd w:val="0"/>
              <w:snapToGrid w:val="0"/>
              <w:ind w:left="-88" w:leftChars="-42"/>
              <w:jc w:val="center"/>
              <w:rPr>
                <w:rFonts w:ascii="宋体" w:hAnsi="宋体"/>
                <w:color w:val="auto"/>
                <w:szCs w:val="21"/>
                <w:highlight w:val="none"/>
              </w:rPr>
            </w:pPr>
          </w:p>
        </w:tc>
        <w:tc>
          <w:tcPr>
            <w:tcW w:w="3450" w:type="dxa"/>
            <w:vAlign w:val="center"/>
          </w:tcPr>
          <w:p w14:paraId="446C88AC">
            <w:pPr>
              <w:adjustRightInd w:val="0"/>
              <w:snapToGrid w:val="0"/>
              <w:ind w:left="-88" w:leftChars="-42"/>
              <w:jc w:val="center"/>
              <w:rPr>
                <w:rFonts w:ascii="宋体" w:hAnsi="宋体"/>
                <w:color w:val="auto"/>
                <w:szCs w:val="21"/>
                <w:highlight w:val="none"/>
              </w:rPr>
            </w:pPr>
          </w:p>
        </w:tc>
        <w:tc>
          <w:tcPr>
            <w:tcW w:w="1296" w:type="dxa"/>
            <w:vAlign w:val="center"/>
          </w:tcPr>
          <w:p w14:paraId="7F8E9E2A">
            <w:pPr>
              <w:adjustRightInd w:val="0"/>
              <w:snapToGrid w:val="0"/>
              <w:ind w:left="-88" w:leftChars="-42"/>
              <w:jc w:val="center"/>
              <w:rPr>
                <w:rFonts w:ascii="宋体" w:hAnsi="宋体"/>
                <w:color w:val="auto"/>
                <w:szCs w:val="21"/>
                <w:highlight w:val="none"/>
              </w:rPr>
            </w:pPr>
          </w:p>
        </w:tc>
        <w:tc>
          <w:tcPr>
            <w:tcW w:w="835" w:type="dxa"/>
            <w:vAlign w:val="center"/>
          </w:tcPr>
          <w:p w14:paraId="582988D9">
            <w:pPr>
              <w:adjustRightInd w:val="0"/>
              <w:snapToGrid w:val="0"/>
              <w:ind w:left="-88" w:leftChars="-42"/>
              <w:jc w:val="center"/>
              <w:rPr>
                <w:rFonts w:ascii="宋体" w:hAnsi="宋体"/>
                <w:color w:val="auto"/>
                <w:szCs w:val="21"/>
                <w:highlight w:val="none"/>
              </w:rPr>
            </w:pPr>
          </w:p>
        </w:tc>
      </w:tr>
      <w:tr w14:paraId="331F3F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Pr>
          <w:p w14:paraId="6C51CD9C">
            <w:pPr>
              <w:adjustRightInd w:val="0"/>
              <w:snapToGrid w:val="0"/>
              <w:ind w:left="-88" w:leftChars="-42"/>
              <w:jc w:val="center"/>
              <w:rPr>
                <w:rFonts w:ascii="宋体" w:hAnsi="宋体"/>
                <w:color w:val="auto"/>
                <w:szCs w:val="21"/>
                <w:highlight w:val="none"/>
              </w:rPr>
            </w:pPr>
          </w:p>
        </w:tc>
        <w:tc>
          <w:tcPr>
            <w:tcW w:w="1685" w:type="dxa"/>
            <w:vAlign w:val="center"/>
          </w:tcPr>
          <w:p w14:paraId="72B274CB">
            <w:pPr>
              <w:adjustRightInd w:val="0"/>
              <w:snapToGrid w:val="0"/>
              <w:ind w:left="-88" w:leftChars="-42"/>
              <w:jc w:val="center"/>
              <w:rPr>
                <w:rFonts w:ascii="宋体" w:hAnsi="宋体"/>
                <w:color w:val="auto"/>
                <w:szCs w:val="21"/>
                <w:highlight w:val="none"/>
              </w:rPr>
            </w:pPr>
          </w:p>
        </w:tc>
        <w:tc>
          <w:tcPr>
            <w:tcW w:w="1603" w:type="dxa"/>
            <w:vAlign w:val="center"/>
          </w:tcPr>
          <w:p w14:paraId="6276709A">
            <w:pPr>
              <w:adjustRightInd w:val="0"/>
              <w:snapToGrid w:val="0"/>
              <w:ind w:left="-88" w:leftChars="-42"/>
              <w:jc w:val="center"/>
              <w:rPr>
                <w:rFonts w:ascii="宋体" w:hAnsi="宋体"/>
                <w:color w:val="auto"/>
                <w:szCs w:val="21"/>
                <w:highlight w:val="none"/>
              </w:rPr>
            </w:pPr>
          </w:p>
        </w:tc>
        <w:tc>
          <w:tcPr>
            <w:tcW w:w="3450" w:type="dxa"/>
            <w:vAlign w:val="center"/>
          </w:tcPr>
          <w:p w14:paraId="4BCCF328">
            <w:pPr>
              <w:adjustRightInd w:val="0"/>
              <w:snapToGrid w:val="0"/>
              <w:ind w:left="-88" w:leftChars="-42"/>
              <w:jc w:val="center"/>
              <w:rPr>
                <w:rFonts w:ascii="宋体" w:hAnsi="宋体"/>
                <w:color w:val="auto"/>
                <w:szCs w:val="21"/>
                <w:highlight w:val="none"/>
              </w:rPr>
            </w:pPr>
          </w:p>
        </w:tc>
        <w:tc>
          <w:tcPr>
            <w:tcW w:w="1296" w:type="dxa"/>
            <w:vAlign w:val="center"/>
          </w:tcPr>
          <w:p w14:paraId="0FA6CB6A">
            <w:pPr>
              <w:adjustRightInd w:val="0"/>
              <w:snapToGrid w:val="0"/>
              <w:ind w:left="-88" w:leftChars="-42"/>
              <w:jc w:val="center"/>
              <w:rPr>
                <w:rFonts w:ascii="宋体" w:hAnsi="宋体"/>
                <w:color w:val="auto"/>
                <w:szCs w:val="21"/>
                <w:highlight w:val="none"/>
              </w:rPr>
            </w:pPr>
          </w:p>
        </w:tc>
        <w:tc>
          <w:tcPr>
            <w:tcW w:w="835" w:type="dxa"/>
            <w:vAlign w:val="center"/>
          </w:tcPr>
          <w:p w14:paraId="4484C78A">
            <w:pPr>
              <w:adjustRightInd w:val="0"/>
              <w:snapToGrid w:val="0"/>
              <w:ind w:left="-88" w:leftChars="-42"/>
              <w:jc w:val="center"/>
              <w:rPr>
                <w:rFonts w:ascii="宋体" w:hAnsi="宋体"/>
                <w:color w:val="auto"/>
                <w:szCs w:val="21"/>
                <w:highlight w:val="none"/>
              </w:rPr>
            </w:pPr>
          </w:p>
        </w:tc>
      </w:tr>
      <w:tr w14:paraId="0E829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Pr>
          <w:p w14:paraId="405C6B8E">
            <w:pPr>
              <w:adjustRightInd w:val="0"/>
              <w:snapToGrid w:val="0"/>
              <w:ind w:left="-88" w:leftChars="-42"/>
              <w:jc w:val="center"/>
              <w:rPr>
                <w:rFonts w:ascii="宋体" w:hAnsi="宋体"/>
                <w:color w:val="auto"/>
                <w:szCs w:val="21"/>
                <w:highlight w:val="none"/>
              </w:rPr>
            </w:pPr>
          </w:p>
        </w:tc>
        <w:tc>
          <w:tcPr>
            <w:tcW w:w="1685" w:type="dxa"/>
            <w:vAlign w:val="center"/>
          </w:tcPr>
          <w:p w14:paraId="593AD977">
            <w:pPr>
              <w:adjustRightInd w:val="0"/>
              <w:snapToGrid w:val="0"/>
              <w:ind w:left="-88" w:leftChars="-42"/>
              <w:jc w:val="center"/>
              <w:rPr>
                <w:rFonts w:ascii="宋体" w:hAnsi="宋体"/>
                <w:color w:val="auto"/>
                <w:szCs w:val="21"/>
                <w:highlight w:val="none"/>
              </w:rPr>
            </w:pPr>
          </w:p>
        </w:tc>
        <w:tc>
          <w:tcPr>
            <w:tcW w:w="1603" w:type="dxa"/>
            <w:vAlign w:val="center"/>
          </w:tcPr>
          <w:p w14:paraId="4678B113">
            <w:pPr>
              <w:adjustRightInd w:val="0"/>
              <w:snapToGrid w:val="0"/>
              <w:ind w:left="-88" w:leftChars="-42"/>
              <w:jc w:val="center"/>
              <w:rPr>
                <w:rFonts w:ascii="宋体" w:hAnsi="宋体"/>
                <w:color w:val="auto"/>
                <w:szCs w:val="21"/>
                <w:highlight w:val="none"/>
              </w:rPr>
            </w:pPr>
          </w:p>
        </w:tc>
        <w:tc>
          <w:tcPr>
            <w:tcW w:w="3450" w:type="dxa"/>
            <w:vAlign w:val="center"/>
          </w:tcPr>
          <w:p w14:paraId="601946FA">
            <w:pPr>
              <w:adjustRightInd w:val="0"/>
              <w:snapToGrid w:val="0"/>
              <w:ind w:left="-88" w:leftChars="-42"/>
              <w:jc w:val="center"/>
              <w:rPr>
                <w:rFonts w:ascii="宋体" w:hAnsi="宋体"/>
                <w:color w:val="auto"/>
                <w:szCs w:val="21"/>
                <w:highlight w:val="none"/>
              </w:rPr>
            </w:pPr>
          </w:p>
        </w:tc>
        <w:tc>
          <w:tcPr>
            <w:tcW w:w="1296" w:type="dxa"/>
            <w:vAlign w:val="center"/>
          </w:tcPr>
          <w:p w14:paraId="241FFFE1">
            <w:pPr>
              <w:adjustRightInd w:val="0"/>
              <w:snapToGrid w:val="0"/>
              <w:ind w:left="-88" w:leftChars="-42"/>
              <w:jc w:val="center"/>
              <w:rPr>
                <w:rFonts w:ascii="宋体" w:hAnsi="宋体"/>
                <w:color w:val="auto"/>
                <w:szCs w:val="21"/>
                <w:highlight w:val="none"/>
              </w:rPr>
            </w:pPr>
          </w:p>
        </w:tc>
        <w:tc>
          <w:tcPr>
            <w:tcW w:w="835" w:type="dxa"/>
            <w:vAlign w:val="center"/>
          </w:tcPr>
          <w:p w14:paraId="243E8235">
            <w:pPr>
              <w:adjustRightInd w:val="0"/>
              <w:snapToGrid w:val="0"/>
              <w:ind w:left="-88" w:leftChars="-42"/>
              <w:jc w:val="center"/>
              <w:rPr>
                <w:rFonts w:ascii="宋体" w:hAnsi="宋体"/>
                <w:color w:val="auto"/>
                <w:szCs w:val="21"/>
                <w:highlight w:val="none"/>
              </w:rPr>
            </w:pPr>
          </w:p>
        </w:tc>
      </w:tr>
    </w:tbl>
    <w:p w14:paraId="45B3B28E">
      <w:pPr>
        <w:adjustRightInd w:val="0"/>
        <w:snapToGrid w:val="0"/>
        <w:spacing w:line="360" w:lineRule="auto"/>
        <w:ind w:left="-88" w:leftChars="-42"/>
        <w:rPr>
          <w:rFonts w:ascii="宋体" w:hAnsi="宋体"/>
          <w:color w:val="auto"/>
          <w:szCs w:val="21"/>
          <w:highlight w:val="none"/>
        </w:rPr>
      </w:pPr>
      <w:r>
        <w:rPr>
          <w:rFonts w:hint="eastAsia" w:ascii="宋体" w:hAnsi="宋体"/>
          <w:color w:val="auto"/>
          <w:szCs w:val="21"/>
          <w:highlight w:val="none"/>
        </w:rPr>
        <w:t>说明：1、“响应与偏离”应注明“响应”或“偏离”。</w:t>
      </w:r>
    </w:p>
    <w:p w14:paraId="279E8CDA">
      <w:pPr>
        <w:adjustRightInd w:val="0"/>
        <w:snapToGrid w:val="0"/>
        <w:spacing w:line="360" w:lineRule="auto"/>
        <w:rPr>
          <w:rFonts w:ascii="宋体" w:hAnsi="宋体"/>
          <w:color w:val="auto"/>
          <w:szCs w:val="21"/>
          <w:highlight w:val="none"/>
        </w:rPr>
      </w:pPr>
      <w:r>
        <w:rPr>
          <w:rFonts w:hint="eastAsia" w:ascii="宋体" w:hAnsi="宋体"/>
          <w:b/>
          <w:color w:val="auto"/>
          <w:szCs w:val="21"/>
          <w:highlight w:val="none"/>
        </w:rPr>
        <w:t xml:space="preserve">     </w:t>
      </w:r>
      <w:r>
        <w:rPr>
          <w:rFonts w:hint="eastAsia" w:ascii="宋体" w:hAnsi="宋体"/>
          <w:color w:val="auto"/>
          <w:szCs w:val="21"/>
          <w:highlight w:val="none"/>
        </w:rPr>
        <w:t>2、属磋商文件规定可能变动的内容在“说明”栏中注明。</w:t>
      </w:r>
    </w:p>
    <w:p w14:paraId="274165B5">
      <w:pPr>
        <w:pStyle w:val="25"/>
        <w:rPr>
          <w:color w:val="auto"/>
          <w:highlight w:val="none"/>
        </w:rPr>
      </w:pPr>
    </w:p>
    <w:p w14:paraId="0BF9D66A">
      <w:pPr>
        <w:spacing w:line="360" w:lineRule="auto"/>
        <w:rPr>
          <w:color w:val="auto"/>
          <w:highlight w:val="none"/>
          <w:u w:val="single"/>
        </w:rPr>
      </w:pPr>
      <w:r>
        <w:rPr>
          <w:rFonts w:hint="eastAsia"/>
          <w:color w:val="auto"/>
          <w:highlight w:val="none"/>
        </w:rPr>
        <w:t>供应商名称：</w:t>
      </w:r>
      <w:r>
        <w:rPr>
          <w:rFonts w:ascii="宋体" w:hAnsi="宋体"/>
          <w:color w:val="auto"/>
          <w:szCs w:val="21"/>
          <w:highlight w:val="none"/>
        </w:rPr>
        <w:t xml:space="preserve"> </w:t>
      </w:r>
      <w:r>
        <w:rPr>
          <w:rFonts w:hint="eastAsia" w:ascii="宋体" w:hAnsi="宋体" w:cs="宋体"/>
          <w:color w:val="auto"/>
          <w:szCs w:val="21"/>
          <w:highlight w:val="none"/>
          <w:u w:val="single"/>
        </w:rPr>
        <w:t xml:space="preserve">                      。</w:t>
      </w:r>
      <w:r>
        <w:rPr>
          <w:rFonts w:hint="eastAsia"/>
          <w:color w:val="auto"/>
          <w:highlight w:val="none"/>
          <w:u w:val="single"/>
        </w:rPr>
        <w:t xml:space="preserve">                   </w:t>
      </w:r>
    </w:p>
    <w:p w14:paraId="211E6F52">
      <w:pPr>
        <w:spacing w:line="360" w:lineRule="auto"/>
        <w:rPr>
          <w:color w:val="auto"/>
          <w:highlight w:val="none"/>
          <w:u w:val="single"/>
        </w:rPr>
      </w:pPr>
      <w:r>
        <w:rPr>
          <w:rFonts w:hint="eastAsia" w:ascii="新宋体" w:hAnsi="新宋体" w:eastAsia="新宋体" w:cs="新宋体"/>
          <w:color w:val="auto"/>
          <w:kern w:val="0"/>
          <w:szCs w:val="21"/>
          <w:highlight w:val="none"/>
        </w:rPr>
        <w:t>法定代表人</w:t>
      </w:r>
      <w:r>
        <w:rPr>
          <w:rFonts w:hint="eastAsia"/>
          <w:color w:val="auto"/>
          <w:highlight w:val="none"/>
        </w:rPr>
        <w:t>或其委托代理人(签字)：</w:t>
      </w:r>
      <w:r>
        <w:rPr>
          <w:rFonts w:ascii="宋体" w:hAnsi="宋体"/>
          <w:color w:val="auto"/>
          <w:szCs w:val="21"/>
          <w:highlight w:val="none"/>
        </w:rPr>
        <w:t xml:space="preserve"> </w:t>
      </w:r>
      <w:r>
        <w:rPr>
          <w:rFonts w:hint="eastAsia" w:ascii="宋体" w:hAnsi="宋体" w:cs="宋体"/>
          <w:color w:val="auto"/>
          <w:szCs w:val="21"/>
          <w:highlight w:val="none"/>
          <w:u w:val="single"/>
        </w:rPr>
        <w:t xml:space="preserve">                      。</w:t>
      </w:r>
      <w:r>
        <w:rPr>
          <w:rFonts w:hint="eastAsia"/>
          <w:color w:val="auto"/>
          <w:highlight w:val="none"/>
          <w:u w:val="single"/>
        </w:rPr>
        <w:t xml:space="preserve">                   </w:t>
      </w:r>
    </w:p>
    <w:p w14:paraId="58AB409D">
      <w:pPr>
        <w:spacing w:line="360" w:lineRule="auto"/>
        <w:rPr>
          <w:color w:val="auto"/>
          <w:highlight w:val="none"/>
        </w:rPr>
      </w:pPr>
      <w:r>
        <w:rPr>
          <w:rFonts w:hint="eastAsia"/>
          <w:color w:val="auto"/>
          <w:highlight w:val="none"/>
        </w:rPr>
        <w:t>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457B778">
      <w:pPr>
        <w:adjustRightInd w:val="0"/>
        <w:snapToGrid w:val="0"/>
        <w:rPr>
          <w:rFonts w:ascii="宋体" w:hAnsi="宋体"/>
          <w:bCs/>
          <w:color w:val="auto"/>
          <w:sz w:val="28"/>
          <w:szCs w:val="28"/>
          <w:highlight w:val="none"/>
        </w:rPr>
      </w:pPr>
    </w:p>
    <w:p w14:paraId="0BF3C24D">
      <w:pPr>
        <w:tabs>
          <w:tab w:val="left" w:pos="3600"/>
        </w:tabs>
        <w:adjustRightInd w:val="0"/>
        <w:snapToGrid w:val="0"/>
        <w:jc w:val="center"/>
        <w:outlineLvl w:val="1"/>
        <w:rPr>
          <w:rFonts w:ascii="宋体" w:hAnsi="宋体"/>
          <w:b/>
          <w:color w:val="auto"/>
          <w:sz w:val="28"/>
          <w:szCs w:val="28"/>
          <w:highlight w:val="none"/>
        </w:rPr>
      </w:pPr>
      <w:r>
        <w:rPr>
          <w:rFonts w:hint="eastAsia" w:ascii="宋体" w:hAnsi="宋体"/>
          <w:b/>
          <w:color w:val="auto"/>
          <w:sz w:val="30"/>
          <w:szCs w:val="30"/>
          <w:highlight w:val="none"/>
        </w:rPr>
        <w:br w:type="page"/>
      </w:r>
      <w:bookmarkStart w:id="118" w:name="_Toc27594"/>
      <w:r>
        <w:rPr>
          <w:rFonts w:hint="eastAsia" w:ascii="宋体" w:hAnsi="宋体"/>
          <w:b/>
          <w:color w:val="auto"/>
          <w:sz w:val="28"/>
          <w:szCs w:val="28"/>
          <w:highlight w:val="none"/>
          <w:lang w:val="en-US" w:eastAsia="zh-CN"/>
        </w:rPr>
        <w:t>五</w:t>
      </w:r>
      <w:r>
        <w:rPr>
          <w:rFonts w:hint="eastAsia" w:ascii="宋体" w:hAnsi="宋体"/>
          <w:b/>
          <w:color w:val="auto"/>
          <w:sz w:val="28"/>
          <w:szCs w:val="28"/>
          <w:highlight w:val="none"/>
        </w:rPr>
        <w:t>、提供享受招标采购政策的证明材料和清单表</w:t>
      </w:r>
      <w:bookmarkEnd w:id="118"/>
    </w:p>
    <w:p w14:paraId="7E27388B">
      <w:pPr>
        <w:tabs>
          <w:tab w:val="left" w:pos="3600"/>
        </w:tabs>
        <w:adjustRightInd w:val="0"/>
        <w:snapToGrid w:val="0"/>
        <w:jc w:val="center"/>
        <w:rPr>
          <w:rFonts w:ascii="宋体" w:hAnsi="宋体" w:cs="宋体"/>
          <w:b/>
          <w:color w:val="auto"/>
          <w:sz w:val="32"/>
          <w:szCs w:val="32"/>
          <w:highlight w:val="none"/>
        </w:rPr>
      </w:pPr>
    </w:p>
    <w:p w14:paraId="5B333E3E">
      <w:pPr>
        <w:widowControl/>
        <w:adjustRightInd w:val="0"/>
        <w:snapToGrid w:val="0"/>
        <w:spacing w:line="360" w:lineRule="auto"/>
        <w:rPr>
          <w:rFonts w:ascii="宋体" w:hAnsi="宋体" w:cs="宋体"/>
          <w:b/>
          <w:bCs/>
          <w:color w:val="auto"/>
          <w:spacing w:val="6"/>
          <w:kern w:val="0"/>
          <w:szCs w:val="21"/>
          <w:highlight w:val="none"/>
        </w:rPr>
      </w:pPr>
      <w:r>
        <w:rPr>
          <w:rFonts w:hint="eastAsia" w:ascii="宋体" w:hAnsi="宋体" w:cs="宋体"/>
          <w:b/>
          <w:bCs/>
          <w:color w:val="auto"/>
          <w:spacing w:val="6"/>
          <w:kern w:val="0"/>
          <w:szCs w:val="21"/>
          <w:highlight w:val="none"/>
        </w:rPr>
        <w:t xml:space="preserve">附件9  </w:t>
      </w:r>
    </w:p>
    <w:p w14:paraId="01058AF7">
      <w:pPr>
        <w:widowControl/>
        <w:jc w:val="center"/>
        <w:textAlignment w:val="baseline"/>
        <w:rPr>
          <w:rStyle w:val="103"/>
          <w:rFonts w:ascii="宋体" w:hAnsi="宋体"/>
          <w:b/>
          <w:color w:val="auto"/>
          <w:kern w:val="0"/>
          <w:sz w:val="28"/>
          <w:szCs w:val="28"/>
          <w:highlight w:val="none"/>
        </w:rPr>
      </w:pPr>
    </w:p>
    <w:p w14:paraId="6C55E1EA">
      <w:pPr>
        <w:widowControl/>
        <w:jc w:val="center"/>
        <w:textAlignment w:val="baseline"/>
        <w:rPr>
          <w:rStyle w:val="103"/>
          <w:rFonts w:ascii="宋体" w:hAnsi="宋体"/>
          <w:b/>
          <w:color w:val="auto"/>
          <w:kern w:val="0"/>
          <w:sz w:val="28"/>
          <w:szCs w:val="28"/>
          <w:highlight w:val="none"/>
        </w:rPr>
      </w:pPr>
      <w:r>
        <w:rPr>
          <w:rStyle w:val="103"/>
          <w:rFonts w:hint="eastAsia" w:ascii="宋体" w:hAnsi="宋体"/>
          <w:b/>
          <w:color w:val="auto"/>
          <w:kern w:val="0"/>
          <w:sz w:val="28"/>
          <w:szCs w:val="28"/>
          <w:highlight w:val="none"/>
        </w:rPr>
        <w:t>中小企业</w:t>
      </w:r>
      <w:r>
        <w:rPr>
          <w:rStyle w:val="103"/>
          <w:rFonts w:ascii="宋体" w:hAnsi="宋体"/>
          <w:b/>
          <w:color w:val="auto"/>
          <w:kern w:val="0"/>
          <w:sz w:val="28"/>
          <w:szCs w:val="28"/>
          <w:highlight w:val="none"/>
        </w:rPr>
        <w:t>声明函</w:t>
      </w:r>
    </w:p>
    <w:p w14:paraId="385484E5">
      <w:pPr>
        <w:widowControl/>
        <w:adjustRightInd w:val="0"/>
        <w:snapToGrid w:val="0"/>
        <w:spacing w:line="360" w:lineRule="auto"/>
        <w:jc w:val="center"/>
        <w:rPr>
          <w:rFonts w:ascii="宋体" w:cs="宋体"/>
          <w:b/>
          <w:color w:val="auto"/>
          <w:spacing w:val="6"/>
          <w:kern w:val="0"/>
          <w:szCs w:val="21"/>
          <w:highlight w:val="none"/>
        </w:rPr>
      </w:pPr>
    </w:p>
    <w:p w14:paraId="160A86AD">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p>
    <w:p w14:paraId="0B077015">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 xml:space="preserve"> 本公司（联合体）郑重声明，根据《政府采购促进中小企业发展管理办法》（财库【2020】46号）的规定，本公司（联合体）参加（单位名称）的（项目名称）采购活动，工程的施工单位全部为符合政策要求的中小企业。相关企业（含联合体中的中小企业、签订分包意向协议的中小企业）的具体情况如下：</w:t>
      </w:r>
    </w:p>
    <w:p w14:paraId="638DC7F6">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u w:val="single"/>
        </w:rPr>
        <w:t>1.（标的名称）</w:t>
      </w:r>
      <w:r>
        <w:rPr>
          <w:rFonts w:hint="eastAsia" w:asciiTheme="minorEastAsia" w:hAnsiTheme="minorEastAsia" w:eastAsiaTheme="minorEastAsia" w:cstheme="minorEastAsia"/>
          <w:bCs/>
          <w:color w:val="auto"/>
          <w:szCs w:val="21"/>
          <w:highlight w:val="none"/>
        </w:rPr>
        <w:t>，属于</w:t>
      </w:r>
      <w:r>
        <w:rPr>
          <w:rFonts w:hint="eastAsia" w:asciiTheme="minorEastAsia" w:hAnsiTheme="minorEastAsia" w:eastAsiaTheme="minorEastAsia" w:cstheme="minorEastAsia"/>
          <w:bCs/>
          <w:color w:val="auto"/>
          <w:szCs w:val="21"/>
          <w:highlight w:val="none"/>
          <w:u w:val="single"/>
        </w:rPr>
        <w:t>（采购文件中明确的所属行业）</w:t>
      </w:r>
      <w:r>
        <w:rPr>
          <w:rFonts w:hint="eastAsia" w:asciiTheme="minorEastAsia" w:hAnsiTheme="minorEastAsia" w:eastAsiaTheme="minorEastAsia" w:cstheme="minorEastAsia"/>
          <w:bCs/>
          <w:color w:val="auto"/>
          <w:szCs w:val="21"/>
          <w:highlight w:val="none"/>
        </w:rPr>
        <w:t>；承建（承接）企业为</w:t>
      </w:r>
      <w:r>
        <w:rPr>
          <w:rFonts w:hint="eastAsia" w:asciiTheme="minorEastAsia" w:hAnsiTheme="minorEastAsia" w:eastAsiaTheme="minorEastAsia" w:cstheme="minorEastAsia"/>
          <w:bCs/>
          <w:color w:val="auto"/>
          <w:szCs w:val="21"/>
          <w:highlight w:val="none"/>
          <w:u w:val="single"/>
        </w:rPr>
        <w:t>（企业名称）</w:t>
      </w:r>
      <w:r>
        <w:rPr>
          <w:rFonts w:hint="eastAsia" w:asciiTheme="minorEastAsia" w:hAnsiTheme="minorEastAsia" w:eastAsiaTheme="minorEastAsia" w:cstheme="minorEastAsia"/>
          <w:bCs/>
          <w:color w:val="auto"/>
          <w:szCs w:val="21"/>
          <w:highlight w:val="none"/>
        </w:rPr>
        <w:t>，从业人员</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人，营业收入为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万元，资产总额为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万元，属于</w:t>
      </w:r>
      <w:r>
        <w:rPr>
          <w:rFonts w:hint="eastAsia" w:asciiTheme="minorEastAsia" w:hAnsiTheme="minorEastAsia" w:eastAsiaTheme="minorEastAsia" w:cstheme="minorEastAsia"/>
          <w:bCs/>
          <w:color w:val="auto"/>
          <w:szCs w:val="21"/>
          <w:highlight w:val="none"/>
          <w:u w:val="single"/>
        </w:rPr>
        <w:t>（中型企业、小型企业、微型企业）</w:t>
      </w:r>
      <w:r>
        <w:rPr>
          <w:rFonts w:hint="eastAsia" w:asciiTheme="minorEastAsia" w:hAnsiTheme="minorEastAsia" w:eastAsiaTheme="minorEastAsia" w:cstheme="minorEastAsia"/>
          <w:bCs/>
          <w:color w:val="auto"/>
          <w:szCs w:val="21"/>
          <w:highlight w:val="none"/>
        </w:rPr>
        <w:t>；</w:t>
      </w:r>
    </w:p>
    <w:p w14:paraId="73D38F48">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u w:val="single"/>
        </w:rPr>
        <w:t>2.（标的名称）</w:t>
      </w:r>
      <w:r>
        <w:rPr>
          <w:rFonts w:hint="eastAsia" w:asciiTheme="minorEastAsia" w:hAnsiTheme="minorEastAsia" w:eastAsiaTheme="minorEastAsia" w:cstheme="minorEastAsia"/>
          <w:bCs/>
          <w:color w:val="auto"/>
          <w:szCs w:val="21"/>
          <w:highlight w:val="none"/>
        </w:rPr>
        <w:t>，属于</w:t>
      </w:r>
      <w:r>
        <w:rPr>
          <w:rFonts w:hint="eastAsia" w:asciiTheme="minorEastAsia" w:hAnsiTheme="minorEastAsia" w:eastAsiaTheme="minorEastAsia" w:cstheme="minorEastAsia"/>
          <w:bCs/>
          <w:color w:val="auto"/>
          <w:szCs w:val="21"/>
          <w:highlight w:val="none"/>
          <w:u w:val="single"/>
        </w:rPr>
        <w:t>（采购文件中明确的所属行业）</w:t>
      </w:r>
      <w:r>
        <w:rPr>
          <w:rFonts w:hint="eastAsia" w:asciiTheme="minorEastAsia" w:hAnsiTheme="minorEastAsia" w:eastAsiaTheme="minorEastAsia" w:cstheme="minorEastAsia"/>
          <w:bCs/>
          <w:color w:val="auto"/>
          <w:szCs w:val="21"/>
          <w:highlight w:val="none"/>
        </w:rPr>
        <w:t>；承建（承接）企业为</w:t>
      </w:r>
      <w:r>
        <w:rPr>
          <w:rFonts w:hint="eastAsia" w:asciiTheme="minorEastAsia" w:hAnsiTheme="minorEastAsia" w:eastAsiaTheme="minorEastAsia" w:cstheme="minorEastAsia"/>
          <w:bCs/>
          <w:color w:val="auto"/>
          <w:szCs w:val="21"/>
          <w:highlight w:val="none"/>
          <w:u w:val="single"/>
        </w:rPr>
        <w:t>（企业名称）</w:t>
      </w:r>
      <w:r>
        <w:rPr>
          <w:rFonts w:hint="eastAsia" w:asciiTheme="minorEastAsia" w:hAnsiTheme="minorEastAsia" w:eastAsiaTheme="minorEastAsia" w:cstheme="minorEastAsia"/>
          <w:bCs/>
          <w:color w:val="auto"/>
          <w:szCs w:val="21"/>
          <w:highlight w:val="none"/>
        </w:rPr>
        <w:t>，从业人员</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人，营业收入为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万元，资产总额为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万元，属于</w:t>
      </w:r>
      <w:r>
        <w:rPr>
          <w:rFonts w:hint="eastAsia" w:asciiTheme="minorEastAsia" w:hAnsiTheme="minorEastAsia" w:eastAsiaTheme="minorEastAsia" w:cstheme="minorEastAsia"/>
          <w:bCs/>
          <w:color w:val="auto"/>
          <w:szCs w:val="21"/>
          <w:highlight w:val="none"/>
          <w:u w:val="single"/>
        </w:rPr>
        <w:t>（中型企业、小型企业、微型企业）</w:t>
      </w:r>
      <w:r>
        <w:rPr>
          <w:rFonts w:hint="eastAsia" w:asciiTheme="minorEastAsia" w:hAnsiTheme="minorEastAsia" w:eastAsiaTheme="minorEastAsia" w:cstheme="minorEastAsia"/>
          <w:bCs/>
          <w:color w:val="auto"/>
          <w:szCs w:val="21"/>
          <w:highlight w:val="none"/>
        </w:rPr>
        <w:t>；</w:t>
      </w:r>
    </w:p>
    <w:p w14:paraId="2F56F94C">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p>
    <w:p w14:paraId="3F400348">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以上企业，不属于大企业的分支机构，不存在控股股东为大企业的情形，也不存在与大企业的负责人为同一人的情形。</w:t>
      </w:r>
    </w:p>
    <w:p w14:paraId="0865D1F6">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 xml:space="preserve">本企业对上述声明内容的真实性负责。如有虚假，将依法承担相应责任。                                                           </w:t>
      </w:r>
    </w:p>
    <w:p w14:paraId="47F345D2">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 xml:space="preserve">                                            企业名称（盖章）：</w:t>
      </w:r>
    </w:p>
    <w:p w14:paraId="4A34387B">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 xml:space="preserve">                                              日期：</w:t>
      </w:r>
    </w:p>
    <w:p w14:paraId="36F5A24F">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p>
    <w:p w14:paraId="613E8C26">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 xml:space="preserve">注：从业人员、营业收入、资产总额填报上一年度数据，无上一年度数据的新成立企业可不填报。               </w:t>
      </w:r>
    </w:p>
    <w:p w14:paraId="2E30FC08">
      <w:pPr>
        <w:rPr>
          <w:rFonts w:hint="eastAsia" w:ascii="黑体" w:hAnsi="黑体" w:eastAsia="黑体"/>
          <w:b/>
          <w:color w:val="auto"/>
          <w:spacing w:val="6"/>
          <w:sz w:val="28"/>
          <w:szCs w:val="28"/>
          <w:highlight w:val="none"/>
        </w:rPr>
      </w:pPr>
      <w:r>
        <w:rPr>
          <w:rFonts w:hint="eastAsia" w:ascii="黑体" w:hAnsi="黑体" w:eastAsia="黑体"/>
          <w:b/>
          <w:color w:val="auto"/>
          <w:spacing w:val="6"/>
          <w:sz w:val="28"/>
          <w:szCs w:val="28"/>
          <w:highlight w:val="none"/>
        </w:rPr>
        <w:br w:type="page"/>
      </w:r>
    </w:p>
    <w:p w14:paraId="5C58B442">
      <w:pPr>
        <w:adjustRightInd w:val="0"/>
        <w:snapToGrid w:val="0"/>
        <w:spacing w:line="360" w:lineRule="auto"/>
        <w:jc w:val="center"/>
        <w:rPr>
          <w:rFonts w:ascii="黑体" w:hAnsi="黑体" w:eastAsia="黑体"/>
          <w:b/>
          <w:color w:val="auto"/>
          <w:spacing w:val="6"/>
          <w:sz w:val="28"/>
          <w:szCs w:val="28"/>
          <w:highlight w:val="none"/>
        </w:rPr>
      </w:pPr>
      <w:r>
        <w:rPr>
          <w:rFonts w:hint="eastAsia" w:ascii="黑体" w:hAnsi="黑体" w:eastAsia="黑体"/>
          <w:b/>
          <w:color w:val="auto"/>
          <w:spacing w:val="6"/>
          <w:sz w:val="28"/>
          <w:szCs w:val="28"/>
          <w:highlight w:val="none"/>
        </w:rPr>
        <w:t>“节能产品”、“环境标志产品”证明材料</w:t>
      </w:r>
    </w:p>
    <w:p w14:paraId="02813419">
      <w:pPr>
        <w:spacing w:line="480" w:lineRule="exact"/>
        <w:rPr>
          <w:rFonts w:asciiTheme="minorEastAsia" w:hAnsiTheme="minorEastAsia" w:eastAsiaTheme="minorEastAsia" w:cstheme="minorEastAsia"/>
          <w:color w:val="auto"/>
          <w:sz w:val="24"/>
          <w:highlight w:val="none"/>
        </w:rPr>
      </w:pPr>
    </w:p>
    <w:p w14:paraId="63DFDA36">
      <w:pPr>
        <w:adjustRightInd w:val="0"/>
        <w:snapToGrid w:val="0"/>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w:t>
      </w: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供应商提供的产品</w:t>
      </w:r>
      <w:r>
        <w:rPr>
          <w:rFonts w:hint="eastAsia" w:asciiTheme="minorEastAsia" w:hAnsiTheme="minorEastAsia" w:eastAsiaTheme="minorEastAsia" w:cstheme="minorEastAsia"/>
          <w:bCs/>
          <w:color w:val="auto"/>
          <w:szCs w:val="21"/>
          <w:highlight w:val="none"/>
        </w:rPr>
        <w:t>属于</w:t>
      </w:r>
      <w:r>
        <w:rPr>
          <w:rFonts w:hint="eastAsia" w:asciiTheme="minorEastAsia" w:hAnsiTheme="minorEastAsia" w:eastAsiaTheme="minorEastAsia" w:cstheme="minorEastAsia"/>
          <w:color w:val="auto"/>
          <w:szCs w:val="21"/>
          <w:highlight w:val="none"/>
        </w:rPr>
        <w:t>下列情形，应按第二章磋商须知第2.8款、第9.2</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color w:val="auto"/>
          <w:szCs w:val="21"/>
          <w:highlight w:val="none"/>
        </w:rPr>
        <w:t>规定提供相关证明材料(</w:t>
      </w:r>
      <w:r>
        <w:rPr>
          <w:rFonts w:hint="eastAsia" w:asciiTheme="minorEastAsia" w:hAnsiTheme="minorEastAsia" w:eastAsiaTheme="minorEastAsia" w:cstheme="minorEastAsia"/>
          <w:bCs/>
          <w:color w:val="auto"/>
          <w:szCs w:val="21"/>
          <w:highlight w:val="none"/>
        </w:rPr>
        <w:t>清单或目录所在页复印件</w:t>
      </w:r>
      <w:r>
        <w:rPr>
          <w:rFonts w:hint="eastAsia" w:asciiTheme="minorEastAsia" w:hAnsiTheme="minorEastAsia" w:eastAsiaTheme="minorEastAsia" w:cstheme="minorEastAsia"/>
          <w:color w:val="auto"/>
          <w:szCs w:val="21"/>
          <w:highlight w:val="none"/>
        </w:rPr>
        <w:t>)，并在本章《</w:t>
      </w:r>
      <w:r>
        <w:rPr>
          <w:rFonts w:hint="eastAsia" w:asciiTheme="minorEastAsia" w:hAnsiTheme="minorEastAsia" w:eastAsiaTheme="minorEastAsia" w:cstheme="minorEastAsia"/>
          <w:bCs/>
          <w:color w:val="auto"/>
          <w:szCs w:val="21"/>
          <w:highlight w:val="none"/>
        </w:rPr>
        <w:t>七、</w:t>
      </w:r>
      <w:r>
        <w:rPr>
          <w:rFonts w:hint="eastAsia" w:asciiTheme="minorEastAsia" w:hAnsiTheme="minorEastAsia" w:eastAsiaTheme="minorEastAsia" w:cstheme="minorEastAsia"/>
          <w:color w:val="auto"/>
          <w:szCs w:val="21"/>
          <w:highlight w:val="none"/>
        </w:rPr>
        <w:t>报价一览表及报价文件》中提供相应数据。</w:t>
      </w:r>
    </w:p>
    <w:p w14:paraId="2657781F">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(1)符合</w:t>
      </w:r>
      <w:r>
        <w:rPr>
          <w:rFonts w:hint="eastAsia" w:asciiTheme="minorEastAsia" w:hAnsiTheme="minorEastAsia" w:eastAsiaTheme="minorEastAsia" w:cstheme="minorEastAsia"/>
          <w:color w:val="auto"/>
          <w:szCs w:val="21"/>
          <w:highlight w:val="none"/>
        </w:rPr>
        <w:t>政府采购强制采购政策的(《节能产品政府采购清单》成交记符号节能产品及其他强制采购产品)；</w:t>
      </w:r>
    </w:p>
    <w:p w14:paraId="3859662A">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(2)符合</w:t>
      </w:r>
      <w:r>
        <w:rPr>
          <w:rFonts w:hint="eastAsia" w:asciiTheme="minorEastAsia" w:hAnsiTheme="minorEastAsia" w:eastAsiaTheme="minorEastAsia" w:cstheme="minorEastAsia"/>
          <w:color w:val="auto"/>
          <w:szCs w:val="21"/>
          <w:highlight w:val="none"/>
        </w:rPr>
        <w:t>政府采购优先采购政策的(《节能产品政府采购清单》中非标记符号节能产品，《环境标志产品政府采购清单》中环境标志</w:t>
      </w:r>
      <w:r>
        <w:rPr>
          <w:rFonts w:hint="eastAsia" w:asciiTheme="minorEastAsia" w:hAnsiTheme="minorEastAsia" w:eastAsiaTheme="minorEastAsia" w:cstheme="minorEastAsia"/>
          <w:bCs/>
          <w:color w:val="auto"/>
          <w:szCs w:val="21"/>
          <w:highlight w:val="none"/>
        </w:rPr>
        <w:t>产品</w:t>
      </w:r>
      <w:r>
        <w:rPr>
          <w:rFonts w:hint="eastAsia" w:asciiTheme="minorEastAsia" w:hAnsiTheme="minorEastAsia" w:eastAsiaTheme="minorEastAsia" w:cstheme="minorEastAsia"/>
          <w:color w:val="auto"/>
          <w:szCs w:val="21"/>
          <w:highlight w:val="none"/>
        </w:rPr>
        <w:t>)。</w:t>
      </w:r>
    </w:p>
    <w:p w14:paraId="025B5CE5">
      <w:pPr>
        <w:adjustRightInd w:val="0"/>
        <w:snapToGrid w:val="0"/>
        <w:spacing w:line="360" w:lineRule="auto"/>
        <w:ind w:firstLine="525" w:firstLineChars="250"/>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2、未按上述要求提供、</w:t>
      </w:r>
      <w:r>
        <w:rPr>
          <w:rFonts w:hint="eastAsia" w:asciiTheme="minorEastAsia" w:hAnsiTheme="minorEastAsia" w:eastAsiaTheme="minorEastAsia" w:cstheme="minorEastAsia"/>
          <w:color w:val="auto"/>
          <w:szCs w:val="21"/>
          <w:highlight w:val="none"/>
        </w:rPr>
        <w:t>填写</w:t>
      </w:r>
      <w:r>
        <w:rPr>
          <w:rFonts w:hint="eastAsia" w:asciiTheme="minorEastAsia" w:hAnsiTheme="minorEastAsia" w:eastAsiaTheme="minorEastAsia" w:cstheme="minorEastAsia"/>
          <w:bCs/>
          <w:color w:val="auto"/>
          <w:szCs w:val="21"/>
          <w:highlight w:val="none"/>
        </w:rPr>
        <w:t>的，评审时不予以考虑。</w:t>
      </w:r>
    </w:p>
    <w:p w14:paraId="6FEF7E16">
      <w:pPr>
        <w:adjustRightInd w:val="0"/>
        <w:snapToGrid w:val="0"/>
        <w:spacing w:line="360" w:lineRule="auto"/>
        <w:jc w:val="center"/>
        <w:rPr>
          <w:rFonts w:ascii="黑体" w:hAnsi="黑体" w:eastAsia="黑体"/>
          <w:b/>
          <w:color w:val="auto"/>
          <w:spacing w:val="6"/>
          <w:sz w:val="28"/>
          <w:szCs w:val="28"/>
          <w:highlight w:val="none"/>
        </w:rPr>
      </w:pPr>
    </w:p>
    <w:p w14:paraId="14B6D8B0">
      <w:pPr>
        <w:adjustRightInd w:val="0"/>
        <w:snapToGrid w:val="0"/>
        <w:spacing w:line="360" w:lineRule="auto"/>
        <w:jc w:val="center"/>
        <w:rPr>
          <w:rFonts w:ascii="黑体" w:hAnsi="黑体" w:eastAsia="黑体"/>
          <w:b/>
          <w:color w:val="auto"/>
          <w:spacing w:val="6"/>
          <w:sz w:val="28"/>
          <w:szCs w:val="28"/>
          <w:highlight w:val="none"/>
        </w:rPr>
      </w:pPr>
    </w:p>
    <w:p w14:paraId="1FA37060">
      <w:pPr>
        <w:adjustRightInd w:val="0"/>
        <w:snapToGrid w:val="0"/>
        <w:spacing w:line="360" w:lineRule="auto"/>
        <w:jc w:val="center"/>
        <w:outlineLvl w:val="1"/>
        <w:rPr>
          <w:rFonts w:ascii="黑体" w:hAnsi="黑体" w:eastAsia="黑体"/>
          <w:b/>
          <w:color w:val="auto"/>
          <w:spacing w:val="6"/>
          <w:sz w:val="28"/>
          <w:szCs w:val="28"/>
          <w:highlight w:val="none"/>
        </w:rPr>
      </w:pPr>
      <w:bookmarkStart w:id="119" w:name="_Toc1369"/>
      <w:r>
        <w:rPr>
          <w:rFonts w:hint="eastAsia" w:ascii="黑体" w:hAnsi="黑体" w:eastAsia="黑体"/>
          <w:b/>
          <w:color w:val="auto"/>
          <w:spacing w:val="6"/>
          <w:sz w:val="28"/>
          <w:szCs w:val="28"/>
          <w:highlight w:val="none"/>
        </w:rPr>
        <w:t>残疾人福利性单位声明函</w:t>
      </w:r>
      <w:bookmarkEnd w:id="119"/>
    </w:p>
    <w:p w14:paraId="2F2A3604">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(不属于残疾人福利性单位的无需填写)</w:t>
      </w:r>
    </w:p>
    <w:p w14:paraId="1145001E">
      <w:pPr>
        <w:adjustRightInd w:val="0"/>
        <w:snapToGrid w:val="0"/>
        <w:spacing w:line="360" w:lineRule="auto"/>
        <w:ind w:firstLine="444" w:firstLineChars="200"/>
        <w:rPr>
          <w:rFonts w:ascii="宋体" w:hAnsi="宋体"/>
          <w:color w:val="auto"/>
          <w:spacing w:val="6"/>
          <w:szCs w:val="21"/>
          <w:highlight w:val="none"/>
        </w:rPr>
      </w:pPr>
    </w:p>
    <w:p w14:paraId="3D1E4075">
      <w:pPr>
        <w:adjustRightInd w:val="0"/>
        <w:snapToGrid w:val="0"/>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 民政部 中国残疾人联合会关于促进残疾人就业招标采购政策的通知》（财库</w:t>
      </w:r>
      <w:r>
        <w:rPr>
          <w:rFonts w:hint="eastAsia" w:ascii="宋体" w:hAnsi="宋体"/>
          <w:color w:val="auto"/>
          <w:szCs w:val="21"/>
          <w:highlight w:val="none"/>
        </w:rPr>
        <w:t>〔2017〕141</w:t>
      </w:r>
      <w:r>
        <w:rPr>
          <w:rFonts w:hint="eastAsia" w:ascii="宋体" w:hAnsi="宋体"/>
          <w:color w:val="auto"/>
          <w:spacing w:val="6"/>
          <w:szCs w:val="21"/>
          <w:highlight w:val="none"/>
        </w:rPr>
        <w:t>号）的规定，本单位为符合条件的残疾人福利性单位，且本单位参加_____单位的______项目采购活动提供本单位制造的货物（由本单位承担工程/提供服务），或者提供其他残疾人福利性单位制造的货物（不包括使用非残疾人福利性单位注册商标的货物）。</w:t>
      </w:r>
    </w:p>
    <w:p w14:paraId="6B76CA1E">
      <w:pPr>
        <w:adjustRightInd w:val="0"/>
        <w:snapToGrid w:val="0"/>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2D52F2A8">
      <w:pPr>
        <w:adjustRightInd w:val="0"/>
        <w:snapToGrid w:val="0"/>
        <w:spacing w:line="360" w:lineRule="auto"/>
        <w:ind w:firstLine="444" w:firstLineChars="200"/>
        <w:rPr>
          <w:rFonts w:ascii="宋体" w:hAnsi="宋体"/>
          <w:color w:val="auto"/>
          <w:spacing w:val="6"/>
          <w:szCs w:val="21"/>
          <w:highlight w:val="none"/>
        </w:rPr>
      </w:pPr>
    </w:p>
    <w:p w14:paraId="383109BB">
      <w:pPr>
        <w:adjustRightInd w:val="0"/>
        <w:snapToGrid w:val="0"/>
        <w:spacing w:line="360" w:lineRule="auto"/>
        <w:ind w:firstLine="444" w:firstLineChars="200"/>
        <w:rPr>
          <w:rFonts w:ascii="宋体" w:hAnsi="宋体"/>
          <w:color w:val="auto"/>
          <w:spacing w:val="6"/>
          <w:szCs w:val="21"/>
          <w:highlight w:val="none"/>
        </w:rPr>
      </w:pPr>
    </w:p>
    <w:p w14:paraId="6F5C6C78">
      <w:pPr>
        <w:tabs>
          <w:tab w:val="left" w:pos="4860"/>
        </w:tabs>
        <w:adjustRightInd w:val="0"/>
        <w:snapToGrid w:val="0"/>
        <w:spacing w:line="360" w:lineRule="auto"/>
        <w:ind w:right="1560" w:firstLine="444" w:firstLineChars="200"/>
        <w:jc w:val="center"/>
        <w:rPr>
          <w:rFonts w:ascii="宋体" w:hAnsi="宋体"/>
          <w:color w:val="auto"/>
          <w:spacing w:val="6"/>
          <w:szCs w:val="21"/>
          <w:highlight w:val="none"/>
        </w:rPr>
      </w:pPr>
      <w:r>
        <w:rPr>
          <w:rFonts w:hint="eastAsia" w:ascii="宋体" w:hAnsi="宋体"/>
          <w:color w:val="auto"/>
          <w:spacing w:val="6"/>
          <w:szCs w:val="21"/>
          <w:highlight w:val="none"/>
        </w:rPr>
        <w:t xml:space="preserve">               单位名称（盖章）：             </w:t>
      </w:r>
    </w:p>
    <w:p w14:paraId="00604BB9">
      <w:pPr>
        <w:pStyle w:val="19"/>
        <w:spacing w:after="96"/>
        <w:rPr>
          <w:rFonts w:ascii="宋体" w:hAnsi="宋体" w:cs="宋体"/>
          <w:color w:val="auto"/>
          <w:highlight w:val="none"/>
        </w:rPr>
      </w:pPr>
      <w:r>
        <w:rPr>
          <w:rFonts w:hint="eastAsia" w:ascii="宋体" w:hAnsi="宋体"/>
          <w:color w:val="auto"/>
          <w:spacing w:val="6"/>
          <w:szCs w:val="21"/>
          <w:highlight w:val="none"/>
        </w:rPr>
        <w:t xml:space="preserve">                                      日  期：            </w:t>
      </w:r>
    </w:p>
    <w:p w14:paraId="58F202DE">
      <w:pPr>
        <w:rPr>
          <w:rFonts w:ascii="黑体" w:hAnsi="宋体"/>
          <w:b/>
          <w:color w:val="auto"/>
          <w:sz w:val="28"/>
          <w:szCs w:val="28"/>
          <w:highlight w:val="none"/>
        </w:rPr>
      </w:pPr>
      <w:r>
        <w:rPr>
          <w:rFonts w:ascii="黑体" w:hAnsi="宋体"/>
          <w:b/>
          <w:color w:val="auto"/>
          <w:sz w:val="28"/>
          <w:szCs w:val="28"/>
          <w:highlight w:val="none"/>
        </w:rPr>
        <w:br w:type="page"/>
      </w:r>
    </w:p>
    <w:p w14:paraId="6E479FD8">
      <w:pPr>
        <w:adjustRightInd w:val="0"/>
        <w:snapToGrid w:val="0"/>
        <w:spacing w:line="360" w:lineRule="auto"/>
        <w:jc w:val="center"/>
        <w:rPr>
          <w:rFonts w:ascii="黑体" w:hAnsi="宋体"/>
          <w:b/>
          <w:color w:val="auto"/>
          <w:sz w:val="28"/>
          <w:szCs w:val="28"/>
          <w:highlight w:val="none"/>
        </w:rPr>
      </w:pPr>
    </w:p>
    <w:p w14:paraId="42821E1F">
      <w:pPr>
        <w:adjustRightInd w:val="0"/>
        <w:snapToGrid w:val="0"/>
        <w:spacing w:line="360" w:lineRule="auto"/>
        <w:jc w:val="center"/>
        <w:rPr>
          <w:rFonts w:ascii="黑体" w:hAnsi="宋体"/>
          <w:b/>
          <w:color w:val="auto"/>
          <w:sz w:val="28"/>
          <w:szCs w:val="28"/>
          <w:highlight w:val="none"/>
        </w:rPr>
      </w:pPr>
      <w:r>
        <w:rPr>
          <w:rFonts w:hint="eastAsia" w:ascii="黑体" w:hAnsi="宋体"/>
          <w:b/>
          <w:color w:val="auto"/>
          <w:sz w:val="28"/>
          <w:szCs w:val="28"/>
          <w:highlight w:val="none"/>
        </w:rPr>
        <w:t>监狱企业证明资料</w:t>
      </w:r>
    </w:p>
    <w:p w14:paraId="1B4A89B5">
      <w:pPr>
        <w:adjustRightInd w:val="0"/>
        <w:snapToGrid w:val="0"/>
        <w:spacing w:line="360" w:lineRule="auto"/>
        <w:jc w:val="center"/>
        <w:rPr>
          <w:rFonts w:ascii="宋体" w:hAnsi="宋体"/>
          <w:b/>
          <w:color w:val="auto"/>
          <w:spacing w:val="6"/>
          <w:szCs w:val="21"/>
          <w:highlight w:val="none"/>
        </w:rPr>
      </w:pPr>
      <w:r>
        <w:rPr>
          <w:rFonts w:hint="eastAsia" w:ascii="宋体" w:hAnsi="宋体"/>
          <w:b/>
          <w:color w:val="auto"/>
          <w:spacing w:val="6"/>
          <w:szCs w:val="21"/>
          <w:highlight w:val="none"/>
        </w:rPr>
        <w:t>(不属于监狱企业的无需提供)</w:t>
      </w:r>
    </w:p>
    <w:p w14:paraId="1B628F18">
      <w:pPr>
        <w:adjustRightInd w:val="0"/>
        <w:snapToGrid w:val="0"/>
        <w:spacing w:line="360" w:lineRule="auto"/>
        <w:rPr>
          <w:rFonts w:ascii="宋体" w:hAnsi="宋体"/>
          <w:color w:val="auto"/>
          <w:szCs w:val="21"/>
          <w:highlight w:val="none"/>
        </w:rPr>
      </w:pPr>
    </w:p>
    <w:p w14:paraId="17335D82">
      <w:pPr>
        <w:adjustRightInd w:val="0"/>
        <w:snapToGrid w:val="0"/>
        <w:spacing w:before="50" w:line="360" w:lineRule="auto"/>
        <w:rPr>
          <w:rFonts w:ascii="宋体" w:hAnsi="宋体"/>
          <w:color w:val="auto"/>
          <w:szCs w:val="21"/>
          <w:highlight w:val="none"/>
        </w:rPr>
      </w:pPr>
      <w:r>
        <w:rPr>
          <w:rFonts w:hint="eastAsia" w:ascii="宋体" w:hAnsi="宋体" w:cs="宋体"/>
          <w:bCs/>
          <w:color w:val="auto"/>
          <w:spacing w:val="6"/>
          <w:kern w:val="0"/>
          <w:szCs w:val="21"/>
          <w:highlight w:val="none"/>
        </w:rPr>
        <w:t>备注：</w:t>
      </w:r>
      <w:r>
        <w:rPr>
          <w:rFonts w:hint="eastAsia" w:ascii="宋体" w:hAnsi="宋体"/>
          <w:color w:val="auto"/>
          <w:szCs w:val="21"/>
          <w:highlight w:val="none"/>
        </w:rPr>
        <w:t>按</w:t>
      </w:r>
      <w:r>
        <w:rPr>
          <w:rFonts w:hint="eastAsia" w:ascii="宋体" w:hAnsi="宋体"/>
          <w:color w:val="auto"/>
          <w:spacing w:val="6"/>
          <w:szCs w:val="21"/>
          <w:highlight w:val="none"/>
        </w:rPr>
        <w:t>《</w:t>
      </w:r>
      <w:r>
        <w:rPr>
          <w:rFonts w:hint="eastAsia" w:ascii="宋体" w:hAnsi="宋体"/>
          <w:color w:val="auto"/>
          <w:szCs w:val="21"/>
          <w:highlight w:val="none"/>
        </w:rPr>
        <w:t>财政部 司法部关于招标采购支持监狱企业发展有关问题的通知</w:t>
      </w:r>
      <w:r>
        <w:rPr>
          <w:rFonts w:hint="eastAsia" w:ascii="宋体" w:hAnsi="宋体"/>
          <w:color w:val="auto"/>
          <w:spacing w:val="6"/>
          <w:szCs w:val="21"/>
          <w:highlight w:val="none"/>
        </w:rPr>
        <w:t>》</w:t>
      </w:r>
      <w:r>
        <w:rPr>
          <w:rFonts w:hint="eastAsia" w:ascii="宋体" w:hAnsi="宋体"/>
          <w:color w:val="auto"/>
          <w:szCs w:val="21"/>
          <w:highlight w:val="none"/>
        </w:rPr>
        <w:t>(财库〔2014〕68号)文件规定提供证明文件（复印件）。</w:t>
      </w:r>
    </w:p>
    <w:p w14:paraId="3C21D35C">
      <w:pPr>
        <w:outlineLvl w:val="1"/>
        <w:rPr>
          <w:rFonts w:ascii="宋体" w:hAnsi="宋体"/>
          <w:b/>
          <w:color w:val="auto"/>
          <w:sz w:val="28"/>
          <w:szCs w:val="28"/>
          <w:highlight w:val="none"/>
        </w:rPr>
      </w:pPr>
      <w:bookmarkStart w:id="120" w:name="_Toc20651270"/>
      <w:r>
        <w:rPr>
          <w:rFonts w:hint="eastAsia" w:ascii="黑体" w:hAnsi="华文中宋" w:cs="宋体"/>
          <w:color w:val="auto"/>
          <w:spacing w:val="6"/>
          <w:kern w:val="0"/>
          <w:szCs w:val="21"/>
          <w:highlight w:val="none"/>
        </w:rPr>
        <w:br w:type="page"/>
      </w:r>
      <w:bookmarkEnd w:id="120"/>
      <w:bookmarkStart w:id="121" w:name="_Toc19928"/>
      <w:r>
        <w:rPr>
          <w:rFonts w:hint="eastAsia" w:ascii="宋体" w:hAnsi="宋体"/>
          <w:b/>
          <w:color w:val="auto"/>
          <w:sz w:val="28"/>
          <w:szCs w:val="28"/>
          <w:highlight w:val="none"/>
          <w:lang w:val="en-US" w:eastAsia="zh-CN"/>
        </w:rPr>
        <w:t>六</w:t>
      </w:r>
      <w:r>
        <w:rPr>
          <w:rFonts w:hint="eastAsia" w:ascii="宋体" w:hAnsi="宋体"/>
          <w:b/>
          <w:color w:val="auto"/>
          <w:sz w:val="28"/>
          <w:szCs w:val="28"/>
          <w:highlight w:val="none"/>
        </w:rPr>
        <w:t>、报价一览表及报价文件</w:t>
      </w:r>
      <w:bookmarkEnd w:id="121"/>
    </w:p>
    <w:p w14:paraId="3F86C006">
      <w:pPr>
        <w:tabs>
          <w:tab w:val="left" w:pos="1680"/>
        </w:tabs>
        <w:adjustRightInd w:val="0"/>
        <w:snapToGrid w:val="0"/>
        <w:rPr>
          <w:rFonts w:ascii="宋体" w:hAnsi="宋体"/>
          <w:color w:val="auto"/>
          <w:sz w:val="30"/>
          <w:szCs w:val="30"/>
          <w:highlight w:val="none"/>
        </w:rPr>
      </w:pPr>
      <w:r>
        <w:rPr>
          <w:rFonts w:ascii="宋体" w:hAnsi="宋体"/>
          <w:color w:val="auto"/>
          <w:sz w:val="30"/>
          <w:szCs w:val="30"/>
          <w:highlight w:val="none"/>
        </w:rPr>
        <w:tab/>
      </w:r>
    </w:p>
    <w:p w14:paraId="63E7A76D">
      <w:pPr>
        <w:adjustRightInd w:val="0"/>
        <w:snapToGrid w:val="0"/>
        <w:rPr>
          <w:rFonts w:ascii="宋体" w:hAnsi="宋体"/>
          <w:color w:val="auto"/>
          <w:szCs w:val="21"/>
          <w:highlight w:val="none"/>
        </w:rPr>
      </w:pPr>
      <w:r>
        <w:rPr>
          <w:rFonts w:hint="eastAsia" w:ascii="宋体" w:hAnsi="宋体"/>
          <w:color w:val="auto"/>
          <w:sz w:val="24"/>
          <w:highlight w:val="none"/>
        </w:rPr>
        <w:t xml:space="preserve">附件10  报价一览表    </w:t>
      </w:r>
      <w:r>
        <w:rPr>
          <w:rFonts w:hint="eastAsia" w:ascii="宋体" w:hAnsi="宋体"/>
          <w:color w:val="auto"/>
          <w:sz w:val="30"/>
          <w:szCs w:val="30"/>
          <w:highlight w:val="none"/>
        </w:rPr>
        <w:t xml:space="preserve">         </w:t>
      </w:r>
    </w:p>
    <w:p w14:paraId="7325EBF3">
      <w:pPr>
        <w:adjustRightInd w:val="0"/>
        <w:snapToGrid w:val="0"/>
        <w:spacing w:line="360" w:lineRule="auto"/>
        <w:rPr>
          <w:rFonts w:ascii="宋体" w:hAnsi="宋体"/>
          <w:color w:val="auto"/>
          <w:szCs w:val="21"/>
          <w:highlight w:val="none"/>
        </w:rPr>
      </w:pPr>
    </w:p>
    <w:tbl>
      <w:tblPr>
        <w:tblStyle w:val="46"/>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201"/>
        <w:gridCol w:w="1575"/>
        <w:gridCol w:w="2520"/>
      </w:tblGrid>
      <w:tr w14:paraId="369A7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24" w:type="dxa"/>
            <w:vMerge w:val="restart"/>
            <w:tcBorders>
              <w:top w:val="double" w:color="auto" w:sz="4" w:space="0"/>
              <w:left w:val="double" w:color="auto" w:sz="4" w:space="0"/>
              <w:bottom w:val="single" w:color="auto" w:sz="6" w:space="0"/>
              <w:right w:val="single" w:color="auto" w:sz="6" w:space="0"/>
            </w:tcBorders>
            <w:vAlign w:val="center"/>
          </w:tcPr>
          <w:p w14:paraId="292FBF78">
            <w:pPr>
              <w:spacing w:line="420" w:lineRule="exact"/>
              <w:jc w:val="center"/>
              <w:rPr>
                <w:rFonts w:ascii="宋体" w:hAnsi="宋体"/>
                <w:color w:val="auto"/>
                <w:szCs w:val="21"/>
                <w:highlight w:val="none"/>
              </w:rPr>
            </w:pPr>
            <w:r>
              <w:rPr>
                <w:rFonts w:hint="eastAsia" w:ascii="宋体" w:hAnsi="宋体"/>
                <w:color w:val="auto"/>
                <w:szCs w:val="21"/>
                <w:highlight w:val="none"/>
              </w:rPr>
              <w:t>项目名称</w:t>
            </w:r>
          </w:p>
        </w:tc>
        <w:tc>
          <w:tcPr>
            <w:tcW w:w="3201" w:type="dxa"/>
            <w:vMerge w:val="restart"/>
            <w:tcBorders>
              <w:top w:val="double" w:color="auto" w:sz="4" w:space="0"/>
              <w:left w:val="single" w:color="auto" w:sz="6" w:space="0"/>
              <w:bottom w:val="single" w:color="auto" w:sz="6" w:space="0"/>
              <w:right w:val="single" w:color="auto" w:sz="6" w:space="0"/>
            </w:tcBorders>
            <w:vAlign w:val="center"/>
          </w:tcPr>
          <w:p w14:paraId="4833D11F">
            <w:pPr>
              <w:spacing w:line="420" w:lineRule="exact"/>
              <w:jc w:val="left"/>
              <w:rPr>
                <w:rFonts w:ascii="宋体" w:hAnsi="宋体"/>
                <w:color w:val="auto"/>
                <w:szCs w:val="21"/>
                <w:highlight w:val="none"/>
              </w:rPr>
            </w:pPr>
          </w:p>
        </w:tc>
        <w:tc>
          <w:tcPr>
            <w:tcW w:w="1575" w:type="dxa"/>
            <w:tcBorders>
              <w:top w:val="double" w:color="auto" w:sz="4" w:space="0"/>
              <w:left w:val="single" w:color="auto" w:sz="6" w:space="0"/>
              <w:bottom w:val="single" w:color="auto" w:sz="6" w:space="0"/>
              <w:right w:val="single" w:color="auto" w:sz="6" w:space="0"/>
            </w:tcBorders>
            <w:vAlign w:val="center"/>
          </w:tcPr>
          <w:p w14:paraId="58E54691">
            <w:pPr>
              <w:spacing w:line="420" w:lineRule="exact"/>
              <w:jc w:val="left"/>
              <w:rPr>
                <w:rFonts w:ascii="宋体" w:hAnsi="宋体"/>
                <w:color w:val="auto"/>
                <w:szCs w:val="21"/>
                <w:highlight w:val="none"/>
              </w:rPr>
            </w:pPr>
            <w:r>
              <w:rPr>
                <w:rFonts w:hint="eastAsia" w:ascii="宋体" w:hAnsi="宋体"/>
                <w:color w:val="auto"/>
                <w:szCs w:val="21"/>
                <w:highlight w:val="none"/>
              </w:rPr>
              <w:t>采购计划编</w:t>
            </w:r>
            <w:r>
              <w:rPr>
                <w:rFonts w:ascii="宋体" w:hAnsi="宋体"/>
                <w:color w:val="auto"/>
                <w:szCs w:val="21"/>
                <w:highlight w:val="none"/>
              </w:rPr>
              <w:t>号</w:t>
            </w:r>
          </w:p>
        </w:tc>
        <w:tc>
          <w:tcPr>
            <w:tcW w:w="2520" w:type="dxa"/>
            <w:tcBorders>
              <w:top w:val="double" w:color="auto" w:sz="4" w:space="0"/>
              <w:left w:val="single" w:color="auto" w:sz="6" w:space="0"/>
              <w:bottom w:val="single" w:color="auto" w:sz="6" w:space="0"/>
              <w:right w:val="double" w:color="auto" w:sz="4" w:space="0"/>
            </w:tcBorders>
            <w:vAlign w:val="center"/>
          </w:tcPr>
          <w:p w14:paraId="21A2F942">
            <w:pPr>
              <w:spacing w:line="420" w:lineRule="exact"/>
              <w:jc w:val="left"/>
              <w:rPr>
                <w:rFonts w:ascii="宋体" w:hAnsi="宋体"/>
                <w:color w:val="auto"/>
                <w:szCs w:val="21"/>
                <w:highlight w:val="none"/>
              </w:rPr>
            </w:pPr>
          </w:p>
        </w:tc>
      </w:tr>
      <w:tr w14:paraId="798CFB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24" w:type="dxa"/>
            <w:vMerge w:val="continue"/>
            <w:tcBorders>
              <w:top w:val="single" w:color="auto" w:sz="6" w:space="0"/>
              <w:left w:val="double" w:color="auto" w:sz="4" w:space="0"/>
              <w:bottom w:val="single" w:color="auto" w:sz="6" w:space="0"/>
              <w:right w:val="single" w:color="auto" w:sz="6" w:space="0"/>
            </w:tcBorders>
            <w:vAlign w:val="center"/>
          </w:tcPr>
          <w:p w14:paraId="55F10F8D">
            <w:pPr>
              <w:tabs>
                <w:tab w:val="left" w:pos="403"/>
                <w:tab w:val="center" w:pos="3781"/>
              </w:tabs>
              <w:spacing w:line="420" w:lineRule="exact"/>
              <w:ind w:right="-5206" w:rightChars="-2479"/>
              <w:jc w:val="left"/>
              <w:rPr>
                <w:rFonts w:ascii="宋体" w:hAnsi="宋体"/>
                <w:color w:val="auto"/>
                <w:szCs w:val="21"/>
                <w:highlight w:val="none"/>
              </w:rPr>
            </w:pPr>
          </w:p>
        </w:tc>
        <w:tc>
          <w:tcPr>
            <w:tcW w:w="3201" w:type="dxa"/>
            <w:vMerge w:val="continue"/>
            <w:tcBorders>
              <w:top w:val="single" w:color="auto" w:sz="6" w:space="0"/>
              <w:left w:val="single" w:color="auto" w:sz="6" w:space="0"/>
              <w:bottom w:val="single" w:color="auto" w:sz="6" w:space="0"/>
              <w:right w:val="single" w:color="auto" w:sz="6" w:space="0"/>
            </w:tcBorders>
            <w:vAlign w:val="center"/>
          </w:tcPr>
          <w:p w14:paraId="05E31BAF">
            <w:pPr>
              <w:spacing w:line="420" w:lineRule="exact"/>
              <w:jc w:val="left"/>
              <w:rPr>
                <w:rFonts w:ascii="宋体" w:hAnsi="宋体"/>
                <w:color w:val="auto"/>
                <w:szCs w:val="21"/>
                <w:highlight w:val="none"/>
              </w:rPr>
            </w:pPr>
          </w:p>
        </w:tc>
        <w:tc>
          <w:tcPr>
            <w:tcW w:w="1575" w:type="dxa"/>
            <w:tcBorders>
              <w:top w:val="single" w:color="auto" w:sz="6" w:space="0"/>
              <w:left w:val="single" w:color="auto" w:sz="6" w:space="0"/>
              <w:bottom w:val="single" w:color="auto" w:sz="6" w:space="0"/>
              <w:right w:val="single" w:color="auto" w:sz="6" w:space="0"/>
            </w:tcBorders>
            <w:vAlign w:val="center"/>
          </w:tcPr>
          <w:p w14:paraId="64C6A4A1">
            <w:pPr>
              <w:spacing w:line="420" w:lineRule="exact"/>
              <w:jc w:val="lef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委托代理编号</w:t>
            </w:r>
          </w:p>
        </w:tc>
        <w:tc>
          <w:tcPr>
            <w:tcW w:w="2520" w:type="dxa"/>
            <w:tcBorders>
              <w:top w:val="single" w:color="auto" w:sz="6" w:space="0"/>
              <w:left w:val="single" w:color="auto" w:sz="6" w:space="0"/>
              <w:bottom w:val="single" w:color="auto" w:sz="6" w:space="0"/>
              <w:right w:val="double" w:color="auto" w:sz="4" w:space="0"/>
            </w:tcBorders>
            <w:vAlign w:val="center"/>
          </w:tcPr>
          <w:p w14:paraId="10E6BF8F">
            <w:pPr>
              <w:spacing w:line="420" w:lineRule="exact"/>
              <w:jc w:val="left"/>
              <w:rPr>
                <w:rFonts w:ascii="宋体" w:hAnsi="宋体"/>
                <w:color w:val="auto"/>
                <w:szCs w:val="21"/>
                <w:highlight w:val="none"/>
              </w:rPr>
            </w:pPr>
          </w:p>
        </w:tc>
      </w:tr>
      <w:tr w14:paraId="49FB54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7" w:hRule="atLeast"/>
        </w:trPr>
        <w:tc>
          <w:tcPr>
            <w:tcW w:w="1524" w:type="dxa"/>
            <w:tcBorders>
              <w:top w:val="single" w:color="auto" w:sz="6" w:space="0"/>
              <w:left w:val="double" w:color="auto" w:sz="4" w:space="0"/>
              <w:bottom w:val="single" w:color="auto" w:sz="6" w:space="0"/>
              <w:right w:val="single" w:color="auto" w:sz="6" w:space="0"/>
            </w:tcBorders>
            <w:vAlign w:val="center"/>
          </w:tcPr>
          <w:p w14:paraId="44141D27">
            <w:pPr>
              <w:spacing w:line="420" w:lineRule="exact"/>
              <w:jc w:val="center"/>
              <w:rPr>
                <w:rFonts w:ascii="宋体" w:hAnsi="宋体"/>
                <w:color w:val="auto"/>
                <w:szCs w:val="21"/>
                <w:highlight w:val="none"/>
              </w:rPr>
            </w:pPr>
            <w:r>
              <w:rPr>
                <w:rFonts w:hint="eastAsia" w:ascii="宋体" w:hAnsi="宋体"/>
                <w:color w:val="auto"/>
                <w:szCs w:val="21"/>
                <w:highlight w:val="none"/>
              </w:rPr>
              <w:t>总报价</w:t>
            </w:r>
          </w:p>
        </w:tc>
        <w:tc>
          <w:tcPr>
            <w:tcW w:w="7296" w:type="dxa"/>
            <w:gridSpan w:val="3"/>
            <w:tcBorders>
              <w:top w:val="single" w:color="auto" w:sz="6" w:space="0"/>
              <w:left w:val="single" w:color="auto" w:sz="6" w:space="0"/>
              <w:bottom w:val="single" w:color="auto" w:sz="6" w:space="0"/>
              <w:right w:val="double" w:color="auto" w:sz="4" w:space="0"/>
            </w:tcBorders>
            <w:vAlign w:val="center"/>
          </w:tcPr>
          <w:p w14:paraId="6C1CE8B3">
            <w:pPr>
              <w:spacing w:line="420" w:lineRule="exact"/>
              <w:jc w:val="left"/>
              <w:rPr>
                <w:rFonts w:ascii="宋体" w:hAnsi="宋体"/>
                <w:color w:val="auto"/>
                <w:szCs w:val="21"/>
                <w:highlight w:val="none"/>
              </w:rPr>
            </w:pPr>
            <w:r>
              <w:rPr>
                <w:rFonts w:hint="eastAsia" w:ascii="宋体" w:hAnsi="宋体"/>
                <w:color w:val="auto"/>
                <w:szCs w:val="21"/>
                <w:highlight w:val="none"/>
              </w:rPr>
              <w:t>大写：</w:t>
            </w:r>
            <w:r>
              <w:rPr>
                <w:rFonts w:hint="eastAsia" w:ascii="宋体" w:hAnsi="宋体"/>
                <w:color w:val="auto"/>
                <w:szCs w:val="21"/>
                <w:highlight w:val="none"/>
                <w:u w:val="single"/>
              </w:rPr>
              <w:t xml:space="preserve">                                       </w:t>
            </w:r>
            <w:r>
              <w:rPr>
                <w:rFonts w:hint="eastAsia" w:ascii="宋体" w:hAnsi="宋体"/>
                <w:color w:val="auto"/>
                <w:szCs w:val="21"/>
                <w:highlight w:val="none"/>
              </w:rPr>
              <w:t>元人民币整</w:t>
            </w:r>
          </w:p>
          <w:p w14:paraId="6D65E9B3">
            <w:pPr>
              <w:spacing w:line="420" w:lineRule="exact"/>
              <w:jc w:val="center"/>
              <w:rPr>
                <w:rFonts w:ascii="宋体" w:hAnsi="宋体"/>
                <w:color w:val="auto"/>
                <w:szCs w:val="21"/>
                <w:highlight w:val="none"/>
              </w:rPr>
            </w:pPr>
          </w:p>
          <w:p w14:paraId="6B607553">
            <w:pPr>
              <w:spacing w:line="420" w:lineRule="exact"/>
              <w:jc w:val="left"/>
              <w:rPr>
                <w:rFonts w:ascii="宋体" w:hAnsi="宋体"/>
                <w:color w:val="auto"/>
                <w:szCs w:val="21"/>
                <w:highlight w:val="none"/>
              </w:rPr>
            </w:pP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rPr>
              <w:t>元人民币整</w:t>
            </w:r>
          </w:p>
        </w:tc>
      </w:tr>
      <w:tr w14:paraId="6D2752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524" w:type="dxa"/>
            <w:tcBorders>
              <w:top w:val="single" w:color="auto" w:sz="6" w:space="0"/>
              <w:left w:val="double" w:color="auto" w:sz="4" w:space="0"/>
              <w:bottom w:val="single" w:color="auto" w:sz="6" w:space="0"/>
              <w:right w:val="single" w:color="auto" w:sz="6" w:space="0"/>
            </w:tcBorders>
            <w:vAlign w:val="center"/>
          </w:tcPr>
          <w:p w14:paraId="132F05FB">
            <w:pPr>
              <w:spacing w:line="420" w:lineRule="exact"/>
              <w:jc w:val="center"/>
              <w:rPr>
                <w:rFonts w:ascii="宋体" w:hAnsi="宋体"/>
                <w:color w:val="auto"/>
                <w:szCs w:val="21"/>
                <w:highlight w:val="none"/>
              </w:rPr>
            </w:pPr>
            <w:r>
              <w:rPr>
                <w:rFonts w:hint="eastAsia" w:ascii="宋体" w:hAnsi="宋体"/>
                <w:color w:val="auto"/>
                <w:szCs w:val="21"/>
                <w:highlight w:val="none"/>
              </w:rPr>
              <w:t>工期</w:t>
            </w:r>
          </w:p>
        </w:tc>
        <w:tc>
          <w:tcPr>
            <w:tcW w:w="7296" w:type="dxa"/>
            <w:gridSpan w:val="3"/>
            <w:tcBorders>
              <w:top w:val="single" w:color="auto" w:sz="6" w:space="0"/>
              <w:left w:val="single" w:color="auto" w:sz="6" w:space="0"/>
              <w:bottom w:val="single" w:color="auto" w:sz="6" w:space="0"/>
              <w:right w:val="double" w:color="auto" w:sz="4" w:space="0"/>
            </w:tcBorders>
            <w:vAlign w:val="center"/>
          </w:tcPr>
          <w:p w14:paraId="6EE8DD55">
            <w:pPr>
              <w:spacing w:line="420" w:lineRule="exact"/>
              <w:jc w:val="left"/>
              <w:rPr>
                <w:rFonts w:ascii="宋体" w:hAnsi="宋体"/>
                <w:color w:val="auto"/>
                <w:szCs w:val="21"/>
                <w:highlight w:val="none"/>
              </w:rPr>
            </w:pPr>
          </w:p>
        </w:tc>
      </w:tr>
      <w:tr w14:paraId="7CBAB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524" w:type="dxa"/>
            <w:tcBorders>
              <w:top w:val="single" w:color="auto" w:sz="6" w:space="0"/>
              <w:left w:val="double" w:color="auto" w:sz="4" w:space="0"/>
              <w:bottom w:val="single" w:color="auto" w:sz="6" w:space="0"/>
              <w:right w:val="single" w:color="auto" w:sz="6" w:space="0"/>
            </w:tcBorders>
            <w:vAlign w:val="center"/>
          </w:tcPr>
          <w:p w14:paraId="6C82FA96">
            <w:pPr>
              <w:spacing w:line="420" w:lineRule="exact"/>
              <w:jc w:val="center"/>
              <w:rPr>
                <w:rFonts w:ascii="宋体" w:hAnsi="宋体"/>
                <w:color w:val="auto"/>
                <w:szCs w:val="21"/>
                <w:highlight w:val="none"/>
              </w:rPr>
            </w:pPr>
            <w:r>
              <w:rPr>
                <w:rFonts w:hint="eastAsia" w:ascii="宋体" w:hAnsi="宋体"/>
                <w:color w:val="auto"/>
                <w:szCs w:val="21"/>
                <w:highlight w:val="none"/>
              </w:rPr>
              <w:t>保修质量</w:t>
            </w:r>
          </w:p>
        </w:tc>
        <w:tc>
          <w:tcPr>
            <w:tcW w:w="7296" w:type="dxa"/>
            <w:gridSpan w:val="3"/>
            <w:tcBorders>
              <w:top w:val="single" w:color="auto" w:sz="6" w:space="0"/>
              <w:left w:val="single" w:color="auto" w:sz="6" w:space="0"/>
              <w:bottom w:val="single" w:color="auto" w:sz="6" w:space="0"/>
              <w:right w:val="double" w:color="auto" w:sz="4" w:space="0"/>
            </w:tcBorders>
            <w:vAlign w:val="center"/>
          </w:tcPr>
          <w:p w14:paraId="3306BB6E">
            <w:pPr>
              <w:spacing w:line="420" w:lineRule="exact"/>
              <w:jc w:val="left"/>
              <w:rPr>
                <w:rFonts w:ascii="宋体" w:hAnsi="宋体"/>
                <w:color w:val="auto"/>
                <w:szCs w:val="21"/>
                <w:highlight w:val="none"/>
              </w:rPr>
            </w:pPr>
          </w:p>
        </w:tc>
      </w:tr>
      <w:tr w14:paraId="2AD65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524" w:type="dxa"/>
            <w:tcBorders>
              <w:top w:val="single" w:color="auto" w:sz="6" w:space="0"/>
              <w:left w:val="double" w:color="auto" w:sz="4" w:space="0"/>
              <w:right w:val="single" w:color="auto" w:sz="6" w:space="0"/>
            </w:tcBorders>
            <w:vAlign w:val="center"/>
          </w:tcPr>
          <w:p w14:paraId="18633517">
            <w:pPr>
              <w:spacing w:line="420" w:lineRule="exact"/>
              <w:jc w:val="center"/>
              <w:rPr>
                <w:rFonts w:ascii="宋体" w:hAnsi="宋体"/>
                <w:color w:val="auto"/>
                <w:szCs w:val="21"/>
                <w:highlight w:val="none"/>
              </w:rPr>
            </w:pPr>
            <w:r>
              <w:rPr>
                <w:rFonts w:hint="eastAsia" w:ascii="宋体" w:hAnsi="宋体"/>
                <w:color w:val="auto"/>
                <w:szCs w:val="21"/>
                <w:highlight w:val="none"/>
              </w:rPr>
              <w:t>项目负责人</w:t>
            </w:r>
          </w:p>
        </w:tc>
        <w:tc>
          <w:tcPr>
            <w:tcW w:w="7296" w:type="dxa"/>
            <w:gridSpan w:val="3"/>
            <w:tcBorders>
              <w:top w:val="single" w:color="auto" w:sz="6" w:space="0"/>
              <w:left w:val="single" w:color="auto" w:sz="6" w:space="0"/>
              <w:bottom w:val="single" w:color="auto" w:sz="6" w:space="0"/>
              <w:right w:val="double" w:color="auto" w:sz="4" w:space="0"/>
            </w:tcBorders>
            <w:vAlign w:val="center"/>
          </w:tcPr>
          <w:p w14:paraId="588670C3">
            <w:pPr>
              <w:jc w:val="center"/>
              <w:rPr>
                <w:rFonts w:ascii="宋体" w:hAnsi="宋体"/>
                <w:color w:val="auto"/>
                <w:szCs w:val="21"/>
                <w:highlight w:val="none"/>
              </w:rPr>
            </w:pPr>
          </w:p>
        </w:tc>
      </w:tr>
      <w:tr w14:paraId="7FA64F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24" w:type="dxa"/>
            <w:tcBorders>
              <w:top w:val="single" w:color="auto" w:sz="6" w:space="0"/>
              <w:left w:val="double" w:color="auto" w:sz="4" w:space="0"/>
              <w:bottom w:val="double" w:color="auto" w:sz="4" w:space="0"/>
              <w:right w:val="single" w:color="auto" w:sz="6" w:space="0"/>
            </w:tcBorders>
            <w:vAlign w:val="center"/>
          </w:tcPr>
          <w:p w14:paraId="33FA87E0">
            <w:pPr>
              <w:spacing w:line="420" w:lineRule="exact"/>
              <w:jc w:val="center"/>
              <w:rPr>
                <w:rFonts w:ascii="宋体" w:hAnsi="宋体"/>
                <w:color w:val="auto"/>
                <w:szCs w:val="21"/>
                <w:highlight w:val="none"/>
              </w:rPr>
            </w:pPr>
            <w:r>
              <w:rPr>
                <w:rFonts w:ascii="宋体" w:hAnsi="宋体"/>
                <w:color w:val="auto"/>
                <w:szCs w:val="21"/>
                <w:highlight w:val="none"/>
              </w:rPr>
              <w:t>备  注</w:t>
            </w:r>
          </w:p>
        </w:tc>
        <w:tc>
          <w:tcPr>
            <w:tcW w:w="7296" w:type="dxa"/>
            <w:gridSpan w:val="3"/>
            <w:tcBorders>
              <w:top w:val="single" w:color="auto" w:sz="6" w:space="0"/>
              <w:left w:val="single" w:color="auto" w:sz="6" w:space="0"/>
              <w:bottom w:val="double" w:color="auto" w:sz="4" w:space="0"/>
              <w:right w:val="double" w:color="auto" w:sz="4" w:space="0"/>
            </w:tcBorders>
            <w:vAlign w:val="center"/>
          </w:tcPr>
          <w:p w14:paraId="5E8A279F">
            <w:pPr>
              <w:spacing w:line="420" w:lineRule="exact"/>
              <w:rPr>
                <w:rFonts w:ascii="宋体" w:hAnsi="宋体"/>
                <w:color w:val="auto"/>
                <w:szCs w:val="21"/>
                <w:highlight w:val="none"/>
              </w:rPr>
            </w:pPr>
          </w:p>
        </w:tc>
      </w:tr>
    </w:tbl>
    <w:p w14:paraId="5A5B631C">
      <w:pPr>
        <w:adjustRightInd w:val="0"/>
        <w:snapToGrid w:val="0"/>
        <w:spacing w:line="360" w:lineRule="auto"/>
        <w:ind w:left="-88" w:leftChars="-42"/>
        <w:rPr>
          <w:rFonts w:ascii="宋体" w:hAnsi="宋体"/>
          <w:color w:val="auto"/>
          <w:szCs w:val="21"/>
          <w:highlight w:val="none"/>
        </w:rPr>
      </w:pPr>
    </w:p>
    <w:p w14:paraId="7C2CB74E">
      <w:pPr>
        <w:adjustRightInd w:val="0"/>
        <w:snapToGrid w:val="0"/>
        <w:spacing w:line="360" w:lineRule="auto"/>
        <w:rPr>
          <w:rFonts w:ascii="宋体" w:hAnsi="宋体"/>
          <w:color w:val="auto"/>
          <w:szCs w:val="21"/>
          <w:highlight w:val="none"/>
        </w:rPr>
      </w:pPr>
    </w:p>
    <w:p w14:paraId="0A133A7F">
      <w:pPr>
        <w:adjustRightInd w:val="0"/>
        <w:snapToGrid w:val="0"/>
        <w:spacing w:line="360" w:lineRule="auto"/>
        <w:rPr>
          <w:rFonts w:ascii="宋体" w:hAnsi="宋体"/>
          <w:color w:val="auto"/>
          <w:szCs w:val="21"/>
          <w:highlight w:val="none"/>
        </w:rPr>
      </w:pPr>
    </w:p>
    <w:p w14:paraId="02DCFF34">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供应商（盖单位章）：</w:t>
      </w:r>
    </w:p>
    <w:p w14:paraId="446F5175">
      <w:pPr>
        <w:adjustRightInd w:val="0"/>
        <w:snapToGrid w:val="0"/>
        <w:spacing w:line="360" w:lineRule="auto"/>
        <w:rPr>
          <w:rFonts w:ascii="宋体" w:hAnsi="宋体"/>
          <w:color w:val="auto"/>
          <w:szCs w:val="21"/>
          <w:highlight w:val="none"/>
        </w:rPr>
      </w:pPr>
    </w:p>
    <w:p w14:paraId="60C2FE41">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 xml:space="preserve">法定代表人或其委托代理人签字：        </w:t>
      </w:r>
      <w:r>
        <w:rPr>
          <w:rFonts w:hint="eastAsia" w:ascii="宋体" w:hAnsi="宋体"/>
          <w:color w:val="auto"/>
          <w:szCs w:val="21"/>
          <w:highlight w:val="none"/>
          <w:u w:val="single"/>
        </w:rPr>
        <w:t xml:space="preserve">      </w:t>
      </w:r>
    </w:p>
    <w:p w14:paraId="48BB9016">
      <w:pPr>
        <w:adjustRightInd w:val="0"/>
        <w:snapToGrid w:val="0"/>
        <w:spacing w:line="360" w:lineRule="auto"/>
        <w:rPr>
          <w:rFonts w:ascii="宋体" w:hAnsi="宋体"/>
          <w:color w:val="auto"/>
          <w:szCs w:val="21"/>
          <w:highlight w:val="none"/>
        </w:rPr>
      </w:pPr>
    </w:p>
    <w:p w14:paraId="0C7714FC">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4685078">
      <w:pPr>
        <w:adjustRightInd w:val="0"/>
        <w:snapToGrid w:val="0"/>
        <w:spacing w:line="360" w:lineRule="auto"/>
        <w:rPr>
          <w:rFonts w:ascii="宋体" w:hAnsi="宋体"/>
          <w:color w:val="auto"/>
          <w:highlight w:val="none"/>
        </w:rPr>
      </w:pPr>
      <w:r>
        <w:rPr>
          <w:rFonts w:ascii="宋体" w:hAnsi="宋体"/>
          <w:color w:val="auto"/>
          <w:highlight w:val="none"/>
        </w:rPr>
        <w:br w:type="page"/>
      </w:r>
    </w:p>
    <w:p w14:paraId="38C3BEDF">
      <w:pPr>
        <w:adjustRightInd w:val="0"/>
        <w:snapToGrid w:val="0"/>
        <w:spacing w:before="120" w:beforeLines="5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附件11</w:t>
      </w:r>
    </w:p>
    <w:p w14:paraId="60C42FA4">
      <w:pPr>
        <w:adjustRightInd w:val="0"/>
        <w:snapToGrid w:val="0"/>
        <w:ind w:right="24"/>
        <w:jc w:val="center"/>
        <w:rPr>
          <w:rFonts w:asciiTheme="minorEastAsia" w:hAnsiTheme="minorEastAsia" w:eastAsiaTheme="minorEastAsia"/>
          <w:b/>
          <w:color w:val="auto"/>
          <w:sz w:val="28"/>
          <w:szCs w:val="28"/>
          <w:highlight w:val="none"/>
        </w:rPr>
      </w:pPr>
      <w:r>
        <w:rPr>
          <w:rFonts w:hint="eastAsia" w:asciiTheme="minorEastAsia" w:hAnsiTheme="minorEastAsia" w:eastAsiaTheme="minorEastAsia"/>
          <w:b/>
          <w:color w:val="auto"/>
          <w:sz w:val="28"/>
          <w:szCs w:val="28"/>
          <w:highlight w:val="none"/>
        </w:rPr>
        <w:t>分项价格表</w:t>
      </w:r>
    </w:p>
    <w:p w14:paraId="7F4CE188">
      <w:pPr>
        <w:adjustRightInd w:val="0"/>
        <w:snapToGrid w:val="0"/>
        <w:jc w:val="center"/>
        <w:rPr>
          <w:rFonts w:asciiTheme="minorEastAsia" w:hAnsiTheme="minorEastAsia" w:eastAsiaTheme="minorEastAsia"/>
          <w:color w:val="auto"/>
          <w:szCs w:val="21"/>
          <w:highlight w:val="none"/>
        </w:rPr>
      </w:pPr>
    </w:p>
    <w:p w14:paraId="5B44E489">
      <w:pPr>
        <w:pStyle w:val="61"/>
        <w:keepNext w:val="0"/>
        <w:keepLines w:val="0"/>
        <w:pageBreakBefore w:val="0"/>
        <w:widowControl w:val="0"/>
        <w:kinsoku/>
        <w:wordWrap/>
        <w:overflowPunct/>
        <w:topLinePunct w:val="0"/>
        <w:bidi w:val="0"/>
        <w:snapToGrid/>
        <w:spacing w:line="360" w:lineRule="auto"/>
        <w:textAlignment w:val="auto"/>
        <w:rPr>
          <w:color w:val="auto"/>
          <w:highlight w:val="none"/>
        </w:rPr>
      </w:pPr>
      <w:r>
        <w:rPr>
          <w:rFonts w:hint="eastAsia"/>
          <w:color w:val="auto"/>
          <w:highlight w:val="none"/>
        </w:rPr>
        <w:t xml:space="preserve">按采购文件提供的工程量清单报价。 </w:t>
      </w:r>
    </w:p>
    <w:p w14:paraId="00B77265">
      <w:pPr>
        <w:keepNext w:val="0"/>
        <w:keepLines w:val="0"/>
        <w:pageBreakBefore w:val="0"/>
        <w:widowControl w:val="0"/>
        <w:kinsoku/>
        <w:wordWrap/>
        <w:overflowPunct/>
        <w:topLinePunct w:val="0"/>
        <w:autoSpaceDE w:val="0"/>
        <w:autoSpaceDN w:val="0"/>
        <w:bidi w:val="0"/>
        <w:adjustRightInd w:val="0"/>
        <w:snapToGrid/>
        <w:spacing w:line="360" w:lineRule="auto"/>
        <w:ind w:right="-23" w:firstLine="420" w:firstLineChars="200"/>
        <w:jc w:val="left"/>
        <w:textAlignment w:val="auto"/>
        <w:rPr>
          <w:rFonts w:asciiTheme="minorEastAsia" w:hAnsiTheme="minorEastAsia" w:eastAsiaTheme="minorEastAsia"/>
          <w:b/>
          <w:color w:val="auto"/>
          <w:szCs w:val="21"/>
          <w:highlight w:val="none"/>
        </w:rPr>
      </w:pPr>
      <w:r>
        <w:rPr>
          <w:rFonts w:hint="eastAsia"/>
          <w:color w:val="auto"/>
          <w:highlight w:val="none"/>
        </w:rPr>
        <w:t>供应商必须提供详细的工程量清单，工程量清单中必须包含但不限以下表格：（1）含费率的单位工程投标报价汇总表。（2）含工程量清单子目和定额子目的分部分项工程项目清单与措施项目清单计价表。（3）人工、材料、机械汇总表。</w:t>
      </w:r>
    </w:p>
    <w:p w14:paraId="2B3FFDE3">
      <w:pPr>
        <w:pStyle w:val="61"/>
        <w:rPr>
          <w:color w:val="auto"/>
          <w:highlight w:val="none"/>
        </w:rPr>
      </w:pPr>
    </w:p>
    <w:p w14:paraId="031AE863">
      <w:pPr>
        <w:adjustRightInd w:val="0"/>
        <w:snapToGrid w:val="0"/>
        <w:spacing w:line="360" w:lineRule="auto"/>
        <w:rPr>
          <w:rFonts w:ascii="宋体" w:hAnsi="宋体"/>
          <w:color w:val="auto"/>
          <w:szCs w:val="21"/>
          <w:highlight w:val="none"/>
        </w:rPr>
      </w:pPr>
    </w:p>
    <w:p w14:paraId="341BB7DE">
      <w:pPr>
        <w:adjustRightInd w:val="0"/>
        <w:snapToGrid w:val="0"/>
        <w:spacing w:line="360" w:lineRule="auto"/>
        <w:rPr>
          <w:rFonts w:ascii="宋体" w:hAnsi="宋体"/>
          <w:color w:val="auto"/>
          <w:szCs w:val="21"/>
          <w:highlight w:val="none"/>
        </w:rPr>
      </w:pPr>
    </w:p>
    <w:p w14:paraId="61245D84">
      <w:pPr>
        <w:adjustRightInd w:val="0"/>
        <w:snapToGrid w:val="0"/>
        <w:spacing w:line="360" w:lineRule="auto"/>
        <w:rPr>
          <w:rFonts w:ascii="宋体" w:hAnsi="宋体"/>
          <w:color w:val="auto"/>
          <w:szCs w:val="21"/>
          <w:highlight w:val="none"/>
        </w:rPr>
      </w:pPr>
    </w:p>
    <w:p w14:paraId="364202A9">
      <w:pPr>
        <w:adjustRightInd w:val="0"/>
        <w:snapToGrid w:val="0"/>
        <w:spacing w:line="360" w:lineRule="auto"/>
        <w:rPr>
          <w:rFonts w:ascii="宋体" w:hAnsi="宋体"/>
          <w:color w:val="auto"/>
          <w:szCs w:val="21"/>
          <w:highlight w:val="none"/>
        </w:rPr>
      </w:pPr>
    </w:p>
    <w:p w14:paraId="55E40AEE">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投标人名称（单位公章）：</w:t>
      </w:r>
      <w:r>
        <w:rPr>
          <w:rFonts w:hint="eastAsia" w:ascii="宋体" w:hAnsi="宋体"/>
          <w:color w:val="auto"/>
          <w:szCs w:val="21"/>
          <w:highlight w:val="none"/>
          <w:u w:val="single"/>
        </w:rPr>
        <w:t xml:space="preserve">                </w:t>
      </w:r>
      <w:r>
        <w:rPr>
          <w:rFonts w:hint="eastAsia" w:ascii="宋体" w:hAnsi="宋体"/>
          <w:color w:val="auto"/>
          <w:szCs w:val="21"/>
          <w:highlight w:val="none"/>
        </w:rPr>
        <w:t>_</w:t>
      </w:r>
    </w:p>
    <w:p w14:paraId="2E4C32F9">
      <w:pPr>
        <w:adjustRightInd w:val="0"/>
        <w:snapToGrid w:val="0"/>
        <w:spacing w:line="360" w:lineRule="auto"/>
        <w:rPr>
          <w:rFonts w:ascii="宋体" w:hAnsi="宋体"/>
          <w:color w:val="auto"/>
          <w:szCs w:val="21"/>
          <w:highlight w:val="none"/>
        </w:rPr>
      </w:pPr>
      <w:r>
        <w:rPr>
          <w:rFonts w:hint="eastAsia" w:ascii="宋体" w:hAnsi="宋体"/>
          <w:color w:val="auto"/>
          <w:szCs w:val="21"/>
          <w:highlight w:val="none"/>
        </w:rPr>
        <w:t>法定代表人或其授权的代理人(签字)：</w:t>
      </w:r>
      <w:r>
        <w:rPr>
          <w:rFonts w:hint="eastAsia" w:ascii="宋体" w:hAnsi="宋体"/>
          <w:color w:val="auto"/>
          <w:szCs w:val="21"/>
          <w:highlight w:val="none"/>
          <w:u w:val="single"/>
        </w:rPr>
        <w:t xml:space="preserve">                </w:t>
      </w:r>
      <w:r>
        <w:rPr>
          <w:rFonts w:hint="eastAsia" w:ascii="宋体" w:hAnsi="宋体"/>
          <w:color w:val="auto"/>
          <w:szCs w:val="21"/>
          <w:highlight w:val="none"/>
        </w:rPr>
        <w:t>_</w:t>
      </w:r>
    </w:p>
    <w:p w14:paraId="62B89469">
      <w:pPr>
        <w:adjustRightInd w:val="0"/>
        <w:snapToGrid w:val="0"/>
        <w:rPr>
          <w:rFonts w:hint="eastAsia" w:ascii="宋体" w:hAnsi="宋体"/>
          <w:color w:val="auto"/>
          <w:szCs w:val="21"/>
          <w:highlight w:val="none"/>
        </w:rPr>
      </w:pPr>
      <w:r>
        <w:rPr>
          <w:rFonts w:hint="eastAsia" w:ascii="宋体" w:hAnsi="宋体"/>
          <w:color w:val="auto"/>
          <w:szCs w:val="21"/>
          <w:highlight w:val="none"/>
        </w:rPr>
        <w:t>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04DE7FD2">
      <w:pPr>
        <w:rPr>
          <w:rFonts w:hint="eastAsia" w:ascii="宋体" w:hAnsi="宋体"/>
          <w:color w:val="auto"/>
          <w:szCs w:val="21"/>
          <w:highlight w:val="none"/>
        </w:rPr>
      </w:pPr>
      <w:r>
        <w:rPr>
          <w:rFonts w:hint="eastAsia" w:ascii="宋体" w:hAnsi="宋体"/>
          <w:color w:val="auto"/>
          <w:szCs w:val="21"/>
          <w:highlight w:val="none"/>
        </w:rPr>
        <w:br w:type="page"/>
      </w:r>
    </w:p>
    <w:p w14:paraId="081942BF">
      <w:pPr>
        <w:adjustRightInd w:val="0"/>
        <w:snapToGrid w:val="0"/>
        <w:spacing w:line="360" w:lineRule="auto"/>
        <w:ind w:left="-88" w:leftChars="-42"/>
        <w:jc w:val="center"/>
        <w:outlineLvl w:val="1"/>
        <w:rPr>
          <w:rFonts w:ascii="宋体" w:hAnsi="宋体"/>
          <w:color w:val="auto"/>
          <w:sz w:val="28"/>
          <w:szCs w:val="28"/>
          <w:highlight w:val="none"/>
        </w:rPr>
      </w:pPr>
      <w:bookmarkStart w:id="122" w:name="_Toc15111"/>
      <w:r>
        <w:rPr>
          <w:rFonts w:hint="eastAsia" w:ascii="宋体" w:hAnsi="宋体"/>
          <w:b/>
          <w:color w:val="auto"/>
          <w:sz w:val="28"/>
          <w:szCs w:val="28"/>
          <w:highlight w:val="none"/>
          <w:lang w:val="en-US" w:eastAsia="zh-CN"/>
        </w:rPr>
        <w:t>七</w:t>
      </w:r>
      <w:r>
        <w:rPr>
          <w:rFonts w:hint="eastAsia" w:ascii="宋体" w:hAnsi="宋体"/>
          <w:b/>
          <w:bCs/>
          <w:color w:val="auto"/>
          <w:sz w:val="28"/>
          <w:szCs w:val="28"/>
          <w:highlight w:val="none"/>
        </w:rPr>
        <w:t>、供应商认为需要提供的其它资料</w:t>
      </w:r>
      <w:bookmarkEnd w:id="122"/>
    </w:p>
    <w:p w14:paraId="534865DD">
      <w:pPr>
        <w:spacing w:line="480" w:lineRule="exact"/>
        <w:ind w:left="480" w:hanging="480" w:hangingChars="200"/>
        <w:rPr>
          <w:rFonts w:ascii="宋体" w:hAnsi="宋体"/>
          <w:color w:val="auto"/>
          <w:sz w:val="24"/>
          <w:highlight w:val="none"/>
        </w:rPr>
      </w:pPr>
      <w:r>
        <w:rPr>
          <w:rFonts w:hint="eastAsia" w:ascii="宋体" w:hAnsi="宋体"/>
          <w:color w:val="auto"/>
          <w:sz w:val="24"/>
          <w:highlight w:val="none"/>
        </w:rPr>
        <w:t>附件12 项目负责人简历</w:t>
      </w:r>
    </w:p>
    <w:p w14:paraId="5B5D2B6F">
      <w:pPr>
        <w:adjustRightInd w:val="0"/>
        <w:snapToGrid w:val="0"/>
        <w:rPr>
          <w:rFonts w:ascii="宋体" w:hAnsi="宋体"/>
          <w:color w:val="auto"/>
          <w:sz w:val="24"/>
          <w:highlight w:val="none"/>
        </w:rPr>
      </w:pPr>
    </w:p>
    <w:p w14:paraId="65D97894">
      <w:pPr>
        <w:spacing w:line="480" w:lineRule="exact"/>
        <w:ind w:left="482" w:hanging="482" w:hangingChars="200"/>
        <w:jc w:val="center"/>
        <w:rPr>
          <w:rFonts w:ascii="宋体" w:hAnsi="宋体"/>
          <w:b/>
          <w:color w:val="auto"/>
          <w:sz w:val="24"/>
          <w:highlight w:val="none"/>
        </w:rPr>
      </w:pPr>
      <w:r>
        <w:rPr>
          <w:rFonts w:hint="eastAsia" w:ascii="宋体" w:hAnsi="宋体"/>
          <w:b/>
          <w:color w:val="auto"/>
          <w:sz w:val="24"/>
          <w:highlight w:val="none"/>
        </w:rPr>
        <w:t>项目负责人简历</w:t>
      </w:r>
    </w:p>
    <w:tbl>
      <w:tblPr>
        <w:tblStyle w:val="46"/>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078570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vAlign w:val="center"/>
          </w:tcPr>
          <w:p w14:paraId="56317BEB">
            <w:pPr>
              <w:spacing w:line="360" w:lineRule="atLeast"/>
              <w:jc w:val="center"/>
              <w:rPr>
                <w:rFonts w:ascii="宋体"/>
                <w:color w:val="auto"/>
                <w:highlight w:val="none"/>
              </w:rPr>
            </w:pPr>
            <w:r>
              <w:rPr>
                <w:rFonts w:hint="eastAsia" w:ascii="宋体"/>
                <w:color w:val="auto"/>
                <w:highlight w:val="none"/>
              </w:rPr>
              <w:t>姓</w:t>
            </w:r>
            <w:r>
              <w:rPr>
                <w:rFonts w:ascii="宋体"/>
                <w:color w:val="auto"/>
                <w:highlight w:val="none"/>
              </w:rPr>
              <w:t xml:space="preserve">   </w:t>
            </w:r>
            <w:r>
              <w:rPr>
                <w:rFonts w:hint="eastAsia" w:ascii="宋体"/>
                <w:color w:val="auto"/>
                <w:highlight w:val="none"/>
              </w:rPr>
              <w:t>名</w:t>
            </w:r>
          </w:p>
        </w:tc>
        <w:tc>
          <w:tcPr>
            <w:tcW w:w="2468" w:type="dxa"/>
            <w:vAlign w:val="center"/>
          </w:tcPr>
          <w:p w14:paraId="7270ABF3">
            <w:pPr>
              <w:spacing w:line="360" w:lineRule="atLeast"/>
              <w:jc w:val="center"/>
              <w:rPr>
                <w:rFonts w:ascii="宋体"/>
                <w:color w:val="auto"/>
                <w:highlight w:val="none"/>
              </w:rPr>
            </w:pPr>
          </w:p>
        </w:tc>
        <w:tc>
          <w:tcPr>
            <w:tcW w:w="2340" w:type="dxa"/>
            <w:gridSpan w:val="3"/>
            <w:vAlign w:val="center"/>
          </w:tcPr>
          <w:p w14:paraId="09C1F249">
            <w:pPr>
              <w:spacing w:line="360" w:lineRule="atLeast"/>
              <w:jc w:val="center"/>
              <w:rPr>
                <w:rFonts w:ascii="宋体"/>
                <w:color w:val="auto"/>
                <w:highlight w:val="none"/>
              </w:rPr>
            </w:pPr>
            <w:r>
              <w:rPr>
                <w:rFonts w:hint="eastAsia" w:ascii="宋体"/>
                <w:color w:val="auto"/>
                <w:highlight w:val="none"/>
              </w:rPr>
              <w:t>性</w:t>
            </w:r>
            <w:r>
              <w:rPr>
                <w:rFonts w:ascii="宋体"/>
                <w:color w:val="auto"/>
                <w:highlight w:val="none"/>
              </w:rPr>
              <w:t xml:space="preserve">  </w:t>
            </w:r>
            <w:r>
              <w:rPr>
                <w:rFonts w:hint="eastAsia" w:ascii="宋体"/>
                <w:color w:val="auto"/>
                <w:highlight w:val="none"/>
              </w:rPr>
              <w:t>别</w:t>
            </w:r>
          </w:p>
        </w:tc>
        <w:tc>
          <w:tcPr>
            <w:tcW w:w="1663" w:type="dxa"/>
            <w:vAlign w:val="center"/>
          </w:tcPr>
          <w:p w14:paraId="142CDF82">
            <w:pPr>
              <w:spacing w:line="360" w:lineRule="atLeast"/>
              <w:jc w:val="center"/>
              <w:rPr>
                <w:rFonts w:ascii="宋体"/>
                <w:color w:val="auto"/>
                <w:highlight w:val="none"/>
              </w:rPr>
            </w:pPr>
          </w:p>
        </w:tc>
      </w:tr>
      <w:tr w14:paraId="2F0C69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613" w:hRule="exact"/>
        </w:trPr>
        <w:tc>
          <w:tcPr>
            <w:tcW w:w="2032" w:type="dxa"/>
            <w:gridSpan w:val="2"/>
            <w:vAlign w:val="center"/>
          </w:tcPr>
          <w:p w14:paraId="3040263A">
            <w:pPr>
              <w:spacing w:line="360" w:lineRule="atLeast"/>
              <w:jc w:val="center"/>
              <w:rPr>
                <w:rFonts w:ascii="宋体"/>
                <w:color w:val="auto"/>
                <w:highlight w:val="none"/>
              </w:rPr>
            </w:pPr>
            <w:r>
              <w:rPr>
                <w:rFonts w:hint="eastAsia" w:ascii="宋体"/>
                <w:color w:val="auto"/>
                <w:highlight w:val="none"/>
              </w:rPr>
              <w:t>职</w:t>
            </w:r>
            <w:r>
              <w:rPr>
                <w:rFonts w:ascii="宋体"/>
                <w:color w:val="auto"/>
                <w:highlight w:val="none"/>
              </w:rPr>
              <w:t xml:space="preserve">   </w:t>
            </w:r>
            <w:r>
              <w:rPr>
                <w:rFonts w:hint="eastAsia" w:ascii="宋体"/>
                <w:color w:val="auto"/>
                <w:highlight w:val="none"/>
              </w:rPr>
              <w:t>务</w:t>
            </w:r>
          </w:p>
        </w:tc>
        <w:tc>
          <w:tcPr>
            <w:tcW w:w="2468" w:type="dxa"/>
            <w:vAlign w:val="center"/>
          </w:tcPr>
          <w:p w14:paraId="1AFFFC21">
            <w:pPr>
              <w:spacing w:line="360" w:lineRule="atLeast"/>
              <w:jc w:val="center"/>
              <w:rPr>
                <w:rFonts w:ascii="宋体"/>
                <w:color w:val="auto"/>
                <w:highlight w:val="none"/>
              </w:rPr>
            </w:pPr>
          </w:p>
        </w:tc>
        <w:tc>
          <w:tcPr>
            <w:tcW w:w="2340" w:type="dxa"/>
            <w:gridSpan w:val="3"/>
            <w:vAlign w:val="center"/>
          </w:tcPr>
          <w:p w14:paraId="772D9EA2">
            <w:pPr>
              <w:spacing w:line="360" w:lineRule="atLeast"/>
              <w:jc w:val="center"/>
              <w:rPr>
                <w:rFonts w:ascii="宋体"/>
                <w:color w:val="auto"/>
                <w:highlight w:val="none"/>
              </w:rPr>
            </w:pPr>
            <w:r>
              <w:rPr>
                <w:rFonts w:hint="eastAsia" w:ascii="宋体"/>
                <w:color w:val="auto"/>
                <w:highlight w:val="none"/>
              </w:rPr>
              <w:t>职</w:t>
            </w:r>
            <w:r>
              <w:rPr>
                <w:rFonts w:ascii="宋体"/>
                <w:color w:val="auto"/>
                <w:highlight w:val="none"/>
              </w:rPr>
              <w:t xml:space="preserve">  </w:t>
            </w:r>
            <w:r>
              <w:rPr>
                <w:rFonts w:hint="eastAsia" w:ascii="宋体"/>
                <w:color w:val="auto"/>
                <w:highlight w:val="none"/>
              </w:rPr>
              <w:t>称</w:t>
            </w:r>
          </w:p>
        </w:tc>
        <w:tc>
          <w:tcPr>
            <w:tcW w:w="1663" w:type="dxa"/>
            <w:vAlign w:val="center"/>
          </w:tcPr>
          <w:p w14:paraId="50F28D51">
            <w:pPr>
              <w:spacing w:line="360" w:lineRule="atLeast"/>
              <w:jc w:val="center"/>
              <w:rPr>
                <w:rFonts w:ascii="宋体"/>
                <w:color w:val="auto"/>
                <w:highlight w:val="none"/>
              </w:rPr>
            </w:pPr>
          </w:p>
        </w:tc>
      </w:tr>
      <w:tr w14:paraId="4E6A2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vAlign w:val="center"/>
          </w:tcPr>
          <w:p w14:paraId="704F4B62">
            <w:pPr>
              <w:spacing w:line="360" w:lineRule="atLeast"/>
              <w:jc w:val="center"/>
              <w:rPr>
                <w:rFonts w:ascii="宋体"/>
                <w:color w:val="auto"/>
                <w:highlight w:val="none"/>
              </w:rPr>
            </w:pPr>
            <w:r>
              <w:rPr>
                <w:rFonts w:hint="eastAsia" w:ascii="宋体"/>
                <w:color w:val="auto"/>
                <w:highlight w:val="none"/>
              </w:rPr>
              <w:t>毕业学校、专业</w:t>
            </w:r>
          </w:p>
        </w:tc>
        <w:tc>
          <w:tcPr>
            <w:tcW w:w="6471" w:type="dxa"/>
            <w:gridSpan w:val="5"/>
            <w:vAlign w:val="center"/>
          </w:tcPr>
          <w:p w14:paraId="46662F40">
            <w:pPr>
              <w:spacing w:line="360" w:lineRule="atLeast"/>
              <w:jc w:val="center"/>
              <w:rPr>
                <w:rFonts w:ascii="宋体"/>
                <w:color w:val="auto"/>
                <w:highlight w:val="none"/>
              </w:rPr>
            </w:pPr>
          </w:p>
        </w:tc>
      </w:tr>
      <w:tr w14:paraId="1764E2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70C3F378">
            <w:pPr>
              <w:spacing w:line="360" w:lineRule="atLeast"/>
              <w:jc w:val="center"/>
              <w:rPr>
                <w:rFonts w:ascii="宋体"/>
                <w:color w:val="auto"/>
                <w:highlight w:val="none"/>
              </w:rPr>
            </w:pPr>
            <w:r>
              <w:rPr>
                <w:rFonts w:hint="eastAsia" w:ascii="宋体"/>
                <w:color w:val="auto"/>
                <w:highlight w:val="none"/>
              </w:rPr>
              <w:t>身份证号</w:t>
            </w:r>
          </w:p>
        </w:tc>
        <w:tc>
          <w:tcPr>
            <w:tcW w:w="2468" w:type="dxa"/>
            <w:vAlign w:val="center"/>
          </w:tcPr>
          <w:p w14:paraId="5E894FFB">
            <w:pPr>
              <w:spacing w:line="360" w:lineRule="atLeast"/>
              <w:jc w:val="center"/>
              <w:rPr>
                <w:rFonts w:ascii="宋体"/>
                <w:color w:val="auto"/>
                <w:highlight w:val="none"/>
              </w:rPr>
            </w:pPr>
          </w:p>
        </w:tc>
        <w:tc>
          <w:tcPr>
            <w:tcW w:w="2340" w:type="dxa"/>
            <w:gridSpan w:val="3"/>
            <w:vAlign w:val="center"/>
          </w:tcPr>
          <w:p w14:paraId="11CBAC30">
            <w:pPr>
              <w:spacing w:line="360" w:lineRule="atLeast"/>
              <w:jc w:val="center"/>
              <w:rPr>
                <w:rFonts w:ascii="宋体"/>
                <w:color w:val="auto"/>
                <w:highlight w:val="none"/>
              </w:rPr>
            </w:pPr>
            <w:r>
              <w:rPr>
                <w:rFonts w:hint="eastAsia" w:ascii="宋体"/>
                <w:color w:val="auto"/>
                <w:highlight w:val="none"/>
              </w:rPr>
              <w:t>拟在本合同任职</w:t>
            </w:r>
          </w:p>
        </w:tc>
        <w:tc>
          <w:tcPr>
            <w:tcW w:w="1663" w:type="dxa"/>
            <w:vAlign w:val="center"/>
          </w:tcPr>
          <w:p w14:paraId="79966ADF">
            <w:pPr>
              <w:spacing w:line="360" w:lineRule="atLeast"/>
              <w:ind w:right="-105" w:rightChars="-50"/>
              <w:jc w:val="center"/>
              <w:rPr>
                <w:rFonts w:ascii="宋体"/>
                <w:color w:val="auto"/>
                <w:highlight w:val="none"/>
              </w:rPr>
            </w:pPr>
          </w:p>
        </w:tc>
      </w:tr>
      <w:tr w14:paraId="1F40C6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36BC0B5C">
            <w:pPr>
              <w:spacing w:line="360" w:lineRule="atLeast"/>
              <w:jc w:val="center"/>
              <w:rPr>
                <w:rFonts w:ascii="宋体"/>
                <w:color w:val="auto"/>
                <w:highlight w:val="none"/>
              </w:rPr>
            </w:pPr>
            <w:r>
              <w:rPr>
                <w:rFonts w:hint="eastAsia" w:ascii="宋体"/>
                <w:color w:val="auto"/>
                <w:highlight w:val="none"/>
              </w:rPr>
              <w:t>执业资格证</w:t>
            </w:r>
          </w:p>
        </w:tc>
        <w:tc>
          <w:tcPr>
            <w:tcW w:w="2468" w:type="dxa"/>
            <w:vAlign w:val="center"/>
          </w:tcPr>
          <w:p w14:paraId="516B1C40">
            <w:pPr>
              <w:spacing w:line="360" w:lineRule="atLeast"/>
              <w:jc w:val="center"/>
              <w:rPr>
                <w:rFonts w:ascii="宋体"/>
                <w:color w:val="auto"/>
                <w:highlight w:val="none"/>
              </w:rPr>
            </w:pPr>
          </w:p>
        </w:tc>
        <w:tc>
          <w:tcPr>
            <w:tcW w:w="2340" w:type="dxa"/>
            <w:gridSpan w:val="3"/>
            <w:vAlign w:val="center"/>
          </w:tcPr>
          <w:p w14:paraId="0988EB31">
            <w:pPr>
              <w:spacing w:line="360" w:lineRule="atLeast"/>
              <w:jc w:val="center"/>
              <w:rPr>
                <w:rFonts w:ascii="宋体"/>
                <w:color w:val="auto"/>
                <w:highlight w:val="none"/>
              </w:rPr>
            </w:pPr>
            <w:r>
              <w:rPr>
                <w:rFonts w:hint="eastAsia" w:ascii="宋体"/>
                <w:color w:val="auto"/>
                <w:highlight w:val="none"/>
              </w:rPr>
              <w:t>执业资格证书号</w:t>
            </w:r>
          </w:p>
        </w:tc>
        <w:tc>
          <w:tcPr>
            <w:tcW w:w="1663" w:type="dxa"/>
            <w:vAlign w:val="center"/>
          </w:tcPr>
          <w:p w14:paraId="6C04359A">
            <w:pPr>
              <w:rPr>
                <w:rFonts w:ascii="宋体"/>
                <w:color w:val="auto"/>
                <w:highlight w:val="none"/>
              </w:rPr>
            </w:pPr>
          </w:p>
        </w:tc>
      </w:tr>
      <w:tr w14:paraId="7FC5C0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vAlign w:val="center"/>
          </w:tcPr>
          <w:p w14:paraId="2DD97D82">
            <w:pPr>
              <w:spacing w:line="360" w:lineRule="atLeast"/>
              <w:rPr>
                <w:rFonts w:ascii="宋体"/>
                <w:color w:val="auto"/>
                <w:highlight w:val="none"/>
              </w:rPr>
            </w:pPr>
            <w:r>
              <w:rPr>
                <w:rFonts w:hint="eastAsia" w:ascii="宋体"/>
                <w:color w:val="auto"/>
                <w:highlight w:val="none"/>
              </w:rPr>
              <w:t>近三年承担项目情况</w:t>
            </w:r>
          </w:p>
        </w:tc>
      </w:tr>
      <w:tr w14:paraId="158F81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0E566989">
            <w:pPr>
              <w:spacing w:line="360" w:lineRule="atLeast"/>
              <w:jc w:val="center"/>
              <w:rPr>
                <w:rFonts w:ascii="宋体"/>
                <w:color w:val="auto"/>
                <w:highlight w:val="none"/>
              </w:rPr>
            </w:pPr>
            <w:r>
              <w:rPr>
                <w:rFonts w:hint="eastAsia" w:ascii="宋体"/>
                <w:color w:val="auto"/>
                <w:highlight w:val="none"/>
              </w:rPr>
              <w:t>时间</w:t>
            </w:r>
          </w:p>
        </w:tc>
        <w:tc>
          <w:tcPr>
            <w:tcW w:w="3636" w:type="dxa"/>
            <w:gridSpan w:val="3"/>
            <w:vAlign w:val="center"/>
          </w:tcPr>
          <w:p w14:paraId="62D032F3">
            <w:pPr>
              <w:spacing w:line="360" w:lineRule="atLeast"/>
              <w:jc w:val="center"/>
              <w:rPr>
                <w:rFonts w:ascii="宋体"/>
                <w:color w:val="auto"/>
                <w:highlight w:val="none"/>
              </w:rPr>
            </w:pPr>
            <w:r>
              <w:rPr>
                <w:rFonts w:hint="eastAsia" w:ascii="宋体"/>
                <w:color w:val="auto"/>
                <w:highlight w:val="none"/>
              </w:rPr>
              <w:t>类似项目名称</w:t>
            </w:r>
          </w:p>
        </w:tc>
        <w:tc>
          <w:tcPr>
            <w:tcW w:w="1404" w:type="dxa"/>
            <w:vAlign w:val="center"/>
          </w:tcPr>
          <w:p w14:paraId="11D1B768">
            <w:pPr>
              <w:spacing w:line="360" w:lineRule="atLeast"/>
              <w:jc w:val="center"/>
              <w:rPr>
                <w:rFonts w:ascii="宋体"/>
                <w:color w:val="auto"/>
                <w:highlight w:val="none"/>
              </w:rPr>
            </w:pPr>
            <w:r>
              <w:rPr>
                <w:rFonts w:hint="eastAsia" w:ascii="宋体"/>
                <w:color w:val="auto"/>
                <w:highlight w:val="none"/>
              </w:rPr>
              <w:t>担任职务</w:t>
            </w:r>
          </w:p>
        </w:tc>
        <w:tc>
          <w:tcPr>
            <w:tcW w:w="2203" w:type="dxa"/>
            <w:gridSpan w:val="2"/>
            <w:vAlign w:val="center"/>
          </w:tcPr>
          <w:p w14:paraId="5312F94B">
            <w:pPr>
              <w:spacing w:line="360" w:lineRule="atLeast"/>
              <w:jc w:val="center"/>
              <w:rPr>
                <w:rFonts w:ascii="宋体"/>
                <w:color w:val="auto"/>
                <w:highlight w:val="none"/>
              </w:rPr>
            </w:pPr>
            <w:r>
              <w:rPr>
                <w:rFonts w:hint="eastAsia" w:ascii="宋体"/>
                <w:color w:val="auto"/>
                <w:highlight w:val="none"/>
              </w:rPr>
              <w:t>项目单位名称及电话</w:t>
            </w:r>
          </w:p>
        </w:tc>
      </w:tr>
      <w:tr w14:paraId="2CB98C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54361D00">
            <w:pPr>
              <w:spacing w:line="360" w:lineRule="atLeast"/>
              <w:jc w:val="center"/>
              <w:rPr>
                <w:rFonts w:ascii="宋体"/>
                <w:color w:val="auto"/>
                <w:highlight w:val="none"/>
              </w:rPr>
            </w:pPr>
          </w:p>
        </w:tc>
        <w:tc>
          <w:tcPr>
            <w:tcW w:w="3636" w:type="dxa"/>
            <w:gridSpan w:val="3"/>
            <w:vAlign w:val="center"/>
          </w:tcPr>
          <w:p w14:paraId="170B6C2B">
            <w:pPr>
              <w:spacing w:line="360" w:lineRule="atLeast"/>
              <w:jc w:val="center"/>
              <w:rPr>
                <w:rFonts w:ascii="宋体"/>
                <w:color w:val="auto"/>
                <w:highlight w:val="none"/>
              </w:rPr>
            </w:pPr>
          </w:p>
        </w:tc>
        <w:tc>
          <w:tcPr>
            <w:tcW w:w="1404" w:type="dxa"/>
            <w:vAlign w:val="center"/>
          </w:tcPr>
          <w:p w14:paraId="4CE9CE51">
            <w:pPr>
              <w:spacing w:line="360" w:lineRule="atLeast"/>
              <w:jc w:val="center"/>
              <w:rPr>
                <w:rFonts w:ascii="宋体"/>
                <w:color w:val="auto"/>
                <w:highlight w:val="none"/>
              </w:rPr>
            </w:pPr>
          </w:p>
        </w:tc>
        <w:tc>
          <w:tcPr>
            <w:tcW w:w="2203" w:type="dxa"/>
            <w:gridSpan w:val="2"/>
            <w:vAlign w:val="center"/>
          </w:tcPr>
          <w:p w14:paraId="0D2776DD">
            <w:pPr>
              <w:spacing w:line="360" w:lineRule="atLeast"/>
              <w:jc w:val="center"/>
              <w:rPr>
                <w:rFonts w:ascii="宋体"/>
                <w:color w:val="auto"/>
                <w:highlight w:val="none"/>
              </w:rPr>
            </w:pPr>
          </w:p>
        </w:tc>
      </w:tr>
      <w:tr w14:paraId="3F06DC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65BCB0A8">
            <w:pPr>
              <w:spacing w:line="360" w:lineRule="atLeast"/>
              <w:jc w:val="center"/>
              <w:rPr>
                <w:rFonts w:ascii="宋体"/>
                <w:color w:val="auto"/>
                <w:highlight w:val="none"/>
              </w:rPr>
            </w:pPr>
          </w:p>
        </w:tc>
        <w:tc>
          <w:tcPr>
            <w:tcW w:w="3636" w:type="dxa"/>
            <w:gridSpan w:val="3"/>
            <w:vAlign w:val="center"/>
          </w:tcPr>
          <w:p w14:paraId="78AE33F0">
            <w:pPr>
              <w:spacing w:line="360" w:lineRule="atLeast"/>
              <w:jc w:val="center"/>
              <w:rPr>
                <w:rFonts w:ascii="宋体"/>
                <w:color w:val="auto"/>
                <w:highlight w:val="none"/>
              </w:rPr>
            </w:pPr>
          </w:p>
        </w:tc>
        <w:tc>
          <w:tcPr>
            <w:tcW w:w="1404" w:type="dxa"/>
            <w:vAlign w:val="center"/>
          </w:tcPr>
          <w:p w14:paraId="476B3649">
            <w:pPr>
              <w:spacing w:line="360" w:lineRule="atLeast"/>
              <w:jc w:val="center"/>
              <w:rPr>
                <w:rFonts w:ascii="宋体"/>
                <w:color w:val="auto"/>
                <w:highlight w:val="none"/>
              </w:rPr>
            </w:pPr>
          </w:p>
        </w:tc>
        <w:tc>
          <w:tcPr>
            <w:tcW w:w="2203" w:type="dxa"/>
            <w:gridSpan w:val="2"/>
            <w:vAlign w:val="center"/>
          </w:tcPr>
          <w:p w14:paraId="66F4F6AF">
            <w:pPr>
              <w:spacing w:line="360" w:lineRule="atLeast"/>
              <w:jc w:val="center"/>
              <w:rPr>
                <w:rFonts w:ascii="宋体"/>
                <w:color w:val="auto"/>
                <w:highlight w:val="none"/>
              </w:rPr>
            </w:pPr>
          </w:p>
        </w:tc>
      </w:tr>
      <w:tr w14:paraId="461DA6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E977B5B">
            <w:pPr>
              <w:spacing w:line="360" w:lineRule="atLeast"/>
              <w:jc w:val="center"/>
              <w:rPr>
                <w:rFonts w:ascii="宋体"/>
                <w:color w:val="auto"/>
                <w:highlight w:val="none"/>
              </w:rPr>
            </w:pPr>
          </w:p>
        </w:tc>
        <w:tc>
          <w:tcPr>
            <w:tcW w:w="3636" w:type="dxa"/>
            <w:gridSpan w:val="3"/>
            <w:vAlign w:val="center"/>
          </w:tcPr>
          <w:p w14:paraId="42C8F36F">
            <w:pPr>
              <w:spacing w:line="360" w:lineRule="atLeast"/>
              <w:jc w:val="center"/>
              <w:rPr>
                <w:rFonts w:ascii="宋体"/>
                <w:color w:val="auto"/>
                <w:highlight w:val="none"/>
              </w:rPr>
            </w:pPr>
          </w:p>
        </w:tc>
        <w:tc>
          <w:tcPr>
            <w:tcW w:w="1404" w:type="dxa"/>
            <w:vAlign w:val="center"/>
          </w:tcPr>
          <w:p w14:paraId="2D33D091">
            <w:pPr>
              <w:spacing w:line="360" w:lineRule="atLeast"/>
              <w:jc w:val="center"/>
              <w:rPr>
                <w:rFonts w:ascii="宋体"/>
                <w:color w:val="auto"/>
                <w:highlight w:val="none"/>
              </w:rPr>
            </w:pPr>
          </w:p>
        </w:tc>
        <w:tc>
          <w:tcPr>
            <w:tcW w:w="2203" w:type="dxa"/>
            <w:gridSpan w:val="2"/>
            <w:vAlign w:val="center"/>
          </w:tcPr>
          <w:p w14:paraId="7CBCAADA">
            <w:pPr>
              <w:spacing w:line="360" w:lineRule="atLeast"/>
              <w:jc w:val="center"/>
              <w:rPr>
                <w:rFonts w:ascii="宋体"/>
                <w:color w:val="auto"/>
                <w:highlight w:val="none"/>
              </w:rPr>
            </w:pPr>
          </w:p>
        </w:tc>
      </w:tr>
      <w:tr w14:paraId="1C3627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361EC9B7">
            <w:pPr>
              <w:spacing w:line="360" w:lineRule="atLeast"/>
              <w:jc w:val="center"/>
              <w:rPr>
                <w:rFonts w:ascii="宋体"/>
                <w:color w:val="auto"/>
                <w:highlight w:val="none"/>
              </w:rPr>
            </w:pPr>
          </w:p>
        </w:tc>
        <w:tc>
          <w:tcPr>
            <w:tcW w:w="3636" w:type="dxa"/>
            <w:gridSpan w:val="3"/>
            <w:vAlign w:val="center"/>
          </w:tcPr>
          <w:p w14:paraId="73AF12A9">
            <w:pPr>
              <w:spacing w:line="360" w:lineRule="atLeast"/>
              <w:jc w:val="center"/>
              <w:rPr>
                <w:rFonts w:ascii="宋体"/>
                <w:color w:val="auto"/>
                <w:highlight w:val="none"/>
              </w:rPr>
            </w:pPr>
          </w:p>
        </w:tc>
        <w:tc>
          <w:tcPr>
            <w:tcW w:w="1404" w:type="dxa"/>
            <w:vAlign w:val="center"/>
          </w:tcPr>
          <w:p w14:paraId="0F9CE51E">
            <w:pPr>
              <w:spacing w:line="360" w:lineRule="atLeast"/>
              <w:jc w:val="center"/>
              <w:rPr>
                <w:rFonts w:ascii="宋体"/>
                <w:color w:val="auto"/>
                <w:highlight w:val="none"/>
              </w:rPr>
            </w:pPr>
          </w:p>
        </w:tc>
        <w:tc>
          <w:tcPr>
            <w:tcW w:w="2203" w:type="dxa"/>
            <w:gridSpan w:val="2"/>
            <w:vAlign w:val="center"/>
          </w:tcPr>
          <w:p w14:paraId="402E6921">
            <w:pPr>
              <w:spacing w:line="360" w:lineRule="atLeast"/>
              <w:jc w:val="center"/>
              <w:rPr>
                <w:rFonts w:ascii="宋体"/>
                <w:color w:val="auto"/>
                <w:highlight w:val="none"/>
              </w:rPr>
            </w:pPr>
          </w:p>
        </w:tc>
      </w:tr>
      <w:tr w14:paraId="0D5266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04C8471D">
            <w:pPr>
              <w:spacing w:line="360" w:lineRule="atLeast"/>
              <w:jc w:val="center"/>
              <w:rPr>
                <w:rFonts w:ascii="宋体"/>
                <w:color w:val="auto"/>
                <w:highlight w:val="none"/>
              </w:rPr>
            </w:pPr>
          </w:p>
        </w:tc>
        <w:tc>
          <w:tcPr>
            <w:tcW w:w="3636" w:type="dxa"/>
            <w:gridSpan w:val="3"/>
            <w:vAlign w:val="center"/>
          </w:tcPr>
          <w:p w14:paraId="5A1B1D4D">
            <w:pPr>
              <w:spacing w:line="360" w:lineRule="atLeast"/>
              <w:jc w:val="center"/>
              <w:rPr>
                <w:rFonts w:ascii="宋体"/>
                <w:color w:val="auto"/>
                <w:highlight w:val="none"/>
              </w:rPr>
            </w:pPr>
          </w:p>
        </w:tc>
        <w:tc>
          <w:tcPr>
            <w:tcW w:w="1404" w:type="dxa"/>
            <w:vAlign w:val="center"/>
          </w:tcPr>
          <w:p w14:paraId="3FED65C6">
            <w:pPr>
              <w:spacing w:line="360" w:lineRule="atLeast"/>
              <w:jc w:val="center"/>
              <w:rPr>
                <w:rFonts w:ascii="宋体"/>
                <w:color w:val="auto"/>
                <w:highlight w:val="none"/>
              </w:rPr>
            </w:pPr>
          </w:p>
        </w:tc>
        <w:tc>
          <w:tcPr>
            <w:tcW w:w="2203" w:type="dxa"/>
            <w:gridSpan w:val="2"/>
            <w:vAlign w:val="center"/>
          </w:tcPr>
          <w:p w14:paraId="53139A40">
            <w:pPr>
              <w:spacing w:line="360" w:lineRule="atLeast"/>
              <w:jc w:val="center"/>
              <w:rPr>
                <w:rFonts w:ascii="宋体"/>
                <w:color w:val="auto"/>
                <w:highlight w:val="none"/>
              </w:rPr>
            </w:pPr>
          </w:p>
        </w:tc>
      </w:tr>
      <w:tr w14:paraId="01BC2C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094307CA">
            <w:pPr>
              <w:spacing w:line="360" w:lineRule="atLeast"/>
              <w:jc w:val="center"/>
              <w:rPr>
                <w:rFonts w:ascii="宋体"/>
                <w:color w:val="auto"/>
                <w:highlight w:val="none"/>
              </w:rPr>
            </w:pPr>
          </w:p>
        </w:tc>
        <w:tc>
          <w:tcPr>
            <w:tcW w:w="3636" w:type="dxa"/>
            <w:gridSpan w:val="3"/>
            <w:vAlign w:val="center"/>
          </w:tcPr>
          <w:p w14:paraId="2982D585">
            <w:pPr>
              <w:spacing w:line="360" w:lineRule="atLeast"/>
              <w:jc w:val="center"/>
              <w:rPr>
                <w:rFonts w:ascii="宋体"/>
                <w:color w:val="auto"/>
                <w:highlight w:val="none"/>
              </w:rPr>
            </w:pPr>
          </w:p>
        </w:tc>
        <w:tc>
          <w:tcPr>
            <w:tcW w:w="1404" w:type="dxa"/>
            <w:vAlign w:val="center"/>
          </w:tcPr>
          <w:p w14:paraId="21AB8106">
            <w:pPr>
              <w:spacing w:line="360" w:lineRule="atLeast"/>
              <w:jc w:val="center"/>
              <w:rPr>
                <w:rFonts w:ascii="宋体"/>
                <w:color w:val="auto"/>
                <w:highlight w:val="none"/>
              </w:rPr>
            </w:pPr>
          </w:p>
        </w:tc>
        <w:tc>
          <w:tcPr>
            <w:tcW w:w="2203" w:type="dxa"/>
            <w:gridSpan w:val="2"/>
            <w:vAlign w:val="center"/>
          </w:tcPr>
          <w:p w14:paraId="4B4ED67B">
            <w:pPr>
              <w:spacing w:line="360" w:lineRule="atLeast"/>
              <w:jc w:val="center"/>
              <w:rPr>
                <w:rFonts w:ascii="宋体"/>
                <w:color w:val="auto"/>
                <w:highlight w:val="none"/>
              </w:rPr>
            </w:pPr>
          </w:p>
        </w:tc>
      </w:tr>
      <w:tr w14:paraId="38536C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CA4DA9A">
            <w:pPr>
              <w:spacing w:line="360" w:lineRule="atLeast"/>
              <w:jc w:val="center"/>
              <w:rPr>
                <w:rFonts w:ascii="宋体"/>
                <w:color w:val="auto"/>
                <w:highlight w:val="none"/>
              </w:rPr>
            </w:pPr>
          </w:p>
        </w:tc>
        <w:tc>
          <w:tcPr>
            <w:tcW w:w="3636" w:type="dxa"/>
            <w:gridSpan w:val="3"/>
            <w:vAlign w:val="center"/>
          </w:tcPr>
          <w:p w14:paraId="4C6DC8B0">
            <w:pPr>
              <w:spacing w:line="360" w:lineRule="atLeast"/>
              <w:jc w:val="center"/>
              <w:rPr>
                <w:rFonts w:ascii="宋体"/>
                <w:color w:val="auto"/>
                <w:highlight w:val="none"/>
              </w:rPr>
            </w:pPr>
          </w:p>
        </w:tc>
        <w:tc>
          <w:tcPr>
            <w:tcW w:w="1404" w:type="dxa"/>
            <w:vAlign w:val="center"/>
          </w:tcPr>
          <w:p w14:paraId="627AAD57">
            <w:pPr>
              <w:spacing w:line="360" w:lineRule="atLeast"/>
              <w:jc w:val="center"/>
              <w:rPr>
                <w:rFonts w:ascii="宋体"/>
                <w:color w:val="auto"/>
                <w:highlight w:val="none"/>
              </w:rPr>
            </w:pPr>
          </w:p>
        </w:tc>
        <w:tc>
          <w:tcPr>
            <w:tcW w:w="2203" w:type="dxa"/>
            <w:gridSpan w:val="2"/>
            <w:vAlign w:val="center"/>
          </w:tcPr>
          <w:p w14:paraId="79C7EAAD">
            <w:pPr>
              <w:spacing w:line="360" w:lineRule="atLeast"/>
              <w:jc w:val="center"/>
              <w:rPr>
                <w:rFonts w:ascii="宋体"/>
                <w:color w:val="auto"/>
                <w:highlight w:val="none"/>
              </w:rPr>
            </w:pPr>
          </w:p>
        </w:tc>
      </w:tr>
      <w:tr w14:paraId="1EF44E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8128C9A">
            <w:pPr>
              <w:spacing w:line="360" w:lineRule="atLeast"/>
              <w:jc w:val="center"/>
              <w:rPr>
                <w:rFonts w:ascii="宋体"/>
                <w:color w:val="auto"/>
                <w:highlight w:val="none"/>
              </w:rPr>
            </w:pPr>
          </w:p>
        </w:tc>
        <w:tc>
          <w:tcPr>
            <w:tcW w:w="3636" w:type="dxa"/>
            <w:gridSpan w:val="3"/>
            <w:vAlign w:val="center"/>
          </w:tcPr>
          <w:p w14:paraId="2AF299CA">
            <w:pPr>
              <w:spacing w:line="360" w:lineRule="atLeast"/>
              <w:jc w:val="center"/>
              <w:rPr>
                <w:rFonts w:ascii="宋体"/>
                <w:color w:val="auto"/>
                <w:highlight w:val="none"/>
              </w:rPr>
            </w:pPr>
          </w:p>
        </w:tc>
        <w:tc>
          <w:tcPr>
            <w:tcW w:w="1404" w:type="dxa"/>
            <w:vAlign w:val="center"/>
          </w:tcPr>
          <w:p w14:paraId="7EC9D879">
            <w:pPr>
              <w:spacing w:line="360" w:lineRule="atLeast"/>
              <w:jc w:val="center"/>
              <w:rPr>
                <w:rFonts w:ascii="宋体"/>
                <w:color w:val="auto"/>
                <w:highlight w:val="none"/>
              </w:rPr>
            </w:pPr>
          </w:p>
        </w:tc>
        <w:tc>
          <w:tcPr>
            <w:tcW w:w="2203" w:type="dxa"/>
            <w:gridSpan w:val="2"/>
            <w:vAlign w:val="center"/>
          </w:tcPr>
          <w:p w14:paraId="6F43DCD6">
            <w:pPr>
              <w:spacing w:line="360" w:lineRule="atLeast"/>
              <w:jc w:val="center"/>
              <w:rPr>
                <w:rFonts w:ascii="宋体"/>
                <w:color w:val="auto"/>
                <w:highlight w:val="none"/>
              </w:rPr>
            </w:pPr>
          </w:p>
        </w:tc>
      </w:tr>
      <w:tr w14:paraId="0C20E8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E33F498">
            <w:pPr>
              <w:spacing w:line="360" w:lineRule="atLeast"/>
              <w:jc w:val="center"/>
              <w:rPr>
                <w:rFonts w:ascii="宋体"/>
                <w:color w:val="auto"/>
                <w:highlight w:val="none"/>
              </w:rPr>
            </w:pPr>
          </w:p>
        </w:tc>
        <w:tc>
          <w:tcPr>
            <w:tcW w:w="3636" w:type="dxa"/>
            <w:gridSpan w:val="3"/>
            <w:vAlign w:val="center"/>
          </w:tcPr>
          <w:p w14:paraId="0DB06C47">
            <w:pPr>
              <w:spacing w:line="360" w:lineRule="atLeast"/>
              <w:jc w:val="center"/>
              <w:rPr>
                <w:rFonts w:ascii="宋体"/>
                <w:color w:val="auto"/>
                <w:highlight w:val="none"/>
              </w:rPr>
            </w:pPr>
          </w:p>
        </w:tc>
        <w:tc>
          <w:tcPr>
            <w:tcW w:w="1404" w:type="dxa"/>
            <w:vAlign w:val="center"/>
          </w:tcPr>
          <w:p w14:paraId="530A1587">
            <w:pPr>
              <w:spacing w:line="360" w:lineRule="atLeast"/>
              <w:jc w:val="center"/>
              <w:rPr>
                <w:rFonts w:ascii="宋体"/>
                <w:color w:val="auto"/>
                <w:highlight w:val="none"/>
              </w:rPr>
            </w:pPr>
          </w:p>
        </w:tc>
        <w:tc>
          <w:tcPr>
            <w:tcW w:w="2203" w:type="dxa"/>
            <w:gridSpan w:val="2"/>
            <w:vAlign w:val="center"/>
          </w:tcPr>
          <w:p w14:paraId="496908BB">
            <w:pPr>
              <w:spacing w:line="360" w:lineRule="atLeast"/>
              <w:jc w:val="center"/>
              <w:rPr>
                <w:rFonts w:ascii="宋体"/>
                <w:color w:val="auto"/>
                <w:highlight w:val="none"/>
              </w:rPr>
            </w:pPr>
          </w:p>
        </w:tc>
      </w:tr>
    </w:tbl>
    <w:p w14:paraId="782D51BD">
      <w:pPr>
        <w:spacing w:line="420" w:lineRule="exact"/>
        <w:jc w:val="center"/>
        <w:rPr>
          <w:rFonts w:ascii="宋体" w:hAnsi="宋体"/>
          <w:b/>
          <w:color w:val="auto"/>
          <w:sz w:val="32"/>
          <w:highlight w:val="none"/>
        </w:rPr>
      </w:pPr>
    </w:p>
    <w:p w14:paraId="046A36EE">
      <w:pPr>
        <w:spacing w:line="420" w:lineRule="exact"/>
        <w:jc w:val="center"/>
        <w:rPr>
          <w:rFonts w:ascii="宋体" w:hAnsi="宋体"/>
          <w:b/>
          <w:color w:val="auto"/>
          <w:sz w:val="32"/>
          <w:highlight w:val="none"/>
        </w:rPr>
      </w:pPr>
    </w:p>
    <w:p w14:paraId="3AC7546B">
      <w:pPr>
        <w:spacing w:line="420" w:lineRule="exact"/>
        <w:jc w:val="center"/>
        <w:rPr>
          <w:rFonts w:ascii="宋体" w:hAnsi="宋体"/>
          <w:b/>
          <w:color w:val="auto"/>
          <w:sz w:val="32"/>
          <w:highlight w:val="none"/>
        </w:rPr>
      </w:pPr>
    </w:p>
    <w:p w14:paraId="7470C793">
      <w:pPr>
        <w:adjustRightInd w:val="0"/>
        <w:snapToGrid w:val="0"/>
        <w:spacing w:line="360" w:lineRule="auto"/>
        <w:ind w:left="-88" w:leftChars="-42"/>
        <w:jc w:val="center"/>
        <w:rPr>
          <w:rFonts w:ascii="宋体" w:hAnsi="宋体"/>
          <w:b/>
          <w:bCs/>
          <w:color w:val="auto"/>
          <w:sz w:val="28"/>
          <w:szCs w:val="28"/>
          <w:highlight w:val="none"/>
        </w:rPr>
      </w:pPr>
    </w:p>
    <w:p w14:paraId="50E0B20D">
      <w:pPr>
        <w:pStyle w:val="12"/>
        <w:rPr>
          <w:color w:val="auto"/>
          <w:highlight w:val="none"/>
        </w:rPr>
      </w:pPr>
    </w:p>
    <w:p w14:paraId="410CD27A">
      <w:pPr>
        <w:rPr>
          <w:color w:val="auto"/>
          <w:highlight w:val="none"/>
        </w:rPr>
      </w:pPr>
    </w:p>
    <w:p w14:paraId="169D636B">
      <w:pPr>
        <w:adjustRightInd w:val="0"/>
        <w:snapToGrid w:val="0"/>
        <w:spacing w:line="360" w:lineRule="auto"/>
        <w:ind w:left="-88" w:leftChars="-42"/>
        <w:jc w:val="center"/>
        <w:rPr>
          <w:rFonts w:ascii="宋体" w:hAnsi="宋体"/>
          <w:b/>
          <w:bCs/>
          <w:color w:val="auto"/>
          <w:sz w:val="28"/>
          <w:szCs w:val="28"/>
          <w:highlight w:val="none"/>
        </w:rPr>
      </w:pPr>
    </w:p>
    <w:p w14:paraId="644FC360">
      <w:pPr>
        <w:adjustRightInd w:val="0"/>
        <w:snapToGrid w:val="0"/>
        <w:spacing w:line="360" w:lineRule="auto"/>
        <w:ind w:left="-88" w:leftChars="-42"/>
        <w:jc w:val="center"/>
        <w:outlineLvl w:val="1"/>
        <w:rPr>
          <w:rFonts w:ascii="宋体" w:hAnsi="宋体"/>
          <w:b/>
          <w:bCs/>
          <w:color w:val="auto"/>
          <w:sz w:val="28"/>
          <w:szCs w:val="28"/>
          <w:highlight w:val="none"/>
        </w:rPr>
      </w:pPr>
      <w:bookmarkStart w:id="123" w:name="_Toc19684"/>
      <w:bookmarkStart w:id="124" w:name="_Toc34637811"/>
      <w:r>
        <w:rPr>
          <w:rFonts w:hint="eastAsia" w:ascii="宋体" w:hAnsi="宋体"/>
          <w:b/>
          <w:bCs/>
          <w:color w:val="auto"/>
          <w:sz w:val="28"/>
          <w:szCs w:val="28"/>
          <w:highlight w:val="none"/>
          <w:lang w:val="en-US" w:eastAsia="zh-CN"/>
        </w:rPr>
        <w:t>八</w:t>
      </w:r>
      <w:r>
        <w:rPr>
          <w:rFonts w:hint="eastAsia" w:ascii="宋体" w:hAnsi="宋体"/>
          <w:b/>
          <w:bCs/>
          <w:color w:val="auto"/>
          <w:sz w:val="28"/>
          <w:szCs w:val="28"/>
          <w:highlight w:val="none"/>
        </w:rPr>
        <w:t>、最后报价</w:t>
      </w:r>
      <w:bookmarkEnd w:id="123"/>
    </w:p>
    <w:p w14:paraId="376BC623">
      <w:pPr>
        <w:adjustRightInd w:val="0"/>
        <w:snapToGrid w:val="0"/>
        <w:ind w:left="-88" w:leftChars="-42"/>
        <w:rPr>
          <w:rFonts w:ascii="宋体" w:hAnsi="宋体" w:cs="宋体"/>
          <w:color w:val="auto"/>
          <w:szCs w:val="21"/>
          <w:highlight w:val="none"/>
        </w:rPr>
      </w:pPr>
    </w:p>
    <w:bookmarkEnd w:id="124"/>
    <w:p w14:paraId="0C9792BD">
      <w:pPr>
        <w:adjustRightInd w:val="0"/>
        <w:snapToGrid w:val="0"/>
        <w:ind w:left="-88" w:leftChars="-42"/>
        <w:rPr>
          <w:rFonts w:asciiTheme="minorEastAsia" w:hAnsiTheme="minorEastAsia" w:eastAsiaTheme="minorEastAsia" w:cstheme="minorEastAsia"/>
          <w:color w:val="auto"/>
          <w:szCs w:val="21"/>
          <w:highlight w:val="none"/>
        </w:rPr>
      </w:pPr>
    </w:p>
    <w:p w14:paraId="70767F77">
      <w:pPr>
        <w:jc w:val="both"/>
        <w:rPr>
          <w:rFonts w:hint="eastAsia" w:ascii="宋体" w:hAnsi="宋体" w:cs="宋体"/>
          <w:color w:val="auto"/>
          <w:highlight w:val="none"/>
        </w:rPr>
      </w:pPr>
      <w:r>
        <w:rPr>
          <w:rFonts w:hint="eastAsia" w:ascii="宋体" w:hAnsi="宋体" w:cs="宋体"/>
          <w:color w:val="auto"/>
          <w:highlight w:val="none"/>
        </w:rPr>
        <w:t>说明：最后报价按第二章磋商须知第2</w:t>
      </w:r>
      <w:r>
        <w:rPr>
          <w:rFonts w:hint="eastAsia" w:ascii="宋体" w:hAnsi="宋体" w:cs="宋体"/>
          <w:color w:val="auto"/>
          <w:highlight w:val="none"/>
          <w:lang w:val="en-US" w:eastAsia="zh-CN"/>
        </w:rPr>
        <w:t>9</w:t>
      </w:r>
      <w:r>
        <w:rPr>
          <w:rFonts w:hint="eastAsia" w:ascii="宋体" w:hAnsi="宋体" w:cs="宋体"/>
          <w:color w:val="auto"/>
          <w:highlight w:val="none"/>
        </w:rPr>
        <w:t>条规定提供，格式按附件</w:t>
      </w:r>
      <w:r>
        <w:rPr>
          <w:rFonts w:hint="eastAsia" w:ascii="宋体" w:hAnsi="宋体" w:cs="宋体"/>
          <w:color w:val="auto"/>
          <w:highlight w:val="none"/>
          <w:lang w:val="en-US" w:eastAsia="zh-CN"/>
        </w:rPr>
        <w:t>10</w:t>
      </w:r>
      <w:r>
        <w:rPr>
          <w:rFonts w:hint="eastAsia" w:ascii="宋体" w:hAnsi="宋体" w:cs="宋体"/>
          <w:color w:val="auto"/>
          <w:highlight w:val="none"/>
        </w:rPr>
        <w:t>。</w:t>
      </w:r>
    </w:p>
    <w:p w14:paraId="79E80F06">
      <w:pPr>
        <w:widowControl/>
        <w:adjustRightInd w:val="0"/>
        <w:snapToGrid w:val="0"/>
        <w:ind w:firstLine="420" w:firstLineChars="200"/>
        <w:jc w:val="left"/>
        <w:rPr>
          <w:rFonts w:asciiTheme="minorEastAsia" w:hAnsiTheme="minorEastAsia" w:eastAsiaTheme="minorEastAsia" w:cstheme="minorEastAsia"/>
          <w:color w:val="auto"/>
          <w:spacing w:val="6"/>
          <w:kern w:val="0"/>
          <w:szCs w:val="21"/>
          <w:highlight w:val="none"/>
        </w:rPr>
      </w:pPr>
      <w:r>
        <w:rPr>
          <w:rFonts w:hint="eastAsia" w:ascii="宋体" w:hAnsi="宋体" w:cs="宋体"/>
          <w:color w:val="auto"/>
          <w:highlight w:val="none"/>
        </w:rPr>
        <w:t>供应商须提前准备好加盖供应商公章的最后报价文件一式两份，不装订在响应文件中，不需要与响应文件一起提交，按磋商小组的要求在规定时间提供最后报价。</w:t>
      </w:r>
    </w:p>
    <w:p w14:paraId="03C26D2E">
      <w:pPr>
        <w:adjustRightInd w:val="0"/>
        <w:snapToGrid w:val="0"/>
        <w:spacing w:before="120" w:beforeLines="50" w:line="360" w:lineRule="auto"/>
        <w:ind w:firstLine="420" w:firstLineChars="200"/>
        <w:rPr>
          <w:rFonts w:ascii="宋体" w:hAnsi="宋体" w:cs="宋体"/>
          <w:color w:val="auto"/>
          <w:highlight w:val="none"/>
        </w:rPr>
      </w:pPr>
    </w:p>
    <w:p w14:paraId="2FB0F56D">
      <w:pPr>
        <w:pStyle w:val="14"/>
        <w:rPr>
          <w:rFonts w:ascii="宋体" w:hAnsi="宋体"/>
          <w:b/>
          <w:color w:val="auto"/>
          <w:sz w:val="32"/>
          <w:szCs w:val="32"/>
          <w:highlight w:val="none"/>
        </w:rPr>
      </w:pPr>
    </w:p>
    <w:p w14:paraId="2934F869">
      <w:pPr>
        <w:pStyle w:val="14"/>
        <w:rPr>
          <w:rFonts w:ascii="宋体" w:hAnsi="宋体"/>
          <w:b/>
          <w:color w:val="auto"/>
          <w:sz w:val="32"/>
          <w:szCs w:val="32"/>
          <w:highlight w:val="none"/>
        </w:rPr>
      </w:pPr>
    </w:p>
    <w:p w14:paraId="4C95E13C">
      <w:pPr>
        <w:pStyle w:val="14"/>
        <w:rPr>
          <w:rFonts w:ascii="宋体" w:hAnsi="宋体"/>
          <w:b/>
          <w:color w:val="auto"/>
          <w:sz w:val="32"/>
          <w:szCs w:val="32"/>
          <w:highlight w:val="none"/>
        </w:rPr>
      </w:pPr>
    </w:p>
    <w:p w14:paraId="4A0B4EE4">
      <w:pPr>
        <w:pStyle w:val="14"/>
        <w:rPr>
          <w:rFonts w:ascii="宋体" w:hAnsi="宋体"/>
          <w:b/>
          <w:color w:val="auto"/>
          <w:sz w:val="32"/>
          <w:szCs w:val="32"/>
          <w:highlight w:val="none"/>
        </w:rPr>
      </w:pPr>
    </w:p>
    <w:p w14:paraId="288F0D2D">
      <w:pPr>
        <w:pStyle w:val="14"/>
        <w:rPr>
          <w:rFonts w:ascii="宋体" w:hAnsi="宋体"/>
          <w:b/>
          <w:color w:val="auto"/>
          <w:sz w:val="32"/>
          <w:szCs w:val="32"/>
          <w:highlight w:val="none"/>
        </w:rPr>
      </w:pPr>
    </w:p>
    <w:p w14:paraId="5AB8C439">
      <w:pPr>
        <w:pStyle w:val="14"/>
        <w:rPr>
          <w:rFonts w:ascii="宋体" w:hAnsi="宋体"/>
          <w:b/>
          <w:color w:val="auto"/>
          <w:sz w:val="32"/>
          <w:szCs w:val="32"/>
          <w:highlight w:val="none"/>
        </w:rPr>
      </w:pPr>
    </w:p>
    <w:p w14:paraId="69E280C0">
      <w:pPr>
        <w:pStyle w:val="14"/>
        <w:rPr>
          <w:rFonts w:ascii="宋体" w:hAnsi="宋体"/>
          <w:b/>
          <w:color w:val="auto"/>
          <w:sz w:val="32"/>
          <w:szCs w:val="32"/>
          <w:highlight w:val="none"/>
        </w:rPr>
      </w:pPr>
    </w:p>
    <w:p w14:paraId="155D56DC">
      <w:pPr>
        <w:pStyle w:val="14"/>
        <w:rPr>
          <w:rFonts w:ascii="宋体" w:hAnsi="宋体"/>
          <w:b/>
          <w:color w:val="auto"/>
          <w:sz w:val="32"/>
          <w:szCs w:val="32"/>
          <w:highlight w:val="none"/>
        </w:rPr>
      </w:pPr>
    </w:p>
    <w:p w14:paraId="418C59EC">
      <w:pPr>
        <w:pStyle w:val="14"/>
        <w:rPr>
          <w:rFonts w:ascii="宋体" w:hAnsi="宋体"/>
          <w:b/>
          <w:color w:val="auto"/>
          <w:sz w:val="32"/>
          <w:szCs w:val="32"/>
          <w:highlight w:val="none"/>
        </w:rPr>
      </w:pPr>
    </w:p>
    <w:p w14:paraId="5542082C">
      <w:pPr>
        <w:adjustRightInd w:val="0"/>
        <w:snapToGrid w:val="0"/>
        <w:spacing w:before="120" w:beforeLines="50" w:line="360" w:lineRule="auto"/>
        <w:rPr>
          <w:rFonts w:ascii="宋体"/>
          <w:color w:val="auto"/>
          <w:highlight w:val="none"/>
        </w:rPr>
      </w:pPr>
    </w:p>
    <w:p w14:paraId="471DFDD0">
      <w:pPr>
        <w:rPr>
          <w:color w:val="auto"/>
          <w:highlight w:val="none"/>
        </w:rPr>
      </w:pPr>
    </w:p>
    <w:p w14:paraId="53842852">
      <w:pPr>
        <w:widowControl/>
        <w:adjustRightInd w:val="0"/>
        <w:snapToGrid w:val="0"/>
        <w:spacing w:before="120" w:beforeLines="50" w:line="360" w:lineRule="auto"/>
        <w:jc w:val="center"/>
        <w:outlineLvl w:val="0"/>
        <w:rPr>
          <w:rFonts w:ascii="宋体" w:hAnsi="宋体"/>
          <w:b/>
          <w:color w:val="auto"/>
          <w:sz w:val="22"/>
          <w:szCs w:val="22"/>
          <w:highlight w:val="none"/>
        </w:rPr>
      </w:pPr>
      <w:bookmarkStart w:id="125" w:name="_Toc17087"/>
      <w:r>
        <w:rPr>
          <w:rFonts w:hint="eastAsia" w:ascii="宋体" w:hAnsi="宋体"/>
          <w:b/>
          <w:color w:val="auto"/>
          <w:sz w:val="22"/>
          <w:szCs w:val="22"/>
          <w:highlight w:val="none"/>
        </w:rPr>
        <w:t>(全文完）</w:t>
      </w:r>
      <w:bookmarkEnd w:id="125"/>
    </w:p>
    <w:p w14:paraId="08BD9245">
      <w:pPr>
        <w:widowControl/>
        <w:spacing w:before="100" w:beforeAutospacing="1" w:after="96" w:afterAutospacing="1" w:line="408" w:lineRule="auto"/>
        <w:jc w:val="center"/>
        <w:rPr>
          <w:color w:val="auto"/>
          <w:highlight w:val="none"/>
        </w:rPr>
      </w:pPr>
    </w:p>
    <w:p w14:paraId="3CD3B565">
      <w:pPr>
        <w:rPr>
          <w:color w:val="auto"/>
          <w:highlight w:val="none"/>
        </w:rPr>
      </w:pPr>
    </w:p>
    <w:p w14:paraId="66F7FBE6">
      <w:pPr>
        <w:adjustRightInd w:val="0"/>
        <w:snapToGrid w:val="0"/>
        <w:spacing w:line="360" w:lineRule="auto"/>
        <w:rPr>
          <w:rFonts w:ascii="宋体" w:hAnsi="宋体"/>
          <w:color w:val="auto"/>
          <w:szCs w:val="21"/>
          <w:highlight w:val="none"/>
        </w:rPr>
      </w:pPr>
    </w:p>
    <w:p w14:paraId="673B902D">
      <w:pPr>
        <w:widowControl/>
        <w:adjustRightInd w:val="0"/>
        <w:snapToGrid w:val="0"/>
        <w:spacing w:before="120" w:beforeLines="50" w:line="360" w:lineRule="auto"/>
        <w:rPr>
          <w:rFonts w:ascii="宋体" w:hAnsi="宋体"/>
          <w:b/>
          <w:color w:val="auto"/>
          <w:szCs w:val="21"/>
          <w:highlight w:val="none"/>
        </w:rPr>
      </w:pPr>
    </w:p>
    <w:sectPr>
      <w:headerReference r:id="rId5" w:type="default"/>
      <w:footerReference r:id="rId6" w:type="default"/>
      <w:pgSz w:w="11906" w:h="16838"/>
      <w:pgMar w:top="1474" w:right="1417" w:bottom="1587" w:left="1417"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45C7A601-9DB5-4313-8C7E-A6089F848070}"/>
  </w:font>
  <w:font w:name="Arial">
    <w:panose1 w:val="020B0604020202020204"/>
    <w:charset w:val="01"/>
    <w:family w:val="swiss"/>
    <w:pitch w:val="default"/>
    <w:sig w:usb0="E0002EFF" w:usb1="C000785B" w:usb2="00000009" w:usb3="00000000" w:csb0="400001FF" w:csb1="FFFF0000"/>
    <w:embedRegular r:id="rId2" w:fontKey="{6E10CC6F-C9CE-43AD-9002-89CF748FE41D}"/>
  </w:font>
  <w:font w:name="黑体">
    <w:panose1 w:val="02010600030101010101"/>
    <w:charset w:val="86"/>
    <w:family w:val="auto"/>
    <w:pitch w:val="default"/>
    <w:sig w:usb0="800002BF" w:usb1="38CF7CFA" w:usb2="00000016" w:usb3="00000000" w:csb0="00040001" w:csb1="00000000"/>
    <w:embedRegular r:id="rId3" w:fontKey="{C8B75D11-6864-42AA-91D9-21C577DF3880}"/>
  </w:font>
  <w:font w:name="Courier New">
    <w:panose1 w:val="02070309020205020404"/>
    <w:charset w:val="01"/>
    <w:family w:val="modern"/>
    <w:pitch w:val="default"/>
    <w:sig w:usb0="E0002EFF" w:usb1="C0007843" w:usb2="00000009" w:usb3="00000000" w:csb0="400001FF" w:csb1="FFFF0000"/>
    <w:embedRegular r:id="rId4" w:fontKey="{FEFF0049-5E60-4C81-8BA1-349DAB3D185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5" w:fontKey="{89AC4C36-8AB6-4C67-89AD-D963F2CDF1D2}"/>
  </w:font>
  <w:font w:name="仿宋_GB2312">
    <w:panose1 w:val="02010609030101010101"/>
    <w:charset w:val="86"/>
    <w:family w:val="modern"/>
    <w:pitch w:val="default"/>
    <w:sig w:usb0="00000001" w:usb1="080E0000" w:usb2="00000000" w:usb3="00000000" w:csb0="00040000" w:csb1="00000000"/>
    <w:embedRegular r:id="rId6" w:fontKey="{4F777537-52B8-4734-B88D-BD02F34A32DD}"/>
  </w:font>
  <w:font w:name="楷体_GB2312">
    <w:panose1 w:val="02010609030101010101"/>
    <w:charset w:val="86"/>
    <w:family w:val="modern"/>
    <w:pitch w:val="default"/>
    <w:sig w:usb0="00000001" w:usb1="080E0000" w:usb2="00000000" w:usb3="00000000" w:csb0="00040000" w:csb1="00000000"/>
    <w:embedRegular r:id="rId7" w:fontKey="{9F6CCD5F-9C18-47FE-A01D-9A7D87475300}"/>
  </w:font>
  <w:font w:name="Cambria">
    <w:panose1 w:val="02040503050406030204"/>
    <w:charset w:val="00"/>
    <w:family w:val="roman"/>
    <w:pitch w:val="default"/>
    <w:sig w:usb0="E00006FF" w:usb1="420024FF" w:usb2="02000000" w:usb3="00000000" w:csb0="2000019F" w:csb1="00000000"/>
  </w:font>
  <w:font w:name="Arail">
    <w:altName w:val="Times New Roman"/>
    <w:panose1 w:val="00000000000000000000"/>
    <w:charset w:val="00"/>
    <w:family w:val="roman"/>
    <w:pitch w:val="default"/>
    <w:sig w:usb0="00000000" w:usb1="00000000" w:usb2="00000000"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长城仿宋">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embedRegular r:id="rId8" w:fontKey="{C3212EEA-EAF8-4E15-BB09-BF191695317E}"/>
  </w:font>
  <w:font w:name="楷体">
    <w:panose1 w:val="02010609060101010101"/>
    <w:charset w:val="86"/>
    <w:family w:val="modern"/>
    <w:pitch w:val="default"/>
    <w:sig w:usb0="800002BF" w:usb1="38CF7CFA" w:usb2="00000016" w:usb3="00000000" w:csb0="00040001" w:csb1="00000000"/>
    <w:embedRegular r:id="rId9" w:fontKey="{0006D425-210C-4A4B-8382-9CE581AE4314}"/>
  </w:font>
  <w:font w:name="微软雅黑">
    <w:panose1 w:val="020B0503020204020204"/>
    <w:charset w:val="86"/>
    <w:family w:val="swiss"/>
    <w:pitch w:val="default"/>
    <w:sig w:usb0="80000287" w:usb1="2ACF3C50" w:usb2="00000016" w:usb3="00000000" w:csb0="0004001F" w:csb1="00000000"/>
    <w:embedRegular r:id="rId10" w:fontKey="{4F11EC22-B047-44AF-9B8E-6C2B0D5BB14E}"/>
  </w:font>
  <w:font w:name="仿宋">
    <w:panose1 w:val="02010609060101010101"/>
    <w:charset w:val="86"/>
    <w:family w:val="auto"/>
    <w:pitch w:val="default"/>
    <w:sig w:usb0="800002BF" w:usb1="38CF7CFA" w:usb2="00000016" w:usb3="00000000" w:csb0="00040001" w:csb1="00000000"/>
    <w:embedRegular r:id="rId11" w:fontKey="{F2DCF38F-59BB-4C49-AF27-1DC101A21086}"/>
  </w:font>
  <w:font w:name="方正小标宋_GBK">
    <w:panose1 w:val="02000000000000000000"/>
    <w:charset w:val="86"/>
    <w:family w:val="script"/>
    <w:pitch w:val="default"/>
    <w:sig w:usb0="A00002BF" w:usb1="38CF7CFA" w:usb2="00082016" w:usb3="00000000" w:csb0="00040001" w:csb1="00000000"/>
    <w:embedRegular r:id="rId12" w:fontKey="{EB8BA176-88C0-4ACE-AE30-7A7F8AB9E7CE}"/>
  </w:font>
  <w:font w:name="新宋体">
    <w:panose1 w:val="02010609030101010101"/>
    <w:charset w:val="86"/>
    <w:family w:val="modern"/>
    <w:pitch w:val="default"/>
    <w:sig w:usb0="00000203" w:usb1="288F0000" w:usb2="00000006" w:usb3="00000000" w:csb0="00040001" w:csb1="00000000"/>
    <w:embedRegular r:id="rId13" w:fontKey="{AF59CD84-39C5-471C-AE3A-6FA411FDD158}"/>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0040101010101"/>
    <w:charset w:val="86"/>
    <w:family w:val="auto"/>
    <w:pitch w:val="default"/>
    <w:sig w:usb0="00000287" w:usb1="080F0000" w:usb2="00000000" w:usb3="00000000" w:csb0="0004009F" w:csb1="DFD70000"/>
  </w:font>
  <w:font w:name="WPSEMBED4">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4A3D7">
    <w:pPr>
      <w:pStyle w:val="29"/>
      <w:ind w:left="240" w:right="359" w:rightChars="171" w:hanging="240" w:hangingChars="100"/>
      <w:jc w:val="center"/>
      <w:rPr>
        <w:rFonts w:eastAsia="楷体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21073">
    <w:pPr>
      <w:pStyle w:val="29"/>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posOffset>2820035</wp:posOffset>
              </wp:positionH>
              <wp:positionV relativeFrom="paragraph">
                <wp:posOffset>0</wp:posOffset>
              </wp:positionV>
              <wp:extent cx="20193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019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E3AE8">
                          <w:pPr>
                            <w:pStyle w:val="2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2.05pt;margin-top:0pt;height:144pt;width:15.9pt;mso-position-horizontal-relative:margin;z-index:251659264;mso-width-relative:page;mso-height-relative:page;" filled="f" stroked="f" coordsize="21600,21600" o:gfxdata="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5di2vXAAAACAEAAA8AAAAAAAAAAQAgAAAAIgAAAGRycy9kb3ducmV2&#10;LnhtbFBLAQIUABQAAAAIAIdO4kBWzBv+NgIAAGIEAAAOAAAAAAAAAAEAIAAAACYBAABkcnMvZTJv&#10;RG9jLnhtbFBLBQYAAAAABgAGAFkBAADOBQAAAAA=&#10;">
              <v:fill on="f" focussize="0,0"/>
              <v:stroke on="f" weight="0.5pt"/>
              <v:imagedata o:title=""/>
              <o:lock v:ext="edit" aspectratio="f"/>
              <v:textbox inset="0mm,0mm,0mm,0mm" style="mso-fit-shape-to-text:t;">
                <w:txbxContent>
                  <w:p w14:paraId="6C4E3AE8">
                    <w:pPr>
                      <w:pStyle w:val="2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DEE77">
    <w:pPr>
      <w:pStyle w:val="31"/>
      <w:pBdr>
        <w:bottom w:val="none" w:color="auto" w:sz="0" w:space="1"/>
      </w:pBdr>
      <w:jc w:val="left"/>
    </w:pPr>
    <w:r>
      <w:rPr>
        <w:sz w:val="18"/>
      </w:rPr>
      <w:pict>
        <v:shape id="PowerPlusWaterMarkObject38612" o:spid="_x0000_s4097" o:spt="136" type="#_x0000_t136" style="position:absolute;left:0pt;height:57.6pt;width:529.6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湖南大音项目管理有限公司"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B23E2">
    <w:pPr>
      <w:pStyle w:val="31"/>
      <w:pBdr>
        <w:bottom w:val="none" w:color="auto" w:sz="0" w:space="1"/>
      </w:pBdr>
      <w:jc w:val="left"/>
    </w:pPr>
    <w:r>
      <w:rPr>
        <w:sz w:val="18"/>
      </w:rPr>
      <w:pict>
        <v:shape id="_x0000_s4098" o:spid="_x0000_s4098" o:spt="136" type="#_x0000_t136" style="position:absolute;left:0pt;height:57.6pt;width:529.65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湖南大音项目管理有限公司"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DB6A7"/>
    <w:multiLevelType w:val="singleLevel"/>
    <w:tmpl w:val="E16DB6A7"/>
    <w:lvl w:ilvl="0" w:tentative="0">
      <w:start w:val="4"/>
      <w:numFmt w:val="decimal"/>
      <w:lvlText w:val="%1."/>
      <w:lvlJc w:val="left"/>
      <w:pPr>
        <w:tabs>
          <w:tab w:val="left" w:pos="312"/>
        </w:tabs>
      </w:pPr>
    </w:lvl>
  </w:abstractNum>
  <w:abstractNum w:abstractNumId="1">
    <w:nsid w:val="E69138E3"/>
    <w:multiLevelType w:val="singleLevel"/>
    <w:tmpl w:val="E69138E3"/>
    <w:lvl w:ilvl="0" w:tentative="0">
      <w:start w:val="1"/>
      <w:numFmt w:val="decimal"/>
      <w:lvlText w:val="%1."/>
      <w:lvlJc w:val="left"/>
      <w:pPr>
        <w:tabs>
          <w:tab w:val="left" w:pos="312"/>
        </w:tabs>
      </w:pPr>
    </w:lvl>
  </w:abstractNum>
  <w:abstractNum w:abstractNumId="2">
    <w:nsid w:val="0F594453"/>
    <w:multiLevelType w:val="singleLevel"/>
    <w:tmpl w:val="0F594453"/>
    <w:lvl w:ilvl="0" w:tentative="0">
      <w:start w:val="1"/>
      <w:numFmt w:val="decimal"/>
      <w:lvlText w:val="%1."/>
      <w:lvlJc w:val="left"/>
      <w:pPr>
        <w:tabs>
          <w:tab w:val="left" w:pos="312"/>
        </w:tabs>
      </w:pPr>
      <w:rPr>
        <w:rFonts w:cs="Times New Roman"/>
      </w:rPr>
    </w:lvl>
  </w:abstractNum>
  <w:abstractNum w:abstractNumId="3">
    <w:nsid w:val="128FFCBA"/>
    <w:multiLevelType w:val="singleLevel"/>
    <w:tmpl w:val="128FFCBA"/>
    <w:lvl w:ilvl="0" w:tentative="0">
      <w:start w:val="6"/>
      <w:numFmt w:val="chineseCounting"/>
      <w:suff w:val="nothing"/>
      <w:lvlText w:val="%1、"/>
      <w:lvlJc w:val="left"/>
      <w:rPr>
        <w:rFonts w:hint="eastAsia"/>
      </w:rPr>
    </w:lvl>
  </w:abstractNum>
  <w:abstractNum w:abstractNumId="4">
    <w:nsid w:val="3F34A2F0"/>
    <w:multiLevelType w:val="singleLevel"/>
    <w:tmpl w:val="3F34A2F0"/>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6j9NQDSYwjtYuuTmncincWRU/g8=" w:salt="1BjiuXvg7ZNoXm0LjDv1gg=="/>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dkZDFmZjA4YjI1YWIwZmI0NjA5ZDYwMmE0YmFjMmEifQ=="/>
    <w:docVar w:name="KSO_WPS_MARK_KEY" w:val="b9654e4f-638f-49eb-b90e-307d0d51f0ca"/>
  </w:docVars>
  <w:rsids>
    <w:rsidRoot w:val="00496D5A"/>
    <w:rsid w:val="000026CD"/>
    <w:rsid w:val="0000689C"/>
    <w:rsid w:val="00006D54"/>
    <w:rsid w:val="00007183"/>
    <w:rsid w:val="00010AA2"/>
    <w:rsid w:val="00011684"/>
    <w:rsid w:val="00011F75"/>
    <w:rsid w:val="00012CB6"/>
    <w:rsid w:val="000143A9"/>
    <w:rsid w:val="000152CE"/>
    <w:rsid w:val="000156E2"/>
    <w:rsid w:val="000165F2"/>
    <w:rsid w:val="000179DA"/>
    <w:rsid w:val="00024344"/>
    <w:rsid w:val="000247D5"/>
    <w:rsid w:val="00024E29"/>
    <w:rsid w:val="00024EBC"/>
    <w:rsid w:val="00025986"/>
    <w:rsid w:val="00026B4C"/>
    <w:rsid w:val="00026FD7"/>
    <w:rsid w:val="00027406"/>
    <w:rsid w:val="0002779F"/>
    <w:rsid w:val="0002791B"/>
    <w:rsid w:val="00027D5B"/>
    <w:rsid w:val="00030495"/>
    <w:rsid w:val="000313EC"/>
    <w:rsid w:val="00031583"/>
    <w:rsid w:val="000328D7"/>
    <w:rsid w:val="00034641"/>
    <w:rsid w:val="00037E98"/>
    <w:rsid w:val="00040807"/>
    <w:rsid w:val="00040D86"/>
    <w:rsid w:val="00041F5E"/>
    <w:rsid w:val="000441C7"/>
    <w:rsid w:val="000444EB"/>
    <w:rsid w:val="00044BFE"/>
    <w:rsid w:val="00051E2A"/>
    <w:rsid w:val="0005274D"/>
    <w:rsid w:val="00052D47"/>
    <w:rsid w:val="00053DE3"/>
    <w:rsid w:val="00054846"/>
    <w:rsid w:val="00055D1A"/>
    <w:rsid w:val="0005632B"/>
    <w:rsid w:val="000579EF"/>
    <w:rsid w:val="00063E5F"/>
    <w:rsid w:val="000640EC"/>
    <w:rsid w:val="000641A5"/>
    <w:rsid w:val="00064807"/>
    <w:rsid w:val="00065D9C"/>
    <w:rsid w:val="00066BEA"/>
    <w:rsid w:val="00067E40"/>
    <w:rsid w:val="00072C34"/>
    <w:rsid w:val="00077B6F"/>
    <w:rsid w:val="00080636"/>
    <w:rsid w:val="00080709"/>
    <w:rsid w:val="00081249"/>
    <w:rsid w:val="000818D8"/>
    <w:rsid w:val="00081FA6"/>
    <w:rsid w:val="0008252B"/>
    <w:rsid w:val="000828F7"/>
    <w:rsid w:val="00082D83"/>
    <w:rsid w:val="00086A97"/>
    <w:rsid w:val="00090C5D"/>
    <w:rsid w:val="0009126C"/>
    <w:rsid w:val="00091475"/>
    <w:rsid w:val="000922C8"/>
    <w:rsid w:val="000928BC"/>
    <w:rsid w:val="000943CC"/>
    <w:rsid w:val="00095022"/>
    <w:rsid w:val="000952E7"/>
    <w:rsid w:val="00097AEC"/>
    <w:rsid w:val="00097EC7"/>
    <w:rsid w:val="000A079C"/>
    <w:rsid w:val="000A2407"/>
    <w:rsid w:val="000A2941"/>
    <w:rsid w:val="000A3E58"/>
    <w:rsid w:val="000A604E"/>
    <w:rsid w:val="000A6970"/>
    <w:rsid w:val="000B422C"/>
    <w:rsid w:val="000B5ABD"/>
    <w:rsid w:val="000B6963"/>
    <w:rsid w:val="000B699D"/>
    <w:rsid w:val="000B72E3"/>
    <w:rsid w:val="000C2B71"/>
    <w:rsid w:val="000C2BA1"/>
    <w:rsid w:val="000C3661"/>
    <w:rsid w:val="000C3C47"/>
    <w:rsid w:val="000C3D6F"/>
    <w:rsid w:val="000C5109"/>
    <w:rsid w:val="000C585B"/>
    <w:rsid w:val="000C5B6D"/>
    <w:rsid w:val="000C5BDA"/>
    <w:rsid w:val="000C714A"/>
    <w:rsid w:val="000D0E92"/>
    <w:rsid w:val="000D1A14"/>
    <w:rsid w:val="000D1F4B"/>
    <w:rsid w:val="000D38F1"/>
    <w:rsid w:val="000D54CD"/>
    <w:rsid w:val="000D7196"/>
    <w:rsid w:val="000E1E33"/>
    <w:rsid w:val="000E3452"/>
    <w:rsid w:val="000E430C"/>
    <w:rsid w:val="000E5168"/>
    <w:rsid w:val="000F1ED4"/>
    <w:rsid w:val="000F23B9"/>
    <w:rsid w:val="000F314F"/>
    <w:rsid w:val="000F5486"/>
    <w:rsid w:val="000F79FA"/>
    <w:rsid w:val="00100878"/>
    <w:rsid w:val="001016B9"/>
    <w:rsid w:val="001039A9"/>
    <w:rsid w:val="00103CE3"/>
    <w:rsid w:val="00106CB3"/>
    <w:rsid w:val="00107232"/>
    <w:rsid w:val="0011494C"/>
    <w:rsid w:val="00115E74"/>
    <w:rsid w:val="001167A7"/>
    <w:rsid w:val="0012198B"/>
    <w:rsid w:val="00121AD0"/>
    <w:rsid w:val="00122512"/>
    <w:rsid w:val="0012340C"/>
    <w:rsid w:val="00123959"/>
    <w:rsid w:val="001240A1"/>
    <w:rsid w:val="00124A33"/>
    <w:rsid w:val="001256EF"/>
    <w:rsid w:val="001269CE"/>
    <w:rsid w:val="00127819"/>
    <w:rsid w:val="00130881"/>
    <w:rsid w:val="00130BB4"/>
    <w:rsid w:val="001318DD"/>
    <w:rsid w:val="001324C6"/>
    <w:rsid w:val="001344E3"/>
    <w:rsid w:val="00134EEC"/>
    <w:rsid w:val="001364C1"/>
    <w:rsid w:val="001416D5"/>
    <w:rsid w:val="00142461"/>
    <w:rsid w:val="001424B5"/>
    <w:rsid w:val="00147E27"/>
    <w:rsid w:val="00154ED0"/>
    <w:rsid w:val="0015686C"/>
    <w:rsid w:val="00160437"/>
    <w:rsid w:val="00160B71"/>
    <w:rsid w:val="00161974"/>
    <w:rsid w:val="001627FE"/>
    <w:rsid w:val="001652A3"/>
    <w:rsid w:val="00165389"/>
    <w:rsid w:val="001657AE"/>
    <w:rsid w:val="00166CD1"/>
    <w:rsid w:val="001672AE"/>
    <w:rsid w:val="00167513"/>
    <w:rsid w:val="00167D4D"/>
    <w:rsid w:val="00167E36"/>
    <w:rsid w:val="001706D6"/>
    <w:rsid w:val="0017108F"/>
    <w:rsid w:val="00172007"/>
    <w:rsid w:val="00172683"/>
    <w:rsid w:val="00172983"/>
    <w:rsid w:val="00172AC1"/>
    <w:rsid w:val="00174093"/>
    <w:rsid w:val="00174AD2"/>
    <w:rsid w:val="0017639C"/>
    <w:rsid w:val="00177537"/>
    <w:rsid w:val="00181753"/>
    <w:rsid w:val="00181EF7"/>
    <w:rsid w:val="00182444"/>
    <w:rsid w:val="0018284B"/>
    <w:rsid w:val="00182ADB"/>
    <w:rsid w:val="001871C4"/>
    <w:rsid w:val="0018787D"/>
    <w:rsid w:val="00190C6A"/>
    <w:rsid w:val="00190F87"/>
    <w:rsid w:val="00191704"/>
    <w:rsid w:val="00193386"/>
    <w:rsid w:val="00194A9F"/>
    <w:rsid w:val="00194E27"/>
    <w:rsid w:val="00195154"/>
    <w:rsid w:val="001957CF"/>
    <w:rsid w:val="00197DB3"/>
    <w:rsid w:val="001A0051"/>
    <w:rsid w:val="001A27C7"/>
    <w:rsid w:val="001A2811"/>
    <w:rsid w:val="001A5435"/>
    <w:rsid w:val="001B06E9"/>
    <w:rsid w:val="001B229F"/>
    <w:rsid w:val="001B24C3"/>
    <w:rsid w:val="001B4FB6"/>
    <w:rsid w:val="001B5065"/>
    <w:rsid w:val="001B5066"/>
    <w:rsid w:val="001B56C9"/>
    <w:rsid w:val="001B5F14"/>
    <w:rsid w:val="001B6E2A"/>
    <w:rsid w:val="001B7F3D"/>
    <w:rsid w:val="001C30E6"/>
    <w:rsid w:val="001C3F44"/>
    <w:rsid w:val="001C4403"/>
    <w:rsid w:val="001C5642"/>
    <w:rsid w:val="001C598A"/>
    <w:rsid w:val="001C59EB"/>
    <w:rsid w:val="001C5E95"/>
    <w:rsid w:val="001C6863"/>
    <w:rsid w:val="001C7DB0"/>
    <w:rsid w:val="001C7EEC"/>
    <w:rsid w:val="001D0713"/>
    <w:rsid w:val="001D0ECD"/>
    <w:rsid w:val="001D1504"/>
    <w:rsid w:val="001D202C"/>
    <w:rsid w:val="001D23B3"/>
    <w:rsid w:val="001D23F4"/>
    <w:rsid w:val="001D4466"/>
    <w:rsid w:val="001D6192"/>
    <w:rsid w:val="001D62AA"/>
    <w:rsid w:val="001E0AF2"/>
    <w:rsid w:val="001E32EC"/>
    <w:rsid w:val="001E4721"/>
    <w:rsid w:val="001F01BB"/>
    <w:rsid w:val="001F2C74"/>
    <w:rsid w:val="001F3061"/>
    <w:rsid w:val="001F7AED"/>
    <w:rsid w:val="00200538"/>
    <w:rsid w:val="00200EA4"/>
    <w:rsid w:val="00202D0B"/>
    <w:rsid w:val="00203642"/>
    <w:rsid w:val="002037B4"/>
    <w:rsid w:val="002037DB"/>
    <w:rsid w:val="00203883"/>
    <w:rsid w:val="00205190"/>
    <w:rsid w:val="00206968"/>
    <w:rsid w:val="00206FCE"/>
    <w:rsid w:val="00207162"/>
    <w:rsid w:val="0020791D"/>
    <w:rsid w:val="00211C0E"/>
    <w:rsid w:val="002131F5"/>
    <w:rsid w:val="00215325"/>
    <w:rsid w:val="002158D3"/>
    <w:rsid w:val="0021675C"/>
    <w:rsid w:val="00217B8D"/>
    <w:rsid w:val="00220CCA"/>
    <w:rsid w:val="0022133D"/>
    <w:rsid w:val="002221D6"/>
    <w:rsid w:val="002223E0"/>
    <w:rsid w:val="00222626"/>
    <w:rsid w:val="0022399B"/>
    <w:rsid w:val="00223AAF"/>
    <w:rsid w:val="00223E9B"/>
    <w:rsid w:val="00224FFD"/>
    <w:rsid w:val="00225EBA"/>
    <w:rsid w:val="00226977"/>
    <w:rsid w:val="002270C6"/>
    <w:rsid w:val="0023047C"/>
    <w:rsid w:val="002328E2"/>
    <w:rsid w:val="00233ED9"/>
    <w:rsid w:val="0023455F"/>
    <w:rsid w:val="00234E98"/>
    <w:rsid w:val="002355BB"/>
    <w:rsid w:val="002361F9"/>
    <w:rsid w:val="00242EFF"/>
    <w:rsid w:val="00243709"/>
    <w:rsid w:val="00245060"/>
    <w:rsid w:val="00245A92"/>
    <w:rsid w:val="00246570"/>
    <w:rsid w:val="0024676F"/>
    <w:rsid w:val="002502DD"/>
    <w:rsid w:val="002506C4"/>
    <w:rsid w:val="00251627"/>
    <w:rsid w:val="002521C1"/>
    <w:rsid w:val="0025268F"/>
    <w:rsid w:val="00254E1D"/>
    <w:rsid w:val="00255155"/>
    <w:rsid w:val="00256891"/>
    <w:rsid w:val="00256A78"/>
    <w:rsid w:val="00257451"/>
    <w:rsid w:val="0026016B"/>
    <w:rsid w:val="00260478"/>
    <w:rsid w:val="00262D14"/>
    <w:rsid w:val="0026499F"/>
    <w:rsid w:val="00264A5A"/>
    <w:rsid w:val="002660F6"/>
    <w:rsid w:val="00266E91"/>
    <w:rsid w:val="0027134E"/>
    <w:rsid w:val="0027147F"/>
    <w:rsid w:val="002715BE"/>
    <w:rsid w:val="00273E7D"/>
    <w:rsid w:val="00276A4E"/>
    <w:rsid w:val="00281493"/>
    <w:rsid w:val="00285665"/>
    <w:rsid w:val="002859F6"/>
    <w:rsid w:val="002860A4"/>
    <w:rsid w:val="00286FD0"/>
    <w:rsid w:val="00290033"/>
    <w:rsid w:val="00290B4C"/>
    <w:rsid w:val="00290F02"/>
    <w:rsid w:val="00290F35"/>
    <w:rsid w:val="00291C33"/>
    <w:rsid w:val="00292999"/>
    <w:rsid w:val="0029328A"/>
    <w:rsid w:val="002938EB"/>
    <w:rsid w:val="002942E2"/>
    <w:rsid w:val="00295B75"/>
    <w:rsid w:val="00295E49"/>
    <w:rsid w:val="002A03CB"/>
    <w:rsid w:val="002A1B5A"/>
    <w:rsid w:val="002A41F5"/>
    <w:rsid w:val="002A4EB3"/>
    <w:rsid w:val="002A4EE1"/>
    <w:rsid w:val="002A5C69"/>
    <w:rsid w:val="002A6ED0"/>
    <w:rsid w:val="002B2A9E"/>
    <w:rsid w:val="002B4521"/>
    <w:rsid w:val="002B4C00"/>
    <w:rsid w:val="002B5852"/>
    <w:rsid w:val="002B5F66"/>
    <w:rsid w:val="002B5F8D"/>
    <w:rsid w:val="002B603D"/>
    <w:rsid w:val="002B7325"/>
    <w:rsid w:val="002B7DD6"/>
    <w:rsid w:val="002C184B"/>
    <w:rsid w:val="002C293C"/>
    <w:rsid w:val="002C2D23"/>
    <w:rsid w:val="002C3A1D"/>
    <w:rsid w:val="002C3D4F"/>
    <w:rsid w:val="002C46B0"/>
    <w:rsid w:val="002C47EE"/>
    <w:rsid w:val="002C7132"/>
    <w:rsid w:val="002C7908"/>
    <w:rsid w:val="002D0192"/>
    <w:rsid w:val="002D0854"/>
    <w:rsid w:val="002D3C96"/>
    <w:rsid w:val="002D3D24"/>
    <w:rsid w:val="002D54FC"/>
    <w:rsid w:val="002D6895"/>
    <w:rsid w:val="002E2AB7"/>
    <w:rsid w:val="002E2BB7"/>
    <w:rsid w:val="002E3455"/>
    <w:rsid w:val="002E356B"/>
    <w:rsid w:val="002E3B50"/>
    <w:rsid w:val="002E6042"/>
    <w:rsid w:val="002F0548"/>
    <w:rsid w:val="002F0EFC"/>
    <w:rsid w:val="002F1B01"/>
    <w:rsid w:val="002F1FA9"/>
    <w:rsid w:val="002F21C8"/>
    <w:rsid w:val="002F3EA2"/>
    <w:rsid w:val="002F4237"/>
    <w:rsid w:val="002F42D5"/>
    <w:rsid w:val="002F4BAF"/>
    <w:rsid w:val="002F6FDB"/>
    <w:rsid w:val="002F7CFF"/>
    <w:rsid w:val="0030063D"/>
    <w:rsid w:val="00301B5A"/>
    <w:rsid w:val="003054D6"/>
    <w:rsid w:val="00305728"/>
    <w:rsid w:val="003072D6"/>
    <w:rsid w:val="00311078"/>
    <w:rsid w:val="00311499"/>
    <w:rsid w:val="00311C75"/>
    <w:rsid w:val="00311EFD"/>
    <w:rsid w:val="003136E5"/>
    <w:rsid w:val="00313BC8"/>
    <w:rsid w:val="0031417B"/>
    <w:rsid w:val="00315761"/>
    <w:rsid w:val="003170A5"/>
    <w:rsid w:val="003174E9"/>
    <w:rsid w:val="00317CD3"/>
    <w:rsid w:val="0032126E"/>
    <w:rsid w:val="00321C75"/>
    <w:rsid w:val="00323F4F"/>
    <w:rsid w:val="00325055"/>
    <w:rsid w:val="003303DC"/>
    <w:rsid w:val="00331A2E"/>
    <w:rsid w:val="00332134"/>
    <w:rsid w:val="00332937"/>
    <w:rsid w:val="003333D7"/>
    <w:rsid w:val="00333943"/>
    <w:rsid w:val="003355F2"/>
    <w:rsid w:val="00336F90"/>
    <w:rsid w:val="00337807"/>
    <w:rsid w:val="00340105"/>
    <w:rsid w:val="00340B6E"/>
    <w:rsid w:val="0034116B"/>
    <w:rsid w:val="00341264"/>
    <w:rsid w:val="003412D4"/>
    <w:rsid w:val="00342089"/>
    <w:rsid w:val="0034516B"/>
    <w:rsid w:val="0034572F"/>
    <w:rsid w:val="00345C90"/>
    <w:rsid w:val="003469E4"/>
    <w:rsid w:val="00346F60"/>
    <w:rsid w:val="003476A3"/>
    <w:rsid w:val="00347B72"/>
    <w:rsid w:val="0035131B"/>
    <w:rsid w:val="0035132F"/>
    <w:rsid w:val="0035331E"/>
    <w:rsid w:val="00354303"/>
    <w:rsid w:val="003561AD"/>
    <w:rsid w:val="00357156"/>
    <w:rsid w:val="003610D2"/>
    <w:rsid w:val="003678E7"/>
    <w:rsid w:val="00367C74"/>
    <w:rsid w:val="00367D96"/>
    <w:rsid w:val="0037058A"/>
    <w:rsid w:val="00374E53"/>
    <w:rsid w:val="003754A0"/>
    <w:rsid w:val="00375901"/>
    <w:rsid w:val="00376191"/>
    <w:rsid w:val="003808D0"/>
    <w:rsid w:val="003831A6"/>
    <w:rsid w:val="003846B9"/>
    <w:rsid w:val="003851F2"/>
    <w:rsid w:val="00386BFC"/>
    <w:rsid w:val="00387C8A"/>
    <w:rsid w:val="003914B4"/>
    <w:rsid w:val="00391A73"/>
    <w:rsid w:val="003922B2"/>
    <w:rsid w:val="00392F26"/>
    <w:rsid w:val="003948FD"/>
    <w:rsid w:val="00396823"/>
    <w:rsid w:val="00397795"/>
    <w:rsid w:val="003A157C"/>
    <w:rsid w:val="003A6117"/>
    <w:rsid w:val="003A7E86"/>
    <w:rsid w:val="003B0AFE"/>
    <w:rsid w:val="003B1744"/>
    <w:rsid w:val="003B1D0C"/>
    <w:rsid w:val="003B2891"/>
    <w:rsid w:val="003B457D"/>
    <w:rsid w:val="003B5EA3"/>
    <w:rsid w:val="003B689E"/>
    <w:rsid w:val="003B6A76"/>
    <w:rsid w:val="003B72F1"/>
    <w:rsid w:val="003B780B"/>
    <w:rsid w:val="003C0BFE"/>
    <w:rsid w:val="003C2D05"/>
    <w:rsid w:val="003C3A5C"/>
    <w:rsid w:val="003C3EAB"/>
    <w:rsid w:val="003C4473"/>
    <w:rsid w:val="003C6100"/>
    <w:rsid w:val="003C6674"/>
    <w:rsid w:val="003C7959"/>
    <w:rsid w:val="003D1521"/>
    <w:rsid w:val="003D1943"/>
    <w:rsid w:val="003D1F2D"/>
    <w:rsid w:val="003D2297"/>
    <w:rsid w:val="003D4C57"/>
    <w:rsid w:val="003D4FD1"/>
    <w:rsid w:val="003E18E1"/>
    <w:rsid w:val="003E1DB5"/>
    <w:rsid w:val="003E1EFA"/>
    <w:rsid w:val="003E2A52"/>
    <w:rsid w:val="003E7B33"/>
    <w:rsid w:val="003F1B73"/>
    <w:rsid w:val="003F3E95"/>
    <w:rsid w:val="003F472F"/>
    <w:rsid w:val="003F4843"/>
    <w:rsid w:val="003F4E1C"/>
    <w:rsid w:val="003F529D"/>
    <w:rsid w:val="003F6908"/>
    <w:rsid w:val="003F6A20"/>
    <w:rsid w:val="003F7D02"/>
    <w:rsid w:val="00400D3F"/>
    <w:rsid w:val="00401DD0"/>
    <w:rsid w:val="004032E3"/>
    <w:rsid w:val="00404EED"/>
    <w:rsid w:val="00406731"/>
    <w:rsid w:val="004070D9"/>
    <w:rsid w:val="00410033"/>
    <w:rsid w:val="0041158C"/>
    <w:rsid w:val="0041176A"/>
    <w:rsid w:val="004117F0"/>
    <w:rsid w:val="00411B9C"/>
    <w:rsid w:val="00411C9F"/>
    <w:rsid w:val="00413620"/>
    <w:rsid w:val="00420348"/>
    <w:rsid w:val="004222DD"/>
    <w:rsid w:val="004238D7"/>
    <w:rsid w:val="004239C8"/>
    <w:rsid w:val="004244A2"/>
    <w:rsid w:val="004271DA"/>
    <w:rsid w:val="00430191"/>
    <w:rsid w:val="00431725"/>
    <w:rsid w:val="004324D7"/>
    <w:rsid w:val="00432850"/>
    <w:rsid w:val="004331F6"/>
    <w:rsid w:val="00437510"/>
    <w:rsid w:val="00437B5B"/>
    <w:rsid w:val="00437C2B"/>
    <w:rsid w:val="00437E19"/>
    <w:rsid w:val="004409B2"/>
    <w:rsid w:val="00441209"/>
    <w:rsid w:val="004419A6"/>
    <w:rsid w:val="004436C8"/>
    <w:rsid w:val="00443866"/>
    <w:rsid w:val="0044464A"/>
    <w:rsid w:val="00444F92"/>
    <w:rsid w:val="004458E1"/>
    <w:rsid w:val="004469A8"/>
    <w:rsid w:val="004539CE"/>
    <w:rsid w:val="0046193B"/>
    <w:rsid w:val="00461D0C"/>
    <w:rsid w:val="00470B4E"/>
    <w:rsid w:val="00470C01"/>
    <w:rsid w:val="00476B38"/>
    <w:rsid w:val="00481BDF"/>
    <w:rsid w:val="004836CC"/>
    <w:rsid w:val="00483D0A"/>
    <w:rsid w:val="00485D13"/>
    <w:rsid w:val="0048677F"/>
    <w:rsid w:val="00492CF6"/>
    <w:rsid w:val="00492DF8"/>
    <w:rsid w:val="004939B5"/>
    <w:rsid w:val="0049529F"/>
    <w:rsid w:val="00495EB1"/>
    <w:rsid w:val="00496D5A"/>
    <w:rsid w:val="00496E07"/>
    <w:rsid w:val="00497C7E"/>
    <w:rsid w:val="004A0502"/>
    <w:rsid w:val="004A2643"/>
    <w:rsid w:val="004A2A6A"/>
    <w:rsid w:val="004A5608"/>
    <w:rsid w:val="004A6990"/>
    <w:rsid w:val="004A7B3D"/>
    <w:rsid w:val="004B07DA"/>
    <w:rsid w:val="004B0F62"/>
    <w:rsid w:val="004B457D"/>
    <w:rsid w:val="004B49BE"/>
    <w:rsid w:val="004B59DF"/>
    <w:rsid w:val="004B7380"/>
    <w:rsid w:val="004B7992"/>
    <w:rsid w:val="004C1073"/>
    <w:rsid w:val="004C16AD"/>
    <w:rsid w:val="004C23A8"/>
    <w:rsid w:val="004C2802"/>
    <w:rsid w:val="004C3F19"/>
    <w:rsid w:val="004C3F73"/>
    <w:rsid w:val="004C4D2E"/>
    <w:rsid w:val="004C5A1C"/>
    <w:rsid w:val="004D04D0"/>
    <w:rsid w:val="004D18B0"/>
    <w:rsid w:val="004D1DC5"/>
    <w:rsid w:val="004D2E61"/>
    <w:rsid w:val="004D3018"/>
    <w:rsid w:val="004D3E0B"/>
    <w:rsid w:val="004D5918"/>
    <w:rsid w:val="004D63DD"/>
    <w:rsid w:val="004D67D6"/>
    <w:rsid w:val="004E14EA"/>
    <w:rsid w:val="004E6469"/>
    <w:rsid w:val="004E67F1"/>
    <w:rsid w:val="004E6B3F"/>
    <w:rsid w:val="004F09EA"/>
    <w:rsid w:val="004F330B"/>
    <w:rsid w:val="004F46DF"/>
    <w:rsid w:val="004F76F3"/>
    <w:rsid w:val="005013BA"/>
    <w:rsid w:val="00501BBB"/>
    <w:rsid w:val="00501E81"/>
    <w:rsid w:val="005029B6"/>
    <w:rsid w:val="00504192"/>
    <w:rsid w:val="00504385"/>
    <w:rsid w:val="0050464F"/>
    <w:rsid w:val="00505582"/>
    <w:rsid w:val="00506E00"/>
    <w:rsid w:val="00507D68"/>
    <w:rsid w:val="00510535"/>
    <w:rsid w:val="00515059"/>
    <w:rsid w:val="00517F30"/>
    <w:rsid w:val="00517F69"/>
    <w:rsid w:val="00521F96"/>
    <w:rsid w:val="00522A24"/>
    <w:rsid w:val="0052522F"/>
    <w:rsid w:val="0052705B"/>
    <w:rsid w:val="0052727C"/>
    <w:rsid w:val="00527A73"/>
    <w:rsid w:val="00530025"/>
    <w:rsid w:val="00530E1E"/>
    <w:rsid w:val="005325DA"/>
    <w:rsid w:val="00532675"/>
    <w:rsid w:val="005327B1"/>
    <w:rsid w:val="00532903"/>
    <w:rsid w:val="00536AA3"/>
    <w:rsid w:val="0054187D"/>
    <w:rsid w:val="00541F16"/>
    <w:rsid w:val="00542BC8"/>
    <w:rsid w:val="0054323C"/>
    <w:rsid w:val="00543990"/>
    <w:rsid w:val="00544BC0"/>
    <w:rsid w:val="00546417"/>
    <w:rsid w:val="00546DF1"/>
    <w:rsid w:val="00547254"/>
    <w:rsid w:val="00547845"/>
    <w:rsid w:val="005509E3"/>
    <w:rsid w:val="00550D15"/>
    <w:rsid w:val="00550DB2"/>
    <w:rsid w:val="00551000"/>
    <w:rsid w:val="00552DF0"/>
    <w:rsid w:val="00553640"/>
    <w:rsid w:val="00553959"/>
    <w:rsid w:val="00554044"/>
    <w:rsid w:val="00554C89"/>
    <w:rsid w:val="0056199A"/>
    <w:rsid w:val="00563597"/>
    <w:rsid w:val="00563F1D"/>
    <w:rsid w:val="00566834"/>
    <w:rsid w:val="00566DDF"/>
    <w:rsid w:val="0057439D"/>
    <w:rsid w:val="005756EB"/>
    <w:rsid w:val="00575F19"/>
    <w:rsid w:val="00575F34"/>
    <w:rsid w:val="00576118"/>
    <w:rsid w:val="005765E4"/>
    <w:rsid w:val="005770DF"/>
    <w:rsid w:val="00577EFC"/>
    <w:rsid w:val="00580188"/>
    <w:rsid w:val="0058023E"/>
    <w:rsid w:val="0058038F"/>
    <w:rsid w:val="00580CC3"/>
    <w:rsid w:val="00582329"/>
    <w:rsid w:val="00582367"/>
    <w:rsid w:val="00583097"/>
    <w:rsid w:val="00583ABF"/>
    <w:rsid w:val="00584AB7"/>
    <w:rsid w:val="005855E8"/>
    <w:rsid w:val="00585BDF"/>
    <w:rsid w:val="00586507"/>
    <w:rsid w:val="00586DCF"/>
    <w:rsid w:val="00596362"/>
    <w:rsid w:val="00596918"/>
    <w:rsid w:val="00596D4D"/>
    <w:rsid w:val="00596D54"/>
    <w:rsid w:val="005A082C"/>
    <w:rsid w:val="005A130A"/>
    <w:rsid w:val="005A20EE"/>
    <w:rsid w:val="005A22A2"/>
    <w:rsid w:val="005A242B"/>
    <w:rsid w:val="005A2A0F"/>
    <w:rsid w:val="005A3897"/>
    <w:rsid w:val="005A6515"/>
    <w:rsid w:val="005B0646"/>
    <w:rsid w:val="005B1A4E"/>
    <w:rsid w:val="005B200C"/>
    <w:rsid w:val="005B38E7"/>
    <w:rsid w:val="005B464A"/>
    <w:rsid w:val="005B53AD"/>
    <w:rsid w:val="005B6E25"/>
    <w:rsid w:val="005C02DC"/>
    <w:rsid w:val="005C0DCD"/>
    <w:rsid w:val="005C23A1"/>
    <w:rsid w:val="005C2E43"/>
    <w:rsid w:val="005C3B16"/>
    <w:rsid w:val="005C3F2F"/>
    <w:rsid w:val="005C5F4D"/>
    <w:rsid w:val="005C64DD"/>
    <w:rsid w:val="005C6937"/>
    <w:rsid w:val="005D02CF"/>
    <w:rsid w:val="005D0521"/>
    <w:rsid w:val="005D26A0"/>
    <w:rsid w:val="005D3F38"/>
    <w:rsid w:val="005D41C7"/>
    <w:rsid w:val="005D51E3"/>
    <w:rsid w:val="005D64CF"/>
    <w:rsid w:val="005D6502"/>
    <w:rsid w:val="005D7ECA"/>
    <w:rsid w:val="005E200E"/>
    <w:rsid w:val="005E26C4"/>
    <w:rsid w:val="005E273C"/>
    <w:rsid w:val="005E4A2C"/>
    <w:rsid w:val="005E5A0C"/>
    <w:rsid w:val="005E7EEA"/>
    <w:rsid w:val="005F09B3"/>
    <w:rsid w:val="005F1305"/>
    <w:rsid w:val="005F15BE"/>
    <w:rsid w:val="005F1FCE"/>
    <w:rsid w:val="005F23F3"/>
    <w:rsid w:val="005F49B9"/>
    <w:rsid w:val="005F507C"/>
    <w:rsid w:val="005F5575"/>
    <w:rsid w:val="005F59E6"/>
    <w:rsid w:val="00601F43"/>
    <w:rsid w:val="0060255B"/>
    <w:rsid w:val="006025E9"/>
    <w:rsid w:val="00604017"/>
    <w:rsid w:val="006044AE"/>
    <w:rsid w:val="0060544E"/>
    <w:rsid w:val="006058D8"/>
    <w:rsid w:val="00605A59"/>
    <w:rsid w:val="00612E59"/>
    <w:rsid w:val="006134EF"/>
    <w:rsid w:val="00615D25"/>
    <w:rsid w:val="00621D98"/>
    <w:rsid w:val="00621E4F"/>
    <w:rsid w:val="00621FE7"/>
    <w:rsid w:val="006224E5"/>
    <w:rsid w:val="00622C47"/>
    <w:rsid w:val="006246A7"/>
    <w:rsid w:val="00625AF2"/>
    <w:rsid w:val="006264F9"/>
    <w:rsid w:val="006274A1"/>
    <w:rsid w:val="0063170F"/>
    <w:rsid w:val="006321EC"/>
    <w:rsid w:val="0063228B"/>
    <w:rsid w:val="006324DD"/>
    <w:rsid w:val="006328FF"/>
    <w:rsid w:val="00633421"/>
    <w:rsid w:val="0063686A"/>
    <w:rsid w:val="00636A24"/>
    <w:rsid w:val="006373FA"/>
    <w:rsid w:val="0063767D"/>
    <w:rsid w:val="00640ACF"/>
    <w:rsid w:val="0064181F"/>
    <w:rsid w:val="0064250B"/>
    <w:rsid w:val="00646F3F"/>
    <w:rsid w:val="006478EF"/>
    <w:rsid w:val="00647FC8"/>
    <w:rsid w:val="00650AFD"/>
    <w:rsid w:val="0065196E"/>
    <w:rsid w:val="00654F84"/>
    <w:rsid w:val="00655DE9"/>
    <w:rsid w:val="006564CF"/>
    <w:rsid w:val="00657A60"/>
    <w:rsid w:val="00657D26"/>
    <w:rsid w:val="00660C14"/>
    <w:rsid w:val="00661CB3"/>
    <w:rsid w:val="006627D5"/>
    <w:rsid w:val="00663A08"/>
    <w:rsid w:val="00664DCE"/>
    <w:rsid w:val="006652F5"/>
    <w:rsid w:val="00665B61"/>
    <w:rsid w:val="00665EAE"/>
    <w:rsid w:val="00672F09"/>
    <w:rsid w:val="00673AC8"/>
    <w:rsid w:val="00674490"/>
    <w:rsid w:val="00674DF6"/>
    <w:rsid w:val="006751BE"/>
    <w:rsid w:val="00675617"/>
    <w:rsid w:val="00675A50"/>
    <w:rsid w:val="00677930"/>
    <w:rsid w:val="00680783"/>
    <w:rsid w:val="0068175E"/>
    <w:rsid w:val="00681845"/>
    <w:rsid w:val="00682EB1"/>
    <w:rsid w:val="006834E3"/>
    <w:rsid w:val="00684899"/>
    <w:rsid w:val="0068530C"/>
    <w:rsid w:val="00687880"/>
    <w:rsid w:val="00687C90"/>
    <w:rsid w:val="00691980"/>
    <w:rsid w:val="006931C3"/>
    <w:rsid w:val="00693615"/>
    <w:rsid w:val="00693CB4"/>
    <w:rsid w:val="00695533"/>
    <w:rsid w:val="006956F6"/>
    <w:rsid w:val="006A00EB"/>
    <w:rsid w:val="006A07DD"/>
    <w:rsid w:val="006A0BF9"/>
    <w:rsid w:val="006A18A1"/>
    <w:rsid w:val="006A1FCD"/>
    <w:rsid w:val="006A4B81"/>
    <w:rsid w:val="006A532F"/>
    <w:rsid w:val="006A7365"/>
    <w:rsid w:val="006B0A67"/>
    <w:rsid w:val="006B1413"/>
    <w:rsid w:val="006B1D8C"/>
    <w:rsid w:val="006B40C7"/>
    <w:rsid w:val="006B5C3F"/>
    <w:rsid w:val="006B6C57"/>
    <w:rsid w:val="006C108A"/>
    <w:rsid w:val="006C1C6E"/>
    <w:rsid w:val="006C1E31"/>
    <w:rsid w:val="006C4E8A"/>
    <w:rsid w:val="006C5BCC"/>
    <w:rsid w:val="006C68D0"/>
    <w:rsid w:val="006C6DB0"/>
    <w:rsid w:val="006D0438"/>
    <w:rsid w:val="006D1534"/>
    <w:rsid w:val="006D2B6F"/>
    <w:rsid w:val="006D3B5F"/>
    <w:rsid w:val="006D557F"/>
    <w:rsid w:val="006D611E"/>
    <w:rsid w:val="006D6FAF"/>
    <w:rsid w:val="006D73CF"/>
    <w:rsid w:val="006D7616"/>
    <w:rsid w:val="006E2740"/>
    <w:rsid w:val="006E6A71"/>
    <w:rsid w:val="006F0497"/>
    <w:rsid w:val="006F1393"/>
    <w:rsid w:val="006F1452"/>
    <w:rsid w:val="006F2234"/>
    <w:rsid w:val="006F3503"/>
    <w:rsid w:val="006F4B2F"/>
    <w:rsid w:val="006F6654"/>
    <w:rsid w:val="006F6B9F"/>
    <w:rsid w:val="006F70FD"/>
    <w:rsid w:val="007003E9"/>
    <w:rsid w:val="007008C9"/>
    <w:rsid w:val="0070418A"/>
    <w:rsid w:val="0070539D"/>
    <w:rsid w:val="00705812"/>
    <w:rsid w:val="007063F3"/>
    <w:rsid w:val="0071048C"/>
    <w:rsid w:val="0071222D"/>
    <w:rsid w:val="00712ECE"/>
    <w:rsid w:val="007145A9"/>
    <w:rsid w:val="007145DE"/>
    <w:rsid w:val="00714AC3"/>
    <w:rsid w:val="00715318"/>
    <w:rsid w:val="00715421"/>
    <w:rsid w:val="00715886"/>
    <w:rsid w:val="00716D63"/>
    <w:rsid w:val="00723285"/>
    <w:rsid w:val="0072365F"/>
    <w:rsid w:val="00723D97"/>
    <w:rsid w:val="00725169"/>
    <w:rsid w:val="00725341"/>
    <w:rsid w:val="00725B82"/>
    <w:rsid w:val="00727077"/>
    <w:rsid w:val="00730779"/>
    <w:rsid w:val="00731AC9"/>
    <w:rsid w:val="00731F88"/>
    <w:rsid w:val="00733531"/>
    <w:rsid w:val="007346CB"/>
    <w:rsid w:val="007347E3"/>
    <w:rsid w:val="0073521C"/>
    <w:rsid w:val="007352B2"/>
    <w:rsid w:val="007353F6"/>
    <w:rsid w:val="00740953"/>
    <w:rsid w:val="007410F1"/>
    <w:rsid w:val="00741768"/>
    <w:rsid w:val="00742FAE"/>
    <w:rsid w:val="0074301E"/>
    <w:rsid w:val="00745EC1"/>
    <w:rsid w:val="00745F3E"/>
    <w:rsid w:val="0075074F"/>
    <w:rsid w:val="00752992"/>
    <w:rsid w:val="00754BFA"/>
    <w:rsid w:val="00754D46"/>
    <w:rsid w:val="00755AAE"/>
    <w:rsid w:val="00756B41"/>
    <w:rsid w:val="00756C81"/>
    <w:rsid w:val="007576C6"/>
    <w:rsid w:val="00760137"/>
    <w:rsid w:val="0076060B"/>
    <w:rsid w:val="00761762"/>
    <w:rsid w:val="00762615"/>
    <w:rsid w:val="007635D0"/>
    <w:rsid w:val="00763F0D"/>
    <w:rsid w:val="00767A67"/>
    <w:rsid w:val="00767B47"/>
    <w:rsid w:val="0077024A"/>
    <w:rsid w:val="007708C1"/>
    <w:rsid w:val="00770CFA"/>
    <w:rsid w:val="00771233"/>
    <w:rsid w:val="00773A2D"/>
    <w:rsid w:val="007749B5"/>
    <w:rsid w:val="00774C73"/>
    <w:rsid w:val="007750E8"/>
    <w:rsid w:val="00775BE6"/>
    <w:rsid w:val="0077649A"/>
    <w:rsid w:val="00776B96"/>
    <w:rsid w:val="00780B2C"/>
    <w:rsid w:val="00782267"/>
    <w:rsid w:val="00785355"/>
    <w:rsid w:val="007856CC"/>
    <w:rsid w:val="00786145"/>
    <w:rsid w:val="00786EE8"/>
    <w:rsid w:val="00791888"/>
    <w:rsid w:val="00792B23"/>
    <w:rsid w:val="00793703"/>
    <w:rsid w:val="00793F05"/>
    <w:rsid w:val="007940D5"/>
    <w:rsid w:val="00794207"/>
    <w:rsid w:val="0079609B"/>
    <w:rsid w:val="007970D6"/>
    <w:rsid w:val="007975B6"/>
    <w:rsid w:val="007A1A1A"/>
    <w:rsid w:val="007A2780"/>
    <w:rsid w:val="007A398F"/>
    <w:rsid w:val="007A45F8"/>
    <w:rsid w:val="007A49E7"/>
    <w:rsid w:val="007A647E"/>
    <w:rsid w:val="007A6607"/>
    <w:rsid w:val="007A780F"/>
    <w:rsid w:val="007A78A2"/>
    <w:rsid w:val="007B0B37"/>
    <w:rsid w:val="007B25E1"/>
    <w:rsid w:val="007B6DDE"/>
    <w:rsid w:val="007C01D7"/>
    <w:rsid w:val="007C0604"/>
    <w:rsid w:val="007C0A90"/>
    <w:rsid w:val="007C2AD2"/>
    <w:rsid w:val="007C399C"/>
    <w:rsid w:val="007C4E83"/>
    <w:rsid w:val="007C504D"/>
    <w:rsid w:val="007C6410"/>
    <w:rsid w:val="007C6BC6"/>
    <w:rsid w:val="007D0A02"/>
    <w:rsid w:val="007D1C60"/>
    <w:rsid w:val="007D2430"/>
    <w:rsid w:val="007D2855"/>
    <w:rsid w:val="007D46F5"/>
    <w:rsid w:val="007D4818"/>
    <w:rsid w:val="007D4C84"/>
    <w:rsid w:val="007D5ECD"/>
    <w:rsid w:val="007D6AEC"/>
    <w:rsid w:val="007D7270"/>
    <w:rsid w:val="007D75DA"/>
    <w:rsid w:val="007E0852"/>
    <w:rsid w:val="007E151A"/>
    <w:rsid w:val="007E234A"/>
    <w:rsid w:val="007E397C"/>
    <w:rsid w:val="007E4931"/>
    <w:rsid w:val="007E59A7"/>
    <w:rsid w:val="007E5A88"/>
    <w:rsid w:val="007E5C36"/>
    <w:rsid w:val="007E6442"/>
    <w:rsid w:val="007E72DD"/>
    <w:rsid w:val="007F0108"/>
    <w:rsid w:val="007F0B25"/>
    <w:rsid w:val="007F27CB"/>
    <w:rsid w:val="007F28DC"/>
    <w:rsid w:val="007F2B99"/>
    <w:rsid w:val="007F34A8"/>
    <w:rsid w:val="007F4C06"/>
    <w:rsid w:val="007F4CBB"/>
    <w:rsid w:val="007F688B"/>
    <w:rsid w:val="007F6C99"/>
    <w:rsid w:val="007F769F"/>
    <w:rsid w:val="00800961"/>
    <w:rsid w:val="00800C3F"/>
    <w:rsid w:val="00801BA0"/>
    <w:rsid w:val="0080293C"/>
    <w:rsid w:val="00802B23"/>
    <w:rsid w:val="00802FCE"/>
    <w:rsid w:val="00803C70"/>
    <w:rsid w:val="00803F6B"/>
    <w:rsid w:val="00804BD9"/>
    <w:rsid w:val="0080525F"/>
    <w:rsid w:val="0080593B"/>
    <w:rsid w:val="00805D3A"/>
    <w:rsid w:val="00805DF3"/>
    <w:rsid w:val="00805FC3"/>
    <w:rsid w:val="00806870"/>
    <w:rsid w:val="00806B75"/>
    <w:rsid w:val="00806BDB"/>
    <w:rsid w:val="00807941"/>
    <w:rsid w:val="00807CE3"/>
    <w:rsid w:val="008109A2"/>
    <w:rsid w:val="0081213F"/>
    <w:rsid w:val="00812DF4"/>
    <w:rsid w:val="008148B2"/>
    <w:rsid w:val="00814944"/>
    <w:rsid w:val="00817C22"/>
    <w:rsid w:val="00820B50"/>
    <w:rsid w:val="008222BB"/>
    <w:rsid w:val="008262E8"/>
    <w:rsid w:val="0082746D"/>
    <w:rsid w:val="008302BA"/>
    <w:rsid w:val="008326D9"/>
    <w:rsid w:val="00833F9F"/>
    <w:rsid w:val="0083457E"/>
    <w:rsid w:val="008358F5"/>
    <w:rsid w:val="0083679A"/>
    <w:rsid w:val="00836A27"/>
    <w:rsid w:val="00842ACB"/>
    <w:rsid w:val="00843011"/>
    <w:rsid w:val="00845C9E"/>
    <w:rsid w:val="00850CCA"/>
    <w:rsid w:val="0085162C"/>
    <w:rsid w:val="00852394"/>
    <w:rsid w:val="00854D4A"/>
    <w:rsid w:val="0085569E"/>
    <w:rsid w:val="0085661A"/>
    <w:rsid w:val="0085703D"/>
    <w:rsid w:val="008572CB"/>
    <w:rsid w:val="00857679"/>
    <w:rsid w:val="00857C93"/>
    <w:rsid w:val="008609E9"/>
    <w:rsid w:val="00861C90"/>
    <w:rsid w:val="00862398"/>
    <w:rsid w:val="00862796"/>
    <w:rsid w:val="008632AC"/>
    <w:rsid w:val="00864BC2"/>
    <w:rsid w:val="00864CDD"/>
    <w:rsid w:val="00865330"/>
    <w:rsid w:val="008708E7"/>
    <w:rsid w:val="00870E11"/>
    <w:rsid w:val="008717C0"/>
    <w:rsid w:val="00871F05"/>
    <w:rsid w:val="00875018"/>
    <w:rsid w:val="00875F85"/>
    <w:rsid w:val="00876322"/>
    <w:rsid w:val="00880173"/>
    <w:rsid w:val="00880464"/>
    <w:rsid w:val="00880A7C"/>
    <w:rsid w:val="00882002"/>
    <w:rsid w:val="0088242B"/>
    <w:rsid w:val="008827A6"/>
    <w:rsid w:val="008842E6"/>
    <w:rsid w:val="00886A02"/>
    <w:rsid w:val="00891A2B"/>
    <w:rsid w:val="00893158"/>
    <w:rsid w:val="00893EF3"/>
    <w:rsid w:val="00893F57"/>
    <w:rsid w:val="00894431"/>
    <w:rsid w:val="00895459"/>
    <w:rsid w:val="00895C9A"/>
    <w:rsid w:val="00895E4A"/>
    <w:rsid w:val="00897135"/>
    <w:rsid w:val="008975AB"/>
    <w:rsid w:val="00897BF3"/>
    <w:rsid w:val="008A0907"/>
    <w:rsid w:val="008A165B"/>
    <w:rsid w:val="008A289A"/>
    <w:rsid w:val="008A393D"/>
    <w:rsid w:val="008A4AEB"/>
    <w:rsid w:val="008A4DF5"/>
    <w:rsid w:val="008A5652"/>
    <w:rsid w:val="008A7CC6"/>
    <w:rsid w:val="008B0177"/>
    <w:rsid w:val="008B156A"/>
    <w:rsid w:val="008B2E5F"/>
    <w:rsid w:val="008B531D"/>
    <w:rsid w:val="008B6DC9"/>
    <w:rsid w:val="008B72DE"/>
    <w:rsid w:val="008C1DBF"/>
    <w:rsid w:val="008C3B83"/>
    <w:rsid w:val="008C40F5"/>
    <w:rsid w:val="008C53E1"/>
    <w:rsid w:val="008C594B"/>
    <w:rsid w:val="008C70F9"/>
    <w:rsid w:val="008C718A"/>
    <w:rsid w:val="008C7943"/>
    <w:rsid w:val="008D0766"/>
    <w:rsid w:val="008D1A22"/>
    <w:rsid w:val="008D2A64"/>
    <w:rsid w:val="008D5855"/>
    <w:rsid w:val="008D622F"/>
    <w:rsid w:val="008E0FD8"/>
    <w:rsid w:val="008E4C47"/>
    <w:rsid w:val="008E5E4E"/>
    <w:rsid w:val="008F0109"/>
    <w:rsid w:val="008F07F0"/>
    <w:rsid w:val="008F0AD3"/>
    <w:rsid w:val="008F4153"/>
    <w:rsid w:val="008F5021"/>
    <w:rsid w:val="008F588B"/>
    <w:rsid w:val="008F6524"/>
    <w:rsid w:val="008F7039"/>
    <w:rsid w:val="008F7D4B"/>
    <w:rsid w:val="00901768"/>
    <w:rsid w:val="00902444"/>
    <w:rsid w:val="009047D6"/>
    <w:rsid w:val="00905608"/>
    <w:rsid w:val="00907F19"/>
    <w:rsid w:val="00910549"/>
    <w:rsid w:val="00910E8A"/>
    <w:rsid w:val="00911352"/>
    <w:rsid w:val="009115DA"/>
    <w:rsid w:val="00914B0C"/>
    <w:rsid w:val="00915F79"/>
    <w:rsid w:val="00917121"/>
    <w:rsid w:val="009214D1"/>
    <w:rsid w:val="0092157D"/>
    <w:rsid w:val="00924750"/>
    <w:rsid w:val="00924BD0"/>
    <w:rsid w:val="00925FA5"/>
    <w:rsid w:val="009277C7"/>
    <w:rsid w:val="00927AE0"/>
    <w:rsid w:val="0093010E"/>
    <w:rsid w:val="009301D2"/>
    <w:rsid w:val="00930AD2"/>
    <w:rsid w:val="0093306C"/>
    <w:rsid w:val="00933B83"/>
    <w:rsid w:val="00935D10"/>
    <w:rsid w:val="009407F7"/>
    <w:rsid w:val="00941852"/>
    <w:rsid w:val="009426B5"/>
    <w:rsid w:val="00942775"/>
    <w:rsid w:val="0094322B"/>
    <w:rsid w:val="00945FD8"/>
    <w:rsid w:val="00950450"/>
    <w:rsid w:val="00950CC6"/>
    <w:rsid w:val="00950EB3"/>
    <w:rsid w:val="009518CF"/>
    <w:rsid w:val="009520E7"/>
    <w:rsid w:val="009523FD"/>
    <w:rsid w:val="009532D2"/>
    <w:rsid w:val="00955E56"/>
    <w:rsid w:val="009562F0"/>
    <w:rsid w:val="00956A8A"/>
    <w:rsid w:val="00957320"/>
    <w:rsid w:val="00957F21"/>
    <w:rsid w:val="009614A8"/>
    <w:rsid w:val="00962DB0"/>
    <w:rsid w:val="009646C4"/>
    <w:rsid w:val="00965859"/>
    <w:rsid w:val="00966731"/>
    <w:rsid w:val="0096712A"/>
    <w:rsid w:val="00967DB6"/>
    <w:rsid w:val="009708A7"/>
    <w:rsid w:val="00972C55"/>
    <w:rsid w:val="00974159"/>
    <w:rsid w:val="009744E0"/>
    <w:rsid w:val="00975F36"/>
    <w:rsid w:val="00976258"/>
    <w:rsid w:val="00981256"/>
    <w:rsid w:val="00984D12"/>
    <w:rsid w:val="009860F6"/>
    <w:rsid w:val="009864CB"/>
    <w:rsid w:val="009868F0"/>
    <w:rsid w:val="00986C07"/>
    <w:rsid w:val="009874F9"/>
    <w:rsid w:val="009914BD"/>
    <w:rsid w:val="0099203F"/>
    <w:rsid w:val="0099340D"/>
    <w:rsid w:val="00993B8D"/>
    <w:rsid w:val="0099483C"/>
    <w:rsid w:val="00997CD9"/>
    <w:rsid w:val="00997E1E"/>
    <w:rsid w:val="009A13E7"/>
    <w:rsid w:val="009A4146"/>
    <w:rsid w:val="009A448D"/>
    <w:rsid w:val="009A479F"/>
    <w:rsid w:val="009A5828"/>
    <w:rsid w:val="009A590C"/>
    <w:rsid w:val="009A5BF8"/>
    <w:rsid w:val="009A6E19"/>
    <w:rsid w:val="009A751B"/>
    <w:rsid w:val="009B1053"/>
    <w:rsid w:val="009B129A"/>
    <w:rsid w:val="009B18BF"/>
    <w:rsid w:val="009B2096"/>
    <w:rsid w:val="009B2B36"/>
    <w:rsid w:val="009B2FC2"/>
    <w:rsid w:val="009B43A5"/>
    <w:rsid w:val="009B4D48"/>
    <w:rsid w:val="009B630B"/>
    <w:rsid w:val="009C0915"/>
    <w:rsid w:val="009C0E3E"/>
    <w:rsid w:val="009C1638"/>
    <w:rsid w:val="009C1850"/>
    <w:rsid w:val="009C1A68"/>
    <w:rsid w:val="009C1C6C"/>
    <w:rsid w:val="009C2848"/>
    <w:rsid w:val="009C2C09"/>
    <w:rsid w:val="009C50E0"/>
    <w:rsid w:val="009C5789"/>
    <w:rsid w:val="009C7843"/>
    <w:rsid w:val="009D09C2"/>
    <w:rsid w:val="009D3606"/>
    <w:rsid w:val="009D3788"/>
    <w:rsid w:val="009D46F0"/>
    <w:rsid w:val="009D52D1"/>
    <w:rsid w:val="009E3C93"/>
    <w:rsid w:val="009E51AA"/>
    <w:rsid w:val="009F150C"/>
    <w:rsid w:val="009F2A1B"/>
    <w:rsid w:val="009F2B85"/>
    <w:rsid w:val="009F3049"/>
    <w:rsid w:val="009F3769"/>
    <w:rsid w:val="009F3BA1"/>
    <w:rsid w:val="009F3C38"/>
    <w:rsid w:val="009F588C"/>
    <w:rsid w:val="009F5F73"/>
    <w:rsid w:val="009F6488"/>
    <w:rsid w:val="009F64B9"/>
    <w:rsid w:val="00A00C08"/>
    <w:rsid w:val="00A00C1C"/>
    <w:rsid w:val="00A00DAE"/>
    <w:rsid w:val="00A0269C"/>
    <w:rsid w:val="00A026F0"/>
    <w:rsid w:val="00A04FB8"/>
    <w:rsid w:val="00A0708F"/>
    <w:rsid w:val="00A102E5"/>
    <w:rsid w:val="00A125C0"/>
    <w:rsid w:val="00A13261"/>
    <w:rsid w:val="00A14980"/>
    <w:rsid w:val="00A16084"/>
    <w:rsid w:val="00A1632A"/>
    <w:rsid w:val="00A17BAE"/>
    <w:rsid w:val="00A2169E"/>
    <w:rsid w:val="00A232DD"/>
    <w:rsid w:val="00A23A01"/>
    <w:rsid w:val="00A26E3D"/>
    <w:rsid w:val="00A27EAB"/>
    <w:rsid w:val="00A3084A"/>
    <w:rsid w:val="00A316DA"/>
    <w:rsid w:val="00A31E5D"/>
    <w:rsid w:val="00A332E1"/>
    <w:rsid w:val="00A34C12"/>
    <w:rsid w:val="00A372F3"/>
    <w:rsid w:val="00A375C1"/>
    <w:rsid w:val="00A37B48"/>
    <w:rsid w:val="00A37C2E"/>
    <w:rsid w:val="00A37FA8"/>
    <w:rsid w:val="00A40014"/>
    <w:rsid w:val="00A40CB1"/>
    <w:rsid w:val="00A42E55"/>
    <w:rsid w:val="00A43968"/>
    <w:rsid w:val="00A4677E"/>
    <w:rsid w:val="00A467C3"/>
    <w:rsid w:val="00A47F15"/>
    <w:rsid w:val="00A53AE2"/>
    <w:rsid w:val="00A53CF7"/>
    <w:rsid w:val="00A55488"/>
    <w:rsid w:val="00A55921"/>
    <w:rsid w:val="00A5745F"/>
    <w:rsid w:val="00A579CE"/>
    <w:rsid w:val="00A627FC"/>
    <w:rsid w:val="00A629C3"/>
    <w:rsid w:val="00A62B3F"/>
    <w:rsid w:val="00A62BE8"/>
    <w:rsid w:val="00A6315D"/>
    <w:rsid w:val="00A640FC"/>
    <w:rsid w:val="00A64DD9"/>
    <w:rsid w:val="00A66CAE"/>
    <w:rsid w:val="00A72967"/>
    <w:rsid w:val="00A72C20"/>
    <w:rsid w:val="00A731DE"/>
    <w:rsid w:val="00A73333"/>
    <w:rsid w:val="00A73451"/>
    <w:rsid w:val="00A7379D"/>
    <w:rsid w:val="00A74A2F"/>
    <w:rsid w:val="00A74E20"/>
    <w:rsid w:val="00A75B47"/>
    <w:rsid w:val="00A81657"/>
    <w:rsid w:val="00A82A6C"/>
    <w:rsid w:val="00A840E9"/>
    <w:rsid w:val="00A84EB2"/>
    <w:rsid w:val="00A853DF"/>
    <w:rsid w:val="00A90898"/>
    <w:rsid w:val="00A91454"/>
    <w:rsid w:val="00A91F51"/>
    <w:rsid w:val="00A92AF5"/>
    <w:rsid w:val="00A952D4"/>
    <w:rsid w:val="00A97BF2"/>
    <w:rsid w:val="00AA0A70"/>
    <w:rsid w:val="00AA1061"/>
    <w:rsid w:val="00AA1AC6"/>
    <w:rsid w:val="00AA232A"/>
    <w:rsid w:val="00AA3B30"/>
    <w:rsid w:val="00AA3D3F"/>
    <w:rsid w:val="00AA5262"/>
    <w:rsid w:val="00AA5C6A"/>
    <w:rsid w:val="00AA6819"/>
    <w:rsid w:val="00AA70D7"/>
    <w:rsid w:val="00AB0367"/>
    <w:rsid w:val="00AB049B"/>
    <w:rsid w:val="00AB10B3"/>
    <w:rsid w:val="00AB22F3"/>
    <w:rsid w:val="00AB23EE"/>
    <w:rsid w:val="00AB2C4F"/>
    <w:rsid w:val="00AB6907"/>
    <w:rsid w:val="00AB7D38"/>
    <w:rsid w:val="00AC06D6"/>
    <w:rsid w:val="00AC1115"/>
    <w:rsid w:val="00AC3B30"/>
    <w:rsid w:val="00AC3E7C"/>
    <w:rsid w:val="00AC5318"/>
    <w:rsid w:val="00AC542B"/>
    <w:rsid w:val="00AC7D43"/>
    <w:rsid w:val="00AC7D59"/>
    <w:rsid w:val="00AC7E2F"/>
    <w:rsid w:val="00AD0677"/>
    <w:rsid w:val="00AD0E2F"/>
    <w:rsid w:val="00AD1478"/>
    <w:rsid w:val="00AD1C40"/>
    <w:rsid w:val="00AD394C"/>
    <w:rsid w:val="00AD56B1"/>
    <w:rsid w:val="00AE3430"/>
    <w:rsid w:val="00AE3E38"/>
    <w:rsid w:val="00AE5439"/>
    <w:rsid w:val="00AE7094"/>
    <w:rsid w:val="00AE7533"/>
    <w:rsid w:val="00AE77E6"/>
    <w:rsid w:val="00AE7FA6"/>
    <w:rsid w:val="00AF4888"/>
    <w:rsid w:val="00AF67D8"/>
    <w:rsid w:val="00AF70C3"/>
    <w:rsid w:val="00B00AE3"/>
    <w:rsid w:val="00B013D1"/>
    <w:rsid w:val="00B01FF3"/>
    <w:rsid w:val="00B04538"/>
    <w:rsid w:val="00B045DA"/>
    <w:rsid w:val="00B04BA6"/>
    <w:rsid w:val="00B04D0B"/>
    <w:rsid w:val="00B06734"/>
    <w:rsid w:val="00B07FA2"/>
    <w:rsid w:val="00B10E7A"/>
    <w:rsid w:val="00B11AFB"/>
    <w:rsid w:val="00B11E3E"/>
    <w:rsid w:val="00B1493F"/>
    <w:rsid w:val="00B15ACE"/>
    <w:rsid w:val="00B17CED"/>
    <w:rsid w:val="00B2418A"/>
    <w:rsid w:val="00B2517F"/>
    <w:rsid w:val="00B26A21"/>
    <w:rsid w:val="00B26B9C"/>
    <w:rsid w:val="00B273FE"/>
    <w:rsid w:val="00B2757F"/>
    <w:rsid w:val="00B3052D"/>
    <w:rsid w:val="00B308C9"/>
    <w:rsid w:val="00B30C84"/>
    <w:rsid w:val="00B30CD6"/>
    <w:rsid w:val="00B32567"/>
    <w:rsid w:val="00B3336F"/>
    <w:rsid w:val="00B33928"/>
    <w:rsid w:val="00B34456"/>
    <w:rsid w:val="00B369DC"/>
    <w:rsid w:val="00B36F09"/>
    <w:rsid w:val="00B374EF"/>
    <w:rsid w:val="00B40087"/>
    <w:rsid w:val="00B4201F"/>
    <w:rsid w:val="00B428A4"/>
    <w:rsid w:val="00B42E84"/>
    <w:rsid w:val="00B44371"/>
    <w:rsid w:val="00B45AB0"/>
    <w:rsid w:val="00B468EB"/>
    <w:rsid w:val="00B52210"/>
    <w:rsid w:val="00B522B3"/>
    <w:rsid w:val="00B52A41"/>
    <w:rsid w:val="00B54E7D"/>
    <w:rsid w:val="00B56BEC"/>
    <w:rsid w:val="00B56E47"/>
    <w:rsid w:val="00B570CA"/>
    <w:rsid w:val="00B57BDF"/>
    <w:rsid w:val="00B60105"/>
    <w:rsid w:val="00B63832"/>
    <w:rsid w:val="00B6486F"/>
    <w:rsid w:val="00B64D7B"/>
    <w:rsid w:val="00B70078"/>
    <w:rsid w:val="00B71CCC"/>
    <w:rsid w:val="00B728A0"/>
    <w:rsid w:val="00B75170"/>
    <w:rsid w:val="00B77063"/>
    <w:rsid w:val="00B77494"/>
    <w:rsid w:val="00B812C2"/>
    <w:rsid w:val="00B8154F"/>
    <w:rsid w:val="00B815B9"/>
    <w:rsid w:val="00B82290"/>
    <w:rsid w:val="00B841F8"/>
    <w:rsid w:val="00B855EE"/>
    <w:rsid w:val="00B85ED3"/>
    <w:rsid w:val="00B86501"/>
    <w:rsid w:val="00B868DB"/>
    <w:rsid w:val="00B87EBC"/>
    <w:rsid w:val="00B9040D"/>
    <w:rsid w:val="00B93134"/>
    <w:rsid w:val="00B93252"/>
    <w:rsid w:val="00BA0304"/>
    <w:rsid w:val="00BA0794"/>
    <w:rsid w:val="00BA2BEF"/>
    <w:rsid w:val="00BA460B"/>
    <w:rsid w:val="00BA4F58"/>
    <w:rsid w:val="00BA5723"/>
    <w:rsid w:val="00BA673A"/>
    <w:rsid w:val="00BB1202"/>
    <w:rsid w:val="00BB3D55"/>
    <w:rsid w:val="00BB403C"/>
    <w:rsid w:val="00BB40A0"/>
    <w:rsid w:val="00BB4140"/>
    <w:rsid w:val="00BB44A7"/>
    <w:rsid w:val="00BB4701"/>
    <w:rsid w:val="00BB6856"/>
    <w:rsid w:val="00BB75B7"/>
    <w:rsid w:val="00BB7BEF"/>
    <w:rsid w:val="00BC0183"/>
    <w:rsid w:val="00BC1000"/>
    <w:rsid w:val="00BC1838"/>
    <w:rsid w:val="00BC1D0F"/>
    <w:rsid w:val="00BC21EC"/>
    <w:rsid w:val="00BC2E35"/>
    <w:rsid w:val="00BC3154"/>
    <w:rsid w:val="00BC4993"/>
    <w:rsid w:val="00BC55C8"/>
    <w:rsid w:val="00BC55F7"/>
    <w:rsid w:val="00BC5F03"/>
    <w:rsid w:val="00BC63B1"/>
    <w:rsid w:val="00BC6FB5"/>
    <w:rsid w:val="00BC72EE"/>
    <w:rsid w:val="00BD048C"/>
    <w:rsid w:val="00BD0618"/>
    <w:rsid w:val="00BD2873"/>
    <w:rsid w:val="00BD2B43"/>
    <w:rsid w:val="00BD3081"/>
    <w:rsid w:val="00BD4483"/>
    <w:rsid w:val="00BD4AA2"/>
    <w:rsid w:val="00BD4E66"/>
    <w:rsid w:val="00BD6233"/>
    <w:rsid w:val="00BD79AE"/>
    <w:rsid w:val="00BE201D"/>
    <w:rsid w:val="00BE2BEA"/>
    <w:rsid w:val="00BE2D5E"/>
    <w:rsid w:val="00BE3753"/>
    <w:rsid w:val="00BE38A9"/>
    <w:rsid w:val="00BE3D6A"/>
    <w:rsid w:val="00BE4264"/>
    <w:rsid w:val="00BE6F2A"/>
    <w:rsid w:val="00BE7979"/>
    <w:rsid w:val="00BF131F"/>
    <w:rsid w:val="00BF26EA"/>
    <w:rsid w:val="00BF2EA9"/>
    <w:rsid w:val="00BF5C0F"/>
    <w:rsid w:val="00BF6AE3"/>
    <w:rsid w:val="00BF7903"/>
    <w:rsid w:val="00BF7996"/>
    <w:rsid w:val="00C0044D"/>
    <w:rsid w:val="00C00FB2"/>
    <w:rsid w:val="00C013FB"/>
    <w:rsid w:val="00C02927"/>
    <w:rsid w:val="00C04C94"/>
    <w:rsid w:val="00C060F5"/>
    <w:rsid w:val="00C06E3D"/>
    <w:rsid w:val="00C072E4"/>
    <w:rsid w:val="00C10193"/>
    <w:rsid w:val="00C10DB9"/>
    <w:rsid w:val="00C1377A"/>
    <w:rsid w:val="00C13B20"/>
    <w:rsid w:val="00C15122"/>
    <w:rsid w:val="00C17B9B"/>
    <w:rsid w:val="00C17E6C"/>
    <w:rsid w:val="00C21AFB"/>
    <w:rsid w:val="00C2392D"/>
    <w:rsid w:val="00C23B2B"/>
    <w:rsid w:val="00C2404D"/>
    <w:rsid w:val="00C24B6C"/>
    <w:rsid w:val="00C25F04"/>
    <w:rsid w:val="00C260B7"/>
    <w:rsid w:val="00C26556"/>
    <w:rsid w:val="00C2697D"/>
    <w:rsid w:val="00C26A18"/>
    <w:rsid w:val="00C27AEE"/>
    <w:rsid w:val="00C309C8"/>
    <w:rsid w:val="00C32C10"/>
    <w:rsid w:val="00C332EA"/>
    <w:rsid w:val="00C35200"/>
    <w:rsid w:val="00C356B6"/>
    <w:rsid w:val="00C35AA0"/>
    <w:rsid w:val="00C35E8A"/>
    <w:rsid w:val="00C3710B"/>
    <w:rsid w:val="00C4065A"/>
    <w:rsid w:val="00C40C5A"/>
    <w:rsid w:val="00C419DE"/>
    <w:rsid w:val="00C41F63"/>
    <w:rsid w:val="00C41F91"/>
    <w:rsid w:val="00C427BF"/>
    <w:rsid w:val="00C43246"/>
    <w:rsid w:val="00C44CD2"/>
    <w:rsid w:val="00C471CB"/>
    <w:rsid w:val="00C50B26"/>
    <w:rsid w:val="00C50F6E"/>
    <w:rsid w:val="00C51A1B"/>
    <w:rsid w:val="00C51AF0"/>
    <w:rsid w:val="00C522DF"/>
    <w:rsid w:val="00C524D4"/>
    <w:rsid w:val="00C537DB"/>
    <w:rsid w:val="00C57C3C"/>
    <w:rsid w:val="00C60AAA"/>
    <w:rsid w:val="00C61250"/>
    <w:rsid w:val="00C621A9"/>
    <w:rsid w:val="00C62431"/>
    <w:rsid w:val="00C65B62"/>
    <w:rsid w:val="00C67DE7"/>
    <w:rsid w:val="00C72C65"/>
    <w:rsid w:val="00C7679B"/>
    <w:rsid w:val="00C778B3"/>
    <w:rsid w:val="00C81ABB"/>
    <w:rsid w:val="00C82E39"/>
    <w:rsid w:val="00C83289"/>
    <w:rsid w:val="00C852BE"/>
    <w:rsid w:val="00C85C29"/>
    <w:rsid w:val="00C90AF6"/>
    <w:rsid w:val="00C92682"/>
    <w:rsid w:val="00C946B7"/>
    <w:rsid w:val="00C94B62"/>
    <w:rsid w:val="00C9634E"/>
    <w:rsid w:val="00C965DD"/>
    <w:rsid w:val="00CA1109"/>
    <w:rsid w:val="00CA1C0C"/>
    <w:rsid w:val="00CA41FC"/>
    <w:rsid w:val="00CA455D"/>
    <w:rsid w:val="00CA46B8"/>
    <w:rsid w:val="00CA7B49"/>
    <w:rsid w:val="00CB04CA"/>
    <w:rsid w:val="00CB0CEA"/>
    <w:rsid w:val="00CB40F1"/>
    <w:rsid w:val="00CB46B9"/>
    <w:rsid w:val="00CB4F73"/>
    <w:rsid w:val="00CB51CB"/>
    <w:rsid w:val="00CB579C"/>
    <w:rsid w:val="00CB669E"/>
    <w:rsid w:val="00CB7DC4"/>
    <w:rsid w:val="00CC0E5E"/>
    <w:rsid w:val="00CC0EC3"/>
    <w:rsid w:val="00CC1AF2"/>
    <w:rsid w:val="00CC248F"/>
    <w:rsid w:val="00CC315C"/>
    <w:rsid w:val="00CC3916"/>
    <w:rsid w:val="00CC3BE6"/>
    <w:rsid w:val="00CC432F"/>
    <w:rsid w:val="00CC4846"/>
    <w:rsid w:val="00CC4C6D"/>
    <w:rsid w:val="00CC4D47"/>
    <w:rsid w:val="00CC500E"/>
    <w:rsid w:val="00CC5564"/>
    <w:rsid w:val="00CC6A2D"/>
    <w:rsid w:val="00CC710B"/>
    <w:rsid w:val="00CD072F"/>
    <w:rsid w:val="00CD0B42"/>
    <w:rsid w:val="00CD0E59"/>
    <w:rsid w:val="00CD2E20"/>
    <w:rsid w:val="00CD7575"/>
    <w:rsid w:val="00CD7DF3"/>
    <w:rsid w:val="00CE14C1"/>
    <w:rsid w:val="00CE36EA"/>
    <w:rsid w:val="00CE3DED"/>
    <w:rsid w:val="00CE7831"/>
    <w:rsid w:val="00CE79FC"/>
    <w:rsid w:val="00CF0DBB"/>
    <w:rsid w:val="00CF349B"/>
    <w:rsid w:val="00CF6AD7"/>
    <w:rsid w:val="00D013F6"/>
    <w:rsid w:val="00D01C2F"/>
    <w:rsid w:val="00D029FE"/>
    <w:rsid w:val="00D04BA0"/>
    <w:rsid w:val="00D05F96"/>
    <w:rsid w:val="00D06BB5"/>
    <w:rsid w:val="00D10E5D"/>
    <w:rsid w:val="00D11798"/>
    <w:rsid w:val="00D13454"/>
    <w:rsid w:val="00D208D1"/>
    <w:rsid w:val="00D20F37"/>
    <w:rsid w:val="00D223F2"/>
    <w:rsid w:val="00D2356D"/>
    <w:rsid w:val="00D23896"/>
    <w:rsid w:val="00D23CD8"/>
    <w:rsid w:val="00D24208"/>
    <w:rsid w:val="00D25042"/>
    <w:rsid w:val="00D27C9E"/>
    <w:rsid w:val="00D309C5"/>
    <w:rsid w:val="00D31C69"/>
    <w:rsid w:val="00D323F8"/>
    <w:rsid w:val="00D350E0"/>
    <w:rsid w:val="00D352E7"/>
    <w:rsid w:val="00D363F3"/>
    <w:rsid w:val="00D4038E"/>
    <w:rsid w:val="00D404A0"/>
    <w:rsid w:val="00D41082"/>
    <w:rsid w:val="00D42A3D"/>
    <w:rsid w:val="00D46C25"/>
    <w:rsid w:val="00D47185"/>
    <w:rsid w:val="00D478FB"/>
    <w:rsid w:val="00D501B5"/>
    <w:rsid w:val="00D50C6D"/>
    <w:rsid w:val="00D54A03"/>
    <w:rsid w:val="00D57AE7"/>
    <w:rsid w:val="00D6221E"/>
    <w:rsid w:val="00D64D31"/>
    <w:rsid w:val="00D64F8F"/>
    <w:rsid w:val="00D65F4C"/>
    <w:rsid w:val="00D660DE"/>
    <w:rsid w:val="00D67805"/>
    <w:rsid w:val="00D709B7"/>
    <w:rsid w:val="00D70E77"/>
    <w:rsid w:val="00D72DDF"/>
    <w:rsid w:val="00D732FC"/>
    <w:rsid w:val="00D734A0"/>
    <w:rsid w:val="00D739BE"/>
    <w:rsid w:val="00D73D3B"/>
    <w:rsid w:val="00D74232"/>
    <w:rsid w:val="00D754B2"/>
    <w:rsid w:val="00D76FC4"/>
    <w:rsid w:val="00D76FF1"/>
    <w:rsid w:val="00D7723F"/>
    <w:rsid w:val="00D77E75"/>
    <w:rsid w:val="00D8155D"/>
    <w:rsid w:val="00D816DA"/>
    <w:rsid w:val="00D81E99"/>
    <w:rsid w:val="00D8224D"/>
    <w:rsid w:val="00D823F7"/>
    <w:rsid w:val="00D8300F"/>
    <w:rsid w:val="00D84D79"/>
    <w:rsid w:val="00D85371"/>
    <w:rsid w:val="00D85625"/>
    <w:rsid w:val="00D86B76"/>
    <w:rsid w:val="00D87130"/>
    <w:rsid w:val="00D878FE"/>
    <w:rsid w:val="00D90379"/>
    <w:rsid w:val="00D90BFB"/>
    <w:rsid w:val="00D9125F"/>
    <w:rsid w:val="00D91520"/>
    <w:rsid w:val="00D94C49"/>
    <w:rsid w:val="00D97374"/>
    <w:rsid w:val="00D97FB8"/>
    <w:rsid w:val="00DA416D"/>
    <w:rsid w:val="00DA5406"/>
    <w:rsid w:val="00DA5C6D"/>
    <w:rsid w:val="00DA5ED4"/>
    <w:rsid w:val="00DA65ED"/>
    <w:rsid w:val="00DA67A2"/>
    <w:rsid w:val="00DA77E2"/>
    <w:rsid w:val="00DA799E"/>
    <w:rsid w:val="00DA7EFE"/>
    <w:rsid w:val="00DB063B"/>
    <w:rsid w:val="00DB08BB"/>
    <w:rsid w:val="00DB0A31"/>
    <w:rsid w:val="00DB1E5A"/>
    <w:rsid w:val="00DB2197"/>
    <w:rsid w:val="00DB2A6B"/>
    <w:rsid w:val="00DB4D74"/>
    <w:rsid w:val="00DB4FC9"/>
    <w:rsid w:val="00DB591E"/>
    <w:rsid w:val="00DB65BF"/>
    <w:rsid w:val="00DB7D5E"/>
    <w:rsid w:val="00DB7EBC"/>
    <w:rsid w:val="00DC041A"/>
    <w:rsid w:val="00DC0E73"/>
    <w:rsid w:val="00DC35CA"/>
    <w:rsid w:val="00DC3616"/>
    <w:rsid w:val="00DC3754"/>
    <w:rsid w:val="00DC4295"/>
    <w:rsid w:val="00DC448F"/>
    <w:rsid w:val="00DC5D3F"/>
    <w:rsid w:val="00DC612D"/>
    <w:rsid w:val="00DC6E55"/>
    <w:rsid w:val="00DC79B8"/>
    <w:rsid w:val="00DC7BB1"/>
    <w:rsid w:val="00DD07D9"/>
    <w:rsid w:val="00DD1507"/>
    <w:rsid w:val="00DD1CB9"/>
    <w:rsid w:val="00DD2ACC"/>
    <w:rsid w:val="00DD49E6"/>
    <w:rsid w:val="00DD534A"/>
    <w:rsid w:val="00DD6269"/>
    <w:rsid w:val="00DD7056"/>
    <w:rsid w:val="00DD7982"/>
    <w:rsid w:val="00DE0023"/>
    <w:rsid w:val="00DE2A57"/>
    <w:rsid w:val="00DE2B2F"/>
    <w:rsid w:val="00DE3DE8"/>
    <w:rsid w:val="00DE3E78"/>
    <w:rsid w:val="00DE44EA"/>
    <w:rsid w:val="00DE6F30"/>
    <w:rsid w:val="00DE7017"/>
    <w:rsid w:val="00DE70C9"/>
    <w:rsid w:val="00DE7EF3"/>
    <w:rsid w:val="00DF1A93"/>
    <w:rsid w:val="00DF4979"/>
    <w:rsid w:val="00DF6442"/>
    <w:rsid w:val="00E01D63"/>
    <w:rsid w:val="00E06A9E"/>
    <w:rsid w:val="00E0730E"/>
    <w:rsid w:val="00E07899"/>
    <w:rsid w:val="00E10AF8"/>
    <w:rsid w:val="00E11B41"/>
    <w:rsid w:val="00E14BC6"/>
    <w:rsid w:val="00E15F46"/>
    <w:rsid w:val="00E2077F"/>
    <w:rsid w:val="00E21254"/>
    <w:rsid w:val="00E237A4"/>
    <w:rsid w:val="00E23AAC"/>
    <w:rsid w:val="00E2441B"/>
    <w:rsid w:val="00E25A4D"/>
    <w:rsid w:val="00E266D6"/>
    <w:rsid w:val="00E27939"/>
    <w:rsid w:val="00E27B5E"/>
    <w:rsid w:val="00E30E6B"/>
    <w:rsid w:val="00E31CEB"/>
    <w:rsid w:val="00E32726"/>
    <w:rsid w:val="00E33411"/>
    <w:rsid w:val="00E3428B"/>
    <w:rsid w:val="00E407B4"/>
    <w:rsid w:val="00E408B8"/>
    <w:rsid w:val="00E414E2"/>
    <w:rsid w:val="00E41FD0"/>
    <w:rsid w:val="00E42224"/>
    <w:rsid w:val="00E429CE"/>
    <w:rsid w:val="00E4489A"/>
    <w:rsid w:val="00E4608F"/>
    <w:rsid w:val="00E46FE9"/>
    <w:rsid w:val="00E47A32"/>
    <w:rsid w:val="00E50550"/>
    <w:rsid w:val="00E51304"/>
    <w:rsid w:val="00E53AD4"/>
    <w:rsid w:val="00E53C8E"/>
    <w:rsid w:val="00E5596B"/>
    <w:rsid w:val="00E56A50"/>
    <w:rsid w:val="00E6289C"/>
    <w:rsid w:val="00E63D25"/>
    <w:rsid w:val="00E6426D"/>
    <w:rsid w:val="00E64904"/>
    <w:rsid w:val="00E66C95"/>
    <w:rsid w:val="00E66E93"/>
    <w:rsid w:val="00E7005B"/>
    <w:rsid w:val="00E705C2"/>
    <w:rsid w:val="00E70B0F"/>
    <w:rsid w:val="00E715A6"/>
    <w:rsid w:val="00E717A9"/>
    <w:rsid w:val="00E71D13"/>
    <w:rsid w:val="00E732C0"/>
    <w:rsid w:val="00E75528"/>
    <w:rsid w:val="00E762B9"/>
    <w:rsid w:val="00E80736"/>
    <w:rsid w:val="00E81536"/>
    <w:rsid w:val="00E81DA2"/>
    <w:rsid w:val="00E822D6"/>
    <w:rsid w:val="00E82C1B"/>
    <w:rsid w:val="00E83413"/>
    <w:rsid w:val="00E84656"/>
    <w:rsid w:val="00E84E3B"/>
    <w:rsid w:val="00E852B6"/>
    <w:rsid w:val="00E86000"/>
    <w:rsid w:val="00E8777E"/>
    <w:rsid w:val="00E90434"/>
    <w:rsid w:val="00E90527"/>
    <w:rsid w:val="00E90529"/>
    <w:rsid w:val="00E91356"/>
    <w:rsid w:val="00E91E58"/>
    <w:rsid w:val="00E92CE0"/>
    <w:rsid w:val="00E944D9"/>
    <w:rsid w:val="00E94FFD"/>
    <w:rsid w:val="00E95656"/>
    <w:rsid w:val="00E95E80"/>
    <w:rsid w:val="00E96E5B"/>
    <w:rsid w:val="00E971FC"/>
    <w:rsid w:val="00EA1BCE"/>
    <w:rsid w:val="00EA2686"/>
    <w:rsid w:val="00EA3A50"/>
    <w:rsid w:val="00EA5F90"/>
    <w:rsid w:val="00EA7928"/>
    <w:rsid w:val="00EB2FCC"/>
    <w:rsid w:val="00EB4A0E"/>
    <w:rsid w:val="00EB5ECF"/>
    <w:rsid w:val="00EB6998"/>
    <w:rsid w:val="00EB6A3C"/>
    <w:rsid w:val="00EC1A9A"/>
    <w:rsid w:val="00EC245F"/>
    <w:rsid w:val="00EC2548"/>
    <w:rsid w:val="00EC2F64"/>
    <w:rsid w:val="00EC4D0F"/>
    <w:rsid w:val="00EC73E2"/>
    <w:rsid w:val="00ED0F8F"/>
    <w:rsid w:val="00ED198D"/>
    <w:rsid w:val="00ED1D69"/>
    <w:rsid w:val="00ED2889"/>
    <w:rsid w:val="00ED2CA6"/>
    <w:rsid w:val="00ED3E23"/>
    <w:rsid w:val="00ED4090"/>
    <w:rsid w:val="00ED4A23"/>
    <w:rsid w:val="00ED51C1"/>
    <w:rsid w:val="00ED6748"/>
    <w:rsid w:val="00ED6FB0"/>
    <w:rsid w:val="00ED7F60"/>
    <w:rsid w:val="00EE04A0"/>
    <w:rsid w:val="00EE1CAC"/>
    <w:rsid w:val="00EE2083"/>
    <w:rsid w:val="00EE33CF"/>
    <w:rsid w:val="00EE48CF"/>
    <w:rsid w:val="00EE5FF0"/>
    <w:rsid w:val="00EE6804"/>
    <w:rsid w:val="00EE6864"/>
    <w:rsid w:val="00EF0DCF"/>
    <w:rsid w:val="00EF3179"/>
    <w:rsid w:val="00EF593D"/>
    <w:rsid w:val="00EF6250"/>
    <w:rsid w:val="00F01144"/>
    <w:rsid w:val="00F027F6"/>
    <w:rsid w:val="00F0387D"/>
    <w:rsid w:val="00F076A2"/>
    <w:rsid w:val="00F07D6B"/>
    <w:rsid w:val="00F10A2F"/>
    <w:rsid w:val="00F11326"/>
    <w:rsid w:val="00F11A54"/>
    <w:rsid w:val="00F12723"/>
    <w:rsid w:val="00F136C0"/>
    <w:rsid w:val="00F146A1"/>
    <w:rsid w:val="00F150A3"/>
    <w:rsid w:val="00F156A1"/>
    <w:rsid w:val="00F15C88"/>
    <w:rsid w:val="00F169DE"/>
    <w:rsid w:val="00F20AF0"/>
    <w:rsid w:val="00F22952"/>
    <w:rsid w:val="00F22CF7"/>
    <w:rsid w:val="00F2388F"/>
    <w:rsid w:val="00F248CC"/>
    <w:rsid w:val="00F24A93"/>
    <w:rsid w:val="00F24C96"/>
    <w:rsid w:val="00F26032"/>
    <w:rsid w:val="00F27A9B"/>
    <w:rsid w:val="00F27C91"/>
    <w:rsid w:val="00F27EF7"/>
    <w:rsid w:val="00F31068"/>
    <w:rsid w:val="00F32D01"/>
    <w:rsid w:val="00F343C6"/>
    <w:rsid w:val="00F3756F"/>
    <w:rsid w:val="00F40382"/>
    <w:rsid w:val="00F40707"/>
    <w:rsid w:val="00F4072F"/>
    <w:rsid w:val="00F411E1"/>
    <w:rsid w:val="00F4215A"/>
    <w:rsid w:val="00F43964"/>
    <w:rsid w:val="00F43A2F"/>
    <w:rsid w:val="00F43E21"/>
    <w:rsid w:val="00F448A1"/>
    <w:rsid w:val="00F4629B"/>
    <w:rsid w:val="00F4632D"/>
    <w:rsid w:val="00F5049D"/>
    <w:rsid w:val="00F50B7E"/>
    <w:rsid w:val="00F52E4A"/>
    <w:rsid w:val="00F5319B"/>
    <w:rsid w:val="00F532E8"/>
    <w:rsid w:val="00F54BEB"/>
    <w:rsid w:val="00F566B6"/>
    <w:rsid w:val="00F57737"/>
    <w:rsid w:val="00F57B52"/>
    <w:rsid w:val="00F60084"/>
    <w:rsid w:val="00F620DD"/>
    <w:rsid w:val="00F64DFB"/>
    <w:rsid w:val="00F65299"/>
    <w:rsid w:val="00F66492"/>
    <w:rsid w:val="00F66CB7"/>
    <w:rsid w:val="00F677A5"/>
    <w:rsid w:val="00F70AAC"/>
    <w:rsid w:val="00F71C06"/>
    <w:rsid w:val="00F724DF"/>
    <w:rsid w:val="00F735A7"/>
    <w:rsid w:val="00F73E2C"/>
    <w:rsid w:val="00F745A8"/>
    <w:rsid w:val="00F75F80"/>
    <w:rsid w:val="00F7612A"/>
    <w:rsid w:val="00F8039D"/>
    <w:rsid w:val="00F81CE2"/>
    <w:rsid w:val="00F82F0E"/>
    <w:rsid w:val="00F840EC"/>
    <w:rsid w:val="00F85688"/>
    <w:rsid w:val="00F857EE"/>
    <w:rsid w:val="00F901DE"/>
    <w:rsid w:val="00F902AA"/>
    <w:rsid w:val="00F9183A"/>
    <w:rsid w:val="00F940E8"/>
    <w:rsid w:val="00F942F9"/>
    <w:rsid w:val="00F95785"/>
    <w:rsid w:val="00F9774D"/>
    <w:rsid w:val="00F97EFA"/>
    <w:rsid w:val="00FA129E"/>
    <w:rsid w:val="00FA1877"/>
    <w:rsid w:val="00FA3D41"/>
    <w:rsid w:val="00FA498E"/>
    <w:rsid w:val="00FA58BB"/>
    <w:rsid w:val="00FA5C17"/>
    <w:rsid w:val="00FA6D3D"/>
    <w:rsid w:val="00FB1837"/>
    <w:rsid w:val="00FB287E"/>
    <w:rsid w:val="00FB2E49"/>
    <w:rsid w:val="00FB2ED6"/>
    <w:rsid w:val="00FB3A4E"/>
    <w:rsid w:val="00FB3B79"/>
    <w:rsid w:val="00FB49E7"/>
    <w:rsid w:val="00FB6974"/>
    <w:rsid w:val="00FB747D"/>
    <w:rsid w:val="00FB7B9F"/>
    <w:rsid w:val="00FC0C7D"/>
    <w:rsid w:val="00FC3FE3"/>
    <w:rsid w:val="00FC43E1"/>
    <w:rsid w:val="00FC6B39"/>
    <w:rsid w:val="00FD04F4"/>
    <w:rsid w:val="00FD1329"/>
    <w:rsid w:val="00FD133A"/>
    <w:rsid w:val="00FD16BC"/>
    <w:rsid w:val="00FD3590"/>
    <w:rsid w:val="00FD3CB2"/>
    <w:rsid w:val="00FD54E5"/>
    <w:rsid w:val="00FD5B96"/>
    <w:rsid w:val="00FE05AD"/>
    <w:rsid w:val="00FE0768"/>
    <w:rsid w:val="00FE130F"/>
    <w:rsid w:val="00FE1CF8"/>
    <w:rsid w:val="00FE2A2C"/>
    <w:rsid w:val="00FE397A"/>
    <w:rsid w:val="00FE7F23"/>
    <w:rsid w:val="00FF2457"/>
    <w:rsid w:val="00FF2F27"/>
    <w:rsid w:val="00FF35A5"/>
    <w:rsid w:val="00FF3EF9"/>
    <w:rsid w:val="00FF56B6"/>
    <w:rsid w:val="00FF6184"/>
    <w:rsid w:val="00FF7946"/>
    <w:rsid w:val="0116705D"/>
    <w:rsid w:val="01255120"/>
    <w:rsid w:val="01373843"/>
    <w:rsid w:val="013833F2"/>
    <w:rsid w:val="014A23D4"/>
    <w:rsid w:val="014E043B"/>
    <w:rsid w:val="015D5508"/>
    <w:rsid w:val="01883AF2"/>
    <w:rsid w:val="01B666C0"/>
    <w:rsid w:val="01BF5575"/>
    <w:rsid w:val="01CF667B"/>
    <w:rsid w:val="01E61C5A"/>
    <w:rsid w:val="02113D00"/>
    <w:rsid w:val="02225B04"/>
    <w:rsid w:val="02463238"/>
    <w:rsid w:val="02613A93"/>
    <w:rsid w:val="02647ECA"/>
    <w:rsid w:val="02661E94"/>
    <w:rsid w:val="026C714C"/>
    <w:rsid w:val="02832A46"/>
    <w:rsid w:val="028F55E8"/>
    <w:rsid w:val="02940D9B"/>
    <w:rsid w:val="02A17E53"/>
    <w:rsid w:val="02AB2268"/>
    <w:rsid w:val="02C05A5B"/>
    <w:rsid w:val="02CC7077"/>
    <w:rsid w:val="02DE7FF9"/>
    <w:rsid w:val="030B6598"/>
    <w:rsid w:val="031A2D16"/>
    <w:rsid w:val="03334BA2"/>
    <w:rsid w:val="03496A3D"/>
    <w:rsid w:val="035C132E"/>
    <w:rsid w:val="036F4D79"/>
    <w:rsid w:val="03711DF0"/>
    <w:rsid w:val="0373721B"/>
    <w:rsid w:val="03791753"/>
    <w:rsid w:val="03887BE8"/>
    <w:rsid w:val="038C6282"/>
    <w:rsid w:val="03A72764"/>
    <w:rsid w:val="03BE360A"/>
    <w:rsid w:val="03BF1DE2"/>
    <w:rsid w:val="03CC315E"/>
    <w:rsid w:val="03EC31A7"/>
    <w:rsid w:val="03EF4035"/>
    <w:rsid w:val="03FA28E5"/>
    <w:rsid w:val="04074A2A"/>
    <w:rsid w:val="04090D29"/>
    <w:rsid w:val="040D366A"/>
    <w:rsid w:val="042704BA"/>
    <w:rsid w:val="042B0DA2"/>
    <w:rsid w:val="044D636F"/>
    <w:rsid w:val="04583A5F"/>
    <w:rsid w:val="045E7555"/>
    <w:rsid w:val="045F4DF2"/>
    <w:rsid w:val="04652BC3"/>
    <w:rsid w:val="048E0719"/>
    <w:rsid w:val="049C7DEF"/>
    <w:rsid w:val="04B769D7"/>
    <w:rsid w:val="04C56684"/>
    <w:rsid w:val="04D05747"/>
    <w:rsid w:val="04E47B43"/>
    <w:rsid w:val="04E565CC"/>
    <w:rsid w:val="04E6106A"/>
    <w:rsid w:val="04EF1243"/>
    <w:rsid w:val="04F07068"/>
    <w:rsid w:val="04FD1ABF"/>
    <w:rsid w:val="04FE4606"/>
    <w:rsid w:val="0501560F"/>
    <w:rsid w:val="050B638D"/>
    <w:rsid w:val="05151950"/>
    <w:rsid w:val="05344A92"/>
    <w:rsid w:val="05401DC9"/>
    <w:rsid w:val="056B5330"/>
    <w:rsid w:val="0575419C"/>
    <w:rsid w:val="058A5E9A"/>
    <w:rsid w:val="059D3E1F"/>
    <w:rsid w:val="05A33F4C"/>
    <w:rsid w:val="05B22B37"/>
    <w:rsid w:val="05BE1488"/>
    <w:rsid w:val="05CB4E3A"/>
    <w:rsid w:val="05D62E8D"/>
    <w:rsid w:val="06071298"/>
    <w:rsid w:val="06097409"/>
    <w:rsid w:val="061F769B"/>
    <w:rsid w:val="0624326C"/>
    <w:rsid w:val="064424ED"/>
    <w:rsid w:val="06540256"/>
    <w:rsid w:val="066832FE"/>
    <w:rsid w:val="066E0B65"/>
    <w:rsid w:val="06824919"/>
    <w:rsid w:val="06846D8D"/>
    <w:rsid w:val="06871317"/>
    <w:rsid w:val="068943A3"/>
    <w:rsid w:val="06BB7FA0"/>
    <w:rsid w:val="06D11E11"/>
    <w:rsid w:val="06D70EE9"/>
    <w:rsid w:val="07100621"/>
    <w:rsid w:val="0717011E"/>
    <w:rsid w:val="072B7208"/>
    <w:rsid w:val="073E6F3C"/>
    <w:rsid w:val="073F3CA5"/>
    <w:rsid w:val="07461632"/>
    <w:rsid w:val="0752353E"/>
    <w:rsid w:val="07557695"/>
    <w:rsid w:val="076B752E"/>
    <w:rsid w:val="078C0C20"/>
    <w:rsid w:val="07AC6D66"/>
    <w:rsid w:val="07D9529B"/>
    <w:rsid w:val="07E07FF3"/>
    <w:rsid w:val="07EE59E0"/>
    <w:rsid w:val="082779D0"/>
    <w:rsid w:val="082C173B"/>
    <w:rsid w:val="083E4CB0"/>
    <w:rsid w:val="085961F1"/>
    <w:rsid w:val="086A3D60"/>
    <w:rsid w:val="0878647D"/>
    <w:rsid w:val="087967F7"/>
    <w:rsid w:val="0891753F"/>
    <w:rsid w:val="08932A3A"/>
    <w:rsid w:val="0898267C"/>
    <w:rsid w:val="089F7EAE"/>
    <w:rsid w:val="08C05189"/>
    <w:rsid w:val="08C10C1E"/>
    <w:rsid w:val="08C971F6"/>
    <w:rsid w:val="08CE51BB"/>
    <w:rsid w:val="08DC1C6E"/>
    <w:rsid w:val="08E27D9B"/>
    <w:rsid w:val="08E720CC"/>
    <w:rsid w:val="08F75172"/>
    <w:rsid w:val="09063A89"/>
    <w:rsid w:val="09102DB8"/>
    <w:rsid w:val="092749EA"/>
    <w:rsid w:val="09357D93"/>
    <w:rsid w:val="094B5940"/>
    <w:rsid w:val="097C1C79"/>
    <w:rsid w:val="098179C2"/>
    <w:rsid w:val="098533EB"/>
    <w:rsid w:val="099015FD"/>
    <w:rsid w:val="09A80A8C"/>
    <w:rsid w:val="09B47989"/>
    <w:rsid w:val="09BB5885"/>
    <w:rsid w:val="09C7560E"/>
    <w:rsid w:val="09CC7F23"/>
    <w:rsid w:val="09CD35A1"/>
    <w:rsid w:val="0A026946"/>
    <w:rsid w:val="0A1E47C7"/>
    <w:rsid w:val="0A1E69F0"/>
    <w:rsid w:val="0A2D7887"/>
    <w:rsid w:val="0A5847B8"/>
    <w:rsid w:val="0A675A8E"/>
    <w:rsid w:val="0A6767AA"/>
    <w:rsid w:val="0A6B75FC"/>
    <w:rsid w:val="0A8969A7"/>
    <w:rsid w:val="0AAC38BB"/>
    <w:rsid w:val="0ACB4342"/>
    <w:rsid w:val="0AD43EC7"/>
    <w:rsid w:val="0ADB3ED2"/>
    <w:rsid w:val="0ADD4CBE"/>
    <w:rsid w:val="0AED1973"/>
    <w:rsid w:val="0AF85654"/>
    <w:rsid w:val="0AFC2A10"/>
    <w:rsid w:val="0B014BBF"/>
    <w:rsid w:val="0B077387"/>
    <w:rsid w:val="0B0E7656"/>
    <w:rsid w:val="0B1B4548"/>
    <w:rsid w:val="0B1D43C5"/>
    <w:rsid w:val="0B3866B7"/>
    <w:rsid w:val="0B536DFE"/>
    <w:rsid w:val="0B623EA6"/>
    <w:rsid w:val="0B6A062F"/>
    <w:rsid w:val="0B795158"/>
    <w:rsid w:val="0B830B64"/>
    <w:rsid w:val="0B8B340E"/>
    <w:rsid w:val="0B9335CE"/>
    <w:rsid w:val="0B9E444D"/>
    <w:rsid w:val="0BAF22BE"/>
    <w:rsid w:val="0C0D15D3"/>
    <w:rsid w:val="0C13779A"/>
    <w:rsid w:val="0C430E19"/>
    <w:rsid w:val="0C4C3EA9"/>
    <w:rsid w:val="0C5A59EA"/>
    <w:rsid w:val="0C8B7A06"/>
    <w:rsid w:val="0C9475FE"/>
    <w:rsid w:val="0CAD0C97"/>
    <w:rsid w:val="0CB17C9E"/>
    <w:rsid w:val="0CC50E80"/>
    <w:rsid w:val="0CC5658A"/>
    <w:rsid w:val="0CCE6ADA"/>
    <w:rsid w:val="0CDA752F"/>
    <w:rsid w:val="0CDD37AC"/>
    <w:rsid w:val="0CFE0692"/>
    <w:rsid w:val="0D144E72"/>
    <w:rsid w:val="0D15095B"/>
    <w:rsid w:val="0D1A4DCB"/>
    <w:rsid w:val="0D4B084D"/>
    <w:rsid w:val="0D4D7C82"/>
    <w:rsid w:val="0D7116ED"/>
    <w:rsid w:val="0D740818"/>
    <w:rsid w:val="0D84744D"/>
    <w:rsid w:val="0D906017"/>
    <w:rsid w:val="0D9A30D8"/>
    <w:rsid w:val="0DAE573B"/>
    <w:rsid w:val="0DB37660"/>
    <w:rsid w:val="0DC0318D"/>
    <w:rsid w:val="0DCE6B40"/>
    <w:rsid w:val="0DE95727"/>
    <w:rsid w:val="0DED4FC9"/>
    <w:rsid w:val="0E097B78"/>
    <w:rsid w:val="0E1512BB"/>
    <w:rsid w:val="0E161866"/>
    <w:rsid w:val="0E256AA6"/>
    <w:rsid w:val="0E300FCF"/>
    <w:rsid w:val="0E341099"/>
    <w:rsid w:val="0E3F69A7"/>
    <w:rsid w:val="0E590AFF"/>
    <w:rsid w:val="0E590EAC"/>
    <w:rsid w:val="0E663C8D"/>
    <w:rsid w:val="0E7E44AE"/>
    <w:rsid w:val="0E860CE1"/>
    <w:rsid w:val="0E8954E9"/>
    <w:rsid w:val="0E8C645F"/>
    <w:rsid w:val="0E9A3708"/>
    <w:rsid w:val="0EA13355"/>
    <w:rsid w:val="0ED01568"/>
    <w:rsid w:val="0EDA0A52"/>
    <w:rsid w:val="0EF13522"/>
    <w:rsid w:val="0F18054B"/>
    <w:rsid w:val="0F334E3B"/>
    <w:rsid w:val="0F574A82"/>
    <w:rsid w:val="0F5C4527"/>
    <w:rsid w:val="0FAB1D1F"/>
    <w:rsid w:val="0FB26719"/>
    <w:rsid w:val="0FDB12EB"/>
    <w:rsid w:val="0FDD306A"/>
    <w:rsid w:val="0FDE7D2A"/>
    <w:rsid w:val="0FF53A37"/>
    <w:rsid w:val="102E1B18"/>
    <w:rsid w:val="1034712E"/>
    <w:rsid w:val="103C265A"/>
    <w:rsid w:val="10600959"/>
    <w:rsid w:val="10946843"/>
    <w:rsid w:val="10AC205F"/>
    <w:rsid w:val="10AD7B87"/>
    <w:rsid w:val="10DB3DE6"/>
    <w:rsid w:val="10EE1995"/>
    <w:rsid w:val="10EF00F8"/>
    <w:rsid w:val="11064911"/>
    <w:rsid w:val="110E0A1B"/>
    <w:rsid w:val="112E56D0"/>
    <w:rsid w:val="113B1F16"/>
    <w:rsid w:val="11420C55"/>
    <w:rsid w:val="11616F26"/>
    <w:rsid w:val="116233F4"/>
    <w:rsid w:val="11744F49"/>
    <w:rsid w:val="117616E3"/>
    <w:rsid w:val="1182633E"/>
    <w:rsid w:val="119223E6"/>
    <w:rsid w:val="119C5889"/>
    <w:rsid w:val="11AC0C1C"/>
    <w:rsid w:val="11B81F0D"/>
    <w:rsid w:val="11C22BCD"/>
    <w:rsid w:val="11D738CF"/>
    <w:rsid w:val="11D85BD5"/>
    <w:rsid w:val="122C13C4"/>
    <w:rsid w:val="122D4AFE"/>
    <w:rsid w:val="12371157"/>
    <w:rsid w:val="125637AB"/>
    <w:rsid w:val="12575356"/>
    <w:rsid w:val="12577104"/>
    <w:rsid w:val="126A7C8E"/>
    <w:rsid w:val="128679E9"/>
    <w:rsid w:val="12905169"/>
    <w:rsid w:val="12974832"/>
    <w:rsid w:val="12D74352"/>
    <w:rsid w:val="12E80DBD"/>
    <w:rsid w:val="12F475AE"/>
    <w:rsid w:val="12F72E57"/>
    <w:rsid w:val="130D010A"/>
    <w:rsid w:val="130D3C66"/>
    <w:rsid w:val="13424AF8"/>
    <w:rsid w:val="13442B43"/>
    <w:rsid w:val="13460B80"/>
    <w:rsid w:val="136046DE"/>
    <w:rsid w:val="1388660A"/>
    <w:rsid w:val="138F27C7"/>
    <w:rsid w:val="1393060F"/>
    <w:rsid w:val="13A77417"/>
    <w:rsid w:val="13B0325D"/>
    <w:rsid w:val="13B10F60"/>
    <w:rsid w:val="13B255D2"/>
    <w:rsid w:val="13B67873"/>
    <w:rsid w:val="13D511B9"/>
    <w:rsid w:val="13D529D6"/>
    <w:rsid w:val="13DD2A74"/>
    <w:rsid w:val="13FB5E5F"/>
    <w:rsid w:val="14151024"/>
    <w:rsid w:val="14215C1B"/>
    <w:rsid w:val="14226AF4"/>
    <w:rsid w:val="142B6A9A"/>
    <w:rsid w:val="142E381C"/>
    <w:rsid w:val="14303CA2"/>
    <w:rsid w:val="143A745A"/>
    <w:rsid w:val="14506500"/>
    <w:rsid w:val="14907D97"/>
    <w:rsid w:val="14A34882"/>
    <w:rsid w:val="14AB468C"/>
    <w:rsid w:val="14B02E00"/>
    <w:rsid w:val="14B20F69"/>
    <w:rsid w:val="14B86EBB"/>
    <w:rsid w:val="14C919F5"/>
    <w:rsid w:val="14E93251"/>
    <w:rsid w:val="150259B2"/>
    <w:rsid w:val="15036767"/>
    <w:rsid w:val="150A1529"/>
    <w:rsid w:val="150B79E8"/>
    <w:rsid w:val="151B0498"/>
    <w:rsid w:val="1525798D"/>
    <w:rsid w:val="15265ACA"/>
    <w:rsid w:val="153375FF"/>
    <w:rsid w:val="153674A4"/>
    <w:rsid w:val="153C6F2E"/>
    <w:rsid w:val="155335C1"/>
    <w:rsid w:val="156E11B9"/>
    <w:rsid w:val="158B6E46"/>
    <w:rsid w:val="15A0507A"/>
    <w:rsid w:val="15AB60E4"/>
    <w:rsid w:val="15B9331F"/>
    <w:rsid w:val="15BC3411"/>
    <w:rsid w:val="15C63CD0"/>
    <w:rsid w:val="15D372A6"/>
    <w:rsid w:val="15E17F3F"/>
    <w:rsid w:val="15E277BC"/>
    <w:rsid w:val="15E50ECA"/>
    <w:rsid w:val="15E979CB"/>
    <w:rsid w:val="15EB3F75"/>
    <w:rsid w:val="15EB5E65"/>
    <w:rsid w:val="15FD1304"/>
    <w:rsid w:val="16150148"/>
    <w:rsid w:val="161C6AA3"/>
    <w:rsid w:val="161F7550"/>
    <w:rsid w:val="162203B3"/>
    <w:rsid w:val="16302145"/>
    <w:rsid w:val="163E350B"/>
    <w:rsid w:val="163F396F"/>
    <w:rsid w:val="16421F11"/>
    <w:rsid w:val="164E081E"/>
    <w:rsid w:val="1665769A"/>
    <w:rsid w:val="16664E49"/>
    <w:rsid w:val="166D59E0"/>
    <w:rsid w:val="169052DA"/>
    <w:rsid w:val="169C374F"/>
    <w:rsid w:val="169E79F7"/>
    <w:rsid w:val="16A701A7"/>
    <w:rsid w:val="16AA1DE0"/>
    <w:rsid w:val="16AB5C70"/>
    <w:rsid w:val="16CB6878"/>
    <w:rsid w:val="16CD4B69"/>
    <w:rsid w:val="16D31D37"/>
    <w:rsid w:val="16E613D6"/>
    <w:rsid w:val="16E76D02"/>
    <w:rsid w:val="16F376C7"/>
    <w:rsid w:val="17326BFD"/>
    <w:rsid w:val="173408D6"/>
    <w:rsid w:val="1747637B"/>
    <w:rsid w:val="174B3D3A"/>
    <w:rsid w:val="17514871"/>
    <w:rsid w:val="17553993"/>
    <w:rsid w:val="175C2B80"/>
    <w:rsid w:val="176119E8"/>
    <w:rsid w:val="17895D73"/>
    <w:rsid w:val="17962753"/>
    <w:rsid w:val="179E40DE"/>
    <w:rsid w:val="17F83137"/>
    <w:rsid w:val="17FA24AF"/>
    <w:rsid w:val="18116C89"/>
    <w:rsid w:val="18184A4B"/>
    <w:rsid w:val="183F2D3D"/>
    <w:rsid w:val="1840688C"/>
    <w:rsid w:val="18422604"/>
    <w:rsid w:val="185C1476"/>
    <w:rsid w:val="185F6D12"/>
    <w:rsid w:val="188F2CA4"/>
    <w:rsid w:val="18A43671"/>
    <w:rsid w:val="18BA4E27"/>
    <w:rsid w:val="18BD4F9A"/>
    <w:rsid w:val="18BF4F2C"/>
    <w:rsid w:val="18C5634C"/>
    <w:rsid w:val="18C82B09"/>
    <w:rsid w:val="18D376EA"/>
    <w:rsid w:val="18D37FE9"/>
    <w:rsid w:val="18D97C85"/>
    <w:rsid w:val="18E35B95"/>
    <w:rsid w:val="18E9601D"/>
    <w:rsid w:val="18FB0F21"/>
    <w:rsid w:val="19087853"/>
    <w:rsid w:val="19266717"/>
    <w:rsid w:val="19546EF0"/>
    <w:rsid w:val="195A487D"/>
    <w:rsid w:val="195B1BCF"/>
    <w:rsid w:val="197B7B7C"/>
    <w:rsid w:val="197D0652"/>
    <w:rsid w:val="1981143D"/>
    <w:rsid w:val="19832B82"/>
    <w:rsid w:val="199E7D0E"/>
    <w:rsid w:val="19A1335A"/>
    <w:rsid w:val="19AF7CF2"/>
    <w:rsid w:val="19B647EA"/>
    <w:rsid w:val="19B9358E"/>
    <w:rsid w:val="19BA6D52"/>
    <w:rsid w:val="19C13C73"/>
    <w:rsid w:val="19CF1639"/>
    <w:rsid w:val="19DE4FEA"/>
    <w:rsid w:val="19E33973"/>
    <w:rsid w:val="19F20C83"/>
    <w:rsid w:val="19F25E74"/>
    <w:rsid w:val="19F47363"/>
    <w:rsid w:val="1A081BBA"/>
    <w:rsid w:val="1A1A55E6"/>
    <w:rsid w:val="1A2F3712"/>
    <w:rsid w:val="1A442A69"/>
    <w:rsid w:val="1A4C59BC"/>
    <w:rsid w:val="1A4D2F65"/>
    <w:rsid w:val="1A4E76E6"/>
    <w:rsid w:val="1A564222"/>
    <w:rsid w:val="1A6668E0"/>
    <w:rsid w:val="1A9F789A"/>
    <w:rsid w:val="1AA838F5"/>
    <w:rsid w:val="1AB1139A"/>
    <w:rsid w:val="1AB175CD"/>
    <w:rsid w:val="1AB43B35"/>
    <w:rsid w:val="1ABD7794"/>
    <w:rsid w:val="1ACC28B3"/>
    <w:rsid w:val="1ACE4623"/>
    <w:rsid w:val="1ADE7FA8"/>
    <w:rsid w:val="1AED613D"/>
    <w:rsid w:val="1AF61E77"/>
    <w:rsid w:val="1AFC4CEC"/>
    <w:rsid w:val="1B0A78AC"/>
    <w:rsid w:val="1B0C3EB0"/>
    <w:rsid w:val="1B0E4DEA"/>
    <w:rsid w:val="1B1C09AD"/>
    <w:rsid w:val="1B23671D"/>
    <w:rsid w:val="1B324BB2"/>
    <w:rsid w:val="1B414DF5"/>
    <w:rsid w:val="1B4C3A0A"/>
    <w:rsid w:val="1B6D4326"/>
    <w:rsid w:val="1B82347A"/>
    <w:rsid w:val="1B8C3A12"/>
    <w:rsid w:val="1B9976DA"/>
    <w:rsid w:val="1BAE58E7"/>
    <w:rsid w:val="1BB050E4"/>
    <w:rsid w:val="1BB11F7A"/>
    <w:rsid w:val="1BB94200"/>
    <w:rsid w:val="1BC41081"/>
    <w:rsid w:val="1BC51582"/>
    <w:rsid w:val="1BC53330"/>
    <w:rsid w:val="1BC670A8"/>
    <w:rsid w:val="1BD63CF2"/>
    <w:rsid w:val="1BDA60BE"/>
    <w:rsid w:val="1BE167C8"/>
    <w:rsid w:val="1BED7472"/>
    <w:rsid w:val="1BF542A9"/>
    <w:rsid w:val="1BF74CE3"/>
    <w:rsid w:val="1BFC4701"/>
    <w:rsid w:val="1C0F1C00"/>
    <w:rsid w:val="1C1B332C"/>
    <w:rsid w:val="1C281B11"/>
    <w:rsid w:val="1C32672F"/>
    <w:rsid w:val="1C385A92"/>
    <w:rsid w:val="1C3C4BC3"/>
    <w:rsid w:val="1C4E5E66"/>
    <w:rsid w:val="1C851907"/>
    <w:rsid w:val="1C87149D"/>
    <w:rsid w:val="1C8A5CD4"/>
    <w:rsid w:val="1CB112A1"/>
    <w:rsid w:val="1CB96328"/>
    <w:rsid w:val="1CC45CDD"/>
    <w:rsid w:val="1CDD10FA"/>
    <w:rsid w:val="1CE05356"/>
    <w:rsid w:val="1CE7377A"/>
    <w:rsid w:val="1CF74B81"/>
    <w:rsid w:val="1CFD6AEF"/>
    <w:rsid w:val="1D126A49"/>
    <w:rsid w:val="1D2B44DC"/>
    <w:rsid w:val="1D2C0BEB"/>
    <w:rsid w:val="1D3D0F92"/>
    <w:rsid w:val="1D4F1796"/>
    <w:rsid w:val="1D724A5D"/>
    <w:rsid w:val="1D882867"/>
    <w:rsid w:val="1D9C4E87"/>
    <w:rsid w:val="1DAE1BE5"/>
    <w:rsid w:val="1DB63878"/>
    <w:rsid w:val="1DC6338F"/>
    <w:rsid w:val="1DC65DCF"/>
    <w:rsid w:val="1DCD0BC2"/>
    <w:rsid w:val="1DD20B00"/>
    <w:rsid w:val="1DF044EC"/>
    <w:rsid w:val="1DF52828"/>
    <w:rsid w:val="1DF9039C"/>
    <w:rsid w:val="1E0A704A"/>
    <w:rsid w:val="1E0B5246"/>
    <w:rsid w:val="1E225A01"/>
    <w:rsid w:val="1E2A7DC2"/>
    <w:rsid w:val="1E352B9D"/>
    <w:rsid w:val="1E391DB3"/>
    <w:rsid w:val="1E53150D"/>
    <w:rsid w:val="1E746983"/>
    <w:rsid w:val="1E7D7EF2"/>
    <w:rsid w:val="1E8219AC"/>
    <w:rsid w:val="1E894AE9"/>
    <w:rsid w:val="1E8A260F"/>
    <w:rsid w:val="1E9936C4"/>
    <w:rsid w:val="1EC70B16"/>
    <w:rsid w:val="1EC7247F"/>
    <w:rsid w:val="1ECA64AD"/>
    <w:rsid w:val="1ED0505D"/>
    <w:rsid w:val="1ED744D0"/>
    <w:rsid w:val="1EEE064E"/>
    <w:rsid w:val="1EF515AE"/>
    <w:rsid w:val="1F035F39"/>
    <w:rsid w:val="1F08408D"/>
    <w:rsid w:val="1F116AD8"/>
    <w:rsid w:val="1F133FB8"/>
    <w:rsid w:val="1F154C1C"/>
    <w:rsid w:val="1F2272C7"/>
    <w:rsid w:val="1F260691"/>
    <w:rsid w:val="1F340E9C"/>
    <w:rsid w:val="1F3F33F9"/>
    <w:rsid w:val="1F52416E"/>
    <w:rsid w:val="1F614953"/>
    <w:rsid w:val="1F7E0BD6"/>
    <w:rsid w:val="1F7F7C9A"/>
    <w:rsid w:val="1F9B7B4B"/>
    <w:rsid w:val="1FA15C3C"/>
    <w:rsid w:val="1FAA740D"/>
    <w:rsid w:val="1FB538BB"/>
    <w:rsid w:val="1FC81083"/>
    <w:rsid w:val="1FCF24A2"/>
    <w:rsid w:val="1FDC6E9A"/>
    <w:rsid w:val="1FE2005D"/>
    <w:rsid w:val="20006353"/>
    <w:rsid w:val="20014B53"/>
    <w:rsid w:val="20152D20"/>
    <w:rsid w:val="20402AFC"/>
    <w:rsid w:val="20A0436C"/>
    <w:rsid w:val="20A55195"/>
    <w:rsid w:val="20C0056A"/>
    <w:rsid w:val="20DA3A95"/>
    <w:rsid w:val="20DA6706"/>
    <w:rsid w:val="20F776E9"/>
    <w:rsid w:val="20F87D04"/>
    <w:rsid w:val="2136023E"/>
    <w:rsid w:val="21416C70"/>
    <w:rsid w:val="21551BAE"/>
    <w:rsid w:val="21674367"/>
    <w:rsid w:val="217F6677"/>
    <w:rsid w:val="21846C37"/>
    <w:rsid w:val="218C4E05"/>
    <w:rsid w:val="21BA76AF"/>
    <w:rsid w:val="21D158AB"/>
    <w:rsid w:val="21E31CD2"/>
    <w:rsid w:val="21EB7868"/>
    <w:rsid w:val="21FA4A24"/>
    <w:rsid w:val="220D3C83"/>
    <w:rsid w:val="2233055C"/>
    <w:rsid w:val="223455AF"/>
    <w:rsid w:val="223C2DD3"/>
    <w:rsid w:val="224421C1"/>
    <w:rsid w:val="22471A45"/>
    <w:rsid w:val="22526669"/>
    <w:rsid w:val="226602CB"/>
    <w:rsid w:val="22682C67"/>
    <w:rsid w:val="22747C1E"/>
    <w:rsid w:val="22805135"/>
    <w:rsid w:val="22943A5C"/>
    <w:rsid w:val="22995516"/>
    <w:rsid w:val="22CC0723"/>
    <w:rsid w:val="22D66F38"/>
    <w:rsid w:val="22E52551"/>
    <w:rsid w:val="22EA0674"/>
    <w:rsid w:val="22F01ECF"/>
    <w:rsid w:val="22F453DF"/>
    <w:rsid w:val="23007E87"/>
    <w:rsid w:val="2318468D"/>
    <w:rsid w:val="232900A3"/>
    <w:rsid w:val="232A0350"/>
    <w:rsid w:val="23713439"/>
    <w:rsid w:val="23747862"/>
    <w:rsid w:val="237613B4"/>
    <w:rsid w:val="238D507B"/>
    <w:rsid w:val="238E7BAC"/>
    <w:rsid w:val="23945FF0"/>
    <w:rsid w:val="23AD4EAC"/>
    <w:rsid w:val="23B25817"/>
    <w:rsid w:val="23ED7618"/>
    <w:rsid w:val="23F21382"/>
    <w:rsid w:val="23FA3329"/>
    <w:rsid w:val="24046D21"/>
    <w:rsid w:val="24122526"/>
    <w:rsid w:val="241E52FD"/>
    <w:rsid w:val="24212A0B"/>
    <w:rsid w:val="24275D38"/>
    <w:rsid w:val="242F5168"/>
    <w:rsid w:val="243328FB"/>
    <w:rsid w:val="24347417"/>
    <w:rsid w:val="2437364A"/>
    <w:rsid w:val="24374FE7"/>
    <w:rsid w:val="244F47D6"/>
    <w:rsid w:val="24661428"/>
    <w:rsid w:val="24711720"/>
    <w:rsid w:val="248D4C07"/>
    <w:rsid w:val="24B44889"/>
    <w:rsid w:val="24B65926"/>
    <w:rsid w:val="24B82C59"/>
    <w:rsid w:val="24C45C4B"/>
    <w:rsid w:val="24CC73FA"/>
    <w:rsid w:val="24E153CB"/>
    <w:rsid w:val="24F17464"/>
    <w:rsid w:val="24FB540E"/>
    <w:rsid w:val="25274A50"/>
    <w:rsid w:val="25302032"/>
    <w:rsid w:val="253C403D"/>
    <w:rsid w:val="254D51A3"/>
    <w:rsid w:val="25592D3B"/>
    <w:rsid w:val="257200B9"/>
    <w:rsid w:val="257D2F05"/>
    <w:rsid w:val="25826736"/>
    <w:rsid w:val="25830512"/>
    <w:rsid w:val="258E4919"/>
    <w:rsid w:val="25A62424"/>
    <w:rsid w:val="25C26B32"/>
    <w:rsid w:val="25C857D9"/>
    <w:rsid w:val="25CB35AF"/>
    <w:rsid w:val="25CC1E99"/>
    <w:rsid w:val="25D14843"/>
    <w:rsid w:val="25D86973"/>
    <w:rsid w:val="25EB62D2"/>
    <w:rsid w:val="25FA2612"/>
    <w:rsid w:val="25FB2703"/>
    <w:rsid w:val="2600660D"/>
    <w:rsid w:val="260A71E3"/>
    <w:rsid w:val="260E21C7"/>
    <w:rsid w:val="2610789E"/>
    <w:rsid w:val="26194770"/>
    <w:rsid w:val="26217202"/>
    <w:rsid w:val="262B4D85"/>
    <w:rsid w:val="26364A58"/>
    <w:rsid w:val="26545BD6"/>
    <w:rsid w:val="265D28D8"/>
    <w:rsid w:val="265F25D3"/>
    <w:rsid w:val="2663625F"/>
    <w:rsid w:val="26990C2D"/>
    <w:rsid w:val="269B185D"/>
    <w:rsid w:val="26AD1590"/>
    <w:rsid w:val="26C54E7E"/>
    <w:rsid w:val="26C70FB4"/>
    <w:rsid w:val="26DF0405"/>
    <w:rsid w:val="270E5A08"/>
    <w:rsid w:val="271C6F49"/>
    <w:rsid w:val="271E30E4"/>
    <w:rsid w:val="27225ADA"/>
    <w:rsid w:val="27304430"/>
    <w:rsid w:val="2738155B"/>
    <w:rsid w:val="274E10B4"/>
    <w:rsid w:val="27624129"/>
    <w:rsid w:val="27630C0D"/>
    <w:rsid w:val="276E654B"/>
    <w:rsid w:val="277346FC"/>
    <w:rsid w:val="278C5F87"/>
    <w:rsid w:val="278E3170"/>
    <w:rsid w:val="27960086"/>
    <w:rsid w:val="27A143CC"/>
    <w:rsid w:val="27AE2A8A"/>
    <w:rsid w:val="27B506FD"/>
    <w:rsid w:val="27C63141"/>
    <w:rsid w:val="27CA027E"/>
    <w:rsid w:val="281D1B51"/>
    <w:rsid w:val="282910EA"/>
    <w:rsid w:val="28550131"/>
    <w:rsid w:val="28584A89"/>
    <w:rsid w:val="285C2D19"/>
    <w:rsid w:val="28625C3C"/>
    <w:rsid w:val="286E4D4F"/>
    <w:rsid w:val="28CB2D7B"/>
    <w:rsid w:val="28F67632"/>
    <w:rsid w:val="29017971"/>
    <w:rsid w:val="2916587E"/>
    <w:rsid w:val="29280EAE"/>
    <w:rsid w:val="29295A65"/>
    <w:rsid w:val="2931029D"/>
    <w:rsid w:val="29483CFC"/>
    <w:rsid w:val="29564161"/>
    <w:rsid w:val="29573AE3"/>
    <w:rsid w:val="295B1275"/>
    <w:rsid w:val="296636EE"/>
    <w:rsid w:val="297F66B8"/>
    <w:rsid w:val="299372AB"/>
    <w:rsid w:val="299B1B74"/>
    <w:rsid w:val="299F77CD"/>
    <w:rsid w:val="29A37CDB"/>
    <w:rsid w:val="29C4113D"/>
    <w:rsid w:val="29E96B87"/>
    <w:rsid w:val="29FB6CEE"/>
    <w:rsid w:val="2A0A3473"/>
    <w:rsid w:val="2A104310"/>
    <w:rsid w:val="2A1F1065"/>
    <w:rsid w:val="2A3C316C"/>
    <w:rsid w:val="2A4245D4"/>
    <w:rsid w:val="2A663391"/>
    <w:rsid w:val="2A685F57"/>
    <w:rsid w:val="2A7251A5"/>
    <w:rsid w:val="2A9A778F"/>
    <w:rsid w:val="2A9D64F9"/>
    <w:rsid w:val="2AC4304A"/>
    <w:rsid w:val="2ACA1805"/>
    <w:rsid w:val="2AD3251B"/>
    <w:rsid w:val="2AE9450A"/>
    <w:rsid w:val="2AF86E01"/>
    <w:rsid w:val="2AFE685E"/>
    <w:rsid w:val="2B0379D1"/>
    <w:rsid w:val="2B0B3379"/>
    <w:rsid w:val="2B201DDF"/>
    <w:rsid w:val="2B230D73"/>
    <w:rsid w:val="2B30453E"/>
    <w:rsid w:val="2B31241A"/>
    <w:rsid w:val="2B341DAF"/>
    <w:rsid w:val="2B3A3DF9"/>
    <w:rsid w:val="2B5244B4"/>
    <w:rsid w:val="2B635F3D"/>
    <w:rsid w:val="2B6478B9"/>
    <w:rsid w:val="2B7816DF"/>
    <w:rsid w:val="2B8305DB"/>
    <w:rsid w:val="2BAE54A8"/>
    <w:rsid w:val="2BD54CA2"/>
    <w:rsid w:val="2BD650E5"/>
    <w:rsid w:val="2BE37608"/>
    <w:rsid w:val="2BFD71B9"/>
    <w:rsid w:val="2C043A01"/>
    <w:rsid w:val="2C7629A1"/>
    <w:rsid w:val="2C7D1C3D"/>
    <w:rsid w:val="2C954FA0"/>
    <w:rsid w:val="2CCC26F2"/>
    <w:rsid w:val="2CDE39EF"/>
    <w:rsid w:val="2CF2655C"/>
    <w:rsid w:val="2D0211E6"/>
    <w:rsid w:val="2D151C3D"/>
    <w:rsid w:val="2D1A0EBD"/>
    <w:rsid w:val="2D1F6CCF"/>
    <w:rsid w:val="2D2307FE"/>
    <w:rsid w:val="2D4152C9"/>
    <w:rsid w:val="2D465C89"/>
    <w:rsid w:val="2D5849A7"/>
    <w:rsid w:val="2D5904A3"/>
    <w:rsid w:val="2D84798C"/>
    <w:rsid w:val="2D882823"/>
    <w:rsid w:val="2D8B6ADA"/>
    <w:rsid w:val="2D924373"/>
    <w:rsid w:val="2D95229F"/>
    <w:rsid w:val="2D9B0395"/>
    <w:rsid w:val="2DA3256D"/>
    <w:rsid w:val="2DB1335A"/>
    <w:rsid w:val="2DB15E0A"/>
    <w:rsid w:val="2DB554B4"/>
    <w:rsid w:val="2DE7182C"/>
    <w:rsid w:val="2DF16206"/>
    <w:rsid w:val="2E026666"/>
    <w:rsid w:val="2E13081D"/>
    <w:rsid w:val="2E1E47EE"/>
    <w:rsid w:val="2E2609D0"/>
    <w:rsid w:val="2E275A3F"/>
    <w:rsid w:val="2E383E35"/>
    <w:rsid w:val="2E464A70"/>
    <w:rsid w:val="2E4A4A43"/>
    <w:rsid w:val="2E56250D"/>
    <w:rsid w:val="2E6757F7"/>
    <w:rsid w:val="2E720575"/>
    <w:rsid w:val="2E9346FB"/>
    <w:rsid w:val="2E934814"/>
    <w:rsid w:val="2E982B26"/>
    <w:rsid w:val="2EBB0A13"/>
    <w:rsid w:val="2EBC5C6A"/>
    <w:rsid w:val="2ED86F88"/>
    <w:rsid w:val="2EF338EB"/>
    <w:rsid w:val="2EF45178"/>
    <w:rsid w:val="2EF912E1"/>
    <w:rsid w:val="2EFC7C2D"/>
    <w:rsid w:val="2F355017"/>
    <w:rsid w:val="2F4E6D50"/>
    <w:rsid w:val="2F5051AF"/>
    <w:rsid w:val="2F611A30"/>
    <w:rsid w:val="2F77416E"/>
    <w:rsid w:val="2F7B45EC"/>
    <w:rsid w:val="2F827A5E"/>
    <w:rsid w:val="2F9E23BE"/>
    <w:rsid w:val="2FA20DE1"/>
    <w:rsid w:val="2FAF0127"/>
    <w:rsid w:val="2FB24312"/>
    <w:rsid w:val="2FE10559"/>
    <w:rsid w:val="2FE14059"/>
    <w:rsid w:val="2FEF2B33"/>
    <w:rsid w:val="2FFD3D6A"/>
    <w:rsid w:val="30055F99"/>
    <w:rsid w:val="30114440"/>
    <w:rsid w:val="30191A45"/>
    <w:rsid w:val="301937F3"/>
    <w:rsid w:val="302C3AD1"/>
    <w:rsid w:val="304E5D8C"/>
    <w:rsid w:val="30562C99"/>
    <w:rsid w:val="306E54B5"/>
    <w:rsid w:val="3075311F"/>
    <w:rsid w:val="307E759B"/>
    <w:rsid w:val="30C13C15"/>
    <w:rsid w:val="30C16364"/>
    <w:rsid w:val="30F5600E"/>
    <w:rsid w:val="30FF58D5"/>
    <w:rsid w:val="3143321D"/>
    <w:rsid w:val="31452742"/>
    <w:rsid w:val="31466869"/>
    <w:rsid w:val="31915285"/>
    <w:rsid w:val="319C645D"/>
    <w:rsid w:val="319C6AC1"/>
    <w:rsid w:val="31EC3BED"/>
    <w:rsid w:val="31FD5849"/>
    <w:rsid w:val="32141694"/>
    <w:rsid w:val="32164695"/>
    <w:rsid w:val="322546D1"/>
    <w:rsid w:val="32481280"/>
    <w:rsid w:val="32502BE0"/>
    <w:rsid w:val="32526AE3"/>
    <w:rsid w:val="32537490"/>
    <w:rsid w:val="32614B36"/>
    <w:rsid w:val="32785148"/>
    <w:rsid w:val="32896FDE"/>
    <w:rsid w:val="328E5E5C"/>
    <w:rsid w:val="32970FFE"/>
    <w:rsid w:val="329C3065"/>
    <w:rsid w:val="32B53CA7"/>
    <w:rsid w:val="32D31873"/>
    <w:rsid w:val="32F32A21"/>
    <w:rsid w:val="330A6248"/>
    <w:rsid w:val="33154745"/>
    <w:rsid w:val="33307C15"/>
    <w:rsid w:val="33365F9E"/>
    <w:rsid w:val="336254B1"/>
    <w:rsid w:val="33814F8D"/>
    <w:rsid w:val="33843679"/>
    <w:rsid w:val="33977850"/>
    <w:rsid w:val="339A111B"/>
    <w:rsid w:val="33BA190E"/>
    <w:rsid w:val="33D51D97"/>
    <w:rsid w:val="33DC78EE"/>
    <w:rsid w:val="33E9463E"/>
    <w:rsid w:val="33EB36F8"/>
    <w:rsid w:val="33F86541"/>
    <w:rsid w:val="33FE167D"/>
    <w:rsid w:val="34056568"/>
    <w:rsid w:val="342F5CDB"/>
    <w:rsid w:val="34333907"/>
    <w:rsid w:val="34401C96"/>
    <w:rsid w:val="346206A2"/>
    <w:rsid w:val="346534EC"/>
    <w:rsid w:val="346C4839"/>
    <w:rsid w:val="34724E0D"/>
    <w:rsid w:val="34782830"/>
    <w:rsid w:val="3491429F"/>
    <w:rsid w:val="3493237C"/>
    <w:rsid w:val="34946BFE"/>
    <w:rsid w:val="34992A5B"/>
    <w:rsid w:val="349E4C1D"/>
    <w:rsid w:val="34A22AE6"/>
    <w:rsid w:val="34A55F9D"/>
    <w:rsid w:val="34B34216"/>
    <w:rsid w:val="34BB4C74"/>
    <w:rsid w:val="34C24ADA"/>
    <w:rsid w:val="34C5219B"/>
    <w:rsid w:val="34E03BC9"/>
    <w:rsid w:val="34F77AA4"/>
    <w:rsid w:val="34FB796B"/>
    <w:rsid w:val="351B53EC"/>
    <w:rsid w:val="35222AF2"/>
    <w:rsid w:val="352D2FC0"/>
    <w:rsid w:val="3538296D"/>
    <w:rsid w:val="3545783E"/>
    <w:rsid w:val="354B26A0"/>
    <w:rsid w:val="355B432E"/>
    <w:rsid w:val="35660106"/>
    <w:rsid w:val="356C09D5"/>
    <w:rsid w:val="357342F3"/>
    <w:rsid w:val="357A11D7"/>
    <w:rsid w:val="357D64C1"/>
    <w:rsid w:val="35811EF1"/>
    <w:rsid w:val="35916473"/>
    <w:rsid w:val="35997804"/>
    <w:rsid w:val="35B604A5"/>
    <w:rsid w:val="35D769AF"/>
    <w:rsid w:val="35E20E01"/>
    <w:rsid w:val="35ED2EFB"/>
    <w:rsid w:val="36025456"/>
    <w:rsid w:val="36032EB2"/>
    <w:rsid w:val="361A4C88"/>
    <w:rsid w:val="362807CD"/>
    <w:rsid w:val="36540F69"/>
    <w:rsid w:val="367263F3"/>
    <w:rsid w:val="36747130"/>
    <w:rsid w:val="36767D98"/>
    <w:rsid w:val="369015F9"/>
    <w:rsid w:val="36916055"/>
    <w:rsid w:val="36AA3F4B"/>
    <w:rsid w:val="36AF6C5F"/>
    <w:rsid w:val="36B244E1"/>
    <w:rsid w:val="36CB0175"/>
    <w:rsid w:val="36F24ADC"/>
    <w:rsid w:val="36F6663C"/>
    <w:rsid w:val="36F67F09"/>
    <w:rsid w:val="36FF18F5"/>
    <w:rsid w:val="3727151E"/>
    <w:rsid w:val="372A32B5"/>
    <w:rsid w:val="374B5F28"/>
    <w:rsid w:val="374E6478"/>
    <w:rsid w:val="375F0316"/>
    <w:rsid w:val="378C0D4E"/>
    <w:rsid w:val="378E4AC6"/>
    <w:rsid w:val="379522F8"/>
    <w:rsid w:val="37AA0D30"/>
    <w:rsid w:val="37CB4B8B"/>
    <w:rsid w:val="37D80AB5"/>
    <w:rsid w:val="37DE77FC"/>
    <w:rsid w:val="37F31893"/>
    <w:rsid w:val="37F66500"/>
    <w:rsid w:val="380A23CA"/>
    <w:rsid w:val="3810031D"/>
    <w:rsid w:val="38153792"/>
    <w:rsid w:val="381855C7"/>
    <w:rsid w:val="38322D28"/>
    <w:rsid w:val="383513E6"/>
    <w:rsid w:val="383F0A8C"/>
    <w:rsid w:val="3843357E"/>
    <w:rsid w:val="3852678F"/>
    <w:rsid w:val="386121DB"/>
    <w:rsid w:val="3862312E"/>
    <w:rsid w:val="387F4239"/>
    <w:rsid w:val="389C54E6"/>
    <w:rsid w:val="38C946ED"/>
    <w:rsid w:val="38CF05E4"/>
    <w:rsid w:val="38D93775"/>
    <w:rsid w:val="38DA67AF"/>
    <w:rsid w:val="38DD5F3F"/>
    <w:rsid w:val="38E76310"/>
    <w:rsid w:val="38F06318"/>
    <w:rsid w:val="38FF3ECD"/>
    <w:rsid w:val="390112ED"/>
    <w:rsid w:val="390977A4"/>
    <w:rsid w:val="39284F6F"/>
    <w:rsid w:val="392E030F"/>
    <w:rsid w:val="39342D58"/>
    <w:rsid w:val="39363A4A"/>
    <w:rsid w:val="394836C2"/>
    <w:rsid w:val="39620852"/>
    <w:rsid w:val="3971011A"/>
    <w:rsid w:val="39986FEB"/>
    <w:rsid w:val="39AB5E03"/>
    <w:rsid w:val="39B96DF3"/>
    <w:rsid w:val="39D440AF"/>
    <w:rsid w:val="39D738BB"/>
    <w:rsid w:val="39DC5EA8"/>
    <w:rsid w:val="39F06DAC"/>
    <w:rsid w:val="39F21BA3"/>
    <w:rsid w:val="39F50E2C"/>
    <w:rsid w:val="3A094D2C"/>
    <w:rsid w:val="3A1219DE"/>
    <w:rsid w:val="3A206067"/>
    <w:rsid w:val="3A2339A9"/>
    <w:rsid w:val="3A2536FF"/>
    <w:rsid w:val="3A2B1896"/>
    <w:rsid w:val="3A337A1F"/>
    <w:rsid w:val="3A350EE0"/>
    <w:rsid w:val="3A3556CD"/>
    <w:rsid w:val="3A3B6310"/>
    <w:rsid w:val="3A443F62"/>
    <w:rsid w:val="3A4E43A5"/>
    <w:rsid w:val="3A693D94"/>
    <w:rsid w:val="3A801ADD"/>
    <w:rsid w:val="3A82421E"/>
    <w:rsid w:val="3A886145"/>
    <w:rsid w:val="3A8E03E6"/>
    <w:rsid w:val="3A9740AB"/>
    <w:rsid w:val="3AA82E8F"/>
    <w:rsid w:val="3AA96E43"/>
    <w:rsid w:val="3AAA60BB"/>
    <w:rsid w:val="3AAC1E33"/>
    <w:rsid w:val="3AB575F9"/>
    <w:rsid w:val="3AD9493A"/>
    <w:rsid w:val="3AE3774C"/>
    <w:rsid w:val="3AFF4123"/>
    <w:rsid w:val="3B091C54"/>
    <w:rsid w:val="3B1101CE"/>
    <w:rsid w:val="3B3116FA"/>
    <w:rsid w:val="3B351E28"/>
    <w:rsid w:val="3B3555DD"/>
    <w:rsid w:val="3B5E66F2"/>
    <w:rsid w:val="3B8A40D3"/>
    <w:rsid w:val="3B9052B1"/>
    <w:rsid w:val="3B9603ED"/>
    <w:rsid w:val="3B98207B"/>
    <w:rsid w:val="3BAA1EF0"/>
    <w:rsid w:val="3BB52984"/>
    <w:rsid w:val="3BDB5452"/>
    <w:rsid w:val="3BE27CF8"/>
    <w:rsid w:val="3BEE2A58"/>
    <w:rsid w:val="3BFB1BDC"/>
    <w:rsid w:val="3C121E04"/>
    <w:rsid w:val="3C3519B4"/>
    <w:rsid w:val="3C57086B"/>
    <w:rsid w:val="3C717A1D"/>
    <w:rsid w:val="3C7E77FF"/>
    <w:rsid w:val="3C952943"/>
    <w:rsid w:val="3C9B3F0D"/>
    <w:rsid w:val="3CAD73B7"/>
    <w:rsid w:val="3CC732A6"/>
    <w:rsid w:val="3CCA65A0"/>
    <w:rsid w:val="3CCD56B7"/>
    <w:rsid w:val="3CEF1407"/>
    <w:rsid w:val="3CF13ACE"/>
    <w:rsid w:val="3D1468AE"/>
    <w:rsid w:val="3D2340B3"/>
    <w:rsid w:val="3D3E2986"/>
    <w:rsid w:val="3D4C1834"/>
    <w:rsid w:val="3D94743F"/>
    <w:rsid w:val="3D9B19A8"/>
    <w:rsid w:val="3DA754FF"/>
    <w:rsid w:val="3DAB3BCB"/>
    <w:rsid w:val="3DBB7F03"/>
    <w:rsid w:val="3DBE6C1D"/>
    <w:rsid w:val="3DC61767"/>
    <w:rsid w:val="3DD20559"/>
    <w:rsid w:val="3DF96C09"/>
    <w:rsid w:val="3E0C4997"/>
    <w:rsid w:val="3E0E40E5"/>
    <w:rsid w:val="3E15733F"/>
    <w:rsid w:val="3E353EED"/>
    <w:rsid w:val="3E38552F"/>
    <w:rsid w:val="3E43495C"/>
    <w:rsid w:val="3E4C53B2"/>
    <w:rsid w:val="3E636D6A"/>
    <w:rsid w:val="3E661926"/>
    <w:rsid w:val="3E720C9E"/>
    <w:rsid w:val="3E726FBD"/>
    <w:rsid w:val="3E7C1B1C"/>
    <w:rsid w:val="3E860BED"/>
    <w:rsid w:val="3E8824E2"/>
    <w:rsid w:val="3E8912B2"/>
    <w:rsid w:val="3E964961"/>
    <w:rsid w:val="3E991E93"/>
    <w:rsid w:val="3EA370A9"/>
    <w:rsid w:val="3EAF4ABF"/>
    <w:rsid w:val="3ED56468"/>
    <w:rsid w:val="3EE430CF"/>
    <w:rsid w:val="3EED47C8"/>
    <w:rsid w:val="3EF43DA9"/>
    <w:rsid w:val="3EF617A5"/>
    <w:rsid w:val="3F0062A9"/>
    <w:rsid w:val="3F0A4D5B"/>
    <w:rsid w:val="3F0E2A92"/>
    <w:rsid w:val="3F112B44"/>
    <w:rsid w:val="3F3B26F7"/>
    <w:rsid w:val="3F3D49BB"/>
    <w:rsid w:val="3F427902"/>
    <w:rsid w:val="3F6F342F"/>
    <w:rsid w:val="3F967F45"/>
    <w:rsid w:val="3F98653F"/>
    <w:rsid w:val="3F9917E1"/>
    <w:rsid w:val="3FB046F3"/>
    <w:rsid w:val="3FBF21B6"/>
    <w:rsid w:val="3FD93D5C"/>
    <w:rsid w:val="3FE61BBA"/>
    <w:rsid w:val="3FF75544"/>
    <w:rsid w:val="3FFF2A05"/>
    <w:rsid w:val="400224F5"/>
    <w:rsid w:val="401269FD"/>
    <w:rsid w:val="40164863"/>
    <w:rsid w:val="401C07AB"/>
    <w:rsid w:val="40271F5C"/>
    <w:rsid w:val="40491ED2"/>
    <w:rsid w:val="404E5888"/>
    <w:rsid w:val="405E4B2E"/>
    <w:rsid w:val="405E79D0"/>
    <w:rsid w:val="405F34A4"/>
    <w:rsid w:val="405F3F3F"/>
    <w:rsid w:val="40695439"/>
    <w:rsid w:val="40731219"/>
    <w:rsid w:val="40913A7C"/>
    <w:rsid w:val="40952AB4"/>
    <w:rsid w:val="409E76D8"/>
    <w:rsid w:val="409F1B81"/>
    <w:rsid w:val="40AE7F87"/>
    <w:rsid w:val="40C26841"/>
    <w:rsid w:val="40DE5DF9"/>
    <w:rsid w:val="40E165AE"/>
    <w:rsid w:val="40E8793D"/>
    <w:rsid w:val="40EF3288"/>
    <w:rsid w:val="40EF4CA3"/>
    <w:rsid w:val="40FB7670"/>
    <w:rsid w:val="41016309"/>
    <w:rsid w:val="411027D9"/>
    <w:rsid w:val="411F6722"/>
    <w:rsid w:val="412E19BE"/>
    <w:rsid w:val="4133382C"/>
    <w:rsid w:val="41472F93"/>
    <w:rsid w:val="415F0BA0"/>
    <w:rsid w:val="41697F5C"/>
    <w:rsid w:val="417C720B"/>
    <w:rsid w:val="41AD07FE"/>
    <w:rsid w:val="41E81277"/>
    <w:rsid w:val="41E9571B"/>
    <w:rsid w:val="41EE74FD"/>
    <w:rsid w:val="41F8695E"/>
    <w:rsid w:val="41FA72C2"/>
    <w:rsid w:val="420E62D8"/>
    <w:rsid w:val="421A76FA"/>
    <w:rsid w:val="423C44E6"/>
    <w:rsid w:val="42442F10"/>
    <w:rsid w:val="42695622"/>
    <w:rsid w:val="426C1062"/>
    <w:rsid w:val="427E6DC6"/>
    <w:rsid w:val="429D27CF"/>
    <w:rsid w:val="429E1053"/>
    <w:rsid w:val="42A31D6D"/>
    <w:rsid w:val="42C65A5C"/>
    <w:rsid w:val="42CB6BCE"/>
    <w:rsid w:val="42D63019"/>
    <w:rsid w:val="42EA106F"/>
    <w:rsid w:val="42FB7282"/>
    <w:rsid w:val="430A17B4"/>
    <w:rsid w:val="43297903"/>
    <w:rsid w:val="432A200E"/>
    <w:rsid w:val="4334545E"/>
    <w:rsid w:val="43467C06"/>
    <w:rsid w:val="434C6880"/>
    <w:rsid w:val="435B1A11"/>
    <w:rsid w:val="4373646E"/>
    <w:rsid w:val="4382701E"/>
    <w:rsid w:val="438C0A54"/>
    <w:rsid w:val="43A21485"/>
    <w:rsid w:val="43AC6A00"/>
    <w:rsid w:val="43DE7CC7"/>
    <w:rsid w:val="43EF6CF2"/>
    <w:rsid w:val="44060F46"/>
    <w:rsid w:val="441B0C34"/>
    <w:rsid w:val="44242CF5"/>
    <w:rsid w:val="44390B29"/>
    <w:rsid w:val="443D35A0"/>
    <w:rsid w:val="44595385"/>
    <w:rsid w:val="44626E13"/>
    <w:rsid w:val="446E2969"/>
    <w:rsid w:val="447A08AC"/>
    <w:rsid w:val="449974D6"/>
    <w:rsid w:val="44A45929"/>
    <w:rsid w:val="44E85B37"/>
    <w:rsid w:val="45101F31"/>
    <w:rsid w:val="4554388F"/>
    <w:rsid w:val="45633A36"/>
    <w:rsid w:val="456E4871"/>
    <w:rsid w:val="45753121"/>
    <w:rsid w:val="45816209"/>
    <w:rsid w:val="458F594E"/>
    <w:rsid w:val="45A16264"/>
    <w:rsid w:val="45A16321"/>
    <w:rsid w:val="45BB639E"/>
    <w:rsid w:val="45C10CC0"/>
    <w:rsid w:val="45C52BA1"/>
    <w:rsid w:val="45CA7A30"/>
    <w:rsid w:val="45CB14F1"/>
    <w:rsid w:val="45D26A27"/>
    <w:rsid w:val="45E24E51"/>
    <w:rsid w:val="45EA3193"/>
    <w:rsid w:val="462A2ADC"/>
    <w:rsid w:val="46381D5C"/>
    <w:rsid w:val="46617C3E"/>
    <w:rsid w:val="466466C7"/>
    <w:rsid w:val="467946D3"/>
    <w:rsid w:val="46812F96"/>
    <w:rsid w:val="46887932"/>
    <w:rsid w:val="469D2F78"/>
    <w:rsid w:val="46A02E2D"/>
    <w:rsid w:val="46A31B6F"/>
    <w:rsid w:val="46A616B2"/>
    <w:rsid w:val="46B06807"/>
    <w:rsid w:val="46BD63E7"/>
    <w:rsid w:val="46C23632"/>
    <w:rsid w:val="46C30E5C"/>
    <w:rsid w:val="46D44484"/>
    <w:rsid w:val="46D52CF0"/>
    <w:rsid w:val="46E64797"/>
    <w:rsid w:val="46F46550"/>
    <w:rsid w:val="4729480B"/>
    <w:rsid w:val="472C444B"/>
    <w:rsid w:val="47486A40"/>
    <w:rsid w:val="475C79A2"/>
    <w:rsid w:val="475F7C65"/>
    <w:rsid w:val="47670F06"/>
    <w:rsid w:val="477D44DF"/>
    <w:rsid w:val="478A6EB7"/>
    <w:rsid w:val="479E323A"/>
    <w:rsid w:val="479F2A2F"/>
    <w:rsid w:val="47AC379F"/>
    <w:rsid w:val="47B265AF"/>
    <w:rsid w:val="47B307A3"/>
    <w:rsid w:val="47B309CD"/>
    <w:rsid w:val="47BC2503"/>
    <w:rsid w:val="47C15F93"/>
    <w:rsid w:val="47C3517D"/>
    <w:rsid w:val="47C42561"/>
    <w:rsid w:val="47CF7161"/>
    <w:rsid w:val="47EF335F"/>
    <w:rsid w:val="48051EF7"/>
    <w:rsid w:val="480569E3"/>
    <w:rsid w:val="481608EC"/>
    <w:rsid w:val="481E1E96"/>
    <w:rsid w:val="48221D78"/>
    <w:rsid w:val="482F1D14"/>
    <w:rsid w:val="485B27A2"/>
    <w:rsid w:val="485E48D1"/>
    <w:rsid w:val="48687A89"/>
    <w:rsid w:val="486C27AF"/>
    <w:rsid w:val="488112BC"/>
    <w:rsid w:val="48833E77"/>
    <w:rsid w:val="48863AA2"/>
    <w:rsid w:val="488E183E"/>
    <w:rsid w:val="48945CB4"/>
    <w:rsid w:val="48C03BB5"/>
    <w:rsid w:val="48C742DC"/>
    <w:rsid w:val="48CB5B7A"/>
    <w:rsid w:val="48DD5661"/>
    <w:rsid w:val="48E225ED"/>
    <w:rsid w:val="48F02766"/>
    <w:rsid w:val="491920E6"/>
    <w:rsid w:val="4924528A"/>
    <w:rsid w:val="49267254"/>
    <w:rsid w:val="4952623C"/>
    <w:rsid w:val="495E0FE6"/>
    <w:rsid w:val="49605783"/>
    <w:rsid w:val="497C4D1C"/>
    <w:rsid w:val="49867716"/>
    <w:rsid w:val="49885819"/>
    <w:rsid w:val="49907129"/>
    <w:rsid w:val="49C819C4"/>
    <w:rsid w:val="49CE75CB"/>
    <w:rsid w:val="49FB5243"/>
    <w:rsid w:val="4A2B43F6"/>
    <w:rsid w:val="4A5144FD"/>
    <w:rsid w:val="4A541597"/>
    <w:rsid w:val="4A5D51DF"/>
    <w:rsid w:val="4A7B5B71"/>
    <w:rsid w:val="4A9138C5"/>
    <w:rsid w:val="4A982F91"/>
    <w:rsid w:val="4A9A5AC5"/>
    <w:rsid w:val="4AAF6DD6"/>
    <w:rsid w:val="4AB1386F"/>
    <w:rsid w:val="4AB4014A"/>
    <w:rsid w:val="4AB443EC"/>
    <w:rsid w:val="4AB60164"/>
    <w:rsid w:val="4ABE526B"/>
    <w:rsid w:val="4AC97E97"/>
    <w:rsid w:val="4AD2529B"/>
    <w:rsid w:val="4AD351BA"/>
    <w:rsid w:val="4AE54DEC"/>
    <w:rsid w:val="4AF37267"/>
    <w:rsid w:val="4AF40C8C"/>
    <w:rsid w:val="4AF6676E"/>
    <w:rsid w:val="4AFA62A3"/>
    <w:rsid w:val="4B0538BB"/>
    <w:rsid w:val="4B15132F"/>
    <w:rsid w:val="4B165E25"/>
    <w:rsid w:val="4B5069EE"/>
    <w:rsid w:val="4B8B3183"/>
    <w:rsid w:val="4B961233"/>
    <w:rsid w:val="4BA80940"/>
    <w:rsid w:val="4BB328B3"/>
    <w:rsid w:val="4BBD5522"/>
    <w:rsid w:val="4BC13AFD"/>
    <w:rsid w:val="4BC42687"/>
    <w:rsid w:val="4BE023EF"/>
    <w:rsid w:val="4C017704"/>
    <w:rsid w:val="4C077967"/>
    <w:rsid w:val="4C15535E"/>
    <w:rsid w:val="4C1827F1"/>
    <w:rsid w:val="4C1A2391"/>
    <w:rsid w:val="4C26098A"/>
    <w:rsid w:val="4C285091"/>
    <w:rsid w:val="4C2D7B92"/>
    <w:rsid w:val="4C325706"/>
    <w:rsid w:val="4C361C31"/>
    <w:rsid w:val="4C3A6B73"/>
    <w:rsid w:val="4C3B7925"/>
    <w:rsid w:val="4C3D490B"/>
    <w:rsid w:val="4C3F1899"/>
    <w:rsid w:val="4C5D0DE7"/>
    <w:rsid w:val="4C654F49"/>
    <w:rsid w:val="4C7C0148"/>
    <w:rsid w:val="4C973E49"/>
    <w:rsid w:val="4CA30BBC"/>
    <w:rsid w:val="4CB701C3"/>
    <w:rsid w:val="4CCF418E"/>
    <w:rsid w:val="4CCF550D"/>
    <w:rsid w:val="4CE213C2"/>
    <w:rsid w:val="4D043409"/>
    <w:rsid w:val="4D063EAC"/>
    <w:rsid w:val="4D0C050F"/>
    <w:rsid w:val="4D151ABA"/>
    <w:rsid w:val="4D291389"/>
    <w:rsid w:val="4D40489C"/>
    <w:rsid w:val="4D5E2AFB"/>
    <w:rsid w:val="4D7A25F3"/>
    <w:rsid w:val="4D8502C7"/>
    <w:rsid w:val="4D8E7176"/>
    <w:rsid w:val="4D904458"/>
    <w:rsid w:val="4DA16828"/>
    <w:rsid w:val="4DB13E18"/>
    <w:rsid w:val="4DDF79D2"/>
    <w:rsid w:val="4DE6535D"/>
    <w:rsid w:val="4DED2A4D"/>
    <w:rsid w:val="4DEF7321"/>
    <w:rsid w:val="4E0478EA"/>
    <w:rsid w:val="4E094A4F"/>
    <w:rsid w:val="4E0A0A15"/>
    <w:rsid w:val="4E1D5AAE"/>
    <w:rsid w:val="4E30647F"/>
    <w:rsid w:val="4E4205CB"/>
    <w:rsid w:val="4E477BBE"/>
    <w:rsid w:val="4E6229C3"/>
    <w:rsid w:val="4E6E68D0"/>
    <w:rsid w:val="4EBE1E05"/>
    <w:rsid w:val="4EC34C2E"/>
    <w:rsid w:val="4EC42650"/>
    <w:rsid w:val="4ECC61A8"/>
    <w:rsid w:val="4ECF4AC0"/>
    <w:rsid w:val="4F141557"/>
    <w:rsid w:val="4F3F13ED"/>
    <w:rsid w:val="4F4977F9"/>
    <w:rsid w:val="4F58373D"/>
    <w:rsid w:val="4F870321"/>
    <w:rsid w:val="4F894099"/>
    <w:rsid w:val="4F937C88"/>
    <w:rsid w:val="4F954038"/>
    <w:rsid w:val="4F981D0C"/>
    <w:rsid w:val="4FAC1446"/>
    <w:rsid w:val="4FD9460E"/>
    <w:rsid w:val="4FEE716A"/>
    <w:rsid w:val="50077921"/>
    <w:rsid w:val="500E459E"/>
    <w:rsid w:val="500F75C2"/>
    <w:rsid w:val="502C63B4"/>
    <w:rsid w:val="502F74B2"/>
    <w:rsid w:val="503B1837"/>
    <w:rsid w:val="50623B3C"/>
    <w:rsid w:val="50683318"/>
    <w:rsid w:val="506A72CD"/>
    <w:rsid w:val="506B0E9D"/>
    <w:rsid w:val="50700DB5"/>
    <w:rsid w:val="50847CC8"/>
    <w:rsid w:val="509B1A44"/>
    <w:rsid w:val="50C2570B"/>
    <w:rsid w:val="50C4189F"/>
    <w:rsid w:val="50C77614"/>
    <w:rsid w:val="50DB3F55"/>
    <w:rsid w:val="510D2AA8"/>
    <w:rsid w:val="5114486E"/>
    <w:rsid w:val="512E6655"/>
    <w:rsid w:val="51393A01"/>
    <w:rsid w:val="513A1AEF"/>
    <w:rsid w:val="51467744"/>
    <w:rsid w:val="514C27C1"/>
    <w:rsid w:val="51540FBB"/>
    <w:rsid w:val="515F3303"/>
    <w:rsid w:val="51641120"/>
    <w:rsid w:val="517F7502"/>
    <w:rsid w:val="519D3E2C"/>
    <w:rsid w:val="51B557AC"/>
    <w:rsid w:val="51C300C5"/>
    <w:rsid w:val="51E11030"/>
    <w:rsid w:val="52151C14"/>
    <w:rsid w:val="5218397D"/>
    <w:rsid w:val="521A190E"/>
    <w:rsid w:val="52374505"/>
    <w:rsid w:val="523C6D3E"/>
    <w:rsid w:val="524144FF"/>
    <w:rsid w:val="524B0597"/>
    <w:rsid w:val="524F4DCF"/>
    <w:rsid w:val="5280167A"/>
    <w:rsid w:val="52827C50"/>
    <w:rsid w:val="52927709"/>
    <w:rsid w:val="52A12ECA"/>
    <w:rsid w:val="52AB6E4B"/>
    <w:rsid w:val="52C32140"/>
    <w:rsid w:val="52C43DDA"/>
    <w:rsid w:val="52D85640"/>
    <w:rsid w:val="52D90ED0"/>
    <w:rsid w:val="52E33AC0"/>
    <w:rsid w:val="52EC032F"/>
    <w:rsid w:val="52EC506B"/>
    <w:rsid w:val="52FA60EF"/>
    <w:rsid w:val="530379C4"/>
    <w:rsid w:val="53073C53"/>
    <w:rsid w:val="530B40E9"/>
    <w:rsid w:val="532A16EF"/>
    <w:rsid w:val="53755060"/>
    <w:rsid w:val="53766494"/>
    <w:rsid w:val="5379147E"/>
    <w:rsid w:val="539A2E6B"/>
    <w:rsid w:val="53A10131"/>
    <w:rsid w:val="53B92A73"/>
    <w:rsid w:val="53BA0CC5"/>
    <w:rsid w:val="53BD589F"/>
    <w:rsid w:val="53E334B6"/>
    <w:rsid w:val="53F777B9"/>
    <w:rsid w:val="54066C14"/>
    <w:rsid w:val="540A0EC2"/>
    <w:rsid w:val="54240834"/>
    <w:rsid w:val="54244A97"/>
    <w:rsid w:val="54362F3B"/>
    <w:rsid w:val="543D38E0"/>
    <w:rsid w:val="54464EED"/>
    <w:rsid w:val="544A00D8"/>
    <w:rsid w:val="545C1BB9"/>
    <w:rsid w:val="54791AA9"/>
    <w:rsid w:val="547E6DE5"/>
    <w:rsid w:val="54840AB3"/>
    <w:rsid w:val="54A067E1"/>
    <w:rsid w:val="54B6124F"/>
    <w:rsid w:val="54BA798C"/>
    <w:rsid w:val="54D0781A"/>
    <w:rsid w:val="54E0104F"/>
    <w:rsid w:val="54ED53F8"/>
    <w:rsid w:val="551E1B5E"/>
    <w:rsid w:val="552F71EB"/>
    <w:rsid w:val="554D645F"/>
    <w:rsid w:val="55583D73"/>
    <w:rsid w:val="5583495C"/>
    <w:rsid w:val="55846EBF"/>
    <w:rsid w:val="55851631"/>
    <w:rsid w:val="558756C0"/>
    <w:rsid w:val="55890D22"/>
    <w:rsid w:val="558B0412"/>
    <w:rsid w:val="559B68D4"/>
    <w:rsid w:val="55A143F1"/>
    <w:rsid w:val="55AA29E0"/>
    <w:rsid w:val="55BC7137"/>
    <w:rsid w:val="55C91693"/>
    <w:rsid w:val="55CB4099"/>
    <w:rsid w:val="55E147BA"/>
    <w:rsid w:val="5616066A"/>
    <w:rsid w:val="56211D23"/>
    <w:rsid w:val="56384123"/>
    <w:rsid w:val="56406016"/>
    <w:rsid w:val="564D662B"/>
    <w:rsid w:val="56670727"/>
    <w:rsid w:val="56681F0D"/>
    <w:rsid w:val="56715961"/>
    <w:rsid w:val="567D5FDA"/>
    <w:rsid w:val="5680429F"/>
    <w:rsid w:val="569752EE"/>
    <w:rsid w:val="56A2530E"/>
    <w:rsid w:val="56A428E7"/>
    <w:rsid w:val="56A47A0A"/>
    <w:rsid w:val="56A874FB"/>
    <w:rsid w:val="56AB6FEB"/>
    <w:rsid w:val="56B20164"/>
    <w:rsid w:val="56B440F1"/>
    <w:rsid w:val="56C91435"/>
    <w:rsid w:val="56D57E27"/>
    <w:rsid w:val="56E10C5F"/>
    <w:rsid w:val="56F333B8"/>
    <w:rsid w:val="56F72230"/>
    <w:rsid w:val="56FC5A53"/>
    <w:rsid w:val="56FC7846"/>
    <w:rsid w:val="570472B9"/>
    <w:rsid w:val="570A016C"/>
    <w:rsid w:val="570C7BC6"/>
    <w:rsid w:val="570D735E"/>
    <w:rsid w:val="572D0FA8"/>
    <w:rsid w:val="575B631B"/>
    <w:rsid w:val="577B1538"/>
    <w:rsid w:val="57826706"/>
    <w:rsid w:val="57925AB5"/>
    <w:rsid w:val="57941E70"/>
    <w:rsid w:val="57A31BED"/>
    <w:rsid w:val="57B73F73"/>
    <w:rsid w:val="57D165DD"/>
    <w:rsid w:val="57DE0CFA"/>
    <w:rsid w:val="57E30611"/>
    <w:rsid w:val="57F8000E"/>
    <w:rsid w:val="5850282F"/>
    <w:rsid w:val="58551CD9"/>
    <w:rsid w:val="58573DB0"/>
    <w:rsid w:val="58580F4F"/>
    <w:rsid w:val="5897662B"/>
    <w:rsid w:val="58B51BB3"/>
    <w:rsid w:val="58B959EF"/>
    <w:rsid w:val="58C565D8"/>
    <w:rsid w:val="58CE224A"/>
    <w:rsid w:val="58E70B3A"/>
    <w:rsid w:val="58F145C1"/>
    <w:rsid w:val="590D63ED"/>
    <w:rsid w:val="59140FD7"/>
    <w:rsid w:val="591B379D"/>
    <w:rsid w:val="5943350B"/>
    <w:rsid w:val="596C0CB3"/>
    <w:rsid w:val="59740CA6"/>
    <w:rsid w:val="597F3C18"/>
    <w:rsid w:val="59B67930"/>
    <w:rsid w:val="59BE6DD9"/>
    <w:rsid w:val="59D04DDE"/>
    <w:rsid w:val="59E22D24"/>
    <w:rsid w:val="59EC4459"/>
    <w:rsid w:val="5A032C9A"/>
    <w:rsid w:val="5A245D72"/>
    <w:rsid w:val="5A2A0227"/>
    <w:rsid w:val="5A3D61AC"/>
    <w:rsid w:val="5A4365E4"/>
    <w:rsid w:val="5A445D00"/>
    <w:rsid w:val="5A4A2677"/>
    <w:rsid w:val="5A4F1F9F"/>
    <w:rsid w:val="5A501454"/>
    <w:rsid w:val="5A535CDD"/>
    <w:rsid w:val="5A5A6D5E"/>
    <w:rsid w:val="5A695A02"/>
    <w:rsid w:val="5A7F2553"/>
    <w:rsid w:val="5A820063"/>
    <w:rsid w:val="5AA12BDF"/>
    <w:rsid w:val="5ABA58E4"/>
    <w:rsid w:val="5AC72E07"/>
    <w:rsid w:val="5AC90AA6"/>
    <w:rsid w:val="5AC93FB2"/>
    <w:rsid w:val="5AD85ED5"/>
    <w:rsid w:val="5AE51120"/>
    <w:rsid w:val="5AE73E50"/>
    <w:rsid w:val="5AFE541A"/>
    <w:rsid w:val="5B10389A"/>
    <w:rsid w:val="5B3414E1"/>
    <w:rsid w:val="5B37709F"/>
    <w:rsid w:val="5B417F1E"/>
    <w:rsid w:val="5B5F03A4"/>
    <w:rsid w:val="5B720D2A"/>
    <w:rsid w:val="5B7C58B6"/>
    <w:rsid w:val="5BB462FA"/>
    <w:rsid w:val="5BB813CE"/>
    <w:rsid w:val="5BB972ED"/>
    <w:rsid w:val="5BC52891"/>
    <w:rsid w:val="5BC546AB"/>
    <w:rsid w:val="5BCE14BF"/>
    <w:rsid w:val="5C241D7E"/>
    <w:rsid w:val="5C256605"/>
    <w:rsid w:val="5C372B99"/>
    <w:rsid w:val="5C403D31"/>
    <w:rsid w:val="5C4D0890"/>
    <w:rsid w:val="5C5442BF"/>
    <w:rsid w:val="5C64615E"/>
    <w:rsid w:val="5C7659A5"/>
    <w:rsid w:val="5C7C25B0"/>
    <w:rsid w:val="5C8B3F62"/>
    <w:rsid w:val="5C8D23DA"/>
    <w:rsid w:val="5CBB165C"/>
    <w:rsid w:val="5CC82599"/>
    <w:rsid w:val="5CCE758F"/>
    <w:rsid w:val="5CFE5E6D"/>
    <w:rsid w:val="5D014763"/>
    <w:rsid w:val="5D071E8F"/>
    <w:rsid w:val="5D0E2082"/>
    <w:rsid w:val="5D2A5F26"/>
    <w:rsid w:val="5D2E62B6"/>
    <w:rsid w:val="5D3C4886"/>
    <w:rsid w:val="5D5B3BAC"/>
    <w:rsid w:val="5D777F13"/>
    <w:rsid w:val="5D796F8C"/>
    <w:rsid w:val="5DA64068"/>
    <w:rsid w:val="5DAC0917"/>
    <w:rsid w:val="5DBE2490"/>
    <w:rsid w:val="5DBF66BF"/>
    <w:rsid w:val="5DE52AC2"/>
    <w:rsid w:val="5E076509"/>
    <w:rsid w:val="5E111DD8"/>
    <w:rsid w:val="5E142764"/>
    <w:rsid w:val="5E146C58"/>
    <w:rsid w:val="5E205B5E"/>
    <w:rsid w:val="5E23479A"/>
    <w:rsid w:val="5E2862AF"/>
    <w:rsid w:val="5E2D6537"/>
    <w:rsid w:val="5E4156A8"/>
    <w:rsid w:val="5E59732C"/>
    <w:rsid w:val="5E61171D"/>
    <w:rsid w:val="5E6A6A5D"/>
    <w:rsid w:val="5E741206"/>
    <w:rsid w:val="5E761C8C"/>
    <w:rsid w:val="5E805317"/>
    <w:rsid w:val="5E912038"/>
    <w:rsid w:val="5E9B16F3"/>
    <w:rsid w:val="5EA507C4"/>
    <w:rsid w:val="5EBB3B43"/>
    <w:rsid w:val="5EC81F56"/>
    <w:rsid w:val="5ECD0173"/>
    <w:rsid w:val="5ED96F7D"/>
    <w:rsid w:val="5EE849AE"/>
    <w:rsid w:val="5EEC50F5"/>
    <w:rsid w:val="5EF62DCD"/>
    <w:rsid w:val="5EFB4786"/>
    <w:rsid w:val="5F0279C4"/>
    <w:rsid w:val="5F100D9E"/>
    <w:rsid w:val="5F197823"/>
    <w:rsid w:val="5F2913F5"/>
    <w:rsid w:val="5F2C29DB"/>
    <w:rsid w:val="5F2C7B97"/>
    <w:rsid w:val="5F3D0F0C"/>
    <w:rsid w:val="5F5C3A06"/>
    <w:rsid w:val="5F5D2E4C"/>
    <w:rsid w:val="5F621772"/>
    <w:rsid w:val="5F7674A3"/>
    <w:rsid w:val="5F8F662F"/>
    <w:rsid w:val="5FC336E0"/>
    <w:rsid w:val="5FC97E80"/>
    <w:rsid w:val="5FCA7682"/>
    <w:rsid w:val="5FCC6BC8"/>
    <w:rsid w:val="5FD924D3"/>
    <w:rsid w:val="5FF41B2A"/>
    <w:rsid w:val="602B5716"/>
    <w:rsid w:val="60443595"/>
    <w:rsid w:val="604916B7"/>
    <w:rsid w:val="604A61E0"/>
    <w:rsid w:val="60533368"/>
    <w:rsid w:val="60990834"/>
    <w:rsid w:val="60A05DB5"/>
    <w:rsid w:val="60C94FA1"/>
    <w:rsid w:val="60D269FA"/>
    <w:rsid w:val="60D31618"/>
    <w:rsid w:val="60F8107F"/>
    <w:rsid w:val="610028A9"/>
    <w:rsid w:val="610C623C"/>
    <w:rsid w:val="610F0E07"/>
    <w:rsid w:val="61147459"/>
    <w:rsid w:val="612C0D28"/>
    <w:rsid w:val="612D7505"/>
    <w:rsid w:val="61323E9C"/>
    <w:rsid w:val="614442C4"/>
    <w:rsid w:val="615E3140"/>
    <w:rsid w:val="61620853"/>
    <w:rsid w:val="617C09E0"/>
    <w:rsid w:val="617D6DEB"/>
    <w:rsid w:val="617E795A"/>
    <w:rsid w:val="618F19E3"/>
    <w:rsid w:val="61972646"/>
    <w:rsid w:val="61A26E5A"/>
    <w:rsid w:val="61A57282"/>
    <w:rsid w:val="61B171A4"/>
    <w:rsid w:val="61C3512C"/>
    <w:rsid w:val="620005CD"/>
    <w:rsid w:val="62005409"/>
    <w:rsid w:val="62212ECB"/>
    <w:rsid w:val="624C1D6A"/>
    <w:rsid w:val="627243E8"/>
    <w:rsid w:val="628B3C65"/>
    <w:rsid w:val="629B18D7"/>
    <w:rsid w:val="62A019CE"/>
    <w:rsid w:val="62A94E7A"/>
    <w:rsid w:val="62B35DD5"/>
    <w:rsid w:val="62B62F9F"/>
    <w:rsid w:val="62CA05DA"/>
    <w:rsid w:val="62E0626E"/>
    <w:rsid w:val="62F34AE7"/>
    <w:rsid w:val="62F7675A"/>
    <w:rsid w:val="62FC0BA9"/>
    <w:rsid w:val="630B2670"/>
    <w:rsid w:val="631657EC"/>
    <w:rsid w:val="631A638B"/>
    <w:rsid w:val="631C02E9"/>
    <w:rsid w:val="631F0134"/>
    <w:rsid w:val="632A5196"/>
    <w:rsid w:val="632A7A6A"/>
    <w:rsid w:val="635A1B7D"/>
    <w:rsid w:val="635F53E5"/>
    <w:rsid w:val="63696264"/>
    <w:rsid w:val="639A01CB"/>
    <w:rsid w:val="63B25DD3"/>
    <w:rsid w:val="63B814CF"/>
    <w:rsid w:val="63BF19E2"/>
    <w:rsid w:val="63C1623D"/>
    <w:rsid w:val="63D26423"/>
    <w:rsid w:val="63E474EC"/>
    <w:rsid w:val="641B57B0"/>
    <w:rsid w:val="64375BDD"/>
    <w:rsid w:val="6438177B"/>
    <w:rsid w:val="643B43E5"/>
    <w:rsid w:val="645B2050"/>
    <w:rsid w:val="646625F8"/>
    <w:rsid w:val="648150E8"/>
    <w:rsid w:val="648977FD"/>
    <w:rsid w:val="6496652F"/>
    <w:rsid w:val="64996492"/>
    <w:rsid w:val="64A02A3E"/>
    <w:rsid w:val="64A27FF5"/>
    <w:rsid w:val="64B56FAB"/>
    <w:rsid w:val="64BB1C88"/>
    <w:rsid w:val="650A1380"/>
    <w:rsid w:val="651200DE"/>
    <w:rsid w:val="65242AC6"/>
    <w:rsid w:val="6526074A"/>
    <w:rsid w:val="6543099A"/>
    <w:rsid w:val="65452EB8"/>
    <w:rsid w:val="654E3963"/>
    <w:rsid w:val="656211BC"/>
    <w:rsid w:val="656F3CFB"/>
    <w:rsid w:val="65820F02"/>
    <w:rsid w:val="6590505D"/>
    <w:rsid w:val="65A3544F"/>
    <w:rsid w:val="65A82FE4"/>
    <w:rsid w:val="65BB4B37"/>
    <w:rsid w:val="65BC4D50"/>
    <w:rsid w:val="65BE3D0F"/>
    <w:rsid w:val="65C15EE3"/>
    <w:rsid w:val="65C9123C"/>
    <w:rsid w:val="65D5100F"/>
    <w:rsid w:val="6605699E"/>
    <w:rsid w:val="66176055"/>
    <w:rsid w:val="662D5327"/>
    <w:rsid w:val="6638402D"/>
    <w:rsid w:val="663937A1"/>
    <w:rsid w:val="663B791F"/>
    <w:rsid w:val="66463E57"/>
    <w:rsid w:val="669453A6"/>
    <w:rsid w:val="66A31A8D"/>
    <w:rsid w:val="66D12381"/>
    <w:rsid w:val="66E005EB"/>
    <w:rsid w:val="66E96F94"/>
    <w:rsid w:val="66ED5CA8"/>
    <w:rsid w:val="66EE2ACD"/>
    <w:rsid w:val="66F86270"/>
    <w:rsid w:val="67046474"/>
    <w:rsid w:val="67224030"/>
    <w:rsid w:val="67226E55"/>
    <w:rsid w:val="67283D40"/>
    <w:rsid w:val="673B14D5"/>
    <w:rsid w:val="676864A9"/>
    <w:rsid w:val="67784079"/>
    <w:rsid w:val="677D0530"/>
    <w:rsid w:val="677F7E5F"/>
    <w:rsid w:val="67803B7C"/>
    <w:rsid w:val="678577F1"/>
    <w:rsid w:val="67A05B00"/>
    <w:rsid w:val="67AA1E73"/>
    <w:rsid w:val="67B53825"/>
    <w:rsid w:val="67C43A69"/>
    <w:rsid w:val="67CD37DA"/>
    <w:rsid w:val="67E038D8"/>
    <w:rsid w:val="68282249"/>
    <w:rsid w:val="682E551D"/>
    <w:rsid w:val="686F79F8"/>
    <w:rsid w:val="687000D4"/>
    <w:rsid w:val="687C0017"/>
    <w:rsid w:val="68CB0943"/>
    <w:rsid w:val="68D22AA5"/>
    <w:rsid w:val="68DF10A7"/>
    <w:rsid w:val="68E17599"/>
    <w:rsid w:val="68EC222A"/>
    <w:rsid w:val="68EC3231"/>
    <w:rsid w:val="68EF4B15"/>
    <w:rsid w:val="68F20581"/>
    <w:rsid w:val="69036845"/>
    <w:rsid w:val="6908273C"/>
    <w:rsid w:val="691342F2"/>
    <w:rsid w:val="691B33E9"/>
    <w:rsid w:val="692F2CA2"/>
    <w:rsid w:val="693A18E8"/>
    <w:rsid w:val="694B09D7"/>
    <w:rsid w:val="694F7BF4"/>
    <w:rsid w:val="696D6BDA"/>
    <w:rsid w:val="69813C27"/>
    <w:rsid w:val="69971E3E"/>
    <w:rsid w:val="69B61A38"/>
    <w:rsid w:val="69CA3620"/>
    <w:rsid w:val="69D2109B"/>
    <w:rsid w:val="69D836A3"/>
    <w:rsid w:val="69E202AE"/>
    <w:rsid w:val="69E93C73"/>
    <w:rsid w:val="69E95A08"/>
    <w:rsid w:val="6A087881"/>
    <w:rsid w:val="6A0960AB"/>
    <w:rsid w:val="6A14267B"/>
    <w:rsid w:val="6A157A24"/>
    <w:rsid w:val="6A261531"/>
    <w:rsid w:val="6A394C4F"/>
    <w:rsid w:val="6A540BD0"/>
    <w:rsid w:val="6A58493C"/>
    <w:rsid w:val="6A6527CF"/>
    <w:rsid w:val="6A705425"/>
    <w:rsid w:val="6A784F62"/>
    <w:rsid w:val="6A7A4AD5"/>
    <w:rsid w:val="6A883BCE"/>
    <w:rsid w:val="6A9B4BF2"/>
    <w:rsid w:val="6AA060E9"/>
    <w:rsid w:val="6AB5444C"/>
    <w:rsid w:val="6AB80537"/>
    <w:rsid w:val="6AC21BFD"/>
    <w:rsid w:val="6ACB3360"/>
    <w:rsid w:val="6AD1632C"/>
    <w:rsid w:val="6AD62934"/>
    <w:rsid w:val="6ADA35A3"/>
    <w:rsid w:val="6AF96DCC"/>
    <w:rsid w:val="6AFD7B28"/>
    <w:rsid w:val="6AFF5E92"/>
    <w:rsid w:val="6B0E47C1"/>
    <w:rsid w:val="6B20545A"/>
    <w:rsid w:val="6B39476E"/>
    <w:rsid w:val="6B545BC6"/>
    <w:rsid w:val="6B625A72"/>
    <w:rsid w:val="6B6C346D"/>
    <w:rsid w:val="6B6D7818"/>
    <w:rsid w:val="6B6E1F6C"/>
    <w:rsid w:val="6B851B40"/>
    <w:rsid w:val="6B865C96"/>
    <w:rsid w:val="6B8E01D5"/>
    <w:rsid w:val="6BAC2DC6"/>
    <w:rsid w:val="6BB57771"/>
    <w:rsid w:val="6BD12BF8"/>
    <w:rsid w:val="6BDA567D"/>
    <w:rsid w:val="6BE516A9"/>
    <w:rsid w:val="6BEF1BCA"/>
    <w:rsid w:val="6BFA2B20"/>
    <w:rsid w:val="6BFD579B"/>
    <w:rsid w:val="6C0819A5"/>
    <w:rsid w:val="6C0B576B"/>
    <w:rsid w:val="6C201A9D"/>
    <w:rsid w:val="6C223D2D"/>
    <w:rsid w:val="6C4F5E96"/>
    <w:rsid w:val="6C5F32E0"/>
    <w:rsid w:val="6C6E149A"/>
    <w:rsid w:val="6C7A4CF6"/>
    <w:rsid w:val="6C817148"/>
    <w:rsid w:val="6C871509"/>
    <w:rsid w:val="6C8A73DF"/>
    <w:rsid w:val="6C97799E"/>
    <w:rsid w:val="6CA57828"/>
    <w:rsid w:val="6CAE4B9D"/>
    <w:rsid w:val="6CDC4A3E"/>
    <w:rsid w:val="6CED392A"/>
    <w:rsid w:val="6CF748E0"/>
    <w:rsid w:val="6CFA2EB6"/>
    <w:rsid w:val="6CFE17CB"/>
    <w:rsid w:val="6D122A9D"/>
    <w:rsid w:val="6D2A1EEE"/>
    <w:rsid w:val="6D430D78"/>
    <w:rsid w:val="6D484DC7"/>
    <w:rsid w:val="6D5A3630"/>
    <w:rsid w:val="6D6261FE"/>
    <w:rsid w:val="6D727724"/>
    <w:rsid w:val="6D7432CE"/>
    <w:rsid w:val="6D94485C"/>
    <w:rsid w:val="6D951C7B"/>
    <w:rsid w:val="6D972743"/>
    <w:rsid w:val="6D995997"/>
    <w:rsid w:val="6DB91B96"/>
    <w:rsid w:val="6DCA0E46"/>
    <w:rsid w:val="6DCB6D93"/>
    <w:rsid w:val="6DCC4EC9"/>
    <w:rsid w:val="6DD15131"/>
    <w:rsid w:val="6DD54C21"/>
    <w:rsid w:val="6DEE76F9"/>
    <w:rsid w:val="6DF217A3"/>
    <w:rsid w:val="6E01372E"/>
    <w:rsid w:val="6E032E11"/>
    <w:rsid w:val="6E166FE8"/>
    <w:rsid w:val="6E2A1B0A"/>
    <w:rsid w:val="6E3B6705"/>
    <w:rsid w:val="6E3F5CED"/>
    <w:rsid w:val="6E440488"/>
    <w:rsid w:val="6E680EDE"/>
    <w:rsid w:val="6E9C6DE4"/>
    <w:rsid w:val="6EA319F4"/>
    <w:rsid w:val="6EC9405A"/>
    <w:rsid w:val="6ECD50B4"/>
    <w:rsid w:val="6ED529FF"/>
    <w:rsid w:val="6EDA7AD8"/>
    <w:rsid w:val="6EE759A0"/>
    <w:rsid w:val="6EE8132F"/>
    <w:rsid w:val="6EF51DC8"/>
    <w:rsid w:val="6F181CB6"/>
    <w:rsid w:val="6F2179F2"/>
    <w:rsid w:val="6F265BB8"/>
    <w:rsid w:val="6F51258B"/>
    <w:rsid w:val="6F574919"/>
    <w:rsid w:val="6F9E24D7"/>
    <w:rsid w:val="6FA61FB9"/>
    <w:rsid w:val="6FD54A1D"/>
    <w:rsid w:val="6FDC1B6B"/>
    <w:rsid w:val="6FE32EFA"/>
    <w:rsid w:val="6FE37D6C"/>
    <w:rsid w:val="70026D62"/>
    <w:rsid w:val="70086925"/>
    <w:rsid w:val="70141305"/>
    <w:rsid w:val="701A6763"/>
    <w:rsid w:val="70452217"/>
    <w:rsid w:val="70542910"/>
    <w:rsid w:val="70694486"/>
    <w:rsid w:val="706A1C81"/>
    <w:rsid w:val="706B5913"/>
    <w:rsid w:val="707E3A8B"/>
    <w:rsid w:val="708139E6"/>
    <w:rsid w:val="70A7175B"/>
    <w:rsid w:val="70A94B5F"/>
    <w:rsid w:val="70B17CF0"/>
    <w:rsid w:val="70B95769"/>
    <w:rsid w:val="70D80585"/>
    <w:rsid w:val="710D09A5"/>
    <w:rsid w:val="711A11DF"/>
    <w:rsid w:val="711B3AA4"/>
    <w:rsid w:val="71237A52"/>
    <w:rsid w:val="71265794"/>
    <w:rsid w:val="712F289B"/>
    <w:rsid w:val="715A0486"/>
    <w:rsid w:val="715B3C16"/>
    <w:rsid w:val="71666557"/>
    <w:rsid w:val="718129CA"/>
    <w:rsid w:val="718C1D75"/>
    <w:rsid w:val="71A32941"/>
    <w:rsid w:val="71AB7A47"/>
    <w:rsid w:val="71AE1A13"/>
    <w:rsid w:val="71CF18EF"/>
    <w:rsid w:val="71E1584A"/>
    <w:rsid w:val="71EB5458"/>
    <w:rsid w:val="71F569FA"/>
    <w:rsid w:val="7219208E"/>
    <w:rsid w:val="721E0247"/>
    <w:rsid w:val="722B2677"/>
    <w:rsid w:val="72372540"/>
    <w:rsid w:val="72456CFC"/>
    <w:rsid w:val="724D0268"/>
    <w:rsid w:val="725825AD"/>
    <w:rsid w:val="726C33BA"/>
    <w:rsid w:val="72704BC3"/>
    <w:rsid w:val="72750781"/>
    <w:rsid w:val="72754BF7"/>
    <w:rsid w:val="72863C8D"/>
    <w:rsid w:val="72991533"/>
    <w:rsid w:val="729A3D1D"/>
    <w:rsid w:val="72A72C32"/>
    <w:rsid w:val="72AA0928"/>
    <w:rsid w:val="72BF1755"/>
    <w:rsid w:val="72D74F98"/>
    <w:rsid w:val="72DD0D12"/>
    <w:rsid w:val="72F73CCB"/>
    <w:rsid w:val="73013DC3"/>
    <w:rsid w:val="73094A59"/>
    <w:rsid w:val="731238A7"/>
    <w:rsid w:val="73294153"/>
    <w:rsid w:val="733309F1"/>
    <w:rsid w:val="734E2F66"/>
    <w:rsid w:val="73740A39"/>
    <w:rsid w:val="73797A17"/>
    <w:rsid w:val="738D1C3F"/>
    <w:rsid w:val="73912327"/>
    <w:rsid w:val="73956937"/>
    <w:rsid w:val="739B6222"/>
    <w:rsid w:val="73A330CC"/>
    <w:rsid w:val="73AF302F"/>
    <w:rsid w:val="73BB5D93"/>
    <w:rsid w:val="73BC23E0"/>
    <w:rsid w:val="73E223BE"/>
    <w:rsid w:val="73F87800"/>
    <w:rsid w:val="7422448F"/>
    <w:rsid w:val="742B75D7"/>
    <w:rsid w:val="745659F8"/>
    <w:rsid w:val="74577AC4"/>
    <w:rsid w:val="74737753"/>
    <w:rsid w:val="7476418B"/>
    <w:rsid w:val="74B3733F"/>
    <w:rsid w:val="74B403DF"/>
    <w:rsid w:val="74E37802"/>
    <w:rsid w:val="74E87EB8"/>
    <w:rsid w:val="74F617E9"/>
    <w:rsid w:val="74FB3CFB"/>
    <w:rsid w:val="7500170B"/>
    <w:rsid w:val="750F0DF9"/>
    <w:rsid w:val="7517036C"/>
    <w:rsid w:val="75265D63"/>
    <w:rsid w:val="752E4723"/>
    <w:rsid w:val="75363ACC"/>
    <w:rsid w:val="754C642B"/>
    <w:rsid w:val="75703482"/>
    <w:rsid w:val="757A0E05"/>
    <w:rsid w:val="75944DE4"/>
    <w:rsid w:val="75AD76A9"/>
    <w:rsid w:val="75E2743C"/>
    <w:rsid w:val="760616F0"/>
    <w:rsid w:val="760B4F58"/>
    <w:rsid w:val="7625601A"/>
    <w:rsid w:val="764475E9"/>
    <w:rsid w:val="76541AEC"/>
    <w:rsid w:val="76746FA2"/>
    <w:rsid w:val="76747B20"/>
    <w:rsid w:val="767B3E8C"/>
    <w:rsid w:val="768865A9"/>
    <w:rsid w:val="76903064"/>
    <w:rsid w:val="769B62DC"/>
    <w:rsid w:val="76AB61C2"/>
    <w:rsid w:val="76B949B4"/>
    <w:rsid w:val="76C87743"/>
    <w:rsid w:val="76D1554E"/>
    <w:rsid w:val="76D96E05"/>
    <w:rsid w:val="76F31220"/>
    <w:rsid w:val="770A5210"/>
    <w:rsid w:val="770C0616"/>
    <w:rsid w:val="77635EC0"/>
    <w:rsid w:val="777F0934"/>
    <w:rsid w:val="77894882"/>
    <w:rsid w:val="778E46E3"/>
    <w:rsid w:val="7799050D"/>
    <w:rsid w:val="77A309CF"/>
    <w:rsid w:val="77AA7803"/>
    <w:rsid w:val="77B27D81"/>
    <w:rsid w:val="77C63C80"/>
    <w:rsid w:val="77F22D66"/>
    <w:rsid w:val="77F550DF"/>
    <w:rsid w:val="77FE4D75"/>
    <w:rsid w:val="783E7562"/>
    <w:rsid w:val="78446229"/>
    <w:rsid w:val="78507435"/>
    <w:rsid w:val="786A240A"/>
    <w:rsid w:val="78895FCC"/>
    <w:rsid w:val="78906A4D"/>
    <w:rsid w:val="789A2C90"/>
    <w:rsid w:val="78B034BF"/>
    <w:rsid w:val="78B10718"/>
    <w:rsid w:val="78C977DD"/>
    <w:rsid w:val="7904460D"/>
    <w:rsid w:val="790A599B"/>
    <w:rsid w:val="79201071"/>
    <w:rsid w:val="79210D82"/>
    <w:rsid w:val="7925057F"/>
    <w:rsid w:val="793B3DA7"/>
    <w:rsid w:val="79415ED0"/>
    <w:rsid w:val="794604A2"/>
    <w:rsid w:val="7947668F"/>
    <w:rsid w:val="79581057"/>
    <w:rsid w:val="795C46D4"/>
    <w:rsid w:val="796A027A"/>
    <w:rsid w:val="79770648"/>
    <w:rsid w:val="799D236B"/>
    <w:rsid w:val="799D4583"/>
    <w:rsid w:val="79C6602A"/>
    <w:rsid w:val="79CD4065"/>
    <w:rsid w:val="79CD6A55"/>
    <w:rsid w:val="79D556BA"/>
    <w:rsid w:val="79DF4732"/>
    <w:rsid w:val="79E50A3B"/>
    <w:rsid w:val="79F46B0F"/>
    <w:rsid w:val="7A102B3D"/>
    <w:rsid w:val="7A117820"/>
    <w:rsid w:val="7A2C6EC4"/>
    <w:rsid w:val="7A2F328D"/>
    <w:rsid w:val="7A3B32FC"/>
    <w:rsid w:val="7A670F08"/>
    <w:rsid w:val="7A6A6FBD"/>
    <w:rsid w:val="7A7E41A0"/>
    <w:rsid w:val="7A8C7BDA"/>
    <w:rsid w:val="7A8E221F"/>
    <w:rsid w:val="7AA556D5"/>
    <w:rsid w:val="7AA7768D"/>
    <w:rsid w:val="7AB75B3B"/>
    <w:rsid w:val="7AB83901"/>
    <w:rsid w:val="7AD718AD"/>
    <w:rsid w:val="7ADD5362"/>
    <w:rsid w:val="7AE53FCA"/>
    <w:rsid w:val="7AF64429"/>
    <w:rsid w:val="7B031384"/>
    <w:rsid w:val="7B2B35FA"/>
    <w:rsid w:val="7B347498"/>
    <w:rsid w:val="7B381462"/>
    <w:rsid w:val="7B492952"/>
    <w:rsid w:val="7B566DD8"/>
    <w:rsid w:val="7B7F7411"/>
    <w:rsid w:val="7B8C6B3B"/>
    <w:rsid w:val="7BA824DD"/>
    <w:rsid w:val="7BB91A5D"/>
    <w:rsid w:val="7BC34038"/>
    <w:rsid w:val="7BD2278A"/>
    <w:rsid w:val="7BF74FFF"/>
    <w:rsid w:val="7C07400A"/>
    <w:rsid w:val="7C08480D"/>
    <w:rsid w:val="7C093CE8"/>
    <w:rsid w:val="7C105077"/>
    <w:rsid w:val="7C163A3E"/>
    <w:rsid w:val="7C175103"/>
    <w:rsid w:val="7C2E19FD"/>
    <w:rsid w:val="7C350F81"/>
    <w:rsid w:val="7C451D9E"/>
    <w:rsid w:val="7C4F5D32"/>
    <w:rsid w:val="7C502CD7"/>
    <w:rsid w:val="7C625655"/>
    <w:rsid w:val="7C673E34"/>
    <w:rsid w:val="7C73245A"/>
    <w:rsid w:val="7C8810B1"/>
    <w:rsid w:val="7C8960B8"/>
    <w:rsid w:val="7CA12173"/>
    <w:rsid w:val="7CBB152F"/>
    <w:rsid w:val="7CC243DD"/>
    <w:rsid w:val="7CD75274"/>
    <w:rsid w:val="7CDB4696"/>
    <w:rsid w:val="7CE23451"/>
    <w:rsid w:val="7CEB1955"/>
    <w:rsid w:val="7CF231AB"/>
    <w:rsid w:val="7CF364F7"/>
    <w:rsid w:val="7D4A45B8"/>
    <w:rsid w:val="7D4E40A8"/>
    <w:rsid w:val="7D4F45A7"/>
    <w:rsid w:val="7D611689"/>
    <w:rsid w:val="7D67042A"/>
    <w:rsid w:val="7D6B22CE"/>
    <w:rsid w:val="7D6B6A43"/>
    <w:rsid w:val="7D72619C"/>
    <w:rsid w:val="7D7D673C"/>
    <w:rsid w:val="7D8D351D"/>
    <w:rsid w:val="7DB51EBA"/>
    <w:rsid w:val="7DBD5ADF"/>
    <w:rsid w:val="7DF20BD1"/>
    <w:rsid w:val="7DF612ED"/>
    <w:rsid w:val="7E0D3A76"/>
    <w:rsid w:val="7E2748F9"/>
    <w:rsid w:val="7E3A287F"/>
    <w:rsid w:val="7E4B4A8C"/>
    <w:rsid w:val="7E59144B"/>
    <w:rsid w:val="7E5C217D"/>
    <w:rsid w:val="7E677546"/>
    <w:rsid w:val="7E6A2537"/>
    <w:rsid w:val="7E6C1030"/>
    <w:rsid w:val="7E7B37EB"/>
    <w:rsid w:val="7E9B63FC"/>
    <w:rsid w:val="7EB636B5"/>
    <w:rsid w:val="7EC0346F"/>
    <w:rsid w:val="7EDD1836"/>
    <w:rsid w:val="7EEA1BAF"/>
    <w:rsid w:val="7EF7561A"/>
    <w:rsid w:val="7EF873B3"/>
    <w:rsid w:val="7F064B90"/>
    <w:rsid w:val="7F21759B"/>
    <w:rsid w:val="7F221B2F"/>
    <w:rsid w:val="7F373EC3"/>
    <w:rsid w:val="7F5E4DB5"/>
    <w:rsid w:val="7F6A7B18"/>
    <w:rsid w:val="7FBE735C"/>
    <w:rsid w:val="7FD9758F"/>
    <w:rsid w:val="7FED23BF"/>
    <w:rsid w:val="7FF015C4"/>
    <w:rsid w:val="7FF40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0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9"/>
    <w:autoRedefine/>
    <w:qFormat/>
    <w:uiPriority w:val="0"/>
    <w:pPr>
      <w:keepNext/>
      <w:jc w:val="center"/>
      <w:outlineLvl w:val="0"/>
    </w:pPr>
    <w:rPr>
      <w:rFonts w:asciiTheme="majorEastAsia" w:hAnsiTheme="majorEastAsia" w:eastAsiaTheme="majorEastAsia" w:cstheme="majorEastAsia"/>
      <w:b/>
      <w:bCs/>
      <w:sz w:val="32"/>
      <w:szCs w:val="32"/>
    </w:rPr>
  </w:style>
  <w:style w:type="paragraph" w:styleId="3">
    <w:name w:val="heading 2"/>
    <w:basedOn w:val="1"/>
    <w:next w:val="1"/>
    <w:link w:val="65"/>
    <w:autoRedefine/>
    <w:qFormat/>
    <w:uiPriority w:val="0"/>
    <w:pPr>
      <w:keepNext/>
      <w:keepLines/>
      <w:spacing w:line="360" w:lineRule="auto"/>
      <w:outlineLvl w:val="1"/>
    </w:pPr>
    <w:rPr>
      <w:rFonts w:ascii="Arial" w:hAnsi="Arial"/>
      <w:b/>
      <w:bCs/>
      <w:szCs w:val="32"/>
    </w:rPr>
  </w:style>
  <w:style w:type="paragraph" w:styleId="4">
    <w:name w:val="heading 3"/>
    <w:basedOn w:val="1"/>
    <w:next w:val="1"/>
    <w:link w:val="7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7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2"/>
    <w:autoRedefine/>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73"/>
    <w:autoRedefine/>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74"/>
    <w:autoRedefine/>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75"/>
    <w:autoRedefine/>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76"/>
    <w:autoRedefine/>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table of authorities"/>
    <w:basedOn w:val="1"/>
    <w:next w:val="1"/>
    <w:autoRedefine/>
    <w:unhideWhenUsed/>
    <w:qFormat/>
    <w:uiPriority w:val="99"/>
    <w:pPr>
      <w:ind w:left="420" w:leftChars="200"/>
    </w:pPr>
  </w:style>
  <w:style w:type="paragraph" w:styleId="13">
    <w:name w:val="Normal Indent"/>
    <w:basedOn w:val="1"/>
    <w:next w:val="14"/>
    <w:autoRedefine/>
    <w:qFormat/>
    <w:uiPriority w:val="0"/>
    <w:pPr>
      <w:widowControl/>
      <w:ind w:firstLine="420"/>
      <w:jc w:val="left"/>
    </w:pPr>
    <w:rPr>
      <w:kern w:val="0"/>
      <w:sz w:val="20"/>
      <w:szCs w:val="20"/>
    </w:rPr>
  </w:style>
  <w:style w:type="paragraph" w:customStyle="1" w:styleId="1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5">
    <w:name w:val="Document Map"/>
    <w:basedOn w:val="1"/>
    <w:autoRedefine/>
    <w:semiHidden/>
    <w:qFormat/>
    <w:uiPriority w:val="0"/>
    <w:pPr>
      <w:shd w:val="clear" w:color="auto" w:fill="000080"/>
    </w:pPr>
  </w:style>
  <w:style w:type="paragraph" w:styleId="16">
    <w:name w:val="annotation text"/>
    <w:basedOn w:val="1"/>
    <w:next w:val="1"/>
    <w:link w:val="77"/>
    <w:autoRedefine/>
    <w:semiHidden/>
    <w:qFormat/>
    <w:uiPriority w:val="0"/>
    <w:pPr>
      <w:jc w:val="left"/>
    </w:pPr>
  </w:style>
  <w:style w:type="paragraph" w:styleId="17">
    <w:name w:val="Salutation"/>
    <w:basedOn w:val="1"/>
    <w:next w:val="1"/>
    <w:autoRedefine/>
    <w:qFormat/>
    <w:uiPriority w:val="0"/>
    <w:rPr>
      <w:rFonts w:ascii="仿宋_GB2312" w:eastAsia="仿宋_GB2312"/>
      <w:sz w:val="24"/>
    </w:rPr>
  </w:style>
  <w:style w:type="paragraph" w:styleId="18">
    <w:name w:val="Body Text 3"/>
    <w:basedOn w:val="1"/>
    <w:autoRedefine/>
    <w:qFormat/>
    <w:uiPriority w:val="0"/>
    <w:pPr>
      <w:autoSpaceDE w:val="0"/>
      <w:autoSpaceDN w:val="0"/>
      <w:adjustRightInd w:val="0"/>
      <w:spacing w:line="410" w:lineRule="atLeast"/>
      <w:jc w:val="left"/>
    </w:pPr>
    <w:rPr>
      <w:rFonts w:ascii="宋体"/>
      <w:color w:val="000000"/>
      <w:kern w:val="0"/>
      <w:sz w:val="24"/>
      <w:szCs w:val="20"/>
    </w:rPr>
  </w:style>
  <w:style w:type="paragraph" w:styleId="19">
    <w:name w:val="Body Text"/>
    <w:basedOn w:val="1"/>
    <w:next w:val="1"/>
    <w:autoRedefine/>
    <w:qFormat/>
    <w:uiPriority w:val="0"/>
    <w:pPr>
      <w:spacing w:after="120"/>
    </w:pPr>
  </w:style>
  <w:style w:type="paragraph" w:styleId="20">
    <w:name w:val="Body Text Indent"/>
    <w:basedOn w:val="1"/>
    <w:next w:val="21"/>
    <w:link w:val="68"/>
    <w:autoRedefine/>
    <w:qFormat/>
    <w:uiPriority w:val="0"/>
    <w:pPr>
      <w:spacing w:after="120"/>
      <w:ind w:left="420" w:leftChars="200"/>
    </w:pPr>
  </w:style>
  <w:style w:type="paragraph" w:styleId="21">
    <w:name w:val="Body Text Indent 2"/>
    <w:basedOn w:val="1"/>
    <w:next w:val="1"/>
    <w:autoRedefine/>
    <w:qFormat/>
    <w:uiPriority w:val="0"/>
    <w:pPr>
      <w:spacing w:after="120" w:line="480" w:lineRule="auto"/>
      <w:ind w:left="420" w:leftChars="200"/>
    </w:pPr>
  </w:style>
  <w:style w:type="paragraph" w:styleId="22">
    <w:name w:val="Block Text"/>
    <w:basedOn w:val="1"/>
    <w:autoRedefine/>
    <w:qFormat/>
    <w:uiPriority w:val="0"/>
    <w:pPr>
      <w:ind w:left="1171" w:right="91" w:hanging="1080"/>
    </w:pPr>
    <w:rPr>
      <w:rFonts w:eastAsia="楷体_GB2312"/>
      <w:szCs w:val="20"/>
    </w:rPr>
  </w:style>
  <w:style w:type="paragraph" w:styleId="23">
    <w:name w:val="toc 5"/>
    <w:basedOn w:val="1"/>
    <w:next w:val="1"/>
    <w:autoRedefine/>
    <w:qFormat/>
    <w:uiPriority w:val="0"/>
    <w:pPr>
      <w:ind w:left="1680" w:leftChars="800"/>
    </w:pPr>
    <w:rPr>
      <w:rFonts w:ascii="Calibri" w:hAnsi="Calibri"/>
      <w:szCs w:val="22"/>
    </w:rPr>
  </w:style>
  <w:style w:type="paragraph" w:styleId="24">
    <w:name w:val="toc 3"/>
    <w:basedOn w:val="1"/>
    <w:next w:val="1"/>
    <w:autoRedefine/>
    <w:qFormat/>
    <w:uiPriority w:val="0"/>
    <w:pPr>
      <w:ind w:left="840" w:leftChars="400"/>
    </w:pPr>
  </w:style>
  <w:style w:type="paragraph" w:styleId="25">
    <w:name w:val="Plain Text"/>
    <w:basedOn w:val="1"/>
    <w:next w:val="1"/>
    <w:link w:val="78"/>
    <w:autoRedefine/>
    <w:qFormat/>
    <w:uiPriority w:val="0"/>
    <w:rPr>
      <w:rFonts w:ascii="宋体" w:hAnsi="Courier New" w:cs="Courier New"/>
      <w:szCs w:val="21"/>
    </w:rPr>
  </w:style>
  <w:style w:type="paragraph" w:styleId="26">
    <w:name w:val="toc 8"/>
    <w:basedOn w:val="1"/>
    <w:next w:val="1"/>
    <w:autoRedefine/>
    <w:qFormat/>
    <w:uiPriority w:val="0"/>
    <w:pPr>
      <w:ind w:left="2940" w:leftChars="1400"/>
    </w:pPr>
    <w:rPr>
      <w:rFonts w:ascii="Calibri" w:hAnsi="Calibri"/>
      <w:szCs w:val="22"/>
    </w:rPr>
  </w:style>
  <w:style w:type="paragraph" w:styleId="27">
    <w:name w:val="Date"/>
    <w:basedOn w:val="1"/>
    <w:next w:val="1"/>
    <w:link w:val="79"/>
    <w:autoRedefine/>
    <w:qFormat/>
    <w:uiPriority w:val="0"/>
    <w:rPr>
      <w:sz w:val="24"/>
      <w:szCs w:val="20"/>
    </w:rPr>
  </w:style>
  <w:style w:type="paragraph" w:styleId="28">
    <w:name w:val="Balloon Text"/>
    <w:basedOn w:val="1"/>
    <w:link w:val="80"/>
    <w:autoRedefine/>
    <w:qFormat/>
    <w:uiPriority w:val="0"/>
    <w:rPr>
      <w:rFonts w:ascii="Calibri" w:hAnsi="Calibri"/>
      <w:sz w:val="18"/>
      <w:szCs w:val="18"/>
    </w:rPr>
  </w:style>
  <w:style w:type="paragraph" w:styleId="29">
    <w:name w:val="footer"/>
    <w:basedOn w:val="1"/>
    <w:link w:val="81"/>
    <w:autoRedefine/>
    <w:qFormat/>
    <w:uiPriority w:val="0"/>
    <w:pPr>
      <w:tabs>
        <w:tab w:val="center" w:pos="4153"/>
        <w:tab w:val="right" w:pos="8306"/>
      </w:tabs>
      <w:snapToGrid w:val="0"/>
      <w:jc w:val="left"/>
    </w:pPr>
    <w:rPr>
      <w:sz w:val="18"/>
      <w:szCs w:val="18"/>
    </w:rPr>
  </w:style>
  <w:style w:type="paragraph" w:styleId="30">
    <w:name w:val="envelope return"/>
    <w:basedOn w:val="1"/>
    <w:autoRedefine/>
    <w:unhideWhenUsed/>
    <w:qFormat/>
    <w:uiPriority w:val="99"/>
    <w:pPr>
      <w:snapToGrid w:val="0"/>
    </w:pPr>
    <w:rPr>
      <w:rFonts w:hint="eastAsia" w:ascii="Arial" w:hAnsi="Arial"/>
    </w:rPr>
  </w:style>
  <w:style w:type="paragraph" w:styleId="31">
    <w:name w:val="header"/>
    <w:basedOn w:val="1"/>
    <w:link w:val="8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0"/>
  </w:style>
  <w:style w:type="paragraph" w:styleId="33">
    <w:name w:val="toc 4"/>
    <w:basedOn w:val="1"/>
    <w:next w:val="1"/>
    <w:autoRedefine/>
    <w:qFormat/>
    <w:uiPriority w:val="0"/>
    <w:pPr>
      <w:ind w:left="1260" w:leftChars="600"/>
    </w:pPr>
  </w:style>
  <w:style w:type="paragraph" w:styleId="34">
    <w:name w:val="toc 6"/>
    <w:basedOn w:val="1"/>
    <w:next w:val="1"/>
    <w:autoRedefine/>
    <w:qFormat/>
    <w:uiPriority w:val="0"/>
    <w:pPr>
      <w:ind w:left="2100" w:leftChars="1000"/>
    </w:pPr>
    <w:rPr>
      <w:rFonts w:ascii="Calibri" w:hAnsi="Calibri"/>
      <w:szCs w:val="22"/>
    </w:rPr>
  </w:style>
  <w:style w:type="paragraph" w:styleId="35">
    <w:name w:val="Body Text Indent 3"/>
    <w:basedOn w:val="1"/>
    <w:link w:val="83"/>
    <w:autoRedefine/>
    <w:qFormat/>
    <w:uiPriority w:val="0"/>
    <w:pPr>
      <w:spacing w:after="120"/>
      <w:ind w:left="420" w:leftChars="200"/>
    </w:pPr>
    <w:rPr>
      <w:sz w:val="16"/>
      <w:szCs w:val="16"/>
    </w:rPr>
  </w:style>
  <w:style w:type="paragraph" w:styleId="36">
    <w:name w:val="toc 2"/>
    <w:basedOn w:val="1"/>
    <w:next w:val="1"/>
    <w:autoRedefine/>
    <w:qFormat/>
    <w:uiPriority w:val="0"/>
    <w:pPr>
      <w:ind w:left="420" w:leftChars="200"/>
    </w:pPr>
  </w:style>
  <w:style w:type="paragraph" w:styleId="37">
    <w:name w:val="toc 9"/>
    <w:basedOn w:val="1"/>
    <w:next w:val="1"/>
    <w:autoRedefine/>
    <w:qFormat/>
    <w:uiPriority w:val="0"/>
    <w:pPr>
      <w:ind w:left="3360" w:leftChars="1600"/>
    </w:pPr>
    <w:rPr>
      <w:rFonts w:ascii="Calibri" w:hAnsi="Calibri"/>
      <w:szCs w:val="22"/>
    </w:rPr>
  </w:style>
  <w:style w:type="paragraph" w:styleId="38">
    <w:name w:val="Body Text 2"/>
    <w:basedOn w:val="1"/>
    <w:autoRedefine/>
    <w:qFormat/>
    <w:uiPriority w:val="0"/>
    <w:pPr>
      <w:spacing w:after="120" w:line="480" w:lineRule="auto"/>
    </w:pPr>
  </w:style>
  <w:style w:type="paragraph" w:styleId="39">
    <w:name w:val="HTML Preformatted"/>
    <w:basedOn w:val="1"/>
    <w:link w:val="8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0">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41">
    <w:name w:val="index 1"/>
    <w:basedOn w:val="1"/>
    <w:next w:val="1"/>
    <w:autoRedefine/>
    <w:qFormat/>
    <w:uiPriority w:val="0"/>
    <w:pPr>
      <w:spacing w:line="220" w:lineRule="exact"/>
      <w:jc w:val="center"/>
    </w:pPr>
    <w:rPr>
      <w:rFonts w:ascii="仿宋_GB2312" w:eastAsia="仿宋_GB2312"/>
      <w:szCs w:val="20"/>
    </w:rPr>
  </w:style>
  <w:style w:type="paragraph" w:styleId="42">
    <w:name w:val="Title"/>
    <w:basedOn w:val="1"/>
    <w:next w:val="1"/>
    <w:autoRedefine/>
    <w:qFormat/>
    <w:uiPriority w:val="0"/>
    <w:pPr>
      <w:spacing w:before="240" w:after="60"/>
      <w:jc w:val="center"/>
      <w:outlineLvl w:val="0"/>
    </w:pPr>
    <w:rPr>
      <w:rFonts w:ascii="Cambria" w:hAnsi="Cambria"/>
      <w:b/>
      <w:sz w:val="32"/>
    </w:rPr>
  </w:style>
  <w:style w:type="paragraph" w:styleId="43">
    <w:name w:val="annotation subject"/>
    <w:basedOn w:val="16"/>
    <w:next w:val="16"/>
    <w:link w:val="85"/>
    <w:autoRedefine/>
    <w:qFormat/>
    <w:uiPriority w:val="0"/>
    <w:rPr>
      <w:b/>
      <w:bCs/>
    </w:rPr>
  </w:style>
  <w:style w:type="paragraph" w:styleId="44">
    <w:name w:val="Body Text First Indent"/>
    <w:basedOn w:val="19"/>
    <w:autoRedefine/>
    <w:qFormat/>
    <w:uiPriority w:val="0"/>
    <w:pPr>
      <w:autoSpaceDE w:val="0"/>
      <w:autoSpaceDN w:val="0"/>
      <w:adjustRightInd w:val="0"/>
      <w:spacing w:before="72" w:after="48" w:line="306" w:lineRule="exact"/>
      <w:ind w:firstLine="454" w:firstLineChars="200"/>
      <w:jc w:val="left"/>
    </w:pPr>
    <w:rPr>
      <w:sz w:val="24"/>
    </w:rPr>
  </w:style>
  <w:style w:type="paragraph" w:styleId="45">
    <w:name w:val="Body Text First Indent 2"/>
    <w:basedOn w:val="20"/>
    <w:next w:val="13"/>
    <w:autoRedefine/>
    <w:qFormat/>
    <w:uiPriority w:val="0"/>
    <w:pPr>
      <w:ind w:firstLine="420" w:firstLineChars="200"/>
    </w:pPr>
  </w:style>
  <w:style w:type="table" w:styleId="47">
    <w:name w:val="Table Grid"/>
    <w:basedOn w:val="4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Strong"/>
    <w:autoRedefine/>
    <w:qFormat/>
    <w:uiPriority w:val="0"/>
    <w:rPr>
      <w:b/>
      <w:bCs/>
    </w:rPr>
  </w:style>
  <w:style w:type="character" w:styleId="50">
    <w:name w:val="page number"/>
    <w:autoRedefine/>
    <w:qFormat/>
    <w:uiPriority w:val="0"/>
  </w:style>
  <w:style w:type="character" w:styleId="51">
    <w:name w:val="FollowedHyperlink"/>
    <w:autoRedefine/>
    <w:qFormat/>
    <w:uiPriority w:val="0"/>
    <w:rPr>
      <w:color w:val="252525"/>
      <w:u w:val="none"/>
    </w:rPr>
  </w:style>
  <w:style w:type="character" w:styleId="52">
    <w:name w:val="Emphasis"/>
    <w:autoRedefine/>
    <w:qFormat/>
    <w:uiPriority w:val="0"/>
    <w:rPr>
      <w:rFonts w:ascii="Times New Roman" w:hAnsi="Times New Roman" w:eastAsia="宋体"/>
    </w:rPr>
  </w:style>
  <w:style w:type="character" w:styleId="53">
    <w:name w:val="HTML Definition"/>
    <w:autoRedefine/>
    <w:qFormat/>
    <w:uiPriority w:val="0"/>
    <w:rPr>
      <w:rFonts w:ascii="Times New Roman" w:hAnsi="Times New Roman" w:eastAsia="宋体"/>
    </w:rPr>
  </w:style>
  <w:style w:type="character" w:styleId="54">
    <w:name w:val="HTML Variable"/>
    <w:autoRedefine/>
    <w:qFormat/>
    <w:uiPriority w:val="0"/>
    <w:rPr>
      <w:rFonts w:ascii="Times New Roman" w:hAnsi="Times New Roman" w:eastAsia="宋体"/>
    </w:rPr>
  </w:style>
  <w:style w:type="character" w:styleId="55">
    <w:name w:val="Hyperlink"/>
    <w:autoRedefine/>
    <w:qFormat/>
    <w:uiPriority w:val="0"/>
    <w:rPr>
      <w:color w:val="136EC2"/>
      <w:u w:val="single"/>
    </w:rPr>
  </w:style>
  <w:style w:type="character" w:styleId="56">
    <w:name w:val="HTML Code"/>
    <w:autoRedefine/>
    <w:qFormat/>
    <w:uiPriority w:val="0"/>
    <w:rPr>
      <w:rFonts w:ascii="Courier New" w:hAnsi="Courier New" w:eastAsia="Courier New" w:cs="Courier New"/>
      <w:sz w:val="20"/>
    </w:rPr>
  </w:style>
  <w:style w:type="character" w:styleId="57">
    <w:name w:val="annotation reference"/>
    <w:autoRedefine/>
    <w:qFormat/>
    <w:uiPriority w:val="0"/>
    <w:rPr>
      <w:sz w:val="21"/>
      <w:szCs w:val="21"/>
    </w:rPr>
  </w:style>
  <w:style w:type="character" w:styleId="58">
    <w:name w:val="HTML Cite"/>
    <w:autoRedefine/>
    <w:qFormat/>
    <w:uiPriority w:val="0"/>
    <w:rPr>
      <w:rFonts w:ascii="Times New Roman" w:hAnsi="Times New Roman" w:eastAsia="宋体"/>
    </w:rPr>
  </w:style>
  <w:style w:type="character" w:styleId="59">
    <w:name w:val="HTML Keyboard"/>
    <w:autoRedefine/>
    <w:qFormat/>
    <w:uiPriority w:val="0"/>
    <w:rPr>
      <w:rFonts w:ascii="Courier New" w:hAnsi="Courier New" w:eastAsia="Courier New" w:cs="Courier New"/>
      <w:sz w:val="20"/>
    </w:rPr>
  </w:style>
  <w:style w:type="character" w:styleId="60">
    <w:name w:val="HTML Sample"/>
    <w:autoRedefine/>
    <w:qFormat/>
    <w:uiPriority w:val="0"/>
    <w:rPr>
      <w:rFonts w:ascii="Courier New" w:hAnsi="Courier New" w:eastAsia="Courier New" w:cs="Courier New"/>
    </w:rPr>
  </w:style>
  <w:style w:type="paragraph" w:customStyle="1" w:styleId="61">
    <w:name w:val="列出段落1"/>
    <w:basedOn w:val="62"/>
    <w:autoRedefine/>
    <w:qFormat/>
    <w:uiPriority w:val="0"/>
    <w:pPr>
      <w:ind w:firstLine="420" w:firstLineChars="200"/>
    </w:pPr>
    <w:rPr>
      <w:rFonts w:ascii="Calibri" w:hAnsi="Calibri"/>
      <w:szCs w:val="22"/>
    </w:rPr>
  </w:style>
  <w:style w:type="paragraph" w:customStyle="1" w:styleId="62">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
    <w:name w:val="表格文字"/>
    <w:basedOn w:val="1"/>
    <w:qFormat/>
    <w:uiPriority w:val="0"/>
    <w:pPr>
      <w:spacing w:before="25" w:after="25"/>
      <w:jc w:val="left"/>
    </w:pPr>
    <w:rPr>
      <w:bCs/>
      <w:color w:val="000000"/>
      <w:spacing w:val="10"/>
      <w:kern w:val="0"/>
    </w:rPr>
  </w:style>
  <w:style w:type="character" w:customStyle="1" w:styleId="64">
    <w:name w:val="标题 1 Char"/>
    <w:autoRedefine/>
    <w:qFormat/>
    <w:uiPriority w:val="0"/>
    <w:rPr>
      <w:rFonts w:ascii="Cambria" w:hAnsi="Cambria"/>
      <w:b/>
      <w:bCs/>
      <w:kern w:val="32"/>
      <w:sz w:val="32"/>
      <w:szCs w:val="32"/>
    </w:rPr>
  </w:style>
  <w:style w:type="character" w:customStyle="1" w:styleId="65">
    <w:name w:val="标题 2 Char1"/>
    <w:link w:val="3"/>
    <w:autoRedefine/>
    <w:qFormat/>
    <w:uiPriority w:val="0"/>
    <w:rPr>
      <w:rFonts w:ascii="Arial" w:hAnsi="Arial" w:eastAsia="宋体"/>
      <w:b/>
      <w:bCs/>
      <w:kern w:val="2"/>
      <w:sz w:val="21"/>
      <w:szCs w:val="32"/>
      <w:lang w:val="en-US" w:eastAsia="zh-CN" w:bidi="ar-SA"/>
    </w:rPr>
  </w:style>
  <w:style w:type="character" w:customStyle="1" w:styleId="66">
    <w:name w:val="标题 2 Char"/>
    <w:autoRedefine/>
    <w:qFormat/>
    <w:uiPriority w:val="0"/>
    <w:rPr>
      <w:rFonts w:ascii="Cambria" w:hAnsi="Cambria" w:eastAsia="宋体" w:cs="Times New Roman"/>
      <w:b/>
      <w:bCs/>
      <w:kern w:val="2"/>
      <w:sz w:val="32"/>
      <w:szCs w:val="32"/>
    </w:rPr>
  </w:style>
  <w:style w:type="paragraph" w:customStyle="1" w:styleId="67">
    <w:name w:val="样式 小四 行距: 1.5 倍行距"/>
    <w:basedOn w:val="1"/>
    <w:autoRedefine/>
    <w:qFormat/>
    <w:uiPriority w:val="0"/>
    <w:pPr>
      <w:ind w:firstLine="480"/>
    </w:pPr>
    <w:rPr>
      <w:rFonts w:cs="宋体"/>
      <w:szCs w:val="20"/>
    </w:rPr>
  </w:style>
  <w:style w:type="character" w:customStyle="1" w:styleId="68">
    <w:name w:val="正文文本缩进 Char"/>
    <w:link w:val="20"/>
    <w:autoRedefine/>
    <w:qFormat/>
    <w:uiPriority w:val="0"/>
    <w:rPr>
      <w:rFonts w:eastAsia="宋体"/>
      <w:kern w:val="2"/>
      <w:sz w:val="21"/>
      <w:szCs w:val="24"/>
      <w:lang w:val="en-US" w:eastAsia="zh-CN" w:bidi="ar-SA"/>
    </w:rPr>
  </w:style>
  <w:style w:type="character" w:customStyle="1" w:styleId="69">
    <w:name w:val="标题 1 Char1"/>
    <w:link w:val="2"/>
    <w:autoRedefine/>
    <w:qFormat/>
    <w:uiPriority w:val="0"/>
    <w:rPr>
      <w:rFonts w:asciiTheme="majorEastAsia" w:hAnsiTheme="majorEastAsia" w:eastAsiaTheme="majorEastAsia" w:cstheme="majorEastAsia"/>
      <w:b/>
      <w:bCs/>
      <w:kern w:val="2"/>
      <w:sz w:val="32"/>
      <w:szCs w:val="32"/>
    </w:rPr>
  </w:style>
  <w:style w:type="character" w:customStyle="1" w:styleId="70">
    <w:name w:val="标题 3 Char1"/>
    <w:link w:val="4"/>
    <w:autoRedefine/>
    <w:qFormat/>
    <w:uiPriority w:val="0"/>
    <w:rPr>
      <w:rFonts w:eastAsia="宋体"/>
      <w:b/>
      <w:bCs/>
      <w:kern w:val="2"/>
      <w:sz w:val="32"/>
      <w:szCs w:val="32"/>
      <w:lang w:val="en-US" w:eastAsia="zh-CN" w:bidi="ar-SA"/>
    </w:rPr>
  </w:style>
  <w:style w:type="character" w:customStyle="1" w:styleId="71">
    <w:name w:val="标题 4 Char1"/>
    <w:link w:val="5"/>
    <w:autoRedefine/>
    <w:qFormat/>
    <w:uiPriority w:val="0"/>
    <w:rPr>
      <w:rFonts w:ascii="Arial" w:hAnsi="Arial" w:eastAsia="黑体"/>
      <w:b/>
      <w:bCs/>
      <w:kern w:val="2"/>
      <w:sz w:val="28"/>
      <w:szCs w:val="28"/>
      <w:lang w:val="en-US" w:eastAsia="zh-CN" w:bidi="ar-SA"/>
    </w:rPr>
  </w:style>
  <w:style w:type="character" w:customStyle="1" w:styleId="72">
    <w:name w:val="标题 5 Char1"/>
    <w:link w:val="6"/>
    <w:autoRedefine/>
    <w:qFormat/>
    <w:uiPriority w:val="0"/>
    <w:rPr>
      <w:rFonts w:eastAsia="宋体"/>
      <w:b/>
      <w:bCs/>
      <w:sz w:val="28"/>
      <w:szCs w:val="28"/>
      <w:lang w:val="en-US" w:eastAsia="zh-CN" w:bidi="ar-SA"/>
    </w:rPr>
  </w:style>
  <w:style w:type="character" w:customStyle="1" w:styleId="73">
    <w:name w:val="标题 6 Char1"/>
    <w:link w:val="7"/>
    <w:autoRedefine/>
    <w:qFormat/>
    <w:uiPriority w:val="0"/>
    <w:rPr>
      <w:rFonts w:ascii="Arial" w:hAnsi="Arial" w:eastAsia="黑体"/>
      <w:b/>
      <w:bCs/>
      <w:sz w:val="24"/>
      <w:szCs w:val="24"/>
      <w:lang w:val="en-US" w:eastAsia="zh-CN" w:bidi="ar-SA"/>
    </w:rPr>
  </w:style>
  <w:style w:type="character" w:customStyle="1" w:styleId="74">
    <w:name w:val="标题 7 Char1"/>
    <w:link w:val="8"/>
    <w:autoRedefine/>
    <w:qFormat/>
    <w:uiPriority w:val="0"/>
    <w:rPr>
      <w:rFonts w:eastAsia="宋体"/>
      <w:b/>
      <w:bCs/>
      <w:sz w:val="24"/>
      <w:szCs w:val="24"/>
      <w:lang w:val="en-US" w:eastAsia="zh-CN" w:bidi="ar-SA"/>
    </w:rPr>
  </w:style>
  <w:style w:type="character" w:customStyle="1" w:styleId="75">
    <w:name w:val="标题 8 Char1"/>
    <w:link w:val="9"/>
    <w:autoRedefine/>
    <w:qFormat/>
    <w:uiPriority w:val="0"/>
    <w:rPr>
      <w:rFonts w:ascii="Arial" w:hAnsi="Arial" w:eastAsia="黑体"/>
      <w:sz w:val="24"/>
      <w:szCs w:val="24"/>
      <w:lang w:val="en-US" w:eastAsia="zh-CN" w:bidi="ar-SA"/>
    </w:rPr>
  </w:style>
  <w:style w:type="character" w:customStyle="1" w:styleId="76">
    <w:name w:val="标题 9 Char1"/>
    <w:link w:val="10"/>
    <w:autoRedefine/>
    <w:qFormat/>
    <w:uiPriority w:val="0"/>
    <w:rPr>
      <w:rFonts w:ascii="Arial" w:hAnsi="Arial" w:eastAsia="黑体"/>
      <w:sz w:val="21"/>
      <w:szCs w:val="21"/>
      <w:lang w:val="en-US" w:eastAsia="zh-CN" w:bidi="ar-SA"/>
    </w:rPr>
  </w:style>
  <w:style w:type="character" w:customStyle="1" w:styleId="77">
    <w:name w:val="批注文字 Char1"/>
    <w:link w:val="16"/>
    <w:autoRedefine/>
    <w:qFormat/>
    <w:uiPriority w:val="0"/>
    <w:rPr>
      <w:rFonts w:eastAsia="宋体"/>
      <w:kern w:val="2"/>
      <w:sz w:val="21"/>
      <w:szCs w:val="24"/>
      <w:lang w:val="en-US" w:eastAsia="zh-CN" w:bidi="ar-SA"/>
    </w:rPr>
  </w:style>
  <w:style w:type="character" w:customStyle="1" w:styleId="78">
    <w:name w:val="纯文本 Char"/>
    <w:link w:val="25"/>
    <w:autoRedefine/>
    <w:qFormat/>
    <w:locked/>
    <w:uiPriority w:val="0"/>
    <w:rPr>
      <w:rFonts w:ascii="宋体" w:hAnsi="Courier New" w:eastAsia="宋体" w:cs="Courier New"/>
      <w:kern w:val="2"/>
      <w:sz w:val="21"/>
      <w:szCs w:val="21"/>
      <w:lang w:val="en-US" w:eastAsia="zh-CN" w:bidi="ar-SA"/>
    </w:rPr>
  </w:style>
  <w:style w:type="character" w:customStyle="1" w:styleId="79">
    <w:name w:val="日期 Char1"/>
    <w:link w:val="27"/>
    <w:autoRedefine/>
    <w:qFormat/>
    <w:uiPriority w:val="0"/>
    <w:rPr>
      <w:rFonts w:eastAsia="宋体"/>
      <w:kern w:val="2"/>
      <w:sz w:val="24"/>
      <w:lang w:val="en-US" w:eastAsia="zh-CN" w:bidi="ar-SA"/>
    </w:rPr>
  </w:style>
  <w:style w:type="character" w:customStyle="1" w:styleId="80">
    <w:name w:val="批注框文本 Char1"/>
    <w:link w:val="28"/>
    <w:autoRedefine/>
    <w:semiHidden/>
    <w:qFormat/>
    <w:locked/>
    <w:uiPriority w:val="0"/>
    <w:rPr>
      <w:rFonts w:ascii="Calibri" w:hAnsi="Calibri" w:eastAsia="宋体"/>
      <w:kern w:val="2"/>
      <w:sz w:val="18"/>
      <w:szCs w:val="18"/>
      <w:lang w:val="en-US" w:eastAsia="zh-CN" w:bidi="ar-SA"/>
    </w:rPr>
  </w:style>
  <w:style w:type="character" w:customStyle="1" w:styleId="81">
    <w:name w:val="页脚 Char1"/>
    <w:link w:val="29"/>
    <w:autoRedefine/>
    <w:qFormat/>
    <w:uiPriority w:val="0"/>
    <w:rPr>
      <w:rFonts w:eastAsia="宋体"/>
      <w:kern w:val="2"/>
      <w:sz w:val="18"/>
      <w:szCs w:val="18"/>
      <w:lang w:val="en-US" w:eastAsia="zh-CN" w:bidi="ar-SA"/>
    </w:rPr>
  </w:style>
  <w:style w:type="character" w:customStyle="1" w:styleId="82">
    <w:name w:val="页眉 Char1"/>
    <w:link w:val="31"/>
    <w:autoRedefine/>
    <w:qFormat/>
    <w:uiPriority w:val="0"/>
    <w:rPr>
      <w:rFonts w:eastAsia="宋体"/>
      <w:kern w:val="2"/>
      <w:sz w:val="18"/>
      <w:szCs w:val="18"/>
      <w:lang w:val="en-US" w:eastAsia="zh-CN" w:bidi="ar-SA"/>
    </w:rPr>
  </w:style>
  <w:style w:type="character" w:customStyle="1" w:styleId="83">
    <w:name w:val="正文文本缩进 3 Char1"/>
    <w:link w:val="35"/>
    <w:autoRedefine/>
    <w:qFormat/>
    <w:uiPriority w:val="0"/>
    <w:rPr>
      <w:rFonts w:eastAsia="宋体"/>
      <w:kern w:val="2"/>
      <w:sz w:val="16"/>
      <w:szCs w:val="16"/>
      <w:lang w:val="en-US" w:eastAsia="zh-CN" w:bidi="ar-SA"/>
    </w:rPr>
  </w:style>
  <w:style w:type="character" w:customStyle="1" w:styleId="84">
    <w:name w:val="HTML 预设格式 Char"/>
    <w:link w:val="39"/>
    <w:autoRedefine/>
    <w:qFormat/>
    <w:uiPriority w:val="0"/>
    <w:rPr>
      <w:rFonts w:ascii="Arial" w:hAnsi="Arial" w:cs="Arial"/>
      <w:sz w:val="24"/>
      <w:szCs w:val="24"/>
    </w:rPr>
  </w:style>
  <w:style w:type="character" w:customStyle="1" w:styleId="85">
    <w:name w:val="批注主题 Char1"/>
    <w:link w:val="43"/>
    <w:autoRedefine/>
    <w:qFormat/>
    <w:uiPriority w:val="0"/>
    <w:rPr>
      <w:rFonts w:eastAsia="宋体"/>
      <w:b/>
      <w:bCs/>
      <w:kern w:val="2"/>
      <w:sz w:val="21"/>
      <w:szCs w:val="24"/>
      <w:lang w:val="en-US" w:eastAsia="zh-CN" w:bidi="ar-SA"/>
    </w:rPr>
  </w:style>
  <w:style w:type="character" w:customStyle="1" w:styleId="86">
    <w:name w:val="Char Char14"/>
    <w:autoRedefine/>
    <w:qFormat/>
    <w:uiPriority w:val="0"/>
    <w:rPr>
      <w:rFonts w:ascii="Arial" w:hAnsi="Arial" w:eastAsia="黑体"/>
      <w:b/>
      <w:bCs/>
      <w:sz w:val="28"/>
      <w:szCs w:val="28"/>
      <w:lang w:val="en-US" w:eastAsia="zh-CN" w:bidi="ar-SA"/>
    </w:rPr>
  </w:style>
  <w:style w:type="character" w:customStyle="1" w:styleId="87">
    <w:name w:val="Char Char15"/>
    <w:autoRedefine/>
    <w:qFormat/>
    <w:uiPriority w:val="0"/>
    <w:rPr>
      <w:b/>
      <w:bCs/>
      <w:sz w:val="24"/>
      <w:szCs w:val="24"/>
    </w:rPr>
  </w:style>
  <w:style w:type="character" w:customStyle="1" w:styleId="88">
    <w:name w:val="sort"/>
    <w:autoRedefine/>
    <w:qFormat/>
    <w:uiPriority w:val="0"/>
    <w:rPr>
      <w:rFonts w:ascii="Times New Roman" w:hAnsi="Times New Roman" w:eastAsia="宋体"/>
      <w:color w:val="FFFFFF"/>
      <w:bdr w:val="single" w:color="auto" w:sz="24" w:space="0"/>
    </w:rPr>
  </w:style>
  <w:style w:type="character" w:customStyle="1" w:styleId="89">
    <w:name w:val="plus"/>
    <w:autoRedefine/>
    <w:qFormat/>
    <w:uiPriority w:val="0"/>
    <w:rPr>
      <w:rFonts w:ascii="Times New Roman" w:hAnsi="Times New Roman" w:eastAsia="宋体"/>
      <w:b/>
      <w:vanish/>
      <w:color w:val="1F8DEF"/>
      <w:sz w:val="24"/>
      <w:szCs w:val="24"/>
    </w:rPr>
  </w:style>
  <w:style w:type="character" w:customStyle="1" w:styleId="90">
    <w:name w:val="sidecatalog-index2"/>
    <w:autoRedefine/>
    <w:qFormat/>
    <w:uiPriority w:val="0"/>
    <w:rPr>
      <w:rFonts w:ascii="Arail" w:hAnsi="Arail" w:eastAsia="Arail" w:cs="Arail"/>
      <w:color w:val="999999"/>
      <w:sz w:val="21"/>
      <w:szCs w:val="21"/>
    </w:rPr>
  </w:style>
  <w:style w:type="character" w:customStyle="1" w:styleId="91">
    <w:name w:val="content_2"/>
    <w:autoRedefine/>
    <w:qFormat/>
    <w:uiPriority w:val="0"/>
    <w:rPr>
      <w:sz w:val="19"/>
      <w:szCs w:val="19"/>
    </w:rPr>
  </w:style>
  <w:style w:type="character" w:customStyle="1" w:styleId="92">
    <w:name w:val="批注文字 Char"/>
    <w:autoRedefine/>
    <w:qFormat/>
    <w:uiPriority w:val="0"/>
    <w:rPr>
      <w:kern w:val="2"/>
      <w:sz w:val="21"/>
      <w:szCs w:val="24"/>
    </w:rPr>
  </w:style>
  <w:style w:type="character" w:customStyle="1" w:styleId="93">
    <w:name w:val="polysemyred"/>
    <w:autoRedefine/>
    <w:qFormat/>
    <w:uiPriority w:val="0"/>
    <w:rPr>
      <w:rFonts w:ascii="Times New Roman" w:hAnsi="Times New Roman" w:eastAsia="宋体"/>
      <w:color w:val="FF6666"/>
      <w:sz w:val="18"/>
      <w:szCs w:val="18"/>
    </w:rPr>
  </w:style>
  <w:style w:type="character" w:customStyle="1" w:styleId="94">
    <w:name w:val="Font Style122"/>
    <w:autoRedefine/>
    <w:unhideWhenUsed/>
    <w:qFormat/>
    <w:uiPriority w:val="0"/>
    <w:rPr>
      <w:rFonts w:hint="eastAsia" w:ascii="宋体" w:hAnsi="宋体" w:eastAsia="宋体"/>
      <w:spacing w:val="20"/>
      <w:sz w:val="24"/>
    </w:rPr>
  </w:style>
  <w:style w:type="character" w:customStyle="1" w:styleId="95">
    <w:name w:val="Font Style134"/>
    <w:autoRedefine/>
    <w:unhideWhenUsed/>
    <w:qFormat/>
    <w:uiPriority w:val="0"/>
    <w:rPr>
      <w:rFonts w:hint="eastAsia" w:ascii="宋体" w:hAnsi="宋体" w:eastAsia="宋体"/>
      <w:spacing w:val="20"/>
      <w:sz w:val="22"/>
    </w:rPr>
  </w:style>
  <w:style w:type="character" w:customStyle="1" w:styleId="96">
    <w:name w:val="标题 6 Char"/>
    <w:autoRedefine/>
    <w:qFormat/>
    <w:uiPriority w:val="0"/>
    <w:rPr>
      <w:rFonts w:ascii="Arial" w:hAnsi="Arial" w:eastAsia="黑体"/>
      <w:b/>
      <w:bCs/>
      <w:sz w:val="24"/>
      <w:szCs w:val="24"/>
    </w:rPr>
  </w:style>
  <w:style w:type="character" w:customStyle="1" w:styleId="97">
    <w:name w:val="Char Char16"/>
    <w:autoRedefine/>
    <w:qFormat/>
    <w:uiPriority w:val="0"/>
    <w:rPr>
      <w:rFonts w:ascii="宋体" w:hAnsi="Times New Roman" w:eastAsia="宋体"/>
      <w:b/>
      <w:sz w:val="24"/>
      <w:lang w:val="en-US" w:eastAsia="zh-CN" w:bidi="ar-SA"/>
    </w:rPr>
  </w:style>
  <w:style w:type="character" w:customStyle="1" w:styleId="98">
    <w:name w:val="标题 5 Char"/>
    <w:autoRedefine/>
    <w:qFormat/>
    <w:uiPriority w:val="0"/>
    <w:rPr>
      <w:b/>
      <w:bCs/>
      <w:kern w:val="2"/>
      <w:sz w:val="28"/>
      <w:szCs w:val="28"/>
    </w:rPr>
  </w:style>
  <w:style w:type="character" w:customStyle="1" w:styleId="99">
    <w:name w:val="apple-converted-space"/>
    <w:autoRedefine/>
    <w:qFormat/>
    <w:uiPriority w:val="0"/>
  </w:style>
  <w:style w:type="character" w:customStyle="1" w:styleId="100">
    <w:name w:val="title_1"/>
    <w:autoRedefine/>
    <w:qFormat/>
    <w:uiPriority w:val="0"/>
    <w:rPr>
      <w:b/>
      <w:sz w:val="30"/>
      <w:szCs w:val="30"/>
    </w:rPr>
  </w:style>
  <w:style w:type="character" w:customStyle="1" w:styleId="101">
    <w:name w:val="Font Style94"/>
    <w:autoRedefine/>
    <w:unhideWhenUsed/>
    <w:qFormat/>
    <w:uiPriority w:val="0"/>
    <w:rPr>
      <w:rFonts w:hint="eastAsia" w:ascii="Times New Roman" w:hAnsi="Times New Roman" w:eastAsia="Times New Roman"/>
      <w:sz w:val="28"/>
    </w:rPr>
  </w:style>
  <w:style w:type="character" w:customStyle="1" w:styleId="102">
    <w:name w:val="Font Style133"/>
    <w:autoRedefine/>
    <w:unhideWhenUsed/>
    <w:qFormat/>
    <w:uiPriority w:val="0"/>
    <w:rPr>
      <w:rFonts w:hint="eastAsia" w:ascii="宋体" w:hAnsi="宋体" w:eastAsia="宋体"/>
      <w:spacing w:val="30"/>
      <w:sz w:val="24"/>
    </w:rPr>
  </w:style>
  <w:style w:type="character" w:customStyle="1" w:styleId="103">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character" w:customStyle="1" w:styleId="104">
    <w:name w:val="页脚 Char"/>
    <w:autoRedefine/>
    <w:qFormat/>
    <w:uiPriority w:val="99"/>
    <w:rPr>
      <w:kern w:val="2"/>
      <w:sz w:val="18"/>
      <w:szCs w:val="18"/>
    </w:rPr>
  </w:style>
  <w:style w:type="character" w:customStyle="1" w:styleId="105">
    <w:name w:val="样式2 Char Char"/>
    <w:autoRedefine/>
    <w:qFormat/>
    <w:uiPriority w:val="0"/>
    <w:rPr>
      <w:rFonts w:eastAsia="宋体"/>
      <w:kern w:val="2"/>
      <w:sz w:val="18"/>
      <w:szCs w:val="18"/>
      <w:lang w:val="en-US" w:eastAsia="zh-CN" w:bidi="ar-SA"/>
    </w:rPr>
  </w:style>
  <w:style w:type="character" w:customStyle="1" w:styleId="106">
    <w:name w:val="Font Style104"/>
    <w:autoRedefine/>
    <w:unhideWhenUsed/>
    <w:qFormat/>
    <w:uiPriority w:val="0"/>
    <w:rPr>
      <w:rFonts w:hint="eastAsia" w:ascii="宋体" w:hAnsi="宋体" w:eastAsia="宋体"/>
      <w:spacing w:val="30"/>
      <w:sz w:val="18"/>
    </w:rPr>
  </w:style>
  <w:style w:type="character" w:customStyle="1" w:styleId="107">
    <w:name w:val="Font Style127"/>
    <w:autoRedefine/>
    <w:unhideWhenUsed/>
    <w:qFormat/>
    <w:uiPriority w:val="0"/>
    <w:rPr>
      <w:rFonts w:hint="eastAsia" w:ascii="Times New Roman" w:hAnsi="Times New Roman" w:eastAsia="Times New Roman"/>
      <w:sz w:val="20"/>
    </w:rPr>
  </w:style>
  <w:style w:type="character" w:customStyle="1" w:styleId="108">
    <w:name w:val="bds_more8"/>
    <w:autoRedefine/>
    <w:qFormat/>
    <w:uiPriority w:val="0"/>
    <w:rPr>
      <w:rFonts w:ascii="Times New Roman" w:hAnsi="Times New Roman" w:eastAsia="宋体"/>
    </w:rPr>
  </w:style>
  <w:style w:type="character" w:customStyle="1" w:styleId="109">
    <w:name w:val="content_table1"/>
    <w:autoRedefine/>
    <w:qFormat/>
    <w:uiPriority w:val="0"/>
    <w:rPr>
      <w:sz w:val="19"/>
      <w:szCs w:val="19"/>
    </w:rPr>
  </w:style>
  <w:style w:type="character" w:customStyle="1" w:styleId="110">
    <w:name w:val="content"/>
    <w:autoRedefine/>
    <w:qFormat/>
    <w:uiPriority w:val="0"/>
    <w:rPr>
      <w:sz w:val="19"/>
      <w:szCs w:val="19"/>
    </w:rPr>
  </w:style>
  <w:style w:type="character" w:customStyle="1" w:styleId="111">
    <w:name w:val="页眉 Char"/>
    <w:autoRedefine/>
    <w:qFormat/>
    <w:uiPriority w:val="0"/>
    <w:rPr>
      <w:kern w:val="2"/>
      <w:sz w:val="18"/>
      <w:szCs w:val="18"/>
    </w:rPr>
  </w:style>
  <w:style w:type="character" w:customStyle="1" w:styleId="112">
    <w:name w:val="标题 4 Char Char"/>
    <w:autoRedefine/>
    <w:qFormat/>
    <w:uiPriority w:val="0"/>
    <w:rPr>
      <w:rFonts w:ascii="Arial" w:hAnsi="Arial" w:eastAsia="宋体"/>
      <w:b/>
      <w:bCs/>
      <w:kern w:val="2"/>
      <w:sz w:val="21"/>
      <w:szCs w:val="28"/>
      <w:lang w:val="en-US" w:eastAsia="zh-CN" w:bidi="ar-SA"/>
    </w:rPr>
  </w:style>
  <w:style w:type="character" w:customStyle="1" w:styleId="113">
    <w:name w:val="Char Char6"/>
    <w:autoRedefine/>
    <w:qFormat/>
    <w:uiPriority w:val="0"/>
    <w:rPr>
      <w:rFonts w:ascii="Arial" w:hAnsi="Arial" w:eastAsia="黑体"/>
      <w:sz w:val="24"/>
      <w:szCs w:val="24"/>
      <w:lang w:val="en-US" w:eastAsia="zh-CN" w:bidi="ar-SA"/>
    </w:rPr>
  </w:style>
  <w:style w:type="character" w:customStyle="1" w:styleId="114">
    <w:name w:val="desc"/>
    <w:autoRedefine/>
    <w:qFormat/>
    <w:uiPriority w:val="0"/>
    <w:rPr>
      <w:rFonts w:ascii="Times New Roman" w:hAnsi="Times New Roman" w:eastAsia="宋体"/>
      <w:color w:val="000000"/>
      <w:sz w:val="18"/>
      <w:szCs w:val="18"/>
    </w:rPr>
  </w:style>
  <w:style w:type="character" w:customStyle="1" w:styleId="115">
    <w:name w:val="普通文字 Char1"/>
    <w:autoRedefine/>
    <w:qFormat/>
    <w:uiPriority w:val="0"/>
    <w:rPr>
      <w:rFonts w:ascii="宋体" w:hAnsi="Courier New" w:eastAsia="宋体" w:cs="Courier New"/>
      <w:kern w:val="2"/>
      <w:sz w:val="21"/>
      <w:szCs w:val="21"/>
      <w:lang w:val="en-US" w:eastAsia="zh-CN" w:bidi="ar-SA"/>
    </w:rPr>
  </w:style>
  <w:style w:type="character" w:customStyle="1" w:styleId="116">
    <w:name w:val="sort1"/>
    <w:autoRedefine/>
    <w:qFormat/>
    <w:uiPriority w:val="0"/>
    <w:rPr>
      <w:rFonts w:ascii="Times New Roman" w:hAnsi="Times New Roman" w:eastAsia="宋体"/>
    </w:rPr>
  </w:style>
  <w:style w:type="character" w:customStyle="1" w:styleId="117">
    <w:name w:val="morelink-item"/>
    <w:autoRedefine/>
    <w:qFormat/>
    <w:uiPriority w:val="0"/>
    <w:rPr>
      <w:rFonts w:ascii="Times New Roman" w:hAnsi="Times New Roman" w:eastAsia="宋体"/>
    </w:rPr>
  </w:style>
  <w:style w:type="character" w:customStyle="1" w:styleId="118">
    <w:name w:val="正文文本缩进 3 Char"/>
    <w:autoRedefine/>
    <w:qFormat/>
    <w:uiPriority w:val="0"/>
    <w:rPr>
      <w:rFonts w:ascii="宋体" w:hAnsi="MS Sans Serif"/>
      <w:color w:val="000000"/>
      <w:sz w:val="24"/>
    </w:rPr>
  </w:style>
  <w:style w:type="character" w:customStyle="1" w:styleId="119">
    <w:name w:val="Font Style121"/>
    <w:autoRedefine/>
    <w:unhideWhenUsed/>
    <w:qFormat/>
    <w:uiPriority w:val="0"/>
    <w:rPr>
      <w:rFonts w:hint="eastAsia" w:ascii="宋体" w:hAnsi="宋体" w:eastAsia="宋体"/>
      <w:spacing w:val="-10"/>
      <w:sz w:val="30"/>
    </w:rPr>
  </w:style>
  <w:style w:type="character" w:customStyle="1" w:styleId="120">
    <w:name w:val="p0 Char"/>
    <w:link w:val="121"/>
    <w:autoRedefine/>
    <w:qFormat/>
    <w:uiPriority w:val="0"/>
    <w:rPr>
      <w:rFonts w:eastAsia="宋体"/>
      <w:sz w:val="21"/>
      <w:szCs w:val="21"/>
      <w:lang w:val="en-US" w:eastAsia="zh-CN" w:bidi="ar-SA"/>
    </w:rPr>
  </w:style>
  <w:style w:type="paragraph" w:customStyle="1" w:styleId="121">
    <w:name w:val="p0"/>
    <w:basedOn w:val="1"/>
    <w:link w:val="120"/>
    <w:autoRedefine/>
    <w:qFormat/>
    <w:uiPriority w:val="0"/>
    <w:pPr>
      <w:widowControl/>
    </w:pPr>
    <w:rPr>
      <w:kern w:val="0"/>
      <w:szCs w:val="21"/>
    </w:rPr>
  </w:style>
  <w:style w:type="character" w:customStyle="1" w:styleId="122">
    <w:name w:val="Font Style86"/>
    <w:autoRedefine/>
    <w:unhideWhenUsed/>
    <w:qFormat/>
    <w:uiPriority w:val="0"/>
    <w:rPr>
      <w:rFonts w:hint="eastAsia" w:ascii="黑体" w:hAnsi="黑体" w:eastAsia="黑体"/>
      <w:spacing w:val="10"/>
      <w:sz w:val="30"/>
    </w:rPr>
  </w:style>
  <w:style w:type="character" w:customStyle="1" w:styleId="123">
    <w:name w:val="标题 Char1"/>
    <w:autoRedefine/>
    <w:qFormat/>
    <w:uiPriority w:val="0"/>
    <w:rPr>
      <w:rFonts w:ascii="Cambria" w:hAnsi="Cambria" w:eastAsia="宋体" w:cs="Times New Roman"/>
      <w:b/>
      <w:bCs/>
      <w:sz w:val="32"/>
      <w:szCs w:val="32"/>
    </w:rPr>
  </w:style>
  <w:style w:type="character" w:customStyle="1" w:styleId="124">
    <w:name w:val="标题 9 Char"/>
    <w:autoRedefine/>
    <w:qFormat/>
    <w:uiPriority w:val="0"/>
    <w:rPr>
      <w:rFonts w:ascii="Arial" w:hAnsi="Arial" w:eastAsia="黑体"/>
      <w:sz w:val="21"/>
      <w:szCs w:val="21"/>
    </w:rPr>
  </w:style>
  <w:style w:type="character" w:customStyle="1" w:styleId="125">
    <w:name w:val="Font Style124"/>
    <w:autoRedefine/>
    <w:unhideWhenUsed/>
    <w:qFormat/>
    <w:uiPriority w:val="0"/>
    <w:rPr>
      <w:rFonts w:hint="eastAsia" w:ascii="宋体" w:hAnsi="宋体" w:eastAsia="宋体"/>
      <w:spacing w:val="30"/>
      <w:sz w:val="24"/>
    </w:rPr>
  </w:style>
  <w:style w:type="character" w:customStyle="1" w:styleId="126">
    <w:name w:val="日期 Char"/>
    <w:autoRedefine/>
    <w:qFormat/>
    <w:uiPriority w:val="0"/>
    <w:rPr>
      <w:kern w:val="2"/>
      <w:sz w:val="21"/>
      <w:szCs w:val="24"/>
    </w:rPr>
  </w:style>
  <w:style w:type="character" w:customStyle="1" w:styleId="127">
    <w:name w:val="标题 7 Char"/>
    <w:autoRedefine/>
    <w:qFormat/>
    <w:uiPriority w:val="0"/>
    <w:rPr>
      <w:b/>
      <w:bCs/>
      <w:sz w:val="24"/>
      <w:szCs w:val="24"/>
    </w:rPr>
  </w:style>
  <w:style w:type="character" w:customStyle="1" w:styleId="128">
    <w:name w:val="bds_more6"/>
    <w:autoRedefine/>
    <w:qFormat/>
    <w:uiPriority w:val="0"/>
    <w:rPr>
      <w:rFonts w:hint="eastAsia" w:ascii="宋体" w:hAnsi="宋体" w:eastAsia="宋体" w:cs="宋体"/>
    </w:rPr>
  </w:style>
  <w:style w:type="character" w:customStyle="1" w:styleId="129">
    <w:name w:val="p0 Char Char"/>
    <w:autoRedefine/>
    <w:qFormat/>
    <w:uiPriority w:val="0"/>
    <w:rPr>
      <w:rFonts w:eastAsia="宋体"/>
      <w:kern w:val="2"/>
      <w:sz w:val="21"/>
      <w:szCs w:val="21"/>
      <w:lang w:val="en-US" w:eastAsia="zh-CN" w:bidi="ar-SA"/>
    </w:rPr>
  </w:style>
  <w:style w:type="character" w:customStyle="1" w:styleId="130">
    <w:name w:val="纯文本 Char2"/>
    <w:autoRedefine/>
    <w:qFormat/>
    <w:uiPriority w:val="0"/>
    <w:rPr>
      <w:rFonts w:ascii="宋体" w:hAnsi="Courier New" w:eastAsia="宋体"/>
      <w:kern w:val="2"/>
      <w:sz w:val="21"/>
      <w:szCs w:val="21"/>
      <w:lang w:val="en-US" w:eastAsia="zh-CN" w:bidi="ar-SA"/>
    </w:rPr>
  </w:style>
  <w:style w:type="character" w:customStyle="1" w:styleId="131">
    <w:name w:val="content_3"/>
    <w:autoRedefine/>
    <w:qFormat/>
    <w:uiPriority w:val="0"/>
    <w:rPr>
      <w:sz w:val="19"/>
      <w:szCs w:val="19"/>
    </w:rPr>
  </w:style>
  <w:style w:type="character" w:customStyle="1" w:styleId="132">
    <w:name w:val="Font Style90"/>
    <w:autoRedefine/>
    <w:unhideWhenUsed/>
    <w:qFormat/>
    <w:uiPriority w:val="0"/>
    <w:rPr>
      <w:rFonts w:hint="eastAsia" w:ascii="宋体" w:hAnsi="宋体" w:eastAsia="宋体"/>
      <w:b/>
      <w:spacing w:val="-20"/>
      <w:sz w:val="40"/>
    </w:rPr>
  </w:style>
  <w:style w:type="character" w:customStyle="1" w:styleId="133">
    <w:name w:val="Font Style125"/>
    <w:autoRedefine/>
    <w:unhideWhenUsed/>
    <w:qFormat/>
    <w:uiPriority w:val="0"/>
    <w:rPr>
      <w:rFonts w:hint="eastAsia" w:ascii="宋体" w:hAnsi="宋体" w:eastAsia="宋体"/>
      <w:b/>
      <w:sz w:val="26"/>
    </w:rPr>
  </w:style>
  <w:style w:type="character" w:customStyle="1" w:styleId="134">
    <w:name w:val="sidecatalog-index1"/>
    <w:autoRedefine/>
    <w:qFormat/>
    <w:uiPriority w:val="0"/>
    <w:rPr>
      <w:rFonts w:ascii="Arial" w:hAnsi="Arial" w:eastAsia="宋体" w:cs="Arial"/>
      <w:b/>
      <w:color w:val="999999"/>
      <w:sz w:val="21"/>
      <w:szCs w:val="21"/>
    </w:rPr>
  </w:style>
  <w:style w:type="character" w:customStyle="1" w:styleId="135">
    <w:name w:val="bds_more7"/>
    <w:autoRedefine/>
    <w:qFormat/>
    <w:uiPriority w:val="0"/>
    <w:rPr>
      <w:rFonts w:ascii="Times New Roman" w:hAnsi="Times New Roman" w:eastAsia="宋体"/>
    </w:rPr>
  </w:style>
  <w:style w:type="character" w:customStyle="1" w:styleId="136">
    <w:name w:val="标题 3 Char"/>
    <w:autoRedefine/>
    <w:qFormat/>
    <w:uiPriority w:val="0"/>
    <w:rPr>
      <w:b/>
      <w:bCs/>
      <w:sz w:val="24"/>
      <w:szCs w:val="24"/>
    </w:rPr>
  </w:style>
  <w:style w:type="character" w:customStyle="1" w:styleId="137">
    <w:name w:val="bds_nopic"/>
    <w:autoRedefine/>
    <w:qFormat/>
    <w:uiPriority w:val="0"/>
    <w:rPr>
      <w:rFonts w:ascii="Times New Roman" w:hAnsi="Times New Roman" w:eastAsia="宋体"/>
    </w:rPr>
  </w:style>
  <w:style w:type="character" w:customStyle="1" w:styleId="138">
    <w:name w:val="polysemyexp"/>
    <w:autoRedefine/>
    <w:qFormat/>
    <w:uiPriority w:val="0"/>
    <w:rPr>
      <w:rFonts w:ascii="Times New Roman" w:hAnsi="Times New Roman" w:eastAsia="宋体"/>
      <w:color w:val="AAAAAA"/>
      <w:sz w:val="18"/>
      <w:szCs w:val="18"/>
    </w:rPr>
  </w:style>
  <w:style w:type="character" w:customStyle="1" w:styleId="139">
    <w:name w:val="sidecatalog-dot1"/>
    <w:autoRedefine/>
    <w:qFormat/>
    <w:uiPriority w:val="0"/>
    <w:rPr>
      <w:rFonts w:ascii="Times New Roman" w:hAnsi="Times New Roman" w:eastAsia="宋体"/>
    </w:rPr>
  </w:style>
  <w:style w:type="character" w:customStyle="1" w:styleId="140">
    <w:name w:val="title_2"/>
    <w:autoRedefine/>
    <w:qFormat/>
    <w:uiPriority w:val="0"/>
    <w:rPr>
      <w:b/>
      <w:sz w:val="19"/>
      <w:szCs w:val="19"/>
    </w:rPr>
  </w:style>
  <w:style w:type="character" w:customStyle="1" w:styleId="141">
    <w:name w:val="Font Style105"/>
    <w:autoRedefine/>
    <w:unhideWhenUsed/>
    <w:qFormat/>
    <w:uiPriority w:val="0"/>
    <w:rPr>
      <w:rFonts w:hint="eastAsia" w:ascii="Times New Roman" w:hAnsi="Times New Roman" w:eastAsia="Times New Roman"/>
      <w:w w:val="60"/>
      <w:sz w:val="26"/>
    </w:rPr>
  </w:style>
  <w:style w:type="character" w:customStyle="1" w:styleId="142">
    <w:name w:val="lemmatitleh12"/>
    <w:autoRedefine/>
    <w:qFormat/>
    <w:uiPriority w:val="0"/>
    <w:rPr>
      <w:rFonts w:ascii="Times New Roman" w:hAnsi="Times New Roman" w:eastAsia="宋体"/>
    </w:rPr>
  </w:style>
  <w:style w:type="character" w:customStyle="1" w:styleId="143">
    <w:name w:val="bds_nopic2"/>
    <w:autoRedefine/>
    <w:qFormat/>
    <w:uiPriority w:val="0"/>
    <w:rPr>
      <w:rFonts w:ascii="Times New Roman" w:hAnsi="Times New Roman" w:eastAsia="宋体"/>
    </w:rPr>
  </w:style>
  <w:style w:type="character" w:customStyle="1" w:styleId="144">
    <w:name w:val="content_1"/>
    <w:autoRedefine/>
    <w:qFormat/>
    <w:uiPriority w:val="0"/>
    <w:rPr>
      <w:sz w:val="19"/>
      <w:szCs w:val="19"/>
    </w:rPr>
  </w:style>
  <w:style w:type="character" w:customStyle="1" w:styleId="145">
    <w:name w:val="bds_more9"/>
    <w:autoRedefine/>
    <w:qFormat/>
    <w:uiPriority w:val="0"/>
    <w:rPr>
      <w:rFonts w:ascii="Times New Roman" w:hAnsi="Times New Roman" w:eastAsia="宋体"/>
    </w:rPr>
  </w:style>
  <w:style w:type="character" w:customStyle="1" w:styleId="146">
    <w:name w:val="Font Style123"/>
    <w:autoRedefine/>
    <w:unhideWhenUsed/>
    <w:qFormat/>
    <w:uiPriority w:val="0"/>
    <w:rPr>
      <w:rFonts w:hint="eastAsia" w:ascii="宋体" w:hAnsi="宋体" w:eastAsia="宋体"/>
      <w:b/>
      <w:sz w:val="32"/>
    </w:rPr>
  </w:style>
  <w:style w:type="character" w:customStyle="1" w:styleId="147">
    <w:name w:val="sidecatalog-dot"/>
    <w:autoRedefine/>
    <w:qFormat/>
    <w:uiPriority w:val="0"/>
    <w:rPr>
      <w:rFonts w:ascii="Times New Roman" w:hAnsi="Times New Roman" w:eastAsia="宋体"/>
    </w:rPr>
  </w:style>
  <w:style w:type="character" w:customStyle="1" w:styleId="148">
    <w:name w:val="Font Style126"/>
    <w:autoRedefine/>
    <w:unhideWhenUsed/>
    <w:qFormat/>
    <w:uiPriority w:val="0"/>
    <w:rPr>
      <w:rFonts w:hint="eastAsia" w:ascii="宋体" w:hAnsi="宋体" w:eastAsia="宋体"/>
      <w:b/>
      <w:spacing w:val="-30"/>
      <w:sz w:val="28"/>
    </w:rPr>
  </w:style>
  <w:style w:type="character" w:customStyle="1" w:styleId="149">
    <w:name w:val="标题 4 Char"/>
    <w:autoRedefine/>
    <w:qFormat/>
    <w:uiPriority w:val="0"/>
    <w:rPr>
      <w:rFonts w:ascii="Arial" w:hAnsi="Arial" w:eastAsia="宋体" w:cs="Times New Roman"/>
      <w:b/>
      <w:bCs/>
      <w:szCs w:val="28"/>
    </w:rPr>
  </w:style>
  <w:style w:type="character" w:customStyle="1" w:styleId="150">
    <w:name w:val="Font Style115"/>
    <w:autoRedefine/>
    <w:unhideWhenUsed/>
    <w:qFormat/>
    <w:uiPriority w:val="0"/>
    <w:rPr>
      <w:rFonts w:hint="eastAsia" w:ascii="Times New Roman" w:hAnsi="Times New Roman" w:eastAsia="Times New Roman"/>
      <w:sz w:val="16"/>
    </w:rPr>
  </w:style>
  <w:style w:type="character" w:customStyle="1" w:styleId="151">
    <w:name w:val="标题 8 Char"/>
    <w:autoRedefine/>
    <w:qFormat/>
    <w:uiPriority w:val="0"/>
    <w:rPr>
      <w:rFonts w:ascii="Arial" w:hAnsi="Arial" w:eastAsia="黑体"/>
      <w:sz w:val="24"/>
      <w:szCs w:val="24"/>
    </w:rPr>
  </w:style>
  <w:style w:type="character" w:customStyle="1" w:styleId="152">
    <w:name w:val="Font Style128"/>
    <w:autoRedefine/>
    <w:unhideWhenUsed/>
    <w:qFormat/>
    <w:uiPriority w:val="0"/>
    <w:rPr>
      <w:rFonts w:hint="eastAsia" w:ascii="Times New Roman" w:hAnsi="Times New Roman" w:eastAsia="Times New Roman"/>
      <w:sz w:val="16"/>
    </w:rPr>
  </w:style>
  <w:style w:type="character" w:customStyle="1" w:styleId="153">
    <w:name w:val="Font Style116"/>
    <w:autoRedefine/>
    <w:unhideWhenUsed/>
    <w:qFormat/>
    <w:uiPriority w:val="0"/>
    <w:rPr>
      <w:rFonts w:hint="eastAsia" w:ascii="宋体" w:hAnsi="宋体" w:eastAsia="宋体"/>
      <w:spacing w:val="-20"/>
      <w:sz w:val="24"/>
    </w:rPr>
  </w:style>
  <w:style w:type="character" w:customStyle="1" w:styleId="154">
    <w:name w:val="标题 Char"/>
    <w:autoRedefine/>
    <w:qFormat/>
    <w:uiPriority w:val="0"/>
    <w:rPr>
      <w:rFonts w:ascii="Cambria" w:hAnsi="Cambria"/>
      <w:b/>
      <w:kern w:val="2"/>
      <w:sz w:val="32"/>
      <w:szCs w:val="24"/>
    </w:rPr>
  </w:style>
  <w:style w:type="character" w:customStyle="1" w:styleId="155">
    <w:name w:val="批注主题 Char"/>
    <w:autoRedefine/>
    <w:qFormat/>
    <w:uiPriority w:val="0"/>
    <w:rPr>
      <w:b/>
      <w:bCs/>
      <w:kern w:val="2"/>
      <w:sz w:val="21"/>
      <w:szCs w:val="24"/>
    </w:rPr>
  </w:style>
  <w:style w:type="character" w:customStyle="1" w:styleId="156">
    <w:name w:val="bds_nopic1"/>
    <w:autoRedefine/>
    <w:qFormat/>
    <w:uiPriority w:val="0"/>
    <w:rPr>
      <w:rFonts w:ascii="Times New Roman" w:hAnsi="Times New Roman" w:eastAsia="宋体"/>
    </w:rPr>
  </w:style>
  <w:style w:type="character" w:customStyle="1" w:styleId="157">
    <w:name w:val="Font Style117"/>
    <w:autoRedefine/>
    <w:unhideWhenUsed/>
    <w:qFormat/>
    <w:uiPriority w:val="0"/>
    <w:rPr>
      <w:rFonts w:hint="eastAsia" w:ascii="宋体" w:hAnsi="宋体" w:eastAsia="宋体"/>
      <w:spacing w:val="20"/>
      <w:sz w:val="24"/>
    </w:rPr>
  </w:style>
  <w:style w:type="character" w:customStyle="1" w:styleId="158">
    <w:name w:val="title_3"/>
    <w:autoRedefine/>
    <w:qFormat/>
    <w:uiPriority w:val="0"/>
    <w:rPr>
      <w:b/>
      <w:sz w:val="15"/>
      <w:szCs w:val="15"/>
    </w:rPr>
  </w:style>
  <w:style w:type="character" w:customStyle="1" w:styleId="159">
    <w:name w:val="批注文字 Char Char"/>
    <w:autoRedefine/>
    <w:qFormat/>
    <w:uiPriority w:val="0"/>
    <w:rPr>
      <w:kern w:val="2"/>
      <w:sz w:val="21"/>
      <w:szCs w:val="24"/>
      <w:lang w:bidi="ar-SA"/>
    </w:rPr>
  </w:style>
  <w:style w:type="character" w:customStyle="1" w:styleId="160">
    <w:name w:val="Font Style131"/>
    <w:autoRedefine/>
    <w:unhideWhenUsed/>
    <w:qFormat/>
    <w:uiPriority w:val="0"/>
    <w:rPr>
      <w:rFonts w:hint="eastAsia" w:ascii="Times New Roman" w:hAnsi="Times New Roman" w:eastAsia="Times New Roman"/>
      <w:sz w:val="18"/>
    </w:rPr>
  </w:style>
  <w:style w:type="character" w:customStyle="1" w:styleId="161">
    <w:name w:val="Char Char17"/>
    <w:autoRedefine/>
    <w:qFormat/>
    <w:uiPriority w:val="0"/>
    <w:rPr>
      <w:rFonts w:ascii="宋体" w:hAnsi="Times New Roman" w:eastAsia="宋体"/>
      <w:b/>
      <w:sz w:val="28"/>
      <w:lang w:val="en-US" w:eastAsia="zh-CN" w:bidi="ar-SA"/>
    </w:rPr>
  </w:style>
  <w:style w:type="character" w:customStyle="1" w:styleId="162">
    <w:name w:val="bds_more10"/>
    <w:autoRedefine/>
    <w:qFormat/>
    <w:uiPriority w:val="0"/>
    <w:rPr>
      <w:rFonts w:ascii="Times New Roman" w:hAnsi="Times New Roman" w:eastAsia="宋体"/>
    </w:rPr>
  </w:style>
  <w:style w:type="character" w:customStyle="1" w:styleId="163">
    <w:name w:val="Font Style119"/>
    <w:autoRedefine/>
    <w:unhideWhenUsed/>
    <w:qFormat/>
    <w:uiPriority w:val="0"/>
    <w:rPr>
      <w:rFonts w:hint="eastAsia" w:ascii="宋体" w:hAnsi="宋体" w:eastAsia="宋体"/>
      <w:sz w:val="24"/>
    </w:rPr>
  </w:style>
  <w:style w:type="character" w:customStyle="1" w:styleId="164">
    <w:name w:val="批注框文本 Char"/>
    <w:autoRedefine/>
    <w:qFormat/>
    <w:uiPriority w:val="0"/>
    <w:rPr>
      <w:kern w:val="2"/>
      <w:sz w:val="18"/>
      <w:szCs w:val="18"/>
    </w:rPr>
  </w:style>
  <w:style w:type="paragraph" w:customStyle="1" w:styleId="165">
    <w:name w:val="标题2"/>
    <w:basedOn w:val="42"/>
    <w:autoRedefine/>
    <w:qFormat/>
    <w:uiPriority w:val="0"/>
    <w:pPr>
      <w:spacing w:after="240"/>
      <w:jc w:val="left"/>
    </w:pPr>
    <w:rPr>
      <w:sz w:val="30"/>
    </w:rPr>
  </w:style>
  <w:style w:type="paragraph" w:customStyle="1" w:styleId="166">
    <w:name w:val="报告正文S"/>
    <w:basedOn w:val="1"/>
    <w:autoRedefine/>
    <w:qFormat/>
    <w:uiPriority w:val="0"/>
    <w:pPr>
      <w:widowControl/>
      <w:topLinePunct/>
      <w:spacing w:line="520" w:lineRule="exact"/>
      <w:ind w:firstLine="510"/>
      <w:jc w:val="left"/>
    </w:pPr>
    <w:rPr>
      <w:snapToGrid w:val="0"/>
      <w:kern w:val="0"/>
      <w:sz w:val="24"/>
    </w:rPr>
  </w:style>
  <w:style w:type="paragraph" w:customStyle="1" w:styleId="167">
    <w:name w:val="Style76"/>
    <w:basedOn w:val="1"/>
    <w:autoRedefine/>
    <w:unhideWhenUsed/>
    <w:qFormat/>
    <w:uiPriority w:val="0"/>
  </w:style>
  <w:style w:type="paragraph" w:customStyle="1" w:styleId="168">
    <w:name w:val="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69">
    <w:name w:val="Style53"/>
    <w:basedOn w:val="1"/>
    <w:autoRedefine/>
    <w:unhideWhenUsed/>
    <w:qFormat/>
    <w:uiPriority w:val="0"/>
    <w:pPr>
      <w:spacing w:line="533" w:lineRule="exact"/>
      <w:ind w:firstLine="581"/>
    </w:pPr>
  </w:style>
  <w:style w:type="paragraph" w:customStyle="1" w:styleId="170">
    <w:name w:val="Style44"/>
    <w:basedOn w:val="1"/>
    <w:autoRedefine/>
    <w:unhideWhenUsed/>
    <w:qFormat/>
    <w:uiPriority w:val="0"/>
  </w:style>
  <w:style w:type="paragraph" w:customStyle="1" w:styleId="171">
    <w:name w:val="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72">
    <w:name w:val="Style70"/>
    <w:basedOn w:val="1"/>
    <w:autoRedefine/>
    <w:unhideWhenUsed/>
    <w:qFormat/>
    <w:uiPriority w:val="0"/>
    <w:pPr>
      <w:spacing w:line="549" w:lineRule="exact"/>
      <w:ind w:firstLine="686"/>
    </w:pPr>
  </w:style>
  <w:style w:type="paragraph" w:customStyle="1" w:styleId="173">
    <w:name w:val="Style48"/>
    <w:basedOn w:val="1"/>
    <w:autoRedefine/>
    <w:unhideWhenUsed/>
    <w:qFormat/>
    <w:uiPriority w:val="0"/>
    <w:pPr>
      <w:spacing w:line="542" w:lineRule="exact"/>
      <w:jc w:val="right"/>
    </w:pPr>
  </w:style>
  <w:style w:type="paragraph" w:customStyle="1" w:styleId="174">
    <w:name w:val="NO3"/>
    <w:basedOn w:val="1"/>
    <w:autoRedefine/>
    <w:qFormat/>
    <w:uiPriority w:val="0"/>
    <w:pPr>
      <w:tabs>
        <w:tab w:val="left" w:pos="907"/>
      </w:tabs>
      <w:spacing w:line="360" w:lineRule="auto"/>
    </w:pPr>
    <w:rPr>
      <w:rFonts w:ascii="宋体" w:hAnsi="宋体"/>
      <w:sz w:val="24"/>
    </w:rPr>
  </w:style>
  <w:style w:type="paragraph" w:customStyle="1" w:styleId="175">
    <w:name w:val="Style47"/>
    <w:basedOn w:val="1"/>
    <w:autoRedefine/>
    <w:unhideWhenUsed/>
    <w:qFormat/>
    <w:uiPriority w:val="0"/>
  </w:style>
  <w:style w:type="paragraph" w:customStyle="1" w:styleId="176">
    <w:name w:val="xl25"/>
    <w:basedOn w:val="1"/>
    <w:autoRedefine/>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77">
    <w:name w:val="Style81"/>
    <w:basedOn w:val="1"/>
    <w:autoRedefine/>
    <w:unhideWhenUsed/>
    <w:qFormat/>
    <w:uiPriority w:val="0"/>
    <w:pPr>
      <w:spacing w:line="547" w:lineRule="exact"/>
    </w:pPr>
  </w:style>
  <w:style w:type="paragraph" w:customStyle="1" w:styleId="178">
    <w:name w:val="p16"/>
    <w:basedOn w:val="1"/>
    <w:autoRedefine/>
    <w:qFormat/>
    <w:uiPriority w:val="0"/>
    <w:pPr>
      <w:widowControl/>
      <w:jc w:val="left"/>
    </w:pPr>
    <w:rPr>
      <w:kern w:val="0"/>
      <w:szCs w:val="21"/>
    </w:rPr>
  </w:style>
  <w:style w:type="paragraph" w:customStyle="1" w:styleId="179">
    <w:name w:val="Style42"/>
    <w:basedOn w:val="1"/>
    <w:autoRedefine/>
    <w:unhideWhenUsed/>
    <w:qFormat/>
    <w:uiPriority w:val="0"/>
    <w:pPr>
      <w:spacing w:line="542" w:lineRule="exact"/>
      <w:ind w:firstLine="547"/>
    </w:pPr>
  </w:style>
  <w:style w:type="paragraph" w:customStyle="1" w:styleId="180">
    <w:name w:val="Char Char Char"/>
    <w:basedOn w:val="1"/>
    <w:autoRedefine/>
    <w:qFormat/>
    <w:uiPriority w:val="0"/>
    <w:rPr>
      <w:rFonts w:ascii="宋体" w:hAnsi="宋体"/>
      <w:b/>
      <w:sz w:val="28"/>
      <w:szCs w:val="28"/>
    </w:rPr>
  </w:style>
  <w:style w:type="paragraph" w:customStyle="1" w:styleId="181">
    <w:name w:val="Style60"/>
    <w:basedOn w:val="1"/>
    <w:autoRedefine/>
    <w:unhideWhenUsed/>
    <w:qFormat/>
    <w:uiPriority w:val="0"/>
    <w:pPr>
      <w:spacing w:line="566" w:lineRule="exact"/>
    </w:pPr>
  </w:style>
  <w:style w:type="paragraph" w:customStyle="1" w:styleId="182">
    <w:name w:val="默认段落字体 Para Char Char Char Char Char Char Char Char Char Char Char Char Char Char Char Char Char Char Char"/>
    <w:basedOn w:val="1"/>
    <w:autoRedefine/>
    <w:qFormat/>
    <w:uiPriority w:val="0"/>
  </w:style>
  <w:style w:type="paragraph" w:customStyle="1" w:styleId="183">
    <w:name w:val="Style74"/>
    <w:basedOn w:val="1"/>
    <w:autoRedefine/>
    <w:unhideWhenUsed/>
    <w:qFormat/>
    <w:uiPriority w:val="0"/>
    <w:pPr>
      <w:spacing w:line="437" w:lineRule="exact"/>
    </w:pPr>
  </w:style>
  <w:style w:type="paragraph" w:customStyle="1" w:styleId="184">
    <w:name w:val="Char1 Char Char Char"/>
    <w:basedOn w:val="1"/>
    <w:autoRedefine/>
    <w:qFormat/>
    <w:uiPriority w:val="0"/>
    <w:pPr>
      <w:widowControl/>
      <w:spacing w:after="160" w:line="240" w:lineRule="exact"/>
      <w:jc w:val="left"/>
    </w:pPr>
    <w:rPr>
      <w:kern w:val="0"/>
      <w:sz w:val="24"/>
      <w:szCs w:val="20"/>
    </w:rPr>
  </w:style>
  <w:style w:type="paragraph" w:customStyle="1" w:styleId="185">
    <w:name w:val="Style15"/>
    <w:basedOn w:val="1"/>
    <w:autoRedefine/>
    <w:unhideWhenUsed/>
    <w:qFormat/>
    <w:uiPriority w:val="0"/>
    <w:pPr>
      <w:spacing w:line="557" w:lineRule="exact"/>
      <w:ind w:firstLine="672"/>
    </w:pPr>
  </w:style>
  <w:style w:type="paragraph" w:customStyle="1" w:styleId="186">
    <w:name w:val="Body Text First Indent 21"/>
    <w:basedOn w:val="187"/>
    <w:autoRedefine/>
    <w:qFormat/>
    <w:uiPriority w:val="0"/>
    <w:pPr>
      <w:ind w:firstLine="420" w:firstLineChars="200"/>
    </w:pPr>
  </w:style>
  <w:style w:type="paragraph" w:customStyle="1" w:styleId="187">
    <w:name w:val="Body Text Indent1"/>
    <w:basedOn w:val="1"/>
    <w:next w:val="188"/>
    <w:autoRedefine/>
    <w:qFormat/>
    <w:uiPriority w:val="0"/>
    <w:pPr>
      <w:spacing w:after="120"/>
      <w:ind w:left="420" w:leftChars="200"/>
    </w:pPr>
  </w:style>
  <w:style w:type="paragraph" w:customStyle="1" w:styleId="188">
    <w:name w:val="Body Text Indent 21"/>
    <w:basedOn w:val="1"/>
    <w:autoRedefine/>
    <w:qFormat/>
    <w:uiPriority w:val="0"/>
    <w:pPr>
      <w:spacing w:after="120" w:line="480" w:lineRule="auto"/>
      <w:ind w:left="420" w:leftChars="200"/>
    </w:pPr>
    <w:rPr>
      <w:kern w:val="0"/>
      <w:sz w:val="20"/>
    </w:rPr>
  </w:style>
  <w:style w:type="paragraph" w:customStyle="1" w:styleId="18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styleId="190">
    <w:name w:val="List Paragraph"/>
    <w:basedOn w:val="1"/>
    <w:autoRedefine/>
    <w:qFormat/>
    <w:uiPriority w:val="1"/>
    <w:pPr>
      <w:ind w:firstLine="420" w:firstLineChars="200"/>
    </w:pPr>
    <w:rPr>
      <w:rFonts w:ascii="Calibri" w:hAnsi="Calibri"/>
      <w:szCs w:val="22"/>
    </w:rPr>
  </w:style>
  <w:style w:type="paragraph" w:customStyle="1" w:styleId="191">
    <w:name w:val="Style62"/>
    <w:basedOn w:val="1"/>
    <w:autoRedefine/>
    <w:unhideWhenUsed/>
    <w:qFormat/>
    <w:uiPriority w:val="0"/>
  </w:style>
  <w:style w:type="paragraph" w:customStyle="1" w:styleId="192">
    <w:name w:val="样式 标题 2 + Times New Roman 四号 非加粗 段前: 5 磅 段后: 0 磅 行距: 固定值 20..."/>
    <w:basedOn w:val="3"/>
    <w:autoRedefine/>
    <w:qFormat/>
    <w:uiPriority w:val="0"/>
    <w:pPr>
      <w:spacing w:before="100" w:line="400" w:lineRule="exact"/>
    </w:pPr>
    <w:rPr>
      <w:rFonts w:ascii="Times New Roman" w:hAnsi="Times New Roman" w:eastAsia="黑体"/>
      <w:b w:val="0"/>
      <w:bCs w:val="0"/>
      <w:sz w:val="28"/>
      <w:szCs w:val="20"/>
    </w:rPr>
  </w:style>
  <w:style w:type="paragraph" w:customStyle="1" w:styleId="193">
    <w:name w:val="Style8"/>
    <w:basedOn w:val="1"/>
    <w:autoRedefine/>
    <w:unhideWhenUsed/>
    <w:qFormat/>
    <w:uiPriority w:val="0"/>
    <w:pPr>
      <w:spacing w:line="566" w:lineRule="exact"/>
      <w:jc w:val="center"/>
    </w:pPr>
  </w:style>
  <w:style w:type="paragraph" w:customStyle="1" w:styleId="194">
    <w:name w:val="我的正文"/>
    <w:basedOn w:val="1"/>
    <w:next w:val="1"/>
    <w:autoRedefine/>
    <w:qFormat/>
    <w:uiPriority w:val="0"/>
    <w:pPr>
      <w:spacing w:line="440" w:lineRule="exact"/>
      <w:ind w:firstLine="420" w:firstLineChars="200"/>
      <w:jc w:val="left"/>
    </w:pPr>
    <w:rPr>
      <w:rFonts w:ascii="宋体" w:hAnsi="宋体"/>
      <w:szCs w:val="21"/>
    </w:rPr>
  </w:style>
  <w:style w:type="paragraph" w:customStyle="1" w:styleId="195">
    <w:name w:val="Style26"/>
    <w:basedOn w:val="1"/>
    <w:autoRedefine/>
    <w:unhideWhenUsed/>
    <w:qFormat/>
    <w:uiPriority w:val="0"/>
  </w:style>
  <w:style w:type="paragraph" w:customStyle="1" w:styleId="196">
    <w:name w:val="Style65"/>
    <w:basedOn w:val="1"/>
    <w:autoRedefine/>
    <w:unhideWhenUsed/>
    <w:qFormat/>
    <w:uiPriority w:val="0"/>
  </w:style>
  <w:style w:type="paragraph" w:customStyle="1" w:styleId="197">
    <w:name w:val="Style71"/>
    <w:basedOn w:val="1"/>
    <w:autoRedefine/>
    <w:unhideWhenUsed/>
    <w:qFormat/>
    <w:uiPriority w:val="0"/>
    <w:pPr>
      <w:spacing w:line="538" w:lineRule="exact"/>
      <w:ind w:firstLine="101"/>
    </w:pPr>
  </w:style>
  <w:style w:type="paragraph" w:customStyle="1" w:styleId="198">
    <w:name w:val="Style46"/>
    <w:basedOn w:val="1"/>
    <w:autoRedefine/>
    <w:unhideWhenUsed/>
    <w:qFormat/>
    <w:uiPriority w:val="0"/>
    <w:pPr>
      <w:spacing w:line="672" w:lineRule="exact"/>
    </w:pPr>
  </w:style>
  <w:style w:type="paragraph" w:customStyle="1" w:styleId="199">
    <w:name w:val="WPSOffice手动目录 1"/>
    <w:autoRedefine/>
    <w:qFormat/>
    <w:uiPriority w:val="0"/>
    <w:rPr>
      <w:rFonts w:ascii="Times New Roman" w:hAnsi="Times New Roman" w:eastAsia="宋体" w:cs="Times New Roman"/>
      <w:lang w:val="en-US" w:eastAsia="zh-CN" w:bidi="ar-SA"/>
    </w:rPr>
  </w:style>
  <w:style w:type="paragraph" w:customStyle="1" w:styleId="200">
    <w:name w:val="Style73"/>
    <w:basedOn w:val="1"/>
    <w:autoRedefine/>
    <w:unhideWhenUsed/>
    <w:qFormat/>
    <w:uiPriority w:val="0"/>
    <w:pPr>
      <w:spacing w:line="538" w:lineRule="exact"/>
      <w:ind w:firstLine="533"/>
    </w:pPr>
  </w:style>
  <w:style w:type="paragraph" w:customStyle="1" w:styleId="201">
    <w:name w:val="1"/>
    <w:basedOn w:val="1"/>
    <w:autoRedefine/>
    <w:qFormat/>
    <w:uiPriority w:val="0"/>
    <w:pPr>
      <w:spacing w:after="156" w:afterLines="50" w:line="360" w:lineRule="auto"/>
    </w:pPr>
    <w:rPr>
      <w:rFonts w:ascii="宋体" w:hAnsi="宋体"/>
      <w:b/>
      <w:sz w:val="30"/>
      <w:szCs w:val="21"/>
    </w:rPr>
  </w:style>
  <w:style w:type="paragraph" w:customStyle="1" w:styleId="202">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3">
    <w:name w:val="Style27"/>
    <w:basedOn w:val="1"/>
    <w:autoRedefine/>
    <w:unhideWhenUsed/>
    <w:qFormat/>
    <w:uiPriority w:val="0"/>
  </w:style>
  <w:style w:type="paragraph" w:customStyle="1" w:styleId="204">
    <w:name w:val="前言、引言标题"/>
    <w:next w:val="1"/>
    <w:autoRedefine/>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0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06">
    <w:name w:val="Style64"/>
    <w:basedOn w:val="1"/>
    <w:autoRedefine/>
    <w:unhideWhenUsed/>
    <w:qFormat/>
    <w:uiPriority w:val="0"/>
  </w:style>
  <w:style w:type="paragraph" w:customStyle="1" w:styleId="207">
    <w:name w:val="xl31"/>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8">
    <w:name w:val="Style36"/>
    <w:basedOn w:val="1"/>
    <w:autoRedefine/>
    <w:unhideWhenUsed/>
    <w:qFormat/>
    <w:uiPriority w:val="0"/>
  </w:style>
  <w:style w:type="paragraph" w:customStyle="1" w:styleId="209">
    <w:name w:val="附录标识"/>
    <w:basedOn w:val="204"/>
    <w:autoRedefine/>
    <w:qFormat/>
    <w:uiPriority w:val="0"/>
    <w:pPr>
      <w:tabs>
        <w:tab w:val="left" w:pos="6405"/>
        <w:tab w:val="clear" w:pos="360"/>
      </w:tabs>
      <w:spacing w:after="200"/>
    </w:pPr>
    <w:rPr>
      <w:sz w:val="21"/>
    </w:rPr>
  </w:style>
  <w:style w:type="paragraph" w:customStyle="1" w:styleId="210">
    <w:name w:val="Style80"/>
    <w:basedOn w:val="1"/>
    <w:autoRedefine/>
    <w:unhideWhenUsed/>
    <w:qFormat/>
    <w:uiPriority w:val="0"/>
  </w:style>
  <w:style w:type="paragraph" w:customStyle="1" w:styleId="211">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
    <w:name w:val="Style28"/>
    <w:basedOn w:val="1"/>
    <w:autoRedefine/>
    <w:unhideWhenUsed/>
    <w:qFormat/>
    <w:uiPriority w:val="0"/>
    <w:pPr>
      <w:spacing w:line="552" w:lineRule="exact"/>
      <w:ind w:firstLine="547"/>
    </w:pPr>
  </w:style>
  <w:style w:type="paragraph" w:customStyle="1" w:styleId="213">
    <w:name w:val="Char Char1 Char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14">
    <w:name w:val="样式 标题 2 + 宋体 五号 行距: 单倍行距"/>
    <w:basedOn w:val="3"/>
    <w:autoRedefine/>
    <w:qFormat/>
    <w:uiPriority w:val="0"/>
    <w:pPr>
      <w:tabs>
        <w:tab w:val="left" w:pos="2175"/>
      </w:tabs>
      <w:adjustRightInd w:val="0"/>
      <w:spacing w:before="260" w:after="260" w:line="240" w:lineRule="auto"/>
      <w:ind w:left="2175" w:hanging="1275"/>
      <w:jc w:val="left"/>
      <w:textAlignment w:val="baseline"/>
    </w:pPr>
    <w:rPr>
      <w:rFonts w:ascii="宋体" w:hAnsi="宋体"/>
      <w:kern w:val="0"/>
      <w:szCs w:val="20"/>
    </w:rPr>
  </w:style>
  <w:style w:type="paragraph" w:customStyle="1" w:styleId="215">
    <w:name w:val="Style12"/>
    <w:basedOn w:val="1"/>
    <w:autoRedefine/>
    <w:unhideWhenUsed/>
    <w:qFormat/>
    <w:uiPriority w:val="0"/>
    <w:pPr>
      <w:spacing w:line="564" w:lineRule="exact"/>
      <w:ind w:hanging="115"/>
    </w:pPr>
  </w:style>
  <w:style w:type="paragraph" w:customStyle="1" w:styleId="216">
    <w:name w:val="Style78"/>
    <w:basedOn w:val="1"/>
    <w:autoRedefine/>
    <w:unhideWhenUsed/>
    <w:qFormat/>
    <w:uiPriority w:val="0"/>
  </w:style>
  <w:style w:type="paragraph" w:customStyle="1" w:styleId="217">
    <w:name w:val="Style4"/>
    <w:basedOn w:val="1"/>
    <w:autoRedefine/>
    <w:unhideWhenUsed/>
    <w:qFormat/>
    <w:uiPriority w:val="0"/>
  </w:style>
  <w:style w:type="paragraph" w:customStyle="1" w:styleId="218">
    <w:name w:val="Style45"/>
    <w:basedOn w:val="1"/>
    <w:autoRedefine/>
    <w:unhideWhenUsed/>
    <w:qFormat/>
    <w:uiPriority w:val="0"/>
  </w:style>
  <w:style w:type="paragraph" w:customStyle="1" w:styleId="219">
    <w:name w:val="文档正文"/>
    <w:basedOn w:val="1"/>
    <w:autoRedefine/>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220">
    <w:name w:val="样式 样式 样式 样式 标题 2 + 宋体 五号 非加粗 黑色 + 段前: 6 磅 段后: 0 磅 行距: 单倍行距 + 段前:..."/>
    <w:basedOn w:val="1"/>
    <w:autoRedefine/>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221">
    <w:name w:val="Style63"/>
    <w:basedOn w:val="1"/>
    <w:autoRedefine/>
    <w:unhideWhenUsed/>
    <w:qFormat/>
    <w:uiPriority w:val="0"/>
    <w:pPr>
      <w:spacing w:line="564" w:lineRule="exact"/>
      <w:ind w:firstLine="682"/>
    </w:pPr>
  </w:style>
  <w:style w:type="paragraph" w:customStyle="1" w:styleId="222">
    <w:name w:val="List Paragraph1"/>
    <w:basedOn w:val="1"/>
    <w:autoRedefine/>
    <w:qFormat/>
    <w:uiPriority w:val="0"/>
    <w:pPr>
      <w:ind w:firstLine="420" w:firstLineChars="200"/>
    </w:pPr>
    <w:rPr>
      <w:rFonts w:ascii="Calibri" w:hAnsi="Calibri" w:cs="Calibri"/>
      <w:szCs w:val="21"/>
    </w:rPr>
  </w:style>
  <w:style w:type="paragraph" w:customStyle="1" w:styleId="223">
    <w:name w:val="Style13"/>
    <w:basedOn w:val="1"/>
    <w:autoRedefine/>
    <w:unhideWhenUsed/>
    <w:qFormat/>
    <w:uiPriority w:val="0"/>
  </w:style>
  <w:style w:type="paragraph" w:customStyle="1" w:styleId="224">
    <w:name w:val="Char Char1 Char Char Char Char Char1 Char Char Char Char"/>
    <w:basedOn w:val="15"/>
    <w:autoRedefine/>
    <w:qFormat/>
    <w:uiPriority w:val="0"/>
    <w:rPr>
      <w:rFonts w:ascii="Tahoma" w:hAnsi="Tahoma"/>
    </w:rPr>
  </w:style>
  <w:style w:type="paragraph" w:customStyle="1" w:styleId="225">
    <w:name w:val="Char1 Char Char Char 字元 Char Char 字元 Char 字元 Char1 Char Char Char"/>
    <w:basedOn w:val="1"/>
    <w:autoRedefine/>
    <w:qFormat/>
    <w:uiPriority w:val="0"/>
    <w:rPr>
      <w:szCs w:val="20"/>
    </w:rPr>
  </w:style>
  <w:style w:type="paragraph" w:customStyle="1" w:styleId="226">
    <w:name w:val="Style11"/>
    <w:basedOn w:val="1"/>
    <w:autoRedefine/>
    <w:unhideWhenUsed/>
    <w:qFormat/>
    <w:uiPriority w:val="0"/>
    <w:pPr>
      <w:spacing w:line="559" w:lineRule="exact"/>
      <w:ind w:firstLine="590"/>
    </w:pPr>
  </w:style>
  <w:style w:type="paragraph" w:customStyle="1" w:styleId="227">
    <w:name w:val="Style50"/>
    <w:basedOn w:val="1"/>
    <w:autoRedefine/>
    <w:unhideWhenUsed/>
    <w:qFormat/>
    <w:uiPriority w:val="0"/>
  </w:style>
  <w:style w:type="paragraph" w:customStyle="1" w:styleId="228">
    <w:name w:val="Style56"/>
    <w:basedOn w:val="1"/>
    <w:autoRedefine/>
    <w:unhideWhenUsed/>
    <w:qFormat/>
    <w:uiPriority w:val="0"/>
  </w:style>
  <w:style w:type="paragraph" w:customStyle="1" w:styleId="229">
    <w:name w:val="Style23"/>
    <w:basedOn w:val="1"/>
    <w:autoRedefine/>
    <w:unhideWhenUsed/>
    <w:qFormat/>
    <w:uiPriority w:val="0"/>
  </w:style>
  <w:style w:type="paragraph" w:customStyle="1" w:styleId="230">
    <w:name w:val="Char Char1 Char Char Char Char Char Char Char"/>
    <w:basedOn w:val="1"/>
    <w:autoRedefine/>
    <w:qFormat/>
    <w:uiPriority w:val="0"/>
    <w:pPr>
      <w:widowControl/>
      <w:spacing w:after="160" w:line="240" w:lineRule="exact"/>
      <w:jc w:val="left"/>
    </w:pPr>
  </w:style>
  <w:style w:type="paragraph" w:customStyle="1" w:styleId="231">
    <w:name w:val="标题 1 +"/>
    <w:basedOn w:val="2"/>
    <w:next w:val="1"/>
    <w:autoRedefine/>
    <w:qFormat/>
    <w:uiPriority w:val="0"/>
    <w:pPr>
      <w:keepLines/>
      <w:spacing w:line="600" w:lineRule="auto"/>
    </w:pPr>
    <w:rPr>
      <w:rFonts w:eastAsia="黑体"/>
      <w:kern w:val="0"/>
    </w:rPr>
  </w:style>
  <w:style w:type="paragraph" w:customStyle="1" w:styleId="232">
    <w:name w:val="S表格文字"/>
    <w:basedOn w:val="1"/>
    <w:autoRedefine/>
    <w:qFormat/>
    <w:uiPriority w:val="0"/>
    <w:pPr>
      <w:widowControl/>
      <w:spacing w:before="20" w:after="20"/>
      <w:jc w:val="center"/>
    </w:pPr>
    <w:rPr>
      <w:rFonts w:ascii="宋体" w:hAnsi="宋体" w:cs="宋体"/>
      <w:kern w:val="0"/>
      <w:szCs w:val="21"/>
    </w:rPr>
  </w:style>
  <w:style w:type="paragraph" w:customStyle="1" w:styleId="233">
    <w:name w:val="Char Char1 Char Char Char"/>
    <w:basedOn w:val="1"/>
    <w:autoRedefine/>
    <w:qFormat/>
    <w:uiPriority w:val="0"/>
    <w:rPr>
      <w:kern w:val="0"/>
      <w:sz w:val="20"/>
      <w:szCs w:val="20"/>
    </w:rPr>
  </w:style>
  <w:style w:type="paragraph" w:customStyle="1" w:styleId="234">
    <w:name w:val="Style29"/>
    <w:basedOn w:val="1"/>
    <w:autoRedefine/>
    <w:unhideWhenUsed/>
    <w:qFormat/>
    <w:uiPriority w:val="0"/>
    <w:pPr>
      <w:spacing w:line="547" w:lineRule="exact"/>
      <w:ind w:firstLine="547"/>
    </w:pPr>
  </w:style>
  <w:style w:type="paragraph" w:customStyle="1" w:styleId="235">
    <w:name w:val="1 Char Char Char Char"/>
    <w:basedOn w:val="1"/>
    <w:autoRedefine/>
    <w:qFormat/>
    <w:uiPriority w:val="0"/>
  </w:style>
  <w:style w:type="paragraph" w:customStyle="1" w:styleId="236">
    <w:name w:val="p15"/>
    <w:basedOn w:val="1"/>
    <w:autoRedefine/>
    <w:qFormat/>
    <w:uiPriority w:val="0"/>
    <w:pPr>
      <w:widowControl/>
      <w:spacing w:line="220" w:lineRule="atLeast"/>
      <w:jc w:val="center"/>
    </w:pPr>
    <w:rPr>
      <w:rFonts w:ascii="仿宋_GB2312" w:hAnsi="宋体" w:eastAsia="仿宋_GB2312" w:cs="宋体"/>
      <w:kern w:val="0"/>
      <w:szCs w:val="21"/>
    </w:rPr>
  </w:style>
  <w:style w:type="paragraph" w:customStyle="1" w:styleId="237">
    <w:name w:val="S表题图名"/>
    <w:basedOn w:val="5"/>
    <w:autoRedefine/>
    <w:qFormat/>
    <w:uiPriority w:val="0"/>
    <w:pPr>
      <w:widowControl/>
      <w:tabs>
        <w:tab w:val="left" w:pos="3412"/>
      </w:tabs>
      <w:spacing w:before="120" w:after="120" w:line="372" w:lineRule="auto"/>
      <w:ind w:right="40"/>
      <w:jc w:val="center"/>
      <w:outlineLvl w:val="9"/>
    </w:pPr>
    <w:rPr>
      <w:bCs w:val="0"/>
      <w:szCs w:val="20"/>
    </w:rPr>
  </w:style>
  <w:style w:type="paragraph" w:customStyle="1" w:styleId="238">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239">
    <w:name w:val="Style10"/>
    <w:basedOn w:val="1"/>
    <w:autoRedefine/>
    <w:unhideWhenUsed/>
    <w:qFormat/>
    <w:uiPriority w:val="0"/>
    <w:pPr>
      <w:spacing w:line="538" w:lineRule="exact"/>
    </w:pPr>
  </w:style>
  <w:style w:type="paragraph" w:customStyle="1" w:styleId="240">
    <w:name w:val="Style68"/>
    <w:basedOn w:val="1"/>
    <w:autoRedefine/>
    <w:unhideWhenUsed/>
    <w:qFormat/>
    <w:uiPriority w:val="0"/>
    <w:pPr>
      <w:spacing w:line="547" w:lineRule="exact"/>
    </w:pPr>
  </w:style>
  <w:style w:type="paragraph" w:customStyle="1" w:styleId="241">
    <w:name w:val="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2">
    <w:name w:val="Style61"/>
    <w:basedOn w:val="1"/>
    <w:autoRedefine/>
    <w:unhideWhenUsed/>
    <w:qFormat/>
    <w:uiPriority w:val="0"/>
  </w:style>
  <w:style w:type="paragraph" w:customStyle="1" w:styleId="243">
    <w:name w:val="Char Char Char1 Char"/>
    <w:basedOn w:val="1"/>
    <w:autoRedefine/>
    <w:qFormat/>
    <w:uiPriority w:val="0"/>
    <w:pPr>
      <w:tabs>
        <w:tab w:val="left" w:pos="360"/>
      </w:tabs>
      <w:snapToGrid w:val="0"/>
      <w:spacing w:line="360" w:lineRule="auto"/>
    </w:pPr>
    <w:rPr>
      <w:rFonts w:eastAsia="仿宋_GB2312" w:cs="宋体"/>
      <w:sz w:val="24"/>
    </w:rPr>
  </w:style>
  <w:style w:type="paragraph" w:customStyle="1" w:styleId="244">
    <w:name w:val="Style58"/>
    <w:basedOn w:val="1"/>
    <w:autoRedefine/>
    <w:unhideWhenUsed/>
    <w:qFormat/>
    <w:uiPriority w:val="0"/>
    <w:pPr>
      <w:spacing w:line="413" w:lineRule="exact"/>
    </w:pPr>
  </w:style>
  <w:style w:type="paragraph" w:customStyle="1" w:styleId="245">
    <w:name w:val="Style24"/>
    <w:basedOn w:val="1"/>
    <w:autoRedefine/>
    <w:unhideWhenUsed/>
    <w:qFormat/>
    <w:uiPriority w:val="0"/>
  </w:style>
  <w:style w:type="paragraph" w:customStyle="1" w:styleId="246">
    <w:name w:val="_Style 39"/>
    <w:basedOn w:val="211"/>
    <w:autoRedefine/>
    <w:qFormat/>
    <w:uiPriority w:val="0"/>
  </w:style>
  <w:style w:type="paragraph" w:customStyle="1" w:styleId="247">
    <w:name w:val="表正文"/>
    <w:autoRedefine/>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248">
    <w:name w:val="Style59"/>
    <w:basedOn w:val="1"/>
    <w:autoRedefine/>
    <w:unhideWhenUsed/>
    <w:qFormat/>
    <w:uiPriority w:val="0"/>
  </w:style>
  <w:style w:type="paragraph" w:customStyle="1" w:styleId="249">
    <w:name w:val="Style77"/>
    <w:basedOn w:val="1"/>
    <w:autoRedefine/>
    <w:unhideWhenUsed/>
    <w:qFormat/>
    <w:uiPriority w:val="0"/>
  </w:style>
  <w:style w:type="paragraph" w:customStyle="1" w:styleId="250">
    <w:name w:val="Style5"/>
    <w:basedOn w:val="1"/>
    <w:autoRedefine/>
    <w:unhideWhenUsed/>
    <w:qFormat/>
    <w:uiPriority w:val="0"/>
  </w:style>
  <w:style w:type="paragraph" w:customStyle="1" w:styleId="251">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52">
    <w:name w:val="表格样式"/>
    <w:basedOn w:val="1"/>
    <w:autoRedefine/>
    <w:qFormat/>
    <w:uiPriority w:val="0"/>
    <w:pPr>
      <w:jc w:val="left"/>
    </w:pPr>
    <w:rPr>
      <w:sz w:val="22"/>
    </w:rPr>
  </w:style>
  <w:style w:type="paragraph" w:customStyle="1" w:styleId="253">
    <w:name w:val="Style72"/>
    <w:basedOn w:val="1"/>
    <w:autoRedefine/>
    <w:unhideWhenUsed/>
    <w:qFormat/>
    <w:uiPriority w:val="0"/>
  </w:style>
  <w:style w:type="paragraph" w:customStyle="1" w:styleId="254">
    <w:name w:val="Style52"/>
    <w:basedOn w:val="1"/>
    <w:autoRedefine/>
    <w:unhideWhenUsed/>
    <w:qFormat/>
    <w:uiPriority w:val="0"/>
    <w:pPr>
      <w:spacing w:line="682" w:lineRule="exact"/>
      <w:ind w:firstLine="557"/>
    </w:pPr>
  </w:style>
  <w:style w:type="paragraph" w:customStyle="1" w:styleId="255">
    <w:name w:val="Style9"/>
    <w:basedOn w:val="1"/>
    <w:autoRedefine/>
    <w:unhideWhenUsed/>
    <w:qFormat/>
    <w:uiPriority w:val="0"/>
  </w:style>
  <w:style w:type="paragraph" w:customStyle="1" w:styleId="256">
    <w:name w:val="样式1"/>
    <w:basedOn w:val="1"/>
    <w:autoRedefine/>
    <w:qFormat/>
    <w:uiPriority w:val="0"/>
    <w:pPr>
      <w:tabs>
        <w:tab w:val="left" w:pos="360"/>
      </w:tabs>
      <w:adjustRightInd w:val="0"/>
      <w:ind w:left="360" w:hanging="360"/>
      <w:textAlignment w:val="baseline"/>
    </w:pPr>
    <w:rPr>
      <w:rFonts w:ascii="宋体" w:hAnsi="宋体"/>
      <w:kern w:val="0"/>
      <w:szCs w:val="21"/>
    </w:rPr>
  </w:style>
  <w:style w:type="paragraph" w:customStyle="1" w:styleId="257">
    <w:name w:val="Char2"/>
    <w:basedOn w:val="1"/>
    <w:autoRedefine/>
    <w:qFormat/>
    <w:uiPriority w:val="0"/>
    <w:pPr>
      <w:tabs>
        <w:tab w:val="left" w:pos="360"/>
      </w:tabs>
      <w:ind w:left="360" w:hanging="360" w:hangingChars="200"/>
    </w:pPr>
    <w:rPr>
      <w:sz w:val="24"/>
    </w:rPr>
  </w:style>
  <w:style w:type="paragraph" w:customStyle="1" w:styleId="258">
    <w:name w:val="Style67"/>
    <w:basedOn w:val="1"/>
    <w:autoRedefine/>
    <w:unhideWhenUsed/>
    <w:qFormat/>
    <w:uiPriority w:val="0"/>
    <w:pPr>
      <w:spacing w:line="566" w:lineRule="exact"/>
      <w:ind w:firstLine="552"/>
    </w:pPr>
  </w:style>
  <w:style w:type="paragraph" w:customStyle="1" w:styleId="259">
    <w:name w:val="Char1 Char Char Char Char Char Char Char Char Char"/>
    <w:basedOn w:val="1"/>
    <w:autoRedefine/>
    <w:qFormat/>
    <w:uiPriority w:val="0"/>
    <w:rPr>
      <w:szCs w:val="20"/>
    </w:rPr>
  </w:style>
  <w:style w:type="paragraph" w:customStyle="1" w:styleId="260">
    <w:name w:val="S标题4"/>
    <w:basedOn w:val="5"/>
    <w:autoRedefine/>
    <w:qFormat/>
    <w:uiPriority w:val="0"/>
    <w:pPr>
      <w:keepNext w:val="0"/>
      <w:keepLines w:val="0"/>
      <w:widowControl/>
      <w:spacing w:before="0" w:after="0" w:line="520" w:lineRule="exact"/>
      <w:ind w:firstLine="510"/>
    </w:pPr>
    <w:rPr>
      <w:rFonts w:ascii="Times New Roman" w:hAnsi="Times New Roman" w:eastAsia="Times New Roman"/>
      <w:bCs w:val="0"/>
      <w:kern w:val="0"/>
      <w:sz w:val="24"/>
      <w:szCs w:val="24"/>
    </w:rPr>
  </w:style>
  <w:style w:type="paragraph" w:customStyle="1" w:styleId="261">
    <w:name w:val="Style34"/>
    <w:basedOn w:val="1"/>
    <w:autoRedefine/>
    <w:unhideWhenUsed/>
    <w:qFormat/>
    <w:uiPriority w:val="0"/>
    <w:pPr>
      <w:spacing w:line="375" w:lineRule="exact"/>
    </w:pPr>
  </w:style>
  <w:style w:type="paragraph" w:customStyle="1" w:styleId="262">
    <w:name w:val="Style21"/>
    <w:basedOn w:val="1"/>
    <w:autoRedefine/>
    <w:unhideWhenUsed/>
    <w:qFormat/>
    <w:uiPriority w:val="0"/>
    <w:pPr>
      <w:spacing w:line="566" w:lineRule="exact"/>
      <w:ind w:firstLine="682"/>
    </w:pPr>
  </w:style>
  <w:style w:type="paragraph" w:customStyle="1" w:styleId="263">
    <w:name w:val="_Style 258"/>
    <w:autoRedefine/>
    <w:qFormat/>
    <w:uiPriority w:val="0"/>
    <w:rPr>
      <w:rFonts w:ascii="Times New Roman" w:hAnsi="Times New Roman" w:eastAsia="宋体" w:cs="Times New Roman"/>
      <w:kern w:val="2"/>
      <w:sz w:val="21"/>
      <w:szCs w:val="24"/>
      <w:lang w:val="en-US" w:eastAsia="zh-CN" w:bidi="ar-SA"/>
    </w:rPr>
  </w:style>
  <w:style w:type="paragraph" w:customStyle="1" w:styleId="264">
    <w:name w:val="ty-xq-title"/>
    <w:basedOn w:val="1"/>
    <w:autoRedefine/>
    <w:qFormat/>
    <w:uiPriority w:val="0"/>
    <w:pPr>
      <w:spacing w:before="450" w:after="300"/>
      <w:jc w:val="center"/>
    </w:pPr>
    <w:rPr>
      <w:b/>
      <w:color w:val="333333"/>
      <w:kern w:val="0"/>
      <w:sz w:val="30"/>
      <w:szCs w:val="30"/>
    </w:rPr>
  </w:style>
  <w:style w:type="paragraph" w:customStyle="1" w:styleId="265">
    <w:name w:val="Style41"/>
    <w:basedOn w:val="1"/>
    <w:autoRedefine/>
    <w:unhideWhenUsed/>
    <w:qFormat/>
    <w:uiPriority w:val="0"/>
    <w:pPr>
      <w:spacing w:line="542" w:lineRule="exact"/>
      <w:ind w:firstLine="125"/>
    </w:pPr>
  </w:style>
  <w:style w:type="paragraph" w:customStyle="1" w:styleId="266">
    <w:name w:val="Table Paragraph"/>
    <w:basedOn w:val="1"/>
    <w:autoRedefine/>
    <w:qFormat/>
    <w:uiPriority w:val="1"/>
    <w:rPr>
      <w:rFonts w:ascii="宋体" w:hAnsi="宋体" w:cs="宋体"/>
      <w:lang w:val="zh-CN" w:bidi="zh-CN"/>
    </w:rPr>
  </w:style>
  <w:style w:type="paragraph" w:customStyle="1" w:styleId="267">
    <w:name w:val="Style16"/>
    <w:basedOn w:val="1"/>
    <w:autoRedefine/>
    <w:unhideWhenUsed/>
    <w:qFormat/>
    <w:uiPriority w:val="0"/>
    <w:pPr>
      <w:jc w:val="right"/>
    </w:pPr>
  </w:style>
  <w:style w:type="paragraph" w:customStyle="1" w:styleId="268">
    <w:name w:val="表格内容"/>
    <w:basedOn w:val="19"/>
    <w:autoRedefine/>
    <w:qFormat/>
    <w:uiPriority w:val="0"/>
    <w:pPr>
      <w:suppressLineNumbers/>
      <w:suppressAutoHyphens/>
      <w:jc w:val="left"/>
    </w:pPr>
    <w:rPr>
      <w:rFonts w:cs="Tahoma"/>
      <w:kern w:val="0"/>
      <w:sz w:val="24"/>
    </w:rPr>
  </w:style>
  <w:style w:type="paragraph" w:customStyle="1" w:styleId="269">
    <w:name w:val="Style54"/>
    <w:basedOn w:val="1"/>
    <w:autoRedefine/>
    <w:unhideWhenUsed/>
    <w:qFormat/>
    <w:uiPriority w:val="0"/>
  </w:style>
  <w:style w:type="paragraph" w:customStyle="1" w:styleId="270">
    <w:name w:val="Style69"/>
    <w:basedOn w:val="1"/>
    <w:autoRedefine/>
    <w:unhideWhenUsed/>
    <w:qFormat/>
    <w:uiPriority w:val="0"/>
    <w:pPr>
      <w:spacing w:line="557" w:lineRule="exact"/>
      <w:ind w:firstLine="1666"/>
    </w:pPr>
  </w:style>
  <w:style w:type="paragraph" w:customStyle="1" w:styleId="271">
    <w:name w:val="标题3"/>
    <w:basedOn w:val="2"/>
    <w:autoRedefine/>
    <w:qFormat/>
    <w:uiPriority w:val="0"/>
    <w:pPr>
      <w:spacing w:before="156" w:beforeLines="50" w:after="156" w:afterLines="50" w:line="400" w:lineRule="exact"/>
      <w:jc w:val="both"/>
    </w:pPr>
    <w:rPr>
      <w:rFonts w:ascii="宋体" w:hAnsi="宋体"/>
      <w:kern w:val="32"/>
    </w:rPr>
  </w:style>
  <w:style w:type="paragraph" w:customStyle="1" w:styleId="272">
    <w:name w:val="段"/>
    <w:autoRedefine/>
    <w:qFormat/>
    <w:uiPriority w:val="0"/>
    <w:pPr>
      <w:autoSpaceDE w:val="0"/>
      <w:autoSpaceDN w:val="0"/>
      <w:ind w:firstLine="200" w:firstLineChars="200"/>
      <w:jc w:val="both"/>
    </w:pPr>
    <w:rPr>
      <w:rFonts w:ascii="宋体" w:hAnsi="Times New Roman" w:eastAsia="Times New Roman" w:cs="Times New Roman"/>
      <w:sz w:val="24"/>
      <w:szCs w:val="22"/>
      <w:lang w:val="en-US" w:eastAsia="zh-CN" w:bidi="ar-SA"/>
    </w:rPr>
  </w:style>
  <w:style w:type="table" w:customStyle="1" w:styleId="273">
    <w:name w:val="网格型1"/>
    <w:basedOn w:val="4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4">
    <w:name w:val="Heading1"/>
    <w:basedOn w:val="1"/>
    <w:next w:val="1"/>
    <w:autoRedefine/>
    <w:qFormat/>
    <w:uiPriority w:val="0"/>
    <w:pPr>
      <w:keepNext/>
      <w:jc w:val="center"/>
      <w:textAlignment w:val="baseline"/>
    </w:pPr>
    <w:rPr>
      <w:rFonts w:ascii="Calibri" w:hAnsi="Calibri"/>
      <w:b/>
      <w:bCs/>
      <w:sz w:val="28"/>
      <w:szCs w:val="20"/>
    </w:rPr>
  </w:style>
  <w:style w:type="character" w:customStyle="1" w:styleId="275">
    <w:name w:val="_37aak"/>
    <w:basedOn w:val="48"/>
    <w:autoRedefine/>
    <w:qFormat/>
    <w:uiPriority w:val="0"/>
  </w:style>
  <w:style w:type="character" w:customStyle="1" w:styleId="276">
    <w:name w:val="hover7"/>
    <w:basedOn w:val="48"/>
    <w:autoRedefine/>
    <w:qFormat/>
    <w:uiPriority w:val="0"/>
    <w:rPr>
      <w:color w:val="315EFB"/>
    </w:rPr>
  </w:style>
  <w:style w:type="character" w:customStyle="1" w:styleId="277">
    <w:name w:val="hover6"/>
    <w:basedOn w:val="48"/>
    <w:autoRedefine/>
    <w:qFormat/>
    <w:uiPriority w:val="0"/>
    <w:rPr>
      <w:color w:val="315EFB"/>
    </w:rPr>
  </w:style>
  <w:style w:type="character" w:customStyle="1" w:styleId="278">
    <w:name w:val="hover"/>
    <w:basedOn w:val="48"/>
    <w:autoRedefine/>
    <w:qFormat/>
    <w:uiPriority w:val="0"/>
    <w:rPr>
      <w:color w:val="315EFB"/>
    </w:rPr>
  </w:style>
  <w:style w:type="paragraph" w:customStyle="1" w:styleId="279">
    <w:name w:val="正文缩进1"/>
    <w:basedOn w:val="1"/>
    <w:autoRedefine/>
    <w:qFormat/>
    <w:uiPriority w:val="99"/>
    <w:pPr>
      <w:widowControl/>
      <w:ind w:firstLine="420"/>
      <w:jc w:val="left"/>
    </w:pPr>
    <w:rPr>
      <w:kern w:val="0"/>
    </w:rPr>
  </w:style>
  <w:style w:type="paragraph" w:customStyle="1" w:styleId="280">
    <w:name w:val="Normal_1"/>
    <w:basedOn w:val="1"/>
    <w:autoRedefine/>
    <w:qFormat/>
    <w:uiPriority w:val="0"/>
    <w:pPr>
      <w:widowControl/>
      <w:jc w:val="left"/>
    </w:pPr>
    <w:rPr>
      <w:rFonts w:ascii="Calibri" w:hAnsi="Calibri"/>
      <w:kern w:val="0"/>
      <w:sz w:val="24"/>
    </w:rPr>
  </w:style>
  <w:style w:type="character" w:customStyle="1" w:styleId="281">
    <w:name w:val="10"/>
    <w:basedOn w:val="48"/>
    <w:autoRedefine/>
    <w:qFormat/>
    <w:uiPriority w:val="0"/>
    <w:rPr>
      <w:rFonts w:hint="default" w:ascii="Times New Roman" w:hAnsi="Times New Roman" w:cs="Times New Roman"/>
      <w:color w:val="000000"/>
      <w:sz w:val="20"/>
      <w:szCs w:val="20"/>
    </w:rPr>
  </w:style>
  <w:style w:type="paragraph" w:customStyle="1" w:styleId="282">
    <w:name w:val="样式 行距: 1.5 倍行距 首行缩进:  2 字符"/>
    <w:basedOn w:val="1"/>
    <w:autoRedefine/>
    <w:qFormat/>
    <w:uiPriority w:val="0"/>
    <w:pPr>
      <w:adjustRightInd w:val="0"/>
      <w:snapToGrid w:val="0"/>
      <w:spacing w:line="460" w:lineRule="exact"/>
    </w:pPr>
    <w:rPr>
      <w:sz w:val="24"/>
    </w:rPr>
  </w:style>
  <w:style w:type="character" w:customStyle="1" w:styleId="283">
    <w:name w:val="font41"/>
    <w:basedOn w:val="48"/>
    <w:autoRedefine/>
    <w:qFormat/>
    <w:uiPriority w:val="0"/>
    <w:rPr>
      <w:rFonts w:hint="eastAsia" w:ascii="宋体" w:hAnsi="宋体" w:eastAsia="宋体" w:cs="宋体"/>
      <w:color w:val="000000"/>
      <w:sz w:val="20"/>
      <w:szCs w:val="20"/>
      <w:u w:val="none"/>
    </w:rPr>
  </w:style>
  <w:style w:type="character" w:customStyle="1" w:styleId="284">
    <w:name w:val="font101"/>
    <w:basedOn w:val="48"/>
    <w:autoRedefine/>
    <w:qFormat/>
    <w:uiPriority w:val="0"/>
    <w:rPr>
      <w:rFonts w:ascii="Arial" w:hAnsi="Arial" w:cs="Arial"/>
      <w:color w:val="000000"/>
      <w:sz w:val="20"/>
      <w:szCs w:val="20"/>
      <w:u w:val="none"/>
    </w:rPr>
  </w:style>
  <w:style w:type="character" w:customStyle="1" w:styleId="285">
    <w:name w:val="l-btn-left2"/>
    <w:basedOn w:val="48"/>
    <w:autoRedefine/>
    <w:qFormat/>
    <w:uiPriority w:val="0"/>
  </w:style>
  <w:style w:type="character" w:customStyle="1" w:styleId="286">
    <w:name w:val="l-btn-left3"/>
    <w:basedOn w:val="48"/>
    <w:autoRedefine/>
    <w:qFormat/>
    <w:uiPriority w:val="0"/>
  </w:style>
  <w:style w:type="character" w:customStyle="1" w:styleId="287">
    <w:name w:val="l-btn-left4"/>
    <w:basedOn w:val="48"/>
    <w:autoRedefine/>
    <w:qFormat/>
    <w:uiPriority w:val="0"/>
  </w:style>
  <w:style w:type="character" w:customStyle="1" w:styleId="288">
    <w:name w:val="l-btn-left5"/>
    <w:basedOn w:val="48"/>
    <w:autoRedefine/>
    <w:qFormat/>
    <w:uiPriority w:val="0"/>
  </w:style>
  <w:style w:type="character" w:customStyle="1" w:styleId="289">
    <w:name w:val="l-btn-text"/>
    <w:basedOn w:val="48"/>
    <w:autoRedefine/>
    <w:qFormat/>
    <w:uiPriority w:val="0"/>
    <w:rPr>
      <w:sz w:val="18"/>
      <w:szCs w:val="18"/>
      <w:vertAlign w:val="baseline"/>
    </w:rPr>
  </w:style>
  <w:style w:type="character" w:customStyle="1" w:styleId="290">
    <w:name w:val="l-btn-icon-left"/>
    <w:basedOn w:val="48"/>
    <w:autoRedefine/>
    <w:qFormat/>
    <w:uiPriority w:val="0"/>
  </w:style>
  <w:style w:type="character" w:customStyle="1" w:styleId="291">
    <w:name w:val="l-btn-icon-right"/>
    <w:basedOn w:val="48"/>
    <w:autoRedefine/>
    <w:qFormat/>
    <w:uiPriority w:val="0"/>
  </w:style>
  <w:style w:type="character" w:customStyle="1" w:styleId="292">
    <w:name w:val="l-btn-empty"/>
    <w:basedOn w:val="48"/>
    <w:autoRedefine/>
    <w:qFormat/>
    <w:uiPriority w:val="0"/>
  </w:style>
  <w:style w:type="character" w:customStyle="1" w:styleId="293">
    <w:name w:val="l-btn-left"/>
    <w:basedOn w:val="48"/>
    <w:autoRedefine/>
    <w:qFormat/>
    <w:uiPriority w:val="0"/>
  </w:style>
  <w:style w:type="character" w:customStyle="1" w:styleId="294">
    <w:name w:val="l-btn-left1"/>
    <w:basedOn w:val="48"/>
    <w:autoRedefine/>
    <w:qFormat/>
    <w:uiPriority w:val="0"/>
  </w:style>
  <w:style w:type="paragraph" w:customStyle="1" w:styleId="295">
    <w:name w:val="列出段落2"/>
    <w:basedOn w:val="1"/>
    <w:autoRedefine/>
    <w:qFormat/>
    <w:uiPriority w:val="99"/>
    <w:pPr>
      <w:ind w:firstLine="420" w:firstLineChars="200"/>
    </w:pPr>
    <w:rPr>
      <w:rFonts w:ascii="等线" w:hAnsi="等线" w:eastAsia="等线"/>
      <w:szCs w:val="22"/>
    </w:rPr>
  </w:style>
  <w:style w:type="paragraph" w:customStyle="1" w:styleId="296">
    <w:name w:val="正文格式"/>
    <w:basedOn w:val="1"/>
    <w:qFormat/>
    <w:uiPriority w:val="0"/>
    <w:pPr>
      <w:adjustRightInd w:val="0"/>
      <w:snapToGrid w:val="0"/>
      <w:spacing w:line="360" w:lineRule="auto"/>
      <w:ind w:firstLine="200" w:firstLineChars="200"/>
      <w:textAlignment w:val="baseline"/>
    </w:pPr>
    <w:rPr>
      <w:rFonts w:ascii="Times New Roman" w:hAnsi="Times New Roman"/>
      <w:kern w:val="0"/>
      <w:sz w:val="24"/>
      <w:szCs w:val="20"/>
    </w:rPr>
  </w:style>
  <w:style w:type="paragraph" w:customStyle="1" w:styleId="297">
    <w:name w:val="首行缩进"/>
    <w:qFormat/>
    <w:uiPriority w:val="0"/>
    <w:pPr>
      <w:widowControl w:val="0"/>
      <w:ind w:firstLine="480" w:firstLineChars="200"/>
      <w:jc w:val="both"/>
    </w:pPr>
    <w:rPr>
      <w:rFonts w:ascii="Times New Roman" w:hAnsi="Times New Roman" w:eastAsia="宋体" w:cs="Times New Roman"/>
      <w:kern w:val="2"/>
      <w:sz w:val="21"/>
      <w:szCs w:val="24"/>
      <w:lang w:val="zh-CN" w:eastAsia="zh-CN" w:bidi="ar-SA"/>
    </w:rPr>
  </w:style>
  <w:style w:type="paragraph" w:customStyle="1" w:styleId="298">
    <w:name w:val=" Char Char17 Char Char Char Char"/>
    <w:qFormat/>
    <w:uiPriority w:val="0"/>
    <w:pPr>
      <w:widowControl/>
      <w:spacing w:after="160" w:line="240" w:lineRule="exact"/>
      <w:jc w:val="left"/>
    </w:pPr>
    <w:rPr>
      <w:rFonts w:ascii="Verdana" w:hAnsi="Verdana" w:eastAsia="仿宋_GB2312" w:cs="Times New Roman"/>
      <w:kern w:val="0"/>
      <w:sz w:val="24"/>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56</Pages>
  <Words>2675</Words>
  <Characters>2885</Characters>
  <Lines>384</Lines>
  <Paragraphs>108</Paragraphs>
  <TotalTime>22</TotalTime>
  <ScaleCrop>false</ScaleCrop>
  <LinksUpToDate>false</LinksUpToDate>
  <CharactersWithSpaces>3170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2023-12-06T10:15:00Z</dcterms:created>
  <dc:creator>admin</dc:creator>
  <cp:lastModifiedBy>Jason¹⁷⁷ ¹¹⁷⁰ ⁵⁰⁶²</cp:lastModifiedBy>
  <cp:lastPrinted>2024-05-28T08:30:00Z</cp:lastPrinted>
  <dcterms:modified xsi:type="dcterms:W3CDTF">2026-02-28T09:08:13Z</dcterms:modified>
  <dc:title>附件十一</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7CF0389763794CAB9172F5F6EE70053F_13</vt:lpwstr>
  </property>
  <property fmtid="{D5CDD505-2E9C-101B-9397-08002B2CF9AE}" pid="4" name="KSOTemplateDocerSaveRecord">
    <vt:lpwstr>eyJoZGlkIjoiYmNkYmVkYjJjOTg1NDFmYzBjNDViOTJhMzU0ZDVjMjkiLCJ1c2VySWQiOiIzNDk4MjIyMjgifQ==</vt:lpwstr>
  </property>
</Properties>
</file>