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440201-2026-00887</w:t>
      </w:r>
    </w:p>
    <w:p>
      <w:pPr>
        <w:pStyle w:val="null3"/>
        <w:jc w:val="center"/>
        <w:outlineLvl w:val="3"/>
      </w:pPr>
      <w:r>
        <w:rPr>
          <w:sz w:val="24"/>
          <w:b/>
        </w:rPr>
        <w:t>采购项目编号：</w:t>
      </w:r>
      <w:r>
        <w:rPr>
          <w:sz w:val="24"/>
          <w:b/>
        </w:rPr>
        <w:t>GZYL26SGHG04015</w:t>
      </w:r>
    </w:p>
    <w:p>
      <w:pPr>
        <w:pStyle w:val="null3"/>
        <w:jc w:val="center"/>
        <w:outlineLvl w:val="3"/>
      </w:pPr>
      <w:r>
        <w:rPr>
          <w:sz w:val="24"/>
          <w:b/>
        </w:rPr>
        <w:t>项目名称：</w:t>
      </w:r>
      <w:r>
        <w:rPr>
          <w:sz w:val="24"/>
          <w:b/>
        </w:rPr>
        <w:t>购置云计算、虚拟现实专业图形工作站实训设备</w:t>
      </w:r>
    </w:p>
    <w:p>
      <w:pPr>
        <w:pStyle w:val="null3"/>
        <w:jc w:val="center"/>
        <w:outlineLvl w:val="3"/>
      </w:pPr>
      <w:r>
        <w:rPr>
          <w:sz w:val="24"/>
          <w:b/>
        </w:rPr>
        <w:t>采购人：</w:t>
      </w:r>
      <w:r>
        <w:rPr>
          <w:sz w:val="24"/>
          <w:b/>
        </w:rPr>
        <w:t>韶关市技师学院</w:t>
      </w:r>
    </w:p>
    <w:p>
      <w:pPr>
        <w:pStyle w:val="null3"/>
        <w:jc w:val="center"/>
        <w:outlineLvl w:val="3"/>
      </w:pPr>
      <w:r>
        <w:rPr>
          <w:sz w:val="24"/>
          <w:b/>
        </w:rPr>
        <w:t>采购代理机构：</w:t>
      </w:r>
      <w:r>
        <w:rPr>
          <w:sz w:val="24"/>
          <w:b/>
        </w:rPr>
        <w:t>广州宜立工程管理有限公司韶关分公司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广州宜立工程管理有限公司韶关分公司</w:t>
      </w:r>
      <w:r>
        <w:rPr/>
        <w:t>受</w:t>
      </w:r>
      <w:r>
        <w:rPr/>
        <w:t>韶关市技师学院</w:t>
      </w:r>
      <w:r>
        <w:rPr/>
        <w:t>的委托，采用</w:t>
      </w:r>
      <w:r>
        <w:rPr/>
        <w:t>公开招标</w:t>
      </w:r>
      <w:r>
        <w:rPr/>
        <w:t>方式组织采购</w:t>
      </w:r>
      <w:r>
        <w:rPr/>
        <w:t>购置云计算、虚拟现实专业图形工作站实训设备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购置云计算、虚拟现实专业图形工作站实训设备</w:t>
      </w:r>
    </w:p>
    <w:p>
      <w:pPr>
        <w:pStyle w:val="null3"/>
        <w:ind w:firstLine="480"/>
      </w:pPr>
      <w:r>
        <w:rPr/>
        <w:t>采购计划编号：</w:t>
      </w:r>
      <w:r>
        <w:rPr/>
        <w:t>440201-2026-00887</w:t>
      </w:r>
    </w:p>
    <w:p>
      <w:pPr>
        <w:pStyle w:val="null3"/>
        <w:ind w:firstLine="480"/>
      </w:pPr>
      <w:r>
        <w:rPr/>
        <w:t>采购项目编号：</w:t>
      </w:r>
      <w:r>
        <w:rPr/>
        <w:t>GZYL26SGHG04015</w:t>
      </w:r>
    </w:p>
    <w:p>
      <w:pPr>
        <w:pStyle w:val="null3"/>
        <w:ind w:firstLine="480"/>
      </w:pPr>
      <w:r>
        <w:rPr/>
        <w:t>采购方式：</w:t>
      </w:r>
      <w:r>
        <w:rPr/>
        <w:t>公开招标</w:t>
      </w:r>
    </w:p>
    <w:p>
      <w:pPr>
        <w:pStyle w:val="null3"/>
        <w:ind w:firstLine="480"/>
      </w:pPr>
      <w:r>
        <w:rPr/>
        <w:t>预算金额：</w:t>
      </w:r>
      <w:r>
        <w:rPr/>
        <w:t>1,980,000.00</w:t>
      </w:r>
      <w:r>
        <w:rPr/>
        <w:t>元</w:t>
      </w:r>
    </w:p>
    <w:p>
      <w:pPr>
        <w:pStyle w:val="null3"/>
        <w:outlineLvl w:val="3"/>
      </w:pPr>
      <w:r>
        <w:rPr>
          <w:sz w:val="24"/>
          <w:b/>
        </w:rPr>
        <w:t>2.项目内容及需求情况（采购项目技术规格、参数及要求）</w:t>
      </w:r>
    </w:p>
    <w:p>
      <w:pPr>
        <w:pStyle w:val="null3"/>
      </w:pPr>
      <w:r>
        <w:rPr/>
        <w:t>采购包1(购置云计算、虚拟现实专业图形工作站实训设备):</w:t>
      </w:r>
    </w:p>
    <w:p>
      <w:pPr>
        <w:pStyle w:val="null3"/>
      </w:pPr>
      <w:r>
        <w:rPr/>
        <w:t>采购包预算金额：1,980,000.00元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图形工作站</w:t>
            </w:r>
          </w:p>
        </w:tc>
        <w:tc>
          <w:tcPr>
            <w:tcW w:type="dxa" w:w="2136"/>
          </w:tcPr>
          <w:p>
            <w:pPr>
              <w:pStyle w:val="null3"/>
            </w:pPr>
            <w:r>
              <w:rPr/>
              <w:t>图形工作站</w:t>
            </w:r>
          </w:p>
        </w:tc>
        <w:tc>
          <w:tcPr>
            <w:tcW w:type="dxa" w:w="1187"/>
          </w:tcPr>
          <w:p>
            <w:pPr>
              <w:pStyle w:val="null3"/>
            </w:pPr>
            <w:r>
              <w:rPr/>
              <w:t>160(台)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合同履行期限：合同签订之日起45天内完成设备供货、安装、调试并交付验收。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2）有依法缴纳税收和社会保障资金的良好记录：投标文件中提供《资格条件承诺函》（《资格条件承诺函》格式详见招标公告附件）。</w:t>
      </w:r>
    </w:p>
    <w:p>
      <w:pPr>
        <w:pStyle w:val="null3"/>
      </w:pPr>
      <w:r>
        <w:rPr/>
        <w:t>3）具有良好的商业信誉和健全的财务会计制度：投标文件中提供《资格条件承诺函》（《资格条件承诺函》格式详见招标公告附件）。</w:t>
      </w:r>
    </w:p>
    <w:p>
      <w:pPr>
        <w:pStyle w:val="null3"/>
      </w:pPr>
      <w:r>
        <w:rPr/>
        <w:t>4）履行合同所必需的设备和专业技术能力：投标文件中提供《资格条件承诺函》（《资格条件承诺函》格式详见招标公告附件）。</w:t>
      </w:r>
    </w:p>
    <w:p>
      <w:pPr>
        <w:pStyle w:val="null3"/>
      </w:pPr>
      <w:r>
        <w:rPr/>
        <w:t>5）参加采购活动前3年内，在经营活动中没有重大违法记录：投标文件中提供《资格条件承诺函》（《资格条件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采购包1（购置云计算、虚拟现实专业图形工作站实训设备）：</w:t>
      </w:r>
      <w:r>
        <w:rPr/>
        <w:t>本项目不属于专门面向中小企业采购的项目，本项目因按照《政府采购促进中小企业发展管理办法》规定属于预留采购份额无法确保充分供应、充分竞争，或者存在可能影响政府采购目标实现的情形，因此本项目不专门面向中小企业采购。本项目采购标的对应的中小企业划分标准所属行业为：工业。</w:t>
      </w:r>
    </w:p>
    <w:p>
      <w:pPr>
        <w:pStyle w:val="null3"/>
        <w:outlineLvl w:val="3"/>
      </w:pPr>
      <w:r>
        <w:rPr>
          <w:sz w:val="24"/>
          <w:b/>
        </w:rPr>
        <w:t>3.本项目特定的资格要求：</w:t>
      </w:r>
    </w:p>
    <w:p>
      <w:pPr>
        <w:pStyle w:val="null3"/>
      </w:pPr>
      <w:r>
        <w:rPr/>
        <w:t>采购包1（购置云计算、虚拟现实专业图形工作站实训设备）：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广州宜立工程管理有限公司（https://www.gzylzbdl.com）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韶关市技师学院</w:t>
      </w:r>
    </w:p>
    <w:p>
      <w:pPr>
        <w:pStyle w:val="null3"/>
        <w:ind w:firstLine="480"/>
      </w:pPr>
      <w:r>
        <w:rPr/>
        <w:t xml:space="preserve"> 地址：</w:t>
      </w:r>
      <w:r>
        <w:rPr/>
        <w:t>韶关市浈江区大学路338号</w:t>
      </w:r>
    </w:p>
    <w:p>
      <w:pPr>
        <w:pStyle w:val="null3"/>
        <w:ind w:firstLine="480"/>
      </w:pPr>
      <w:r>
        <w:rPr/>
        <w:t xml:space="preserve"> 联系方式：</w:t>
      </w:r>
      <w:r>
        <w:rPr/>
        <w:t>0751-8127333</w:t>
      </w:r>
    </w:p>
    <w:p>
      <w:pPr>
        <w:pStyle w:val="null3"/>
        <w:outlineLvl w:val="3"/>
      </w:pPr>
      <w:r>
        <w:rPr>
          <w:sz w:val="24"/>
          <w:b/>
        </w:rPr>
        <w:t xml:space="preserve"> 2.采购代理机构信息</w:t>
      </w:r>
    </w:p>
    <w:p>
      <w:pPr>
        <w:pStyle w:val="null3"/>
        <w:ind w:firstLine="480"/>
      </w:pPr>
      <w:r>
        <w:rPr/>
        <w:t xml:space="preserve"> 名称：</w:t>
      </w:r>
      <w:r>
        <w:rPr/>
        <w:t>广州宜立工程管理有限公司韶关分公司</w:t>
      </w:r>
    </w:p>
    <w:p>
      <w:pPr>
        <w:pStyle w:val="null3"/>
        <w:ind w:firstLine="480"/>
      </w:pPr>
      <w:r>
        <w:rPr/>
        <w:t xml:space="preserve"> 地址：</w:t>
      </w:r>
      <w:r>
        <w:rPr/>
        <w:t>广东省韶关市浈江区良村公路38号良村兴强财富广场A栋15C</w:t>
      </w:r>
    </w:p>
    <w:p>
      <w:pPr>
        <w:pStyle w:val="null3"/>
        <w:ind w:firstLine="480"/>
      </w:pPr>
      <w:r>
        <w:rPr/>
        <w:t xml:space="preserve"> 联系方式：</w:t>
      </w:r>
      <w:r>
        <w:rPr/>
        <w:t>0751-8221111</w:t>
      </w:r>
    </w:p>
    <w:p>
      <w:pPr>
        <w:pStyle w:val="null3"/>
        <w:outlineLvl w:val="3"/>
      </w:pPr>
      <w:r>
        <w:rPr>
          <w:sz w:val="24"/>
          <w:b/>
        </w:rPr>
        <w:t xml:space="preserve"> 3.项目联系方式</w:t>
      </w:r>
    </w:p>
    <w:p>
      <w:pPr>
        <w:pStyle w:val="null3"/>
        <w:ind w:firstLine="480"/>
      </w:pPr>
      <w:r>
        <w:rPr/>
        <w:t xml:space="preserve"> 项目联系人：</w:t>
      </w:r>
      <w:r>
        <w:rPr/>
        <w:t>罗雅</w:t>
      </w:r>
    </w:p>
    <w:p>
      <w:pPr>
        <w:pStyle w:val="null3"/>
        <w:ind w:firstLine="480"/>
      </w:pPr>
      <w:r>
        <w:rPr/>
        <w:t xml:space="preserve"> 电话：</w:t>
      </w:r>
      <w:r>
        <w:rPr/>
        <w:t>0751-8221111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广州宜立工程管理有限公司韶关分公司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项目编号：</w:t>
      </w:r>
      <w:r>
        <w:rPr>
          <w:sz w:val="21"/>
        </w:rPr>
        <w:t>GZYL26SGHG04015</w:t>
      </w:r>
      <w:r>
        <w:br/>
      </w:r>
      <w:r>
        <w:rPr>
          <w:sz w:val="21"/>
        </w:rPr>
        <w:t>项目名称：</w:t>
      </w:r>
      <w:r>
        <w:rPr>
          <w:sz w:val="21"/>
        </w:rPr>
        <w:t>购置云计算、虚拟现实专业图形工作站实训设备</w:t>
      </w:r>
      <w:r>
        <w:br/>
      </w:r>
      <w:r>
        <w:rPr>
          <w:sz w:val="21"/>
        </w:rPr>
        <w:t>预算金额（元）：</w:t>
      </w:r>
      <w:r>
        <w:rPr>
          <w:sz w:val="21"/>
        </w:rPr>
        <w:t>1</w:t>
      </w:r>
      <w:r>
        <w:rPr>
          <w:sz w:val="21"/>
        </w:rPr>
        <w:t>,</w:t>
      </w:r>
      <w:r>
        <w:rPr>
          <w:sz w:val="21"/>
        </w:rPr>
        <w:t>980</w:t>
      </w:r>
      <w:r>
        <w:rPr>
          <w:sz w:val="21"/>
        </w:rPr>
        <w:t>,</w:t>
      </w:r>
      <w:r>
        <w:rPr>
          <w:sz w:val="21"/>
        </w:rPr>
        <w:t>000</w:t>
      </w:r>
      <w:r>
        <w:rPr>
          <w:sz w:val="21"/>
        </w:rPr>
        <w:t>.</w:t>
      </w:r>
      <w:r>
        <w:rPr>
          <w:sz w:val="21"/>
        </w:rPr>
        <w:t>0</w:t>
      </w:r>
      <w:r>
        <w:rPr>
          <w:sz w:val="21"/>
        </w:rPr>
        <w:t>0</w:t>
      </w:r>
      <w:r>
        <w:br/>
      </w:r>
      <w:r>
        <w:rPr>
          <w:sz w:val="21"/>
        </w:rPr>
        <w:t>采购需求：（包括但不限于标的的名称、数量、简要技术需求或服务要求等）</w:t>
      </w:r>
      <w:r>
        <w:br/>
      </w:r>
      <w:r>
        <w:rPr>
          <w:sz w:val="21"/>
        </w:rPr>
        <w:t>1.</w:t>
      </w:r>
      <w:r>
        <w:rPr>
          <w:sz w:val="21"/>
        </w:rPr>
        <w:t>标的名称、数量及技术需求或服务要求等：详见采购需求；</w:t>
      </w:r>
      <w:r>
        <w:br/>
      </w:r>
      <w:r>
        <w:rPr>
          <w:sz w:val="21"/>
        </w:rPr>
        <w:t>2.</w:t>
      </w:r>
      <w:r>
        <w:rPr>
          <w:sz w:val="21"/>
        </w:rPr>
        <w:t>项目属性：</w:t>
      </w:r>
      <w:r>
        <w:rPr>
          <w:sz w:val="21"/>
        </w:rPr>
        <w:t>货物</w:t>
      </w:r>
      <w:r>
        <w:rPr>
          <w:sz w:val="21"/>
        </w:rPr>
        <w:t>；</w:t>
      </w:r>
      <w:r>
        <w:br/>
      </w:r>
      <w:r>
        <w:rPr>
          <w:sz w:val="21"/>
          <w:b/>
        </w:rPr>
        <w:t>3.</w:t>
      </w:r>
      <w:r>
        <w:rPr>
          <w:sz w:val="21"/>
          <w:b/>
        </w:rPr>
        <w:t>★本项目采购产品属于《中华人民共和国实施强制性产品认证的产品目录》所列产品的，请投标人承诺在交货时提供该产品的“中国强制性产品认证”（</w:t>
      </w:r>
      <w:r>
        <w:rPr>
          <w:sz w:val="21"/>
          <w:b/>
        </w:rPr>
        <w:t>CCC</w:t>
      </w:r>
      <w:r>
        <w:rPr>
          <w:sz w:val="21"/>
          <w:b/>
        </w:rPr>
        <w:t>认证）证书。（投标文件中提供承诺函，格式自拟）</w:t>
      </w:r>
      <w:r>
        <w:br/>
      </w:r>
      <w:r>
        <w:rPr>
          <w:sz w:val="21"/>
        </w:rPr>
        <w:t>4.</w:t>
      </w:r>
      <w:r>
        <w:rPr>
          <w:sz w:val="21"/>
          <w:b/>
        </w:rPr>
        <w:t>.</w:t>
      </w:r>
      <w:r>
        <w:rPr>
          <w:sz w:val="21"/>
          <w:b/>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945"/>
        <w:gridCol w:w="3180"/>
        <w:gridCol w:w="1530"/>
        <w:gridCol w:w="2370"/>
      </w:tblGrid>
      <w:tr>
        <w:tc>
          <w:tcPr>
            <w:tcW w:type="dxa" w:w="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1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采购预算（元）</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3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购置云计算、虚拟现实专业图形工作站实训设备</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台</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w:t>
            </w:r>
            <w:r>
              <w:rPr>
                <w:sz w:val="21"/>
              </w:rPr>
              <w:t>980</w:t>
            </w:r>
            <w:r>
              <w:rPr>
                <w:sz w:val="21"/>
              </w:rPr>
              <w:t>,</w:t>
            </w:r>
            <w:r>
              <w:rPr>
                <w:sz w:val="21"/>
              </w:rPr>
              <w:t>000</w:t>
            </w:r>
            <w:r>
              <w:rPr>
                <w:sz w:val="21"/>
              </w:rPr>
              <w:t>.</w:t>
            </w:r>
            <w:r>
              <w:rPr>
                <w:sz w:val="21"/>
              </w:rPr>
              <w:t>0</w:t>
            </w:r>
            <w:r>
              <w:rPr>
                <w:sz w:val="21"/>
              </w:rPr>
              <w:t>0</w:t>
            </w:r>
          </w:p>
        </w:tc>
      </w:tr>
    </w:tbl>
    <w:p>
      <w:pPr>
        <w:pStyle w:val="null3"/>
      </w:pPr>
      <w:r>
        <w:rPr/>
        <w:t>采购包1（购置云计算、虚拟现实专业图形工作站实训设备）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合同签订之日起45天内完成设备供货、安装、调试并交付验收。</w:t>
            </w:r>
          </w:p>
        </w:tc>
      </w:tr>
      <w:tr>
        <w:tc>
          <w:tcPr>
            <w:tcW w:type="dxa" w:w="4153"/>
          </w:tcPr>
          <w:p>
            <w:pPr>
              <w:pStyle w:val="null3"/>
            </w:pPr>
            <w:r>
              <w:rPr/>
              <w:t>标的提供的地点</w:t>
            </w:r>
          </w:p>
        </w:tc>
        <w:tc>
          <w:tcPr>
            <w:tcW w:type="dxa" w:w="4153"/>
          </w:tcPr>
          <w:p>
            <w:pPr>
              <w:pStyle w:val="null3"/>
            </w:pPr>
            <w:r>
              <w:rPr/>
              <w:t>韶关市技师学院。</w:t>
            </w:r>
          </w:p>
        </w:tc>
      </w:tr>
      <w:tr>
        <w:tc>
          <w:tcPr>
            <w:tcW w:type="dxa" w:w="4153"/>
          </w:tcPr>
          <w:p>
            <w:pPr>
              <w:pStyle w:val="null3"/>
            </w:pPr>
            <w:r>
              <w:rPr/>
              <w:t>付款方式</w:t>
            </w:r>
          </w:p>
        </w:tc>
        <w:tc>
          <w:tcPr>
            <w:tcW w:type="dxa" w:w="4153"/>
          </w:tcPr>
          <w:p>
            <w:pPr>
              <w:pStyle w:val="null3"/>
            </w:pPr>
            <w:r>
              <w:rPr/>
              <w:t>1期：支付比例50%,合同签订后15个工作日内中标人提供支付材料后，采购人向中标人支付合同总价50%的预付款。</w:t>
            </w:r>
          </w:p>
          <w:p>
            <w:pPr>
              <w:pStyle w:val="null3"/>
            </w:pPr>
            <w:r>
              <w:rPr/>
              <w:t>2期：支付比例50%,支付比例50%，货物到货安装完毕并验收合格后15个工作日内，中标人提供支付材料后，采购人向中标人支付合同总价剩余的50%。 中标人凭以下有效文件与采购人结算： (1)合同； (2)中标人开具的等额增值税发票；（收款方、出具发票方必须与中标人名称一致） (3)中标通知书； (4)验收报告（加盖采购人公章，预付款除外）；注：资金支付以财政资金落实为前提，若因财政资金不到位引起资金不能按合同要求或有关规定拨付的，采购人不承担因资金延期拨付给中标供应商造成的各类损失，如利息、连带责任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采购文件和响应承诺中采购人认可的合理最佳配置、参数及各项要求。（2）货物若有国家标准按照国家标准验收，若无国家标准按行业标准验收，货物须为原制造商制造的全新产品，无污染、无侵权行为、表面无划损、无任何缺陷隐患。（3）采购人收到中标人提交的验收申请之日起7日内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4）在验收期间，如果货物出现重大问题，中标人应在3个工作日内解决该问题，并对所有货物负全部责任。（5）验收按照采购人的内部规定操作。通过验收后，采购人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应包含货物及所需附件的购置费、包装费、运输费、安装调试费、人工费、保险费、各类接口对接服务费、各种税费、验收费、质量保证期、售后服务费及合同实施过程中的应预见和不可预见费用等完成合同规定责任和义务、达到合同目的的一切费用。 2.中标人负责项目采购需求书中列出的所有货物采购及服务内容，以及其他隐含的配套工作。中标人应充分考虑影响报价的各种因素和风险。采购人不再支付中标金额以外的任何费用。 3.报价不得高于本项目的预算金额和单价最高限价，否则视为无效报价。 4.异常低价审查： 评审中出现下列情形之一的，评审委员会将启动异常低价投标（响应）审查程序：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可要求相关供应商在评审现场合理的时间内对投标（响应）价格作出解释，提供项目具体成本测算等与报价合理性相关的书面说明及必要的证明材料，包括但不限于原材料成本、人工成本、制造费用等，给予相关供应商合理时间（30分钟）。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2076"/>
          </w:tcPr>
          <w:p/>
        </w:tc>
        <w:tc>
          <w:tcPr>
            <w:tcW w:type="dxa" w:w="2076"/>
          </w:tcPr>
          <w:p>
            <w:pPr>
              <w:pStyle w:val="null3"/>
              <w:jc w:val="center"/>
            </w:pPr>
            <w:r>
              <w:rPr/>
              <w:t>2</w:t>
            </w:r>
          </w:p>
        </w:tc>
        <w:tc>
          <w:tcPr>
            <w:tcW w:type="dxa" w:w="2076"/>
          </w:tcPr>
          <w:p>
            <w:pPr>
              <w:pStyle w:val="null3"/>
              <w:jc w:val="left"/>
            </w:pPr>
            <w:r>
              <w:rPr/>
              <w:t>交付要求</w:t>
            </w:r>
          </w:p>
        </w:tc>
        <w:tc>
          <w:tcPr>
            <w:tcW w:type="dxa" w:w="2076"/>
          </w:tcPr>
          <w:p>
            <w:pPr>
              <w:pStyle w:val="null3"/>
              <w:jc w:val="left"/>
            </w:pPr>
            <w:r>
              <w:rPr/>
              <w:t>1.中标人需负责将所有货物运送至采购人指定的安装地点，进行安装调试。本项目所有设备应包含正常运行所需的相关连接配件以及搬运，采购人不另行支付任何费用。 2.所投货物（设备）的规格型号在实际供货时，发生不可逆转的原因导致停产的，中标人需按原报价提供同品牌、相同或更高配置的货物替代，否则视为拒绝履行合同义务处理。</w:t>
            </w:r>
          </w:p>
        </w:tc>
      </w:tr>
      <w:tr>
        <w:tc>
          <w:tcPr>
            <w:tcW w:type="dxa" w:w="2076"/>
          </w:tcPr>
          <w:p/>
        </w:tc>
        <w:tc>
          <w:tcPr>
            <w:tcW w:type="dxa" w:w="2076"/>
          </w:tcPr>
          <w:p>
            <w:pPr>
              <w:pStyle w:val="null3"/>
              <w:jc w:val="center"/>
            </w:pPr>
            <w:r>
              <w:rPr/>
              <w:t>3</w:t>
            </w:r>
          </w:p>
        </w:tc>
        <w:tc>
          <w:tcPr>
            <w:tcW w:type="dxa" w:w="2076"/>
          </w:tcPr>
          <w:p>
            <w:pPr>
              <w:pStyle w:val="null3"/>
              <w:jc w:val="left"/>
            </w:pPr>
            <w:r>
              <w:rPr/>
              <w:t>包装和运输要求</w:t>
            </w:r>
          </w:p>
        </w:tc>
        <w:tc>
          <w:tcPr>
            <w:tcW w:type="dxa" w:w="2076"/>
          </w:tcPr>
          <w:p>
            <w:pPr>
              <w:pStyle w:val="null3"/>
              <w:jc w:val="left"/>
            </w:pPr>
            <w:r>
              <w:rPr/>
              <w:t>1.所有货物（设备）及器材在开箱时应完好，无破损，配置与装箱单相符。数量、质量及性能不低于合同要求。拆箱后，中标人应对其全部产品、零件、配件、用户许可证书、资料、介质造册登记，并与装箱单对比，如有出入应立即书面记录，由中标人解决，如影响安装则按合同有关条款处理。 2.包装箱应用坚固的材料制造，适用长途运输、防潮、防锈、防震、防粗暴装卸，适用于空运和整体吊装。 3.设备为原制造商制造的全新产品，整机无污染，无侵权行为、表面无划损、无任何缺陷隐患，在中国境内可依常规安全合法使用。 4.设备为原厂商未启封全新包装，出具出厂合格证，序列号、包装箱号与出厂批号一致，并可追索查阅。 5.有关键设备的用户手册、保修手册、有关单证资料及配有备件、随机工具等，使用操作及安全须知等重要资料应附有中文说明。</w:t>
            </w:r>
          </w:p>
        </w:tc>
      </w:tr>
      <w:tr>
        <w:tc>
          <w:tcPr>
            <w:tcW w:type="dxa" w:w="2076"/>
          </w:tcPr>
          <w:p/>
        </w:tc>
        <w:tc>
          <w:tcPr>
            <w:tcW w:type="dxa" w:w="2076"/>
          </w:tcPr>
          <w:p>
            <w:pPr>
              <w:pStyle w:val="null3"/>
              <w:jc w:val="center"/>
            </w:pPr>
            <w:r>
              <w:rPr/>
              <w:t>4</w:t>
            </w:r>
          </w:p>
        </w:tc>
        <w:tc>
          <w:tcPr>
            <w:tcW w:type="dxa" w:w="2076"/>
          </w:tcPr>
          <w:p>
            <w:pPr>
              <w:pStyle w:val="null3"/>
              <w:jc w:val="left"/>
            </w:pPr>
            <w:r>
              <w:rPr/>
              <w:t>安装和调试要求</w:t>
            </w:r>
          </w:p>
        </w:tc>
        <w:tc>
          <w:tcPr>
            <w:tcW w:type="dxa" w:w="2076"/>
          </w:tcPr>
          <w:p>
            <w:pPr>
              <w:pStyle w:val="null3"/>
              <w:jc w:val="left"/>
            </w:pPr>
            <w:r>
              <w:rPr/>
              <w:t>1.中标人必须为所供货物（设备）提供安装及系统调试服务，并确保调试完成后，货物（设备）能够正常运行，达到采购人可正常使用状态。组织安装调试所需费用（包括安全保险、劳务支出、住勤等一切费用）均由中标人负责。 2.安装调试所需工具设施物料由中标人自备、自费运到现场，完工后自费搬走。 3.设备、材料的拆箱、安装、通电、调试等工作由中标人负责，但若采购人有特定要求需要参与的，则须在采购人指定人员的参与下进行。 4.中标人须应采购人要求为使用人员、操作人员和维护人员进行培训（费用已包含在合同总价中），使其掌握操作及基本运维技能。 5.合同期内，如遇设备升级更新的，中标人需及时提供更新操作指导。</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质量保证期（简称“质保期”）</w:t>
            </w:r>
          </w:p>
        </w:tc>
        <w:tc>
          <w:tcPr>
            <w:tcW w:type="dxa" w:w="2076"/>
          </w:tcPr>
          <w:p>
            <w:pPr>
              <w:pStyle w:val="null3"/>
              <w:jc w:val="left"/>
            </w:pPr>
            <w:r>
              <w:rPr/>
              <w:t>(1)中标人自项目验收合格之日起，服务周期（含换件和维修）≥5年，需提供所投产品原厂商售后服务承诺函。 (2)投标人提供所投产品原厂400技术支持电话（相关费用均含在投标报价内）。 (3)投标人承诺中标后所投品牌在当地设有专业维修站（提供售后服务网点清单并加盖厂家公章）（提供承诺函，格式自拟）。</w:t>
            </w:r>
          </w:p>
        </w:tc>
      </w:tr>
      <w:tr>
        <w:tc>
          <w:tcPr>
            <w:tcW w:type="dxa" w:w="2076"/>
          </w:tcPr>
          <w:p/>
        </w:tc>
        <w:tc>
          <w:tcPr>
            <w:tcW w:type="dxa" w:w="2076"/>
          </w:tcPr>
          <w:p>
            <w:pPr>
              <w:pStyle w:val="null3"/>
              <w:jc w:val="center"/>
            </w:pPr>
            <w:r>
              <w:rPr/>
              <w:t>6</w:t>
            </w:r>
          </w:p>
        </w:tc>
        <w:tc>
          <w:tcPr>
            <w:tcW w:type="dxa" w:w="2076"/>
          </w:tcPr>
          <w:p>
            <w:pPr>
              <w:pStyle w:val="null3"/>
              <w:jc w:val="left"/>
            </w:pPr>
            <w:r>
              <w:rPr/>
              <w:t>售后服务要求</w:t>
            </w:r>
          </w:p>
        </w:tc>
        <w:tc>
          <w:tcPr>
            <w:tcW w:type="dxa" w:w="2076"/>
          </w:tcPr>
          <w:p>
            <w:pPr>
              <w:pStyle w:val="null3"/>
              <w:jc w:val="left"/>
            </w:pPr>
            <w:r>
              <w:rPr/>
              <w:t>1.质保期内中标人对所供货物实行上门包修、包换、包退、包维护保养，并且保证每季度上门检修一次，不再向采购人收取费用。 2.在合同期内，所有硬件设备的维修费均为由中标人承担（相关费用均含在投标报价内），中标人在接到采购人应急维修通知后10分钟内做出响应，1小时内到达现场，12小时内排除故障；如需更换零配件，零配件到货后3小时内更换完毕并可正常使用。 3.在质保期内，如在限定时间内无法修复设备，须提供性能不低于原设备的替代设备，直到故障设备修复为止。 4.质保期过后，中标人应提供系统软件终身维护服务，具体维护费由采购人和中标人通过合同或协议商定。</w:t>
            </w:r>
          </w:p>
        </w:tc>
      </w:tr>
      <w:tr>
        <w:tc>
          <w:tcPr>
            <w:tcW w:type="dxa" w:w="2076"/>
          </w:tcPr>
          <w:p/>
        </w:tc>
        <w:tc>
          <w:tcPr>
            <w:tcW w:type="dxa" w:w="2076"/>
          </w:tcPr>
          <w:p>
            <w:pPr>
              <w:pStyle w:val="null3"/>
              <w:jc w:val="center"/>
            </w:pPr>
            <w:r>
              <w:rPr/>
              <w:t>7</w:t>
            </w:r>
          </w:p>
        </w:tc>
        <w:tc>
          <w:tcPr>
            <w:tcW w:type="dxa" w:w="2076"/>
          </w:tcPr>
          <w:p>
            <w:pPr>
              <w:pStyle w:val="null3"/>
              <w:jc w:val="left"/>
            </w:pPr>
            <w:r>
              <w:rPr/>
              <w:t>其他要求</w:t>
            </w:r>
          </w:p>
        </w:tc>
        <w:tc>
          <w:tcPr>
            <w:tcW w:type="dxa" w:w="2076"/>
          </w:tcPr>
          <w:p>
            <w:pPr>
              <w:pStyle w:val="null3"/>
              <w:jc w:val="left"/>
            </w:pPr>
            <w:r>
              <w:rPr/>
              <w:t>1.投标人应具有同类项目业绩； 2.投标人拟投入本项目的团队人员：①信息系统项目管理师证书（计算机技术与软件专业技术资格证书）；②系统集成项目管理工程师证书（计算机技术与软件专业技术资格证书）或具有信息安全工程师（计算机技术与软件专业技术资格证书）或注册信息安全专业人员（CISP）（信息安全测评中心颁发）； 3.投标人应具有ISO 9001质量管理体系证书、.ISO 20000信息技术服务管理体系认证证书、ISO 27001信息安全管理体系认证证书； 4.投标人应根据项目需求及特点制定详细合理、切实可行、操作性强的项目实施方案、质量保证措施方案、应急方案及措施方案及售后服务方案。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图形工作站</w:t>
            </w:r>
          </w:p>
        </w:tc>
        <w:tc>
          <w:tcPr>
            <w:tcW w:type="dxa" w:w="831"/>
          </w:tcPr>
          <w:p>
            <w:pPr>
              <w:pStyle w:val="null3"/>
              <w:jc w:val="left"/>
            </w:pPr>
            <w:r>
              <w:rPr/>
              <w:t>图形工作站</w:t>
            </w:r>
          </w:p>
        </w:tc>
        <w:tc>
          <w:tcPr>
            <w:tcW w:type="dxa" w:w="831"/>
          </w:tcPr>
          <w:p>
            <w:pPr>
              <w:pStyle w:val="null3"/>
              <w:jc w:val="left"/>
            </w:pPr>
            <w:r>
              <w:rPr/>
              <w:t>台</w:t>
            </w:r>
          </w:p>
        </w:tc>
        <w:tc>
          <w:tcPr>
            <w:tcW w:type="dxa" w:w="831"/>
          </w:tcPr>
          <w:p>
            <w:pPr>
              <w:pStyle w:val="null3"/>
              <w:jc w:val="right"/>
            </w:pPr>
            <w:r>
              <w:rPr/>
              <w:t>160.00</w:t>
            </w:r>
          </w:p>
        </w:tc>
        <w:tc>
          <w:tcPr>
            <w:tcW w:type="dxa" w:w="831"/>
          </w:tcPr>
          <w:p>
            <w:pPr>
              <w:pStyle w:val="null3"/>
              <w:jc w:val="right"/>
            </w:pPr>
            <w:r>
              <w:rPr/>
              <w:t>12,375.00</w:t>
            </w:r>
          </w:p>
        </w:tc>
        <w:tc>
          <w:tcPr>
            <w:tcW w:type="dxa" w:w="831"/>
          </w:tcPr>
          <w:p>
            <w:pPr>
              <w:pStyle w:val="null3"/>
              <w:jc w:val="right"/>
            </w:pPr>
            <w:r>
              <w:rPr/>
              <w:t>1,980,000.00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图形工作站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219"/>
            </w:pPr>
            <w:r>
              <w:rPr>
                <w:sz w:val="21"/>
                <w:b/>
              </w:rPr>
              <w:t>服务设备参数及要求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436"/>
              <w:gridCol w:w="548"/>
              <w:gridCol w:w="3747"/>
              <w:gridCol w:w="420"/>
              <w:gridCol w:w="446"/>
            </w:tblGrid>
            <w:tr>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3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图形工作站</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8核3.0GHz）/32GB 3200MHZ /1TB SSD硬盘/4G专业显卡/1000M网卡/23.8寸IPS屏，100HZ高刷，窄边框显示器/操作系统/支持网络同传/5年整机保修</w:t>
                  </w:r>
                  <w:r>
                    <w:rPr>
                      <w:sz w:val="21"/>
                    </w:rPr>
                    <w:t>。</w:t>
                  </w:r>
                  <w:r>
                    <w:rPr>
                      <w:sz w:val="21"/>
                    </w:rPr>
                    <w:t>（详细技术参数见附件）</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bl>
          <w:p/>
        </w:tc>
      </w:tr>
      <w:tr>
        <w:tc>
          <w:tcPr>
            <w:tcW w:type="dxa" w:w="2076"/>
          </w:tcPr>
          <w:p/>
        </w:tc>
        <w:tc>
          <w:tcPr>
            <w:tcW w:type="dxa" w:w="415"/>
          </w:tcPr>
          <w:p>
            <w:pPr>
              <w:pStyle w:val="null3"/>
            </w:pPr>
            <w:r>
              <w:rPr/>
              <w:t>2</w:t>
            </w:r>
          </w:p>
        </w:tc>
        <w:tc>
          <w:tcPr>
            <w:tcW w:type="dxa" w:w="5814"/>
          </w:tcPr>
          <w:p>
            <w:pPr>
              <w:pStyle w:val="null3"/>
            </w:pPr>
            <w:r>
              <w:rPr>
                <w:sz w:val="21"/>
                <w:b/>
              </w:rPr>
              <w:t>附件：</w:t>
            </w:r>
          </w:p>
          <w:tbl>
            <w:tblPr>
              <w:tblBorders>
                <w:top w:val="none" w:color="000000" w:sz="4"/>
                <w:left w:val="none" w:color="000000" w:sz="4"/>
                <w:bottom w:val="none" w:color="000000" w:sz="4"/>
                <w:right w:val="none" w:color="000000" w:sz="4"/>
                <w:insideH w:val="none"/>
                <w:insideV w:val="none"/>
              </w:tblBorders>
            </w:tblPr>
            <w:tblGrid>
              <w:gridCol w:w="522"/>
              <w:gridCol w:w="5076"/>
            </w:tblGrid>
            <w:tr>
              <w:tc>
                <w:tcPr>
                  <w:tcW w:type="dxa" w:w="52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rPr>
                    <w:t>序号</w:t>
                  </w:r>
                </w:p>
              </w:tc>
              <w:tc>
                <w:tcPr>
                  <w:tcW w:type="dxa" w:w="507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rPr>
                    <w:t>技术参数</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CPU规格：采用C86架构处理器,CPU物理核心数≥8核，主频≥3.0GHz，末级缓存容量≥16MB，典型功耗≤65W</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内存：配置</w:t>
                  </w:r>
                  <w:r>
                    <w:rPr>
                      <w:sz w:val="21"/>
                    </w:rPr>
                    <w:t>≥32GB DDR4内存，内存速率≥3200MHZ，支持内存最高容量128GB</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存储设备规格：配置</w:t>
                  </w:r>
                  <w:r>
                    <w:rPr>
                      <w:sz w:val="21"/>
                    </w:rPr>
                    <w:t>≥1TB M.2 固态硬盘 ，支持加装 7200rpm 3.5英寸机械硬盘</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显卡规格：配备</w:t>
                  </w:r>
                  <w:r>
                    <w:rPr>
                      <w:sz w:val="21"/>
                    </w:rPr>
                    <w:t>Pascal GPU 架构 640 CUDA计算处理核心 ，4 GB 显存容量 Up to 80 GB/s 显存带宽，PCI Express 3.0， PCIE总线1.894 TFLOPS FP32单精度计算性能47W最大功耗，最少4个支持 DP同时输出，支持最高5120×2880分辨率输出，适用于专业图形处理和3D建模</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音频：集成声卡，支持</w:t>
                  </w:r>
                  <w:r>
                    <w:rPr>
                      <w:sz w:val="21"/>
                    </w:rPr>
                    <w:t>5.1声道</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网卡规格：配置</w:t>
                  </w:r>
                  <w:r>
                    <w:rPr>
                      <w:sz w:val="21"/>
                    </w:rPr>
                    <w:t>≥1个千兆自适应有线网卡</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主板扩展槽：配置</w:t>
                  </w:r>
                  <w:r>
                    <w:rPr>
                      <w:sz w:val="21"/>
                    </w:rPr>
                    <w:t>≥2个PCIe x16, ≥1个PCIe x8, ≥1个PCIe x1</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主板其他内置接口：配置</w:t>
                  </w:r>
                  <w:r>
                    <w:rPr>
                      <w:sz w:val="21"/>
                    </w:rPr>
                    <w:t>USB总数≥11个，其中USB3.0接口≥9个，≥1个M.2接口 PCIE4.0协议，≥4个SATA 接口</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同品牌键盘鼠标：配置</w:t>
                  </w:r>
                  <w:r>
                    <w:rPr>
                      <w:sz w:val="21"/>
                    </w:rPr>
                    <w:t>1套USB接口有线键盘鼠标</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w:t>
                  </w:r>
                  <w:r>
                    <w:rPr>
                      <w:sz w:val="21"/>
                    </w:rPr>
                    <w:t>≥</w:t>
                  </w:r>
                  <w:r>
                    <w:rPr>
                      <w:sz w:val="21"/>
                    </w:rPr>
                    <w:t>35</w:t>
                  </w:r>
                  <w:r>
                    <w:rPr>
                      <w:sz w:val="21"/>
                    </w:rPr>
                    <w:t>0W电源</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机箱尺寸容量：机箱体积</w:t>
                  </w:r>
                  <w:r>
                    <w:rPr>
                      <w:sz w:val="21"/>
                    </w:rPr>
                    <w:t>≥</w:t>
                  </w:r>
                  <w:r>
                    <w:rPr>
                      <w:sz w:val="21"/>
                    </w:rPr>
                    <w:t>16</w:t>
                  </w:r>
                  <w:r>
                    <w:rPr>
                      <w:sz w:val="21"/>
                    </w:rPr>
                    <w:t>L，支持全高，顶置提手，商务黑色机箱，机箱具备网络侦测灯</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同品牌显示设备规格：显示屏尺寸</w:t>
                  </w:r>
                  <w:r>
                    <w:rPr>
                      <w:sz w:val="21"/>
                    </w:rPr>
                    <w:t>≥23.8英寸IPS屏，显示屏屏占比≥95%，显示屏像素密度≥90像素/英寸，显示屏可视角度水平≥178°，显示屏防蓝光支持防蓝光模式，蓝光加权辐射亮度比应≤0.0012W/(·cd·sr)（瓦每坎特拉每球面度），显示屏低频闪显示屏应支持低频闪≤-35dB，显示屏亮度≥300 尼特，，刷新率：≥100Hz，显示屏对比度≥3000：1</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操作系统：预装操作系统，符合关键部件安全要求</w:t>
                  </w:r>
                </w:p>
              </w:tc>
            </w:tr>
          </w:tbl>
          <w:p/>
        </w:tc>
      </w:tr>
      <w:tr>
        <w:tc>
          <w:tcPr>
            <w:tcW w:type="dxa" w:w="2076"/>
          </w:tcPr>
          <w:p>
            <w:pPr>
              <w:pStyle w:val="null3"/>
            </w:pPr>
            <w:r>
              <w:rPr/>
              <w:t>▲</w:t>
            </w:r>
          </w:p>
        </w:tc>
        <w:tc>
          <w:tcPr>
            <w:tcW w:type="dxa" w:w="415"/>
          </w:tcPr>
          <w:p>
            <w:pPr>
              <w:pStyle w:val="null3"/>
            </w:pPr>
            <w:r>
              <w:rPr/>
              <w:t>3</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22"/>
              <w:gridCol w:w="5076"/>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14</w:t>
                  </w:r>
                </w:p>
              </w:tc>
              <w:tc>
                <w:tcPr>
                  <w:tcW w:type="dxa" w:w="5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▲出厂预装</w:t>
                  </w:r>
                  <w:r>
                    <w:rPr>
                      <w:sz w:val="21"/>
                      <w:b/>
                    </w:rPr>
                    <w:t>与设备同一</w:t>
                  </w:r>
                  <w:r>
                    <w:rPr>
                      <w:sz w:val="21"/>
                      <w:b/>
                    </w:rPr>
                    <w:t>品牌网络同传软件</w:t>
                  </w:r>
                </w:p>
              </w:tc>
            </w:tr>
          </w:tbl>
          <w:p/>
        </w:tc>
      </w:tr>
      <w:tr>
        <w:tc>
          <w:tcPr>
            <w:tcW w:type="dxa" w:w="2076"/>
          </w:tcPr>
          <w:p/>
        </w:tc>
        <w:tc>
          <w:tcPr>
            <w:tcW w:type="dxa" w:w="415"/>
          </w:tcPr>
          <w:p>
            <w:pPr>
              <w:pStyle w:val="null3"/>
            </w:pPr>
            <w:r>
              <w:rPr/>
              <w:t>4</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22"/>
              <w:gridCol w:w="5076"/>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基于</w:t>
                  </w:r>
                  <w:r>
                    <w:rPr>
                      <w:sz w:val="21"/>
                    </w:rPr>
                    <w:t>Kylin/Unity Operating System/Windows平台，支持GPT/MBR分区Windows、linux系统等</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支持混合硬盘保护，并实现跨硬盘安装多系统</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支持双硬盘保护，并实现网络同传</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支持虚拟磁盘，防止数据丢失，通过虚拟磁盘功能，加载进度数据，并可以拷贝出来</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GPT/MBR系统0秒切换不需要设置BIOS直接进入</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最大系统管理：最多支持创建</w:t>
                  </w:r>
                  <w:r>
                    <w:rPr>
                      <w:sz w:val="21"/>
                    </w:rPr>
                    <w:t>64个操作系统，可隐藏操作系统不让使用，支持NTFS/FAT32资料盘自动清除，支持共用分区保护</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IP地址管理：支持多系统多IP功能(不同系统可设定不同IP)，支持网卡与IP地址绑定</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网络同传速度：</w:t>
                  </w:r>
                  <w:r>
                    <w:rPr>
                      <w:sz w:val="21"/>
                    </w:rPr>
                    <w:t>100Mbps网络环境下克隆速度 600-800Mbps /分，1Gbps网络环境下克隆速度1200M--6000Mbps /分</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最大同传模式：支持任意发送端，最多支持</w:t>
                  </w:r>
                  <w:r>
                    <w:rPr>
                      <w:sz w:val="21"/>
                    </w:rPr>
                    <w:t>254台电脑网络同传，采用树状多点还原技术，支持建立254个还原点，每个还原点各自独立，可恢复任意还原点</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远程还原控制：可设定任意还原点：如每次开机还原、每天还原，每周一还原、每月一号还原</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远程外设管理：支持禁止使用</w:t>
                  </w:r>
                  <w:r>
                    <w:rPr>
                      <w:sz w:val="21"/>
                    </w:rPr>
                    <w:t>USB ，DVD/CD-ROM存储设备</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远程基础控制：支持学生机远程开机、关机、重启、进入指定操作系统、同步客户端时钟</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远程硬件控制：可时刻对学生机硬件资产进行监控，保证机房硬件不丢失，并进行资产统计报表</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远程软件控制：可时刻监控学生机软件信息，防止学生安装无关软件，游戏，或者私自卸载教学软件</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远程网络控制：可控制学生机是否能上网，或者设定机房内计算机内外网的访问黑白名单，提供良好教学环境</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远程屏幕查看：可远程查看学生机屏幕，对学生进行实时指导</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远程文件传送：用于传送作业，接收作业数据和文件</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断点续传功能：接收端断线续传功能。接收端断线重启会接着断线位置继续传送</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增量同传功能：自动检测现有数据文件，仅提供增量部分复制，降低复制容量</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文件目录映射：可在保护分区设置一个文件夹不被还原</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自动进入系统：可设置时间自动进入操作系统，或自动关机</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智能定位故障机：可监测网卡丢包率，硬盘读写速度，最慢机</w:t>
                  </w:r>
                  <w:r>
                    <w:rPr>
                      <w:sz w:val="21"/>
                    </w:rPr>
                    <w:t>IP，自动调节延迟</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CMOS同传：发送端修改BIOS设置后，可同传到客户端机器，客户机器不需要手动去设置</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自动软件注册：支持自动软件注册，发送端一次注册即可。发送端注册系统设定完成后通过网络克隆，接收端自动完成</w:t>
                  </w:r>
                  <w:r>
                    <w:rPr>
                      <w:sz w:val="21"/>
                    </w:rPr>
                    <w:t>KMS注册功能。发送端註冊办公软件设定完成后通过网络克隆，接收端自动完成KMS注册功能</w:t>
                  </w:r>
                </w:p>
              </w:tc>
            </w:tr>
          </w:tbl>
          <w:p/>
        </w:tc>
      </w:tr>
      <w:tr>
        <w:tc>
          <w:tcPr>
            <w:tcW w:type="dxa" w:w="2076"/>
          </w:tcPr>
          <w:p>
            <w:pPr>
              <w:pStyle w:val="null3"/>
            </w:pPr>
            <w:r>
              <w:rPr/>
              <w:t>▲</w:t>
            </w:r>
          </w:p>
        </w:tc>
        <w:tc>
          <w:tcPr>
            <w:tcW w:type="dxa" w:w="415"/>
          </w:tcPr>
          <w:p>
            <w:pPr>
              <w:pStyle w:val="null3"/>
            </w:pPr>
            <w:r>
              <w:rPr/>
              <w:t>5</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22"/>
              <w:gridCol w:w="5076"/>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39</w:t>
                  </w:r>
                </w:p>
              </w:tc>
              <w:tc>
                <w:tcPr>
                  <w:tcW w:type="dxa" w:w="5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▲整机噪音：所投计算机产品平均声压级≤</w:t>
                  </w:r>
                  <w:r>
                    <w:rPr>
                      <w:sz w:val="21"/>
                      <w:b/>
                    </w:rPr>
                    <w:t>15.18</w:t>
                  </w:r>
                  <w:r>
                    <w:rPr>
                      <w:sz w:val="21"/>
                      <w:b/>
                    </w:rPr>
                    <w:t>dB，声功率级应≤</w:t>
                  </w:r>
                  <w:r>
                    <w:rPr>
                      <w:sz w:val="21"/>
                      <w:b/>
                    </w:rPr>
                    <w:t>2.65</w:t>
                  </w:r>
                  <w:r>
                    <w:rPr>
                      <w:sz w:val="21"/>
                      <w:b/>
                    </w:rPr>
                    <w:t>Bel</w:t>
                  </w:r>
                  <w:r>
                    <w:rPr>
                      <w:sz w:val="21"/>
                      <w:b/>
                    </w:rPr>
                    <w:t>（</w:t>
                  </w:r>
                  <w:r>
                    <w:rPr>
                      <w:sz w:val="21"/>
                      <w:b/>
                    </w:rPr>
                    <w:t>提供对应的报告及证书并加盖</w:t>
                  </w:r>
                  <w:r>
                    <w:rPr>
                      <w:sz w:val="21"/>
                      <w:b/>
                    </w:rPr>
                    <w:t>厂家</w:t>
                  </w:r>
                  <w:r>
                    <w:rPr>
                      <w:sz w:val="21"/>
                      <w:b/>
                    </w:rPr>
                    <w:t>公章）</w:t>
                  </w:r>
                </w:p>
              </w:tc>
            </w:tr>
          </w:tbl>
          <w:p/>
        </w:tc>
      </w:tr>
      <w:tr>
        <w:tc>
          <w:tcPr>
            <w:tcW w:type="dxa" w:w="2076"/>
          </w:tcPr>
          <w:p>
            <w:pPr>
              <w:pStyle w:val="null3"/>
            </w:pPr>
            <w:r>
              <w:rPr/>
              <w:t>▲</w:t>
            </w:r>
          </w:p>
        </w:tc>
        <w:tc>
          <w:tcPr>
            <w:tcW w:type="dxa" w:w="415"/>
          </w:tcPr>
          <w:p>
            <w:pPr>
              <w:pStyle w:val="null3"/>
            </w:pPr>
            <w:r>
              <w:rPr/>
              <w:t>6</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22"/>
              <w:gridCol w:w="5076"/>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40</w:t>
                  </w:r>
                </w:p>
              </w:tc>
              <w:tc>
                <w:tcPr>
                  <w:tcW w:type="dxa" w:w="5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▲整机可靠性要求：具有产品可靠性检验证书，MTBF≥1</w:t>
                  </w:r>
                  <w:r>
                    <w:rPr>
                      <w:sz w:val="21"/>
                      <w:b/>
                    </w:rPr>
                    <w:t>2</w:t>
                  </w:r>
                  <w:r>
                    <w:rPr>
                      <w:sz w:val="21"/>
                      <w:b/>
                    </w:rPr>
                    <w:t>0万小时（提供第三方检验证书或报告并加盖</w:t>
                  </w:r>
                  <w:r>
                    <w:rPr>
                      <w:sz w:val="21"/>
                      <w:b/>
                    </w:rPr>
                    <w:t>厂家</w:t>
                  </w:r>
                  <w:r>
                    <w:rPr>
                      <w:sz w:val="21"/>
                      <w:b/>
                    </w:rPr>
                    <w:t>公章）</w:t>
                  </w:r>
                </w:p>
              </w:tc>
            </w:tr>
          </w:tbl>
          <w:p/>
        </w:tc>
      </w:tr>
      <w:tr>
        <w:tc>
          <w:tcPr>
            <w:tcW w:type="dxa" w:w="2076"/>
          </w:tcPr>
          <w:p>
            <w:pPr>
              <w:pStyle w:val="null3"/>
            </w:pPr>
            <w:r>
              <w:rPr/>
              <w:t>▲</w:t>
            </w:r>
          </w:p>
        </w:tc>
        <w:tc>
          <w:tcPr>
            <w:tcW w:type="dxa" w:w="415"/>
          </w:tcPr>
          <w:p>
            <w:pPr>
              <w:pStyle w:val="null3"/>
            </w:pPr>
            <w:r>
              <w:rPr/>
              <w:t>7</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22"/>
              <w:gridCol w:w="5076"/>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41</w:t>
                  </w:r>
                </w:p>
              </w:tc>
              <w:tc>
                <w:tcPr>
                  <w:tcW w:type="dxa" w:w="5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投</w:t>
                  </w:r>
                  <w:r>
                    <w:rPr>
                      <w:sz w:val="21"/>
                      <w:b/>
                    </w:rPr>
                    <w:t>标产品须是</w:t>
                  </w:r>
                  <w:r>
                    <w:rPr>
                      <w:sz w:val="21"/>
                      <w:b/>
                    </w:rPr>
                    <w:t>C86工作站产品。验收时机器铭牌须体现“工作站”标识(原厂400可查)，以便检查</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1.采购代理机构：本项目是指广州宜立工程管理有限公司韶关分公司，负责整个采购活动的组织，依法负责编制和发布招标文件，对招标文件拥有最终的解释权，不以任何身份出任评标委员会成员。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在收取《中标通知书》时应向采购代理机构交纳招标代理费。招标代理费以采购预算金额为基准，按差额定率累进法计算，具体收费标准按下表计算，不足8000元的，按8000元收取。 采购预算金额（万元） 费率 100以下 1.5％ 100-500 1.3％ 500-1000 1.2％ 1000-5000 1.0％ 1）招标代理费以人民币支付。 2) 招标代理费支付方式：一次性以银行转账形式支付。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广州宜立工程管理有限公司韶关分公司</w:t>
      </w:r>
      <w:r>
        <w:rPr/>
        <w:t>代收。具体操作要求详见</w:t>
      </w:r>
      <w:r>
        <w:rPr/>
        <w:t>广州宜立工程管理有限公司韶关分公司</w:t>
      </w:r>
      <w:r>
        <w:rPr/>
        <w:t>有关指引，递交事宜请自行咨询</w:t>
      </w:r>
      <w:r>
        <w:rPr/>
        <w:t>广州宜立工程管理有限公司韶关分公司</w:t>
      </w:r>
      <w:r>
        <w:rPr/>
        <w:t>；请各投标人在投标文件递交截止时间前按须知前附表规定的金额递交至</w:t>
      </w:r>
      <w:r>
        <w:rPr/>
        <w:t>广州宜立工程管理有限公司韶关分公司</w:t>
      </w:r>
      <w:r>
        <w:rPr/>
        <w:t>，到账情况以开标时</w:t>
      </w:r>
      <w:r>
        <w:rPr/>
        <w:t>广州宜立工程管理有限公司韶关分公司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广州宜立工程管理有限公司（https://www.gzylzbdl.com）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广州宜立工程管理有限公司（https://www.gzylzbdl.com）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0751-8221111</w:t>
      </w:r>
    </w:p>
    <w:p>
      <w:pPr>
        <w:pStyle w:val="null3"/>
        <w:ind w:firstLine="480"/>
      </w:pPr>
      <w:r>
        <w:rPr/>
        <w:t>传真：</w:t>
      </w:r>
      <w:r>
        <w:rPr/>
        <w:t>0751-8912231</w:t>
      </w:r>
    </w:p>
    <w:p>
      <w:pPr>
        <w:pStyle w:val="null3"/>
        <w:ind w:firstLine="480"/>
      </w:pPr>
      <w:r>
        <w:rPr/>
        <w:t>邮箱：</w:t>
      </w:r>
      <w:r>
        <w:rPr/>
        <w:t>yilishaoguan@163.com</w:t>
      </w:r>
    </w:p>
    <w:p>
      <w:pPr>
        <w:pStyle w:val="null3"/>
        <w:ind w:firstLine="480"/>
      </w:pPr>
      <w:r>
        <w:rPr/>
        <w:t>地址：</w:t>
      </w:r>
      <w:r>
        <w:rPr/>
        <w:t>广东省韶关市浈江区良村公路38号良村兴强财富广场A栋15C</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购置云计算、虚拟现实专业图形工作站实训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广州宜立工程管理有限公司韶关分公司</w:t>
      </w:r>
      <w:r>
        <w:rPr/>
        <w:t>统一对外发布。</w:t>
      </w:r>
    </w:p>
    <w:p>
      <w:pPr>
        <w:pStyle w:val="null3"/>
        <w:ind w:firstLine="480"/>
      </w:pPr>
      <w:r>
        <w:rPr/>
        <w:t>（2）对</w:t>
      </w:r>
      <w:r>
        <w:rPr/>
        <w:t>广州宜立工程管理有限公司韶关分公司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采购包1（购置云计算、虚拟现实专业图形工作站实训设备）：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采购包1（购置云计算、虚拟现实专业图形工作站实训设备）：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资格条件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本采购项目不接受联合体投标。</w:t>
            </w:r>
          </w:p>
        </w:tc>
        <w:tc>
          <w:tcPr>
            <w:tcW w:type="dxa" w:w="4238"/>
          </w:tcPr>
          <w:p>
            <w:pPr>
              <w:pStyle w:val="null3"/>
            </w:pPr>
            <w:r>
              <w:rPr/>
              <w:t>本采购项目不接受联合体投标。</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本项目因按照《政府采购促进中小企业发展管理办法》规定属于预留采购份额无法确保充分供应、充分竞争，或者存在可能影响政府采购目标实现的情形，因此本项目不专门面向中小企业采购。本项目采购标的对应的中小企业划分标准所属行业为：工业。</w:t>
            </w:r>
          </w:p>
        </w:tc>
      </w:tr>
    </w:tbl>
    <w:p>
      <w:pPr>
        <w:pStyle w:val="null3"/>
        <w:ind w:firstLine="480"/>
      </w:pPr>
      <w:r>
        <w:rPr/>
        <w:t>表二符合性审查表：</w:t>
      </w:r>
    </w:p>
    <w:p>
      <w:pPr>
        <w:pStyle w:val="null3"/>
      </w:pPr>
      <w:r>
        <w:rPr/>
        <w:t>采购包1（购置云计算、虚拟现实专业图形工作站实训设备）：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按招标文件提供的格式文件填写、签署、盖章。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按招标文件提供的格式文件签署、盖章。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（1）投标报价是固定价且是唯一的，投标报价未超出采购预算或最高限价。（2）投标报价无错漏项或有错漏项但被评标委员会认可。（3）招标文件不接受提交备用方案。</w:t>
            </w:r>
          </w:p>
        </w:tc>
      </w:tr>
      <w:tr>
        <w:tc>
          <w:tcPr>
            <w:tcW w:type="dxa" w:w="890"/>
          </w:tcPr>
          <w:p>
            <w:pPr>
              <w:pStyle w:val="null3"/>
            </w:pPr>
            <w:r>
              <w:rPr/>
              <w:t>4</w:t>
            </w:r>
          </w:p>
        </w:tc>
        <w:tc>
          <w:tcPr>
            <w:tcW w:type="dxa" w:w="3178"/>
          </w:tcPr>
          <w:p>
            <w:pPr>
              <w:pStyle w:val="null3"/>
            </w:pPr>
            <w:r>
              <w:rPr/>
              <w:t>采购需求“★”条款响应程度</w:t>
            </w:r>
          </w:p>
        </w:tc>
        <w:tc>
          <w:tcPr>
            <w:tcW w:type="dxa" w:w="4238"/>
          </w:tcPr>
          <w:p>
            <w:pPr>
              <w:pStyle w:val="null3"/>
            </w:pPr>
            <w:r>
              <w:rPr/>
              <w:t>满足招标文件要求。</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未出现法律、法规、规章和招标文件规定的其他投标无效情形。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采购包1(购置云计算、虚拟现实专业图形工作站实训设备):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重要技术参数（“▲”号）的响应情况 (6.0分)</w:t>
            </w:r>
          </w:p>
        </w:tc>
        <w:tc>
          <w:tcPr>
            <w:tcW w:type="dxa" w:w="5076"/>
          </w:tcPr>
          <w:p>
            <w:pPr>
              <w:pStyle w:val="null3"/>
              <w:jc w:val="left"/>
            </w:pPr>
            <w:r>
              <w:rPr/>
              <w:t>根据投标人投标产品的“▲”号技术参数响应程度进行评审（共计4条），完全满足（即无偏离或正偏离），得6分；每有一项带“▲”号参数负偏离扣1.5分，扣完为止。（注：如技术要求中有明确提供的证明资料，则以技术要求为准，无或未按要求提供证明材料的不得分；如技术要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一般技术参数（非标注带“▲”号和“★”号）响应情况 (15.0分)</w:t>
            </w:r>
          </w:p>
        </w:tc>
        <w:tc>
          <w:tcPr>
            <w:tcW w:type="dxa" w:w="5076"/>
          </w:tcPr>
          <w:p>
            <w:pPr>
              <w:pStyle w:val="null3"/>
              <w:jc w:val="left"/>
            </w:pPr>
            <w:r>
              <w:rPr/>
              <w:t>根据投标人对“第二章 采购需求”中采购标的“具体技术(参数)要求”的一般参数“附件”响应情况进行评审： (1)负偏离总数≤5条的，每出现一条负偏离，扣2分； (2)负偏离总数＞5条的，扣分= 10+[（负偏离总数-5）/（一般技术参数总数-5）]×5。 注：结果四舍五入保留两位小数。采购清单每一序号对应所列规格参数内容（无论该项内存在多少内容点）视为1项，共计37项。每一项内如出现负偏离或未响应视为该项整体不满足要求。如采购需求中有明确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根据供应商提供的项目实施方案（包括但不限于：项目实施组织结构、实施进度、项目管理、验收等内容）符合本项目的实际需求，视方案完整程度，合理可行性等情况进行评分： 1.项目实施方案对需求响应全面具体，能针对图形工作站设备方案提出科学合理、可直接执行的实施方案，能有效保障本项目实施，并额外提供增值服务，有利于实现项目效果，得8分； 2.项目实施方案对需求响应具体，针对能针对图形工作站的技术实施方案提出科学合理、可执行的实施方案，能基本保障本项目服务实施，基本满足项目效果，得5分； 3.项目实施方案对需求响应不全面不具体，方案合理性不足、难以执行，无法保障本项目服务实施，无法实现项目效果，得3分； 4.项目总体实施方案关键模块严重缺失，或与招标文件要求矛盾，技术方案存在重大漏洞，或者不提供不得分。</w:t>
            </w:r>
          </w:p>
        </w:tc>
      </w:tr>
      <w:tr>
        <w:tc>
          <w:tcPr>
            <w:tcW w:type="dxa" w:w="922"/>
            <w:gridSpan w:val="2"/>
            <w:vMerge/>
          </w:tcPr>
          <w:p/>
        </w:tc>
        <w:tc>
          <w:tcPr>
            <w:tcW w:type="dxa" w:w="2307"/>
          </w:tcPr>
          <w:p>
            <w:pPr>
              <w:pStyle w:val="null3"/>
              <w:jc w:val="left"/>
            </w:pPr>
            <w:r>
              <w:rPr/>
              <w:t>质量保证措施方案 (8.0分)</w:t>
            </w:r>
          </w:p>
        </w:tc>
        <w:tc>
          <w:tcPr>
            <w:tcW w:type="dxa" w:w="5076"/>
          </w:tcPr>
          <w:p>
            <w:pPr>
              <w:pStyle w:val="null3"/>
              <w:jc w:val="left"/>
            </w:pPr>
            <w:r>
              <w:rPr/>
              <w:t>根据响应供应商针对本项目提供的质量保证措施（包括但不限于质量保证目标、质量保证考核等）进行综合评审： 1.质量保证措施方案内容全面覆盖招标文件要求，包括但不限于质量目标、质量保证考核步骤清晰、逻辑严密，实施路径明确且符合项目实际需求，具备可操作性，无重大逻辑漏洞或技术矛盾，紧密结合项目特点、行业规范及采购人需求，提出定制化措施，体现对项目需求的深度理解，在传统质量保障基础上提出创新方法，且创新点具有实际应用价值，得8分； 2.质量保证措施方案内容基本覆盖招标文件要求，但存在个别非关键要素缺失，步骤较清晰，实施路径合理，但部分环节缺乏细化说明，能结合项目需求提出措施，但部分内容为通用性描述，缺乏对项目特殊性的深入分析，未提出显著创新点，但沿用成熟方法时能体现对行业标准的合理应用，得5分； 3.质量保证措施方案内容存在多处缺失，但核心模块已覆盖，方案步骤较模糊，实施路径存在不确定性，需依赖外部条件补充，方案与项目需求关联性较弱，部分内容为模板化套用，未体现对项目特点的针对性设计，无创新点，仅复述招标文件要求或行业常规做法，得3分； 4.质量保证措施方案内容严重缺失，或存在重大逻辑错误，步骤混乱，实施路径不可行，或存在明显技术矛盾，与项目需求完全脱节，内容为通用模板且未修改关键信息，无创新点，且方案整体质量低下，不得分，或者不提供不得分。</w:t>
            </w:r>
          </w:p>
        </w:tc>
      </w:tr>
      <w:tr>
        <w:tc>
          <w:tcPr>
            <w:tcW w:type="dxa" w:w="922"/>
            <w:gridSpan w:val="2"/>
            <w:vMerge/>
          </w:tcPr>
          <w:p/>
        </w:tc>
        <w:tc>
          <w:tcPr>
            <w:tcW w:type="dxa" w:w="2307"/>
          </w:tcPr>
          <w:p>
            <w:pPr>
              <w:pStyle w:val="null3"/>
              <w:jc w:val="left"/>
            </w:pPr>
            <w:r>
              <w:rPr/>
              <w:t>应急方案及措施方案 (8.0分)</w:t>
            </w:r>
          </w:p>
        </w:tc>
        <w:tc>
          <w:tcPr>
            <w:tcW w:type="dxa" w:w="5076"/>
          </w:tcPr>
          <w:p>
            <w:pPr>
              <w:pStyle w:val="null3"/>
              <w:jc w:val="left"/>
            </w:pPr>
            <w:r>
              <w:rPr/>
              <w:t>根据响应供应商对本项目紧急、突发、意外等事件的预防、应变和处置方案及措施： 1.应急方案及措施方案完全适用本项目用户需求，完整详细，科学合理，亮点多，服务措施可行性强，应急服务完全满足或优于招标文件要求的，得8分； 2.应急方案及措施方案基本适用本项目用户需求，方案架构基本完整，较为合理，服务措施基本可行，应急服务基本满足招标文件要求的，得5分； 3.应急方案及措施方案有不全面不具体本项目用户需求，亮点不多，针对性不强，应急服务部分满足招标文件要求的，得3分； 4.应急方案及措施方案内容严重缺失，或存在重大逻辑错误，步骤混乱，实施路径不可行，或不适用本项目用户需求，且应急服务部分不满足招标文件要求的，不得分，或者不提供不得分。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重要商务需求（“▲”号）的响应程度 (1.5分)</w:t>
            </w:r>
          </w:p>
        </w:tc>
        <w:tc>
          <w:tcPr>
            <w:tcW w:type="dxa" w:w="5076"/>
          </w:tcPr>
          <w:p>
            <w:pPr>
              <w:pStyle w:val="null3"/>
              <w:jc w:val="left"/>
            </w:pPr>
            <w:r>
              <w:rPr/>
              <w:t>根据投标人投标产品的“▲”号商务需求响应程度进行评审（共计1条），完全满足（即无偏离或正偏离），得1.5分；每有一项带“▲”号参数负偏离扣1.5分，扣完为止。 （注：如技术要求中有明确提供的证明资料，则以技术要求为准，无或未按要求提供证明材料的不得分；如技术要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项目负责人 (2.0分)</w:t>
            </w:r>
          </w:p>
        </w:tc>
        <w:tc>
          <w:tcPr>
            <w:tcW w:type="dxa" w:w="5076"/>
          </w:tcPr>
          <w:p>
            <w:pPr>
              <w:pStyle w:val="null3"/>
              <w:jc w:val="left"/>
            </w:pPr>
            <w:r>
              <w:rPr/>
              <w:t>投标人拟派项目经理（1人）情况进行评分： 项目经理具有信息系统项目管理师证书（计算机技术与软件专业技术资格证书），得2分。 注：①提供相关证明文件复印件；②提供投标人为其购买的投标截止前六个月内任意一个月社保证明文件复印件。未按要求提供的不得分。</w:t>
            </w:r>
          </w:p>
        </w:tc>
      </w:tr>
      <w:tr>
        <w:tc>
          <w:tcPr>
            <w:tcW w:type="dxa" w:w="922"/>
            <w:gridSpan w:val="2"/>
            <w:vMerge/>
          </w:tcPr>
          <w:p/>
        </w:tc>
        <w:tc>
          <w:tcPr>
            <w:tcW w:type="dxa" w:w="2307"/>
          </w:tcPr>
          <w:p>
            <w:pPr>
              <w:pStyle w:val="null3"/>
              <w:jc w:val="left"/>
            </w:pPr>
            <w:r>
              <w:rPr/>
              <w:t>项目组成员情况 (3.0分)</w:t>
            </w:r>
          </w:p>
        </w:tc>
        <w:tc>
          <w:tcPr>
            <w:tcW w:type="dxa" w:w="5076"/>
          </w:tcPr>
          <w:p>
            <w:pPr>
              <w:pStyle w:val="null3"/>
              <w:jc w:val="left"/>
            </w:pPr>
            <w:r>
              <w:rPr/>
              <w:t>根据投标人项目组成员（不含项目经理）情况进行评分： 项目组成员具有系统集成项目管理工程师证书（计算机技术与软件专业技术资格证书）或具有信息安全工程师（计算机技术与软件专业技术资格证书）或注册信息安全专业人员（CISP）（信息安全测评中心颁发），每有一人具有以上任一证书得1.5分，最高得3分。 注：①同一人具备多份证书的，不重复计分，按最高得分只计一次分值； ②提供以上人员证书复印件及为其购买的投标截止前六个月内任意一个月社保证明文件复印件。未按要求提供的不得分。</w:t>
            </w:r>
          </w:p>
        </w:tc>
      </w:tr>
      <w:tr>
        <w:tc>
          <w:tcPr>
            <w:tcW w:type="dxa" w:w="922"/>
            <w:gridSpan w:val="2"/>
            <w:vMerge/>
          </w:tcPr>
          <w:p/>
        </w:tc>
        <w:tc>
          <w:tcPr>
            <w:tcW w:type="dxa" w:w="2307"/>
          </w:tcPr>
          <w:p>
            <w:pPr>
              <w:pStyle w:val="null3"/>
              <w:jc w:val="left"/>
            </w:pPr>
            <w:r>
              <w:rPr/>
              <w:t>管理认证情况 (4.5分)</w:t>
            </w:r>
          </w:p>
        </w:tc>
        <w:tc>
          <w:tcPr>
            <w:tcW w:type="dxa" w:w="5076"/>
          </w:tcPr>
          <w:p>
            <w:pPr>
              <w:pStyle w:val="null3"/>
              <w:jc w:val="left"/>
            </w:pPr>
            <w:r>
              <w:rPr/>
              <w:t>投标人具有下列管理体系认证证书，每提供一项证书得1.5分，本项最高4.5分： 1.ISO 9001质量管理体系证书； 2.ISO 20000信息技术服务管理体系认证证书； 3.ISO 27001信息安全管理体系认证证书。 注：须同时提供认证证书复印件及国家认证认可监督管理委员会的“全国认证认可信息公共服务平台”（http://cx.cnca.cn）查询结果截图，失效、撤销或暂停的对应证书项不得分。供应商因成立时间不足三个月无法获得证书的，对应证书可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供应商评审因素得分=诚信记录得分×5% 注：1.采购代理机构于投标截止时间后，在评审活动开始前，通过广东政府采购网“其他监管检查公告”栏和韶关市财政局政务信息公开网站“政府采购”栏查询投标（响应）供应商诚信状况，提供给评标委员会，由评审委员会根据上述公式的规定进行评审；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根据响应供应商提供的售后服务承诺的完整性、可行性（包括质保期限、故障响应时间、服务便捷性、售后服务完善程度）进行评审： 1.响应供应商所提供的售后服务方案合理完善，响应速度快、服务内容完善，得9分； 2.响应供应商所提供的售后服务方案合理较完善，响应速度较快、服务内容较完善，得6分； 3.响应供应商所提供的售后服务方案合理性及完善程度一般，响应速度一般，服务内容基本完善，得4分； 4.响应供应商所提供的售后服务方案合理性及完善程度较差，响应速度较慢、服务内容基本符合项目要求，得1分； 5.未提供方案或提供的方案与本项目无关的，不得分。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rPr>
        <w:t>甲</w:t>
      </w:r>
      <w:r>
        <w:rPr>
          <w:sz w:val="21"/>
          <w:b/>
        </w:rPr>
        <w:t xml:space="preserve">    </w:t>
      </w:r>
      <w:r>
        <w:rPr>
          <w:sz w:val="21"/>
          <w:b/>
        </w:rPr>
        <w:t>方：</w:t>
      </w:r>
      <w:r>
        <w:rPr>
          <w:sz w:val="21"/>
          <w:b/>
        </w:rPr>
        <w:t>韶关市技师学院</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根据</w:t>
      </w:r>
      <w:r>
        <w:rPr>
          <w:sz w:val="21"/>
          <w:b/>
          <w:u w:val="single"/>
        </w:rPr>
        <w:t>购置云计算、虚拟现实专业图形工作站实训设备</w:t>
      </w:r>
      <w:r>
        <w:rPr>
          <w:sz w:val="21"/>
          <w:b/>
          <w:u w:val="single"/>
        </w:rPr>
        <w:t>（项目编号：</w:t>
      </w:r>
      <w:r>
        <w:rPr>
          <w:sz w:val="21"/>
          <w:b/>
          <w:u w:val="single"/>
        </w:rPr>
        <w:t>GZYL26SGHG04015</w:t>
      </w:r>
      <w:r>
        <w:rPr>
          <w:sz w:val="21"/>
          <w:b/>
          <w:u w:val="single"/>
        </w:rPr>
        <w:t>）</w:t>
      </w:r>
      <w:r>
        <w:rPr>
          <w:sz w:val="21"/>
        </w:rPr>
        <w:t>的采购结果，按照《中华人民共和国政府采购法》、《</w:t>
      </w:r>
      <w:r>
        <w:rPr>
          <w:sz w:val="21"/>
        </w:rPr>
        <w:t>中华人民共和国</w:t>
      </w:r>
      <w:r>
        <w:rPr>
          <w:sz w:val="21"/>
        </w:rPr>
        <w:t>民法典》</w:t>
      </w:r>
      <w:r>
        <w:rPr>
          <w:sz w:val="21"/>
        </w:rPr>
        <w:t>（合同编）</w:t>
      </w:r>
      <w:r>
        <w:rPr>
          <w:sz w:val="21"/>
        </w:rPr>
        <w:t>的规定，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 xml:space="preserve"> </w:t>
      </w: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63"/>
        <w:gridCol w:w="1042"/>
        <w:gridCol w:w="3193"/>
        <w:gridCol w:w="812"/>
        <w:gridCol w:w="812"/>
        <w:gridCol w:w="974"/>
        <w:gridCol w:w="812"/>
      </w:tblGrid>
      <w:tr>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3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7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元</w:t>
            </w:r>
            <w:r>
              <w:rPr>
                <w:sz w:val="21"/>
              </w:rPr>
              <w:t>)</w:t>
            </w:r>
          </w:p>
        </w:tc>
        <w:tc>
          <w:tcPr>
            <w:tcW w:type="dxa" w:w="81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w:t>
            </w:r>
            <w:r>
              <w:rPr>
                <w:sz w:val="21"/>
              </w:rPr>
              <w:t>元</w:t>
            </w:r>
            <w:r>
              <w:rPr>
                <w:sz w:val="21"/>
              </w:rPr>
              <w:t>)</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合计总额：￥</w:t>
            </w:r>
            <w:r>
              <w:rPr>
                <w:sz w:val="21"/>
              </w:rPr>
              <w:t xml:space="preserve">       </w:t>
            </w:r>
            <w:r>
              <w:rPr>
                <w:sz w:val="21"/>
              </w:rPr>
              <w:t>元（大写：</w:t>
            </w:r>
            <w:r>
              <w:rPr>
                <w:sz w:val="21"/>
              </w:rPr>
              <w:t xml:space="preserve">   </w:t>
            </w:r>
            <w:r>
              <w:rPr>
                <w:sz w:val="21"/>
              </w:rPr>
              <w:t>元）</w:t>
            </w:r>
          </w:p>
        </w:tc>
      </w:tr>
    </w:tbl>
    <w:p>
      <w:pPr>
        <w:pStyle w:val="null3"/>
        <w:ind w:firstLine="420"/>
        <w:jc w:val="both"/>
      </w:pPr>
      <w:r>
        <w:rPr>
          <w:sz w:val="21"/>
        </w:rPr>
        <w:t>注：货物名称内容必须与投标文件中货物名称内容一致。</w:t>
      </w:r>
    </w:p>
    <w:p>
      <w:pPr>
        <w:pStyle w:val="null3"/>
        <w:jc w:val="both"/>
      </w:pPr>
      <w:r>
        <w:rPr>
          <w:sz w:val="21"/>
          <w:b/>
        </w:rPr>
        <w:t>二、合同金额</w:t>
      </w:r>
    </w:p>
    <w:p>
      <w:pPr>
        <w:pStyle w:val="null3"/>
        <w:jc w:val="both"/>
      </w:pPr>
      <w:r>
        <w:rPr>
          <w:sz w:val="21"/>
        </w:rPr>
        <w:t>合同金额为￥</w:t>
      </w:r>
      <w:r>
        <w:rPr>
          <w:sz w:val="21"/>
        </w:rPr>
        <w:t>_______________</w:t>
      </w:r>
      <w:r>
        <w:rPr>
          <w:sz w:val="21"/>
        </w:rPr>
        <w:t>元（大写：人民币</w:t>
      </w:r>
      <w:r>
        <w:rPr>
          <w:sz w:val="21"/>
        </w:rPr>
        <w:t>_________________</w:t>
      </w:r>
      <w:r>
        <w:rPr>
          <w:sz w:val="21"/>
        </w:rPr>
        <w:t>元）。</w:t>
      </w:r>
      <w:r>
        <w:rPr>
          <w:sz w:val="21"/>
        </w:rPr>
        <w:t>合同总额包括货物及所需附件的购置费、包装费、运输费、安装调试费、人工费、保险费、各类接口对接服务费、各种税费、验收费、质量保证期、售后服务费及合同实施过程中的应预见和不可预见费用等完成合同规定责任和义务、达到合同目的的一切费用</w:t>
      </w:r>
      <w:r>
        <w:rPr>
          <w:sz w:val="21"/>
        </w:rPr>
        <w:t>，甲方不另行支付。</w:t>
      </w:r>
    </w:p>
    <w:p>
      <w:pPr>
        <w:pStyle w:val="null3"/>
        <w:jc w:val="both"/>
      </w:pPr>
      <w:r>
        <w:rPr>
          <w:sz w:val="21"/>
          <w:b/>
        </w:rPr>
        <w:t>三、</w:t>
      </w:r>
      <w:r>
        <w:rPr>
          <w:sz w:val="21"/>
          <w:b/>
        </w:rPr>
        <w:t>交付要求</w:t>
      </w:r>
    </w:p>
    <w:p>
      <w:pPr>
        <w:pStyle w:val="null3"/>
        <w:ind w:firstLine="210"/>
        <w:jc w:val="both"/>
      </w:pPr>
      <w:r>
        <w:rPr>
          <w:sz w:val="21"/>
        </w:rPr>
        <w:t>（一）乙方</w:t>
      </w:r>
      <w:r>
        <w:rPr>
          <w:sz w:val="21"/>
        </w:rPr>
        <w:t>需负责将所有货物运送至</w:t>
      </w:r>
      <w:r>
        <w:rPr>
          <w:sz w:val="21"/>
        </w:rPr>
        <w:t>甲方</w:t>
      </w:r>
      <w:r>
        <w:rPr>
          <w:sz w:val="21"/>
        </w:rPr>
        <w:t>指定的安装地点，进行安装调试。本项目所有设备应包含正常运行所需的相关连接配件以及搬运，</w:t>
      </w:r>
      <w:r>
        <w:rPr>
          <w:sz w:val="21"/>
        </w:rPr>
        <w:t>甲方</w:t>
      </w:r>
      <w:r>
        <w:rPr>
          <w:sz w:val="21"/>
        </w:rPr>
        <w:t>不另行支付任何费用。</w:t>
      </w:r>
    </w:p>
    <w:p>
      <w:pPr>
        <w:pStyle w:val="null3"/>
        <w:ind w:firstLine="210"/>
        <w:jc w:val="both"/>
      </w:pPr>
      <w:r>
        <w:rPr>
          <w:sz w:val="21"/>
        </w:rPr>
        <w:t>（二）</w:t>
      </w:r>
      <w:r>
        <w:rPr>
          <w:sz w:val="21"/>
        </w:rPr>
        <w:t>所投货物（设备）的规格型号在实际供货时，发生不可逆转的原因导致停产的，</w:t>
      </w:r>
      <w:r>
        <w:rPr>
          <w:sz w:val="21"/>
        </w:rPr>
        <w:t>乙方</w:t>
      </w:r>
      <w:r>
        <w:rPr>
          <w:sz w:val="21"/>
        </w:rPr>
        <w:t>需按原报价提供同品牌、相同或更高配置的货物替代，否则视为拒绝履行合同义务处理。</w:t>
      </w:r>
    </w:p>
    <w:p>
      <w:pPr>
        <w:pStyle w:val="null3"/>
        <w:jc w:val="both"/>
      </w:pPr>
      <w:r>
        <w:rPr>
          <w:sz w:val="21"/>
          <w:b/>
        </w:rPr>
        <w:t>四、包装及发运要求</w:t>
      </w:r>
    </w:p>
    <w:p>
      <w:pPr>
        <w:pStyle w:val="null3"/>
        <w:ind w:firstLine="210"/>
        <w:jc w:val="both"/>
      </w:pPr>
      <w:r>
        <w:rPr>
          <w:sz w:val="21"/>
        </w:rPr>
        <w:t>（一）</w:t>
      </w:r>
      <w:r>
        <w:rPr>
          <w:sz w:val="21"/>
        </w:rPr>
        <w:t>所有货物（设备）及器材在开箱时应完好，无破损，配置与装箱单相符。数量、质量及性能不低于合同要求。拆箱后，</w:t>
      </w:r>
      <w:r>
        <w:rPr>
          <w:sz w:val="21"/>
        </w:rPr>
        <w:t>乙方</w:t>
      </w:r>
      <w:r>
        <w:rPr>
          <w:sz w:val="21"/>
        </w:rPr>
        <w:t>应对其全部产品、零件、配件、用户许可证书、资料、介质造册登记，并与装箱单对比，如有出入应立即书面记录，由中标人解决，如影响安装则按合同有关条款处理。</w:t>
      </w:r>
    </w:p>
    <w:p>
      <w:pPr>
        <w:pStyle w:val="null3"/>
        <w:ind w:firstLine="210"/>
        <w:jc w:val="both"/>
      </w:pPr>
      <w:r>
        <w:rPr>
          <w:sz w:val="21"/>
        </w:rPr>
        <w:t>（二）</w:t>
      </w:r>
      <w:r>
        <w:rPr>
          <w:sz w:val="21"/>
        </w:rPr>
        <w:t>包装箱应用坚固的材料制造，适用长途运输、防潮、防锈、防震、防粗暴装卸，适</w:t>
      </w:r>
      <w:r>
        <w:rPr>
          <w:sz w:val="21"/>
        </w:rPr>
        <w:t>用</w:t>
      </w:r>
      <w:r>
        <w:rPr>
          <w:sz w:val="21"/>
        </w:rPr>
        <w:t>于空运和整体吊装。</w:t>
      </w:r>
    </w:p>
    <w:p>
      <w:pPr>
        <w:pStyle w:val="null3"/>
        <w:ind w:firstLine="210"/>
        <w:jc w:val="both"/>
      </w:pPr>
      <w:r>
        <w:rPr>
          <w:sz w:val="21"/>
        </w:rPr>
        <w:t>（三）</w:t>
      </w:r>
      <w:r>
        <w:rPr>
          <w:sz w:val="21"/>
        </w:rPr>
        <w:t>设备为原制造商制造的全新产品，整机无污染，无侵权行为、表面无划损、无任何缺陷隐患，在中国境内可依常规安全合法使用。</w:t>
      </w:r>
      <w:r>
        <w:rPr>
          <w:sz w:val="21"/>
        </w:rPr>
        <w:t xml:space="preserve">  </w:t>
      </w:r>
    </w:p>
    <w:p>
      <w:pPr>
        <w:pStyle w:val="null3"/>
        <w:ind w:firstLine="210"/>
        <w:jc w:val="both"/>
      </w:pPr>
      <w:r>
        <w:rPr>
          <w:sz w:val="21"/>
        </w:rPr>
        <w:t>（四）</w:t>
      </w:r>
      <w:r>
        <w:rPr>
          <w:sz w:val="21"/>
        </w:rPr>
        <w:t>设备为原厂商未启封全新包装，</w:t>
      </w:r>
      <w:r>
        <w:rPr>
          <w:sz w:val="21"/>
        </w:rPr>
        <w:t>出</w:t>
      </w:r>
      <w:r>
        <w:rPr>
          <w:sz w:val="21"/>
        </w:rPr>
        <w:t>具出厂合格证，序列号、包装箱号与出厂批号一致，并可追索查阅。</w:t>
      </w:r>
    </w:p>
    <w:p>
      <w:pPr>
        <w:pStyle w:val="null3"/>
        <w:ind w:firstLine="210"/>
        <w:jc w:val="both"/>
      </w:pPr>
      <w:r>
        <w:rPr>
          <w:sz w:val="21"/>
        </w:rPr>
        <w:t>（五）</w:t>
      </w:r>
      <w:r>
        <w:rPr>
          <w:sz w:val="21"/>
        </w:rPr>
        <w:t>有关键设备的用户手册、保修手册、有关单证资料及配有备件、随机工具等，使用操作及安全须知等重要资料应附有中文说明。</w:t>
      </w:r>
    </w:p>
    <w:p>
      <w:pPr>
        <w:pStyle w:val="null3"/>
        <w:jc w:val="both"/>
      </w:pPr>
      <w:r>
        <w:rPr>
          <w:sz w:val="21"/>
          <w:b/>
        </w:rPr>
        <w:t>五、交货期、交货方式及交货地点</w:t>
      </w:r>
    </w:p>
    <w:p>
      <w:pPr>
        <w:pStyle w:val="null3"/>
        <w:ind w:firstLine="210"/>
        <w:jc w:val="both"/>
      </w:pPr>
      <w:r>
        <w:rPr>
          <w:sz w:val="21"/>
        </w:rPr>
        <w:t>（一）交货期：</w:t>
      </w:r>
      <w:r>
        <w:rPr>
          <w:sz w:val="21"/>
        </w:rPr>
        <w:t>合同签订之日起</w:t>
      </w:r>
      <w:r>
        <w:rPr>
          <w:sz w:val="21"/>
        </w:rPr>
        <w:t>45</w:t>
      </w:r>
      <w:r>
        <w:rPr>
          <w:sz w:val="21"/>
        </w:rPr>
        <w:t>天内</w:t>
      </w:r>
      <w:r>
        <w:rPr>
          <w:sz w:val="21"/>
        </w:rPr>
        <w:t>（即</w:t>
      </w:r>
      <w:r>
        <w:rPr>
          <w:sz w:val="21"/>
        </w:rPr>
        <w:t xml:space="preserve">202  </w:t>
      </w:r>
      <w:r>
        <w:rPr>
          <w:sz w:val="21"/>
        </w:rPr>
        <w:t>年    月   日）</w:t>
      </w:r>
      <w:r>
        <w:rPr>
          <w:sz w:val="21"/>
        </w:rPr>
        <w:t>完成设备供货、安装、调试并交付验收。</w:t>
      </w:r>
    </w:p>
    <w:p>
      <w:pPr>
        <w:pStyle w:val="null3"/>
        <w:ind w:firstLine="210"/>
        <w:jc w:val="both"/>
      </w:pPr>
      <w:r>
        <w:rPr>
          <w:sz w:val="21"/>
        </w:rPr>
        <w:t>（二）交货方式：乙方送货上门并完成安装。</w:t>
      </w:r>
    </w:p>
    <w:p>
      <w:pPr>
        <w:pStyle w:val="null3"/>
        <w:ind w:firstLine="210"/>
        <w:jc w:val="both"/>
      </w:pPr>
      <w:r>
        <w:rPr>
          <w:sz w:val="21"/>
        </w:rPr>
        <w:t>（三）交货地点：</w:t>
      </w:r>
      <w:r>
        <w:rPr>
          <w:sz w:val="21"/>
        </w:rPr>
        <w:t>韶关市技师学院。</w:t>
      </w:r>
    </w:p>
    <w:p>
      <w:pPr>
        <w:pStyle w:val="null3"/>
        <w:jc w:val="both"/>
      </w:pPr>
      <w:r>
        <w:rPr>
          <w:sz w:val="21"/>
          <w:b/>
        </w:rPr>
        <w:t>六、付款方式</w:t>
      </w:r>
    </w:p>
    <w:p>
      <w:pPr>
        <w:pStyle w:val="null3"/>
        <w:ind w:firstLine="420"/>
        <w:jc w:val="both"/>
      </w:pPr>
      <w:r>
        <w:rPr>
          <w:sz w:val="21"/>
        </w:rPr>
        <w:t>（一）</w:t>
      </w:r>
      <w:r>
        <w:rPr>
          <w:sz w:val="21"/>
        </w:rPr>
        <w:t>合同签订后</w:t>
      </w:r>
      <w:r>
        <w:rPr>
          <w:sz w:val="21"/>
        </w:rPr>
        <w:t>1</w:t>
      </w:r>
      <w:r>
        <w:rPr>
          <w:sz w:val="21"/>
        </w:rPr>
        <w:t>5</w:t>
      </w:r>
      <w:r>
        <w:rPr>
          <w:sz w:val="21"/>
        </w:rPr>
        <w:t>个工作日内</w:t>
      </w:r>
      <w:r>
        <w:rPr>
          <w:sz w:val="21"/>
        </w:rPr>
        <w:t>乙方</w:t>
      </w:r>
      <w:r>
        <w:rPr>
          <w:sz w:val="21"/>
        </w:rPr>
        <w:t>提供支付材料</w:t>
      </w:r>
      <w:r>
        <w:rPr>
          <w:sz w:val="21"/>
        </w:rPr>
        <w:t>后</w:t>
      </w:r>
      <w:r>
        <w:rPr>
          <w:sz w:val="21"/>
        </w:rPr>
        <w:t>，</w:t>
      </w:r>
      <w:r>
        <w:rPr>
          <w:sz w:val="21"/>
        </w:rPr>
        <w:t>甲方</w:t>
      </w:r>
      <w:r>
        <w:rPr>
          <w:sz w:val="21"/>
        </w:rPr>
        <w:t>向</w:t>
      </w:r>
      <w:r>
        <w:rPr>
          <w:sz w:val="21"/>
        </w:rPr>
        <w:t>乙方</w:t>
      </w:r>
      <w:r>
        <w:rPr>
          <w:sz w:val="21"/>
        </w:rPr>
        <w:t>支付合同总价</w:t>
      </w:r>
      <w:r>
        <w:rPr>
          <w:sz w:val="21"/>
        </w:rPr>
        <w:t>50%</w:t>
      </w:r>
      <w:r>
        <w:rPr>
          <w:sz w:val="21"/>
        </w:rPr>
        <w:t>的预付款。</w:t>
      </w:r>
    </w:p>
    <w:p>
      <w:pPr>
        <w:pStyle w:val="null3"/>
        <w:ind w:firstLine="420"/>
        <w:jc w:val="both"/>
      </w:pPr>
      <w:r>
        <w:rPr>
          <w:sz w:val="21"/>
        </w:rPr>
        <w:t>（二）</w:t>
      </w:r>
      <w:r>
        <w:rPr>
          <w:sz w:val="21"/>
        </w:rPr>
        <w:t>货物到货安装完毕并验收合格后</w:t>
      </w:r>
      <w:r>
        <w:rPr>
          <w:sz w:val="21"/>
        </w:rPr>
        <w:t>15</w:t>
      </w:r>
      <w:r>
        <w:rPr>
          <w:sz w:val="21"/>
        </w:rPr>
        <w:t>个工作日</w:t>
      </w:r>
      <w:r>
        <w:rPr>
          <w:sz w:val="21"/>
        </w:rPr>
        <w:t>内，</w:t>
      </w:r>
      <w:r>
        <w:rPr>
          <w:sz w:val="21"/>
        </w:rPr>
        <w:t>乙方</w:t>
      </w:r>
      <w:r>
        <w:rPr>
          <w:sz w:val="21"/>
        </w:rPr>
        <w:t>提供支付材料</w:t>
      </w:r>
      <w:r>
        <w:rPr>
          <w:sz w:val="21"/>
        </w:rPr>
        <w:t>后</w:t>
      </w:r>
      <w:r>
        <w:rPr>
          <w:sz w:val="21"/>
        </w:rPr>
        <w:t>，</w:t>
      </w:r>
      <w:r>
        <w:rPr>
          <w:sz w:val="21"/>
        </w:rPr>
        <w:t>甲方</w:t>
      </w:r>
      <w:r>
        <w:rPr>
          <w:sz w:val="21"/>
        </w:rPr>
        <w:t>向</w:t>
      </w:r>
      <w:r>
        <w:rPr>
          <w:sz w:val="21"/>
        </w:rPr>
        <w:t>乙方</w:t>
      </w:r>
      <w:r>
        <w:rPr>
          <w:sz w:val="21"/>
        </w:rPr>
        <w:t>支付合同总价剩余的</w:t>
      </w:r>
      <w:r>
        <w:rPr>
          <w:sz w:val="21"/>
        </w:rPr>
        <w:t>50%</w:t>
      </w:r>
      <w:r>
        <w:rPr>
          <w:sz w:val="21"/>
        </w:rPr>
        <w:t xml:space="preserve">。 </w:t>
      </w:r>
      <w:r>
        <w:rPr>
          <w:sz w:val="21"/>
        </w:rPr>
        <w:t>乙方</w:t>
      </w:r>
      <w:r>
        <w:rPr>
          <w:sz w:val="21"/>
        </w:rPr>
        <w:t>凭以下有效文件与采购人结算：</w:t>
      </w:r>
      <w:r>
        <w:br/>
      </w:r>
      <w:r>
        <w:rPr/>
        <w:t xml:space="preserve">        </w:t>
      </w:r>
      <w:r>
        <w:rPr>
          <w:sz w:val="21"/>
        </w:rPr>
        <w:t>1</w:t>
      </w:r>
      <w:r>
        <w:rPr>
          <w:sz w:val="21"/>
        </w:rPr>
        <w:t>、</w:t>
      </w:r>
      <w:r>
        <w:rPr>
          <w:sz w:val="21"/>
        </w:rPr>
        <w:t>合同；</w:t>
      </w:r>
      <w:r>
        <w:br/>
      </w:r>
      <w:r>
        <w:rPr/>
        <w:t xml:space="preserve">        </w:t>
      </w:r>
      <w:r>
        <w:rPr>
          <w:sz w:val="21"/>
        </w:rPr>
        <w:t>2</w:t>
      </w:r>
      <w:r>
        <w:rPr>
          <w:sz w:val="21"/>
        </w:rPr>
        <w:t>、</w:t>
      </w:r>
      <w:r>
        <w:rPr>
          <w:sz w:val="21"/>
        </w:rPr>
        <w:t>中标人开具的等额增值税发票；（收款方、出具发票方必须与中标人名称一致）</w:t>
      </w:r>
      <w:r>
        <w:br/>
      </w:r>
      <w:r>
        <w:rPr/>
        <w:t xml:space="preserve">        </w:t>
      </w:r>
      <w:r>
        <w:rPr>
          <w:sz w:val="21"/>
        </w:rPr>
        <w:t>3</w:t>
      </w:r>
      <w:r>
        <w:rPr>
          <w:sz w:val="21"/>
        </w:rPr>
        <w:t>、</w:t>
      </w:r>
      <w:r>
        <w:rPr>
          <w:sz w:val="21"/>
        </w:rPr>
        <w:t>中标通知书；</w:t>
      </w:r>
      <w:r>
        <w:br/>
      </w:r>
      <w:r>
        <w:rPr>
          <w:sz w:val="21"/>
        </w:rPr>
        <w:t xml:space="preserve">       </w:t>
      </w:r>
      <w:r>
        <w:rPr>
          <w:sz w:val="21"/>
        </w:rPr>
        <w:t>4</w:t>
      </w:r>
      <w:r>
        <w:rPr>
          <w:sz w:val="21"/>
        </w:rPr>
        <w:t>、验收报告（加盖采购人公章，预付款除外）；</w:t>
      </w:r>
    </w:p>
    <w:p>
      <w:pPr>
        <w:pStyle w:val="null3"/>
        <w:ind w:firstLine="367"/>
        <w:jc w:val="both"/>
      </w:pPr>
      <w:r>
        <w:rPr>
          <w:sz w:val="21"/>
        </w:rPr>
        <w:t>注：资金支付以财政资金落实为前提，若因财政资金不到位引起资金不能按合同要求或有关规定拨付的，采购人不承担因资金延期拨付给中标供应商造成的各类损失，如利息、连带责任等。</w:t>
      </w:r>
    </w:p>
    <w:p>
      <w:pPr>
        <w:pStyle w:val="null3"/>
        <w:jc w:val="both"/>
      </w:pPr>
      <w:r>
        <w:rPr>
          <w:sz w:val="21"/>
          <w:b/>
        </w:rPr>
        <w:t>七、安装与调试</w:t>
      </w:r>
      <w:r>
        <w:rPr>
          <w:sz w:val="21"/>
          <w:b/>
        </w:rPr>
        <w:t>:</w:t>
      </w:r>
    </w:p>
    <w:p>
      <w:pPr>
        <w:pStyle w:val="null3"/>
        <w:ind w:firstLine="420"/>
        <w:jc w:val="both"/>
      </w:pPr>
      <w:r>
        <w:rPr>
          <w:sz w:val="21"/>
        </w:rPr>
        <w:t>（一）乙方</w:t>
      </w:r>
      <w:r>
        <w:rPr>
          <w:sz w:val="21"/>
        </w:rPr>
        <w:t>必须为所供货物（设备）提供安装及系统调试服务，并确保调试完成后，货物（设备）能够正常运行，达到采购人可正常使用状态。组织安装调试所需费用（包括安全保险、劳务支出、住勤等一切费用）均由</w:t>
      </w:r>
      <w:r>
        <w:rPr>
          <w:sz w:val="21"/>
        </w:rPr>
        <w:t>乙方</w:t>
      </w:r>
      <w:r>
        <w:rPr>
          <w:sz w:val="21"/>
        </w:rPr>
        <w:t>负责。</w:t>
      </w:r>
    </w:p>
    <w:p>
      <w:pPr>
        <w:pStyle w:val="null3"/>
        <w:ind w:firstLine="420"/>
        <w:jc w:val="both"/>
      </w:pPr>
      <w:r>
        <w:rPr>
          <w:sz w:val="21"/>
        </w:rPr>
        <w:t>（二）</w:t>
      </w:r>
      <w:r>
        <w:rPr>
          <w:sz w:val="21"/>
        </w:rPr>
        <w:t>安装调试所需工具设施物料由</w:t>
      </w:r>
      <w:r>
        <w:rPr>
          <w:sz w:val="21"/>
        </w:rPr>
        <w:t>乙方</w:t>
      </w:r>
      <w:r>
        <w:rPr>
          <w:sz w:val="21"/>
        </w:rPr>
        <w:t>自备、自费运到现场，完工后自费搬走。</w:t>
      </w:r>
    </w:p>
    <w:p>
      <w:pPr>
        <w:pStyle w:val="null3"/>
        <w:ind w:firstLine="420"/>
        <w:jc w:val="both"/>
      </w:pPr>
      <w:r>
        <w:rPr>
          <w:sz w:val="21"/>
        </w:rPr>
        <w:t>（三）</w:t>
      </w:r>
      <w:r>
        <w:rPr>
          <w:sz w:val="21"/>
        </w:rPr>
        <w:t>设备、材料的拆箱、安装、通电、调试等工作由</w:t>
      </w:r>
      <w:r>
        <w:rPr>
          <w:sz w:val="21"/>
        </w:rPr>
        <w:t>乙方</w:t>
      </w:r>
      <w:r>
        <w:rPr>
          <w:sz w:val="21"/>
        </w:rPr>
        <w:t>负责，但若</w:t>
      </w:r>
      <w:r>
        <w:rPr>
          <w:sz w:val="21"/>
        </w:rPr>
        <w:t>甲方</w:t>
      </w:r>
      <w:r>
        <w:rPr>
          <w:sz w:val="21"/>
        </w:rPr>
        <w:t>有特定要求需要参与的，则须在</w:t>
      </w:r>
      <w:r>
        <w:rPr>
          <w:sz w:val="21"/>
        </w:rPr>
        <w:t>甲方</w:t>
      </w:r>
      <w:r>
        <w:rPr>
          <w:sz w:val="21"/>
        </w:rPr>
        <w:t>指定人员的参与下进行。</w:t>
      </w:r>
    </w:p>
    <w:p>
      <w:pPr>
        <w:pStyle w:val="null3"/>
        <w:ind w:firstLine="420"/>
        <w:jc w:val="both"/>
      </w:pPr>
      <w:r>
        <w:rPr>
          <w:sz w:val="21"/>
        </w:rPr>
        <w:t>（四）乙方</w:t>
      </w:r>
      <w:r>
        <w:rPr>
          <w:sz w:val="21"/>
        </w:rPr>
        <w:t>须应</w:t>
      </w:r>
      <w:r>
        <w:rPr>
          <w:sz w:val="21"/>
        </w:rPr>
        <w:t>甲方</w:t>
      </w:r>
      <w:r>
        <w:rPr>
          <w:sz w:val="21"/>
        </w:rPr>
        <w:t>要求为使用人员、操作人员和维护人员进行培训（费用已</w:t>
      </w:r>
      <w:r>
        <w:rPr>
          <w:sz w:val="21"/>
        </w:rPr>
        <w:t>包</w:t>
      </w:r>
      <w:r>
        <w:rPr>
          <w:sz w:val="21"/>
        </w:rPr>
        <w:t>含在合同总价中），使其掌握操作及基本运维技能。</w:t>
      </w:r>
    </w:p>
    <w:p>
      <w:pPr>
        <w:pStyle w:val="null3"/>
        <w:ind w:firstLine="420"/>
        <w:jc w:val="both"/>
      </w:pPr>
      <w:r>
        <w:rPr>
          <w:sz w:val="21"/>
        </w:rPr>
        <w:t>（五）</w:t>
      </w:r>
      <w:r>
        <w:rPr>
          <w:sz w:val="21"/>
        </w:rPr>
        <w:t>合同期内，如遇设备升级更新的，</w:t>
      </w:r>
      <w:r>
        <w:rPr>
          <w:sz w:val="21"/>
        </w:rPr>
        <w:t>乙方</w:t>
      </w:r>
      <w:r>
        <w:rPr>
          <w:sz w:val="21"/>
        </w:rPr>
        <w:t>需及时提供更新操作指导。</w:t>
      </w:r>
    </w:p>
    <w:p>
      <w:pPr>
        <w:pStyle w:val="null3"/>
        <w:jc w:val="both"/>
      </w:pPr>
      <w:r>
        <w:rPr>
          <w:sz w:val="21"/>
          <w:b/>
        </w:rPr>
        <w:t>八、验收要求：</w:t>
      </w:r>
    </w:p>
    <w:p>
      <w:pPr>
        <w:pStyle w:val="null3"/>
        <w:ind w:firstLine="420"/>
        <w:jc w:val="both"/>
      </w:pPr>
      <w:r>
        <w:rPr>
          <w:sz w:val="21"/>
        </w:rPr>
        <w:t>（一）</w:t>
      </w:r>
      <w:r>
        <w:rPr>
          <w:sz w:val="21"/>
        </w:rPr>
        <w:t>交付验收标准依次序对照适用标准为：</w:t>
      </w:r>
      <w:r>
        <w:rPr>
          <w:sz w:val="21"/>
        </w:rPr>
        <w:t>①符合中华人民共和国国家安全质量标准、环保标准或行业标准；②符合采购文件和响应承诺中采购人认可的合理最佳配置、参数及各项要求。</w:t>
      </w:r>
    </w:p>
    <w:p>
      <w:pPr>
        <w:pStyle w:val="null3"/>
        <w:ind w:firstLine="420"/>
        <w:jc w:val="both"/>
      </w:pPr>
      <w:r>
        <w:rPr>
          <w:sz w:val="21"/>
        </w:rPr>
        <w:t>（</w:t>
      </w:r>
      <w:r>
        <w:rPr>
          <w:sz w:val="21"/>
        </w:rPr>
        <w:t>二</w:t>
      </w:r>
      <w:r>
        <w:rPr>
          <w:sz w:val="21"/>
        </w:rPr>
        <w:t>）货物若有国家标准按照国家标准验收，若无国家标准按行业标准验收，货物须为原制造商制造的全新产品，无污染、无侵权行为、表面无划损、无任何缺陷隐患。</w:t>
      </w:r>
    </w:p>
    <w:p>
      <w:pPr>
        <w:pStyle w:val="null3"/>
        <w:ind w:firstLine="420"/>
        <w:jc w:val="both"/>
      </w:pPr>
      <w:r>
        <w:rPr>
          <w:sz w:val="21"/>
        </w:rPr>
        <w:t>（</w:t>
      </w:r>
      <w:r>
        <w:rPr>
          <w:sz w:val="21"/>
        </w:rPr>
        <w:t>三</w:t>
      </w:r>
      <w:r>
        <w:rPr>
          <w:sz w:val="21"/>
        </w:rPr>
        <w:t>）</w:t>
      </w:r>
      <w:r>
        <w:rPr>
          <w:sz w:val="21"/>
        </w:rPr>
        <w:t>甲方</w:t>
      </w:r>
      <w:r>
        <w:rPr>
          <w:sz w:val="21"/>
        </w:rPr>
        <w:t>收到</w:t>
      </w:r>
      <w:r>
        <w:rPr>
          <w:sz w:val="21"/>
        </w:rPr>
        <w:t>乙方</w:t>
      </w:r>
      <w:r>
        <w:rPr>
          <w:sz w:val="21"/>
        </w:rPr>
        <w:t>提交的验收申请之日起</w:t>
      </w:r>
      <w:r>
        <w:rPr>
          <w:sz w:val="21"/>
        </w:rPr>
        <w:t>7</w:t>
      </w:r>
      <w:r>
        <w:rPr>
          <w:sz w:val="21"/>
        </w:rPr>
        <w:t>日内组成验收小组按国家有关规定、规范进行验收，必要时邀请相关的专业人员或机构参与验收。因货物质量问题发生争议时，由本地质量技术监督部门鉴定。货物符合质量技术标准的，鉴定费由</w:t>
      </w:r>
      <w:r>
        <w:rPr>
          <w:sz w:val="21"/>
        </w:rPr>
        <w:t>甲方</w:t>
      </w:r>
      <w:r>
        <w:rPr>
          <w:sz w:val="21"/>
        </w:rPr>
        <w:t>承担；否则鉴定费由</w:t>
      </w:r>
      <w:r>
        <w:rPr>
          <w:sz w:val="21"/>
        </w:rPr>
        <w:t>乙方</w:t>
      </w:r>
      <w:r>
        <w:rPr>
          <w:sz w:val="21"/>
        </w:rPr>
        <w:t>承担。</w:t>
      </w:r>
    </w:p>
    <w:p>
      <w:pPr>
        <w:pStyle w:val="null3"/>
        <w:ind w:firstLine="420"/>
        <w:jc w:val="both"/>
      </w:pPr>
      <w:r>
        <w:rPr>
          <w:sz w:val="21"/>
        </w:rPr>
        <w:t>（</w:t>
      </w:r>
      <w:r>
        <w:rPr>
          <w:sz w:val="21"/>
        </w:rPr>
        <w:t>四</w:t>
      </w:r>
      <w:r>
        <w:rPr>
          <w:sz w:val="21"/>
        </w:rPr>
        <w:t>）在验收期间，如果货物出现重大问题，</w:t>
      </w:r>
      <w:r>
        <w:rPr>
          <w:sz w:val="21"/>
        </w:rPr>
        <w:t>乙方</w:t>
      </w:r>
      <w:r>
        <w:rPr>
          <w:sz w:val="21"/>
        </w:rPr>
        <w:t>应在</w:t>
      </w:r>
      <w:r>
        <w:rPr>
          <w:sz w:val="21"/>
        </w:rPr>
        <w:t>3</w:t>
      </w:r>
      <w:r>
        <w:rPr>
          <w:sz w:val="21"/>
        </w:rPr>
        <w:t>个工作日内解决该问题，并对所有货物负全部责任。</w:t>
      </w:r>
    </w:p>
    <w:p>
      <w:pPr>
        <w:pStyle w:val="null3"/>
        <w:ind w:firstLine="420"/>
        <w:jc w:val="both"/>
      </w:pPr>
      <w:r>
        <w:rPr>
          <w:sz w:val="21"/>
        </w:rPr>
        <w:t>（</w:t>
      </w:r>
      <w:r>
        <w:rPr>
          <w:sz w:val="21"/>
        </w:rPr>
        <w:t>五</w:t>
      </w:r>
      <w:r>
        <w:rPr>
          <w:sz w:val="21"/>
        </w:rPr>
        <w:t>）验收按照</w:t>
      </w:r>
      <w:r>
        <w:rPr>
          <w:sz w:val="21"/>
        </w:rPr>
        <w:t>甲方</w:t>
      </w:r>
      <w:r>
        <w:rPr>
          <w:sz w:val="21"/>
        </w:rPr>
        <w:t>的内部规定操作。通过验收后</w:t>
      </w:r>
      <w:r>
        <w:rPr>
          <w:sz w:val="21"/>
        </w:rPr>
        <w:t>甲方</w:t>
      </w:r>
      <w:r>
        <w:rPr>
          <w:sz w:val="21"/>
        </w:rPr>
        <w:t>出具验收报告。</w:t>
      </w:r>
    </w:p>
    <w:p>
      <w:pPr>
        <w:pStyle w:val="null3"/>
        <w:jc w:val="both"/>
      </w:pPr>
      <w:r>
        <w:rPr>
          <w:sz w:val="21"/>
          <w:b/>
        </w:rPr>
        <w:t>九</w:t>
      </w:r>
      <w:r>
        <w:rPr>
          <w:sz w:val="21"/>
          <w:b/>
        </w:rPr>
        <w:t>、</w:t>
      </w:r>
      <w:r>
        <w:rPr>
          <w:sz w:val="21"/>
          <w:b/>
        </w:rPr>
        <w:t>质量保证期（简称</w:t>
      </w:r>
      <w:r>
        <w:rPr>
          <w:sz w:val="21"/>
          <w:b/>
        </w:rPr>
        <w:t>“质保期”）</w:t>
      </w:r>
    </w:p>
    <w:p>
      <w:pPr>
        <w:pStyle w:val="null3"/>
        <w:ind w:firstLine="420"/>
        <w:jc w:val="both"/>
      </w:pPr>
      <w:r>
        <w:rPr>
          <w:sz w:val="21"/>
        </w:rPr>
        <w:t>（一）乙方</w:t>
      </w:r>
      <w:r>
        <w:rPr>
          <w:sz w:val="21"/>
        </w:rPr>
        <w:t>自项目验收合格之日起，服务周期（含换件和维修）</w:t>
      </w:r>
      <w:r>
        <w:rPr>
          <w:u w:val="single"/>
        </w:rPr>
        <w:t xml:space="preserve">    </w:t>
      </w:r>
      <w:r>
        <w:rPr>
          <w:sz w:val="21"/>
        </w:rPr>
        <w:t>年，需提供所投产品原厂商售后服务承诺函。</w:t>
      </w:r>
    </w:p>
    <w:p>
      <w:pPr>
        <w:pStyle w:val="null3"/>
        <w:ind w:firstLine="420"/>
        <w:jc w:val="both"/>
      </w:pPr>
      <w:r>
        <w:rPr>
          <w:sz w:val="21"/>
        </w:rPr>
        <w:t>（二）</w:t>
      </w:r>
      <w:r>
        <w:rPr>
          <w:sz w:val="21"/>
        </w:rPr>
        <w:t>提供所投产品原厂</w:t>
      </w:r>
      <w:r>
        <w:rPr>
          <w:sz w:val="21"/>
        </w:rPr>
        <w:t>400</w:t>
      </w:r>
      <w:r>
        <w:rPr>
          <w:sz w:val="21"/>
        </w:rPr>
        <w:t>技术支持电话。</w:t>
      </w:r>
    </w:p>
    <w:p>
      <w:pPr>
        <w:pStyle w:val="null3"/>
        <w:ind w:firstLine="420"/>
        <w:jc w:val="both"/>
      </w:pPr>
      <w:r>
        <w:rPr>
          <w:sz w:val="21"/>
        </w:rPr>
        <w:t>（三）</w:t>
      </w:r>
      <w:r>
        <w:rPr>
          <w:sz w:val="21"/>
        </w:rPr>
        <w:t>所投品牌在当地设有专业维修站（提供售后服务网点清单并加盖厂家公章）。</w:t>
      </w:r>
    </w:p>
    <w:p>
      <w:pPr>
        <w:pStyle w:val="null3"/>
        <w:jc w:val="both"/>
      </w:pPr>
      <w:r>
        <w:rPr>
          <w:sz w:val="21"/>
          <w:b/>
        </w:rPr>
        <w:t>十、</w:t>
      </w:r>
      <w:r>
        <w:rPr>
          <w:sz w:val="21"/>
          <w:b/>
        </w:rPr>
        <w:t>售后服务要求</w:t>
      </w:r>
    </w:p>
    <w:p>
      <w:pPr>
        <w:pStyle w:val="null3"/>
        <w:ind w:firstLine="420"/>
        <w:jc w:val="both"/>
      </w:pPr>
      <w:r>
        <w:rPr>
          <w:sz w:val="21"/>
        </w:rPr>
        <w:t>（一）</w:t>
      </w:r>
      <w:r>
        <w:rPr>
          <w:sz w:val="21"/>
        </w:rPr>
        <w:t>质保期内</w:t>
      </w:r>
      <w:r>
        <w:rPr>
          <w:sz w:val="21"/>
        </w:rPr>
        <w:t>乙方</w:t>
      </w:r>
      <w:r>
        <w:rPr>
          <w:sz w:val="21"/>
        </w:rPr>
        <w:t>对所供货物实行上门包修、包换、包退、包维护保养，并且保证每季度上门检修一次，不再向</w:t>
      </w:r>
      <w:r>
        <w:rPr>
          <w:sz w:val="21"/>
        </w:rPr>
        <w:t>甲方</w:t>
      </w:r>
      <w:r>
        <w:rPr>
          <w:sz w:val="21"/>
        </w:rPr>
        <w:t>收取费用。</w:t>
      </w:r>
    </w:p>
    <w:p>
      <w:pPr>
        <w:pStyle w:val="null3"/>
        <w:ind w:firstLine="420"/>
        <w:jc w:val="both"/>
      </w:pPr>
      <w:r>
        <w:rPr>
          <w:sz w:val="21"/>
        </w:rPr>
        <w:t>（二）</w:t>
      </w:r>
      <w:r>
        <w:rPr>
          <w:sz w:val="21"/>
        </w:rPr>
        <w:t>在合同期内，所有硬件设</w:t>
      </w:r>
      <w:r>
        <w:rPr>
          <w:sz w:val="21"/>
        </w:rPr>
        <w:t>备的维修</w:t>
      </w:r>
      <w:r>
        <w:rPr>
          <w:sz w:val="21"/>
        </w:rPr>
        <w:t>费</w:t>
      </w:r>
      <w:r>
        <w:rPr>
          <w:sz w:val="21"/>
        </w:rPr>
        <w:t>均为</w:t>
      </w:r>
      <w:r>
        <w:rPr>
          <w:sz w:val="21"/>
        </w:rPr>
        <w:t>由乙方承担（相关费用均含在投标报价内）</w:t>
      </w:r>
      <w:r>
        <w:rPr>
          <w:sz w:val="21"/>
        </w:rPr>
        <w:t>，</w:t>
      </w:r>
      <w:r>
        <w:rPr>
          <w:sz w:val="21"/>
        </w:rPr>
        <w:t>乙方</w:t>
      </w:r>
      <w:r>
        <w:rPr>
          <w:sz w:val="21"/>
        </w:rPr>
        <w:t>在接到</w:t>
      </w:r>
      <w:r>
        <w:rPr>
          <w:sz w:val="21"/>
        </w:rPr>
        <w:t>甲方</w:t>
      </w:r>
      <w:r>
        <w:rPr>
          <w:sz w:val="21"/>
        </w:rPr>
        <w:t>应急维修通知后</w:t>
      </w:r>
      <w:r>
        <w:rPr>
          <w:sz w:val="21"/>
        </w:rPr>
        <w:t>10</w:t>
      </w:r>
      <w:r>
        <w:rPr>
          <w:sz w:val="21"/>
        </w:rPr>
        <w:t>分钟内做出响应，</w:t>
      </w:r>
      <w:r>
        <w:rPr>
          <w:sz w:val="21"/>
        </w:rPr>
        <w:t>1</w:t>
      </w:r>
      <w:r>
        <w:rPr>
          <w:sz w:val="21"/>
        </w:rPr>
        <w:t>小时内到达现场，</w:t>
      </w:r>
      <w:r>
        <w:rPr>
          <w:sz w:val="21"/>
        </w:rPr>
        <w:t>12</w:t>
      </w:r>
      <w:r>
        <w:rPr>
          <w:sz w:val="21"/>
        </w:rPr>
        <w:t>小时内排除故障；如需更换零配件，零配件到货后</w:t>
      </w:r>
      <w:r>
        <w:rPr>
          <w:sz w:val="21"/>
        </w:rPr>
        <w:t>3</w:t>
      </w:r>
      <w:r>
        <w:rPr>
          <w:sz w:val="21"/>
        </w:rPr>
        <w:t>小时内更换完毕并可正常使用。</w:t>
      </w:r>
    </w:p>
    <w:p>
      <w:pPr>
        <w:pStyle w:val="null3"/>
        <w:ind w:firstLine="420"/>
        <w:jc w:val="both"/>
      </w:pPr>
      <w:r>
        <w:rPr>
          <w:sz w:val="21"/>
        </w:rPr>
        <w:t>（三）</w:t>
      </w:r>
      <w:r>
        <w:rPr>
          <w:sz w:val="21"/>
        </w:rPr>
        <w:t>在质保期内，如在限定时间内无法修复设备，须提供性能不低于原设备的替代设备，直到故障设备修复为止。</w:t>
      </w:r>
    </w:p>
    <w:p>
      <w:pPr>
        <w:pStyle w:val="null3"/>
        <w:jc w:val="both"/>
      </w:pPr>
      <w:r>
        <w:rPr/>
        <w:t xml:space="preserve">    </w:t>
      </w:r>
      <w:r>
        <w:rPr>
          <w:sz w:val="21"/>
        </w:rPr>
        <w:t>（四）</w:t>
      </w:r>
      <w:r>
        <w:rPr>
          <w:sz w:val="21"/>
        </w:rPr>
        <w:t>质保期过后，</w:t>
      </w:r>
      <w:r>
        <w:rPr>
          <w:sz w:val="21"/>
        </w:rPr>
        <w:t>乙方</w:t>
      </w:r>
      <w:r>
        <w:rPr>
          <w:sz w:val="21"/>
        </w:rPr>
        <w:t>应提供系统软件终身维护服务，具体维护费由</w:t>
      </w:r>
      <w:r>
        <w:rPr>
          <w:sz w:val="21"/>
        </w:rPr>
        <w:t>甲乙双方</w:t>
      </w:r>
      <w:r>
        <w:rPr>
          <w:sz w:val="21"/>
        </w:rPr>
        <w:t>通过合同或协议商定。</w:t>
      </w:r>
    </w:p>
    <w:p>
      <w:pPr>
        <w:pStyle w:val="null3"/>
        <w:jc w:val="both"/>
      </w:pPr>
      <w:r>
        <w:rPr>
          <w:sz w:val="21"/>
          <w:b/>
        </w:rPr>
        <w:t>十一、专利权和保密要求</w:t>
      </w:r>
    </w:p>
    <w:p>
      <w:pPr>
        <w:pStyle w:val="null3"/>
        <w:ind w:firstLine="420"/>
        <w:jc w:val="both"/>
      </w:pPr>
      <w:r>
        <w:rPr>
          <w:sz w:val="21"/>
        </w:rPr>
        <w:t>乙方应保证使用方在使用该货物或其任何一部分时，不受第三方侵权指控。同时，乙方不得向第三方泄露甲方提供的技术文件等资料。</w:t>
      </w:r>
    </w:p>
    <w:p>
      <w:pPr>
        <w:pStyle w:val="null3"/>
        <w:jc w:val="both"/>
      </w:pPr>
      <w:r>
        <w:rPr>
          <w:sz w:val="21"/>
          <w:b/>
        </w:rPr>
        <w:t>十二、违约责任与赔偿损失</w:t>
      </w:r>
    </w:p>
    <w:p>
      <w:pPr>
        <w:pStyle w:val="null3"/>
        <w:ind w:firstLine="420"/>
        <w:jc w:val="both"/>
      </w:pPr>
      <w:r>
        <w:rPr>
          <w:sz w:val="21"/>
        </w:rPr>
        <w:t>1</w:t>
      </w:r>
      <w:r>
        <w:rPr>
          <w:sz w:val="21"/>
        </w:rPr>
        <w:t>）乙方未能按时交付货物或交付的货物不符合投标文件响应，合同规定标准的，则向甲方支付货物总金额</w:t>
      </w:r>
      <w:r>
        <w:rPr>
          <w:sz w:val="21"/>
        </w:rPr>
        <w:t>5</w:t>
      </w:r>
      <w:r>
        <w:rPr>
          <w:sz w:val="21"/>
        </w:rPr>
        <w:t>‰的违约金，违约金从履约保证金中扣除。</w:t>
      </w:r>
    </w:p>
    <w:p>
      <w:pPr>
        <w:pStyle w:val="null3"/>
        <w:ind w:firstLine="420"/>
        <w:jc w:val="both"/>
      </w:pPr>
      <w:r>
        <w:rPr>
          <w:sz w:val="21"/>
        </w:rPr>
        <w:t>2</w:t>
      </w:r>
      <w:r>
        <w:rPr>
          <w:sz w:val="21"/>
        </w:rPr>
        <w:t>）如发现乙方交付货物的质量，规格和数量，不符合或达不到合同规定的技术参数和要求的，甲方有权拒收货物，由此造成甲方损失的，乙方向甲方支付货物总金额</w:t>
      </w:r>
      <w:r>
        <w:rPr>
          <w:sz w:val="21"/>
        </w:rPr>
        <w:t>5%</w:t>
      </w:r>
      <w:r>
        <w:rPr>
          <w:sz w:val="21"/>
        </w:rPr>
        <w:t>的违约金，违约金从履约保证金中扣除。</w:t>
      </w:r>
    </w:p>
    <w:p>
      <w:pPr>
        <w:pStyle w:val="null3"/>
        <w:ind w:firstLine="420"/>
        <w:jc w:val="both"/>
      </w:pPr>
      <w:r>
        <w:rPr>
          <w:sz w:val="21"/>
        </w:rPr>
        <w:t>3</w:t>
      </w:r>
      <w:r>
        <w:rPr>
          <w:sz w:val="21"/>
        </w:rPr>
        <w:t>）质保期内，乙方无法按时为甲方提供售后服务或以任何理由拒绝履行售后服务承诺的，乙方向甲方支付货物总金额</w:t>
      </w:r>
      <w:r>
        <w:rPr>
          <w:sz w:val="21"/>
        </w:rPr>
        <w:t>5</w:t>
      </w:r>
      <w:r>
        <w:rPr>
          <w:sz w:val="21"/>
        </w:rPr>
        <w:t>‰的违约金，违约金从履约保证金中扣除。如在合同执行期间因乙方违约导致履约保证金部分扣除，乙方需在五个工作日内将扣除的履约保证金补齐。</w:t>
      </w:r>
    </w:p>
    <w:p>
      <w:pPr>
        <w:pStyle w:val="null3"/>
        <w:ind w:firstLine="420"/>
        <w:jc w:val="both"/>
      </w:pPr>
      <w:r>
        <w:rPr>
          <w:sz w:val="21"/>
        </w:rPr>
        <w:t xml:space="preserve">4) </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jc w:val="both"/>
      </w:pPr>
      <w:r>
        <w:rPr>
          <w:sz w:val="21"/>
        </w:rPr>
        <w:t xml:space="preserve">5) </w:t>
      </w:r>
      <w:r>
        <w:rPr>
          <w:sz w:val="21"/>
        </w:rPr>
        <w:t>甲方无正当理由拒收货物</w:t>
      </w:r>
      <w:r>
        <w:rPr>
          <w:sz w:val="21"/>
        </w:rPr>
        <w:t>/</w:t>
      </w:r>
      <w:r>
        <w:rPr>
          <w:sz w:val="21"/>
        </w:rPr>
        <w:t>接受服务，到期拒付货物</w:t>
      </w:r>
      <w:r>
        <w:rPr>
          <w:sz w:val="21"/>
        </w:rPr>
        <w:t>/</w:t>
      </w:r>
      <w:r>
        <w:rPr>
          <w:sz w:val="21"/>
        </w:rPr>
        <w:t>服务款项的，甲方向乙方偿付本合同总价的</w:t>
      </w:r>
      <w:r>
        <w:rPr>
          <w:sz w:val="21"/>
        </w:rPr>
        <w:t>5%</w:t>
      </w:r>
      <w:r>
        <w:rPr>
          <w:sz w:val="21"/>
        </w:rPr>
        <w:t>的违约金。甲方逾期付款的，则每日按本合同总价的</w:t>
      </w:r>
      <w:r>
        <w:rPr>
          <w:sz w:val="21"/>
        </w:rPr>
        <w:t>3</w:t>
      </w:r>
      <w:r>
        <w:rPr>
          <w:sz w:val="21"/>
        </w:rPr>
        <w:t>‰向乙方偿付违约金。</w:t>
      </w:r>
    </w:p>
    <w:p>
      <w:pPr>
        <w:pStyle w:val="null3"/>
        <w:ind w:firstLine="420"/>
        <w:jc w:val="both"/>
      </w:pPr>
      <w:r>
        <w:rPr>
          <w:sz w:val="21"/>
        </w:rPr>
        <w:t>6</w:t>
      </w:r>
      <w:r>
        <w:rPr>
          <w:sz w:val="21"/>
        </w:rPr>
        <w:t>）对于因甲方原因导致变更、中止或者终止采购合同的，甲方应当依照以下合同约定对乙方受到的损失予以赔偿或者补偿：</w:t>
      </w:r>
      <w:r>
        <w:rPr>
          <w:sz w:val="21"/>
          <w:u w:val="single"/>
        </w:rPr>
        <w:t xml:space="preserve">                       </w:t>
      </w:r>
      <w:r>
        <w:rPr>
          <w:sz w:val="21"/>
          <w:u w:val="single"/>
        </w:rPr>
        <w:t>。</w:t>
      </w:r>
    </w:p>
    <w:p>
      <w:pPr>
        <w:pStyle w:val="null3"/>
        <w:ind w:firstLine="420"/>
        <w:jc w:val="both"/>
      </w:pPr>
      <w:r>
        <w:rPr>
          <w:sz w:val="21"/>
        </w:rPr>
        <w:t xml:space="preserve">7) </w:t>
      </w:r>
      <w:r>
        <w:rPr>
          <w:sz w:val="21"/>
        </w:rPr>
        <w:t>其他违约责任按《中华人民共和国民法典</w:t>
      </w:r>
      <w:r>
        <w:rPr>
          <w:sz w:val="21"/>
        </w:rPr>
        <w:t>(</w:t>
      </w:r>
      <w:r>
        <w:rPr>
          <w:sz w:val="21"/>
        </w:rPr>
        <w:t>合同编</w:t>
      </w:r>
      <w:r>
        <w:rPr>
          <w:sz w:val="21"/>
        </w:rPr>
        <w:t>)</w:t>
      </w:r>
      <w:r>
        <w:rPr>
          <w:sz w:val="21"/>
        </w:rPr>
        <w:t>》处理。</w:t>
      </w:r>
    </w:p>
    <w:p>
      <w:pPr>
        <w:pStyle w:val="null3"/>
        <w:jc w:val="both"/>
      </w:pPr>
      <w:r>
        <w:rPr>
          <w:sz w:val="21"/>
          <w:b/>
        </w:rPr>
        <w:t>十三、争议的解决</w:t>
      </w:r>
    </w:p>
    <w:p>
      <w:pPr>
        <w:pStyle w:val="null3"/>
        <w:ind w:firstLine="420"/>
        <w:jc w:val="both"/>
      </w:pPr>
      <w:r>
        <w:rPr>
          <w:sz w:val="21"/>
        </w:rPr>
        <w:t>合同执行过程中发生的任何争议，如双方不能通过友好协商解决，向甲方所在地有管辖的人民法院起诉。</w:t>
      </w:r>
    </w:p>
    <w:p>
      <w:pPr>
        <w:pStyle w:val="null3"/>
        <w:jc w:val="both"/>
      </w:pPr>
      <w:r>
        <w:rPr>
          <w:sz w:val="21"/>
          <w:b/>
        </w:rPr>
        <w:t>十四、不可抗力：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十五、税费：</w:t>
      </w:r>
      <w:r>
        <w:rPr>
          <w:sz w:val="21"/>
        </w:rPr>
        <w:t>在中国境内、外发生的与本合同执行有关的一切税费均由乙方负担。</w:t>
      </w:r>
    </w:p>
    <w:p>
      <w:pPr>
        <w:pStyle w:val="null3"/>
        <w:jc w:val="both"/>
      </w:pPr>
      <w:r>
        <w:rPr>
          <w:sz w:val="21"/>
          <w:b/>
        </w:rPr>
        <w:t>十六、其他</w:t>
      </w:r>
    </w:p>
    <w:p>
      <w:pPr>
        <w:pStyle w:val="null3"/>
        <w:ind w:firstLine="420"/>
        <w:jc w:val="both"/>
      </w:pPr>
      <w:r>
        <w:rPr>
          <w:sz w:val="21"/>
        </w:rPr>
        <w:t xml:space="preserve">1) </w:t>
      </w:r>
      <w:r>
        <w:rPr>
          <w:sz w:val="21"/>
        </w:rPr>
        <w:t>本合同所有附件、招标文件、投标文件、中标通知书均为合同的有效组成部分，与本合同具有同等法律效力。</w:t>
      </w:r>
    </w:p>
    <w:p>
      <w:pPr>
        <w:pStyle w:val="null3"/>
        <w:ind w:firstLine="420"/>
        <w:jc w:val="both"/>
      </w:pPr>
      <w:r>
        <w:rPr>
          <w:sz w:val="21"/>
        </w:rPr>
        <w:t xml:space="preserve">2) </w:t>
      </w:r>
      <w:r>
        <w:rPr>
          <w:sz w:val="21"/>
        </w:rPr>
        <w:t>在执行本合同的过程中，所有经双方签署确认的文件（包括会议纪要、补充协议、往来信函）即成为本合同的有效组成部分。</w:t>
      </w:r>
    </w:p>
    <w:p>
      <w:pPr>
        <w:pStyle w:val="null3"/>
        <w:ind w:firstLine="420"/>
        <w:jc w:val="both"/>
      </w:pPr>
      <w:r>
        <w:rPr>
          <w:sz w:val="21"/>
        </w:rPr>
        <w:t xml:space="preserve">3) </w:t>
      </w:r>
      <w:r>
        <w:rPr>
          <w:sz w:val="21"/>
        </w:rPr>
        <w:t>如一方地址、电话、传真号码有变更，应在变更当日内书面通知对方，否则，应承担相应责任。</w:t>
      </w:r>
    </w:p>
    <w:p>
      <w:pPr>
        <w:pStyle w:val="null3"/>
        <w:ind w:firstLine="420"/>
        <w:jc w:val="both"/>
      </w:pPr>
      <w:r>
        <w:rPr>
          <w:sz w:val="21"/>
        </w:rPr>
        <w:t xml:space="preserve">4) </w:t>
      </w:r>
      <w:r>
        <w:rPr>
          <w:sz w:val="21"/>
        </w:rPr>
        <w:t>除甲方事先书面同意外，乙方不得部分或全部转让其应履行的合同项下的义务。</w:t>
      </w:r>
    </w:p>
    <w:p>
      <w:pPr>
        <w:pStyle w:val="null3"/>
        <w:jc w:val="both"/>
      </w:pPr>
      <w:r>
        <w:rPr>
          <w:sz w:val="21"/>
          <w:b/>
        </w:rPr>
        <w:t>十七、合同生效：</w:t>
      </w:r>
    </w:p>
    <w:p>
      <w:pPr>
        <w:pStyle w:val="null3"/>
        <w:ind w:firstLine="420"/>
        <w:jc w:val="both"/>
      </w:pPr>
      <w:r>
        <w:rPr>
          <w:sz w:val="21"/>
        </w:rPr>
        <w:t>1</w:t>
      </w:r>
      <w:r>
        <w:rPr>
          <w:sz w:val="21"/>
        </w:rPr>
        <w:t>）本合同在甲乙双方法定代表人或其授权代表签字盖章后生效。</w:t>
      </w:r>
    </w:p>
    <w:p>
      <w:pPr>
        <w:pStyle w:val="null3"/>
        <w:ind w:firstLine="420"/>
        <w:jc w:val="both"/>
      </w:pPr>
      <w:r>
        <w:rPr>
          <w:sz w:val="21"/>
        </w:rPr>
        <w:t>2</w:t>
      </w:r>
      <w:r>
        <w:rPr>
          <w:sz w:val="21"/>
        </w:rPr>
        <w:t>）合同一式</w:t>
      </w:r>
      <w:r>
        <w:rPr>
          <w:u w:val="single"/>
        </w:rPr>
        <w:t xml:space="preserve">    </w:t>
      </w:r>
      <w:r>
        <w:rPr>
          <w:sz w:val="21"/>
        </w:rPr>
        <w:t>份，</w:t>
      </w:r>
      <w:r>
        <w:rPr>
          <w:sz w:val="21"/>
          <w:shd w:fill="FFFFFF" w:val="clear"/>
        </w:rPr>
        <w:t>甲方执</w:t>
      </w:r>
      <w:r>
        <w:rPr>
          <w:u w:val="single"/>
        </w:rPr>
        <w:t xml:space="preserve">   </w:t>
      </w:r>
      <w:r>
        <w:rPr>
          <w:sz w:val="21"/>
          <w:shd w:fill="FFFFFF" w:val="clear"/>
        </w:rPr>
        <w:t>份，乙方执</w:t>
      </w:r>
      <w:r>
        <w:rPr>
          <w:u w:val="single"/>
        </w:rPr>
        <w:t xml:space="preserve">   </w:t>
      </w:r>
      <w:r>
        <w:rPr>
          <w:sz w:val="21"/>
          <w:shd w:fill="FFFFFF" w:val="clear"/>
        </w:rPr>
        <w:t>份</w:t>
      </w:r>
      <w:r>
        <w:rPr>
          <w:sz w:val="21"/>
        </w:rPr>
        <w:t>。</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279"/>
        <w:gridCol w:w="4013"/>
      </w:tblGrid>
      <w:tr>
        <w:tc>
          <w:tcPr>
            <w:tcW w:type="dxa" w:w="427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shd w:fill="FFFFFF" w:val="clear"/>
              </w:rPr>
              <w:t>甲方（盖章）：</w:t>
            </w:r>
          </w:p>
          <w:p>
            <w:pPr>
              <w:pStyle w:val="null3"/>
            </w:pPr>
            <w:r>
              <w:rPr>
                <w:sz w:val="21"/>
                <w:shd w:fill="FFFFFF" w:val="clear"/>
              </w:rPr>
              <w:t>代表：</w:t>
            </w:r>
            <w:r>
              <w:rPr>
                <w:sz w:val="19"/>
                <w:u w:val="single"/>
              </w:rPr>
              <w:t xml:space="preserve">                              </w:t>
            </w:r>
            <w:r>
              <w:rPr>
                <w:sz w:val="19"/>
              </w:rPr>
              <w:t xml:space="preserve"> </w:t>
            </w:r>
          </w:p>
          <w:p>
            <w:pPr>
              <w:pStyle w:val="null3"/>
            </w:pPr>
            <w:r>
              <w:rPr>
                <w:sz w:val="21"/>
                <w:shd w:fill="FFFFFF" w:val="clear"/>
              </w:rPr>
              <w:t>地址：</w:t>
            </w:r>
          </w:p>
          <w:p>
            <w:pPr>
              <w:pStyle w:val="null3"/>
            </w:pPr>
            <w:r>
              <w:rPr>
                <w:sz w:val="21"/>
                <w:shd w:fill="FFFFFF" w:val="clear"/>
              </w:rPr>
              <w:t>电话：</w:t>
            </w:r>
          </w:p>
          <w:p>
            <w:pPr>
              <w:pStyle w:val="null3"/>
            </w:pPr>
            <w:r>
              <w:rPr>
                <w:sz w:val="21"/>
                <w:shd w:fill="FFFFFF" w:val="clear"/>
              </w:rPr>
              <w:t>传真：</w:t>
            </w:r>
          </w:p>
          <w:p>
            <w:pPr>
              <w:pStyle w:val="null3"/>
            </w:pPr>
            <w:r>
              <w:rPr>
                <w:sz w:val="21"/>
                <w:shd w:fill="FFFFFF" w:val="clear"/>
              </w:rPr>
              <w:t>日期：</w:t>
            </w:r>
            <w:r>
              <w:rPr>
                <w:sz w:val="19"/>
              </w:rPr>
              <w:t xml:space="preserve">           </w:t>
            </w:r>
            <w:r>
              <w:rPr>
                <w:sz w:val="21"/>
                <w:shd w:fill="FFFFFF" w:val="clear"/>
              </w:rPr>
              <w:t>年</w:t>
            </w:r>
            <w:r>
              <w:rPr>
                <w:sz w:val="19"/>
              </w:rPr>
              <w:t xml:space="preserve">     </w:t>
            </w:r>
            <w:r>
              <w:rPr>
                <w:sz w:val="21"/>
                <w:shd w:fill="FFFFFF" w:val="clear"/>
              </w:rPr>
              <w:t>月</w:t>
            </w:r>
            <w:r>
              <w:rPr>
                <w:sz w:val="19"/>
              </w:rPr>
              <w:t xml:space="preserve">    </w:t>
            </w:r>
            <w:r>
              <w:rPr>
                <w:sz w:val="21"/>
                <w:shd w:fill="FFFFFF" w:val="clear"/>
              </w:rPr>
              <w:t>日</w:t>
            </w:r>
          </w:p>
        </w:tc>
        <w:tc>
          <w:tcPr>
            <w:tcW w:type="dxa" w:w="40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shd w:fill="FFFFFF" w:val="clear"/>
              </w:rPr>
              <w:t>乙方（盖章）：</w:t>
            </w:r>
          </w:p>
          <w:p>
            <w:pPr>
              <w:pStyle w:val="null3"/>
            </w:pPr>
            <w:r>
              <w:rPr>
                <w:sz w:val="21"/>
                <w:shd w:fill="FFFFFF" w:val="clear"/>
              </w:rPr>
              <w:t>代表：</w:t>
            </w:r>
            <w:r>
              <w:rPr>
                <w:sz w:val="19"/>
                <w:u w:val="single"/>
              </w:rPr>
              <w:t xml:space="preserve">                           </w:t>
            </w:r>
          </w:p>
          <w:p>
            <w:pPr>
              <w:pStyle w:val="null3"/>
            </w:pPr>
            <w:r>
              <w:rPr>
                <w:sz w:val="21"/>
                <w:shd w:fill="FFFFFF" w:val="clear"/>
              </w:rPr>
              <w:t>地址：</w:t>
            </w:r>
          </w:p>
          <w:p>
            <w:pPr>
              <w:pStyle w:val="null3"/>
            </w:pPr>
            <w:r>
              <w:rPr>
                <w:sz w:val="21"/>
                <w:shd w:fill="FFFFFF" w:val="clear"/>
              </w:rPr>
              <w:t>电话：</w:t>
            </w:r>
          </w:p>
          <w:p>
            <w:pPr>
              <w:pStyle w:val="null3"/>
            </w:pPr>
            <w:r>
              <w:rPr>
                <w:sz w:val="21"/>
                <w:shd w:fill="FFFFFF" w:val="clear"/>
              </w:rPr>
              <w:t>传真：</w:t>
            </w:r>
          </w:p>
          <w:p>
            <w:pPr>
              <w:pStyle w:val="null3"/>
            </w:pPr>
            <w:r>
              <w:rPr>
                <w:sz w:val="21"/>
                <w:shd w:fill="FFFFFF" w:val="clear"/>
              </w:rPr>
              <w:t>日期：</w:t>
            </w:r>
            <w:r>
              <w:rPr>
                <w:sz w:val="19"/>
              </w:rPr>
              <w:t xml:space="preserve">        </w:t>
            </w:r>
            <w:r>
              <w:rPr>
                <w:sz w:val="21"/>
                <w:shd w:fill="FFFFFF" w:val="clear"/>
              </w:rPr>
              <w:t>年</w:t>
            </w:r>
            <w:r>
              <w:rPr>
                <w:sz w:val="19"/>
              </w:rPr>
              <w:t xml:space="preserve">     </w:t>
            </w:r>
            <w:r>
              <w:rPr>
                <w:sz w:val="21"/>
                <w:shd w:fill="FFFFFF" w:val="clear"/>
              </w:rPr>
              <w:t>月</w:t>
            </w:r>
            <w:r>
              <w:rPr>
                <w:sz w:val="19"/>
              </w:rPr>
              <w:t xml:space="preserve">     </w:t>
            </w:r>
            <w:r>
              <w:rPr>
                <w:sz w:val="21"/>
                <w:shd w:fill="FFFFFF" w:val="clear"/>
              </w:rPr>
              <w:t>日</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440201-2026-00887</w:t>
      </w:r>
    </w:p>
    <w:p>
      <w:pPr>
        <w:pStyle w:val="null3"/>
        <w:jc w:val="center"/>
        <w:outlineLvl w:val="3"/>
      </w:pPr>
      <w:r>
        <w:rPr>
          <w:sz w:val="24"/>
          <w:b/>
        </w:rPr>
        <w:t>采购项目编号：</w:t>
      </w:r>
      <w:r>
        <w:rPr>
          <w:sz w:val="24"/>
          <w:b/>
        </w:rPr>
        <w:t>GZYL26SGHG04015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广州宜立工程管理有限公司韶关分公司</w:t>
      </w:r>
    </w:p>
    <w:p>
      <w:pPr>
        <w:pStyle w:val="null3"/>
        <w:ind w:firstLine="480"/>
      </w:pPr>
      <w:r>
        <w:rPr/>
        <w:t xml:space="preserve"> 你方组织的</w:t>
      </w:r>
      <w:r>
        <w:rPr>
          <w:u w:val="single"/>
        </w:rPr>
        <w:t>“</w:t>
      </w:r>
      <w:r>
        <w:rPr>
          <w:u w:val="single"/>
        </w:rPr>
        <w:t>购置云计算、虚拟现实专业图形工作站实训设备</w:t>
      </w:r>
      <w:r>
        <w:rPr>
          <w:u w:val="single"/>
        </w:rPr>
        <w:t>”</w:t>
      </w:r>
      <w:r>
        <w:rPr/>
        <w:t>项目的招标[采购项目编号为：</w:t>
      </w:r>
      <w:r>
        <w:rPr>
          <w:u w:val="single"/>
        </w:rPr>
        <w:t>GZYL26SGHG04015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购置云计算、虚拟现实专业图形工作站实训设备</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广州宜立工程管理有限公司韶关分公司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购置云计算、虚拟现实专业图形工作站实训设备</w:t>
      </w:r>
      <w:r>
        <w:rPr/>
        <w:t>”项目采购[采购项目编号为</w:t>
      </w:r>
      <w:r>
        <w:rPr/>
        <w:t>GZYL26SGHG04015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广州宜立工程管理有限公司韶关分公司</w:t>
      </w:r>
    </w:p>
    <w:p>
      <w:pPr>
        <w:pStyle w:val="null3"/>
        <w:ind w:firstLine="480"/>
      </w:pPr>
      <w:r>
        <w:rPr/>
        <w:t xml:space="preserve"> 如果我方在贵采购代理机构组织的</w:t>
      </w:r>
      <w:r>
        <w:rPr/>
        <w:t>购置云计算、虚拟现实专业图形工作站实训设备</w:t>
      </w:r>
      <w:r>
        <w:rPr/>
        <w:t>招标中获中标（采购项目编号：</w:t>
      </w:r>
      <w:r>
        <w:rPr/>
        <w:t>GZYL26SGHG04015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广州宜立工程管理有限公司韶关分公司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广州宜立工程管理有限公司韶关分公司</w:t>
      </w:r>
    </w:p>
    <w:p>
      <w:pPr>
        <w:pStyle w:val="null3"/>
        <w:ind w:firstLine="480"/>
      </w:pPr>
      <w:r>
        <w:rPr/>
        <w:t>我单位已登记并准备参与“</w:t>
      </w:r>
      <w:r>
        <w:rPr/>
        <w:t>购置云计算、虚拟现实专业图形工作站实训设备</w:t>
      </w:r>
      <w:r>
        <w:rPr/>
        <w:t>”项目（采购项目编号：</w:t>
      </w:r>
      <w:r>
        <w:rPr/>
        <w:t>GZYL26SGHG04015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