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440101-2024-19083</w:t>
      </w:r>
    </w:p>
    <w:p>
      <w:pPr>
        <w:pStyle w:val="null3"/>
        <w:jc w:val="center"/>
        <w:outlineLvl w:val="3"/>
      </w:pPr>
      <w:r>
        <w:rPr>
          <w:sz w:val="24"/>
          <w:b/>
        </w:rPr>
        <w:t>采购项目编号：</w:t>
      </w:r>
      <w:r>
        <w:rPr>
          <w:sz w:val="24"/>
          <w:b/>
        </w:rPr>
        <w:t>CZ2024-5091</w:t>
      </w:r>
    </w:p>
    <w:p>
      <w:pPr>
        <w:pStyle w:val="null3"/>
        <w:jc w:val="center"/>
        <w:outlineLvl w:val="3"/>
      </w:pPr>
      <w:r>
        <w:rPr>
          <w:sz w:val="24"/>
          <w:b/>
        </w:rPr>
        <w:t>项目名称：</w:t>
      </w:r>
      <w:r>
        <w:rPr>
          <w:sz w:val="24"/>
          <w:b/>
        </w:rPr>
        <w:t>广州市轻工职业学校家具购置项目（二期）</w:t>
      </w:r>
    </w:p>
    <w:p>
      <w:pPr>
        <w:pStyle w:val="null3"/>
        <w:jc w:val="center"/>
        <w:outlineLvl w:val="3"/>
      </w:pPr>
      <w:r>
        <w:rPr>
          <w:sz w:val="24"/>
          <w:b/>
        </w:rPr>
        <w:t>采购人：</w:t>
      </w:r>
      <w:r>
        <w:rPr>
          <w:sz w:val="24"/>
          <w:b/>
        </w:rPr>
        <w:t>广州市轻工职业学校</w:t>
      </w:r>
    </w:p>
    <w:p>
      <w:pPr>
        <w:pStyle w:val="null3"/>
        <w:jc w:val="center"/>
        <w:outlineLvl w:val="3"/>
      </w:pPr>
      <w:r>
        <w:rPr>
          <w:sz w:val="24"/>
          <w:b/>
        </w:rPr>
        <w:t>采购代理机构：</w:t>
      </w:r>
      <w:r>
        <w:rPr>
          <w:sz w:val="24"/>
          <w:b/>
        </w:rPr>
        <w:t>广州市政府采购中心</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广州市政府采购中心</w:t>
      </w:r>
      <w:r>
        <w:rPr/>
        <w:t>受</w:t>
      </w:r>
      <w:r>
        <w:rPr/>
        <w:t>广州市轻工职业学校</w:t>
      </w:r>
      <w:r>
        <w:rPr/>
        <w:t>的委托，采用</w:t>
      </w:r>
      <w:r>
        <w:rPr/>
        <w:t>公开招标</w:t>
      </w:r>
      <w:r>
        <w:rPr/>
        <w:t>方式组织采购</w:t>
      </w:r>
      <w:r>
        <w:rPr/>
        <w:t>广州市轻工职业学校家具购置项目（二期）</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广州市轻工职业学校家具购置项目（二期）</w:t>
      </w:r>
    </w:p>
    <w:p>
      <w:pPr>
        <w:pStyle w:val="null3"/>
        <w:ind w:firstLine="480"/>
      </w:pPr>
      <w:r>
        <w:rPr/>
        <w:t>采购计划编号：</w:t>
      </w:r>
      <w:r>
        <w:rPr/>
        <w:t>440101-2024-19083</w:t>
      </w:r>
    </w:p>
    <w:p>
      <w:pPr>
        <w:pStyle w:val="null3"/>
        <w:ind w:firstLine="480"/>
      </w:pPr>
      <w:r>
        <w:rPr/>
        <w:t>采购项目编号：</w:t>
      </w:r>
      <w:r>
        <w:rPr/>
        <w:t>CZ2024-5091</w:t>
      </w:r>
    </w:p>
    <w:p>
      <w:pPr>
        <w:pStyle w:val="null3"/>
        <w:ind w:firstLine="480"/>
      </w:pPr>
      <w:r>
        <w:rPr/>
        <w:t>采购方式：</w:t>
      </w:r>
      <w:r>
        <w:rPr/>
        <w:t>公开招标</w:t>
      </w:r>
    </w:p>
    <w:p>
      <w:pPr>
        <w:pStyle w:val="null3"/>
        <w:ind w:firstLine="480"/>
      </w:pPr>
      <w:r>
        <w:rPr/>
        <w:t>预算金额：</w:t>
      </w:r>
      <w:r>
        <w:rPr/>
        <w:t>3,340,000.00</w:t>
      </w:r>
      <w:r>
        <w:rPr/>
        <w:t>元</w:t>
      </w:r>
    </w:p>
    <w:p>
      <w:pPr>
        <w:pStyle w:val="null3"/>
        <w:outlineLvl w:val="3"/>
      </w:pPr>
      <w:r>
        <w:rPr>
          <w:sz w:val="24"/>
          <w:b/>
        </w:rPr>
        <w:t>2.项目内容及需求情况（采购项目技术规格、参数及要求）</w:t>
      </w:r>
    </w:p>
    <w:p>
      <w:pPr>
        <w:pStyle w:val="null3"/>
      </w:pPr>
      <w:r>
        <w:rPr/>
        <w:t>采购包1(广州市轻工职业学校家具购置项目（二期）):</w:t>
      </w:r>
    </w:p>
    <w:p>
      <w:pPr>
        <w:pStyle w:val="null3"/>
      </w:pPr>
      <w:r>
        <w:rPr/>
        <w:t>采购包预算金额：3,340,000.00元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其他家具</w:t>
            </w:r>
          </w:p>
        </w:tc>
        <w:tc>
          <w:tcPr>
            <w:tcW w:type="dxa" w:w="2136"/>
          </w:tcPr>
          <w:p>
            <w:pPr>
              <w:pStyle w:val="null3"/>
            </w:pPr>
            <w:r>
              <w:rPr/>
              <w:t>广州市轻工职业学校家具购置项目（二期）</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合同履行期限：合同签订后，经采购人通知，中标人于30天内完成复尺、供货、安装、调试、交付使用。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 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Pr>
        <w:pStyle w:val="null3"/>
      </w:pPr>
      <w:r>
        <w:rPr/>
        <w:t>2）有依法缴纳税收和社会保障资金的良好记录：依据《投标函》。</w:t>
      </w:r>
    </w:p>
    <w:p>
      <w:pPr>
        <w:pStyle w:val="null3"/>
      </w:pPr>
      <w:r>
        <w:rPr/>
        <w:t>3）具有良好的商业信誉和健全的财务会计制度： 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采购包1（广州市轻工职业学校家具购置项目（二期））：</w:t>
      </w:r>
      <w:r>
        <w:rPr/>
        <w:t xml:space="preserve"> 本项目属于专门面向中小微企业采购的项目，全部货物的制造商应为中小微企业、监狱企业或残疾人福利性单位【依据《中小企业声明函》或由省级以上监狱管理局、戒毒管理局(含新疆生产建设兵团)出具的制造商属于监狱企业的证明文件或制造商的《残疾人福利性单位声明函》】。</w:t>
      </w:r>
    </w:p>
    <w:p>
      <w:pPr>
        <w:pStyle w:val="null3"/>
        <w:outlineLvl w:val="3"/>
      </w:pPr>
      <w:r>
        <w:rPr>
          <w:sz w:val="24"/>
          <w:b/>
        </w:rPr>
        <w:t>3.本项目特定的资格要求：</w:t>
      </w:r>
    </w:p>
    <w:p>
      <w:pPr>
        <w:pStyle w:val="null3"/>
      </w:pPr>
      <w:r>
        <w:rPr/>
        <w:t>采购包1（广州市轻工职业学校家具购置项目（二期））：</w:t>
      </w:r>
    </w:p>
    <w:p>
      <w:pPr>
        <w:pStyle w:val="null3"/>
      </w:pPr>
      <w:r>
        <w:rPr/>
        <w:t>1)1、本项目不接受联合体投标；2、投标人未被列入“信用中国”网站中“ 记录失信被执行人或重大税收违法失信主体或政府采购严重违法失信行为” 的记录名单；不处于“中国政府采购网”中“政府采购严重违法失信行为信息记录”的 禁止参加政府采购活动期间（以采购代理机构或采购人于资格审查时在上述网站查 询结果为准，如在上述网站查询结果均显示没有相关记录，视为没有上述不良信用 记录。同时对信用信息查询记录和证据截图存档。如相关失信记录已失效，供应商须提供相关证明资料）。3、投标人必须符合法律、行政法规规定的其他条件：依 据《投标函》。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广州交易集团有限公司（http://www.gzggzy.cn）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广州市轻工职业学校</w:t>
      </w:r>
    </w:p>
    <w:p>
      <w:pPr>
        <w:pStyle w:val="null3"/>
        <w:ind w:firstLine="480"/>
      </w:pPr>
      <w:r>
        <w:rPr/>
        <w:t xml:space="preserve"> 地址：</w:t>
      </w:r>
      <w:r>
        <w:rPr/>
        <w:t>广州市天河区长福路173号</w:t>
      </w:r>
    </w:p>
    <w:p>
      <w:pPr>
        <w:pStyle w:val="null3"/>
        <w:ind w:firstLine="480"/>
      </w:pPr>
      <w:r>
        <w:rPr/>
        <w:t xml:space="preserve"> 联系方式：</w:t>
      </w:r>
      <w:r>
        <w:rPr/>
        <w:t>02087059531</w:t>
      </w:r>
    </w:p>
    <w:p>
      <w:pPr>
        <w:pStyle w:val="null3"/>
        <w:outlineLvl w:val="3"/>
      </w:pPr>
      <w:r>
        <w:rPr>
          <w:sz w:val="24"/>
          <w:b/>
        </w:rPr>
        <w:t xml:space="preserve"> 2.采购代理机构信息</w:t>
      </w:r>
    </w:p>
    <w:p>
      <w:pPr>
        <w:pStyle w:val="null3"/>
        <w:ind w:firstLine="480"/>
      </w:pPr>
      <w:r>
        <w:rPr/>
        <w:t xml:space="preserve"> 名称：</w:t>
      </w:r>
      <w:r>
        <w:rPr/>
        <w:t>广州市政府采购中心</w:t>
      </w:r>
    </w:p>
    <w:p>
      <w:pPr>
        <w:pStyle w:val="null3"/>
        <w:ind w:firstLine="480"/>
      </w:pPr>
      <w:r>
        <w:rPr/>
        <w:t xml:space="preserve"> 地址：</w:t>
      </w:r>
      <w:r>
        <w:rPr/>
        <w:t>广东省广州市天河区天润路333号</w:t>
      </w:r>
    </w:p>
    <w:p>
      <w:pPr>
        <w:pStyle w:val="null3"/>
        <w:ind w:firstLine="480"/>
      </w:pPr>
      <w:r>
        <w:rPr/>
        <w:t xml:space="preserve"> 联系方式：</w:t>
      </w:r>
      <w:r>
        <w:rPr/>
        <w:t>020-28866324</w:t>
      </w:r>
    </w:p>
    <w:p>
      <w:pPr>
        <w:pStyle w:val="null3"/>
        <w:outlineLvl w:val="3"/>
      </w:pPr>
      <w:r>
        <w:rPr>
          <w:sz w:val="24"/>
          <w:b/>
        </w:rPr>
        <w:t xml:space="preserve"> 3.项目联系方式</w:t>
      </w:r>
    </w:p>
    <w:p>
      <w:pPr>
        <w:pStyle w:val="null3"/>
        <w:ind w:firstLine="480"/>
      </w:pPr>
      <w:r>
        <w:rPr/>
        <w:t xml:space="preserve"> 项目联系人：</w:t>
      </w:r>
      <w:r>
        <w:rPr/>
        <w:t>刘博意</w:t>
      </w:r>
    </w:p>
    <w:p>
      <w:pPr>
        <w:pStyle w:val="null3"/>
        <w:ind w:firstLine="480"/>
      </w:pPr>
      <w:r>
        <w:rPr/>
        <w:t xml:space="preserve"> 电话：</w:t>
      </w:r>
      <w:r>
        <w:rPr/>
        <w:t>020-28866324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广州市政府采购中心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详见“采购需求”。</w:t>
      </w:r>
    </w:p>
    <w:p>
      <w:pPr>
        <w:pStyle w:val="null3"/>
      </w:pPr>
      <w:r>
        <w:rPr/>
        <w:t>采购包1（广州市轻工职业学校家具购置项目（二期））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合同签订后，经采购人通知，中标人于30天内完成复尺、供货、安装、调试、交付使用。</w:t>
            </w:r>
          </w:p>
        </w:tc>
      </w:tr>
      <w:tr>
        <w:tc>
          <w:tcPr>
            <w:tcW w:type="dxa" w:w="4153"/>
          </w:tcPr>
          <w:p>
            <w:pPr>
              <w:pStyle w:val="null3"/>
            </w:pPr>
            <w:r>
              <w:rPr/>
              <w:t>标的提供的地点</w:t>
            </w:r>
          </w:p>
        </w:tc>
        <w:tc>
          <w:tcPr>
            <w:tcW w:type="dxa" w:w="4153"/>
          </w:tcPr>
          <w:p>
            <w:pPr>
              <w:pStyle w:val="null3"/>
            </w:pPr>
            <w:r>
              <w:rPr/>
              <w:t>广州市增城区科教大道83号广州市轻工职业学校科教城校区校内。</w:t>
            </w:r>
          </w:p>
        </w:tc>
      </w:tr>
      <w:tr>
        <w:tc>
          <w:tcPr>
            <w:tcW w:type="dxa" w:w="4153"/>
          </w:tcPr>
          <w:p>
            <w:pPr>
              <w:pStyle w:val="null3"/>
            </w:pPr>
            <w:r>
              <w:rPr/>
              <w:t>付款方式</w:t>
            </w:r>
          </w:p>
        </w:tc>
        <w:tc>
          <w:tcPr>
            <w:tcW w:type="dxa" w:w="4153"/>
          </w:tcPr>
          <w:p>
            <w:pPr>
              <w:pStyle w:val="null3"/>
            </w:pPr>
            <w:r>
              <w:rPr/>
              <w:t>1期：支付比例50%,签署合同生效且财政资金到位，在收到发票后5个工作日办理支付手续，采购人支付合同总额50%预付款给中标人。</w:t>
            </w:r>
          </w:p>
          <w:p>
            <w:pPr>
              <w:pStyle w:val="null3"/>
            </w:pPr>
            <w:r>
              <w:rPr/>
              <w:t>2期：支付比例30%,货物到达现场后视项目的建设进度支付合同总额的30%，在收到发票后5个工作日办理支付手续。</w:t>
            </w:r>
          </w:p>
          <w:p>
            <w:pPr>
              <w:pStyle w:val="null3"/>
            </w:pPr>
            <w:r>
              <w:rPr/>
              <w:t>3期：支付比例20%,货物安装调试完毕，且项目通过验收后，支付项目剩余费用，余款于项目财政资金到位后，采购人通知中标人开具发票，采购人在收到发票后5个工作日办理支付手续。</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1期：详见“采购需求”。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其他家具</w:t>
            </w:r>
          </w:p>
        </w:tc>
        <w:tc>
          <w:tcPr>
            <w:tcW w:type="dxa" w:w="831"/>
          </w:tcPr>
          <w:p>
            <w:pPr>
              <w:pStyle w:val="null3"/>
              <w:jc w:val="left"/>
            </w:pPr>
            <w:r>
              <w:rPr/>
              <w:t>广州市轻工职业学校家具购置项目（二期）</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3,340,000.00</w:t>
            </w:r>
          </w:p>
        </w:tc>
        <w:tc>
          <w:tcPr>
            <w:tcW w:type="dxa" w:w="831"/>
          </w:tcPr>
          <w:p>
            <w:pPr>
              <w:pStyle w:val="null3"/>
              <w:jc w:val="right"/>
            </w:pPr>
            <w:r>
              <w:rPr/>
              <w:t>3,340,000.00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广州市轻工职业学校家具购置项目（二期）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1.采购代理机构：本项目是指广州市政府采购中心，负责整个采购活动的组织，依法负责编制和发布招标文件，对招标文件拥有最终的解释权，不以任何身份出任评标委员会成员。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广州市轻工职业学校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公共资源交易服务费收费标准：1.不论投标的结果如何，投标人应承担所有与编写和提交投标文件有关的费用。2.采购人委托中标人支付公共资源交易服务费，其报价中须包含公共资源交易服务费。由中标人支付公共资源交易服务费后，采购人、中标人方可下载打印电子《中标通知书》。3.中标人可选用以下两种方式支付公共资源交易服务费：（1）现场支付：中标人携现金前往市政府采购中心大厅西侧建设银行天润路支行交款，交款后前往财务专窗办理支付确认。（2）汇款支付：中标人将公共资源交易服务费转账（汇款）至公共资源交易服务费结算账户（如下所示）后，到账后凭转账（汇款）凭证前往市政府采购中心一楼大厅44号财务专窗办理支付确认或使用公共资源交易服务费转账凭证上传确认系统进行支付确认。公共资源交易服务费结算账户信息：收款单位：广州市政府采购中心，开户银行：中国建设银行广州天润路支行，账号：44050158340409202288（注：公共资源交易服务费增值税电子发票待中标人支付公共资源交易服务费并确认后，向中标人的经办人手机号推送电子发票用于报账。使用汇款支付过程中，请在摘要或用途中注明项目编号交易服务费，例如：CZ2022-0001交易服务费。当交易服务费到账的银行回单中单位名称、应缴交易服务费金额、中标项目编号三项信息匹配都一致时，系统会自动进行支付确认。）4.公共资源交易服务费以采购额按差额定率累进法计算。详见《广州市政府采购中心关于代理采购类项目公共资源交易服务费收费标准的通知》（http://www.gzggzy.cn/jtgg/874864.jhtml）（注：本项目为纳入集中采购目录的项目，采购额为中标金额。）</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综合信用得分。（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二、履约评价。 由采购人负责对中标人的履约行为进行评价，采购人在合同备案后可通过广东政府采购智慧云平台-诚信管理-评价管理进行评价。评价结果会影响供应商的综合信用得分。 三、关于提供前期服务的供应商。 为采购项目提供整体设计、规范编制或者项目管理、监理、检测等服务的供应商，不得再参加该采购项目的其他采购活动。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1小时</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广州交易集团有限公司（http://www.gzggzy.cn）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广州交易集团有限公司（http://www.gzggzy.cn）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何晓蕾</w:t>
      </w:r>
    </w:p>
    <w:p>
      <w:pPr>
        <w:pStyle w:val="null3"/>
        <w:ind w:firstLine="480"/>
      </w:pPr>
      <w:r>
        <w:rPr/>
        <w:t>电话：</w:t>
      </w:r>
      <w:r>
        <w:rPr/>
        <w:t>020-28866163</w:t>
      </w:r>
    </w:p>
    <w:p>
      <w:pPr>
        <w:pStyle w:val="null3"/>
        <w:ind w:firstLine="480"/>
      </w:pPr>
      <w:r>
        <w:rPr/>
        <w:t>传真：</w:t>
      </w:r>
      <w:r>
        <w:rPr/>
        <w:t>无</w:t>
      </w:r>
    </w:p>
    <w:p>
      <w:pPr>
        <w:pStyle w:val="null3"/>
        <w:ind w:firstLine="480"/>
      </w:pPr>
      <w:r>
        <w:rPr/>
        <w:t>邮箱：</w:t>
      </w:r>
      <w:r>
        <w:rPr/>
        <w:t>无</w:t>
      </w:r>
    </w:p>
    <w:p>
      <w:pPr>
        <w:pStyle w:val="null3"/>
        <w:ind w:firstLine="480"/>
      </w:pPr>
      <w:r>
        <w:rPr/>
        <w:t>地址：</w:t>
      </w:r>
      <w:r>
        <w:rPr/>
        <w:t>广州市天河区天润路333号3楼广州市政府采购中心综合管理部</w:t>
      </w:r>
    </w:p>
    <w:p>
      <w:pPr>
        <w:pStyle w:val="null3"/>
        <w:ind w:firstLine="480"/>
      </w:pPr>
      <w:r>
        <w:rPr/>
        <w:t>邮编：</w:t>
      </w:r>
      <w:r>
        <w:rPr/>
        <w:t>510630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轻工职业学校家具购置项目（二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广州市政府采购中心</w:t>
      </w:r>
      <w:r>
        <w:rPr/>
        <w:t>统一对外发布。</w:t>
      </w:r>
    </w:p>
    <w:p>
      <w:pPr>
        <w:pStyle w:val="null3"/>
        <w:ind w:firstLine="480"/>
      </w:pPr>
      <w:r>
        <w:rPr/>
        <w:t>（2）对</w:t>
      </w:r>
      <w:r>
        <w:rPr/>
        <w:t>广州市政府采购中心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采购包1（广州市轻工职业学校家具购置项目（二期））：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采购包1（广州市轻工职业学校家具购置项目（二期））：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 xml:space="preserve"> 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 xml:space="preserve"> 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1、本项目不接受联合体投标；2、投标人未被列入“信用中国”网站中“ 记录失信被执行人或重大税收违法失信主体或政府采购严重违法失信行为” 的记录名单；不处于“中国政府采购网”中“政府采购严重违法失信行为信息记录”的 禁止参加政府采购活动期间（以采购代理机构或采购人于资格审查时在上述网站查 询结果为准，如在上述网站查询结果均显示没有相关记录，视为没有上述不良信用 记录。同时对信用信息查询记录和证据截图存档。如相关失信记录已失效，供应商须提供相关证明资料）。3、投标人必须符合法律、行政法规规定的其他条件：依 据《投标函》。</w:t>
            </w:r>
          </w:p>
        </w:tc>
      </w:tr>
      <w:tr>
        <w:tc>
          <w:tcPr>
            <w:tcW w:type="dxa" w:w="890"/>
          </w:tcPr>
          <w:p>
            <w:pPr>
              <w:pStyle w:val="null3"/>
            </w:pPr>
            <w:r>
              <w:rPr/>
              <w:t>7</w:t>
            </w:r>
          </w:p>
        </w:tc>
        <w:tc>
          <w:tcPr>
            <w:tcW w:type="dxa" w:w="3178"/>
          </w:tcPr>
          <w:p>
            <w:pPr>
              <w:pStyle w:val="null3"/>
            </w:pPr>
            <w:r>
              <w:rPr/>
              <w:t>本采购包专门面向中小企业采购</w:t>
            </w:r>
          </w:p>
        </w:tc>
        <w:tc>
          <w:tcPr>
            <w:tcW w:type="dxa" w:w="4238"/>
          </w:tcPr>
          <w:p>
            <w:pPr>
              <w:pStyle w:val="null3"/>
            </w:pPr>
            <w:r>
              <w:rPr/>
              <w:t xml:space="preserve"> 本项目属于专门面向中小微企业采购的项目，全部货物的制造商应为中小微企业、监狱企业或残疾人福利性单位【依据《中小企业声明函》或由省级以上监狱管理局、戒毒管理局(含新疆生产建设兵团)出具的制造商属于监狱企业的证明文件或制造商的《残疾人福利性单位声明函》】。</w:t>
            </w:r>
          </w:p>
        </w:tc>
      </w:tr>
    </w:tbl>
    <w:p>
      <w:pPr>
        <w:pStyle w:val="null3"/>
        <w:ind w:firstLine="480"/>
      </w:pPr>
      <w:r>
        <w:rPr/>
        <w:t>表二符合性审查表：</w:t>
      </w:r>
    </w:p>
    <w:p>
      <w:pPr>
        <w:pStyle w:val="null3"/>
      </w:pPr>
      <w:r>
        <w:rPr/>
        <w:t>采购包1（广州市轻工职业学校家具购置项目（二期））：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1.报价确定且不高于预算金额。 2.有盖章、签署要求的格式文件已按要求盖章、签署。 3.投标文件完全满足招标文件中带★号的条款和指标 (审查《实质性响应一览表》) 4.未发现属无效投标的其他情形。以下为属无效投标的其他情形：（1）法定代表人或单位负责人为同一个人或者存在直接控股、管理关系的不同供应商，同时参加本项目或同一采购包投标的。 （2）投标人为本项目提供整体设计、规范编制或者项目管理、监理、检测等服务的。（3）评标期间，投标人没有按评标委员会的要求提交法定代表人或其委托代理人签字的澄清、说明、补正或改变了投标文件的实质性内容的。 （4）投标文件提供虚假材料的。 （5）投标人以他人的名义投标、串通投标、以行贿手段谋取中标或者以其他弄虚作假方式投标的。 （6）投标人对采购人、采购代理机构、评标委员会及其工作人员施加影响，有碍招标公平、公正的。 （7）投标文件含有采购人不能接受的附加条件的。 （8）法律、法规和招标文件规定的其他无效情形。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采购包1(广州市轻工职业学校家具购置项目（二期）):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商务部分9.0分</w:t>
            </w:r>
          </w:p>
          <w:p>
            <w:pPr>
              <w:pStyle w:val="null3"/>
            </w:pPr>
            <w:r>
              <w:rPr/>
              <w:t>技术部分56.0分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重要技术参数响应情况 (22.0分)</w:t>
            </w:r>
          </w:p>
        </w:tc>
        <w:tc>
          <w:tcPr>
            <w:tcW w:type="dxa" w:w="5076"/>
          </w:tcPr>
          <w:p>
            <w:pPr>
              <w:pStyle w:val="null3"/>
              <w:jc w:val="left"/>
            </w:pPr>
            <w:r>
              <w:rPr/>
              <w:t>根据对招标文件“通用参数和专项参数”中“▲”条款（共22条）响应进行评审。全部满足得22分，每有1条负偏离扣1分，最低得0分。 采购需求中有明确要求提供证明材料，需按照要求提供。未明确要求提供证明资料的，以《技术和服务要求响应表》响应情况为准。</w:t>
            </w:r>
          </w:p>
        </w:tc>
      </w:tr>
      <w:tr>
        <w:tc>
          <w:tcPr>
            <w:tcW w:type="dxa" w:w="922"/>
            <w:gridSpan w:val="2"/>
            <w:vMerge/>
          </w:tcPr>
          <w:p/>
        </w:tc>
        <w:tc>
          <w:tcPr>
            <w:tcW w:type="dxa" w:w="2307"/>
          </w:tcPr>
          <w:p>
            <w:pPr>
              <w:pStyle w:val="null3"/>
              <w:jc w:val="left"/>
            </w:pPr>
            <w:r>
              <w:rPr/>
              <w:t>对优先采购产品类别的评审优惠 (2.0分)</w:t>
            </w:r>
          </w:p>
        </w:tc>
        <w:tc>
          <w:tcPr>
            <w:tcW w:type="dxa" w:w="5076"/>
          </w:tcPr>
          <w:p>
            <w:pPr>
              <w:pStyle w:val="null3"/>
              <w:jc w:val="left"/>
            </w:pPr>
            <w:r>
              <w:rPr/>
              <w:t>每提供一份环境标志产品认证证书得0.4分，最高得2分。</w:t>
            </w:r>
          </w:p>
        </w:tc>
      </w:tr>
      <w:tr>
        <w:tc>
          <w:tcPr>
            <w:tcW w:type="dxa" w:w="922"/>
            <w:gridSpan w:val="2"/>
            <w:vMerge/>
          </w:tcPr>
          <w:p/>
        </w:tc>
        <w:tc>
          <w:tcPr>
            <w:tcW w:type="dxa" w:w="2307"/>
          </w:tcPr>
          <w:p>
            <w:pPr>
              <w:pStyle w:val="null3"/>
              <w:jc w:val="left"/>
            </w:pPr>
            <w:r>
              <w:rPr/>
              <w:t>环保、安全、性能、质量 (7.0分)</w:t>
            </w:r>
          </w:p>
        </w:tc>
        <w:tc>
          <w:tcPr>
            <w:tcW w:type="dxa" w:w="5076"/>
          </w:tcPr>
          <w:p>
            <w:pPr>
              <w:pStyle w:val="null3"/>
              <w:jc w:val="left"/>
            </w:pPr>
            <w:r>
              <w:rPr/>
              <w:t>环保、安全、性能、质量证明： （1）投标人提供：产品阻燃等级认证证书，全部符合得1分，未提供或不全不得分； （2）投标人提供:家具中有害物质限量认证证书 ，其证书覆盖范围包含：①人造板家具 (桌台类、柜类、床类) ②钢木家具 (桌台类、椅凳类、柜架类、床类，屏风类) ③软体家具(沙发类、椅类) 全部符合得1分，未提供或不全不得分； （3）投标人提供：中国绿色产品认证证书，产品符合《绿色产品认证实施规则 家具》的要求，其证书覆盖范围包含：①木家具 (人造板家具)：含桌台类、柜架类、床类、屏风类。②软体家具(椅类)：椅凳类。③金属家具：含桌台类、柜架类、椅凳类、床类、屏风类。④软体家具(沙发)：含沙发类。 全部符合得1分，未提供或不全不得分； （4）投标人提供：低VOCs家具产品认证证书 ，①人造板家具 (桌台类、柜类、床类) ②钢木家具 (桌台类、椅凳类、柜架类、床类，屏风类) ③软体家具(沙发类、椅类) 全部符合得1分，未提供或不全不得分； （5）投标人提供：人类工效学产品认证证书，且认证范围包含：床类、椅类，桌类。全部符合得1分，未提供或不全不得分； （6）投标人提供：产品抗菌认证证书。全部符合得1分，未提供或不全不得分。 （7）投标人提供：产品防霉认证证书。全部符合得1分，未提供或不全不得分。 注：提供相应的认证扫描件，全国认证认可信息公共服务平台官网（http://cx.cnca.cn/)有效查询结果截图，否则本项不计分。</w:t>
            </w:r>
          </w:p>
        </w:tc>
      </w:tr>
      <w:tr>
        <w:tc>
          <w:tcPr>
            <w:tcW w:type="dxa" w:w="922"/>
            <w:gridSpan w:val="2"/>
            <w:vMerge/>
          </w:tcPr>
          <w:p/>
        </w:tc>
        <w:tc>
          <w:tcPr>
            <w:tcW w:type="dxa" w:w="2307"/>
          </w:tcPr>
          <w:p>
            <w:pPr>
              <w:pStyle w:val="null3"/>
              <w:jc w:val="left"/>
            </w:pPr>
            <w:r>
              <w:rPr/>
              <w:t>方案响应情况 对应采购需求总体实施方案提出要求的响应情况1 (1.0分)</w:t>
            </w:r>
          </w:p>
        </w:tc>
        <w:tc>
          <w:tcPr>
            <w:tcW w:type="dxa" w:w="5076"/>
          </w:tcPr>
          <w:p>
            <w:pPr>
              <w:pStyle w:val="null3"/>
              <w:jc w:val="left"/>
            </w:pPr>
            <w:r>
              <w:rPr/>
              <w:t>对投标人根据采购需求【七、其他要求】提供的总体实施方案（包括项目的供货计划及保障措施、安装调试、投标产品运输管理措施、成品保护（包装规范）、质量保证体系及实施情况等），得1分；未提供或未提供完全的，此项及方案响应情况对应采购需求总体实施方案提出要求的响应情况 2均不得分。</w:t>
            </w:r>
          </w:p>
        </w:tc>
      </w:tr>
      <w:tr>
        <w:tc>
          <w:tcPr>
            <w:tcW w:type="dxa" w:w="922"/>
            <w:gridSpan w:val="2"/>
            <w:vMerge/>
          </w:tcPr>
          <w:p/>
        </w:tc>
        <w:tc>
          <w:tcPr>
            <w:tcW w:type="dxa" w:w="2307"/>
          </w:tcPr>
          <w:p>
            <w:pPr>
              <w:pStyle w:val="null3"/>
              <w:jc w:val="left"/>
            </w:pPr>
            <w:r>
              <w:rPr/>
              <w:t>方案响应情况 对应采购需求总体实施方案提出要求的响应情况 2 (4.0分)</w:t>
            </w:r>
          </w:p>
        </w:tc>
        <w:tc>
          <w:tcPr>
            <w:tcW w:type="dxa" w:w="5076"/>
          </w:tcPr>
          <w:p>
            <w:pPr>
              <w:pStyle w:val="null3"/>
              <w:jc w:val="left"/>
            </w:pPr>
            <w:r>
              <w:rPr/>
              <w:t>方案响应情况优于采购需求【七、其他要求】，得4分；完全满足采购需求，得2分；部分满足采购需求，得1分；无或其他情况不得分。</w:t>
            </w:r>
          </w:p>
        </w:tc>
      </w:tr>
      <w:tr>
        <w:tc>
          <w:tcPr>
            <w:tcW w:type="dxa" w:w="922"/>
            <w:gridSpan w:val="2"/>
            <w:vMerge/>
          </w:tcPr>
          <w:p/>
        </w:tc>
        <w:tc>
          <w:tcPr>
            <w:tcW w:type="dxa" w:w="2307"/>
          </w:tcPr>
          <w:p>
            <w:pPr>
              <w:pStyle w:val="null3"/>
              <w:jc w:val="left"/>
            </w:pPr>
            <w:r>
              <w:rPr/>
              <w:t>售后服务方案1 (1.0分)</w:t>
            </w:r>
          </w:p>
        </w:tc>
        <w:tc>
          <w:tcPr>
            <w:tcW w:type="dxa" w:w="5076"/>
          </w:tcPr>
          <w:p>
            <w:pPr>
              <w:pStyle w:val="null3"/>
              <w:jc w:val="left"/>
            </w:pPr>
            <w:r>
              <w:rPr/>
              <w:t>对投标人根据采购需求【九、售后服务】提供售后服务方案（包括投标人针对本项目服务的措施、售后服务的内容、服务响应时间、维修时间、问题的解决方案），得1分；未提供或未提供完全的，此项及售后服务方案2均不得分。</w:t>
            </w:r>
          </w:p>
        </w:tc>
      </w:tr>
      <w:tr>
        <w:tc>
          <w:tcPr>
            <w:tcW w:type="dxa" w:w="922"/>
            <w:gridSpan w:val="2"/>
            <w:vMerge/>
          </w:tcPr>
          <w:p/>
        </w:tc>
        <w:tc>
          <w:tcPr>
            <w:tcW w:type="dxa" w:w="2307"/>
          </w:tcPr>
          <w:p>
            <w:pPr>
              <w:pStyle w:val="null3"/>
              <w:jc w:val="left"/>
            </w:pPr>
            <w:r>
              <w:rPr/>
              <w:t>售后服务方案2 (4.0分)</w:t>
            </w:r>
          </w:p>
        </w:tc>
        <w:tc>
          <w:tcPr>
            <w:tcW w:type="dxa" w:w="5076"/>
          </w:tcPr>
          <w:p>
            <w:pPr>
              <w:pStyle w:val="null3"/>
              <w:jc w:val="left"/>
            </w:pPr>
            <w:r>
              <w:rPr/>
              <w:t>提供的方案优于采购需求【九、售后服务】，得4分；完全满足采购需求，得2分；部分满足采购需求，得1分；无或其他情况不得分。</w:t>
            </w:r>
          </w:p>
        </w:tc>
      </w:tr>
      <w:tr>
        <w:tc>
          <w:tcPr>
            <w:tcW w:type="dxa" w:w="922"/>
            <w:gridSpan w:val="2"/>
            <w:vMerge/>
          </w:tcPr>
          <w:p/>
        </w:tc>
        <w:tc>
          <w:tcPr>
            <w:tcW w:type="dxa" w:w="2307"/>
          </w:tcPr>
          <w:p>
            <w:pPr>
              <w:pStyle w:val="null3"/>
              <w:jc w:val="left"/>
            </w:pPr>
            <w:r>
              <w:rPr/>
              <w:t>样品评审 (6.0分)</w:t>
            </w:r>
          </w:p>
        </w:tc>
        <w:tc>
          <w:tcPr>
            <w:tcW w:type="dxa" w:w="5076"/>
          </w:tcPr>
          <w:p>
            <w:pPr>
              <w:pStyle w:val="null3"/>
              <w:jc w:val="left"/>
            </w:pPr>
            <w:r>
              <w:rPr/>
              <w:t>1.提供成品样品： （1）样品整体设计实用，样式新颖，结构稳定牢固，细节到位、防滑、涂层无气孔、无裂纹、气味正常、配件与其他材质拼接严密，优于或满足采购需求的，得6分； （2）样品整体设计较实用新颖，结构较稳定牢固，细节较到位，但在防滑或涂层或裂纹或气味或配件与其他材质拼接方面存在不足，部分满足采购需求的，得3分； 样品整体设计不够实用，结构稳固性差，样品细节差、涂层有气孔或裂纹、刺激性异味明显、配件与其他材质拼接不够严密，得1分； （3）未提供或其他得0分 【注：投标人需按采购需求“（二）投标样品要求”中的投标样品清单及规格技术要求提供投标样品，否则该项不得分】</w:t>
            </w:r>
          </w:p>
        </w:tc>
      </w:tr>
      <w:tr>
        <w:tc>
          <w:tcPr>
            <w:tcW w:type="dxa" w:w="922"/>
            <w:gridSpan w:val="2"/>
            <w:vMerge/>
          </w:tcPr>
          <w:p/>
        </w:tc>
        <w:tc>
          <w:tcPr>
            <w:tcW w:type="dxa" w:w="2307"/>
          </w:tcPr>
          <w:p>
            <w:pPr>
              <w:pStyle w:val="null3"/>
              <w:jc w:val="left"/>
            </w:pPr>
            <w:r>
              <w:rPr/>
              <w:t>软件演示评审 (9.0分)</w:t>
            </w:r>
          </w:p>
        </w:tc>
        <w:tc>
          <w:tcPr>
            <w:tcW w:type="dxa" w:w="5076"/>
          </w:tcPr>
          <w:p>
            <w:pPr>
              <w:pStyle w:val="null3"/>
              <w:jc w:val="left"/>
            </w:pPr>
            <w:r>
              <w:rPr/>
              <w:t>锁软件演示部分：每满足1条得3分，共9分 （1）、提供刷脸终端、12路门锁控智主板、12V 门锁等硬件，演示物联网中台，自定义智能设备产品类型，定义标准物联网通信协议，如：MQTT、CoAP、WebSocket等；可以定义产品类型的数据模型，实现以后物联生态接入的可扩展性和兼容性；可以实现平台的OTA升级物联网关和终端设备的固件，满足硬件功能的持续迭代改进，查看升级历史和已升级设备；可以配置数字证书，保障物联网通讯安全；演示平台提供基础设备管理功能以连接，支持百万级设备并发连接、支持网关模式、网络直连模式、第三方管理平台API接口对接模式以及中间库对接模式等多种方式融合。 （2）、演示平台OTA版本管理和下发，实现设备的自动进化，物联终端设备固件统一管理；演示物联网网关内置管理应用功能,演示子母网关配置，包括子母模式、物联平台地址、EMQX地址等，配置可以支持导入导出，子网关下挂设备统一在母网关管理页面进行查看和管理；注册各终端设备类型，选择串口和心跳频率；网关设备可查看RS485串口设备、子母网关各下挂智能设备；查看每个物联通讯节点的通讯发送数据包数、接收数据包数，计算数据通讯丢包率，以判断物联通讯稳定性，提供系统运维服务能力。 （3）、通过物联网关实现接管设备的智能托管策略，可实现设备定时控制、联动控制，通过物联网控制终端可以控制空调系统、电源系统，可以实现策略联动控制，支持脱机离线策略联动和托管运行和设备实时状态监测功能。</w:t>
            </w:r>
          </w:p>
        </w:tc>
      </w:tr>
      <w:tr>
        <w:tc>
          <w:tcPr>
            <w:tcW w:type="dxa" w:w="922"/>
            <w:gridSpan w:val="2"/>
            <w:vMerge w:val="restart"/>
          </w:tcPr>
          <w:p>
            <w:pPr>
              <w:pStyle w:val="null3"/>
              <w:jc w:val="center"/>
            </w:pPr>
            <w:r>
              <w:rPr/>
              <w:t>商务部分</w:t>
            </w:r>
          </w:p>
        </w:tc>
        <w:tc>
          <w:tcPr>
            <w:tcW w:type="dxa" w:w="2307"/>
          </w:tcPr>
          <w:p>
            <w:pPr>
              <w:pStyle w:val="null3"/>
              <w:jc w:val="left"/>
            </w:pPr>
            <w:r>
              <w:rPr/>
              <w:t>家具类项目业绩（分支机构投标的，总公司（总所）业绩可纳入评审） (3.0分)</w:t>
            </w:r>
          </w:p>
        </w:tc>
        <w:tc>
          <w:tcPr>
            <w:tcW w:type="dxa" w:w="5076"/>
          </w:tcPr>
          <w:p>
            <w:pPr>
              <w:pStyle w:val="null3"/>
              <w:jc w:val="left"/>
            </w:pPr>
            <w:r>
              <w:rPr/>
              <w:t>投标人自2022年1月1日以来承接家具类项目经验：每项业绩得0.5分，最高得3分（以合同签订时间为准）。 注：须提供合同关键页扫描件作为证明材料（合同关键页包括合同首页、合同标的、盖章页、签订日期）。</w:t>
            </w:r>
          </w:p>
        </w:tc>
      </w:tr>
      <w:tr>
        <w:tc>
          <w:tcPr>
            <w:tcW w:type="dxa" w:w="922"/>
            <w:gridSpan w:val="2"/>
            <w:vMerge/>
          </w:tcPr>
          <w:p/>
        </w:tc>
        <w:tc>
          <w:tcPr>
            <w:tcW w:type="dxa" w:w="2307"/>
          </w:tcPr>
          <w:p>
            <w:pPr>
              <w:pStyle w:val="null3"/>
              <w:jc w:val="left"/>
            </w:pPr>
            <w:r>
              <w:rPr/>
              <w:t>认证证书 (3.0分)</w:t>
            </w:r>
          </w:p>
        </w:tc>
        <w:tc>
          <w:tcPr>
            <w:tcW w:type="dxa" w:w="5076"/>
          </w:tcPr>
          <w:p>
            <w:pPr>
              <w:pStyle w:val="null3"/>
              <w:jc w:val="left"/>
            </w:pPr>
            <w:r>
              <w:rPr/>
              <w:t>投标人提供如下认证证书: 1、质量管理体系认证证书。2、环境管理体系认证证书3、职业健康安全管理体系认证证书（每提供一份证书得1分，最高得3分）； 注：提供相应的认证扫描件，全国认证认可信息公共服务平台官网（http://cx.cnca.cn/)或者国家认证认可监督管理委员会官方（http://www. cnca. gov. cn/ ）网址有效查询结果截图，否则本项不计分。</w:t>
            </w:r>
          </w:p>
        </w:tc>
      </w:tr>
      <w:tr>
        <w:tc>
          <w:tcPr>
            <w:tcW w:type="dxa" w:w="922"/>
            <w:gridSpan w:val="2"/>
            <w:vMerge/>
          </w:tcPr>
          <w:p/>
        </w:tc>
        <w:tc>
          <w:tcPr>
            <w:tcW w:type="dxa" w:w="2307"/>
          </w:tcPr>
          <w:p>
            <w:pPr>
              <w:pStyle w:val="null3"/>
              <w:jc w:val="left"/>
            </w:pPr>
            <w:r>
              <w:rPr/>
              <w:t>对非重大违法违规记录的扣分 (3.0分)</w:t>
            </w:r>
          </w:p>
        </w:tc>
        <w:tc>
          <w:tcPr>
            <w:tcW w:type="dxa" w:w="5076"/>
          </w:tcPr>
          <w:p>
            <w:pPr>
              <w:pStyle w:val="null3"/>
              <w:jc w:val="left"/>
            </w:pPr>
            <w:r>
              <w:rPr/>
              <w:t>以“信用中国”（www.creditchina.gov.cn）网站为查询渠道：对列入行政处罚或经营异常的投标人每一条记录扣0.5分，最高扣3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b/>
        </w:rPr>
        <w:t xml:space="preserve"> </w:t>
      </w:r>
    </w:p>
    <w:p>
      <w:pPr>
        <w:pStyle w:val="null3"/>
        <w:jc w:val="center"/>
      </w:pPr>
      <w:r>
        <w:rPr>
          <w:b/>
        </w:rPr>
        <w:t xml:space="preserve"> </w:t>
      </w:r>
    </w:p>
    <w:p>
      <w:pPr>
        <w:pStyle w:val="null3"/>
        <w:jc w:val="center"/>
      </w:pPr>
      <w:r>
        <w:rPr>
          <w:b/>
        </w:rPr>
        <w:t xml:space="preserve"> </w:t>
      </w:r>
    </w:p>
    <w:p>
      <w:pPr>
        <w:pStyle w:val="null3"/>
        <w:jc w:val="center"/>
      </w:pPr>
      <w:r>
        <w:rPr>
          <w:sz w:val="48"/>
          <w:b/>
        </w:rPr>
        <w:t>广东省政府采购</w:t>
      </w:r>
    </w:p>
    <w:p>
      <w:pPr>
        <w:pStyle w:val="null3"/>
        <w:jc w:val="both"/>
      </w:pPr>
      <w:r>
        <w:rPr>
          <w:b/>
        </w:rPr>
        <w:t xml:space="preserve"> </w:t>
      </w:r>
    </w:p>
    <w:p>
      <w:pPr>
        <w:pStyle w:val="null3"/>
        <w:jc w:val="center"/>
      </w:pPr>
      <w:r>
        <w:rPr>
          <w:sz w:val="48"/>
          <w:b/>
        </w:rPr>
        <w:t>合　同　书</w:t>
      </w:r>
    </w:p>
    <w:p>
      <w:pPr>
        <w:pStyle w:val="null3"/>
        <w:jc w:val="center"/>
      </w:pPr>
      <w:r>
        <w:rPr/>
        <w:t>（本合同为中小企业预留合同）</w:t>
      </w:r>
    </w:p>
    <w:p>
      <w:pPr>
        <w:pStyle w:val="null3"/>
        <w:jc w:val="center"/>
      </w:pPr>
      <w:r>
        <w:rPr/>
        <w:t xml:space="preserve"> </w:t>
      </w:r>
    </w:p>
    <w:p>
      <w:pPr>
        <w:pStyle w:val="null3"/>
        <w:jc w:val="center"/>
      </w:pPr>
      <w:r>
        <w:rPr>
          <w:sz w:val="28"/>
          <w:color w:val="222222"/>
        </w:rPr>
        <w:t>采购计划编号：</w:t>
      </w:r>
      <w:r>
        <w:rPr>
          <w:u w:val="single"/>
        </w:rPr>
        <w:t xml:space="preserve">                          </w:t>
      </w:r>
    </w:p>
    <w:p>
      <w:pPr>
        <w:pStyle w:val="null3"/>
        <w:spacing w:before="150" w:after="150"/>
        <w:jc w:val="both"/>
      </w:pPr>
      <w:r>
        <w:rPr/>
        <w:t xml:space="preserve"> </w:t>
      </w:r>
    </w:p>
    <w:p>
      <w:pPr>
        <w:pStyle w:val="null3"/>
        <w:jc w:val="center"/>
      </w:pPr>
      <w:r>
        <w:rPr>
          <w:sz w:val="28"/>
          <w:color w:val="222222"/>
        </w:rPr>
        <w:t>项目编号：</w:t>
      </w:r>
      <w:r>
        <w:rPr>
          <w:u w:val="single"/>
        </w:rPr>
        <w:t xml:space="preserve">                                    </w:t>
      </w:r>
    </w:p>
    <w:p>
      <w:pPr>
        <w:pStyle w:val="null3"/>
        <w:spacing w:before="150" w:after="150"/>
        <w:jc w:val="both"/>
      </w:pPr>
      <w:r>
        <w:rPr/>
        <w:t xml:space="preserve"> </w:t>
      </w:r>
    </w:p>
    <w:p>
      <w:pPr>
        <w:pStyle w:val="null3"/>
        <w:jc w:val="center"/>
      </w:pPr>
      <w:r>
        <w:rPr>
          <w:sz w:val="28"/>
          <w:color w:val="222222"/>
        </w:rPr>
        <w:t>项目名称：</w:t>
      </w:r>
      <w:r>
        <w:rPr>
          <w:u w:val="single"/>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sz w:val="27"/>
          <w:b/>
        </w:rPr>
        <w:t>甲　　方：</w:t>
      </w:r>
    </w:p>
    <w:p>
      <w:pPr>
        <w:pStyle w:val="null3"/>
        <w:jc w:val="both"/>
      </w:pPr>
      <w:r>
        <w:rPr>
          <w:sz w:val="27"/>
        </w:rPr>
        <w:t>电　　话：</w:t>
      </w:r>
      <w:r>
        <w:rPr>
          <w:sz w:val="27"/>
        </w:rPr>
        <w:t>　　传　　真：</w:t>
      </w:r>
      <w:r>
        <w:rPr>
          <w:sz w:val="27"/>
        </w:rPr>
        <w:t>　　地　　址：</w:t>
      </w:r>
    </w:p>
    <w:p>
      <w:pPr>
        <w:pStyle w:val="null3"/>
        <w:jc w:val="both"/>
      </w:pPr>
      <w:r>
        <w:rPr>
          <w:sz w:val="27"/>
          <w:b/>
        </w:rPr>
        <w:t>乙　　方：</w:t>
      </w:r>
    </w:p>
    <w:p>
      <w:pPr>
        <w:pStyle w:val="null3"/>
        <w:jc w:val="both"/>
      </w:pPr>
      <w:r>
        <w:rPr>
          <w:sz w:val="27"/>
        </w:rPr>
        <w:t>电　　话：</w:t>
      </w:r>
      <w:r>
        <w:rPr>
          <w:sz w:val="27"/>
        </w:rPr>
        <w:t>　　传　　真：</w:t>
      </w:r>
      <w:r>
        <w:rPr>
          <w:sz w:val="27"/>
        </w:rPr>
        <w:t>　　地　　址：</w:t>
      </w:r>
    </w:p>
    <w:p>
      <w:pPr>
        <w:pStyle w:val="null3"/>
        <w:jc w:val="both"/>
      </w:pPr>
      <w:r>
        <w:rPr/>
        <w:t xml:space="preserve"> </w:t>
      </w:r>
    </w:p>
    <w:p>
      <w:pPr>
        <w:pStyle w:val="null3"/>
        <w:ind w:firstLine="404"/>
        <w:jc w:val="both"/>
      </w:pPr>
      <w:r>
        <w:rPr>
          <w:sz w:val="27"/>
        </w:rPr>
        <w:t>根据</w:t>
      </w:r>
      <w:r>
        <w:rPr>
          <w:sz w:val="27"/>
          <w:u w:val="single"/>
        </w:rPr>
        <w:t xml:space="preserve">              </w:t>
      </w:r>
      <w:r>
        <w:rPr>
          <w:sz w:val="27"/>
          <w:u w:val="single"/>
        </w:rPr>
        <w:t>项目</w:t>
      </w:r>
      <w:r>
        <w:rPr>
          <w:sz w:val="27"/>
        </w:rPr>
        <w:t>的采购结果，按照《中华人民共和国政府采购法》、《中华人民共和国民法典</w:t>
      </w:r>
      <w:r>
        <w:rPr>
          <w:sz w:val="27"/>
        </w:rPr>
        <w:t>(</w:t>
      </w:r>
      <w:r>
        <w:rPr>
          <w:sz w:val="27"/>
        </w:rPr>
        <w:t>合同编</w:t>
      </w:r>
      <w:r>
        <w:rPr>
          <w:sz w:val="27"/>
        </w:rPr>
        <w:t>)</w:t>
      </w:r>
      <w:r>
        <w:rPr>
          <w:sz w:val="27"/>
        </w:rPr>
        <w:t>》的规定，经双方协商，本着平等互利和诚实信用的原则，一致同意签订本合同如下。</w:t>
      </w:r>
    </w:p>
    <w:p>
      <w:pPr>
        <w:pStyle w:val="null3"/>
        <w:ind w:left="1095"/>
        <w:jc w:val="both"/>
      </w:pPr>
      <w:r>
        <w:rPr>
          <w:sz w:val="27"/>
          <w:b/>
        </w:rPr>
        <w:t>一、货物内容</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793"/>
        <w:gridCol w:w="4032"/>
        <w:gridCol w:w="793"/>
        <w:gridCol w:w="534"/>
        <w:gridCol w:w="534"/>
        <w:gridCol w:w="810"/>
        <w:gridCol w:w="810"/>
      </w:tblGrid>
      <w:tr>
        <w:tc>
          <w:tcPr>
            <w:tcW w:type="dxa" w:w="793"/>
            <w:tcBorders>
              <w:top w:val="single" w:color="CCCCCC" w:sz="4"/>
              <w:left w:val="single" w:color="CCCCCC" w:sz="4"/>
              <w:bottom w:val="single" w:color="CCCCCC" w:sz="4"/>
              <w:right w:val="single" w:color="CCCCCC" w:sz="4"/>
            </w:tcBorders>
            <w:tcMar>
              <w:top w:type="dxa" w:w="30"/>
              <w:left w:type="dxa" w:w="60"/>
              <w:bottom w:type="dxa" w:w="30"/>
              <w:right w:type="dxa" w:w="60"/>
            </w:tcMar>
            <w:vAlign w:val="top"/>
          </w:tcPr>
          <w:p>
            <w:pPr>
              <w:pStyle w:val="null3"/>
              <w:jc w:val="both"/>
            </w:pPr>
            <w:r>
              <w:rPr>
                <w:sz w:val="24"/>
              </w:rPr>
              <w:t>名称</w:t>
            </w:r>
          </w:p>
        </w:tc>
        <w:tc>
          <w:tcPr>
            <w:tcW w:type="dxa" w:w="4032"/>
            <w:tcBorders>
              <w:top w:val="single" w:color="CCCCCC" w:sz="4"/>
              <w:left w:val="single" w:color="000000" w:sz="4"/>
              <w:bottom w:val="single" w:color="CCCCCC" w:sz="4"/>
              <w:right w:val="single" w:color="CCCCCC" w:sz="4"/>
            </w:tcBorders>
            <w:tcMar>
              <w:top w:type="dxa" w:w="30"/>
              <w:left w:type="dxa" w:w="75"/>
              <w:bottom w:type="dxa" w:w="30"/>
              <w:right w:type="dxa" w:w="60"/>
            </w:tcMar>
            <w:vAlign w:val="top"/>
          </w:tcPr>
          <w:p>
            <w:pPr>
              <w:pStyle w:val="null3"/>
              <w:jc w:val="center"/>
            </w:pPr>
            <w:r>
              <w:rPr>
                <w:sz w:val="24"/>
              </w:rPr>
              <w:t>品牌、规格、标准</w:t>
            </w:r>
            <w:r>
              <w:rPr>
                <w:sz w:val="24"/>
              </w:rPr>
              <w:t>/</w:t>
            </w:r>
            <w:r>
              <w:rPr>
                <w:sz w:val="24"/>
              </w:rPr>
              <w:t>主要服务内容</w:t>
            </w:r>
          </w:p>
        </w:tc>
        <w:tc>
          <w:tcPr>
            <w:tcW w:type="dxa" w:w="793"/>
            <w:tcBorders>
              <w:top w:val="single" w:color="CCCCCC" w:sz="4"/>
              <w:left w:val="single" w:color="000000" w:sz="4"/>
              <w:bottom w:val="single" w:color="CCCCCC" w:sz="4"/>
              <w:right w:val="single" w:color="CCCCCC" w:sz="4"/>
            </w:tcBorders>
            <w:tcMar>
              <w:top w:type="dxa" w:w="30"/>
              <w:left w:type="dxa" w:w="75"/>
              <w:bottom w:type="dxa" w:w="30"/>
              <w:right w:type="dxa" w:w="60"/>
            </w:tcMar>
            <w:vAlign w:val="top"/>
          </w:tcPr>
          <w:p>
            <w:pPr>
              <w:pStyle w:val="null3"/>
              <w:jc w:val="both"/>
            </w:pPr>
            <w:r>
              <w:rPr>
                <w:sz w:val="24"/>
              </w:rPr>
              <w:t>产地</w:t>
            </w:r>
          </w:p>
        </w:tc>
        <w:tc>
          <w:tcPr>
            <w:tcW w:type="dxa" w:w="534"/>
            <w:tcBorders>
              <w:top w:val="single" w:color="CCCCCC" w:sz="4"/>
              <w:left w:val="single" w:color="000000" w:sz="4"/>
              <w:bottom w:val="single" w:color="CCCCCC" w:sz="4"/>
              <w:right w:val="single" w:color="CCCCCC" w:sz="4"/>
            </w:tcBorders>
            <w:tcMar>
              <w:top w:type="dxa" w:w="30"/>
              <w:left w:type="dxa" w:w="75"/>
              <w:bottom w:type="dxa" w:w="30"/>
              <w:right w:type="dxa" w:w="60"/>
            </w:tcMar>
            <w:vAlign w:val="top"/>
          </w:tcPr>
          <w:p>
            <w:pPr>
              <w:pStyle w:val="null3"/>
              <w:spacing w:before="150" w:after="150"/>
              <w:jc w:val="center"/>
            </w:pPr>
            <w:r>
              <w:rPr>
                <w:sz w:val="24"/>
              </w:rPr>
              <w:t>数量</w:t>
            </w:r>
          </w:p>
        </w:tc>
        <w:tc>
          <w:tcPr>
            <w:tcW w:type="dxa" w:w="534"/>
            <w:tcBorders>
              <w:top w:val="single" w:color="CCCCCC" w:sz="4"/>
              <w:left w:val="single" w:color="000000" w:sz="4"/>
              <w:bottom w:val="single" w:color="CCCCCC" w:sz="4"/>
              <w:right w:val="single" w:color="CCCCCC" w:sz="4"/>
            </w:tcBorders>
            <w:tcMar>
              <w:top w:type="dxa" w:w="30"/>
              <w:left w:type="dxa" w:w="75"/>
              <w:bottom w:type="dxa" w:w="30"/>
              <w:right w:type="dxa" w:w="60"/>
            </w:tcMar>
            <w:vAlign w:val="top"/>
          </w:tcPr>
          <w:p>
            <w:pPr>
              <w:pStyle w:val="null3"/>
              <w:jc w:val="center"/>
            </w:pPr>
            <w:r>
              <w:rPr>
                <w:sz w:val="24"/>
              </w:rPr>
              <w:t>单位</w:t>
            </w:r>
          </w:p>
        </w:tc>
        <w:tc>
          <w:tcPr>
            <w:tcW w:type="dxa" w:w="810"/>
            <w:tcBorders>
              <w:top w:val="single" w:color="CCCCCC" w:sz="4"/>
              <w:left w:val="single" w:color="000000" w:sz="4"/>
              <w:bottom w:val="single" w:color="CCCCCC" w:sz="4"/>
              <w:right w:val="single" w:color="CCCCCC" w:sz="4"/>
            </w:tcBorders>
            <w:tcMar>
              <w:top w:type="dxa" w:w="30"/>
              <w:left w:type="dxa" w:w="75"/>
              <w:bottom w:type="dxa" w:w="30"/>
              <w:right w:type="dxa" w:w="60"/>
            </w:tcMar>
            <w:vAlign w:val="top"/>
          </w:tcPr>
          <w:p>
            <w:pPr>
              <w:pStyle w:val="null3"/>
              <w:jc w:val="center"/>
            </w:pPr>
            <w:r>
              <w:rPr>
                <w:sz w:val="24"/>
              </w:rPr>
              <w:t>单价</w:t>
            </w:r>
          </w:p>
          <w:p>
            <w:pPr>
              <w:pStyle w:val="null3"/>
              <w:jc w:val="center"/>
            </w:pPr>
            <w:r>
              <w:rPr>
                <w:sz w:val="24"/>
              </w:rPr>
              <w:t>（元）</w:t>
            </w:r>
          </w:p>
        </w:tc>
        <w:tc>
          <w:tcPr>
            <w:tcW w:type="dxa" w:w="810"/>
            <w:tcBorders>
              <w:top w:val="single" w:color="CCCCCC" w:sz="4"/>
              <w:left w:val="single" w:color="000000" w:sz="4"/>
              <w:bottom w:val="single" w:color="CCCCCC" w:sz="4"/>
              <w:right w:val="single" w:color="CCCCCC" w:sz="4"/>
            </w:tcBorders>
            <w:tcMar>
              <w:top w:type="dxa" w:w="30"/>
              <w:left w:type="dxa" w:w="75"/>
              <w:bottom w:type="dxa" w:w="30"/>
              <w:right w:type="dxa" w:w="60"/>
            </w:tcMar>
            <w:vAlign w:val="top"/>
          </w:tcPr>
          <w:p>
            <w:pPr>
              <w:pStyle w:val="null3"/>
              <w:jc w:val="center"/>
            </w:pPr>
            <w:r>
              <w:rPr>
                <w:sz w:val="24"/>
              </w:rPr>
              <w:t>金额</w:t>
            </w:r>
          </w:p>
          <w:p>
            <w:pPr>
              <w:pStyle w:val="null3"/>
              <w:jc w:val="center"/>
            </w:pPr>
            <w:r>
              <w:rPr>
                <w:sz w:val="24"/>
              </w:rPr>
              <w:t>（元）</w:t>
            </w:r>
          </w:p>
        </w:tc>
      </w:tr>
      <w:tr>
        <w:tc>
          <w:tcPr>
            <w:tcW w:type="dxa" w:w="793"/>
            <w:tcBorders>
              <w:top w:val="singl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jc w:val="center"/>
            </w:pPr>
            <w:r>
              <w:rPr>
                <w:sz w:val="24"/>
              </w:rPr>
              <w:t xml:space="preserve"> </w:t>
            </w:r>
            <w:r>
              <w:rPr>
                <w:sz w:val="24"/>
              </w:rPr>
              <w:t>**</w:t>
            </w:r>
          </w:p>
        </w:tc>
        <w:tc>
          <w:tcPr>
            <w:tcW w:type="dxa" w:w="4032"/>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4"/>
              </w:rPr>
              <w:t>**</w:t>
            </w:r>
          </w:p>
        </w:tc>
        <w:tc>
          <w:tcPr>
            <w:tcW w:type="dxa" w:w="793"/>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4"/>
              </w:rPr>
              <w:t>**</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4"/>
              </w:rPr>
              <w:t>**</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4"/>
              </w:rPr>
              <w:t>**</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4"/>
              </w:rPr>
              <w:t xml:space="preserve"> </w:t>
            </w:r>
            <w:r>
              <w:rPr>
                <w:sz w:val="24"/>
              </w:rPr>
              <w:t>**</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4"/>
              </w:rPr>
              <w:t>**</w:t>
            </w:r>
          </w:p>
        </w:tc>
      </w:tr>
      <w:tr>
        <w:tc>
          <w:tcPr>
            <w:tcW w:type="dxa" w:w="793"/>
            <w:tcBorders>
              <w:top w:val="singl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jc w:val="center"/>
            </w:pPr>
            <w:r>
              <w:rPr>
                <w:sz w:val="19"/>
              </w:rPr>
              <w:t xml:space="preserve"> </w:t>
            </w:r>
          </w:p>
        </w:tc>
        <w:tc>
          <w:tcPr>
            <w:tcW w:type="dxa" w:w="4032"/>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793"/>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r>
      <w:tr>
        <w:tc>
          <w:tcPr>
            <w:tcW w:type="dxa" w:w="793"/>
            <w:tcBorders>
              <w:top w:val="singl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jc w:val="center"/>
            </w:pPr>
            <w:r>
              <w:rPr>
                <w:sz w:val="19"/>
              </w:rPr>
              <w:t xml:space="preserve"> </w:t>
            </w:r>
          </w:p>
        </w:tc>
        <w:tc>
          <w:tcPr>
            <w:tcW w:type="dxa" w:w="4032"/>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793"/>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r>
      <w:tr>
        <w:tc>
          <w:tcPr>
            <w:tcW w:type="dxa" w:w="793"/>
            <w:tcBorders>
              <w:top w:val="singl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jc w:val="center"/>
            </w:pPr>
            <w:r>
              <w:rPr>
                <w:sz w:val="19"/>
              </w:rPr>
              <w:t xml:space="preserve"> </w:t>
            </w:r>
          </w:p>
        </w:tc>
        <w:tc>
          <w:tcPr>
            <w:tcW w:type="dxa" w:w="4032"/>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793"/>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r>
      <w:tr>
        <w:tc>
          <w:tcPr>
            <w:tcW w:type="dxa" w:w="793"/>
            <w:tcBorders>
              <w:top w:val="singl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jc w:val="center"/>
            </w:pPr>
            <w:r>
              <w:rPr>
                <w:sz w:val="19"/>
              </w:rPr>
              <w:t xml:space="preserve"> </w:t>
            </w:r>
          </w:p>
        </w:tc>
        <w:tc>
          <w:tcPr>
            <w:tcW w:type="dxa" w:w="4032"/>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793"/>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r>
      <w:tr>
        <w:tc>
          <w:tcPr>
            <w:tcW w:type="dxa" w:w="7496"/>
            <w:gridSpan w:val="6"/>
            <w:tcBorders>
              <w:top w:val="singl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spacing w:before="150" w:after="150"/>
              <w:jc w:val="center"/>
            </w:pPr>
            <w:r>
              <w:rPr>
                <w:sz w:val="24"/>
              </w:rPr>
              <w:t>合计：人民币大写：</w:t>
            </w:r>
            <w:r>
              <w:rPr>
                <w:sz w:val="24"/>
              </w:rPr>
              <w:t>**</w:t>
            </w:r>
            <w:r>
              <w:rPr>
                <w:sz w:val="24"/>
              </w:rPr>
              <w:t>元整</w:t>
            </w:r>
          </w:p>
        </w:tc>
        <w:tc>
          <w:tcPr>
            <w:tcW w:type="dxa" w:w="810"/>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4"/>
              </w:rPr>
              <w:t>￥：</w:t>
            </w:r>
            <w:r>
              <w:rPr>
                <w:sz w:val="24"/>
              </w:rPr>
              <w:t>**</w:t>
            </w:r>
          </w:p>
        </w:tc>
      </w:tr>
      <w:tr>
        <w:tc>
          <w:tcPr>
            <w:tcW w:type="dxa" w:w="7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9"/>
              </w:rPr>
              <w:t xml:space="preserve"> </w:t>
            </w:r>
          </w:p>
        </w:tc>
        <w:tc>
          <w:tcPr>
            <w:tcW w:type="dxa" w:w="403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9"/>
              </w:rPr>
              <w:t xml:space="preserve"> </w:t>
            </w:r>
          </w:p>
        </w:tc>
        <w:tc>
          <w:tcPr>
            <w:tcW w:type="dxa" w:w="7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9"/>
              </w:rPr>
              <w:t xml:space="preserve"> </w:t>
            </w:r>
          </w:p>
        </w:tc>
        <w:tc>
          <w:tcPr>
            <w:tcW w:type="dxa" w:w="5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9"/>
              </w:rPr>
              <w:t xml:space="preserve"> </w:t>
            </w:r>
          </w:p>
        </w:tc>
        <w:tc>
          <w:tcPr>
            <w:tcW w:type="dxa" w:w="5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9"/>
              </w:rPr>
              <w:t xml:space="preserve"> </w:t>
            </w:r>
          </w:p>
        </w:tc>
        <w:tc>
          <w:tcPr>
            <w:tcW w:type="dxa" w:w="8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9"/>
              </w:rPr>
              <w:t xml:space="preserve"> </w:t>
            </w:r>
          </w:p>
        </w:tc>
        <w:tc>
          <w:tcPr>
            <w:tcW w:type="dxa" w:w="8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9"/>
              </w:rPr>
              <w:t xml:space="preserve"> </w:t>
            </w:r>
          </w:p>
        </w:tc>
      </w:tr>
    </w:tbl>
    <w:p>
      <w:pPr>
        <w:pStyle w:val="null3"/>
        <w:jc w:val="both"/>
      </w:pPr>
      <w:r>
        <w:rPr/>
        <w:t xml:space="preserve"> </w:t>
      </w:r>
    </w:p>
    <w:p>
      <w:pPr>
        <w:pStyle w:val="null3"/>
        <w:ind w:firstLine="400"/>
        <w:jc w:val="both"/>
      </w:pPr>
      <w:r>
        <w:rPr>
          <w:sz w:val="27"/>
        </w:rPr>
        <w:t>合同总额包括乙方设计、安装、随机零配件、标配工具、运输保险、调试、培训、质保期服务、各项税费及合同实施过程中不可预见费用等。</w:t>
      </w:r>
    </w:p>
    <w:p>
      <w:pPr>
        <w:pStyle w:val="null3"/>
        <w:ind w:firstLine="400"/>
        <w:jc w:val="both"/>
      </w:pPr>
      <w:r>
        <w:rPr>
          <w:sz w:val="27"/>
        </w:rPr>
        <w:t>注：货物名称内容必须与投标文件中货物名称内容一致。</w:t>
      </w:r>
    </w:p>
    <w:p>
      <w:pPr>
        <w:pStyle w:val="null3"/>
        <w:ind w:left="1095"/>
        <w:jc w:val="both"/>
      </w:pPr>
      <w:r>
        <w:rPr>
          <w:sz w:val="27"/>
          <w:b/>
        </w:rPr>
        <w:t>二、合同金额</w:t>
      </w:r>
    </w:p>
    <w:p>
      <w:pPr>
        <w:pStyle w:val="null3"/>
        <w:jc w:val="both"/>
      </w:pPr>
      <w:r>
        <w:rPr>
          <w:sz w:val="27"/>
        </w:rPr>
        <w:t>合同金额为（大写）：</w:t>
      </w:r>
      <w:r>
        <w:rPr>
          <w:sz w:val="27"/>
        </w:rPr>
        <w:t>_________________</w:t>
      </w:r>
      <w:r>
        <w:rPr>
          <w:sz w:val="27"/>
        </w:rPr>
        <w:t>元（￥</w:t>
      </w:r>
      <w:r>
        <w:rPr>
          <w:sz w:val="27"/>
        </w:rPr>
        <w:t>_______________</w:t>
      </w:r>
      <w:r>
        <w:rPr>
          <w:sz w:val="27"/>
        </w:rPr>
        <w:t>元）人民币。</w:t>
      </w:r>
    </w:p>
    <w:p>
      <w:pPr>
        <w:pStyle w:val="null3"/>
        <w:ind w:left="1095"/>
        <w:jc w:val="both"/>
      </w:pPr>
      <w:r>
        <w:rPr>
          <w:sz w:val="27"/>
          <w:b/>
        </w:rPr>
        <w:t>三、设备要求</w:t>
      </w:r>
    </w:p>
    <w:p>
      <w:pPr>
        <w:pStyle w:val="null3"/>
        <w:jc w:val="both"/>
      </w:pPr>
      <w:r>
        <w:rPr>
          <w:sz w:val="27"/>
        </w:rPr>
        <w:t>货物为原制造商制造的全新产品，整机无污染，无侵权行为、表面无划损、无任何缺陷隐患，在中国境内可依常规安全合法使用。</w:t>
      </w:r>
    </w:p>
    <w:p>
      <w:pPr>
        <w:pStyle w:val="null3"/>
        <w:ind w:left="1095"/>
        <w:jc w:val="both"/>
      </w:pPr>
      <w:r>
        <w:rPr>
          <w:sz w:val="27"/>
          <w:b/>
        </w:rPr>
        <w:t>四、交货期、交货方式及交货地点</w:t>
      </w:r>
    </w:p>
    <w:p>
      <w:pPr>
        <w:pStyle w:val="null3"/>
        <w:jc w:val="both"/>
      </w:pPr>
      <w:r>
        <w:rPr>
          <w:sz w:val="27"/>
        </w:rPr>
        <w:t xml:space="preserve">        </w:t>
      </w:r>
      <w:r>
        <w:rPr>
          <w:sz w:val="27"/>
        </w:rPr>
        <w:t>1.</w:t>
      </w:r>
      <w:r>
        <w:rPr>
          <w:sz w:val="27"/>
        </w:rPr>
        <w:t>交货期：</w:t>
      </w:r>
    </w:p>
    <w:p>
      <w:pPr>
        <w:pStyle w:val="null3"/>
        <w:jc w:val="both"/>
      </w:pPr>
      <w:r>
        <w:rPr>
          <w:sz w:val="27"/>
        </w:rPr>
        <w:t xml:space="preserve">        </w:t>
      </w:r>
      <w:r>
        <w:rPr>
          <w:sz w:val="27"/>
        </w:rPr>
        <w:t>2.</w:t>
      </w:r>
      <w:r>
        <w:rPr>
          <w:sz w:val="27"/>
        </w:rPr>
        <w:t>交货方式：</w:t>
      </w:r>
    </w:p>
    <w:p>
      <w:pPr>
        <w:pStyle w:val="null3"/>
        <w:jc w:val="both"/>
      </w:pPr>
      <w:r>
        <w:rPr>
          <w:sz w:val="27"/>
        </w:rPr>
        <w:t xml:space="preserve">        </w:t>
      </w:r>
      <w:r>
        <w:rPr>
          <w:sz w:val="27"/>
        </w:rPr>
        <w:t>3.</w:t>
      </w:r>
      <w:r>
        <w:rPr>
          <w:sz w:val="27"/>
        </w:rPr>
        <w:t>交货地点：</w:t>
      </w:r>
    </w:p>
    <w:p>
      <w:pPr>
        <w:pStyle w:val="null3"/>
        <w:ind w:left="1095"/>
        <w:jc w:val="both"/>
      </w:pPr>
      <w:r>
        <w:rPr>
          <w:sz w:val="27"/>
          <w:b/>
        </w:rPr>
        <w:t>五、付款方式</w:t>
      </w:r>
    </w:p>
    <w:p>
      <w:pPr>
        <w:pStyle w:val="null3"/>
        <w:jc w:val="both"/>
      </w:pPr>
      <w:r>
        <w:rPr>
          <w:sz w:val="27"/>
        </w:rPr>
        <w:t>由甲方按下列程序在</w:t>
      </w:r>
      <w:r>
        <w:rPr>
          <w:u w:val="single"/>
        </w:rPr>
        <w:t xml:space="preserve">        </w:t>
      </w:r>
      <w:r>
        <w:rPr>
          <w:sz w:val="27"/>
        </w:rPr>
        <w:t>内付款：</w:t>
      </w:r>
    </w:p>
    <w:p>
      <w:pPr>
        <w:pStyle w:val="null3"/>
        <w:jc w:val="both"/>
      </w:pPr>
      <w:r>
        <w:rPr>
          <w:sz w:val="27"/>
        </w:rPr>
        <w:t>1.</w:t>
      </w:r>
      <w:r>
        <w:rPr>
          <w:sz w:val="27"/>
        </w:rPr>
        <w:t>预付款：签订合同后，支付合同总价的</w:t>
      </w:r>
      <w:r>
        <w:rPr>
          <w:u w:val="single"/>
        </w:rPr>
        <w:t xml:space="preserve">      </w:t>
      </w:r>
      <w:r>
        <w:rPr>
          <w:sz w:val="27"/>
        </w:rPr>
        <w:t>%</w:t>
      </w:r>
      <w:r>
        <w:rPr>
          <w:sz w:val="27"/>
        </w:rPr>
        <w:t>。</w:t>
      </w:r>
    </w:p>
    <w:p>
      <w:pPr>
        <w:pStyle w:val="null3"/>
        <w:jc w:val="both"/>
      </w:pPr>
      <w:r>
        <w:rPr>
          <w:sz w:val="27"/>
        </w:rPr>
        <w:t>2.</w:t>
      </w:r>
      <w:r>
        <w:rPr>
          <w:sz w:val="27"/>
        </w:rPr>
        <w:t>设备安装调试结束，提交全部报告材料，调试完成并验收合格后，支付至合同金额的</w:t>
      </w:r>
      <w:r>
        <w:rPr>
          <w:u w:val="single"/>
        </w:rPr>
        <w:t xml:space="preserve">      </w:t>
      </w:r>
      <w:r>
        <w:rPr>
          <w:sz w:val="27"/>
        </w:rPr>
        <w:t>%</w:t>
      </w:r>
      <w:r>
        <w:rPr>
          <w:sz w:val="27"/>
        </w:rPr>
        <w:t>，同时无息退还乙方的合同履约保证金。</w:t>
      </w:r>
    </w:p>
    <w:p>
      <w:pPr>
        <w:pStyle w:val="null3"/>
        <w:jc w:val="both"/>
      </w:pPr>
      <w:r>
        <w:rPr>
          <w:sz w:val="27"/>
        </w:rPr>
        <w:t>3.</w:t>
      </w:r>
      <w:r>
        <w:rPr>
          <w:sz w:val="27"/>
        </w:rPr>
        <w:t>从验收合格之日起，正常使用</w:t>
      </w:r>
      <w:r>
        <w:rPr>
          <w:u w:val="single"/>
        </w:rPr>
        <w:t xml:space="preserve">     </w:t>
      </w:r>
      <w:r>
        <w:rPr>
          <w:sz w:val="27"/>
        </w:rPr>
        <w:t>个月后，支付合同总价的</w:t>
      </w:r>
      <w:r>
        <w:rPr>
          <w:u w:val="single"/>
        </w:rPr>
        <w:t xml:space="preserve">    </w:t>
      </w:r>
      <w:r>
        <w:rPr>
          <w:sz w:val="27"/>
        </w:rPr>
        <w:t>％。</w:t>
      </w:r>
    </w:p>
    <w:p>
      <w:pPr>
        <w:pStyle w:val="null3"/>
        <w:jc w:val="both"/>
      </w:pPr>
      <w:r>
        <w:rPr>
          <w:sz w:val="27"/>
        </w:rPr>
        <w:t xml:space="preserve">4.   </w:t>
      </w:r>
      <w:r>
        <w:rPr>
          <w:sz w:val="27"/>
        </w:rPr>
        <w:t>对于满足合同约定支付条件的，甲方应当自收到发票后</w:t>
      </w:r>
      <w:r>
        <w:rPr>
          <w:sz w:val="27"/>
        </w:rPr>
        <w:t>30</w:t>
      </w:r>
      <w:r>
        <w:rPr>
          <w:sz w:val="27"/>
        </w:rPr>
        <w:t>日内将资金支付到合同约定的乙方账户，不得以机构变动、人员更替、政策调整等为由延迟付款，不得将采购文件和合同中未规定的义务作为向乙方付款的条件。</w:t>
      </w:r>
    </w:p>
    <w:p>
      <w:pPr>
        <w:pStyle w:val="null3"/>
        <w:ind w:left="1095"/>
        <w:jc w:val="both"/>
      </w:pPr>
      <w:r>
        <w:rPr>
          <w:sz w:val="27"/>
          <w:b/>
        </w:rPr>
        <w:t>六、质保期及售后服务要求</w:t>
      </w:r>
    </w:p>
    <w:p>
      <w:pPr>
        <w:pStyle w:val="null3"/>
        <w:jc w:val="both"/>
      </w:pPr>
      <w:r>
        <w:rPr>
          <w:sz w:val="27"/>
        </w:rPr>
        <w:t>1.</w:t>
      </w:r>
      <w:r>
        <w:rPr>
          <w:sz w:val="27"/>
        </w:rPr>
        <w:t>本合同的质量保证期（简称“质保期”）为</w:t>
      </w:r>
      <w:r>
        <w:rPr>
          <w:u w:val="single"/>
        </w:rPr>
        <w:t xml:space="preserve">     </w:t>
      </w:r>
      <w:r>
        <w:rPr>
          <w:sz w:val="27"/>
        </w:rPr>
        <w:t>年，质保期内乙方对所供货物实行包修、包换、包退及合同约定的其它事项，期满后可同时提供终身</w:t>
      </w:r>
      <w:r>
        <w:rPr>
          <w:sz w:val="27"/>
          <w:u w:val="single"/>
        </w:rPr>
        <w:t>(</w:t>
      </w:r>
      <w:r>
        <w:rPr>
          <w:sz w:val="27"/>
          <w:u w:val="single"/>
        </w:rPr>
        <w:t>免费</w:t>
      </w:r>
      <w:r>
        <w:rPr>
          <w:sz w:val="27"/>
          <w:u w:val="single"/>
        </w:rPr>
        <w:t>/</w:t>
      </w:r>
      <w:r>
        <w:rPr>
          <w:sz w:val="27"/>
          <w:u w:val="single"/>
        </w:rPr>
        <w:t>有偿</w:t>
      </w:r>
      <w:r>
        <w:rPr>
          <w:sz w:val="27"/>
          <w:u w:val="single"/>
        </w:rPr>
        <w:t>)</w:t>
      </w:r>
      <w:r>
        <w:rPr>
          <w:sz w:val="27"/>
        </w:rPr>
        <w:t>维修保养服务。</w:t>
      </w:r>
    </w:p>
    <w:p>
      <w:pPr>
        <w:pStyle w:val="null3"/>
        <w:jc w:val="both"/>
      </w:pPr>
      <w:r>
        <w:rPr>
          <w:sz w:val="27"/>
        </w:rPr>
        <w:t>2.</w:t>
      </w:r>
      <w:r>
        <w:rPr>
          <w:sz w:val="27"/>
        </w:rPr>
        <w:t>质保期内，如设备或零部件因质量原因出现故障而造成短期停用时，则质保期和免费维修期相应顺延。如停用时间累计超过</w:t>
      </w:r>
      <w:r>
        <w:rPr>
          <w:sz w:val="27"/>
        </w:rPr>
        <w:t>60</w:t>
      </w:r>
      <w:r>
        <w:rPr>
          <w:sz w:val="27"/>
        </w:rPr>
        <w:t>天则质保期重新计算。</w:t>
      </w:r>
    </w:p>
    <w:p>
      <w:pPr>
        <w:pStyle w:val="null3"/>
        <w:jc w:val="both"/>
      </w:pPr>
      <w:r>
        <w:rPr>
          <w:sz w:val="27"/>
        </w:rPr>
        <w:t>3.</w:t>
      </w:r>
      <w:r>
        <w:rPr>
          <w:sz w:val="27"/>
        </w:rPr>
        <w:t>对甲方的服务通知，乙方在接报后</w:t>
      </w:r>
      <w:r>
        <w:rPr>
          <w:sz w:val="27"/>
        </w:rPr>
        <w:t>1</w:t>
      </w:r>
      <w:r>
        <w:rPr>
          <w:sz w:val="27"/>
        </w:rPr>
        <w:t>小时内响应，</w:t>
      </w:r>
      <w:r>
        <w:rPr>
          <w:sz w:val="27"/>
        </w:rPr>
        <w:t>4</w:t>
      </w:r>
      <w:r>
        <w:rPr>
          <w:sz w:val="27"/>
        </w:rPr>
        <w:t>小时内到达现场，</w:t>
      </w:r>
      <w:r>
        <w:rPr>
          <w:sz w:val="27"/>
        </w:rPr>
        <w:t>48</w:t>
      </w:r>
      <w:r>
        <w:rPr>
          <w:sz w:val="27"/>
        </w:rPr>
        <w:t>小时内处理完毕。若在</w:t>
      </w:r>
      <w:r>
        <w:rPr>
          <w:sz w:val="27"/>
        </w:rPr>
        <w:t>48</w:t>
      </w:r>
      <w:r>
        <w:rPr>
          <w:sz w:val="27"/>
        </w:rPr>
        <w:t>小时内仍未能有效解决，乙方须免费提供同样档次的设备予甲方临时使用。</w:t>
      </w:r>
    </w:p>
    <w:p>
      <w:pPr>
        <w:pStyle w:val="null3"/>
        <w:ind w:left="1095"/>
        <w:jc w:val="both"/>
      </w:pPr>
      <w:r>
        <w:rPr>
          <w:sz w:val="27"/>
          <w:b/>
        </w:rPr>
        <w:t>七、安装与调试</w:t>
      </w:r>
    </w:p>
    <w:p>
      <w:pPr>
        <w:pStyle w:val="null3"/>
        <w:jc w:val="both"/>
      </w:pPr>
      <w:r>
        <w:rPr>
          <w:sz w:val="27"/>
        </w:rPr>
        <w:t>1.</w:t>
      </w:r>
      <w:r>
        <w:rPr>
          <w:sz w:val="27"/>
        </w:rPr>
        <w:t>乙方必须依照招标文件的要求和报价文件的承诺，将设备、系统安装并调试至正常运行的最佳状态。</w:t>
      </w:r>
    </w:p>
    <w:p>
      <w:pPr>
        <w:pStyle w:val="null3"/>
        <w:ind w:left="1095"/>
        <w:jc w:val="both"/>
      </w:pPr>
      <w:r>
        <w:rPr>
          <w:sz w:val="27"/>
          <w:b/>
        </w:rPr>
        <w:t>八、验收：</w:t>
      </w:r>
    </w:p>
    <w:p>
      <w:pPr>
        <w:pStyle w:val="null3"/>
        <w:jc w:val="both"/>
      </w:pPr>
      <w:r>
        <w:rPr>
          <w:sz w:val="27"/>
        </w:rPr>
        <w:t>1.</w:t>
      </w:r>
      <w:r>
        <w:rPr>
          <w:sz w:val="27"/>
        </w:rPr>
        <w:t>交付验收标准依次序对照适用标准为：①符合中华人民共和国国家安全质量标准、环保标准或行业标准；②符合招标文件和响应承诺中甲方</w:t>
      </w:r>
      <w:r>
        <w:rPr>
          <w:sz w:val="27"/>
        </w:rPr>
        <w:t>认可的合理最佳配置、参数及各项要求；</w:t>
      </w:r>
      <w:r>
        <w:rPr>
          <w:sz w:val="27"/>
        </w:rPr>
        <w:t>③货物来源国官方标准。</w:t>
      </w:r>
    </w:p>
    <w:p>
      <w:pPr>
        <w:pStyle w:val="null3"/>
        <w:jc w:val="both"/>
      </w:pPr>
      <w:r>
        <w:rPr>
          <w:sz w:val="27"/>
        </w:rPr>
        <w:t>2.</w:t>
      </w:r>
      <w:r>
        <w:rPr>
          <w:sz w:val="27"/>
        </w:rPr>
        <w:t>进口产品必须具备原产地证明和商检局的检验证明及合法进货渠道证明。</w:t>
      </w:r>
    </w:p>
    <w:p>
      <w:pPr>
        <w:pStyle w:val="null3"/>
        <w:jc w:val="both"/>
      </w:pPr>
      <w:r>
        <w:rPr>
          <w:sz w:val="27"/>
        </w:rPr>
        <w:t>3.</w:t>
      </w:r>
      <w:r>
        <w:rPr>
          <w:sz w:val="27"/>
        </w:rPr>
        <w:t>货物为原</w:t>
      </w:r>
      <w:r>
        <w:rPr>
          <w:sz w:val="27"/>
        </w:rPr>
        <w:t>厂商未启封全新包装，具出厂合格证，序列号、包装箱号与出厂批号一致，并可追索查阅。所有随设备的附件必须齐全。</w:t>
      </w:r>
    </w:p>
    <w:p>
      <w:pPr>
        <w:pStyle w:val="null3"/>
        <w:jc w:val="both"/>
      </w:pPr>
      <w:r>
        <w:rPr>
          <w:sz w:val="27"/>
        </w:rPr>
        <w:t>4.</w:t>
      </w:r>
      <w:r>
        <w:rPr>
          <w:sz w:val="27"/>
        </w:rPr>
        <w:t>乙方应将关键主机设备的用户手册、保修手册、有关单证资料及配备件、随机工具等交付给甲方，使用操作及安全须知等重要资料应附有中文说明。</w:t>
      </w:r>
    </w:p>
    <w:p>
      <w:pPr>
        <w:pStyle w:val="null3"/>
        <w:jc w:val="both"/>
      </w:pPr>
      <w:r>
        <w:rPr>
          <w:sz w:val="27"/>
        </w:rPr>
        <w:t>5.</w:t>
      </w:r>
      <w:r>
        <w:rPr>
          <w:sz w:val="27"/>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left="1095"/>
        <w:jc w:val="both"/>
      </w:pPr>
      <w:r>
        <w:rPr>
          <w:sz w:val="27"/>
          <w:b/>
        </w:rPr>
        <w:t>九、违约责任与赔偿损失</w:t>
      </w:r>
    </w:p>
    <w:p>
      <w:pPr>
        <w:pStyle w:val="null3"/>
        <w:jc w:val="both"/>
      </w:pPr>
      <w:r>
        <w:rPr>
          <w:sz w:val="27"/>
        </w:rPr>
        <w:t>1.</w:t>
      </w:r>
      <w:r>
        <w:rPr>
          <w:sz w:val="27"/>
        </w:rPr>
        <w:t>乙方交付的货物、工程</w:t>
      </w:r>
      <w:r>
        <w:rPr>
          <w:sz w:val="27"/>
        </w:rPr>
        <w:t>/</w:t>
      </w:r>
      <w:r>
        <w:rPr>
          <w:sz w:val="27"/>
        </w:rPr>
        <w:t>提供的服务不符合本合同规定的，甲方有权拒收，并且乙方须向甲方支付本合同总价</w:t>
      </w:r>
      <w:r>
        <w:rPr>
          <w:sz w:val="27"/>
        </w:rPr>
        <w:t>5%</w:t>
      </w:r>
      <w:r>
        <w:rPr>
          <w:sz w:val="27"/>
        </w:rPr>
        <w:t>的违约金。</w:t>
      </w:r>
    </w:p>
    <w:p>
      <w:pPr>
        <w:pStyle w:val="null3"/>
        <w:jc w:val="both"/>
      </w:pPr>
      <w:r>
        <w:rPr>
          <w:sz w:val="27"/>
        </w:rPr>
        <w:t>2.</w:t>
      </w:r>
      <w:r>
        <w:rPr>
          <w:sz w:val="27"/>
        </w:rPr>
        <w:t>乙方未能按本合同规定的交货时间交付货物的</w:t>
      </w:r>
      <w:r>
        <w:rPr>
          <w:sz w:val="27"/>
        </w:rPr>
        <w:t>/</w:t>
      </w:r>
      <w:r>
        <w:rPr>
          <w:sz w:val="27"/>
        </w:rPr>
        <w:t>提供服务，从逾期之日起每日按本合同总价</w:t>
      </w:r>
      <w:r>
        <w:rPr>
          <w:sz w:val="27"/>
        </w:rPr>
        <w:t>3</w:t>
      </w:r>
      <w:r>
        <w:rPr>
          <w:sz w:val="27"/>
        </w:rPr>
        <w:t>‰的数额向甲方支付违约金；逾期半个月以上的，甲方有权终止合同，由此造成的甲方经济损失由乙方承担。</w:t>
      </w:r>
    </w:p>
    <w:p>
      <w:pPr>
        <w:pStyle w:val="null3"/>
        <w:jc w:val="both"/>
      </w:pPr>
      <w:r>
        <w:rPr>
          <w:sz w:val="27"/>
        </w:rPr>
        <w:t>3.</w:t>
      </w:r>
      <w:r>
        <w:rPr>
          <w:sz w:val="27"/>
        </w:rPr>
        <w:t>甲方无正当理由拒收货物</w:t>
      </w:r>
      <w:r>
        <w:rPr>
          <w:sz w:val="27"/>
        </w:rPr>
        <w:t>/</w:t>
      </w:r>
      <w:r>
        <w:rPr>
          <w:sz w:val="27"/>
        </w:rPr>
        <w:t>接受服务，到期拒付货物</w:t>
      </w:r>
      <w:r>
        <w:rPr>
          <w:sz w:val="27"/>
        </w:rPr>
        <w:t>/</w:t>
      </w:r>
      <w:r>
        <w:rPr>
          <w:sz w:val="27"/>
        </w:rPr>
        <w:t>服务款项的，甲方向乙方偿付本合同总的</w:t>
      </w:r>
      <w:r>
        <w:rPr>
          <w:sz w:val="27"/>
        </w:rPr>
        <w:t>5%</w:t>
      </w:r>
      <w:r>
        <w:rPr>
          <w:sz w:val="27"/>
        </w:rPr>
        <w:t>的违约金。甲方人逾期付款，则每日按本合同总价的</w:t>
      </w:r>
      <w:r>
        <w:rPr>
          <w:sz w:val="27"/>
        </w:rPr>
        <w:t>3</w:t>
      </w:r>
      <w:r>
        <w:rPr>
          <w:sz w:val="27"/>
        </w:rPr>
        <w:t>‰向乙方偿付违约金。</w:t>
      </w:r>
    </w:p>
    <w:p>
      <w:pPr>
        <w:pStyle w:val="null3"/>
        <w:jc w:val="both"/>
      </w:pPr>
      <w:r>
        <w:rPr>
          <w:sz w:val="27"/>
        </w:rPr>
        <w:t xml:space="preserve">4.   </w:t>
      </w:r>
      <w:r>
        <w:rPr>
          <w:sz w:val="27"/>
        </w:rPr>
        <w:t>对于因甲方原因导致变更、中止或者终止政府采购合同的，甲方应当依照以下合同约定对供应商受到的损失予以赔偿或者补偿：</w:t>
      </w:r>
    </w:p>
    <w:p>
      <w:pPr>
        <w:pStyle w:val="null3"/>
        <w:jc w:val="both"/>
      </w:pPr>
      <w:r>
        <w:rPr/>
        <w:t xml:space="preserve">       </w:t>
      </w:r>
      <w:r>
        <w:rPr>
          <w:u w:val="single"/>
        </w:rPr>
        <w:t xml:space="preserve">                                                </w:t>
      </w:r>
    </w:p>
    <w:p>
      <w:pPr>
        <w:pStyle w:val="null3"/>
        <w:jc w:val="both"/>
      </w:pPr>
      <w:r>
        <w:rPr>
          <w:sz w:val="27"/>
        </w:rPr>
        <w:t>5.</w:t>
      </w:r>
      <w:r>
        <w:rPr>
          <w:sz w:val="27"/>
        </w:rPr>
        <w:t>其它违约责任按《中华人民共和国民法典</w:t>
      </w:r>
      <w:r>
        <w:rPr>
          <w:sz w:val="27"/>
        </w:rPr>
        <w:t>(</w:t>
      </w:r>
      <w:r>
        <w:rPr>
          <w:sz w:val="27"/>
        </w:rPr>
        <w:t>合同编</w:t>
      </w:r>
      <w:r>
        <w:rPr>
          <w:sz w:val="27"/>
        </w:rPr>
        <w:t>)</w:t>
      </w:r>
      <w:r>
        <w:rPr>
          <w:sz w:val="27"/>
        </w:rPr>
        <w:t>》处理。</w:t>
      </w:r>
    </w:p>
    <w:p>
      <w:pPr>
        <w:pStyle w:val="null3"/>
        <w:ind w:left="1095"/>
        <w:jc w:val="both"/>
      </w:pPr>
      <w:r>
        <w:rPr>
          <w:sz w:val="27"/>
          <w:b/>
        </w:rPr>
        <w:t>十、争议的解决</w:t>
      </w:r>
      <w:r>
        <w:rPr>
          <w:sz w:val="27"/>
        </w:rPr>
        <w:t xml:space="preserve">   </w:t>
      </w:r>
      <w:r>
        <w:rPr>
          <w:sz w:val="27"/>
        </w:rPr>
        <w:t>合同执行过程中发生的任何争议，如双方不能通过友好协商解决，按相关法律法规处理。</w:t>
      </w:r>
    </w:p>
    <w:p>
      <w:pPr>
        <w:pStyle w:val="null3"/>
        <w:ind w:left="1095"/>
        <w:jc w:val="both"/>
      </w:pPr>
      <w:r>
        <w:rPr>
          <w:sz w:val="27"/>
          <w:b/>
        </w:rPr>
        <w:t>十一、不可抗力</w:t>
      </w:r>
    </w:p>
    <w:p>
      <w:pPr>
        <w:pStyle w:val="null3"/>
        <w:jc w:val="both"/>
      </w:pPr>
      <w:r>
        <w:rPr>
          <w:sz w:val="27"/>
        </w:rPr>
        <w:t>1.</w:t>
      </w:r>
      <w:r>
        <w:rPr>
          <w:sz w:val="27"/>
        </w:rPr>
        <w:t>任何一方由于不可抗力原因不能履行合同时，应在不可抗力事件结束后</w:t>
      </w:r>
      <w:r>
        <w:rPr>
          <w:sz w:val="27"/>
        </w:rPr>
        <w:t>1</w:t>
      </w:r>
      <w:r>
        <w:rPr>
          <w:sz w:val="27"/>
        </w:rPr>
        <w:t>日内向对方通报，以减轻可能给对方造成的损失，在取得有关机构的不可抗力证明或双方谅解确认后，允许延期履行或修订合同，并根据情况可部分或全部免于承担违约责任。</w:t>
      </w:r>
    </w:p>
    <w:p>
      <w:pPr>
        <w:pStyle w:val="null3"/>
        <w:ind w:left="1095"/>
        <w:jc w:val="both"/>
      </w:pPr>
      <w:r>
        <w:rPr>
          <w:sz w:val="27"/>
          <w:b/>
        </w:rPr>
        <w:t>十二、税费</w:t>
      </w:r>
    </w:p>
    <w:p>
      <w:pPr>
        <w:pStyle w:val="null3"/>
        <w:jc w:val="both"/>
      </w:pPr>
      <w:r>
        <w:rPr>
          <w:sz w:val="27"/>
        </w:rPr>
        <w:t>1.</w:t>
      </w:r>
      <w:r>
        <w:rPr>
          <w:sz w:val="27"/>
        </w:rPr>
        <w:t>在中国境内、外发生的与本合同执行有关的一切税费均由乙方负担。</w:t>
      </w:r>
    </w:p>
    <w:p>
      <w:pPr>
        <w:pStyle w:val="null3"/>
        <w:ind w:left="1095"/>
        <w:jc w:val="both"/>
      </w:pPr>
      <w:r>
        <w:rPr>
          <w:sz w:val="27"/>
          <w:b/>
        </w:rPr>
        <w:t>十三、</w:t>
      </w:r>
      <w:r>
        <w:rPr/>
        <w:t xml:space="preserve"> </w:t>
      </w:r>
      <w:r>
        <w:rPr>
          <w:sz w:val="27"/>
          <w:b/>
        </w:rPr>
        <w:t>其它</w:t>
      </w:r>
    </w:p>
    <w:p>
      <w:pPr>
        <w:pStyle w:val="null3"/>
        <w:jc w:val="both"/>
      </w:pPr>
      <w:r>
        <w:rPr>
          <w:sz w:val="27"/>
        </w:rPr>
        <w:t>1.</w:t>
      </w:r>
      <w:r>
        <w:rPr>
          <w:sz w:val="27"/>
        </w:rPr>
        <w:t>本合同所有附件、招标文件、投标文件、中标通知书均为合同的有效组成部分，与本合同具有同等法律效力。</w:t>
      </w:r>
    </w:p>
    <w:p>
      <w:pPr>
        <w:pStyle w:val="null3"/>
        <w:jc w:val="both"/>
      </w:pPr>
      <w:r>
        <w:rPr>
          <w:sz w:val="27"/>
        </w:rPr>
        <w:t>2.</w:t>
      </w:r>
      <w:r>
        <w:rPr>
          <w:sz w:val="27"/>
        </w:rPr>
        <w:t>在执行本合同的过程中，所有经双方签署确认的文件（包括会议纪要、补充协议、往来信函）即成为本合同的有效组成部分。</w:t>
      </w:r>
    </w:p>
    <w:p>
      <w:pPr>
        <w:pStyle w:val="null3"/>
        <w:jc w:val="both"/>
      </w:pPr>
      <w:r>
        <w:rPr>
          <w:sz w:val="27"/>
        </w:rPr>
        <w:t>3.</w:t>
      </w:r>
      <w:r>
        <w:rPr>
          <w:sz w:val="27"/>
        </w:rPr>
        <w:t>如一方地址、电话、传真号码有变更，应在变更当日内书面通知对方，否则，应承担相应责任。</w:t>
      </w:r>
    </w:p>
    <w:p>
      <w:pPr>
        <w:pStyle w:val="null3"/>
        <w:jc w:val="both"/>
      </w:pPr>
      <w:r>
        <w:rPr>
          <w:sz w:val="27"/>
        </w:rPr>
        <w:t>4.</w:t>
      </w:r>
      <w:r>
        <w:rPr>
          <w:sz w:val="27"/>
        </w:rPr>
        <w:t>除甲方事先书面同意外，乙方不得部分或全部转让其应履行的合同项下的义务。</w:t>
      </w:r>
    </w:p>
    <w:p>
      <w:pPr>
        <w:pStyle w:val="null3"/>
        <w:ind w:left="1095"/>
        <w:jc w:val="both"/>
      </w:pPr>
      <w:r>
        <w:rPr>
          <w:sz w:val="27"/>
          <w:b/>
        </w:rPr>
        <w:t>十四、</w:t>
      </w:r>
      <w:r>
        <w:rPr/>
        <w:t xml:space="preserve">      </w:t>
      </w:r>
      <w:r>
        <w:rPr>
          <w:sz w:val="27"/>
          <w:b/>
        </w:rPr>
        <w:t>合同生效</w:t>
      </w:r>
    </w:p>
    <w:p>
      <w:pPr>
        <w:pStyle w:val="null3"/>
        <w:jc w:val="both"/>
      </w:pPr>
      <w:r>
        <w:rPr>
          <w:sz w:val="27"/>
        </w:rPr>
        <w:t>1.</w:t>
      </w:r>
      <w:r>
        <w:rPr>
          <w:sz w:val="27"/>
        </w:rPr>
        <w:t>本合同在甲乙双方法人代表或其授权代表签字盖章后生效。</w:t>
      </w:r>
    </w:p>
    <w:p>
      <w:pPr>
        <w:pStyle w:val="null3"/>
        <w:jc w:val="both"/>
      </w:pPr>
      <w:r>
        <w:rPr>
          <w:sz w:val="27"/>
        </w:rPr>
        <w:t>2.</w:t>
      </w:r>
      <w:r>
        <w:rPr>
          <w:sz w:val="27"/>
        </w:rPr>
        <w:t>合同一式</w:t>
      </w:r>
      <w:r>
        <w:rPr>
          <w:u w:val="single"/>
        </w:rPr>
        <w:t xml:space="preserve">    </w:t>
      </w:r>
      <w:r>
        <w:rPr>
          <w:sz w:val="27"/>
        </w:rPr>
        <w:t>份。</w:t>
      </w:r>
    </w:p>
    <w:p>
      <w:pPr>
        <w:pStyle w:val="null3"/>
        <w:jc w:val="both"/>
      </w:pPr>
      <w:r>
        <w:rPr/>
        <w:t xml:space="preserve"> </w:t>
      </w:r>
    </w:p>
    <w:p>
      <w:pPr>
        <w:pStyle w:val="null3"/>
        <w:jc w:val="both"/>
      </w:pPr>
      <w:r>
        <w:rPr>
          <w:sz w:val="27"/>
          <w:b/>
        </w:rPr>
        <w:t>甲方（盖章）：乙方（盖章）：</w:t>
      </w:r>
    </w:p>
    <w:p>
      <w:pPr>
        <w:pStyle w:val="null3"/>
        <w:jc w:val="both"/>
      </w:pPr>
      <w:r>
        <w:rPr>
          <w:sz w:val="27"/>
          <w:b/>
        </w:rPr>
        <w:t>代表：代表：</w:t>
      </w:r>
    </w:p>
    <w:p>
      <w:pPr>
        <w:pStyle w:val="null3"/>
        <w:jc w:val="both"/>
      </w:pPr>
      <w:r>
        <w:rPr>
          <w:sz w:val="27"/>
        </w:rPr>
        <w:t>签订地点：</w:t>
      </w:r>
    </w:p>
    <w:p>
      <w:pPr>
        <w:pStyle w:val="null3"/>
        <w:jc w:val="both"/>
      </w:pPr>
      <w:r>
        <w:rPr>
          <w:sz w:val="27"/>
        </w:rPr>
        <w:t>签订日期：　　　年　　月　　日签订日期：　　　年　　月　　日</w:t>
      </w:r>
    </w:p>
    <w:p>
      <w:pPr>
        <w:pStyle w:val="null3"/>
        <w:jc w:val="both"/>
      </w:pPr>
      <w:r>
        <w:rPr>
          <w:sz w:val="27"/>
        </w:rPr>
        <w:t>开户名称：</w:t>
      </w:r>
    </w:p>
    <w:p>
      <w:pPr>
        <w:pStyle w:val="null3"/>
        <w:jc w:val="both"/>
      </w:pPr>
      <w:r>
        <w:rPr>
          <w:sz w:val="27"/>
        </w:rPr>
        <w:t>银行帐号：</w:t>
      </w:r>
    </w:p>
    <w:p>
      <w:pPr>
        <w:pStyle w:val="null3"/>
        <w:jc w:val="both"/>
      </w:pPr>
      <w:r>
        <w:rPr>
          <w:sz w:val="27"/>
        </w:rPr>
        <w:t>开</w:t>
      </w:r>
      <w:r>
        <w:rPr>
          <w:sz w:val="27"/>
        </w:rPr>
        <w:t>户</w:t>
      </w:r>
      <w:r>
        <w:rPr>
          <w:sz w:val="27"/>
        </w:rPr>
        <w:t>行：</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440101-2024-19083</w:t>
      </w:r>
    </w:p>
    <w:p>
      <w:pPr>
        <w:pStyle w:val="null3"/>
        <w:jc w:val="center"/>
        <w:outlineLvl w:val="3"/>
      </w:pPr>
      <w:r>
        <w:rPr>
          <w:sz w:val="24"/>
          <w:b/>
        </w:rPr>
        <w:t>采购项目编号：</w:t>
      </w:r>
      <w:r>
        <w:rPr>
          <w:sz w:val="24"/>
          <w:b/>
        </w:rPr>
        <w:t>CZ2024-5091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广州市政府采购中心</w:t>
      </w:r>
    </w:p>
    <w:p>
      <w:pPr>
        <w:pStyle w:val="null3"/>
        <w:ind w:firstLine="480"/>
      </w:pPr>
      <w:r>
        <w:rPr/>
        <w:t xml:space="preserve"> 你方组织的</w:t>
      </w:r>
      <w:r>
        <w:rPr>
          <w:u w:val="single"/>
        </w:rPr>
        <w:t>“</w:t>
      </w:r>
      <w:r>
        <w:rPr>
          <w:u w:val="single"/>
        </w:rPr>
        <w:t>广州市轻工职业学校家具购置项目（二期）</w:t>
      </w:r>
      <w:r>
        <w:rPr>
          <w:u w:val="single"/>
        </w:rPr>
        <w:t>”</w:t>
      </w:r>
      <w:r>
        <w:rPr/>
        <w:t>项目的招标[采购项目编号为：</w:t>
      </w:r>
      <w:r>
        <w:rPr>
          <w:u w:val="single"/>
        </w:rPr>
        <w:t>CZ2024-5091</w:t>
      </w:r>
      <w:r>
        <w:rPr/>
        <w:t>]，我方愿参与投标。</w:t>
      </w:r>
    </w:p>
    <w:p>
      <w:pPr>
        <w:pStyle w:val="null3"/>
        <w:ind w:firstLine="480"/>
      </w:pPr>
      <w:r>
        <w:rPr/>
        <w:t>我方确认收到贵方提供的</w:t>
      </w:r>
      <w:r>
        <w:rPr>
          <w:u w:val="single"/>
        </w:rPr>
        <w:t>“</w:t>
      </w:r>
      <w:r>
        <w:rPr>
          <w:u w:val="single"/>
        </w:rPr>
        <w:t>广州市轻工职业学校家具购置项目（二期）</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广州市政府采购中心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广州市轻工职业学校家具购置项目（二期）</w:t>
      </w:r>
      <w:r>
        <w:rPr/>
        <w:t>”项目采购[采购项目编号为</w:t>
      </w:r>
      <w:r>
        <w:rPr/>
        <w:t>CZ2024-5091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广州市轻工职业学校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广州市政府采购中心</w:t>
      </w:r>
    </w:p>
    <w:p>
      <w:pPr>
        <w:pStyle w:val="null3"/>
        <w:ind w:firstLine="480"/>
      </w:pPr>
      <w:r>
        <w:rPr/>
        <w:t xml:space="preserve"> 如果我方在贵采购代理机构组织的</w:t>
      </w:r>
      <w:r>
        <w:rPr/>
        <w:t>广州市轻工职业学校家具购置项目（二期）</w:t>
      </w:r>
      <w:r>
        <w:rPr/>
        <w:t>招标中获中标（采购项目编号：</w:t>
      </w:r>
      <w:r>
        <w:rPr/>
        <w:t>CZ2024-5091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