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8712F0">
      <w:pPr>
        <w:pStyle w:val="19"/>
        <w:numPr>
          <w:ilvl w:val="0"/>
          <w:numId w:val="0"/>
        </w:numPr>
        <w:spacing w:before="624" w:beforeLines="200" w:after="624" w:afterLines="200" w:line="240" w:lineRule="auto"/>
        <w:jc w:val="center"/>
        <w:rPr>
          <w:rFonts w:ascii="方正小标宋_GBK" w:hAnsi="方正小标宋_GBK" w:eastAsia="方正小标宋_GBK" w:cs="方正小标宋_GBK"/>
          <w:sz w:val="44"/>
          <w:szCs w:val="44"/>
        </w:rPr>
      </w:pPr>
      <w:bookmarkStart w:id="0" w:name="_Toc3075"/>
      <w:r>
        <w:rPr>
          <w:rFonts w:hint="eastAsia" w:ascii="方正小标宋_GBK" w:hAnsi="方正小标宋_GBK" w:eastAsia="方正小标宋_GBK" w:cs="方正小标宋_GBK"/>
          <w:sz w:val="44"/>
          <w:szCs w:val="44"/>
        </w:rPr>
        <w:t>政府采购合同</w:t>
      </w:r>
      <w:bookmarkEnd w:id="0"/>
    </w:p>
    <w:p w14:paraId="2590745B">
      <w:pPr>
        <w:pageBreakBefore w:val="0"/>
        <w:widowControl w:val="0"/>
        <w:kinsoku/>
        <w:wordWrap w:val="0"/>
        <w:overflowPunct/>
        <w:topLinePunct w:val="0"/>
        <w:autoSpaceDE/>
        <w:autoSpaceDN/>
        <w:bidi w:val="0"/>
        <w:adjustRightInd/>
        <w:snapToGrid w:val="0"/>
        <w:spacing w:line="520" w:lineRule="exact"/>
        <w:ind w:firstLine="480" w:firstLineChars="200"/>
        <w:textAlignment w:val="auto"/>
        <w:rPr>
          <w:rFonts w:hint="eastAsia" w:ascii="宋体" w:hAnsi="宋体" w:eastAsia="宋体" w:cs="宋体"/>
          <w:sz w:val="24"/>
          <w:szCs w:val="24"/>
        </w:rPr>
      </w:pPr>
      <w:bookmarkStart w:id="10" w:name="_GoBack"/>
      <w:bookmarkEnd w:id="10"/>
      <w:r>
        <w:rPr>
          <w:rFonts w:hint="eastAsia" w:ascii="宋体" w:hAnsi="宋体" w:eastAsia="宋体" w:cs="宋体"/>
          <w:sz w:val="24"/>
          <w:szCs w:val="24"/>
        </w:rPr>
        <w:t>合同主要条款：合同编号：XXXX。</w:t>
      </w:r>
    </w:p>
    <w:p w14:paraId="31CC83C0">
      <w:pPr>
        <w:pageBreakBefore w:val="0"/>
        <w:widowControl w:val="0"/>
        <w:kinsoku/>
        <w:wordWrap w:val="0"/>
        <w:overflowPunct/>
        <w:topLinePunct w:val="0"/>
        <w:autoSpaceDE/>
        <w:autoSpaceDN/>
        <w:bidi w:val="0"/>
        <w:adjustRightInd/>
        <w:snapToGrid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签订地点：XXXX。</w:t>
      </w:r>
    </w:p>
    <w:p w14:paraId="0DE73B8A">
      <w:pPr>
        <w:pageBreakBefore w:val="0"/>
        <w:widowControl w:val="0"/>
        <w:kinsoku/>
        <w:wordWrap w:val="0"/>
        <w:overflowPunct/>
        <w:topLinePunct w:val="0"/>
        <w:autoSpaceDE/>
        <w:autoSpaceDN/>
        <w:bidi w:val="0"/>
        <w:adjustRightInd/>
        <w:snapToGrid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签订时间：XXXX年XX月XX日。</w:t>
      </w:r>
    </w:p>
    <w:p w14:paraId="7AE3C7FD">
      <w:pPr>
        <w:pageBreakBefore w:val="0"/>
        <w:widowControl w:val="0"/>
        <w:kinsoku/>
        <w:wordWrap w:val="0"/>
        <w:overflowPunct/>
        <w:topLinePunct w:val="0"/>
        <w:autoSpaceDE/>
        <w:autoSpaceDN/>
        <w:bidi w:val="0"/>
        <w:adjustRightInd/>
        <w:snapToGrid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采购人（甲方）：                              </w:t>
      </w:r>
    </w:p>
    <w:p w14:paraId="0F7C3138">
      <w:pPr>
        <w:pageBreakBefore w:val="0"/>
        <w:widowControl w:val="0"/>
        <w:kinsoku/>
        <w:wordWrap w:val="0"/>
        <w:overflowPunct/>
        <w:topLinePunct w:val="0"/>
        <w:autoSpaceDE/>
        <w:autoSpaceDN/>
        <w:bidi w:val="0"/>
        <w:adjustRightInd/>
        <w:snapToGrid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供应商（乙方）：                                                                     </w:t>
      </w:r>
    </w:p>
    <w:p w14:paraId="2A78F202">
      <w:pPr>
        <w:pageBreakBefore w:val="0"/>
        <w:widowControl w:val="0"/>
        <w:kinsoku/>
        <w:wordWrap w:val="0"/>
        <w:overflowPunct/>
        <w:topLinePunct w:val="0"/>
        <w:autoSpaceDE/>
        <w:autoSpaceDN/>
        <w:bidi w:val="0"/>
        <w:adjustRightInd/>
        <w:snapToGrid w:val="0"/>
        <w:spacing w:line="520" w:lineRule="exact"/>
        <w:ind w:firstLine="480" w:firstLineChars="200"/>
        <w:textAlignment w:val="auto"/>
        <w:rPr>
          <w:rFonts w:hint="eastAsia" w:ascii="宋体" w:hAnsi="宋体" w:eastAsia="宋体" w:cs="宋体"/>
          <w:sz w:val="24"/>
          <w:szCs w:val="24"/>
        </w:rPr>
      </w:pPr>
    </w:p>
    <w:p w14:paraId="7CE90732">
      <w:pPr>
        <w:pStyle w:val="29"/>
        <w:pageBreakBefore w:val="0"/>
        <w:widowControl w:val="0"/>
        <w:kinsoku/>
        <w:wordWrap w:val="0"/>
        <w:overflowPunct/>
        <w:topLinePunct w:val="0"/>
        <w:autoSpaceDE/>
        <w:autoSpaceDN/>
        <w:bidi w:val="0"/>
        <w:adjustRightInd/>
        <w:snapToGrid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根据《中华人民共和国政府采购法》、《中华人民共和国民法典》及XXXX采购项目（项目编号：XX）的《招标文件》、乙方的《投标文件》及《中标通知书》，甲、乙双方同意签订本合同。详细技术说明及其他有关合同项目的特定信息由合同附件予以说明，合同附件及本项目的招标文件、投标文件、《中标通知书》等均为本合同不可分割的部分。双方同意共同遵守如下条款：</w:t>
      </w:r>
    </w:p>
    <w:p w14:paraId="12C60C84">
      <w:pPr>
        <w:pStyle w:val="3"/>
        <w:pageBreakBefore w:val="0"/>
        <w:widowControl w:val="0"/>
        <w:kinsoku/>
        <w:wordWrap w:val="0"/>
        <w:overflowPunct/>
        <w:topLinePunct w:val="0"/>
        <w:autoSpaceDE/>
        <w:autoSpaceDN/>
        <w:bidi w:val="0"/>
        <w:adjustRightInd/>
        <w:snapToGrid w:val="0"/>
        <w:spacing w:before="0" w:after="0" w:line="520" w:lineRule="exact"/>
        <w:ind w:firstLine="482" w:firstLineChars="200"/>
        <w:textAlignment w:val="auto"/>
        <w:rPr>
          <w:rFonts w:hint="eastAsia" w:ascii="宋体" w:hAnsi="宋体" w:eastAsia="宋体" w:cs="宋体"/>
          <w:sz w:val="24"/>
          <w:szCs w:val="24"/>
        </w:rPr>
      </w:pPr>
      <w:bookmarkStart w:id="1" w:name="_Toc217446107"/>
      <w:r>
        <w:rPr>
          <w:rFonts w:hint="eastAsia" w:ascii="宋体" w:hAnsi="宋体" w:eastAsia="宋体" w:cs="宋体"/>
          <w:sz w:val="24"/>
          <w:szCs w:val="24"/>
        </w:rPr>
        <w:t>一、合同货物</w:t>
      </w:r>
      <w:bookmarkEnd w:id="1"/>
    </w:p>
    <w:tbl>
      <w:tblPr>
        <w:tblStyle w:val="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467"/>
        <w:gridCol w:w="978"/>
        <w:gridCol w:w="688"/>
        <w:gridCol w:w="861"/>
        <w:gridCol w:w="1033"/>
        <w:gridCol w:w="1126"/>
        <w:gridCol w:w="1162"/>
        <w:gridCol w:w="1177"/>
      </w:tblGrid>
      <w:tr w14:paraId="78D2F7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3" w:hRule="atLeast"/>
          <w:jc w:val="center"/>
        </w:trPr>
        <w:tc>
          <w:tcPr>
            <w:tcW w:w="1575" w:type="dxa"/>
            <w:tcBorders>
              <w:top w:val="single" w:color="auto" w:sz="4" w:space="0"/>
              <w:left w:val="single" w:color="auto" w:sz="4" w:space="0"/>
              <w:bottom w:val="single" w:color="auto" w:sz="4" w:space="0"/>
              <w:right w:val="single" w:color="auto" w:sz="4" w:space="0"/>
            </w:tcBorders>
            <w:vAlign w:val="center"/>
          </w:tcPr>
          <w:p w14:paraId="52DAE776">
            <w:pPr>
              <w:keepNext w:val="0"/>
              <w:keepLines w:val="0"/>
              <w:pageBreakBefore w:val="0"/>
              <w:widowControl w:val="0"/>
              <w:kinsoku/>
              <w:wordWrap w:val="0"/>
              <w:overflowPunct/>
              <w:topLinePunct w:val="0"/>
              <w:autoSpaceDE/>
              <w:autoSpaceDN/>
              <w:bidi w:val="0"/>
              <w:adjustRightInd/>
              <w:snapToGrid w:val="0"/>
              <w:spacing w:line="400" w:lineRule="exact"/>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货物品名</w:t>
            </w:r>
          </w:p>
        </w:tc>
        <w:tc>
          <w:tcPr>
            <w:tcW w:w="1050" w:type="dxa"/>
            <w:tcBorders>
              <w:top w:val="single" w:color="auto" w:sz="4" w:space="0"/>
              <w:left w:val="single" w:color="auto" w:sz="4" w:space="0"/>
              <w:bottom w:val="single" w:color="auto" w:sz="4" w:space="0"/>
              <w:right w:val="single" w:color="auto" w:sz="4" w:space="0"/>
            </w:tcBorders>
            <w:vAlign w:val="center"/>
          </w:tcPr>
          <w:p w14:paraId="32EE8CF5">
            <w:pPr>
              <w:keepNext w:val="0"/>
              <w:keepLines w:val="0"/>
              <w:pageBreakBefore w:val="0"/>
              <w:widowControl w:val="0"/>
              <w:kinsoku/>
              <w:wordWrap w:val="0"/>
              <w:overflowPunct/>
              <w:topLinePunct w:val="0"/>
              <w:autoSpaceDE/>
              <w:autoSpaceDN/>
              <w:bidi w:val="0"/>
              <w:adjustRightInd/>
              <w:snapToGrid w:val="0"/>
              <w:spacing w:line="400" w:lineRule="exact"/>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规格</w:t>
            </w:r>
          </w:p>
          <w:p w14:paraId="04A26CD9">
            <w:pPr>
              <w:keepNext w:val="0"/>
              <w:keepLines w:val="0"/>
              <w:pageBreakBefore w:val="0"/>
              <w:widowControl w:val="0"/>
              <w:kinsoku/>
              <w:wordWrap w:val="0"/>
              <w:overflowPunct/>
              <w:topLinePunct w:val="0"/>
              <w:autoSpaceDE/>
              <w:autoSpaceDN/>
              <w:bidi w:val="0"/>
              <w:adjustRightInd/>
              <w:snapToGrid w:val="0"/>
              <w:spacing w:line="400" w:lineRule="exact"/>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型号</w:t>
            </w:r>
          </w:p>
        </w:tc>
        <w:tc>
          <w:tcPr>
            <w:tcW w:w="720" w:type="dxa"/>
            <w:tcBorders>
              <w:top w:val="single" w:color="auto" w:sz="4" w:space="0"/>
              <w:left w:val="single" w:color="auto" w:sz="4" w:space="0"/>
              <w:bottom w:val="single" w:color="auto" w:sz="4" w:space="0"/>
              <w:right w:val="single" w:color="auto" w:sz="4" w:space="0"/>
            </w:tcBorders>
            <w:vAlign w:val="center"/>
          </w:tcPr>
          <w:p w14:paraId="66366C23">
            <w:pPr>
              <w:keepNext w:val="0"/>
              <w:keepLines w:val="0"/>
              <w:pageBreakBefore w:val="0"/>
              <w:widowControl w:val="0"/>
              <w:kinsoku/>
              <w:wordWrap w:val="0"/>
              <w:overflowPunct/>
              <w:topLinePunct w:val="0"/>
              <w:autoSpaceDE/>
              <w:autoSpaceDN/>
              <w:bidi w:val="0"/>
              <w:adjustRightInd/>
              <w:snapToGrid w:val="0"/>
              <w:spacing w:line="400" w:lineRule="exact"/>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单位</w:t>
            </w:r>
          </w:p>
        </w:tc>
        <w:tc>
          <w:tcPr>
            <w:tcW w:w="900" w:type="dxa"/>
            <w:tcBorders>
              <w:top w:val="single" w:color="auto" w:sz="4" w:space="0"/>
              <w:left w:val="single" w:color="auto" w:sz="4" w:space="0"/>
              <w:bottom w:val="single" w:color="auto" w:sz="4" w:space="0"/>
              <w:right w:val="single" w:color="auto" w:sz="4" w:space="0"/>
            </w:tcBorders>
            <w:vAlign w:val="center"/>
          </w:tcPr>
          <w:p w14:paraId="50DF7A78">
            <w:pPr>
              <w:keepNext w:val="0"/>
              <w:keepLines w:val="0"/>
              <w:pageBreakBefore w:val="0"/>
              <w:widowControl w:val="0"/>
              <w:kinsoku/>
              <w:wordWrap w:val="0"/>
              <w:overflowPunct/>
              <w:topLinePunct w:val="0"/>
              <w:autoSpaceDE/>
              <w:autoSpaceDN/>
              <w:bidi w:val="0"/>
              <w:adjustRightInd/>
              <w:snapToGrid w:val="0"/>
              <w:spacing w:line="400" w:lineRule="exact"/>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数量</w:t>
            </w:r>
          </w:p>
        </w:tc>
        <w:tc>
          <w:tcPr>
            <w:tcW w:w="1080" w:type="dxa"/>
            <w:tcBorders>
              <w:top w:val="single" w:color="auto" w:sz="4" w:space="0"/>
              <w:left w:val="single" w:color="auto" w:sz="4" w:space="0"/>
              <w:bottom w:val="single" w:color="auto" w:sz="4" w:space="0"/>
              <w:right w:val="single" w:color="auto" w:sz="4" w:space="0"/>
            </w:tcBorders>
            <w:vAlign w:val="center"/>
          </w:tcPr>
          <w:p w14:paraId="286A1BD2">
            <w:pPr>
              <w:keepNext w:val="0"/>
              <w:keepLines w:val="0"/>
              <w:pageBreakBefore w:val="0"/>
              <w:widowControl w:val="0"/>
              <w:kinsoku/>
              <w:wordWrap w:val="0"/>
              <w:overflowPunct/>
              <w:topLinePunct w:val="0"/>
              <w:autoSpaceDE/>
              <w:autoSpaceDN/>
              <w:bidi w:val="0"/>
              <w:adjustRightInd/>
              <w:snapToGrid w:val="0"/>
              <w:spacing w:line="400" w:lineRule="exact"/>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单价</w:t>
            </w:r>
          </w:p>
          <w:p w14:paraId="09BA130C">
            <w:pPr>
              <w:keepNext w:val="0"/>
              <w:keepLines w:val="0"/>
              <w:pageBreakBefore w:val="0"/>
              <w:widowControl w:val="0"/>
              <w:kinsoku/>
              <w:wordWrap w:val="0"/>
              <w:overflowPunct/>
              <w:topLinePunct w:val="0"/>
              <w:autoSpaceDE/>
              <w:autoSpaceDN/>
              <w:bidi w:val="0"/>
              <w:adjustRightInd/>
              <w:snapToGrid w:val="0"/>
              <w:spacing w:line="400" w:lineRule="exact"/>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（万元）</w:t>
            </w:r>
          </w:p>
        </w:tc>
        <w:tc>
          <w:tcPr>
            <w:tcW w:w="1185" w:type="dxa"/>
            <w:tcBorders>
              <w:top w:val="single" w:color="auto" w:sz="4" w:space="0"/>
              <w:left w:val="single" w:color="auto" w:sz="4" w:space="0"/>
              <w:bottom w:val="single" w:color="auto" w:sz="4" w:space="0"/>
              <w:right w:val="single" w:color="auto" w:sz="4" w:space="0"/>
            </w:tcBorders>
            <w:vAlign w:val="center"/>
          </w:tcPr>
          <w:p w14:paraId="427958F9">
            <w:pPr>
              <w:keepNext w:val="0"/>
              <w:keepLines w:val="0"/>
              <w:pageBreakBefore w:val="0"/>
              <w:widowControl w:val="0"/>
              <w:kinsoku/>
              <w:wordWrap w:val="0"/>
              <w:overflowPunct/>
              <w:topLinePunct w:val="0"/>
              <w:autoSpaceDE/>
              <w:autoSpaceDN/>
              <w:bidi w:val="0"/>
              <w:adjustRightInd/>
              <w:snapToGrid w:val="0"/>
              <w:spacing w:line="400" w:lineRule="exact"/>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总价</w:t>
            </w:r>
          </w:p>
          <w:p w14:paraId="44572957">
            <w:pPr>
              <w:keepNext w:val="0"/>
              <w:keepLines w:val="0"/>
              <w:pageBreakBefore w:val="0"/>
              <w:widowControl w:val="0"/>
              <w:kinsoku/>
              <w:wordWrap w:val="0"/>
              <w:overflowPunct/>
              <w:topLinePunct w:val="0"/>
              <w:autoSpaceDE/>
              <w:autoSpaceDN/>
              <w:bidi w:val="0"/>
              <w:adjustRightInd/>
              <w:snapToGrid w:val="0"/>
              <w:spacing w:line="400" w:lineRule="exact"/>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（万元）</w:t>
            </w:r>
          </w:p>
        </w:tc>
        <w:tc>
          <w:tcPr>
            <w:tcW w:w="1260" w:type="dxa"/>
            <w:tcBorders>
              <w:top w:val="single" w:color="auto" w:sz="4" w:space="0"/>
              <w:left w:val="single" w:color="auto" w:sz="4" w:space="0"/>
              <w:bottom w:val="single" w:color="auto" w:sz="4" w:space="0"/>
              <w:right w:val="single" w:color="auto" w:sz="4" w:space="0"/>
            </w:tcBorders>
            <w:vAlign w:val="center"/>
          </w:tcPr>
          <w:p w14:paraId="5ED9C31F">
            <w:pPr>
              <w:keepNext w:val="0"/>
              <w:keepLines w:val="0"/>
              <w:pageBreakBefore w:val="0"/>
              <w:widowControl w:val="0"/>
              <w:kinsoku/>
              <w:wordWrap w:val="0"/>
              <w:overflowPunct/>
              <w:topLinePunct w:val="0"/>
              <w:autoSpaceDE/>
              <w:autoSpaceDN/>
              <w:bidi w:val="0"/>
              <w:adjustRightInd/>
              <w:snapToGrid w:val="0"/>
              <w:spacing w:line="400" w:lineRule="exact"/>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随机</w:t>
            </w:r>
          </w:p>
          <w:p w14:paraId="631F7844">
            <w:pPr>
              <w:keepNext w:val="0"/>
              <w:keepLines w:val="0"/>
              <w:pageBreakBefore w:val="0"/>
              <w:widowControl w:val="0"/>
              <w:kinsoku/>
              <w:wordWrap w:val="0"/>
              <w:overflowPunct/>
              <w:topLinePunct w:val="0"/>
              <w:autoSpaceDE/>
              <w:autoSpaceDN/>
              <w:bidi w:val="0"/>
              <w:adjustRightInd/>
              <w:snapToGrid w:val="0"/>
              <w:spacing w:line="400" w:lineRule="exact"/>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配件</w:t>
            </w:r>
          </w:p>
        </w:tc>
        <w:tc>
          <w:tcPr>
            <w:tcW w:w="1260" w:type="dxa"/>
            <w:tcBorders>
              <w:top w:val="single" w:color="auto" w:sz="4" w:space="0"/>
              <w:left w:val="single" w:color="auto" w:sz="4" w:space="0"/>
              <w:bottom w:val="single" w:color="auto" w:sz="4" w:space="0"/>
              <w:right w:val="single" w:color="auto" w:sz="4" w:space="0"/>
            </w:tcBorders>
            <w:vAlign w:val="center"/>
          </w:tcPr>
          <w:p w14:paraId="4955BA25">
            <w:pPr>
              <w:keepNext w:val="0"/>
              <w:keepLines w:val="0"/>
              <w:pageBreakBefore w:val="0"/>
              <w:widowControl w:val="0"/>
              <w:kinsoku/>
              <w:wordWrap w:val="0"/>
              <w:overflowPunct/>
              <w:topLinePunct w:val="0"/>
              <w:autoSpaceDE/>
              <w:autoSpaceDN/>
              <w:bidi w:val="0"/>
              <w:adjustRightInd/>
              <w:snapToGrid w:val="0"/>
              <w:spacing w:line="400" w:lineRule="exact"/>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交货期</w:t>
            </w:r>
          </w:p>
        </w:tc>
      </w:tr>
      <w:tr w14:paraId="6F01F4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7" w:hRule="atLeast"/>
          <w:jc w:val="center"/>
        </w:trPr>
        <w:tc>
          <w:tcPr>
            <w:tcW w:w="1575" w:type="dxa"/>
            <w:tcBorders>
              <w:top w:val="single" w:color="auto" w:sz="4" w:space="0"/>
              <w:left w:val="single" w:color="auto" w:sz="4" w:space="0"/>
              <w:bottom w:val="single" w:color="auto" w:sz="4" w:space="0"/>
              <w:right w:val="single" w:color="auto" w:sz="4" w:space="0"/>
            </w:tcBorders>
            <w:vAlign w:val="center"/>
          </w:tcPr>
          <w:p w14:paraId="506B1692">
            <w:pPr>
              <w:keepNext w:val="0"/>
              <w:keepLines w:val="0"/>
              <w:pageBreakBefore w:val="0"/>
              <w:widowControl w:val="0"/>
              <w:kinsoku/>
              <w:wordWrap w:val="0"/>
              <w:overflowPunct/>
              <w:topLinePunct w:val="0"/>
              <w:autoSpaceDE/>
              <w:autoSpaceDN/>
              <w:bidi w:val="0"/>
              <w:adjustRightInd/>
              <w:snapToGrid w:val="0"/>
              <w:spacing w:line="400" w:lineRule="exact"/>
              <w:ind w:firstLine="0" w:firstLineChars="0"/>
              <w:jc w:val="center"/>
              <w:textAlignment w:val="auto"/>
              <w:rPr>
                <w:rFonts w:hint="eastAsia" w:ascii="宋体" w:hAnsi="宋体" w:eastAsia="宋体" w:cs="宋体"/>
                <w:sz w:val="21"/>
                <w:szCs w:val="21"/>
              </w:rPr>
            </w:pPr>
          </w:p>
        </w:tc>
        <w:tc>
          <w:tcPr>
            <w:tcW w:w="1050" w:type="dxa"/>
            <w:tcBorders>
              <w:top w:val="single" w:color="auto" w:sz="4" w:space="0"/>
              <w:left w:val="single" w:color="auto" w:sz="4" w:space="0"/>
              <w:bottom w:val="single" w:color="auto" w:sz="4" w:space="0"/>
              <w:right w:val="single" w:color="auto" w:sz="4" w:space="0"/>
            </w:tcBorders>
            <w:vAlign w:val="center"/>
          </w:tcPr>
          <w:p w14:paraId="374DB030">
            <w:pPr>
              <w:keepNext w:val="0"/>
              <w:keepLines w:val="0"/>
              <w:pageBreakBefore w:val="0"/>
              <w:widowControl w:val="0"/>
              <w:kinsoku/>
              <w:wordWrap w:val="0"/>
              <w:overflowPunct/>
              <w:topLinePunct w:val="0"/>
              <w:autoSpaceDE/>
              <w:autoSpaceDN/>
              <w:bidi w:val="0"/>
              <w:adjustRightInd/>
              <w:snapToGrid w:val="0"/>
              <w:spacing w:line="400" w:lineRule="exact"/>
              <w:ind w:firstLine="0" w:firstLineChars="0"/>
              <w:jc w:val="center"/>
              <w:textAlignment w:val="auto"/>
              <w:rPr>
                <w:rFonts w:hint="eastAsia" w:ascii="宋体" w:hAnsi="宋体" w:eastAsia="宋体" w:cs="宋体"/>
                <w:sz w:val="21"/>
                <w:szCs w:val="21"/>
              </w:rPr>
            </w:pPr>
          </w:p>
        </w:tc>
        <w:tc>
          <w:tcPr>
            <w:tcW w:w="720" w:type="dxa"/>
            <w:tcBorders>
              <w:top w:val="single" w:color="auto" w:sz="4" w:space="0"/>
              <w:left w:val="single" w:color="auto" w:sz="4" w:space="0"/>
              <w:bottom w:val="single" w:color="auto" w:sz="4" w:space="0"/>
              <w:right w:val="single" w:color="auto" w:sz="4" w:space="0"/>
            </w:tcBorders>
            <w:vAlign w:val="center"/>
          </w:tcPr>
          <w:p w14:paraId="3A6CF06A">
            <w:pPr>
              <w:keepNext w:val="0"/>
              <w:keepLines w:val="0"/>
              <w:pageBreakBefore w:val="0"/>
              <w:widowControl w:val="0"/>
              <w:kinsoku/>
              <w:wordWrap w:val="0"/>
              <w:overflowPunct/>
              <w:topLinePunct w:val="0"/>
              <w:autoSpaceDE/>
              <w:autoSpaceDN/>
              <w:bidi w:val="0"/>
              <w:adjustRightInd/>
              <w:snapToGrid w:val="0"/>
              <w:spacing w:line="400" w:lineRule="exact"/>
              <w:ind w:firstLine="0" w:firstLineChars="0"/>
              <w:jc w:val="center"/>
              <w:textAlignment w:val="auto"/>
              <w:rPr>
                <w:rFonts w:hint="eastAsia" w:ascii="宋体" w:hAnsi="宋体" w:eastAsia="宋体" w:cs="宋体"/>
                <w:sz w:val="21"/>
                <w:szCs w:val="21"/>
              </w:rPr>
            </w:pPr>
          </w:p>
        </w:tc>
        <w:tc>
          <w:tcPr>
            <w:tcW w:w="900" w:type="dxa"/>
            <w:tcBorders>
              <w:top w:val="single" w:color="auto" w:sz="4" w:space="0"/>
              <w:left w:val="single" w:color="auto" w:sz="4" w:space="0"/>
              <w:bottom w:val="single" w:color="auto" w:sz="4" w:space="0"/>
              <w:right w:val="single" w:color="auto" w:sz="4" w:space="0"/>
            </w:tcBorders>
            <w:vAlign w:val="center"/>
          </w:tcPr>
          <w:p w14:paraId="004FD739">
            <w:pPr>
              <w:keepNext w:val="0"/>
              <w:keepLines w:val="0"/>
              <w:pageBreakBefore w:val="0"/>
              <w:widowControl w:val="0"/>
              <w:kinsoku/>
              <w:wordWrap w:val="0"/>
              <w:overflowPunct/>
              <w:topLinePunct w:val="0"/>
              <w:autoSpaceDE/>
              <w:autoSpaceDN/>
              <w:bidi w:val="0"/>
              <w:adjustRightInd/>
              <w:snapToGrid w:val="0"/>
              <w:spacing w:line="400" w:lineRule="exact"/>
              <w:ind w:firstLine="0" w:firstLineChars="0"/>
              <w:jc w:val="center"/>
              <w:textAlignment w:val="auto"/>
              <w:rPr>
                <w:rFonts w:hint="eastAsia" w:ascii="宋体" w:hAnsi="宋体" w:eastAsia="宋体" w:cs="宋体"/>
                <w:sz w:val="21"/>
                <w:szCs w:val="21"/>
              </w:rPr>
            </w:pPr>
          </w:p>
        </w:tc>
        <w:tc>
          <w:tcPr>
            <w:tcW w:w="1080" w:type="dxa"/>
            <w:tcBorders>
              <w:top w:val="single" w:color="auto" w:sz="4" w:space="0"/>
              <w:left w:val="single" w:color="auto" w:sz="4" w:space="0"/>
              <w:bottom w:val="single" w:color="auto" w:sz="4" w:space="0"/>
              <w:right w:val="single" w:color="auto" w:sz="4" w:space="0"/>
            </w:tcBorders>
            <w:vAlign w:val="center"/>
          </w:tcPr>
          <w:p w14:paraId="1200487A">
            <w:pPr>
              <w:keepNext w:val="0"/>
              <w:keepLines w:val="0"/>
              <w:pageBreakBefore w:val="0"/>
              <w:widowControl w:val="0"/>
              <w:kinsoku/>
              <w:wordWrap w:val="0"/>
              <w:overflowPunct/>
              <w:topLinePunct w:val="0"/>
              <w:autoSpaceDE/>
              <w:autoSpaceDN/>
              <w:bidi w:val="0"/>
              <w:adjustRightInd/>
              <w:snapToGrid w:val="0"/>
              <w:spacing w:line="400" w:lineRule="exact"/>
              <w:ind w:firstLine="0" w:firstLineChars="0"/>
              <w:jc w:val="center"/>
              <w:textAlignment w:val="auto"/>
              <w:rPr>
                <w:rFonts w:hint="eastAsia" w:ascii="宋体" w:hAnsi="宋体" w:eastAsia="宋体" w:cs="宋体"/>
                <w:sz w:val="21"/>
                <w:szCs w:val="21"/>
              </w:rPr>
            </w:pPr>
          </w:p>
        </w:tc>
        <w:tc>
          <w:tcPr>
            <w:tcW w:w="1185" w:type="dxa"/>
            <w:tcBorders>
              <w:top w:val="single" w:color="auto" w:sz="4" w:space="0"/>
              <w:left w:val="single" w:color="auto" w:sz="4" w:space="0"/>
              <w:bottom w:val="single" w:color="auto" w:sz="4" w:space="0"/>
              <w:right w:val="single" w:color="auto" w:sz="4" w:space="0"/>
            </w:tcBorders>
            <w:vAlign w:val="center"/>
          </w:tcPr>
          <w:p w14:paraId="2FE92E97">
            <w:pPr>
              <w:keepNext w:val="0"/>
              <w:keepLines w:val="0"/>
              <w:pageBreakBefore w:val="0"/>
              <w:widowControl w:val="0"/>
              <w:kinsoku/>
              <w:wordWrap w:val="0"/>
              <w:overflowPunct/>
              <w:topLinePunct w:val="0"/>
              <w:autoSpaceDE/>
              <w:autoSpaceDN/>
              <w:bidi w:val="0"/>
              <w:adjustRightInd/>
              <w:snapToGrid w:val="0"/>
              <w:spacing w:line="400" w:lineRule="exact"/>
              <w:ind w:firstLine="0" w:firstLineChars="0"/>
              <w:jc w:val="center"/>
              <w:textAlignment w:val="auto"/>
              <w:rPr>
                <w:rFonts w:hint="eastAsia" w:ascii="宋体" w:hAnsi="宋体" w:eastAsia="宋体" w:cs="宋体"/>
                <w:sz w:val="21"/>
                <w:szCs w:val="21"/>
              </w:rPr>
            </w:pPr>
          </w:p>
        </w:tc>
        <w:tc>
          <w:tcPr>
            <w:tcW w:w="1260" w:type="dxa"/>
            <w:tcBorders>
              <w:top w:val="single" w:color="auto" w:sz="4" w:space="0"/>
              <w:left w:val="single" w:color="auto" w:sz="4" w:space="0"/>
              <w:bottom w:val="single" w:color="auto" w:sz="4" w:space="0"/>
              <w:right w:val="single" w:color="auto" w:sz="4" w:space="0"/>
            </w:tcBorders>
            <w:vAlign w:val="center"/>
          </w:tcPr>
          <w:p w14:paraId="1FAD1687">
            <w:pPr>
              <w:keepNext w:val="0"/>
              <w:keepLines w:val="0"/>
              <w:pageBreakBefore w:val="0"/>
              <w:widowControl w:val="0"/>
              <w:kinsoku/>
              <w:wordWrap w:val="0"/>
              <w:overflowPunct/>
              <w:topLinePunct w:val="0"/>
              <w:autoSpaceDE/>
              <w:autoSpaceDN/>
              <w:bidi w:val="0"/>
              <w:adjustRightInd/>
              <w:snapToGrid w:val="0"/>
              <w:spacing w:line="400" w:lineRule="exact"/>
              <w:ind w:firstLine="0" w:firstLineChars="0"/>
              <w:jc w:val="center"/>
              <w:textAlignment w:val="auto"/>
              <w:rPr>
                <w:rFonts w:hint="eastAsia" w:ascii="宋体" w:hAnsi="宋体" w:eastAsia="宋体" w:cs="宋体"/>
                <w:sz w:val="21"/>
                <w:szCs w:val="21"/>
              </w:rPr>
            </w:pPr>
          </w:p>
        </w:tc>
        <w:tc>
          <w:tcPr>
            <w:tcW w:w="1260" w:type="dxa"/>
            <w:tcBorders>
              <w:top w:val="single" w:color="auto" w:sz="4" w:space="0"/>
              <w:left w:val="single" w:color="auto" w:sz="4" w:space="0"/>
              <w:bottom w:val="single" w:color="auto" w:sz="4" w:space="0"/>
              <w:right w:val="single" w:color="auto" w:sz="4" w:space="0"/>
            </w:tcBorders>
            <w:vAlign w:val="center"/>
          </w:tcPr>
          <w:p w14:paraId="4E460385">
            <w:pPr>
              <w:keepNext w:val="0"/>
              <w:keepLines w:val="0"/>
              <w:pageBreakBefore w:val="0"/>
              <w:widowControl w:val="0"/>
              <w:kinsoku/>
              <w:wordWrap w:val="0"/>
              <w:overflowPunct/>
              <w:topLinePunct w:val="0"/>
              <w:autoSpaceDE/>
              <w:autoSpaceDN/>
              <w:bidi w:val="0"/>
              <w:adjustRightInd/>
              <w:snapToGrid w:val="0"/>
              <w:spacing w:line="400" w:lineRule="exact"/>
              <w:ind w:firstLine="0" w:firstLineChars="0"/>
              <w:jc w:val="center"/>
              <w:textAlignment w:val="auto"/>
              <w:rPr>
                <w:rFonts w:hint="eastAsia" w:ascii="宋体" w:hAnsi="宋体" w:eastAsia="宋体" w:cs="宋体"/>
                <w:sz w:val="21"/>
                <w:szCs w:val="21"/>
              </w:rPr>
            </w:pPr>
          </w:p>
        </w:tc>
      </w:tr>
      <w:tr w14:paraId="5B6509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7" w:hRule="atLeast"/>
          <w:jc w:val="center"/>
        </w:trPr>
        <w:tc>
          <w:tcPr>
            <w:tcW w:w="1575" w:type="dxa"/>
            <w:tcBorders>
              <w:top w:val="single" w:color="auto" w:sz="4" w:space="0"/>
              <w:left w:val="single" w:color="auto" w:sz="4" w:space="0"/>
              <w:bottom w:val="single" w:color="auto" w:sz="4" w:space="0"/>
              <w:right w:val="single" w:color="auto" w:sz="4" w:space="0"/>
            </w:tcBorders>
            <w:vAlign w:val="center"/>
          </w:tcPr>
          <w:p w14:paraId="39056EBC">
            <w:pPr>
              <w:keepNext w:val="0"/>
              <w:keepLines w:val="0"/>
              <w:pageBreakBefore w:val="0"/>
              <w:widowControl w:val="0"/>
              <w:kinsoku/>
              <w:wordWrap w:val="0"/>
              <w:overflowPunct/>
              <w:topLinePunct w:val="0"/>
              <w:autoSpaceDE/>
              <w:autoSpaceDN/>
              <w:bidi w:val="0"/>
              <w:adjustRightInd/>
              <w:snapToGrid w:val="0"/>
              <w:spacing w:line="400" w:lineRule="exact"/>
              <w:ind w:firstLine="0" w:firstLineChars="0"/>
              <w:jc w:val="center"/>
              <w:textAlignment w:val="auto"/>
              <w:rPr>
                <w:rFonts w:hint="eastAsia" w:ascii="宋体" w:hAnsi="宋体" w:eastAsia="宋体" w:cs="宋体"/>
                <w:sz w:val="21"/>
                <w:szCs w:val="21"/>
              </w:rPr>
            </w:pPr>
          </w:p>
        </w:tc>
        <w:tc>
          <w:tcPr>
            <w:tcW w:w="1050" w:type="dxa"/>
            <w:tcBorders>
              <w:top w:val="single" w:color="auto" w:sz="4" w:space="0"/>
              <w:left w:val="single" w:color="auto" w:sz="4" w:space="0"/>
              <w:bottom w:val="single" w:color="auto" w:sz="4" w:space="0"/>
              <w:right w:val="single" w:color="auto" w:sz="4" w:space="0"/>
            </w:tcBorders>
            <w:vAlign w:val="center"/>
          </w:tcPr>
          <w:p w14:paraId="2075F073">
            <w:pPr>
              <w:keepNext w:val="0"/>
              <w:keepLines w:val="0"/>
              <w:pageBreakBefore w:val="0"/>
              <w:widowControl w:val="0"/>
              <w:kinsoku/>
              <w:wordWrap w:val="0"/>
              <w:overflowPunct/>
              <w:topLinePunct w:val="0"/>
              <w:autoSpaceDE/>
              <w:autoSpaceDN/>
              <w:bidi w:val="0"/>
              <w:adjustRightInd/>
              <w:snapToGrid w:val="0"/>
              <w:spacing w:line="400" w:lineRule="exact"/>
              <w:ind w:firstLine="0" w:firstLineChars="0"/>
              <w:jc w:val="center"/>
              <w:textAlignment w:val="auto"/>
              <w:rPr>
                <w:rFonts w:hint="eastAsia" w:ascii="宋体" w:hAnsi="宋体" w:eastAsia="宋体" w:cs="宋体"/>
                <w:sz w:val="21"/>
                <w:szCs w:val="21"/>
              </w:rPr>
            </w:pPr>
          </w:p>
        </w:tc>
        <w:tc>
          <w:tcPr>
            <w:tcW w:w="720" w:type="dxa"/>
            <w:tcBorders>
              <w:top w:val="single" w:color="auto" w:sz="4" w:space="0"/>
              <w:left w:val="single" w:color="auto" w:sz="4" w:space="0"/>
              <w:bottom w:val="single" w:color="auto" w:sz="4" w:space="0"/>
              <w:right w:val="single" w:color="auto" w:sz="4" w:space="0"/>
            </w:tcBorders>
            <w:vAlign w:val="center"/>
          </w:tcPr>
          <w:p w14:paraId="6796308F">
            <w:pPr>
              <w:keepNext w:val="0"/>
              <w:keepLines w:val="0"/>
              <w:pageBreakBefore w:val="0"/>
              <w:widowControl w:val="0"/>
              <w:kinsoku/>
              <w:wordWrap w:val="0"/>
              <w:overflowPunct/>
              <w:topLinePunct w:val="0"/>
              <w:autoSpaceDE/>
              <w:autoSpaceDN/>
              <w:bidi w:val="0"/>
              <w:adjustRightInd/>
              <w:snapToGrid w:val="0"/>
              <w:spacing w:line="400" w:lineRule="exact"/>
              <w:ind w:firstLine="0" w:firstLineChars="0"/>
              <w:jc w:val="center"/>
              <w:textAlignment w:val="auto"/>
              <w:rPr>
                <w:rFonts w:hint="eastAsia" w:ascii="宋体" w:hAnsi="宋体" w:eastAsia="宋体" w:cs="宋体"/>
                <w:sz w:val="21"/>
                <w:szCs w:val="21"/>
              </w:rPr>
            </w:pPr>
          </w:p>
        </w:tc>
        <w:tc>
          <w:tcPr>
            <w:tcW w:w="900" w:type="dxa"/>
            <w:tcBorders>
              <w:top w:val="single" w:color="auto" w:sz="4" w:space="0"/>
              <w:left w:val="single" w:color="auto" w:sz="4" w:space="0"/>
              <w:bottom w:val="single" w:color="auto" w:sz="4" w:space="0"/>
              <w:right w:val="single" w:color="auto" w:sz="4" w:space="0"/>
            </w:tcBorders>
            <w:vAlign w:val="center"/>
          </w:tcPr>
          <w:p w14:paraId="07D1D46A">
            <w:pPr>
              <w:keepNext w:val="0"/>
              <w:keepLines w:val="0"/>
              <w:pageBreakBefore w:val="0"/>
              <w:widowControl w:val="0"/>
              <w:kinsoku/>
              <w:wordWrap w:val="0"/>
              <w:overflowPunct/>
              <w:topLinePunct w:val="0"/>
              <w:autoSpaceDE/>
              <w:autoSpaceDN/>
              <w:bidi w:val="0"/>
              <w:adjustRightInd/>
              <w:snapToGrid w:val="0"/>
              <w:spacing w:line="400" w:lineRule="exact"/>
              <w:ind w:firstLine="0" w:firstLineChars="0"/>
              <w:jc w:val="center"/>
              <w:textAlignment w:val="auto"/>
              <w:rPr>
                <w:rFonts w:hint="eastAsia" w:ascii="宋体" w:hAnsi="宋体" w:eastAsia="宋体" w:cs="宋体"/>
                <w:sz w:val="21"/>
                <w:szCs w:val="21"/>
              </w:rPr>
            </w:pPr>
          </w:p>
        </w:tc>
        <w:tc>
          <w:tcPr>
            <w:tcW w:w="1080" w:type="dxa"/>
            <w:tcBorders>
              <w:top w:val="single" w:color="auto" w:sz="4" w:space="0"/>
              <w:left w:val="single" w:color="auto" w:sz="4" w:space="0"/>
              <w:bottom w:val="single" w:color="auto" w:sz="4" w:space="0"/>
              <w:right w:val="single" w:color="auto" w:sz="4" w:space="0"/>
            </w:tcBorders>
            <w:vAlign w:val="center"/>
          </w:tcPr>
          <w:p w14:paraId="17CEA0A8">
            <w:pPr>
              <w:keepNext w:val="0"/>
              <w:keepLines w:val="0"/>
              <w:pageBreakBefore w:val="0"/>
              <w:widowControl w:val="0"/>
              <w:kinsoku/>
              <w:wordWrap w:val="0"/>
              <w:overflowPunct/>
              <w:topLinePunct w:val="0"/>
              <w:autoSpaceDE/>
              <w:autoSpaceDN/>
              <w:bidi w:val="0"/>
              <w:adjustRightInd/>
              <w:snapToGrid w:val="0"/>
              <w:spacing w:line="400" w:lineRule="exact"/>
              <w:ind w:firstLine="0" w:firstLineChars="0"/>
              <w:jc w:val="center"/>
              <w:textAlignment w:val="auto"/>
              <w:rPr>
                <w:rFonts w:hint="eastAsia" w:ascii="宋体" w:hAnsi="宋体" w:eastAsia="宋体" w:cs="宋体"/>
                <w:sz w:val="21"/>
                <w:szCs w:val="21"/>
              </w:rPr>
            </w:pPr>
          </w:p>
        </w:tc>
        <w:tc>
          <w:tcPr>
            <w:tcW w:w="1185" w:type="dxa"/>
            <w:tcBorders>
              <w:top w:val="single" w:color="auto" w:sz="4" w:space="0"/>
              <w:left w:val="single" w:color="auto" w:sz="4" w:space="0"/>
              <w:bottom w:val="single" w:color="auto" w:sz="4" w:space="0"/>
              <w:right w:val="single" w:color="auto" w:sz="4" w:space="0"/>
            </w:tcBorders>
            <w:vAlign w:val="center"/>
          </w:tcPr>
          <w:p w14:paraId="6CF5FEB5">
            <w:pPr>
              <w:keepNext w:val="0"/>
              <w:keepLines w:val="0"/>
              <w:pageBreakBefore w:val="0"/>
              <w:widowControl w:val="0"/>
              <w:kinsoku/>
              <w:wordWrap w:val="0"/>
              <w:overflowPunct/>
              <w:topLinePunct w:val="0"/>
              <w:autoSpaceDE/>
              <w:autoSpaceDN/>
              <w:bidi w:val="0"/>
              <w:adjustRightInd/>
              <w:snapToGrid w:val="0"/>
              <w:spacing w:line="400" w:lineRule="exact"/>
              <w:ind w:firstLine="0" w:firstLineChars="0"/>
              <w:jc w:val="center"/>
              <w:textAlignment w:val="auto"/>
              <w:rPr>
                <w:rFonts w:hint="eastAsia" w:ascii="宋体" w:hAnsi="宋体" w:eastAsia="宋体" w:cs="宋体"/>
                <w:sz w:val="21"/>
                <w:szCs w:val="21"/>
              </w:rPr>
            </w:pPr>
          </w:p>
        </w:tc>
        <w:tc>
          <w:tcPr>
            <w:tcW w:w="1260" w:type="dxa"/>
            <w:tcBorders>
              <w:top w:val="single" w:color="auto" w:sz="4" w:space="0"/>
              <w:left w:val="single" w:color="auto" w:sz="4" w:space="0"/>
              <w:bottom w:val="single" w:color="auto" w:sz="4" w:space="0"/>
              <w:right w:val="single" w:color="auto" w:sz="4" w:space="0"/>
            </w:tcBorders>
            <w:vAlign w:val="center"/>
          </w:tcPr>
          <w:p w14:paraId="34395001">
            <w:pPr>
              <w:keepNext w:val="0"/>
              <w:keepLines w:val="0"/>
              <w:pageBreakBefore w:val="0"/>
              <w:widowControl w:val="0"/>
              <w:kinsoku/>
              <w:wordWrap w:val="0"/>
              <w:overflowPunct/>
              <w:topLinePunct w:val="0"/>
              <w:autoSpaceDE/>
              <w:autoSpaceDN/>
              <w:bidi w:val="0"/>
              <w:adjustRightInd/>
              <w:snapToGrid w:val="0"/>
              <w:spacing w:line="400" w:lineRule="exact"/>
              <w:ind w:firstLine="0" w:firstLineChars="0"/>
              <w:jc w:val="center"/>
              <w:textAlignment w:val="auto"/>
              <w:rPr>
                <w:rFonts w:hint="eastAsia" w:ascii="宋体" w:hAnsi="宋体" w:eastAsia="宋体" w:cs="宋体"/>
                <w:sz w:val="21"/>
                <w:szCs w:val="21"/>
              </w:rPr>
            </w:pPr>
          </w:p>
        </w:tc>
        <w:tc>
          <w:tcPr>
            <w:tcW w:w="1260" w:type="dxa"/>
            <w:tcBorders>
              <w:top w:val="single" w:color="auto" w:sz="4" w:space="0"/>
              <w:left w:val="single" w:color="auto" w:sz="4" w:space="0"/>
              <w:bottom w:val="single" w:color="auto" w:sz="4" w:space="0"/>
              <w:right w:val="single" w:color="auto" w:sz="4" w:space="0"/>
            </w:tcBorders>
            <w:vAlign w:val="center"/>
          </w:tcPr>
          <w:p w14:paraId="15BEFFB9">
            <w:pPr>
              <w:keepNext w:val="0"/>
              <w:keepLines w:val="0"/>
              <w:pageBreakBefore w:val="0"/>
              <w:widowControl w:val="0"/>
              <w:kinsoku/>
              <w:wordWrap w:val="0"/>
              <w:overflowPunct/>
              <w:topLinePunct w:val="0"/>
              <w:autoSpaceDE/>
              <w:autoSpaceDN/>
              <w:bidi w:val="0"/>
              <w:adjustRightInd/>
              <w:snapToGrid w:val="0"/>
              <w:spacing w:line="400" w:lineRule="exact"/>
              <w:ind w:firstLine="0" w:firstLineChars="0"/>
              <w:jc w:val="center"/>
              <w:textAlignment w:val="auto"/>
              <w:rPr>
                <w:rFonts w:hint="eastAsia" w:ascii="宋体" w:hAnsi="宋体" w:eastAsia="宋体" w:cs="宋体"/>
                <w:sz w:val="21"/>
                <w:szCs w:val="21"/>
              </w:rPr>
            </w:pPr>
          </w:p>
        </w:tc>
      </w:tr>
    </w:tbl>
    <w:p w14:paraId="4E17A9C1">
      <w:pPr>
        <w:pStyle w:val="3"/>
        <w:pageBreakBefore w:val="0"/>
        <w:widowControl w:val="0"/>
        <w:kinsoku/>
        <w:wordWrap w:val="0"/>
        <w:overflowPunct/>
        <w:topLinePunct w:val="0"/>
        <w:autoSpaceDE/>
        <w:autoSpaceDN/>
        <w:bidi w:val="0"/>
        <w:adjustRightInd/>
        <w:snapToGrid w:val="0"/>
        <w:spacing w:before="0" w:after="0" w:line="520" w:lineRule="exact"/>
        <w:ind w:firstLine="482" w:firstLineChars="200"/>
        <w:textAlignment w:val="auto"/>
        <w:rPr>
          <w:rFonts w:hint="eastAsia" w:ascii="宋体" w:hAnsi="宋体" w:eastAsia="宋体" w:cs="宋体"/>
          <w:sz w:val="24"/>
          <w:szCs w:val="24"/>
        </w:rPr>
      </w:pPr>
      <w:bookmarkStart w:id="2" w:name="_Toc217446108"/>
      <w:r>
        <w:rPr>
          <w:rFonts w:hint="eastAsia" w:ascii="宋体" w:hAnsi="宋体" w:eastAsia="宋体" w:cs="宋体"/>
          <w:sz w:val="24"/>
          <w:szCs w:val="24"/>
        </w:rPr>
        <w:t>二、合同总价</w:t>
      </w:r>
      <w:bookmarkEnd w:id="2"/>
    </w:p>
    <w:p w14:paraId="7CD84001">
      <w:pPr>
        <w:pStyle w:val="4"/>
        <w:pageBreakBefore w:val="0"/>
        <w:widowControl w:val="0"/>
        <w:kinsoku/>
        <w:wordWrap w:val="0"/>
        <w:overflowPunct/>
        <w:topLinePunct w:val="0"/>
        <w:autoSpaceDE/>
        <w:autoSpaceDN/>
        <w:bidi w:val="0"/>
        <w:adjustRightInd/>
        <w:snapToGrid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合同总价为人民币大写：</w:t>
      </w:r>
      <w:r>
        <w:rPr>
          <w:rFonts w:hint="eastAsia" w:ascii="宋体" w:hAnsi="宋体" w:eastAsia="宋体" w:cs="宋体"/>
          <w:sz w:val="24"/>
          <w:szCs w:val="24"/>
          <w:u w:val="single"/>
        </w:rPr>
        <w:t xml:space="preserve">                </w:t>
      </w:r>
      <w:r>
        <w:rPr>
          <w:rFonts w:hint="eastAsia" w:ascii="宋体" w:hAnsi="宋体" w:eastAsia="宋体" w:cs="宋体"/>
          <w:sz w:val="24"/>
          <w:szCs w:val="24"/>
        </w:rPr>
        <w:t>元，即RMB￥</w:t>
      </w:r>
      <w:r>
        <w:rPr>
          <w:rFonts w:hint="eastAsia" w:ascii="宋体" w:hAnsi="宋体" w:eastAsia="宋体" w:cs="宋体"/>
          <w:sz w:val="24"/>
          <w:szCs w:val="24"/>
          <w:u w:val="single"/>
        </w:rPr>
        <w:t xml:space="preserve">        </w:t>
      </w:r>
      <w:r>
        <w:rPr>
          <w:rFonts w:hint="eastAsia" w:ascii="宋体" w:hAnsi="宋体" w:eastAsia="宋体" w:cs="宋体"/>
          <w:sz w:val="24"/>
          <w:szCs w:val="24"/>
        </w:rPr>
        <w:t>元；该合同总价已包括货物设计、材料、制造、包装、运输、安装、调试、检测、验收合格交付使用之前及保修期内保修服务与备用物件等等所有其他有关各项的含税费用。本合同执行期间合同总价不变，甲方无须另向乙方支付本合同规定之外的其他任何费用。</w:t>
      </w:r>
    </w:p>
    <w:p w14:paraId="0F1C5FFA">
      <w:pPr>
        <w:pStyle w:val="3"/>
        <w:pageBreakBefore w:val="0"/>
        <w:widowControl w:val="0"/>
        <w:kinsoku/>
        <w:wordWrap w:val="0"/>
        <w:overflowPunct/>
        <w:topLinePunct w:val="0"/>
        <w:autoSpaceDE/>
        <w:autoSpaceDN/>
        <w:bidi w:val="0"/>
        <w:adjustRightInd/>
        <w:snapToGrid w:val="0"/>
        <w:spacing w:before="0" w:after="0" w:line="520" w:lineRule="exact"/>
        <w:ind w:firstLine="482" w:firstLineChars="200"/>
        <w:textAlignment w:val="auto"/>
        <w:rPr>
          <w:rFonts w:hint="eastAsia" w:ascii="宋体" w:hAnsi="宋体" w:eastAsia="宋体" w:cs="宋体"/>
          <w:sz w:val="24"/>
          <w:szCs w:val="24"/>
        </w:rPr>
      </w:pPr>
      <w:bookmarkStart w:id="3" w:name="_Toc217446109"/>
      <w:r>
        <w:rPr>
          <w:rFonts w:hint="eastAsia" w:ascii="宋体" w:hAnsi="宋体" w:eastAsia="宋体" w:cs="宋体"/>
          <w:sz w:val="24"/>
          <w:szCs w:val="24"/>
        </w:rPr>
        <w:t>三、质量要求</w:t>
      </w:r>
      <w:bookmarkEnd w:id="3"/>
    </w:p>
    <w:p w14:paraId="4E9AA5CD">
      <w:pPr>
        <w:pStyle w:val="29"/>
        <w:pageBreakBefore w:val="0"/>
        <w:widowControl w:val="0"/>
        <w:kinsoku/>
        <w:wordWrap w:val="0"/>
        <w:overflowPunct/>
        <w:topLinePunct w:val="0"/>
        <w:autoSpaceDE/>
        <w:autoSpaceDN/>
        <w:bidi w:val="0"/>
        <w:adjustRightInd/>
        <w:snapToGrid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1、乙方须提供全新的货物（含零部件、配件等），表面无划伤、无碰撞痕迹，且权属清楚，不得侵害他人的知识产权。</w:t>
      </w:r>
    </w:p>
    <w:p w14:paraId="1DD79B37">
      <w:pPr>
        <w:pStyle w:val="29"/>
        <w:pageBreakBefore w:val="0"/>
        <w:widowControl w:val="0"/>
        <w:kinsoku/>
        <w:wordWrap w:val="0"/>
        <w:overflowPunct/>
        <w:topLinePunct w:val="0"/>
        <w:autoSpaceDE/>
        <w:autoSpaceDN/>
        <w:bidi w:val="0"/>
        <w:adjustRightInd/>
        <w:snapToGrid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2、货物必须符合或优于国家（行业）</w:t>
      </w:r>
      <w:r>
        <w:rPr>
          <w:rFonts w:hint="eastAsia" w:ascii="宋体" w:hAnsi="宋体" w:eastAsia="宋体" w:cs="宋体"/>
          <w:sz w:val="24"/>
          <w:szCs w:val="24"/>
          <w:u w:val="single"/>
        </w:rPr>
        <w:t xml:space="preserve">          </w:t>
      </w:r>
      <w:r>
        <w:rPr>
          <w:rFonts w:hint="eastAsia" w:ascii="宋体" w:hAnsi="宋体" w:eastAsia="宋体" w:cs="宋体"/>
          <w:sz w:val="24"/>
          <w:szCs w:val="24"/>
        </w:rPr>
        <w:t>标准，以及本项目招标文件的质量要求和技术指标与出厂标准。</w:t>
      </w:r>
    </w:p>
    <w:p w14:paraId="736A5C7A">
      <w:pPr>
        <w:pStyle w:val="29"/>
        <w:pageBreakBefore w:val="0"/>
        <w:widowControl w:val="0"/>
        <w:kinsoku/>
        <w:wordWrap w:val="0"/>
        <w:overflowPunct/>
        <w:topLinePunct w:val="0"/>
        <w:autoSpaceDE/>
        <w:autoSpaceDN/>
        <w:bidi w:val="0"/>
        <w:adjustRightInd/>
        <w:snapToGrid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3、乙方须在本合同签订之日起</w:t>
      </w:r>
      <w:r>
        <w:rPr>
          <w:rFonts w:hint="eastAsia" w:ascii="宋体" w:hAnsi="宋体" w:eastAsia="宋体" w:cs="宋体"/>
          <w:sz w:val="24"/>
          <w:szCs w:val="24"/>
          <w:u w:val="single"/>
        </w:rPr>
        <w:t xml:space="preserve">   </w:t>
      </w:r>
      <w:r>
        <w:rPr>
          <w:rFonts w:hint="eastAsia" w:ascii="宋体" w:hAnsi="宋体" w:eastAsia="宋体" w:cs="宋体"/>
          <w:sz w:val="24"/>
          <w:szCs w:val="24"/>
        </w:rPr>
        <w:t>日内送交货物成品样品给甲方确认，在甲方出具样品确认书并封存成品样品外观尺寸后，乙方才能按样生产，并以此样品作为验收样品；每台货物上均应有产品质量检验合格标志。</w:t>
      </w:r>
    </w:p>
    <w:p w14:paraId="526AA9CF">
      <w:pPr>
        <w:pStyle w:val="29"/>
        <w:pageBreakBefore w:val="0"/>
        <w:widowControl w:val="0"/>
        <w:kinsoku/>
        <w:wordWrap w:val="0"/>
        <w:overflowPunct/>
        <w:topLinePunct w:val="0"/>
        <w:autoSpaceDE/>
        <w:autoSpaceDN/>
        <w:bidi w:val="0"/>
        <w:adjustRightInd/>
        <w:snapToGrid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4、货物制造质量出现问题，乙方应负责三包（包修、包换、包退），费用由乙方负担，甲方有权到乙方生产场地检查货物质量和生产进度。</w:t>
      </w:r>
    </w:p>
    <w:p w14:paraId="61013CD8">
      <w:pPr>
        <w:pStyle w:val="29"/>
        <w:pageBreakBefore w:val="0"/>
        <w:widowControl w:val="0"/>
        <w:kinsoku/>
        <w:wordWrap w:val="0"/>
        <w:overflowPunct/>
        <w:topLinePunct w:val="0"/>
        <w:autoSpaceDE/>
        <w:autoSpaceDN/>
        <w:bidi w:val="0"/>
        <w:adjustRightInd/>
        <w:snapToGrid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5、货到现场后由于甲方保管不当造成的质量问题，乙方亦应负责修理，但费用由甲方负担。</w:t>
      </w:r>
    </w:p>
    <w:p w14:paraId="078811B9">
      <w:pPr>
        <w:pStyle w:val="3"/>
        <w:pageBreakBefore w:val="0"/>
        <w:widowControl w:val="0"/>
        <w:kinsoku/>
        <w:wordWrap w:val="0"/>
        <w:overflowPunct/>
        <w:topLinePunct w:val="0"/>
        <w:autoSpaceDE/>
        <w:autoSpaceDN/>
        <w:bidi w:val="0"/>
        <w:adjustRightInd/>
        <w:snapToGrid w:val="0"/>
        <w:spacing w:before="0" w:after="0" w:line="520" w:lineRule="exact"/>
        <w:ind w:firstLine="482" w:firstLineChars="200"/>
        <w:textAlignment w:val="auto"/>
        <w:rPr>
          <w:rFonts w:hint="eastAsia" w:ascii="宋体" w:hAnsi="宋体" w:eastAsia="宋体" w:cs="宋体"/>
          <w:sz w:val="24"/>
          <w:szCs w:val="24"/>
        </w:rPr>
      </w:pPr>
      <w:bookmarkStart w:id="4" w:name="_Toc217446110"/>
      <w:r>
        <w:rPr>
          <w:rFonts w:hint="eastAsia" w:ascii="宋体" w:hAnsi="宋体" w:eastAsia="宋体" w:cs="宋体"/>
          <w:sz w:val="24"/>
          <w:szCs w:val="24"/>
        </w:rPr>
        <w:t>四、交货及验收</w:t>
      </w:r>
      <w:bookmarkEnd w:id="4"/>
    </w:p>
    <w:p w14:paraId="0A1CA53A">
      <w:pPr>
        <w:pStyle w:val="29"/>
        <w:pageBreakBefore w:val="0"/>
        <w:widowControl w:val="0"/>
        <w:kinsoku/>
        <w:wordWrap w:val="0"/>
        <w:overflowPunct/>
        <w:topLinePunct w:val="0"/>
        <w:autoSpaceDE/>
        <w:autoSpaceDN/>
        <w:bidi w:val="0"/>
        <w:adjustRightInd/>
        <w:snapToGrid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乙方交货期限为合同签订生效后的XX日内，在合同签订生效之日起XX天内交货到甲方指定地点，随即在XX日内全部完成安装调试验收合格交付使用，并且最迟应在XX年XX月XX日前全部完成安装调试验收合格交付使用(如由于采购人的原因造成合同延迟签订或验收的，时间顺延)。交货验收时须提供产品质检部门从同类产品中抽样检查合格的检测报告。</w:t>
      </w:r>
    </w:p>
    <w:p w14:paraId="07FB4C55">
      <w:pPr>
        <w:pStyle w:val="29"/>
        <w:pageBreakBefore w:val="0"/>
        <w:widowControl w:val="0"/>
        <w:kinsoku/>
        <w:wordWrap w:val="0"/>
        <w:overflowPunct/>
        <w:topLinePunct w:val="0"/>
        <w:autoSpaceDE/>
        <w:autoSpaceDN/>
        <w:bidi w:val="0"/>
        <w:adjustRightInd/>
        <w:snapToGrid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2、验收由甲方组织，乙方配合进行：</w:t>
      </w:r>
    </w:p>
    <w:p w14:paraId="4EAC1D70">
      <w:pPr>
        <w:pStyle w:val="29"/>
        <w:pageBreakBefore w:val="0"/>
        <w:widowControl w:val="0"/>
        <w:kinsoku/>
        <w:wordWrap w:val="0"/>
        <w:overflowPunct/>
        <w:topLinePunct w:val="0"/>
        <w:autoSpaceDE/>
        <w:autoSpaceDN/>
        <w:bidi w:val="0"/>
        <w:adjustRightInd/>
        <w:snapToGrid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 货物在乙方通知安装调试完毕后</w:t>
      </w:r>
      <w:r>
        <w:rPr>
          <w:rFonts w:hint="eastAsia" w:ascii="宋体" w:hAnsi="宋体" w:eastAsia="宋体" w:cs="宋体"/>
          <w:sz w:val="24"/>
          <w:szCs w:val="24"/>
          <w:u w:val="single"/>
        </w:rPr>
        <w:t xml:space="preserve">    </w:t>
      </w:r>
      <w:r>
        <w:rPr>
          <w:rFonts w:hint="eastAsia" w:ascii="宋体" w:hAnsi="宋体" w:eastAsia="宋体" w:cs="宋体"/>
          <w:sz w:val="24"/>
          <w:szCs w:val="24"/>
        </w:rPr>
        <w:t>日内由甲方接收单位根据产品技术参数要求对基础参数进行查验后签署收货单据后，进入10个日历日的试用期；试用期结束由乙方提出验收申请，自甲方收到验收申请之日起</w:t>
      </w:r>
      <w:r>
        <w:rPr>
          <w:rFonts w:hint="eastAsia" w:ascii="宋体" w:hAnsi="宋体" w:eastAsia="宋体" w:cs="宋体"/>
          <w:sz w:val="24"/>
          <w:szCs w:val="24"/>
          <w:u w:val="single"/>
        </w:rPr>
        <w:t xml:space="preserve">    </w:t>
      </w:r>
      <w:r>
        <w:rPr>
          <w:rFonts w:hint="eastAsia" w:ascii="宋体" w:hAnsi="宋体" w:eastAsia="宋体" w:cs="宋体"/>
          <w:sz w:val="24"/>
          <w:szCs w:val="24"/>
        </w:rPr>
        <w:t>日内完成最终验收；</w:t>
      </w:r>
    </w:p>
    <w:p w14:paraId="3BF2333F">
      <w:pPr>
        <w:pStyle w:val="29"/>
        <w:pageBreakBefore w:val="0"/>
        <w:widowControl w:val="0"/>
        <w:kinsoku/>
        <w:wordWrap w:val="0"/>
        <w:overflowPunct/>
        <w:topLinePunct w:val="0"/>
        <w:autoSpaceDE/>
        <w:autoSpaceDN/>
        <w:bidi w:val="0"/>
        <w:adjustRightInd/>
        <w:snapToGrid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 验收标准：技术履约验收内容详见技术要求及乙方投标响应，按国家有关规定以及本项目招标文件的质量要求和技术指标、乙方的投标文件及承诺以及本项目采购合同约定，对于必须依赖专业检测设备才能证明的技术要求，乙方应在验收时提交由国家认可的第三方检测机构出具的检测报告予以证明，未提交检测报告的视为不满足技术要求。其他技术要求按DB51/T 2940-2022《教育装备产品的基础参数检测验收规范》进行验收；甲乙双方如对质量要求和技术指标的约定标准有相互抵触或异议的事项，由甲方在招标与投标文件中按质量要求和技术指标比较优胜的原则确定该项的约定标准进行验收。</w:t>
      </w:r>
    </w:p>
    <w:p w14:paraId="55A4BE65">
      <w:pPr>
        <w:pStyle w:val="29"/>
        <w:pageBreakBefore w:val="0"/>
        <w:widowControl w:val="0"/>
        <w:kinsoku/>
        <w:wordWrap w:val="0"/>
        <w:overflowPunct/>
        <w:topLinePunct w:val="0"/>
        <w:autoSpaceDE/>
        <w:autoSpaceDN/>
        <w:bidi w:val="0"/>
        <w:adjustRightInd/>
        <w:snapToGrid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 验收时如发现所交付的货物有短装、次品、损坏或其它不符合标准及本合同规定之情形者，甲方应做出详尽的现场记录，或由甲乙双方签署备忘录，此现场记录或备忘录可用作补充、缺失和更换损坏部件的有效证据，由此产生的时间延误与有关费用由乙方承担，验收期限相应顺延；</w:t>
      </w:r>
    </w:p>
    <w:p w14:paraId="2C28FF9C">
      <w:pPr>
        <w:pStyle w:val="29"/>
        <w:pageBreakBefore w:val="0"/>
        <w:widowControl w:val="0"/>
        <w:kinsoku/>
        <w:wordWrap w:val="0"/>
        <w:overflowPunct/>
        <w:topLinePunct w:val="0"/>
        <w:autoSpaceDE/>
        <w:autoSpaceDN/>
        <w:bidi w:val="0"/>
        <w:adjustRightInd/>
        <w:snapToGrid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 如质量验收合格，双方签署质量验收报告。</w:t>
      </w:r>
    </w:p>
    <w:p w14:paraId="3BE2D21F">
      <w:pPr>
        <w:pStyle w:val="29"/>
        <w:pageBreakBefore w:val="0"/>
        <w:widowControl w:val="0"/>
        <w:kinsoku/>
        <w:wordWrap w:val="0"/>
        <w:overflowPunct/>
        <w:topLinePunct w:val="0"/>
        <w:autoSpaceDE/>
        <w:autoSpaceDN/>
        <w:bidi w:val="0"/>
        <w:adjustRightInd/>
        <w:snapToGrid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3、货物安装完成后</w:t>
      </w:r>
      <w:r>
        <w:rPr>
          <w:rFonts w:hint="eastAsia" w:ascii="宋体" w:hAnsi="宋体" w:eastAsia="宋体" w:cs="宋体"/>
          <w:sz w:val="24"/>
          <w:szCs w:val="24"/>
          <w:u w:val="single"/>
        </w:rPr>
        <w:t xml:space="preserve">     </w:t>
      </w:r>
      <w:r>
        <w:rPr>
          <w:rFonts w:hint="eastAsia" w:ascii="宋体" w:hAnsi="宋体" w:eastAsia="宋体" w:cs="宋体"/>
          <w:sz w:val="24"/>
          <w:szCs w:val="24"/>
        </w:rPr>
        <w:t>日内，甲方无故不进行验收工作并已使用货物的，视同已安装调试完成并验收合格。</w:t>
      </w:r>
    </w:p>
    <w:p w14:paraId="07A3CFEC">
      <w:pPr>
        <w:pStyle w:val="29"/>
        <w:pageBreakBefore w:val="0"/>
        <w:widowControl w:val="0"/>
        <w:kinsoku/>
        <w:wordWrap w:val="0"/>
        <w:overflowPunct/>
        <w:topLinePunct w:val="0"/>
        <w:autoSpaceDE/>
        <w:autoSpaceDN/>
        <w:bidi w:val="0"/>
        <w:adjustRightInd/>
        <w:snapToGrid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4、乙方应将所提供货物的装箱清单、配件、随机工具、用户使用手册、原厂保修卡等资料交付给甲方；乙方不能完整交付货物及本款规定的单证和工具的，必须负责补齐，否则视为未按合同约定交货。</w:t>
      </w:r>
    </w:p>
    <w:p w14:paraId="326C505A">
      <w:pPr>
        <w:pStyle w:val="29"/>
        <w:pageBreakBefore w:val="0"/>
        <w:widowControl w:val="0"/>
        <w:kinsoku/>
        <w:wordWrap w:val="0"/>
        <w:overflowPunct/>
        <w:topLinePunct w:val="0"/>
        <w:autoSpaceDE/>
        <w:autoSpaceDN/>
        <w:bidi w:val="0"/>
        <w:adjustRightInd/>
        <w:snapToGrid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5、如货物经乙方</w:t>
      </w:r>
      <w:r>
        <w:rPr>
          <w:rFonts w:hint="eastAsia" w:ascii="宋体" w:hAnsi="宋体" w:eastAsia="宋体" w:cs="宋体"/>
          <w:sz w:val="24"/>
          <w:szCs w:val="24"/>
          <w:u w:val="single"/>
        </w:rPr>
        <w:t xml:space="preserve">   </w:t>
      </w:r>
      <w:r>
        <w:rPr>
          <w:rFonts w:hint="eastAsia" w:ascii="宋体" w:hAnsi="宋体" w:eastAsia="宋体" w:cs="宋体"/>
          <w:sz w:val="24"/>
          <w:szCs w:val="24"/>
        </w:rPr>
        <w:t>次维修仍不能达到合同约定的质量标准，甲方有权退货，并视作乙方不能交付货物而须支付违约赔偿金给甲方，甲方还可依法追究乙方的违约责任。 </w:t>
      </w:r>
    </w:p>
    <w:p w14:paraId="00534858">
      <w:pPr>
        <w:pStyle w:val="29"/>
        <w:pageBreakBefore w:val="0"/>
        <w:widowControl w:val="0"/>
        <w:kinsoku/>
        <w:wordWrap w:val="0"/>
        <w:overflowPunct/>
        <w:topLinePunct w:val="0"/>
        <w:autoSpaceDE/>
        <w:autoSpaceDN/>
        <w:bidi w:val="0"/>
        <w:adjustRightInd/>
        <w:snapToGrid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6、其他未尽事宜应严格按照《财政部关于进一步加强政府采购需求和履约验收管理的指导意见》（财库〔2016〕205号）的要求进行。</w:t>
      </w:r>
    </w:p>
    <w:p w14:paraId="160AFB90">
      <w:pPr>
        <w:pStyle w:val="3"/>
        <w:pageBreakBefore w:val="0"/>
        <w:widowControl w:val="0"/>
        <w:kinsoku/>
        <w:wordWrap w:val="0"/>
        <w:overflowPunct/>
        <w:topLinePunct w:val="0"/>
        <w:autoSpaceDE/>
        <w:autoSpaceDN/>
        <w:bidi w:val="0"/>
        <w:adjustRightInd/>
        <w:snapToGrid w:val="0"/>
        <w:spacing w:before="0" w:after="0" w:line="520" w:lineRule="exact"/>
        <w:ind w:firstLine="482" w:firstLineChars="200"/>
        <w:textAlignment w:val="auto"/>
        <w:rPr>
          <w:rFonts w:hint="eastAsia" w:ascii="宋体" w:hAnsi="宋体" w:eastAsia="宋体" w:cs="宋体"/>
          <w:sz w:val="24"/>
          <w:szCs w:val="24"/>
        </w:rPr>
      </w:pPr>
      <w:bookmarkStart w:id="5" w:name="_Toc217446111"/>
      <w:r>
        <w:rPr>
          <w:rFonts w:hint="eastAsia" w:ascii="宋体" w:hAnsi="宋体" w:eastAsia="宋体" w:cs="宋体"/>
          <w:sz w:val="24"/>
          <w:szCs w:val="24"/>
        </w:rPr>
        <w:t>五、付款方式</w:t>
      </w:r>
      <w:bookmarkEnd w:id="5"/>
    </w:p>
    <w:p w14:paraId="010B0AB1">
      <w:pPr>
        <w:pStyle w:val="29"/>
        <w:pageBreakBefore w:val="0"/>
        <w:widowControl w:val="0"/>
        <w:kinsoku/>
        <w:wordWrap w:val="0"/>
        <w:overflowPunct/>
        <w:topLinePunct w:val="0"/>
        <w:autoSpaceDE/>
        <w:autoSpaceDN/>
        <w:bidi w:val="0"/>
        <w:adjustRightInd/>
        <w:snapToGrid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1、甲方在本合同签订生效之日起接到乙方通知和票据凭证资料后的</w:t>
      </w:r>
      <w:r>
        <w:rPr>
          <w:rFonts w:hint="eastAsia" w:ascii="宋体" w:hAnsi="宋体" w:eastAsia="宋体" w:cs="宋体"/>
          <w:sz w:val="24"/>
          <w:szCs w:val="24"/>
          <w:u w:val="single"/>
        </w:rPr>
        <w:t xml:space="preserve">    </w:t>
      </w:r>
      <w:r>
        <w:rPr>
          <w:rFonts w:hint="eastAsia" w:ascii="宋体" w:hAnsi="宋体" w:eastAsia="宋体" w:cs="宋体"/>
          <w:sz w:val="24"/>
          <w:szCs w:val="24"/>
        </w:rPr>
        <w:t>日内支付合同金额百分之</w:t>
      </w:r>
      <w:r>
        <w:rPr>
          <w:rFonts w:hint="eastAsia" w:ascii="宋体" w:hAnsi="宋体" w:eastAsia="宋体" w:cs="宋体"/>
          <w:sz w:val="24"/>
          <w:szCs w:val="24"/>
          <w:u w:val="single"/>
        </w:rPr>
        <w:t>四十</w:t>
      </w:r>
      <w:r>
        <w:rPr>
          <w:rFonts w:hint="eastAsia" w:ascii="宋体" w:hAnsi="宋体" w:eastAsia="宋体" w:cs="宋体"/>
          <w:sz w:val="24"/>
          <w:szCs w:val="24"/>
        </w:rPr>
        <w:t>的价款：￥</w:t>
      </w:r>
      <w:r>
        <w:rPr>
          <w:rFonts w:hint="eastAsia" w:ascii="宋体" w:hAnsi="宋体" w:eastAsia="宋体" w:cs="宋体"/>
          <w:sz w:val="24"/>
          <w:szCs w:val="24"/>
          <w:u w:val="single"/>
        </w:rPr>
        <w:t xml:space="preserve">     </w:t>
      </w:r>
      <w:r>
        <w:rPr>
          <w:rFonts w:hint="eastAsia" w:ascii="宋体" w:hAnsi="宋体" w:eastAsia="宋体" w:cs="宋体"/>
          <w:sz w:val="24"/>
          <w:szCs w:val="24"/>
        </w:rPr>
        <w:t>元，人民币大写</w:t>
      </w:r>
      <w:r>
        <w:rPr>
          <w:rFonts w:hint="eastAsia" w:ascii="宋体" w:hAnsi="宋体" w:eastAsia="宋体" w:cs="宋体"/>
          <w:sz w:val="24"/>
          <w:szCs w:val="24"/>
          <w:u w:val="single"/>
        </w:rPr>
        <w:t xml:space="preserve">    </w:t>
      </w:r>
      <w:r>
        <w:rPr>
          <w:rFonts w:hint="eastAsia" w:ascii="宋体" w:hAnsi="宋体" w:eastAsia="宋体" w:cs="宋体"/>
          <w:sz w:val="24"/>
          <w:szCs w:val="24"/>
        </w:rPr>
        <w:t>元整；；</w:t>
      </w:r>
    </w:p>
    <w:p w14:paraId="1FA5EB37">
      <w:pPr>
        <w:pStyle w:val="29"/>
        <w:pageBreakBefore w:val="0"/>
        <w:widowControl w:val="0"/>
        <w:kinsoku/>
        <w:wordWrap w:val="0"/>
        <w:overflowPunct/>
        <w:topLinePunct w:val="0"/>
        <w:autoSpaceDE/>
        <w:autoSpaceDN/>
        <w:bidi w:val="0"/>
        <w:adjustRightInd/>
        <w:snapToGrid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2、全部货物安装调试完毕并验收合格之日起，甲方接到乙方通知与票据凭证资料以后的</w:t>
      </w:r>
      <w:r>
        <w:rPr>
          <w:rFonts w:hint="eastAsia" w:ascii="宋体" w:hAnsi="宋体" w:eastAsia="宋体" w:cs="宋体"/>
          <w:sz w:val="24"/>
          <w:szCs w:val="24"/>
          <w:u w:val="single"/>
        </w:rPr>
        <w:t xml:space="preserve">      </w:t>
      </w:r>
      <w:r>
        <w:rPr>
          <w:rFonts w:hint="eastAsia" w:ascii="宋体" w:hAnsi="宋体" w:eastAsia="宋体" w:cs="宋体"/>
          <w:sz w:val="24"/>
          <w:szCs w:val="24"/>
        </w:rPr>
        <w:t>日内，提交支付凭证资料给</w:t>
      </w:r>
      <w:r>
        <w:rPr>
          <w:rFonts w:hint="eastAsia" w:ascii="宋体" w:hAnsi="宋体" w:eastAsia="宋体" w:cs="宋体"/>
          <w:sz w:val="24"/>
          <w:szCs w:val="24"/>
          <w:u w:val="single"/>
        </w:rPr>
        <w:t>四川天府新区直管区</w:t>
      </w:r>
      <w:r>
        <w:rPr>
          <w:rFonts w:hint="eastAsia" w:ascii="宋体" w:hAnsi="宋体" w:eastAsia="宋体" w:cs="宋体"/>
          <w:sz w:val="24"/>
          <w:szCs w:val="24"/>
        </w:rPr>
        <w:t>财政国库支付执行机构办理财政国库支付手续，并由其向乙方核拨合同总价的百分之</w:t>
      </w:r>
      <w:r>
        <w:rPr>
          <w:rFonts w:hint="eastAsia" w:ascii="宋体" w:hAnsi="宋体" w:eastAsia="宋体" w:cs="宋体"/>
          <w:sz w:val="24"/>
          <w:szCs w:val="24"/>
          <w:u w:val="single"/>
        </w:rPr>
        <w:t>六十</w:t>
      </w:r>
      <w:r>
        <w:rPr>
          <w:rFonts w:hint="eastAsia" w:ascii="宋体" w:hAnsi="宋体" w:eastAsia="宋体" w:cs="宋体"/>
          <w:sz w:val="24"/>
          <w:szCs w:val="24"/>
        </w:rPr>
        <w:t>款项：￥</w:t>
      </w:r>
      <w:r>
        <w:rPr>
          <w:rFonts w:hint="eastAsia" w:ascii="宋体" w:hAnsi="宋体" w:eastAsia="宋体" w:cs="宋体"/>
          <w:sz w:val="24"/>
          <w:szCs w:val="24"/>
          <w:u w:val="single"/>
        </w:rPr>
        <w:t xml:space="preserve">     </w:t>
      </w:r>
      <w:r>
        <w:rPr>
          <w:rFonts w:hint="eastAsia" w:ascii="宋体" w:hAnsi="宋体" w:eastAsia="宋体" w:cs="宋体"/>
          <w:sz w:val="24"/>
          <w:szCs w:val="24"/>
        </w:rPr>
        <w:t>元，人民币大写</w:t>
      </w:r>
      <w:r>
        <w:rPr>
          <w:rFonts w:hint="eastAsia" w:ascii="宋体" w:hAnsi="宋体" w:eastAsia="宋体" w:cs="宋体"/>
          <w:sz w:val="24"/>
          <w:szCs w:val="24"/>
          <w:u w:val="single"/>
        </w:rPr>
        <w:t xml:space="preserve">    </w:t>
      </w:r>
      <w:r>
        <w:rPr>
          <w:rFonts w:hint="eastAsia" w:ascii="宋体" w:hAnsi="宋体" w:eastAsia="宋体" w:cs="宋体"/>
          <w:sz w:val="24"/>
          <w:szCs w:val="24"/>
        </w:rPr>
        <w:t>元整；</w:t>
      </w:r>
    </w:p>
    <w:p w14:paraId="3B724819">
      <w:pPr>
        <w:pStyle w:val="29"/>
        <w:pageBreakBefore w:val="0"/>
        <w:widowControl w:val="0"/>
        <w:kinsoku/>
        <w:wordWrap w:val="0"/>
        <w:overflowPunct/>
        <w:topLinePunct w:val="0"/>
        <w:autoSpaceDE/>
        <w:autoSpaceDN/>
        <w:bidi w:val="0"/>
        <w:adjustRightInd/>
        <w:snapToGrid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3、乙方须向甲方出具合法有效完整的完税发票及凭证资料进行支付结算。</w:t>
      </w:r>
    </w:p>
    <w:p w14:paraId="2A44C472">
      <w:pPr>
        <w:pStyle w:val="3"/>
        <w:pageBreakBefore w:val="0"/>
        <w:widowControl w:val="0"/>
        <w:kinsoku/>
        <w:wordWrap w:val="0"/>
        <w:overflowPunct/>
        <w:topLinePunct w:val="0"/>
        <w:autoSpaceDE/>
        <w:autoSpaceDN/>
        <w:bidi w:val="0"/>
        <w:adjustRightInd/>
        <w:snapToGrid w:val="0"/>
        <w:spacing w:before="0" w:after="0" w:line="520" w:lineRule="exact"/>
        <w:ind w:firstLine="482" w:firstLineChars="200"/>
        <w:textAlignment w:val="auto"/>
        <w:rPr>
          <w:rFonts w:hint="eastAsia" w:ascii="宋体" w:hAnsi="宋体" w:eastAsia="宋体" w:cs="宋体"/>
          <w:sz w:val="24"/>
          <w:szCs w:val="24"/>
        </w:rPr>
      </w:pPr>
      <w:bookmarkStart w:id="6" w:name="_Toc217446112"/>
      <w:r>
        <w:rPr>
          <w:rFonts w:hint="eastAsia" w:ascii="宋体" w:hAnsi="宋体" w:eastAsia="宋体" w:cs="宋体"/>
          <w:sz w:val="24"/>
          <w:szCs w:val="24"/>
        </w:rPr>
        <w:t>六、售后服务</w:t>
      </w:r>
      <w:bookmarkEnd w:id="6"/>
    </w:p>
    <w:p w14:paraId="2B310954">
      <w:pPr>
        <w:pStyle w:val="29"/>
        <w:pageBreakBefore w:val="0"/>
        <w:widowControl w:val="0"/>
        <w:kinsoku/>
        <w:wordWrap w:val="0"/>
        <w:overflowPunct/>
        <w:topLinePunct w:val="0"/>
        <w:autoSpaceDE/>
        <w:autoSpaceDN/>
        <w:bidi w:val="0"/>
        <w:adjustRightInd/>
        <w:snapToGrid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1、质保期为验收合格后XX年，质保期内出现质量问题，乙方在接到通知后</w:t>
      </w:r>
      <w:r>
        <w:rPr>
          <w:rFonts w:hint="eastAsia" w:ascii="宋体" w:hAnsi="宋体" w:eastAsia="宋体" w:cs="宋体"/>
          <w:sz w:val="24"/>
          <w:szCs w:val="24"/>
          <w:u w:val="single"/>
        </w:rPr>
        <w:t xml:space="preserve">   </w:t>
      </w:r>
      <w:r>
        <w:rPr>
          <w:rFonts w:hint="eastAsia" w:ascii="宋体" w:hAnsi="宋体" w:eastAsia="宋体" w:cs="宋体"/>
          <w:sz w:val="24"/>
          <w:szCs w:val="24"/>
        </w:rPr>
        <w:t>小时内响应到场，</w:t>
      </w:r>
      <w:r>
        <w:rPr>
          <w:rFonts w:hint="eastAsia" w:ascii="宋体" w:hAnsi="宋体" w:eastAsia="宋体" w:cs="宋体"/>
          <w:sz w:val="24"/>
          <w:szCs w:val="24"/>
          <w:u w:val="single"/>
        </w:rPr>
        <w:t xml:space="preserve">    </w:t>
      </w:r>
      <w:r>
        <w:rPr>
          <w:rFonts w:hint="eastAsia" w:ascii="宋体" w:hAnsi="宋体" w:eastAsia="宋体" w:cs="宋体"/>
          <w:sz w:val="24"/>
          <w:szCs w:val="24"/>
        </w:rPr>
        <w:t>小时内完成维修或更换，并承担修理调换的费用；如货物经乙方</w:t>
      </w:r>
      <w:r>
        <w:rPr>
          <w:rFonts w:hint="eastAsia" w:ascii="宋体" w:hAnsi="宋体" w:eastAsia="宋体" w:cs="宋体"/>
          <w:sz w:val="24"/>
          <w:szCs w:val="24"/>
          <w:u w:val="single"/>
        </w:rPr>
        <w:t xml:space="preserve">   </w:t>
      </w:r>
      <w:r>
        <w:rPr>
          <w:rFonts w:hint="eastAsia" w:ascii="宋体" w:hAnsi="宋体" w:eastAsia="宋体" w:cs="宋体"/>
          <w:sz w:val="24"/>
          <w:szCs w:val="24"/>
        </w:rPr>
        <w:t>次维修仍不能达到本合同约定的质量标准，视作乙方未能按时交货，甲方有权退货并追究乙方的违约责任。货到现场后由于甲方保管不当造成的问题，乙方亦应负责修复，但费用由甲方负担。</w:t>
      </w:r>
    </w:p>
    <w:p w14:paraId="133FB309">
      <w:pPr>
        <w:pStyle w:val="29"/>
        <w:pageBreakBefore w:val="0"/>
        <w:widowControl w:val="0"/>
        <w:kinsoku/>
        <w:wordWrap w:val="0"/>
        <w:overflowPunct/>
        <w:topLinePunct w:val="0"/>
        <w:autoSpaceDE/>
        <w:autoSpaceDN/>
        <w:bidi w:val="0"/>
        <w:adjustRightInd/>
        <w:snapToGrid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2、乙方须指派专人负责与甲方联系售后服务事宜。 </w:t>
      </w:r>
    </w:p>
    <w:p w14:paraId="0DC419BE">
      <w:pPr>
        <w:pStyle w:val="3"/>
        <w:pageBreakBefore w:val="0"/>
        <w:widowControl w:val="0"/>
        <w:kinsoku/>
        <w:wordWrap w:val="0"/>
        <w:overflowPunct/>
        <w:topLinePunct w:val="0"/>
        <w:autoSpaceDE/>
        <w:autoSpaceDN/>
        <w:bidi w:val="0"/>
        <w:adjustRightInd/>
        <w:snapToGrid w:val="0"/>
        <w:spacing w:before="0" w:after="0" w:line="520" w:lineRule="exact"/>
        <w:ind w:firstLine="482" w:firstLineChars="200"/>
        <w:textAlignment w:val="auto"/>
        <w:rPr>
          <w:rFonts w:hint="eastAsia" w:ascii="宋体" w:hAnsi="宋体" w:eastAsia="宋体" w:cs="宋体"/>
          <w:sz w:val="24"/>
          <w:szCs w:val="24"/>
        </w:rPr>
      </w:pPr>
      <w:bookmarkStart w:id="7" w:name="_Toc217446113"/>
      <w:r>
        <w:rPr>
          <w:rFonts w:hint="eastAsia" w:ascii="宋体" w:hAnsi="宋体" w:eastAsia="宋体" w:cs="宋体"/>
          <w:sz w:val="24"/>
          <w:szCs w:val="24"/>
        </w:rPr>
        <w:t>七、违约责任</w:t>
      </w:r>
      <w:bookmarkEnd w:id="7"/>
    </w:p>
    <w:p w14:paraId="333F302E">
      <w:pPr>
        <w:pStyle w:val="29"/>
        <w:pageBreakBefore w:val="0"/>
        <w:widowControl w:val="0"/>
        <w:kinsoku/>
        <w:wordWrap w:val="0"/>
        <w:overflowPunct/>
        <w:topLinePunct w:val="0"/>
        <w:autoSpaceDE/>
        <w:autoSpaceDN/>
        <w:bidi w:val="0"/>
        <w:adjustRightInd/>
        <w:snapToGrid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1、甲方违约责任</w:t>
      </w:r>
    </w:p>
    <w:p w14:paraId="1A283320">
      <w:pPr>
        <w:pStyle w:val="29"/>
        <w:pageBreakBefore w:val="0"/>
        <w:widowControl w:val="0"/>
        <w:kinsoku/>
        <w:wordWrap w:val="0"/>
        <w:overflowPunct/>
        <w:topLinePunct w:val="0"/>
        <w:autoSpaceDE/>
        <w:autoSpaceDN/>
        <w:bidi w:val="0"/>
        <w:adjustRightInd/>
        <w:snapToGrid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 甲方无正当理由拒收货物的，甲方应偿付合同总价百分之五的违约金；</w:t>
      </w:r>
    </w:p>
    <w:p w14:paraId="133E0102">
      <w:pPr>
        <w:pStyle w:val="29"/>
        <w:pageBreakBefore w:val="0"/>
        <w:widowControl w:val="0"/>
        <w:kinsoku/>
        <w:wordWrap w:val="0"/>
        <w:overflowPunct/>
        <w:topLinePunct w:val="0"/>
        <w:autoSpaceDE/>
        <w:autoSpaceDN/>
        <w:bidi w:val="0"/>
        <w:adjustRightInd/>
        <w:snapToGrid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 甲方逾期支付货款的，除应及时付足货款外，应向乙方偿付欠款总额每日万分之五的违约金；逾期付款超过20天的，乙方有权终止合同；</w:t>
      </w:r>
    </w:p>
    <w:p w14:paraId="4CB96DE9">
      <w:pPr>
        <w:pStyle w:val="29"/>
        <w:pageBreakBefore w:val="0"/>
        <w:widowControl w:val="0"/>
        <w:kinsoku/>
        <w:wordWrap w:val="0"/>
        <w:overflowPunct/>
        <w:topLinePunct w:val="0"/>
        <w:autoSpaceDE/>
        <w:autoSpaceDN/>
        <w:bidi w:val="0"/>
        <w:adjustRightInd/>
        <w:snapToGrid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2、乙方违约责任</w:t>
      </w:r>
    </w:p>
    <w:p w14:paraId="00BA68BA">
      <w:pPr>
        <w:pStyle w:val="29"/>
        <w:pageBreakBefore w:val="0"/>
        <w:widowControl w:val="0"/>
        <w:kinsoku/>
        <w:wordWrap w:val="0"/>
        <w:overflowPunct/>
        <w:topLinePunct w:val="0"/>
        <w:autoSpaceDE/>
        <w:autoSpaceDN/>
        <w:bidi w:val="0"/>
        <w:adjustRightInd/>
        <w:snapToGrid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乙方交付的货物质量不符合合同约定的，乙方应向甲方支付合同总价的百分之五的违约金，并须在合同约定的交货时间内更换合格的货物给甲方，否则，视作乙方不能交付货物而违约，按本条本款下述第“（2）”项约定由乙方偿付违约赔偿金给甲方。</w:t>
      </w:r>
    </w:p>
    <w:p w14:paraId="0A505C53">
      <w:pPr>
        <w:pStyle w:val="29"/>
        <w:pageBreakBefore w:val="0"/>
        <w:widowControl w:val="0"/>
        <w:kinsoku/>
        <w:wordWrap w:val="0"/>
        <w:overflowPunct/>
        <w:topLinePunct w:val="0"/>
        <w:autoSpaceDE/>
        <w:autoSpaceDN/>
        <w:bidi w:val="0"/>
        <w:adjustRightInd/>
        <w:snapToGrid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乙方不能交付货物或逾期交付货物、逾期履行质保责任而违约的，除应及时交足货物或及时履行义务外，应分别向甲方偿付逾期交货部分货款总额或合同总金额的万分之五/天的违约金；逾期交货超过20天，甲方有权单方面解除本合同，乙方则应按合同总价的百分之十的款额向甲方支付违约金，并须全额退还甲方已经付给乙方的货款及其利息。</w:t>
      </w:r>
    </w:p>
    <w:p w14:paraId="47F28AD5">
      <w:pPr>
        <w:pStyle w:val="29"/>
        <w:pageBreakBefore w:val="0"/>
        <w:widowControl w:val="0"/>
        <w:kinsoku/>
        <w:wordWrap w:val="0"/>
        <w:overflowPunct/>
        <w:topLinePunct w:val="0"/>
        <w:autoSpaceDE/>
        <w:autoSpaceDN/>
        <w:bidi w:val="0"/>
        <w:adjustRightInd/>
        <w:snapToGrid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乙方货物经甲方送交具有法定资格条件的质量技术监督机构检测后，如检测结果认定货物质量不符合本合同规定标准的，则视为乙方没有按时交货而违约，乙方须在15天内无条件更换合格的货物，如逾期不能更换合格的货物，甲方有权单方面解除本合同，乙方应另付合同总价的百分之十的违约金给甲方。</w:t>
      </w:r>
    </w:p>
    <w:p w14:paraId="3EC4F8F0">
      <w:pPr>
        <w:pStyle w:val="29"/>
        <w:pageBreakBefore w:val="0"/>
        <w:widowControl w:val="0"/>
        <w:kinsoku/>
        <w:wordWrap w:val="0"/>
        <w:overflowPunct/>
        <w:topLinePunct w:val="0"/>
        <w:autoSpaceDE/>
        <w:autoSpaceDN/>
        <w:bidi w:val="0"/>
        <w:adjustRightInd/>
        <w:snapToGrid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百分之十向甲方支付违约金并赔偿因此给甲方造成的一切损失。</w:t>
      </w:r>
    </w:p>
    <w:p w14:paraId="258EF265">
      <w:pPr>
        <w:pStyle w:val="29"/>
        <w:pageBreakBefore w:val="0"/>
        <w:widowControl w:val="0"/>
        <w:kinsoku/>
        <w:wordWrap w:val="0"/>
        <w:overflowPunct/>
        <w:topLinePunct w:val="0"/>
        <w:autoSpaceDE/>
        <w:autoSpaceDN/>
        <w:bidi w:val="0"/>
        <w:adjustRightInd/>
        <w:snapToGrid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乙方偿付的违约金不足以弥补甲方损失的，还应按甲方损失尚未弥补的部分，支付赔偿金给甲方。损失包括但不限于甲方的直接经济损失、因违约行为遭受的行政处分与处罚及刑事责任、名誉损失、因处理相关损失支付的公关费、慰问费及广告费等、因处理违约事宜另行委托第三方履行本合同义务而额外支付的费用、因处理与违约行为相关的维权或争议所支付的调查费、赔偿款、案件受理费、律师代理费、鉴定费、保全费、公证费、执行费、差旅费等所有相关的费用及支出。</w:t>
      </w:r>
    </w:p>
    <w:p w14:paraId="23185457">
      <w:pPr>
        <w:pStyle w:val="3"/>
        <w:pageBreakBefore w:val="0"/>
        <w:widowControl w:val="0"/>
        <w:kinsoku/>
        <w:wordWrap w:val="0"/>
        <w:overflowPunct/>
        <w:topLinePunct w:val="0"/>
        <w:autoSpaceDE/>
        <w:autoSpaceDN/>
        <w:bidi w:val="0"/>
        <w:adjustRightInd/>
        <w:snapToGrid w:val="0"/>
        <w:spacing w:before="0" w:after="0" w:line="520" w:lineRule="exact"/>
        <w:ind w:firstLine="482" w:firstLineChars="200"/>
        <w:textAlignment w:val="auto"/>
        <w:rPr>
          <w:rFonts w:hint="eastAsia" w:ascii="宋体" w:hAnsi="宋体" w:eastAsia="宋体" w:cs="宋体"/>
          <w:sz w:val="24"/>
          <w:szCs w:val="24"/>
        </w:rPr>
      </w:pPr>
      <w:bookmarkStart w:id="8" w:name="_Toc217446114"/>
      <w:r>
        <w:rPr>
          <w:rFonts w:hint="eastAsia" w:ascii="宋体" w:hAnsi="宋体" w:eastAsia="宋体" w:cs="宋体"/>
          <w:sz w:val="24"/>
          <w:szCs w:val="24"/>
        </w:rPr>
        <w:t>八、争议解决办法</w:t>
      </w:r>
      <w:bookmarkEnd w:id="8"/>
    </w:p>
    <w:p w14:paraId="3BA41603">
      <w:pPr>
        <w:pStyle w:val="29"/>
        <w:pageBreakBefore w:val="0"/>
        <w:widowControl w:val="0"/>
        <w:kinsoku/>
        <w:wordWrap w:val="0"/>
        <w:overflowPunct/>
        <w:topLinePunct w:val="0"/>
        <w:autoSpaceDE/>
        <w:autoSpaceDN/>
        <w:bidi w:val="0"/>
        <w:adjustRightInd/>
        <w:snapToGrid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1、因货物的质量问题发生争议，由质量技术监督部门或其指定的质量鉴定机构进行质量鉴定。货物符合标准的，鉴定费由甲方承担；货物不符合质量标准的，鉴定费由乙方承担。</w:t>
      </w:r>
    </w:p>
    <w:p w14:paraId="780DF7D9">
      <w:pPr>
        <w:pStyle w:val="29"/>
        <w:pageBreakBefore w:val="0"/>
        <w:widowControl w:val="0"/>
        <w:kinsoku/>
        <w:wordWrap w:val="0"/>
        <w:overflowPunct/>
        <w:topLinePunct w:val="0"/>
        <w:autoSpaceDE/>
        <w:autoSpaceDN/>
        <w:bidi w:val="0"/>
        <w:adjustRightInd/>
        <w:snapToGrid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2、合同履行期间,若双方发生争议，可协商或由有关部门调解解决，协商或调解不成的，向甲方所在地人民法院提请诉讼。</w:t>
      </w:r>
    </w:p>
    <w:p w14:paraId="4AEA2775">
      <w:pPr>
        <w:pStyle w:val="3"/>
        <w:pageBreakBefore w:val="0"/>
        <w:widowControl w:val="0"/>
        <w:kinsoku/>
        <w:wordWrap w:val="0"/>
        <w:overflowPunct/>
        <w:topLinePunct w:val="0"/>
        <w:autoSpaceDE/>
        <w:autoSpaceDN/>
        <w:bidi w:val="0"/>
        <w:adjustRightInd/>
        <w:snapToGrid w:val="0"/>
        <w:spacing w:before="0" w:after="0" w:line="520" w:lineRule="exact"/>
        <w:ind w:firstLine="482" w:firstLineChars="200"/>
        <w:textAlignment w:val="auto"/>
        <w:rPr>
          <w:rFonts w:hint="eastAsia" w:ascii="宋体" w:hAnsi="宋体" w:eastAsia="宋体" w:cs="宋体"/>
          <w:sz w:val="24"/>
          <w:szCs w:val="24"/>
        </w:rPr>
      </w:pPr>
      <w:bookmarkStart w:id="9" w:name="_Toc217446115"/>
      <w:r>
        <w:rPr>
          <w:rFonts w:hint="eastAsia" w:ascii="宋体" w:hAnsi="宋体" w:eastAsia="宋体" w:cs="宋体"/>
          <w:sz w:val="24"/>
          <w:szCs w:val="24"/>
        </w:rPr>
        <w:t>九、其他</w:t>
      </w:r>
      <w:bookmarkEnd w:id="9"/>
    </w:p>
    <w:p w14:paraId="13F89570">
      <w:pPr>
        <w:pStyle w:val="29"/>
        <w:pageBreakBefore w:val="0"/>
        <w:widowControl w:val="0"/>
        <w:kinsoku/>
        <w:wordWrap w:val="0"/>
        <w:overflowPunct/>
        <w:topLinePunct w:val="0"/>
        <w:autoSpaceDE/>
        <w:autoSpaceDN/>
        <w:bidi w:val="0"/>
        <w:adjustRightInd/>
        <w:snapToGrid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1、如有未尽事宜，由双方依法订立补充合同。</w:t>
      </w:r>
    </w:p>
    <w:p w14:paraId="4289ACAC">
      <w:pPr>
        <w:pStyle w:val="29"/>
        <w:pageBreakBefore w:val="0"/>
        <w:widowControl w:val="0"/>
        <w:kinsoku/>
        <w:wordWrap w:val="0"/>
        <w:overflowPunct/>
        <w:topLinePunct w:val="0"/>
        <w:autoSpaceDE/>
        <w:autoSpaceDN/>
        <w:bidi w:val="0"/>
        <w:adjustRightInd/>
        <w:snapToGrid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2、本合同一式六份，自双方签章之日起生效。甲方三份，乙方、政府采购管理部门、采购代理机构各一份。</w:t>
      </w:r>
    </w:p>
    <w:p w14:paraId="7D8C8329">
      <w:pPr>
        <w:rPr>
          <w:rFonts w:hint="eastAsia"/>
        </w:rPr>
      </w:pPr>
    </w:p>
    <w:p w14:paraId="75DEA618">
      <w:pPr>
        <w:pStyle w:val="30"/>
        <w:keepNext w:val="0"/>
        <w:keepLines w:val="0"/>
        <w:pageBreakBefore/>
        <w:widowControl w:val="0"/>
        <w:kinsoku/>
        <w:overflowPunct/>
        <w:autoSpaceDE/>
        <w:autoSpaceDN/>
        <w:bidi w:val="0"/>
        <w:adjustRightInd/>
        <w:spacing w:line="520" w:lineRule="exact"/>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(本页无正文)</w:t>
      </w:r>
    </w:p>
    <w:tbl>
      <w:tblPr>
        <w:tblStyle w:val="10"/>
        <w:tblW w:w="996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981"/>
        <w:gridCol w:w="4981"/>
      </w:tblGrid>
      <w:tr w14:paraId="7BEF46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4981" w:type="dxa"/>
            <w:noWrap w:val="0"/>
            <w:vAlign w:val="center"/>
          </w:tcPr>
          <w:p w14:paraId="13E31D11">
            <w:pPr>
              <w:pStyle w:val="20"/>
              <w:keepNext w:val="0"/>
              <w:keepLines w:val="0"/>
              <w:widowControl w:val="0"/>
              <w:kinsoku/>
              <w:overflowPunct/>
              <w:autoSpaceDE/>
              <w:autoSpaceDN/>
              <w:bidi w:val="0"/>
              <w:adjustRightInd/>
              <w:spacing w:line="520" w:lineRule="exact"/>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   (盖章)</w:t>
            </w:r>
          </w:p>
        </w:tc>
        <w:tc>
          <w:tcPr>
            <w:tcW w:w="4981" w:type="dxa"/>
            <w:noWrap w:val="0"/>
            <w:vAlign w:val="center"/>
          </w:tcPr>
          <w:p w14:paraId="1EF2AF0B">
            <w:pPr>
              <w:pStyle w:val="20"/>
              <w:keepNext w:val="0"/>
              <w:keepLines w:val="0"/>
              <w:widowControl w:val="0"/>
              <w:kinsoku/>
              <w:overflowPunct/>
              <w:autoSpaceDE/>
              <w:autoSpaceDN/>
              <w:bidi w:val="0"/>
              <w:adjustRightInd/>
              <w:spacing w:line="520" w:lineRule="exact"/>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乙方：   (盖章)</w:t>
            </w:r>
          </w:p>
        </w:tc>
      </w:tr>
      <w:tr w14:paraId="542F99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4981" w:type="dxa"/>
            <w:noWrap w:val="0"/>
            <w:vAlign w:val="center"/>
          </w:tcPr>
          <w:p w14:paraId="4A8F9727">
            <w:pPr>
              <w:pStyle w:val="20"/>
              <w:keepNext w:val="0"/>
              <w:keepLines w:val="0"/>
              <w:widowControl w:val="0"/>
              <w:kinsoku/>
              <w:overflowPunct/>
              <w:autoSpaceDE/>
              <w:autoSpaceDN/>
              <w:bidi w:val="0"/>
              <w:adjustRightInd/>
              <w:spacing w:line="520" w:lineRule="exact"/>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法定代表人(授权代表)：</w:t>
            </w:r>
          </w:p>
        </w:tc>
        <w:tc>
          <w:tcPr>
            <w:tcW w:w="4981" w:type="dxa"/>
            <w:noWrap w:val="0"/>
            <w:vAlign w:val="center"/>
          </w:tcPr>
          <w:p w14:paraId="3020281F">
            <w:pPr>
              <w:pStyle w:val="20"/>
              <w:keepNext w:val="0"/>
              <w:keepLines w:val="0"/>
              <w:widowControl w:val="0"/>
              <w:kinsoku/>
              <w:overflowPunct/>
              <w:autoSpaceDE/>
              <w:autoSpaceDN/>
              <w:bidi w:val="0"/>
              <w:adjustRightInd/>
              <w:spacing w:line="520" w:lineRule="exact"/>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法定代表人(授权代表)：</w:t>
            </w:r>
          </w:p>
        </w:tc>
      </w:tr>
      <w:tr w14:paraId="3C35C0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4981" w:type="dxa"/>
            <w:noWrap w:val="0"/>
            <w:vAlign w:val="center"/>
          </w:tcPr>
          <w:p w14:paraId="4142F546">
            <w:pPr>
              <w:pStyle w:val="20"/>
              <w:keepNext w:val="0"/>
              <w:keepLines w:val="0"/>
              <w:widowControl w:val="0"/>
              <w:kinsoku/>
              <w:overflowPunct/>
              <w:autoSpaceDE/>
              <w:autoSpaceDN/>
              <w:bidi w:val="0"/>
              <w:adjustRightInd/>
              <w:spacing w:line="520" w:lineRule="exact"/>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地址(住所)：</w:t>
            </w:r>
          </w:p>
        </w:tc>
        <w:tc>
          <w:tcPr>
            <w:tcW w:w="4981" w:type="dxa"/>
            <w:noWrap w:val="0"/>
            <w:vAlign w:val="center"/>
          </w:tcPr>
          <w:p w14:paraId="7DB8919A">
            <w:pPr>
              <w:pStyle w:val="20"/>
              <w:keepNext w:val="0"/>
              <w:keepLines w:val="0"/>
              <w:widowControl w:val="0"/>
              <w:kinsoku/>
              <w:overflowPunct/>
              <w:autoSpaceDE/>
              <w:autoSpaceDN/>
              <w:bidi w:val="0"/>
              <w:adjustRightInd/>
              <w:spacing w:line="520" w:lineRule="exact"/>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地址(住所)：</w:t>
            </w:r>
          </w:p>
        </w:tc>
      </w:tr>
      <w:tr w14:paraId="48CF2B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4981" w:type="dxa"/>
            <w:noWrap w:val="0"/>
            <w:vAlign w:val="center"/>
          </w:tcPr>
          <w:p w14:paraId="5C09A61D">
            <w:pPr>
              <w:pStyle w:val="20"/>
              <w:keepNext w:val="0"/>
              <w:keepLines w:val="0"/>
              <w:widowControl w:val="0"/>
              <w:kinsoku/>
              <w:overflowPunct/>
              <w:autoSpaceDE/>
              <w:autoSpaceDN/>
              <w:bidi w:val="0"/>
              <w:adjustRightInd/>
              <w:spacing w:line="520" w:lineRule="exact"/>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开户银行：</w:t>
            </w:r>
          </w:p>
        </w:tc>
        <w:tc>
          <w:tcPr>
            <w:tcW w:w="4981" w:type="dxa"/>
            <w:noWrap w:val="0"/>
            <w:vAlign w:val="center"/>
          </w:tcPr>
          <w:p w14:paraId="03B2DFE6">
            <w:pPr>
              <w:pStyle w:val="20"/>
              <w:keepNext w:val="0"/>
              <w:keepLines w:val="0"/>
              <w:widowControl w:val="0"/>
              <w:kinsoku/>
              <w:overflowPunct/>
              <w:autoSpaceDE/>
              <w:autoSpaceDN/>
              <w:bidi w:val="0"/>
              <w:adjustRightInd/>
              <w:spacing w:line="520" w:lineRule="exact"/>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开户银行：</w:t>
            </w:r>
          </w:p>
        </w:tc>
      </w:tr>
      <w:tr w14:paraId="72F17F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4981" w:type="dxa"/>
            <w:noWrap w:val="0"/>
            <w:vAlign w:val="center"/>
          </w:tcPr>
          <w:p w14:paraId="115FB386">
            <w:pPr>
              <w:pStyle w:val="20"/>
              <w:keepNext w:val="0"/>
              <w:keepLines w:val="0"/>
              <w:widowControl w:val="0"/>
              <w:kinsoku/>
              <w:overflowPunct/>
              <w:autoSpaceDE/>
              <w:autoSpaceDN/>
              <w:bidi w:val="0"/>
              <w:adjustRightInd/>
              <w:spacing w:line="520" w:lineRule="exact"/>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账号：</w:t>
            </w:r>
          </w:p>
        </w:tc>
        <w:tc>
          <w:tcPr>
            <w:tcW w:w="4981" w:type="dxa"/>
            <w:noWrap w:val="0"/>
            <w:vAlign w:val="center"/>
          </w:tcPr>
          <w:p w14:paraId="6A0C830F">
            <w:pPr>
              <w:pStyle w:val="20"/>
              <w:keepNext w:val="0"/>
              <w:keepLines w:val="0"/>
              <w:widowControl w:val="0"/>
              <w:kinsoku/>
              <w:overflowPunct/>
              <w:autoSpaceDE/>
              <w:autoSpaceDN/>
              <w:bidi w:val="0"/>
              <w:adjustRightInd/>
              <w:spacing w:line="520" w:lineRule="exact"/>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账号：</w:t>
            </w:r>
          </w:p>
        </w:tc>
      </w:tr>
      <w:tr w14:paraId="33289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4981" w:type="dxa"/>
            <w:noWrap w:val="0"/>
            <w:vAlign w:val="center"/>
          </w:tcPr>
          <w:p w14:paraId="54CF5E30">
            <w:pPr>
              <w:pStyle w:val="20"/>
              <w:keepNext w:val="0"/>
              <w:keepLines w:val="0"/>
              <w:widowControl w:val="0"/>
              <w:kinsoku/>
              <w:overflowPunct/>
              <w:autoSpaceDE/>
              <w:autoSpaceDN/>
              <w:bidi w:val="0"/>
              <w:adjustRightInd/>
              <w:spacing w:line="520" w:lineRule="exact"/>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电话： </w:t>
            </w:r>
          </w:p>
        </w:tc>
        <w:tc>
          <w:tcPr>
            <w:tcW w:w="4981" w:type="dxa"/>
            <w:noWrap w:val="0"/>
            <w:vAlign w:val="center"/>
          </w:tcPr>
          <w:p w14:paraId="0FE8D79E">
            <w:pPr>
              <w:pStyle w:val="20"/>
              <w:keepNext w:val="0"/>
              <w:keepLines w:val="0"/>
              <w:widowControl w:val="0"/>
              <w:kinsoku/>
              <w:overflowPunct/>
              <w:autoSpaceDE/>
              <w:autoSpaceDN/>
              <w:bidi w:val="0"/>
              <w:adjustRightInd/>
              <w:spacing w:line="520" w:lineRule="exact"/>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电话： </w:t>
            </w:r>
          </w:p>
        </w:tc>
      </w:tr>
      <w:tr w14:paraId="0F4B14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4981" w:type="dxa"/>
            <w:noWrap w:val="0"/>
            <w:vAlign w:val="center"/>
          </w:tcPr>
          <w:p w14:paraId="71C7D365">
            <w:pPr>
              <w:pStyle w:val="20"/>
              <w:keepNext w:val="0"/>
              <w:keepLines w:val="0"/>
              <w:widowControl w:val="0"/>
              <w:kinsoku/>
              <w:overflowPunct/>
              <w:autoSpaceDE/>
              <w:autoSpaceDN/>
              <w:bidi w:val="0"/>
              <w:adjustRightInd/>
              <w:spacing w:line="520" w:lineRule="exact"/>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签约日期：XX年XX月XX日</w:t>
            </w:r>
          </w:p>
        </w:tc>
        <w:tc>
          <w:tcPr>
            <w:tcW w:w="4981" w:type="dxa"/>
            <w:noWrap w:val="0"/>
            <w:vAlign w:val="center"/>
          </w:tcPr>
          <w:p w14:paraId="26DB4DC2">
            <w:pPr>
              <w:pStyle w:val="20"/>
              <w:keepNext w:val="0"/>
              <w:keepLines w:val="0"/>
              <w:widowControl w:val="0"/>
              <w:kinsoku/>
              <w:overflowPunct/>
              <w:autoSpaceDE/>
              <w:autoSpaceDN/>
              <w:bidi w:val="0"/>
              <w:adjustRightInd/>
              <w:spacing w:line="520" w:lineRule="exact"/>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签约日期：XX年XX月XX日</w:t>
            </w:r>
          </w:p>
        </w:tc>
      </w:tr>
    </w:tbl>
    <w:p w14:paraId="00A1056F">
      <w:pPr>
        <w:tabs>
          <w:tab w:val="left" w:pos="0"/>
        </w:tabs>
      </w:pPr>
    </w:p>
    <w:p w14:paraId="5B112829">
      <w:pPr>
        <w:pStyle w:val="31"/>
        <w:rPr>
          <w:rFonts w:hint="default" w:ascii="宋体" w:hAnsi="宋体" w:eastAsia="宋体" w:cs="宋体"/>
        </w:rPr>
      </w:pPr>
    </w:p>
    <w:p w14:paraId="0AD9095B">
      <w:pPr>
        <w:tabs>
          <w:tab w:val="left" w:pos="0"/>
        </w:tabs>
        <w:rPr>
          <w:rFonts w:hint="eastAsia"/>
        </w:rPr>
      </w:pPr>
    </w:p>
    <w:p w14:paraId="28418DEE">
      <w:pPr>
        <w:tabs>
          <w:tab w:val="left" w:pos="0"/>
        </w:tabs>
      </w:pPr>
    </w:p>
    <w:p w14:paraId="0CB11DD1">
      <w:pPr>
        <w:tabs>
          <w:tab w:val="left" w:pos="0"/>
        </w:tabs>
      </w:pPr>
    </w:p>
    <w:p w14:paraId="5C0C9C91"/>
    <w:sectPr>
      <w:footerReference r:id="rId5" w:type="default"/>
      <w:pgSz w:w="11906" w:h="16838"/>
      <w:pgMar w:top="1440" w:right="1080" w:bottom="1440" w:left="1080" w:header="851" w:footer="992" w:gutter="0"/>
      <w:pgNumType w:fmt="decimal"/>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431">
      <wne:fci wne:fciName="AcceptAllChangesInDoc" wne:swArg="0000"/>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embedRegular r:id="rId1" w:fontKey="{79309359-BBB2-4BBE-8438-1CFE4F18F82F}"/>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1251A">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26A1DA">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426A1DA">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C6327C"/>
    <w:multiLevelType w:val="multilevel"/>
    <w:tmpl w:val="E1C6327C"/>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pStyle w:val="27"/>
      <w:suff w:val="nothing"/>
      <w:lvlText w:val="(%2)"/>
      <w:lvlJc w:val="left"/>
      <w:pPr>
        <w:ind w:left="0" w:firstLine="0"/>
      </w:pPr>
      <w:rPr>
        <w:rFonts w:hint="eastAsia" w:ascii="宋体" w:hAnsi="宋体" w:eastAsia="宋体" w:cs="宋体"/>
      </w:rPr>
    </w:lvl>
    <w:lvl w:ilvl="2" w:tentative="0">
      <w:start w:val="1"/>
      <w:numFmt w:val="decimal"/>
      <w:pStyle w:val="28"/>
      <w:suff w:val="nothing"/>
      <w:lvlText w:val="%3."/>
      <w:lvlJc w:val="left"/>
      <w:pPr>
        <w:ind w:left="0" w:firstLine="0"/>
      </w:pPr>
      <w:rPr>
        <w:rFonts w:hint="eastAsia" w:ascii="宋体" w:hAnsi="宋体" w:eastAsia="宋体" w:cs="宋体"/>
      </w:rPr>
    </w:lvl>
    <w:lvl w:ilvl="3" w:tentative="0">
      <w:start w:val="1"/>
      <w:numFmt w:val="decimal"/>
      <w:suff w:val="nothing"/>
      <w:lvlText w:val="%3.%4"/>
      <w:lvlJc w:val="left"/>
      <w:pPr>
        <w:ind w:left="0" w:firstLine="0"/>
      </w:pPr>
      <w:rPr>
        <w:rFonts w:hint="eastAsia" w:ascii="宋体" w:hAnsi="宋体" w:eastAsia="宋体" w:cs="宋体"/>
      </w:rPr>
    </w:lvl>
    <w:lvl w:ilvl="4" w:tentative="0">
      <w:start w:val="1"/>
      <w:numFmt w:val="decimal"/>
      <w:suff w:val="nothing"/>
      <w:lvlText w:val="(%5)"/>
      <w:lvlJc w:val="left"/>
      <w:pPr>
        <w:ind w:left="0" w:firstLine="0"/>
      </w:pPr>
      <w:rPr>
        <w:rFonts w:hint="eastAsia" w:ascii="宋体" w:hAnsi="宋体" w:eastAsia="宋体" w:cs="宋体"/>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1EBBDD44"/>
    <w:multiLevelType w:val="multilevel"/>
    <w:tmpl w:val="1EBBDD44"/>
    <w:lvl w:ilvl="0" w:tentative="0">
      <w:start w:val="1"/>
      <w:numFmt w:val="chineseCounting"/>
      <w:pStyle w:val="19"/>
      <w:suff w:val="nothing"/>
      <w:lvlText w:val="第%1章 "/>
      <w:lvlJc w:val="left"/>
      <w:pPr>
        <w:tabs>
          <w:tab w:val="left" w:pos="0"/>
        </w:tabs>
        <w:ind w:left="2400" w:firstLine="0"/>
      </w:pPr>
      <w:rPr>
        <w:rFonts w:hint="eastAsia" w:ascii="宋体" w:hAnsi="宋体" w:eastAsia="宋体" w:cs="宋体"/>
      </w:rPr>
    </w:lvl>
    <w:lvl w:ilvl="1" w:tentative="0">
      <w:start w:val="1"/>
      <w:numFmt w:val="chineseCounting"/>
      <w:pStyle w:val="21"/>
      <w:suff w:val="nothing"/>
      <w:lvlText w:val="%2、"/>
      <w:lvlJc w:val="left"/>
      <w:pPr>
        <w:ind w:left="2400" w:firstLine="0"/>
      </w:pPr>
      <w:rPr>
        <w:rFonts w:hint="eastAsia" w:ascii="宋体" w:hAnsi="宋体" w:eastAsia="宋体" w:cs="宋体"/>
      </w:rPr>
    </w:lvl>
    <w:lvl w:ilvl="2" w:tentative="0">
      <w:start w:val="1"/>
      <w:numFmt w:val="chineseCounting"/>
      <w:pStyle w:val="22"/>
      <w:suff w:val="nothing"/>
      <w:lvlText w:val="(%3)"/>
      <w:lvlJc w:val="left"/>
      <w:pPr>
        <w:tabs>
          <w:tab w:val="left" w:pos="0"/>
        </w:tabs>
        <w:ind w:left="2400" w:firstLine="0"/>
      </w:pPr>
      <w:rPr>
        <w:rFonts w:hint="eastAsia" w:ascii="宋体" w:hAnsi="宋体" w:eastAsia="宋体" w:cs="宋体"/>
      </w:rPr>
    </w:lvl>
    <w:lvl w:ilvl="3" w:tentative="0">
      <w:start w:val="1"/>
      <w:numFmt w:val="decimal"/>
      <w:pStyle w:val="13"/>
      <w:suff w:val="nothing"/>
      <w:lvlText w:val="%4."/>
      <w:lvlJc w:val="left"/>
      <w:pPr>
        <w:tabs>
          <w:tab w:val="left" w:pos="0"/>
        </w:tabs>
        <w:ind w:left="2400" w:firstLine="0"/>
      </w:pPr>
      <w:rPr>
        <w:rFonts w:hint="eastAsia" w:ascii="宋体" w:hAnsi="宋体" w:eastAsia="宋体" w:cs="宋体"/>
      </w:rPr>
    </w:lvl>
    <w:lvl w:ilvl="4" w:tentative="0">
      <w:start w:val="1"/>
      <w:numFmt w:val="decimal"/>
      <w:pStyle w:val="23"/>
      <w:suff w:val="nothing"/>
      <w:lvlText w:val="%4.%5"/>
      <w:lvlJc w:val="left"/>
      <w:pPr>
        <w:ind w:left="2400" w:firstLine="0"/>
      </w:pPr>
      <w:rPr>
        <w:rFonts w:hint="eastAsia" w:ascii="宋体" w:hAnsi="宋体" w:eastAsia="宋体" w:cs="宋体"/>
      </w:rPr>
    </w:lvl>
    <w:lvl w:ilvl="5" w:tentative="0">
      <w:start w:val="1"/>
      <w:numFmt w:val="decimal"/>
      <w:pStyle w:val="24"/>
      <w:suff w:val="nothing"/>
      <w:lvlText w:val="(%6)"/>
      <w:lvlJc w:val="left"/>
      <w:pPr>
        <w:ind w:left="2400" w:firstLine="0"/>
      </w:pPr>
      <w:rPr>
        <w:rFonts w:hint="eastAsia" w:ascii="宋体" w:hAnsi="宋体" w:eastAsia="宋体" w:cs="宋体"/>
      </w:rPr>
    </w:lvl>
    <w:lvl w:ilvl="6" w:tentative="0">
      <w:start w:val="1"/>
      <w:numFmt w:val="lowerLetter"/>
      <w:suff w:val="nothing"/>
      <w:lvlText w:val="%7．"/>
      <w:lvlJc w:val="left"/>
      <w:pPr>
        <w:ind w:left="2400" w:firstLine="402"/>
      </w:pPr>
      <w:rPr>
        <w:rFonts w:hint="eastAsia"/>
      </w:rPr>
    </w:lvl>
    <w:lvl w:ilvl="7" w:tentative="0">
      <w:start w:val="1"/>
      <w:numFmt w:val="lowerLetter"/>
      <w:suff w:val="nothing"/>
      <w:lvlText w:val="%8）"/>
      <w:lvlJc w:val="left"/>
      <w:pPr>
        <w:ind w:left="2400" w:firstLine="402"/>
      </w:pPr>
      <w:rPr>
        <w:rFonts w:hint="eastAsia"/>
      </w:rPr>
    </w:lvl>
    <w:lvl w:ilvl="8" w:tentative="0">
      <w:start w:val="1"/>
      <w:numFmt w:val="lowerRoman"/>
      <w:suff w:val="nothing"/>
      <w:lvlText w:val="%9. "/>
      <w:lvlJc w:val="left"/>
      <w:pPr>
        <w:ind w:left="2400" w:firstLine="402"/>
      </w:pPr>
      <w:rPr>
        <w:rFonts w:hint="eastAsia"/>
      </w:rPr>
    </w:lvl>
  </w:abstractNum>
  <w:abstractNum w:abstractNumId="2">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16"/>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lMTYwMDYxMDExYjkyMDhhZWE4MTRkODQyMGNiYTEifQ=="/>
  </w:docVars>
  <w:rsids>
    <w:rsidRoot w:val="00000000"/>
    <w:rsid w:val="0CA97C75"/>
    <w:rsid w:val="1A0C18CE"/>
    <w:rsid w:val="1A8C4579"/>
    <w:rsid w:val="52EC6F73"/>
    <w:rsid w:val="56D568C6"/>
    <w:rsid w:val="56D7799E"/>
    <w:rsid w:val="666E20B9"/>
    <w:rsid w:val="6EA82664"/>
    <w:rsid w:val="6F497D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wordWrap w:val="0"/>
      <w:snapToGrid w:val="0"/>
      <w:spacing w:line="600" w:lineRule="exact"/>
    </w:pPr>
    <w:rPr>
      <w:rFonts w:ascii="Times New Roman" w:hAnsi="Times New Roman" w:eastAsia="方正仿宋_GB2312" w:cs="Times New Roman"/>
      <w:kern w:val="2"/>
      <w:sz w:val="32"/>
      <w:szCs w:val="32"/>
      <w:lang w:val="en-US" w:eastAsia="zh-CN" w:bidi="ar-SA"/>
    </w:rPr>
  </w:style>
  <w:style w:type="paragraph" w:styleId="3">
    <w:name w:val="heading 2"/>
    <w:basedOn w:val="1"/>
    <w:next w:val="1"/>
    <w:qFormat/>
    <w:uiPriority w:val="9"/>
    <w:pPr>
      <w:keepNext/>
      <w:keepLines/>
      <w:spacing w:before="260" w:after="260" w:line="415" w:lineRule="auto"/>
      <w:outlineLvl w:val="1"/>
    </w:pPr>
    <w:rPr>
      <w:rFonts w:ascii="Arial" w:hAnsi="Arial" w:eastAsia="黑体" w:cs="Times New Roman"/>
      <w:b/>
      <w:bCs/>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tabs>
        <w:tab w:val="left" w:pos="0"/>
      </w:tabs>
      <w:spacing w:after="120"/>
    </w:pPr>
  </w:style>
  <w:style w:type="paragraph" w:styleId="4">
    <w:name w:val="Normal Indent"/>
    <w:basedOn w:val="1"/>
    <w:qFormat/>
    <w:uiPriority w:val="0"/>
    <w:pPr>
      <w:ind w:firstLine="200" w:firstLineChars="200"/>
    </w:pPr>
    <w:rPr>
      <w:rFonts w:ascii="Calibri" w:hAnsi="Calibri" w:eastAsia="宋体" w:cs="Times New Roman"/>
    </w:rPr>
  </w:style>
  <w:style w:type="paragraph" w:styleId="5">
    <w:name w:val="annotation text"/>
    <w:basedOn w:val="1"/>
    <w:qFormat/>
    <w:uiPriority w:val="0"/>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tabs>
        <w:tab w:val="left" w:pos="0"/>
      </w:tabs>
      <w:spacing w:beforeAutospacing="1" w:afterAutospacing="1"/>
    </w:pPr>
    <w:rPr>
      <w:kern w:val="0"/>
    </w:rPr>
  </w:style>
  <w:style w:type="table" w:styleId="10">
    <w:name w:val="Table Grid"/>
    <w:basedOn w:val="9"/>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qFormat/>
    <w:uiPriority w:val="0"/>
    <w:rPr>
      <w:color w:val="0000FF"/>
      <w:u w:val="single"/>
    </w:rPr>
  </w:style>
  <w:style w:type="paragraph" w:customStyle="1" w:styleId="13">
    <w:name w:val="17“1.”四级标题"/>
    <w:basedOn w:val="14"/>
    <w:link w:val="18"/>
    <w:qFormat/>
    <w:uiPriority w:val="0"/>
    <w:pPr>
      <w:numPr>
        <w:ilvl w:val="3"/>
        <w:numId w:val="1"/>
      </w:numPr>
      <w:ind w:left="0" w:firstLine="803" w:firstLineChars="200"/>
      <w:jc w:val="left"/>
    </w:pPr>
    <w:rPr>
      <w:rFonts w:ascii="宋体" w:hAnsi="宋体" w:eastAsia="宋体" w:cs="Times New Roman"/>
      <w:sz w:val="24"/>
      <w:szCs w:val="22"/>
    </w:rPr>
  </w:style>
  <w:style w:type="paragraph" w:customStyle="1" w:styleId="14">
    <w:name w:val="02、首行缩进2字符正文"/>
    <w:basedOn w:val="15"/>
    <w:link w:val="25"/>
    <w:qFormat/>
    <w:uiPriority w:val="0"/>
    <w:pPr>
      <w:tabs>
        <w:tab w:val="left" w:pos="0"/>
      </w:tabs>
      <w:wordWrap w:val="0"/>
      <w:topLinePunct/>
      <w:spacing w:line="520" w:lineRule="exact"/>
      <w:ind w:firstLine="480" w:firstLineChars="200"/>
    </w:pPr>
    <w:rPr>
      <w:rFonts w:ascii="宋体" w:hAnsi="宋体" w:eastAsia="宋体"/>
      <w:sz w:val="24"/>
    </w:rPr>
  </w:style>
  <w:style w:type="paragraph" w:customStyle="1" w:styleId="15">
    <w:name w:val="正文_2"/>
    <w:next w:val="16"/>
    <w:qFormat/>
    <w:uiPriority w:val="0"/>
    <w:pPr>
      <w:widowControl w:val="0"/>
      <w:spacing w:line="360" w:lineRule="auto"/>
      <w:jc w:val="both"/>
    </w:pPr>
    <w:rPr>
      <w:rFonts w:ascii="等线" w:hAnsi="等线" w:eastAsia="仿宋" w:cs="Times New Roman"/>
      <w:kern w:val="2"/>
      <w:sz w:val="24"/>
      <w:szCs w:val="22"/>
      <w:lang w:val="en-US" w:eastAsia="zh-CN" w:bidi="ar-SA"/>
    </w:rPr>
  </w:style>
  <w:style w:type="paragraph" w:customStyle="1" w:styleId="16">
    <w:name w:val="标题 5（有编号）（绿盟科技）"/>
    <w:basedOn w:val="1"/>
    <w:next w:val="17"/>
    <w:autoRedefine/>
    <w:qFormat/>
    <w:uiPriority w:val="0"/>
    <w:pPr>
      <w:keepNext/>
      <w:keepLines/>
      <w:numPr>
        <w:ilvl w:val="4"/>
        <w:numId w:val="2"/>
      </w:numPr>
      <w:tabs>
        <w:tab w:val="left" w:pos="0"/>
      </w:tabs>
      <w:spacing w:before="280" w:after="156" w:line="377" w:lineRule="auto"/>
      <w:outlineLvl w:val="4"/>
    </w:pPr>
    <w:rPr>
      <w:rFonts w:ascii="Arial" w:hAnsi="Arial" w:eastAsia="黑体"/>
      <w:b/>
      <w:kern w:val="0"/>
      <w:szCs w:val="28"/>
    </w:rPr>
  </w:style>
  <w:style w:type="paragraph" w:customStyle="1" w:styleId="17">
    <w:name w:val="正文（绿盟科技）"/>
    <w:next w:val="1"/>
    <w:autoRedefine/>
    <w:qFormat/>
    <w:uiPriority w:val="0"/>
    <w:pPr>
      <w:spacing w:line="300" w:lineRule="auto"/>
    </w:pPr>
    <w:rPr>
      <w:rFonts w:ascii="Arial" w:hAnsi="Arial" w:eastAsia="宋体" w:cs="黑体"/>
      <w:sz w:val="21"/>
      <w:szCs w:val="21"/>
      <w:lang w:val="en-US" w:eastAsia="zh-CN" w:bidi="ar-SA"/>
    </w:rPr>
  </w:style>
  <w:style w:type="character" w:customStyle="1" w:styleId="18">
    <w:name w:val="17“1.”四级标题 Char"/>
    <w:link w:val="13"/>
    <w:qFormat/>
    <w:uiPriority w:val="0"/>
    <w:rPr>
      <w:rFonts w:ascii="宋体" w:hAnsi="宋体" w:eastAsia="宋体" w:cs="Times New Roman"/>
      <w:sz w:val="24"/>
      <w:szCs w:val="22"/>
    </w:rPr>
  </w:style>
  <w:style w:type="paragraph" w:customStyle="1" w:styleId="19">
    <w:name w:val="14、“第一章”一级标题"/>
    <w:basedOn w:val="20"/>
    <w:qFormat/>
    <w:uiPriority w:val="0"/>
    <w:pPr>
      <w:numPr>
        <w:ilvl w:val="0"/>
        <w:numId w:val="1"/>
      </w:numPr>
      <w:ind w:left="2400"/>
    </w:pPr>
  </w:style>
  <w:style w:type="paragraph" w:customStyle="1" w:styleId="20">
    <w:name w:val="01、普通正文"/>
    <w:basedOn w:val="1"/>
    <w:qFormat/>
    <w:uiPriority w:val="0"/>
    <w:pPr>
      <w:tabs>
        <w:tab w:val="left" w:pos="0"/>
      </w:tabs>
      <w:topLinePunct/>
    </w:pPr>
    <w:rPr>
      <w:rFonts w:ascii="宋体" w:hAnsi="宋体" w:eastAsia="宋体"/>
      <w:snapToGrid w:val="0"/>
    </w:rPr>
  </w:style>
  <w:style w:type="paragraph" w:customStyle="1" w:styleId="21">
    <w:name w:val="15、“一、”二级标题"/>
    <w:basedOn w:val="1"/>
    <w:qFormat/>
    <w:uiPriority w:val="0"/>
    <w:pPr>
      <w:numPr>
        <w:ilvl w:val="1"/>
        <w:numId w:val="1"/>
      </w:numPr>
      <w:ind w:left="2400"/>
    </w:pPr>
  </w:style>
  <w:style w:type="paragraph" w:customStyle="1" w:styleId="22">
    <w:name w:val="16、“(一)”三级标题"/>
    <w:basedOn w:val="1"/>
    <w:qFormat/>
    <w:uiPriority w:val="0"/>
    <w:pPr>
      <w:numPr>
        <w:ilvl w:val="2"/>
        <w:numId w:val="1"/>
      </w:numPr>
      <w:ind w:left="2400"/>
    </w:pPr>
  </w:style>
  <w:style w:type="paragraph" w:customStyle="1" w:styleId="23">
    <w:name w:val="18、“1.1”五级标题"/>
    <w:basedOn w:val="1"/>
    <w:qFormat/>
    <w:uiPriority w:val="0"/>
    <w:pPr>
      <w:numPr>
        <w:ilvl w:val="4"/>
        <w:numId w:val="1"/>
      </w:numPr>
      <w:ind w:left="2400"/>
    </w:pPr>
  </w:style>
  <w:style w:type="paragraph" w:customStyle="1" w:styleId="24">
    <w:name w:val="19、“(1)”六级标题"/>
    <w:basedOn w:val="1"/>
    <w:qFormat/>
    <w:uiPriority w:val="0"/>
    <w:pPr>
      <w:numPr>
        <w:ilvl w:val="5"/>
        <w:numId w:val="1"/>
      </w:numPr>
      <w:ind w:left="2400"/>
    </w:pPr>
  </w:style>
  <w:style w:type="character" w:customStyle="1" w:styleId="25">
    <w:name w:val="02、首行缩进2字符正文 Char"/>
    <w:link w:val="14"/>
    <w:qFormat/>
    <w:uiPriority w:val="0"/>
    <w:rPr>
      <w:rFonts w:ascii="宋体" w:hAnsi="宋体" w:eastAsia="宋体"/>
      <w:sz w:val="24"/>
    </w:rPr>
  </w:style>
  <w:style w:type="paragraph" w:customStyle="1" w:styleId="26">
    <w:name w:val="13、表格内居中正文"/>
    <w:basedOn w:val="1"/>
    <w:autoRedefine/>
    <w:qFormat/>
    <w:uiPriority w:val="0"/>
    <w:pPr>
      <w:tabs>
        <w:tab w:val="left" w:pos="0"/>
      </w:tabs>
      <w:topLinePunct/>
      <w:spacing w:line="360" w:lineRule="exact"/>
      <w:jc w:val="center"/>
    </w:pPr>
    <w:rPr>
      <w:sz w:val="21"/>
    </w:rPr>
  </w:style>
  <w:style w:type="paragraph" w:customStyle="1" w:styleId="27">
    <w:name w:val="05、“(一)”正文三级标题"/>
    <w:basedOn w:val="1"/>
    <w:autoRedefine/>
    <w:qFormat/>
    <w:uiPriority w:val="0"/>
    <w:pPr>
      <w:numPr>
        <w:ilvl w:val="1"/>
        <w:numId w:val="3"/>
      </w:numPr>
      <w:tabs>
        <w:tab w:val="left" w:pos="0"/>
      </w:tabs>
      <w:topLinePunct/>
      <w:spacing w:line="520" w:lineRule="exact"/>
      <w:ind w:firstLine="803" w:firstLineChars="200"/>
    </w:pPr>
    <w:rPr>
      <w:rFonts w:ascii="宋体" w:hAnsi="宋体" w:eastAsia="宋体"/>
    </w:rPr>
  </w:style>
  <w:style w:type="paragraph" w:customStyle="1" w:styleId="28">
    <w:name w:val="06、“1.”正文四级标题"/>
    <w:basedOn w:val="1"/>
    <w:autoRedefine/>
    <w:qFormat/>
    <w:uiPriority w:val="0"/>
    <w:pPr>
      <w:numPr>
        <w:ilvl w:val="2"/>
        <w:numId w:val="3"/>
      </w:numPr>
      <w:tabs>
        <w:tab w:val="left" w:pos="0"/>
      </w:tabs>
      <w:topLinePunct/>
      <w:spacing w:line="520" w:lineRule="exact"/>
      <w:ind w:firstLine="803" w:firstLineChars="200"/>
    </w:pPr>
    <w:rPr>
      <w:rFonts w:ascii="宋体" w:hAnsi="宋体" w:eastAsia="宋体"/>
      <w:snapToGrid w:val="0"/>
    </w:rPr>
  </w:style>
  <w:style w:type="paragraph" w:customStyle="1" w:styleId="29">
    <w:name w:val="样式 首行缩进:  2 字符"/>
    <w:basedOn w:val="1"/>
    <w:autoRedefine/>
    <w:qFormat/>
    <w:uiPriority w:val="0"/>
    <w:pPr>
      <w:tabs>
        <w:tab w:val="left" w:pos="0"/>
      </w:tabs>
      <w:spacing w:line="400" w:lineRule="exact"/>
      <w:ind w:firstLine="200" w:firstLineChars="200"/>
    </w:pPr>
    <w:rPr>
      <w:rFonts w:cs="宋体"/>
    </w:rPr>
  </w:style>
  <w:style w:type="paragraph" w:customStyle="1" w:styleId="30">
    <w:name w:val="00、封面正文(与其他内容无关的格式)"/>
    <w:basedOn w:val="1"/>
    <w:autoRedefine/>
    <w:qFormat/>
    <w:uiPriority w:val="0"/>
    <w:pPr>
      <w:tabs>
        <w:tab w:val="left" w:pos="0"/>
      </w:tabs>
      <w:spacing w:line="520" w:lineRule="exact"/>
    </w:pPr>
    <w:rPr>
      <w:rFonts w:ascii="宋体" w:hAnsi="宋体" w:eastAsia="宋体"/>
    </w:rPr>
  </w:style>
  <w:style w:type="paragraph" w:customStyle="1" w:styleId="31">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3233</Words>
  <Characters>3293</Characters>
  <Lines>0</Lines>
  <Paragraphs>0</Paragraphs>
  <TotalTime>1</TotalTime>
  <ScaleCrop>false</ScaleCrop>
  <LinksUpToDate>false</LinksUpToDate>
  <CharactersWithSpaces>3500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2022-03-20T15:26:00Z</dcterms:created>
  <dc:creator>W</dc:creator>
  <cp:lastModifiedBy>乾新招标王诗漾</cp:lastModifiedBy>
  <dcterms:modified xsi:type="dcterms:W3CDTF">2024-11-19T14:50:53Z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65782CAE78164868A939F4FA2B452623</vt:lpwstr>
  </property>
</Properties>
</file>