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09F4B">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一、项目基本情况</w:t>
      </w:r>
    </w:p>
    <w:p w14:paraId="5541ECB6">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项目名称：</w:t>
      </w:r>
      <w:r>
        <w:rPr>
          <w:rFonts w:hint="eastAsia" w:ascii="仿宋_GB2312" w:hAnsi="仿宋_GB2312" w:eastAsia="仿宋_GB2312" w:cs="仿宋_GB2312"/>
          <w:sz w:val="28"/>
          <w:szCs w:val="28"/>
          <w:highlight w:val="none"/>
          <w:lang w:eastAsia="zh-CN"/>
        </w:rPr>
        <w:t>汉中市消防救援支队网络安全等级保护建设项目</w:t>
      </w:r>
    </w:p>
    <w:p w14:paraId="47B44ACC">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预算金额：2742659.00元（人民币）(第一标段：2592659.00元；第二标段：150000.00元。)</w:t>
      </w:r>
    </w:p>
    <w:p w14:paraId="1355118E">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最高限价：2742659.00元（人民币）(第一标段：2592659.00元；第二标段：150000.00元。)</w:t>
      </w:r>
    </w:p>
    <w:p w14:paraId="5CD39158">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采购需求：汉中市消防救援支队网络安全等级保护建设项目，共2个标段，供应商可以选择多个标段参与投标，但只能中一个标段</w:t>
      </w:r>
      <w:r>
        <w:rPr>
          <w:rFonts w:hint="eastAsia" w:ascii="仿宋_GB2312" w:hAnsi="仿宋_GB2312" w:eastAsia="仿宋_GB2312" w:cs="仿宋_GB2312"/>
          <w:sz w:val="28"/>
          <w:szCs w:val="28"/>
          <w:highlight w:val="none"/>
          <w:lang w:val="en-US" w:eastAsia="zh-CN"/>
        </w:rPr>
        <w:t>，如同时中标多个标段，必须自动放弃其他标段</w:t>
      </w:r>
      <w:r>
        <w:rPr>
          <w:rFonts w:hint="eastAsia" w:ascii="仿宋_GB2312" w:hAnsi="仿宋_GB2312" w:eastAsia="仿宋_GB2312" w:cs="仿宋_GB2312"/>
          <w:sz w:val="28"/>
          <w:szCs w:val="28"/>
          <w:highlight w:val="none"/>
        </w:rPr>
        <w:t>。（详见招标文件第四章《招标内容及采购要求》）</w:t>
      </w:r>
    </w:p>
    <w:p w14:paraId="46DE332C">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第一标段：汉中市消防救援支队网络安全等级保护建设项目。</w:t>
      </w:r>
    </w:p>
    <w:p w14:paraId="3A2F387E">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第二标段：信息系统等级保护测评服务。</w:t>
      </w:r>
    </w:p>
    <w:p w14:paraId="407EEA25">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合同履行期限：</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第一标段</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第二标段</w:t>
      </w:r>
      <w:r>
        <w:rPr>
          <w:rFonts w:hint="eastAsia" w:ascii="仿宋_GB2312" w:hAnsi="仿宋_GB2312" w:eastAsia="仿宋_GB2312" w:cs="仿宋_GB2312"/>
          <w:sz w:val="28"/>
          <w:szCs w:val="28"/>
          <w:highlight w:val="none"/>
          <w:lang w:val="en-US" w:eastAsia="zh-CN"/>
        </w:rPr>
        <w:t>均为</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 xml:space="preserve">自供货合同签订生效之日起 </w:t>
      </w:r>
      <w:r>
        <w:rPr>
          <w:rFonts w:hint="eastAsia" w:ascii="仿宋_GB2312" w:hAnsi="仿宋_GB2312" w:eastAsia="仿宋_GB2312" w:cs="仿宋_GB2312"/>
          <w:sz w:val="28"/>
          <w:szCs w:val="28"/>
          <w:highlight w:val="none"/>
          <w:lang w:val="en-US" w:eastAsia="zh-CN"/>
        </w:rPr>
        <w:t>75</w:t>
      </w:r>
      <w:r>
        <w:rPr>
          <w:rFonts w:hint="eastAsia" w:ascii="仿宋_GB2312" w:hAnsi="仿宋_GB2312" w:eastAsia="仿宋_GB2312" w:cs="仿宋_GB2312"/>
          <w:sz w:val="28"/>
          <w:szCs w:val="28"/>
          <w:highlight w:val="none"/>
        </w:rPr>
        <w:t xml:space="preserve"> 个日历日内。</w:t>
      </w:r>
    </w:p>
    <w:p w14:paraId="4FF339F9">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p>
    <w:p w14:paraId="55ACA84F">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14:paraId="654EEDD8">
      <w:pPr>
        <w:widowControl/>
        <w:spacing w:line="50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二、项目采购需求</w:t>
      </w:r>
    </w:p>
    <w:p w14:paraId="757A0204">
      <w:pPr>
        <w:pStyle w:val="2"/>
        <w:keepNext w:val="0"/>
        <w:keepLines w:val="0"/>
        <w:pageBreakBefore w:val="0"/>
        <w:widowControl/>
        <w:kinsoku w:val="0"/>
        <w:wordWrap/>
        <w:overflowPunct/>
        <w:topLinePunct w:val="0"/>
        <w:autoSpaceDE w:val="0"/>
        <w:autoSpaceDN w:val="0"/>
        <w:bidi w:val="0"/>
        <w:adjustRightInd w:val="0"/>
        <w:snapToGrid w:val="0"/>
        <w:spacing w:before="325" w:line="500" w:lineRule="atLeast"/>
        <w:ind w:left="144"/>
        <w:textAlignment w:val="baseline"/>
        <w:outlineLvl w:val="1"/>
        <w:rPr>
          <w:rFonts w:hint="eastAsia"/>
          <w:spacing w:val="-3"/>
          <w:sz w:val="22"/>
          <w:szCs w:val="22"/>
          <w:lang w:eastAsia="zh-CN"/>
        </w:rPr>
      </w:pPr>
      <w:r>
        <w:rPr>
          <w:rFonts w:hint="eastAsia"/>
          <w:b/>
          <w:bCs/>
          <w:spacing w:val="-8"/>
          <w:sz w:val="28"/>
          <w:szCs w:val="28"/>
          <w:lang w:eastAsia="zh-CN"/>
        </w:rPr>
        <w:t>（一）</w:t>
      </w:r>
      <w:r>
        <w:rPr>
          <w:b/>
          <w:bCs/>
          <w:spacing w:val="-8"/>
          <w:sz w:val="28"/>
          <w:szCs w:val="28"/>
        </w:rPr>
        <w:t>采购</w:t>
      </w:r>
      <w:r>
        <w:rPr>
          <w:rFonts w:hint="eastAsia"/>
          <w:b/>
          <w:bCs/>
          <w:spacing w:val="-8"/>
          <w:sz w:val="28"/>
          <w:szCs w:val="28"/>
          <w:lang w:eastAsia="zh-CN"/>
        </w:rPr>
        <w:t>说明</w:t>
      </w:r>
      <w:r>
        <w:rPr>
          <w:rFonts w:hint="eastAsia"/>
          <w:spacing w:val="-3"/>
          <w:sz w:val="22"/>
          <w:szCs w:val="22"/>
          <w:lang w:eastAsia="zh-CN"/>
        </w:rPr>
        <w:t>：</w:t>
      </w:r>
    </w:p>
    <w:p w14:paraId="6F06886F">
      <w:pPr>
        <w:pStyle w:val="2"/>
        <w:keepNext w:val="0"/>
        <w:keepLines w:val="0"/>
        <w:pageBreakBefore w:val="0"/>
        <w:widowControl/>
        <w:kinsoku w:val="0"/>
        <w:wordWrap/>
        <w:overflowPunct/>
        <w:topLinePunct w:val="0"/>
        <w:autoSpaceDE w:val="0"/>
        <w:autoSpaceDN w:val="0"/>
        <w:bidi w:val="0"/>
        <w:adjustRightInd w:val="0"/>
        <w:snapToGrid w:val="0"/>
        <w:spacing w:after="0" w:line="500" w:lineRule="atLeast"/>
        <w:ind w:left="0" w:leftChars="0" w:right="0" w:firstLine="474" w:firstLineChars="200"/>
        <w:textAlignment w:val="baseline"/>
        <w:outlineLvl w:val="1"/>
        <w:rPr>
          <w:rFonts w:hint="eastAsia"/>
          <w:b/>
          <w:bCs/>
          <w:spacing w:val="-2"/>
          <w:sz w:val="24"/>
          <w:szCs w:val="24"/>
          <w:highlight w:val="yellow"/>
          <w:lang w:val="en-US" w:eastAsia="zh-CN"/>
        </w:rPr>
      </w:pPr>
      <w:r>
        <w:rPr>
          <w:rFonts w:hint="eastAsia"/>
          <w:b/>
          <w:bCs/>
          <w:spacing w:val="-2"/>
          <w:sz w:val="24"/>
          <w:szCs w:val="24"/>
          <w:lang w:val="en-US" w:eastAsia="zh-CN"/>
        </w:rPr>
        <w:t>标注★的参数代表实质性指标（请附以佐证材料，包括但不限于检测报告、产品说明书、产品彩页、厂家佐证材料</w:t>
      </w:r>
      <w:r>
        <w:rPr>
          <w:rFonts w:hint="eastAsia"/>
          <w:b/>
          <w:bCs/>
          <w:spacing w:val="-2"/>
          <w:sz w:val="24"/>
          <w:szCs w:val="24"/>
          <w:highlight w:val="none"/>
          <w:lang w:val="en-US" w:eastAsia="zh-CN"/>
        </w:rPr>
        <w:t>等）</w:t>
      </w:r>
      <w:r>
        <w:rPr>
          <w:rFonts w:hint="eastAsia"/>
          <w:b/>
          <w:bCs/>
          <w:spacing w:val="-2"/>
          <w:sz w:val="24"/>
          <w:szCs w:val="24"/>
          <w:lang w:val="en-US" w:eastAsia="zh-CN"/>
        </w:rPr>
        <w:t>，不满足该指标项将按无效投标处理，标注▲的参数代表重要指标（请附以佐证材料，包括但不限于检测报告、产品说明书、产品彩页、厂家佐证材料等），未标注的参数则表示一般指标项（请附以佐证材料，包括但不限于检测报告、产品说明书、产品彩页、厂家佐证材料等），</w:t>
      </w:r>
      <w:r>
        <w:rPr>
          <w:rFonts w:hint="eastAsia"/>
          <w:b/>
          <w:bCs/>
          <w:spacing w:val="-2"/>
          <w:sz w:val="24"/>
          <w:szCs w:val="24"/>
          <w:highlight w:val="none"/>
          <w:lang w:val="en-US" w:eastAsia="zh-CN"/>
        </w:rPr>
        <w:t>除标注★的参数外，投标产品参数（不满足要求）将导致技术得分的损失。</w:t>
      </w:r>
    </w:p>
    <w:p w14:paraId="00515E9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325" w:line="500" w:lineRule="atLeast"/>
        <w:ind w:left="144" w:leftChars="0"/>
        <w:textAlignment w:val="baseline"/>
        <w:outlineLvl w:val="1"/>
        <w:rPr>
          <w:rFonts w:hint="eastAsia"/>
          <w:b/>
          <w:bCs/>
          <w:spacing w:val="-8"/>
          <w:sz w:val="28"/>
          <w:szCs w:val="28"/>
          <w:lang w:eastAsia="zh-CN"/>
        </w:rPr>
      </w:pPr>
      <w:r>
        <w:rPr>
          <w:rFonts w:hint="eastAsia" w:ascii="Times New Roman" w:hAnsi="Times New Roman" w:eastAsia="宋体" w:cs="Times New Roman"/>
          <w:b/>
          <w:bCs/>
          <w:spacing w:val="-8"/>
          <w:kern w:val="2"/>
          <w:sz w:val="28"/>
          <w:szCs w:val="28"/>
          <w:lang w:val="en-US" w:eastAsia="zh-CN" w:bidi="ar-SA"/>
        </w:rPr>
        <w:t>（二）</w:t>
      </w:r>
      <w:r>
        <w:rPr>
          <w:rFonts w:hint="eastAsia"/>
          <w:b/>
          <w:bCs/>
          <w:spacing w:val="-8"/>
          <w:sz w:val="28"/>
          <w:szCs w:val="28"/>
          <w:lang w:eastAsia="zh-CN"/>
        </w:rPr>
        <w:t>项目采购清单</w:t>
      </w:r>
    </w:p>
    <w:tbl>
      <w:tblPr>
        <w:tblStyle w:val="4"/>
        <w:tblW w:w="901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4"/>
        <w:gridCol w:w="5555"/>
        <w:gridCol w:w="1154"/>
        <w:gridCol w:w="1155"/>
      </w:tblGrid>
      <w:tr w14:paraId="3624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FE444">
            <w:pPr>
              <w:tabs>
                <w:tab w:val="left" w:pos="3097"/>
              </w:tabs>
              <w:adjustRightInd/>
              <w:snapToGrid/>
              <w:ind w:firstLine="0" w:firstLineChars="0"/>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ab/>
            </w:r>
            <w:r>
              <w:rPr>
                <w:rFonts w:hint="eastAsia" w:ascii="宋体" w:hAnsi="宋体" w:cs="宋体"/>
                <w:b/>
                <w:bCs/>
                <w:i w:val="0"/>
                <w:iCs w:val="0"/>
                <w:color w:val="000000"/>
                <w:kern w:val="0"/>
                <w:sz w:val="24"/>
                <w:szCs w:val="24"/>
                <w:u w:val="none"/>
                <w:lang w:val="en-US" w:eastAsia="zh-CN" w:bidi="ar"/>
              </w:rPr>
              <w:t>第一标段采购清单</w:t>
            </w:r>
          </w:p>
        </w:tc>
      </w:tr>
      <w:tr w14:paraId="13C75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7472">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ED6B">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EE08">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0B85">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r>
      <w:tr w14:paraId="3E7D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052D">
            <w:pPr>
              <w:adjustRightInd/>
              <w:snapToGrid/>
              <w:ind w:firstLine="0" w:firstLineChars="0"/>
              <w:jc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017C">
            <w:pPr>
              <w:adjustRightInd/>
              <w:snapToGrid/>
              <w:ind w:firstLine="0" w:firstLineChars="0"/>
              <w:jc w:val="left"/>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政务外网防火墙</w:t>
            </w:r>
            <w:r>
              <w:rPr>
                <w:rFonts w:hint="eastAsia" w:ascii="宋体" w:hAnsi="宋体" w:cs="宋体"/>
                <w:b/>
                <w:bCs/>
                <w:i w:val="0"/>
                <w:iCs w:val="0"/>
                <w:color w:val="000000"/>
                <w:kern w:val="0"/>
                <w:sz w:val="24"/>
                <w:szCs w:val="24"/>
                <w:u w:val="none"/>
                <w:lang w:val="en-US" w:eastAsia="zh-CN" w:bidi="ar"/>
              </w:rPr>
              <w:t>（核心产品）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6B80">
            <w:pPr>
              <w:adjustRightInd/>
              <w:snapToGrid/>
              <w:ind w:firstLine="0" w:firstLineChars="0"/>
              <w:jc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96A0">
            <w:pPr>
              <w:adjustRightInd/>
              <w:snapToGrid/>
              <w:ind w:firstLine="0" w:firstLineChars="0"/>
              <w:jc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台</w:t>
            </w:r>
          </w:p>
        </w:tc>
      </w:tr>
      <w:tr w14:paraId="67569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FF2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C2105">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政务外网行为管理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4BB9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3AC5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1699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FA40E">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72F92">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互联网出口防火墙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11BC">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0F7D">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2F46C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1678">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B8C9">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互联网出口行为管理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AD5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D41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9C08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4367">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2D20">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互联网出口负载均衡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A1F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4B07">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7D9D8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28CC">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609F">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互联网交换区潜伏威胁探针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F2F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179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4177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CF10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DFBE">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互联网态势感知平台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BD3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035D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154F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129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F4CB">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互联网零信任平台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4D434">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D5CBE">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E8E8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78F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4567">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指挥网数据库审计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D4B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A54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5EE55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79B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AB90">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指挥网日志审计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9E73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E0A8">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58F19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E4F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00CFD">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指挥网漏洞扫描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B9E7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72F6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3364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405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B709B">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指挥网堡垒机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0C6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ABC1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7E6A5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DDB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E956">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内外网隔离防火墙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C2E3">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D2D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36B8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EF0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2028">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指挥网出口防火墙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6F14">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C5635">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61F6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010C">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54A8">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指挥网出口上网行为管理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CBBC">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8B83">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3C82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799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A3C7">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消防指挥网潜伏威胁探针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2B0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0D9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5A27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538E7">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6BC1">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指挥网数据中心防火墙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41D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43BD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71208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4BA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24DD">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互联网无线行为管理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E38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BEF2">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00290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9EA8">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02F2">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互联网WEB防火墙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665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F1B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7E172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78A48">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E917E">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网络安全托管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327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87D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187E3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E9F5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DD04">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交换机板卡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6708">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675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1EE7B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271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1E3B">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A8FA">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CB54E">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31BA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9F6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26593">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EBD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D4B0">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批</w:t>
            </w:r>
          </w:p>
        </w:tc>
      </w:tr>
      <w:tr w14:paraId="53A43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DEB4">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93E08">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可视化感烟型探测器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689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742B">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7A629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8E25">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FD50">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系统集成费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B1ED3">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EE0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bl>
    <w:p w14:paraId="3B8B3EA4">
      <w:pPr>
        <w:bidi w:val="0"/>
        <w:rPr>
          <w:rFonts w:hint="eastAsia"/>
          <w:lang w:eastAsia="zh-CN"/>
        </w:rPr>
      </w:pPr>
    </w:p>
    <w:tbl>
      <w:tblPr>
        <w:tblStyle w:val="4"/>
        <w:tblW w:w="901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76"/>
        <w:gridCol w:w="3988"/>
        <w:gridCol w:w="1676"/>
        <w:gridCol w:w="1678"/>
      </w:tblGrid>
      <w:tr w14:paraId="6CD6C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C8C8">
            <w:pPr>
              <w:tabs>
                <w:tab w:val="left" w:pos="3097"/>
              </w:tabs>
              <w:adjustRightInd/>
              <w:snapToGrid/>
              <w:ind w:firstLine="0" w:firstLineChars="0"/>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ab/>
            </w:r>
            <w:r>
              <w:rPr>
                <w:rFonts w:hint="eastAsia" w:ascii="宋体" w:hAnsi="宋体" w:cs="宋体"/>
                <w:b/>
                <w:bCs/>
                <w:i w:val="0"/>
                <w:iCs w:val="0"/>
                <w:color w:val="000000"/>
                <w:kern w:val="0"/>
                <w:sz w:val="24"/>
                <w:szCs w:val="24"/>
                <w:u w:val="none"/>
                <w:lang w:val="en-US" w:eastAsia="zh-CN" w:bidi="ar"/>
              </w:rPr>
              <w:t>第二标段采购清单</w:t>
            </w:r>
          </w:p>
        </w:tc>
      </w:tr>
      <w:tr w14:paraId="1353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DC5A">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5E76">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1061">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E8DD">
            <w:pPr>
              <w:adjustRightInd/>
              <w:snapToGrid/>
              <w:ind w:firstLine="0" w:firstLineChars="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r>
      <w:tr w14:paraId="78F01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954F">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51EA">
            <w:pPr>
              <w:adjustRightInd/>
              <w:snapToGrid/>
              <w:ind w:firstLine="0" w:firstLineChars="0"/>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等保测评服务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C209">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6CF6">
            <w:pPr>
              <w:adjustRightInd/>
              <w:snapToGrid/>
              <w:ind w:firstLine="0" w:firstLineChars="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次</w:t>
            </w:r>
          </w:p>
        </w:tc>
      </w:tr>
    </w:tbl>
    <w:p w14:paraId="73E22853">
      <w:pPr>
        <w:rPr>
          <w:rFonts w:hint="eastAsia"/>
          <w:lang w:eastAsia="zh-CN"/>
        </w:rPr>
      </w:pPr>
      <w:r>
        <w:rPr>
          <w:rFonts w:hint="eastAsia"/>
          <w:lang w:eastAsia="zh-CN"/>
        </w:rPr>
        <w:br w:type="page"/>
      </w:r>
    </w:p>
    <w:p w14:paraId="3C01604C">
      <w:pPr>
        <w:rPr>
          <w:rFonts w:hint="eastAsia"/>
          <w:b/>
          <w:bCs/>
          <w:spacing w:val="-8"/>
          <w:sz w:val="28"/>
          <w:szCs w:val="28"/>
          <w:lang w:val="en-US" w:eastAsia="zh-CN"/>
        </w:rPr>
      </w:pPr>
      <w:r>
        <w:rPr>
          <w:rFonts w:hint="eastAsia"/>
          <w:b/>
          <w:bCs/>
          <w:spacing w:val="-8"/>
          <w:sz w:val="28"/>
          <w:szCs w:val="28"/>
          <w:lang w:val="en-US" w:eastAsia="zh-CN"/>
        </w:rPr>
        <w:t>（三）技术参数要求</w:t>
      </w:r>
    </w:p>
    <w:p w14:paraId="2F2EED16">
      <w:pPr>
        <w:pStyle w:val="3"/>
        <w:rPr>
          <w:rFonts w:hint="eastAsia"/>
          <w:b/>
          <w:bCs/>
          <w:sz w:val="28"/>
          <w:szCs w:val="36"/>
          <w:lang w:val="en-US" w:eastAsia="zh-CN"/>
        </w:rPr>
      </w:pPr>
    </w:p>
    <w:p w14:paraId="00E6D281">
      <w:pPr>
        <w:pStyle w:val="3"/>
        <w:rPr>
          <w:rFonts w:hint="eastAsia" w:ascii="仿宋" w:hAnsi="仿宋" w:eastAsia="仿宋" w:cs="仿宋"/>
          <w:b/>
          <w:bCs/>
          <w:sz w:val="28"/>
          <w:szCs w:val="36"/>
          <w:highlight w:val="none"/>
          <w:lang w:val="en-US" w:eastAsia="zh-CN"/>
        </w:rPr>
      </w:pPr>
      <w:r>
        <w:rPr>
          <w:rFonts w:hint="eastAsia" w:ascii="仿宋" w:hAnsi="仿宋" w:eastAsia="仿宋" w:cs="仿宋"/>
          <w:b/>
          <w:bCs/>
          <w:sz w:val="28"/>
          <w:szCs w:val="36"/>
          <w:highlight w:val="none"/>
          <w:lang w:val="en-US" w:eastAsia="zh-CN"/>
        </w:rPr>
        <w:t>第一标段参数：</w:t>
      </w:r>
    </w:p>
    <w:p w14:paraId="7C11D04B">
      <w:pPr>
        <w:pStyle w:val="3"/>
        <w:jc w:val="left"/>
        <w:rPr>
          <w:rFonts w:hint="eastAsia" w:ascii="仿宋" w:hAnsi="仿宋" w:eastAsia="仿宋" w:cs="仿宋"/>
          <w:sz w:val="24"/>
          <w:szCs w:val="24"/>
          <w:highlight w:val="none"/>
          <w:lang w:val="en-US" w:eastAsia="zh-CN"/>
        </w:rPr>
      </w:pPr>
      <w:r>
        <w:rPr>
          <w:rFonts w:hint="eastAsia" w:ascii="仿宋" w:hAnsi="仿宋" w:eastAsia="仿宋" w:cs="仿宋"/>
          <w:b/>
          <w:bCs/>
          <w:spacing w:val="-2"/>
          <w:sz w:val="24"/>
          <w:szCs w:val="24"/>
          <w:highlight w:val="none"/>
          <w:lang w:val="en-US" w:eastAsia="zh-CN"/>
        </w:rPr>
        <w:t>★</w:t>
      </w:r>
      <w:r>
        <w:rPr>
          <w:rFonts w:hint="eastAsia" w:ascii="仿宋" w:hAnsi="仿宋" w:eastAsia="仿宋" w:cs="仿宋"/>
          <w:sz w:val="24"/>
          <w:szCs w:val="24"/>
          <w:highlight w:val="none"/>
          <w:lang w:val="en-US" w:eastAsia="zh-CN"/>
        </w:rPr>
        <w:t>1、安全产品（序号1-19）核心组件（CPU）及底层操作系统须采用国产化产品实现，满足中国信息安全测评中心发布的安全可靠测评结果，满足国产化自主可控要求。</w:t>
      </w:r>
      <w:r>
        <w:rPr>
          <w:rFonts w:hint="eastAsia" w:ascii="仿宋" w:hAnsi="仿宋" w:eastAsia="仿宋" w:cs="仿宋"/>
          <w:b/>
          <w:bCs/>
          <w:sz w:val="24"/>
          <w:szCs w:val="24"/>
          <w:highlight w:val="none"/>
          <w:lang w:val="en-US" w:eastAsia="zh-CN"/>
        </w:rPr>
        <w:t>（以查询截图为准，查询网址https://www.itsec.gov.cn/aqkkcp/cpgg/202312/t20231226_162074.html）</w:t>
      </w:r>
    </w:p>
    <w:p w14:paraId="2A692657">
      <w:pPr>
        <w:pStyle w:val="3"/>
        <w:rPr>
          <w:rFonts w:hint="eastAsia" w:ascii="仿宋" w:hAnsi="仿宋" w:eastAsia="仿宋" w:cs="仿宋"/>
          <w:sz w:val="24"/>
          <w:szCs w:val="24"/>
          <w:highlight w:val="none"/>
          <w:lang w:val="en-US" w:eastAsia="zh-CN"/>
        </w:rPr>
      </w:pPr>
      <w:r>
        <w:rPr>
          <w:rFonts w:hint="eastAsia" w:ascii="仿宋" w:hAnsi="仿宋" w:eastAsia="仿宋" w:cs="仿宋"/>
          <w:b/>
          <w:bCs/>
          <w:spacing w:val="-2"/>
          <w:sz w:val="24"/>
          <w:szCs w:val="24"/>
          <w:highlight w:val="none"/>
          <w:lang w:val="en-US" w:eastAsia="zh-CN"/>
        </w:rPr>
        <w:t>★</w:t>
      </w:r>
      <w:r>
        <w:rPr>
          <w:rFonts w:hint="eastAsia" w:ascii="仿宋" w:hAnsi="仿宋" w:eastAsia="仿宋" w:cs="仿宋"/>
          <w:sz w:val="24"/>
          <w:szCs w:val="24"/>
          <w:highlight w:val="none"/>
          <w:lang w:val="en-US" w:eastAsia="zh-CN"/>
        </w:rPr>
        <w:t>2、安全产品（序号1-19）提供软件升级、硬件质保及规则库更新服务不低于三年。</w:t>
      </w:r>
      <w:r>
        <w:rPr>
          <w:rFonts w:hint="eastAsia" w:ascii="仿宋" w:hAnsi="仿宋" w:eastAsia="仿宋" w:cs="仿宋"/>
          <w:b/>
          <w:bCs/>
          <w:sz w:val="24"/>
          <w:szCs w:val="24"/>
          <w:highlight w:val="none"/>
          <w:lang w:val="en-US" w:eastAsia="zh-CN"/>
        </w:rPr>
        <w:t>（以《承诺函》为准，格式自拟）</w:t>
      </w:r>
    </w:p>
    <w:p w14:paraId="0D9A1C20">
      <w:pPr>
        <w:pStyle w:val="3"/>
        <w:rPr>
          <w:rFonts w:hint="eastAsia" w:ascii="仿宋" w:hAnsi="仿宋" w:eastAsia="仿宋" w:cs="仿宋"/>
          <w:sz w:val="24"/>
          <w:szCs w:val="24"/>
          <w:highlight w:val="none"/>
          <w:lang w:val="en-US" w:eastAsia="zh-CN"/>
        </w:rPr>
      </w:pPr>
      <w:r>
        <w:rPr>
          <w:rFonts w:hint="eastAsia" w:ascii="仿宋" w:hAnsi="仿宋" w:eastAsia="仿宋" w:cs="仿宋"/>
          <w:b/>
          <w:bCs/>
          <w:spacing w:val="-2"/>
          <w:sz w:val="24"/>
          <w:szCs w:val="24"/>
          <w:highlight w:val="none"/>
          <w:lang w:val="en-US" w:eastAsia="zh-CN"/>
        </w:rPr>
        <w:t>★</w:t>
      </w:r>
      <w:r>
        <w:rPr>
          <w:rFonts w:hint="eastAsia" w:ascii="仿宋" w:hAnsi="仿宋" w:eastAsia="仿宋" w:cs="仿宋"/>
          <w:sz w:val="24"/>
          <w:szCs w:val="24"/>
          <w:highlight w:val="none"/>
          <w:lang w:val="en-US" w:eastAsia="zh-CN"/>
        </w:rPr>
        <w:t>3、网络安全托管服务（序号20）服务期不低于三年，投标供应商需提供不低于1名技术工程师进行每周5*8小时驻场技术服务。安全托管服务每年进行1次考核</w:t>
      </w:r>
      <w:r>
        <w:rPr>
          <w:rFonts w:hint="eastAsia" w:ascii="仿宋" w:hAnsi="仿宋" w:eastAsia="仿宋" w:cs="仿宋"/>
          <w:sz w:val="24"/>
          <w:szCs w:val="24"/>
          <w:lang w:val="en-US" w:eastAsia="zh-CN"/>
        </w:rPr>
        <w:t>，不符合采购人要求，采购人有权终止该项服务。</w:t>
      </w:r>
      <w:r>
        <w:rPr>
          <w:rFonts w:hint="eastAsia" w:ascii="仿宋" w:hAnsi="仿宋" w:eastAsia="仿宋" w:cs="仿宋"/>
          <w:b/>
          <w:bCs/>
          <w:sz w:val="24"/>
          <w:szCs w:val="24"/>
          <w:highlight w:val="none"/>
          <w:lang w:val="en-US" w:eastAsia="zh-CN"/>
        </w:rPr>
        <w:t>（以《承诺函》为准，格式自拟</w:t>
      </w:r>
    </w:p>
    <w:p w14:paraId="37F9C307">
      <w:pPr>
        <w:pStyle w:val="3"/>
        <w:rPr>
          <w:rFonts w:hint="eastAsia" w:ascii="仿宋" w:hAnsi="仿宋" w:eastAsia="仿宋" w:cs="仿宋"/>
          <w:sz w:val="24"/>
          <w:szCs w:val="24"/>
          <w:lang w:val="en-US" w:eastAsia="zh-CN"/>
        </w:rPr>
      </w:pPr>
      <w:r>
        <w:rPr>
          <w:rFonts w:hint="eastAsia" w:ascii="仿宋" w:hAnsi="仿宋" w:eastAsia="仿宋" w:cs="仿宋"/>
          <w:b/>
          <w:bCs/>
          <w:sz w:val="24"/>
          <w:szCs w:val="24"/>
          <w:highlight w:val="yellow"/>
          <w:lang w:val="en-US" w:eastAsia="zh-CN"/>
        </w:rPr>
        <w:t>投标人应提供①服务承诺函②投标人愿意接受考核的承诺函。</w:t>
      </w:r>
      <w:r>
        <w:rPr>
          <w:rFonts w:hint="eastAsia" w:ascii="仿宋" w:hAnsi="仿宋" w:eastAsia="仿宋" w:cs="仿宋"/>
          <w:b/>
          <w:bCs/>
          <w:sz w:val="24"/>
          <w:szCs w:val="24"/>
          <w:highlight w:val="none"/>
          <w:lang w:val="en-US" w:eastAsia="zh-CN"/>
        </w:rPr>
        <w:t>）</w:t>
      </w:r>
    </w:p>
    <w:p w14:paraId="7709496D">
      <w:pPr>
        <w:pStyle w:val="3"/>
        <w:rPr>
          <w:rFonts w:hint="eastAsia" w:ascii="仿宋" w:hAnsi="仿宋" w:eastAsia="仿宋" w:cs="仿宋"/>
          <w:b/>
          <w:bCs/>
          <w:sz w:val="24"/>
          <w:szCs w:val="24"/>
          <w:highlight w:val="yellow"/>
          <w:lang w:val="en-US" w:eastAsia="zh-CN"/>
        </w:rPr>
      </w:pPr>
      <w:r>
        <w:rPr>
          <w:rFonts w:hint="eastAsia" w:ascii="仿宋" w:hAnsi="仿宋" w:eastAsia="仿宋" w:cs="仿宋"/>
          <w:b/>
          <w:bCs/>
          <w:sz w:val="24"/>
          <w:szCs w:val="24"/>
          <w:highlight w:val="none"/>
          <w:lang w:val="en-US" w:eastAsia="zh-CN"/>
        </w:rPr>
        <w:t>服务承诺内容如下：</w:t>
      </w:r>
    </w:p>
    <w:p w14:paraId="15C08CE2">
      <w:pPr>
        <w:pStyle w:val="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（1）从安全日志上传分析研判到通告给最终用户，重大安全事件在不少于15分钟内完成通报闭环，一般事件在不少于30分钟内完成通报闭环；</w:t>
      </w:r>
    </w:p>
    <w:p w14:paraId="63A36E0E">
      <w:pPr>
        <w:pStyle w:val="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（2）在配备同品牌防火墙、行为管理、杀毒软件等安全设备的情况下，重大安全事件在15分钟内完成响应闭环，一般安全事件在30分钟内完成响应闭环；</w:t>
      </w:r>
    </w:p>
    <w:p w14:paraId="3A25B867">
      <w:pPr>
        <w:pStyle w:val="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（3）安全事件经过服务提供方服务人员的确认后，通告给采购人的各类安全事件的准确率不低于99%（即误报不能超过1%）；</w:t>
      </w:r>
    </w:p>
    <w:p w14:paraId="7DD256F6">
      <w:pPr>
        <w:pStyle w:val="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（4）服务提供方应当承诺，服务范围内的所有安全事件的闭环处置比例达到100%。</w:t>
      </w:r>
    </w:p>
    <w:p w14:paraId="627EC72F">
      <w:pPr>
        <w:pStyle w:val="3"/>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（5）服务提供方应当满足重大事故应启动应急响应机制，工作时间15分钟之内远程专家进行响应，非工作时间30分钟之内远程专家进行响应。</w:t>
      </w:r>
    </w:p>
    <w:p w14:paraId="71D7DF9B">
      <w:pPr>
        <w:pStyle w:val="3"/>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（6）在服务方提供边界防护组件的情况下，招标方可以对服务范围内发现的每一个高危可利用漏洞提供防护规则，并且承诺防护率达到99%。</w:t>
      </w:r>
    </w:p>
    <w:p w14:paraId="60B07150">
      <w:pPr>
        <w:pStyle w:val="3"/>
        <w:rPr>
          <w:rFonts w:hint="eastAsia" w:ascii="仿宋" w:hAnsi="仿宋" w:eastAsia="仿宋" w:cs="仿宋"/>
          <w:highlight w:val="yellow"/>
          <w:lang w:val="en-US" w:eastAsia="zh-CN"/>
        </w:rPr>
      </w:pPr>
      <w:r>
        <w:rPr>
          <w:rFonts w:hint="eastAsia" w:ascii="仿宋" w:hAnsi="仿宋" w:eastAsia="仿宋" w:cs="仿宋"/>
          <w:sz w:val="24"/>
          <w:szCs w:val="24"/>
          <w:highlight w:val="none"/>
          <w:lang w:val="en-US" w:eastAsia="zh-CN"/>
        </w:rPr>
        <w:t>（7）经采购人授权后，服务方人员进行安全事件的闭环，一般安全事件的闭环完成时间少于8小时，重大事件的闭环完成时间少于24小时。</w:t>
      </w:r>
    </w:p>
    <w:p w14:paraId="12583827">
      <w:pPr>
        <w:rPr>
          <w:rFonts w:hint="default"/>
          <w:lang w:val="en-US" w:eastAsia="zh-CN"/>
        </w:rPr>
      </w:pPr>
      <w:r>
        <w:rPr>
          <w:rFonts w:hint="default"/>
          <w:lang w:val="en-US" w:eastAsia="zh-CN"/>
        </w:rPr>
        <w:br w:type="page"/>
      </w:r>
    </w:p>
    <w:p w14:paraId="6588D812">
      <w:pPr>
        <w:pStyle w:val="3"/>
        <w:rPr>
          <w:rFonts w:hint="default"/>
          <w:lang w:val="en-US" w:eastAsia="zh-CN"/>
        </w:rPr>
      </w:pPr>
    </w:p>
    <w:tbl>
      <w:tblPr>
        <w:tblStyle w:val="4"/>
        <w:tblW w:w="9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8"/>
        <w:gridCol w:w="808"/>
        <w:gridCol w:w="6485"/>
        <w:gridCol w:w="727"/>
        <w:gridCol w:w="672"/>
      </w:tblGrid>
      <w:tr w14:paraId="541DB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928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8E54">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汉中市消防救援支队网络安全等级保护建设项目</w:t>
            </w:r>
          </w:p>
        </w:tc>
      </w:tr>
      <w:tr w14:paraId="3EA1C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DB7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510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名称</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9B1A">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参数</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7C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6A2A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r>
      <w:tr w14:paraId="0B5A0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E8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9FB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政务外网防火墙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B9C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1、内存≥8G，硬盘≥120G 固态硬盘，接口：≥6个10/100/1000M以太网电口，≥4个10G以太网光口；网络层吞吐量≥40G，IPS吞吐量≥10G，防病毒吞吐量≥10G，并</w:t>
            </w:r>
            <w:r>
              <w:rPr>
                <w:rStyle w:val="6"/>
                <w:sz w:val="24"/>
                <w:szCs w:val="24"/>
                <w:lang w:val="en-US" w:eastAsia="zh-CN" w:bidi="ar"/>
              </w:rPr>
              <w:t>发连接数≥400万，新建连接数：≥10万，支持IPv6。实配入侵防御模块、防病毒网关模块。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▲1、具备独立防勒索病毒功能模块，可实现对我单位核心业务进行无需人工干预的勒索安全风险自动化评估和防护策略自动生成。</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w:t>
            </w:r>
            <w:r>
              <w:rPr>
                <w:rFonts w:hint="eastAsia" w:ascii="仿宋" w:hAnsi="仿宋" w:eastAsia="仿宋" w:cs="仿宋"/>
                <w:i w:val="0"/>
                <w:iCs w:val="0"/>
                <w:color w:val="000000"/>
                <w:kern w:val="0"/>
                <w:sz w:val="24"/>
                <w:szCs w:val="24"/>
                <w:highlight w:val="none"/>
                <w:u w:val="none"/>
                <w:lang w:val="en-US" w:eastAsia="zh-CN" w:bidi="ar"/>
              </w:rPr>
              <w:t>、支持海量漏洞规则特征库，能通过漏洞CVE等条件进行特征查询，支持自定义个性化IPS规则。</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A4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CB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CFAE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26F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AA3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政务外网行为管理</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A7E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2、内存≥8G，硬盘容量≥480G 固态硬盘，接口≥6个10/100/1000M以太网电口，≥2个10G以太网光口；网络层吞吐量≥3.6G，应用层吞吐量≥450Mb，带宽性能≥300Mb，每秒新建连接数≥4000，并发连接数≥150000，支持≥1500个准入终端及流量审计终端，支持IPv6。同时配置设备准入、流量控制、流量审计三个功能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3、具备对内网故障进行排查能力，对带宽每秒传输数据量、数据丢包情况、DOS攻击、ARP欺骗等异常情况实时监测。</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4、具备SSL中间人解密、客户端解密功能；具备不安装客户端插件，通过流量检查主流杀毒软件的运行情况并重定向到安装页面的功能。</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5、应支持根据源地址和目的地址过滤外发邮件，支持对HTTPS、SMTP-SSL、SMTP等加密邮件进行识别</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▲3、实现与本次采购政务外网出口防火墙系统实现认证联动，同时部署产品后，可以实现认证同步机制，实现单点登录。</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▲4、实现WEB/FTP/SMB等常见业务类型的行为和内容审计，支持选择审计文件名或文件内容。</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5F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D5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385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01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ADE6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互联网出口防火墙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5EE0">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6、内存≥8G，硬盘≥120G 固态硬盘，接口：≥6个10/100/1000M以太网电口，≥4个10G以太网光口；网络层吞吐量≥40G，IPS吞吐量≥10G，防病毒吞吐量≥10G，并发连接数≥400万，新建连接数：≥10万，支持IPv6。实配入侵防御模块、防病毒网关、蜜罐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7、实现可视化拓扑关系图梳理离线资产、高危端口开放、冗余端口等信息。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8、实现防病毒网关模块杀毒白名单设置，排除特定MD5和URL文件不进行查杀。</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▲5、提供线上运营平台，通过微信、钉钉等常用软件小程序就可查看设备状态、接受设备预警、处置安全事件；</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▲6、实配蜜罐主动诱捕功能，通过云蜜罐伪装业务诱捕内外网攻击行为并获取黑客指纹信息。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▲7、设备需实现主动上报未知IP、URL、DNS至云端，并将云端未知威胁探测结果快速返回并进行处置；支持在本地化界面上展示处置情况。</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7F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FF5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31C2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12A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ECF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互联网出口行为管理</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D44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9、内存≥8G，硬盘容量≥480G 固态硬盘，接口≥6个10/100/1000M以太网电口，≥2个10G以太网光口；网络层吞吐量≥3.6G，应用层吞吐量≥450Mb，带宽性能≥300Mb，每秒新建连接数≥4000，并发连接数≥150000，支持≥1500个准入终端及流量审计终端，支持IPv6。设备同时配置终端准入、流量控制、流量审计三个功能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▲8、实现终端用户账号绑定手机号码和微信号实现上网快捷登录认证；</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10、实现在不影响下载文件等功能的前提下管控多种网盘的文件外发行为。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▲9、实现自定义业务系统名称、描述，绑定到相应的IP地址和端口或域名，以每个业务系统作为单独审计对象；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11、要求与互联网出口防火墙系统实现同步认证联动和在线用户信息的共享。</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12、设备需同时开启SSL中间人解密、SSL客户端解密功能</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7F1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77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F041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7"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6A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9D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互联网出口负载均衡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6DF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13、冗余电源，内存≥16G，硬盘容量≥480G 固态硬盘，接口≥6个10/100/1000M以太网电口、6个10G以太网光口；四层并发连接数≥2000W，支持IPv6。</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▲10、设备可同时开启链路负载均衡、全局负载均衡和服务器负载均衡。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▲11、具备SSLO流量编排功能，通过Web界面，能在一个虚拟服务下完成流量编排、安全资源池和服务链配置。</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14、具备设备巡检功能，被检测设备无需访问互联网，实现离线巡检，并且可分别针对安全、功能以及设备健康度进行巡检。</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15、具备基于应用协议的智能选路的功能，实现对不同应用流量进行调度。</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▲12、具备端口耗尽告警；具备PCIE、内存硬件故障时的RAS告警能力。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▲13、支持在单个服务下为的多套证书分别设置不同的SSL协议、加密组件、认证策略。</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809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48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A264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FA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5116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互联网交换区潜伏威胁探针</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860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16、内存≥8G，硬盘容量≥120G 固态硬盘，接口≥6个10/100/1000M以太网电口 ≥4个10/100/1000M以太网光口；网络层吞吐量≥1Gbps，应用层吞吐量≥500Mbps，支持IPv6。</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17、支持采用旁路模式部署，支持探针接入多个镜像接口。</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18、满足以列表形式显示资产、服务、端口、设备类型、操作系统等信息。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▲14、具备绘制网络拓扑功能，可视化展示网络整体情况。</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6C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E78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5D25C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F5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D1A2">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互联网态势感知平台</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98C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19、内存≥4*32GB DDR4 3200，系统盘≥1*480 GB 固态硬盘，数据盘≥4*8T机械硬盘，配备冗余电源，接口≥4个10/100/1000M以太网电口；带宽性能1Gbps时存储时长≥900天，支持IPv6。</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20、实现以可视化形式展示威胁影响面的功能，通过大数据分析及关联检索技术，能清晰看出失陷主机对其他设备的影响，便于评估受损情况；</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21、具备导出PPT格式报告的能力。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▲15、具备勒索专项检测功能、挖矿专项检测功能，并分别通过专有页面进行展示，对病毒的感染途径、方式进行分类；</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22、需实现在各类扫描协议下的弱密码主动扫描。</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▲16、能与本次采购的防火墙、行为管理、数据库审计等产品以及我单位目前正在使用的终端安全软件对接，打造整体安全管理中心。</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▲17、需实现资产自动识别和资产扫描，支持自动与手动入库、设置扫描目标等功能，针对资产存活性（ARP/TCP/ICMP）、服务、端口、操作系统、应用、逻辑拓扑和物理拓扑识别及可视化展示。</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27E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C7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52CE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7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C1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290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互联网零信任平台</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21A2">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23、内存≥16G，硬盘容量≥480G 固态硬盘，配备冗余电源，接口≥6个10/100/1000M以太网电口 ≥4个10/100/1000M以太网光口；IPSEC加密流量≥120Mbps，最大并发隧道数≥300。SSL加密流量≥600Mbps，最大并发用户数≥1200，支持IPv6。实配100个并发授权，支持SM1、SM2、SM3、SM4算法，具备商密认证证书</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24、具备配置动态访问规则和ACL规则引擎，支持配置终端环境和用户身份、用户动作等信息，并根据Linux、windows等操作系统类型设置个性化访问控制策略。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25、实配WEB应用水印功能，能禁止复制/剪切、打印、下载、浏览器调试等高危操作。</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26、实配虚拟网络域模块，实现多网隔离、同一时间只允许上一张网的能力。通过切换不同“虚拟网络域”，实现进程级别的终端出入站网络连接管控。</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▲18、具备基于TCP/IP协议的网络抗波动功能，保证弱网环境的访问速度。</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27、需实现将以文件为单位的工作生产数据加密保存；</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28、具备对账号安全、中间人攻击、SPA安全、cookie劫持等行为打标签的能力。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▲19、为保障我单位移动办公安全，支持移动设备的安全接入和数据安全沙箱等功能，支持通过控制台上传应用包做自动封装。</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BC3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54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F343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96"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A8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548D">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指挥网数据库审计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3D8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29、配备冗余电源，内存≥32G，≥2*USB接口，≥1*RJ45串口，≥1*GE管理口，≥4*千兆SFP插槽，≥6*千兆电口，≥2个接口扩展槽位，系统盘≥256G SSD，数据盘≥4TB；网络层吞吐量≥5000Mbit/秒，SQL语句处理能力≥44000条/秒，并发会话数≥11000，日志检索能力≥2000万/s。</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▲20、至少支持DM、kingbase、OSCAR、Gbase、Highgo、Guass DB、TDSQL-MySQL、TDSQL-PostgreSQL等国产数据库审计。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▲21、支持基于分类分级的审计配置，支持在审计中以敏感日志形式动态体现数据所在的数据源、数据分类、定级等相关信息。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30、支持三层架构如Weblogic、tomcat、Websphere等主流的应用服务器，可提取包括应用层帐号、数据库帐号、操作系统用户名、客户端主机名、客户端IP、客户端MAC等身份信息，精确定位到人。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22、报表内容基于总体概况、性能、会话、语句、风险等多层面进行展现，内容提供图表结合展现，图表形式包含但不限于：柱形图、饼状图、条形图，双轴折线图等多种统计图展现；提供应用流量相关专项分析、新增及下线数据库信息分析、语句变化趋势分析等，不少于70个分析章节，并支持自定义组合。</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00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BD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CC7A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10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1DB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指挥网日志审计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3FAF">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31、</w:t>
            </w:r>
            <w:r>
              <w:rPr>
                <w:rFonts w:hint="eastAsia" w:ascii="仿宋" w:hAnsi="仿宋" w:eastAsia="仿宋" w:cs="仿宋"/>
                <w:i w:val="0"/>
                <w:iCs w:val="0"/>
                <w:color w:val="000000"/>
                <w:kern w:val="0"/>
                <w:sz w:val="24"/>
                <w:szCs w:val="24"/>
                <w:u w:val="none"/>
                <w:lang w:val="en-US" w:eastAsia="zh-CN" w:bidi="ar"/>
              </w:rPr>
              <w:t>内存≥16G，硬盘容量≥120G 固态硬盘，≥4T 机械硬盘，接口≥6个10/100/1000M以太网电口、2个10G以太网光口；可审计主机许可数≥100，可扩展审计主机许可数≥500，每秒处理日志数（eps）≥2500。</w:t>
            </w:r>
          </w:p>
          <w:p w14:paraId="50978720">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32、</w:t>
            </w:r>
            <w:r>
              <w:rPr>
                <w:rFonts w:hint="eastAsia" w:ascii="仿宋" w:hAnsi="仿宋" w:eastAsia="仿宋" w:cs="仿宋"/>
                <w:i w:val="0"/>
                <w:iCs w:val="0"/>
                <w:color w:val="000000"/>
                <w:kern w:val="0"/>
                <w:sz w:val="24"/>
                <w:szCs w:val="24"/>
                <w:u w:val="none"/>
                <w:lang w:val="en-US" w:eastAsia="zh-CN" w:bidi="ar"/>
              </w:rPr>
              <w:t>能实现深之度、鸿蒙、优麒麟、统信等国产化操作系统日志接入</w:t>
            </w:r>
          </w:p>
          <w:p w14:paraId="305A57BD">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33、</w:t>
            </w:r>
            <w:r>
              <w:rPr>
                <w:rFonts w:hint="eastAsia" w:ascii="仿宋" w:hAnsi="仿宋" w:eastAsia="仿宋" w:cs="仿宋"/>
                <w:i w:val="0"/>
                <w:iCs w:val="0"/>
                <w:color w:val="000000"/>
                <w:kern w:val="0"/>
                <w:sz w:val="24"/>
                <w:szCs w:val="24"/>
                <w:u w:val="none"/>
                <w:lang w:val="en-US" w:eastAsia="zh-CN" w:bidi="ar"/>
              </w:rPr>
              <w:t>满足日志源批量采集和日志源数据批量转发功能；</w:t>
            </w:r>
          </w:p>
          <w:p w14:paraId="141525A5">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34、</w:t>
            </w:r>
            <w:r>
              <w:rPr>
                <w:rFonts w:hint="eastAsia" w:ascii="仿宋" w:hAnsi="仿宋" w:eastAsia="仿宋" w:cs="仿宋"/>
                <w:i w:val="0"/>
                <w:iCs w:val="0"/>
                <w:color w:val="000000"/>
                <w:kern w:val="0"/>
                <w:sz w:val="24"/>
                <w:szCs w:val="24"/>
                <w:u w:val="none"/>
                <w:lang w:val="en-US" w:eastAsia="zh-CN" w:bidi="ar"/>
              </w:rPr>
              <w:t>具备基于正则表达式、分隔符、json文件、xml文件等可视化方式进行规则解析的能力，规则支持自定义，能新增解析结果字段，并对结果进行合并、映射；支持SM3国密算法。</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▲23、实配可用容量≥5TB高性能异地安全日志灾备空间；通过在本地设备上安装agent，将本地设备状态和日志及时上传至异地存储平台，如设备故障可在异地拉起设备。</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▲24、异地安全日志灾备空间需要配置策略定时开启网卡，并禁用无关端口，除传输备份数据流外禁止访问网络；灾备空间后台应采用动态口令，前端设备管理员修改密码后，后台密码随之变化并生成新密码。</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20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EF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7650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9"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F90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56A2">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指挥网漏洞扫描</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CA055">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35、</w:t>
            </w:r>
            <w:r>
              <w:rPr>
                <w:rFonts w:hint="eastAsia" w:ascii="仿宋" w:hAnsi="仿宋" w:eastAsia="仿宋" w:cs="仿宋"/>
                <w:i w:val="0"/>
                <w:iCs w:val="0"/>
                <w:color w:val="000000"/>
                <w:kern w:val="0"/>
                <w:sz w:val="24"/>
                <w:szCs w:val="24"/>
                <w:u w:val="none"/>
                <w:lang w:val="en-US" w:eastAsia="zh-CN" w:bidi="ar"/>
              </w:rPr>
              <w:t>内存≥16G，数据盘≥4T，系统盘≥128G SSD，≥6*千兆电口，≥4*千兆光口，≥2*扩展槽位，≥2*USB口，≥1*串口，冗余电源，配置系统漏洞扫描、web漏洞扫描、两高一弱检查、云计算平台漏洞扫描、大数据组件漏洞扫描、物联网设备漏洞扫描功能；最大扫描速度（IP/H) ≥1500，最大并发任务数≥15，最大并发扫描主机数 ≥75，最大存储任务数≥8000。</w:t>
            </w:r>
          </w:p>
          <w:p w14:paraId="78FDA0E6">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36、</w:t>
            </w:r>
            <w:r>
              <w:rPr>
                <w:rFonts w:hint="eastAsia" w:ascii="仿宋" w:hAnsi="仿宋" w:eastAsia="仿宋" w:cs="仿宋"/>
                <w:i w:val="0"/>
                <w:iCs w:val="0"/>
                <w:color w:val="000000"/>
                <w:kern w:val="0"/>
                <w:sz w:val="24"/>
                <w:szCs w:val="24"/>
                <w:u w:val="none"/>
                <w:lang w:val="en-US" w:eastAsia="zh-CN" w:bidi="ar"/>
              </w:rPr>
              <w:t>产品内置可检测的漏洞数大于380000条，同时全面支持对国产操作系统、应用与软件的安全漏洞扫描，覆盖华为欧拉、openEuler、统信UOS、麒麟系列、BCLinux、达梦数据库、南大通用GBase、人大金仓Kingbase、神州通用神通数据库、金蝶、东方通中间件等主流国产环境，相关可检测漏洞数量超过10万条。</w:t>
            </w:r>
          </w:p>
          <w:p w14:paraId="39947957">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37、</w:t>
            </w:r>
            <w:r>
              <w:rPr>
                <w:rFonts w:hint="eastAsia" w:ascii="仿宋" w:hAnsi="仿宋" w:eastAsia="仿宋" w:cs="仿宋"/>
                <w:i w:val="0"/>
                <w:iCs w:val="0"/>
                <w:color w:val="000000"/>
                <w:kern w:val="0"/>
                <w:sz w:val="24"/>
                <w:szCs w:val="24"/>
                <w:u w:val="none"/>
                <w:lang w:val="en-US" w:eastAsia="zh-CN" w:bidi="ar"/>
              </w:rPr>
              <w:t>支持认证信息管理，可将系统登录信息、配置检查模板进行统一管理和配置，提供登录信息导入功能，无须每次下任务时进行配置。</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25、支持通过仪表盘直观展示资产风险值、漏洞总数、风险资产数/资产总数、扫描任务数、漏洞库新增漏洞TOP20，资产分类统计、资产风险等级分布、漏洞风险分布、风险TOP5、漏洞TOP5、风险数趋势图、整体风险值趋势。</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EF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A3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BD1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BB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C999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指挥网堡垒机</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874AE">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38、</w:t>
            </w:r>
            <w:r>
              <w:rPr>
                <w:rFonts w:hint="eastAsia" w:ascii="仿宋" w:hAnsi="仿宋" w:eastAsia="仿宋" w:cs="仿宋"/>
                <w:i w:val="0"/>
                <w:iCs w:val="0"/>
                <w:color w:val="000000"/>
                <w:kern w:val="0"/>
                <w:sz w:val="24"/>
                <w:szCs w:val="24"/>
                <w:u w:val="none"/>
                <w:lang w:val="en-US" w:eastAsia="zh-CN" w:bidi="ar"/>
              </w:rPr>
              <w:t>内存≥8G，硬盘容量≥1.9T 固态硬盘，接口≥6个10/100/1000M以太网电口，≥4个10/100/1000M以太网光口；运维授权数≥50，最大支持运维授权数≥150，图形运维并发数≥100，字符运维并发数≥200，支持IPv6。</w:t>
            </w:r>
          </w:p>
          <w:p w14:paraId="634C2527">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39、</w:t>
            </w:r>
            <w:r>
              <w:rPr>
                <w:rFonts w:hint="eastAsia" w:ascii="仿宋" w:hAnsi="仿宋" w:eastAsia="仿宋" w:cs="仿宋"/>
                <w:i w:val="0"/>
                <w:iCs w:val="0"/>
                <w:color w:val="000000"/>
                <w:kern w:val="0"/>
                <w:sz w:val="24"/>
                <w:szCs w:val="24"/>
                <w:u w:val="none"/>
                <w:lang w:val="en-US" w:eastAsia="zh-CN" w:bidi="ar"/>
              </w:rPr>
              <w:t>满足通过BS架构的网站页面开展运维的需求，无须安装插件，支持对SecureCRT、Xshell、RDP等常见客户端工具的单点登录；</w:t>
            </w:r>
          </w:p>
          <w:p w14:paraId="6B7ACA7A">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40、</w:t>
            </w:r>
            <w:r>
              <w:rPr>
                <w:rFonts w:hint="eastAsia" w:ascii="仿宋" w:hAnsi="仿宋" w:eastAsia="仿宋" w:cs="仿宋"/>
                <w:i w:val="0"/>
                <w:iCs w:val="0"/>
                <w:color w:val="000000"/>
                <w:kern w:val="0"/>
                <w:sz w:val="24"/>
                <w:szCs w:val="24"/>
                <w:u w:val="none"/>
                <w:lang w:val="en-US" w:eastAsia="zh-CN" w:bidi="ar"/>
              </w:rPr>
              <w:t>具备配置资产一对一、一对多、多对多授权后双人协同会话共享的功能；</w:t>
            </w:r>
          </w:p>
          <w:p w14:paraId="0EF8499F">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41、</w:t>
            </w:r>
            <w:r>
              <w:rPr>
                <w:rFonts w:hint="eastAsia" w:ascii="仿宋" w:hAnsi="仿宋" w:eastAsia="仿宋" w:cs="仿宋"/>
                <w:i w:val="0"/>
                <w:iCs w:val="0"/>
                <w:color w:val="000000"/>
                <w:kern w:val="0"/>
                <w:sz w:val="24"/>
                <w:szCs w:val="24"/>
                <w:u w:val="none"/>
                <w:lang w:val="en-US" w:eastAsia="zh-CN" w:bidi="ar"/>
              </w:rPr>
              <w:t>能实现口令到期后强制改密，且能检查密码合规性。</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▲26、具备基于动作流的广泛应用接入能力。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▲27、首次登录时支持用户扫码自定义动态密码，密码到期后强制改密，且能检查密码合规性；</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具备运维水印、录像水印、监控水印。</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D1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900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4DB91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7"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9C4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879A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内外网隔离防火墙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E8BCC">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42、</w:t>
            </w:r>
            <w:r>
              <w:rPr>
                <w:rFonts w:hint="eastAsia" w:ascii="仿宋" w:hAnsi="仿宋" w:eastAsia="仿宋" w:cs="仿宋"/>
                <w:i w:val="0"/>
                <w:iCs w:val="0"/>
                <w:color w:val="000000"/>
                <w:kern w:val="0"/>
                <w:sz w:val="24"/>
                <w:szCs w:val="24"/>
                <w:u w:val="none"/>
                <w:lang w:val="en-US" w:eastAsia="zh-CN" w:bidi="ar"/>
              </w:rPr>
              <w:t>内存≥8G，硬盘容量≥120G 固态硬盘，接口≥6个10/100/1000M以太网电口 ≥4个10G以太网光口；网络层吞吐量≥30G，IPS吞吐量≥4G，全威胁吞吐量≥400M，并发连接数≥200W，新建连接数≥4.5W，支持IPv6。</w:t>
            </w:r>
          </w:p>
          <w:p w14:paraId="71FDE5EF">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43、</w:t>
            </w:r>
            <w:r>
              <w:rPr>
                <w:rFonts w:hint="eastAsia" w:ascii="仿宋" w:hAnsi="仿宋" w:eastAsia="仿宋" w:cs="仿宋"/>
                <w:i w:val="0"/>
                <w:iCs w:val="0"/>
                <w:color w:val="000000"/>
                <w:kern w:val="0"/>
                <w:sz w:val="24"/>
                <w:szCs w:val="24"/>
                <w:u w:val="none"/>
                <w:lang w:val="en-US" w:eastAsia="zh-CN" w:bidi="ar"/>
              </w:rPr>
              <w:t>具备访问控制功能，精细化管理内外网流量；能接入我单位安全监测平台以及在线安全中心。</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▲28、支持管理业务系统并自定义业务信息，支持将业务系统绑定到对应IP、域名并实现针对业务系统的单独审计。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▲29、设备具备与我单位正在使用的终端安全软件联动管理的功能，在防火墙产品完成终端安全策略设置和查杀请求下发。</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53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79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E390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32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59C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指挥网出口防火墙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B34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44、内存≥8G，硬盘≥120G 固态硬盘，接口：≥6个10/100/1000M以太网电口≥4个10G以太网光口；网络层吞吐量≥40G，IPS吞吐量≥10G，防病毒吞吐量≥10G，并发连接数≥400万，新建连接数≥10万，支持IPv6。实配入侵防御模块、防病毒网关模块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▲30、具备独立的终端账号安全防护模块，具备针对社工攻击、慢速爆破等高危攻击行为的全生命周期防护能力。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▲31、需实现基于流量检测业务服务器的配置不当情况，支持类型下钻展示配置不当详情，提供解决方案和数据包举证。</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72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1B9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69EEF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7C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9CFF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指挥网出口上网行为管理</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F9FE">
            <w:pPr>
              <w:keepNext w:val="0"/>
              <w:keepLines w:val="0"/>
              <w:widowControl/>
              <w:numPr>
                <w:ilvl w:val="0"/>
                <w:numId w:val="0"/>
              </w:numPr>
              <w:suppressLineNumbers w:val="0"/>
              <w:ind w:left="0" w:leftChars="0" w:firstLine="0" w:firstLineChars="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45、</w:t>
            </w:r>
            <w:r>
              <w:rPr>
                <w:rFonts w:hint="eastAsia" w:ascii="仿宋" w:hAnsi="仿宋" w:eastAsia="仿宋" w:cs="仿宋"/>
                <w:i w:val="0"/>
                <w:iCs w:val="0"/>
                <w:color w:val="000000"/>
                <w:kern w:val="0"/>
                <w:sz w:val="24"/>
                <w:szCs w:val="24"/>
                <w:u w:val="none"/>
                <w:lang w:val="en-US" w:eastAsia="zh-CN" w:bidi="ar"/>
              </w:rPr>
              <w:t>内存≥8G，硬盘容量≥480G 固态硬盘，接口≥6个10/100/1000M以太网电口 ≥2个10G以太网光口；性能参数≥3.6Gb，带宽性能≥300Mb，可审计用户数≥1500，每秒新建连接数≥4000，最大并发连接数≥150000，支持IPv6。实配准入、流量控制、流量审计功能模块</w:t>
            </w:r>
          </w:p>
          <w:p w14:paraId="533D5D62">
            <w:pPr>
              <w:keepNext w:val="0"/>
              <w:keepLines w:val="0"/>
              <w:widowControl/>
              <w:numPr>
                <w:ilvl w:val="0"/>
                <w:numId w:val="0"/>
              </w:numPr>
              <w:suppressLineNumbers w:val="0"/>
              <w:ind w:left="0" w:lef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46、</w:t>
            </w:r>
            <w:r>
              <w:rPr>
                <w:rFonts w:hint="eastAsia" w:ascii="仿宋" w:hAnsi="仿宋" w:eastAsia="仿宋" w:cs="仿宋"/>
                <w:i w:val="0"/>
                <w:iCs w:val="0"/>
                <w:color w:val="000000"/>
                <w:kern w:val="0"/>
                <w:sz w:val="24"/>
                <w:szCs w:val="24"/>
                <w:u w:val="none"/>
                <w:lang w:val="en-US" w:eastAsia="zh-CN" w:bidi="ar"/>
              </w:rPr>
              <w:t>能根据线路及流量通道闲置情况自动启停对应的流量管控策略，进而提升网络的使用效率。</w:t>
            </w:r>
          </w:p>
          <w:p w14:paraId="3CF8E315">
            <w:pPr>
              <w:keepNext w:val="0"/>
              <w:keepLines w:val="0"/>
              <w:widowControl/>
              <w:numPr>
                <w:ilvl w:val="0"/>
                <w:numId w:val="0"/>
              </w:numPr>
              <w:suppressLineNumbers w:val="0"/>
              <w:ind w:left="0" w:lef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47、</w:t>
            </w:r>
            <w:r>
              <w:rPr>
                <w:rFonts w:hint="eastAsia" w:ascii="仿宋" w:hAnsi="仿宋" w:eastAsia="仿宋" w:cs="仿宋"/>
                <w:i w:val="0"/>
                <w:iCs w:val="0"/>
                <w:color w:val="000000"/>
                <w:kern w:val="0"/>
                <w:sz w:val="24"/>
                <w:szCs w:val="24"/>
                <w:u w:val="none"/>
                <w:lang w:val="en-US" w:eastAsia="zh-CN" w:bidi="ar"/>
              </w:rPr>
              <w:t>产品具备用户认证故障排查能力，可分析用户认证故障原因，给出错误详情以及排查建议；</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▲32、支持与本单位现有端点安全软件实现联动，行为管理向端点安全软件下发查杀任务。</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44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CD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624D1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2"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7DC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4F92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消防指挥网潜伏威胁探针</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D61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48、内存≥8G，硬盘容量≥120G 固态硬盘，接口≥6个10/100/1000M以太网电口 ≥4个10/100/1000M以太网光口；网络层吞吐量≥1Gbps，应用层吞吐量≥500Mbps，支持IPv6。</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798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98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8E53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18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218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消防指挥网数据中心防火墙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4851">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49、</w:t>
            </w:r>
            <w:r>
              <w:rPr>
                <w:rFonts w:hint="eastAsia" w:ascii="仿宋" w:hAnsi="仿宋" w:eastAsia="仿宋" w:cs="仿宋"/>
                <w:i w:val="0"/>
                <w:iCs w:val="0"/>
                <w:color w:val="000000"/>
                <w:kern w:val="0"/>
                <w:sz w:val="24"/>
                <w:szCs w:val="24"/>
                <w:u w:val="none"/>
                <w:lang w:val="en-US" w:eastAsia="zh-CN" w:bidi="ar"/>
              </w:rPr>
              <w:t>内存≥16G，硬盘容量≥120G 固态硬盘，冗余电源，接口≥6个10/100/1000M以太网电口 ≥6个10G以太网光口；应用层吞吐量≥50G，IPS吞吐量≥16G，防病毒吞吐量≥17G，并发连接数≥800万，新建连接数≥16万，支持IPv6。实配入侵防御模块、防病毒网关、应用发布防火墙WAF模块。</w:t>
            </w:r>
          </w:p>
          <w:p w14:paraId="4660C6CC">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50、</w:t>
            </w:r>
            <w:r>
              <w:rPr>
                <w:rFonts w:hint="eastAsia" w:ascii="仿宋" w:hAnsi="仿宋" w:eastAsia="仿宋" w:cs="仿宋"/>
                <w:i w:val="0"/>
                <w:iCs w:val="0"/>
                <w:color w:val="000000"/>
                <w:kern w:val="0"/>
                <w:sz w:val="24"/>
                <w:szCs w:val="24"/>
                <w:u w:val="none"/>
                <w:lang w:val="en-US" w:eastAsia="zh-CN" w:bidi="ar"/>
              </w:rPr>
              <w:t>内置专门漏洞库以及海量IPS漏洞规则，可自定义攻击特征库。</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▲33、为防止黑客从内网扫描服务器，产品应具备针对内网服务器漏洞的扫描阻断功能，并能对外部攻击源地址的扫描日志过程进行记录，同时实现设备联动封锁。</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D0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341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A04B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8"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EA8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1E9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互联网无线行为管理</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621D">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51、</w:t>
            </w:r>
            <w:r>
              <w:rPr>
                <w:rFonts w:hint="eastAsia" w:ascii="仿宋" w:hAnsi="仿宋" w:eastAsia="仿宋" w:cs="仿宋"/>
                <w:i w:val="0"/>
                <w:iCs w:val="0"/>
                <w:color w:val="000000"/>
                <w:kern w:val="0"/>
                <w:sz w:val="24"/>
                <w:szCs w:val="24"/>
                <w:u w:val="none"/>
                <w:lang w:val="en-US" w:eastAsia="zh-CN" w:bidi="ar"/>
              </w:rPr>
              <w:t>内存≥8G，硬盘容量≥480G 固态硬盘，接口≥6个10/100/1000M以太网电口 ≥2个10G以太网光口；性能参数≥3.6Gb，带宽性能≥300Mb，可审计用户数≥1500，每秒新建连接数≥4000，最大并发连接数≥150000，支持IPv6。</w:t>
            </w:r>
          </w:p>
          <w:p w14:paraId="293560CD">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52、</w:t>
            </w:r>
            <w:r>
              <w:rPr>
                <w:rFonts w:hint="eastAsia" w:ascii="仿宋" w:hAnsi="仿宋" w:eastAsia="仿宋" w:cs="仿宋"/>
                <w:i w:val="0"/>
                <w:iCs w:val="0"/>
                <w:color w:val="000000"/>
                <w:kern w:val="0"/>
                <w:sz w:val="24"/>
                <w:szCs w:val="24"/>
                <w:u w:val="none"/>
                <w:lang w:val="en-US" w:eastAsia="zh-CN" w:bidi="ar"/>
              </w:rPr>
              <w:t>具备自动发现新入网终端的能力，支持PC、移动设备、哑终端、专用设备的发现和型号识别；</w:t>
            </w:r>
          </w:p>
          <w:p w14:paraId="0B0F12E5">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53、</w:t>
            </w:r>
            <w:r>
              <w:rPr>
                <w:rFonts w:hint="eastAsia" w:ascii="仿宋" w:hAnsi="仿宋" w:eastAsia="仿宋" w:cs="仿宋"/>
                <w:i w:val="0"/>
                <w:iCs w:val="0"/>
                <w:color w:val="000000"/>
                <w:kern w:val="0"/>
                <w:sz w:val="24"/>
                <w:szCs w:val="24"/>
                <w:u w:val="none"/>
                <w:lang w:val="en-US" w:eastAsia="zh-CN" w:bidi="ar"/>
              </w:rPr>
              <w:t>可为入网设备配置DNS代理，可基于用户、域名、目标DNS等配置代理策略。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▲34、能实时提供用户流量、应用流量等排名信息。</w:t>
            </w:r>
          </w:p>
          <w:p w14:paraId="369A59CB">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54、</w:t>
            </w:r>
            <w:r>
              <w:rPr>
                <w:rFonts w:hint="eastAsia" w:ascii="仿宋" w:hAnsi="仿宋" w:eastAsia="仿宋" w:cs="仿宋"/>
                <w:i w:val="0"/>
                <w:iCs w:val="0"/>
                <w:color w:val="000000"/>
                <w:kern w:val="0"/>
                <w:sz w:val="24"/>
                <w:szCs w:val="24"/>
                <w:u w:val="none"/>
                <w:lang w:val="en-US" w:eastAsia="zh-CN" w:bidi="ar"/>
              </w:rPr>
              <w:t>支持短信认证和短信密码双因素认证，短信认证应支持对接阿里云、腾讯云、移动云等主流短信平台；</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2AD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D5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48222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5E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CD1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互联网 WEB 防火墙</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94F6">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55、</w:t>
            </w:r>
            <w:r>
              <w:rPr>
                <w:rFonts w:hint="eastAsia" w:ascii="仿宋" w:hAnsi="仿宋" w:eastAsia="仿宋" w:cs="仿宋"/>
                <w:i w:val="0"/>
                <w:iCs w:val="0"/>
                <w:color w:val="000000"/>
                <w:kern w:val="0"/>
                <w:sz w:val="24"/>
                <w:szCs w:val="24"/>
                <w:u w:val="none"/>
                <w:lang w:val="en-US" w:eastAsia="zh-CN" w:bidi="ar"/>
              </w:rPr>
              <w:t>内存≥32G，256G固态硬盘，机械硬盘容量≥2T SATA，USB接口≥3，RJ45串口≥1，GE管理口≥2（1*MGT口、1*HA口），万兆光口≥2（1路bypass）GE业务电口≥4，网卡扩展槽位≥1，冗余电源；http最大吞吐量不低于2.3Gbps，http每秒查询事物9300，http最大并发连接数不低于420000，https最大吞吐量不低于750Mbps，https每秒不低于600。</w:t>
            </w:r>
          </w:p>
          <w:p w14:paraId="21989163">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56、</w:t>
            </w:r>
            <w:r>
              <w:rPr>
                <w:rFonts w:hint="eastAsia" w:ascii="仿宋" w:hAnsi="仿宋" w:eastAsia="仿宋" w:cs="仿宋"/>
                <w:i w:val="0"/>
                <w:iCs w:val="0"/>
                <w:color w:val="000000"/>
                <w:kern w:val="0"/>
                <w:sz w:val="24"/>
                <w:szCs w:val="24"/>
                <w:u w:val="none"/>
                <w:lang w:val="en-US" w:eastAsia="zh-CN" w:bidi="ar"/>
              </w:rPr>
              <w:t>具备HTTP/1.X、HTTP/2和HTTPS报文解码能力，可对攻击者编码绕过行为进行有效识别。解码能力包括但不限于：HTML解码、Unicode解码、十六进制转换、斜杠反转义、二进制解码等不少于8种。能对10层的嵌套编码绕过行为进行有效检测与防护；</w:t>
            </w:r>
          </w:p>
          <w:p w14:paraId="0AD1B766">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57、</w:t>
            </w:r>
            <w:r>
              <w:rPr>
                <w:rFonts w:hint="eastAsia" w:ascii="仿宋" w:hAnsi="仿宋" w:eastAsia="仿宋" w:cs="仿宋"/>
                <w:i w:val="0"/>
                <w:iCs w:val="0"/>
                <w:color w:val="000000"/>
                <w:kern w:val="0"/>
                <w:sz w:val="24"/>
                <w:szCs w:val="24"/>
                <w:u w:val="none"/>
                <w:lang w:val="en-US" w:eastAsia="zh-CN" w:bidi="ar"/>
              </w:rPr>
              <w:t>可结合业务正常需求，设定各种业务层面的安全防护策略，为业务系统提供更加细粒度防护，支持基于Session、请求体中任意key长度等不少于30个匹配特征进行规则配置，并可对特征进行任意“与”、“或”关系组合，满足复杂业务场景下的攻击防护需求；</w:t>
            </w:r>
          </w:p>
          <w:p w14:paraId="12051A93">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58、</w:t>
            </w:r>
            <w:r>
              <w:rPr>
                <w:rFonts w:hint="eastAsia" w:ascii="仿宋" w:hAnsi="仿宋" w:eastAsia="仿宋" w:cs="仿宋"/>
                <w:i w:val="0"/>
                <w:iCs w:val="0"/>
                <w:color w:val="000000"/>
                <w:kern w:val="0"/>
                <w:sz w:val="24"/>
                <w:szCs w:val="24"/>
                <w:u w:val="none"/>
                <w:lang w:val="en-US" w:eastAsia="zh-CN" w:bidi="ar"/>
              </w:rPr>
              <w:t>支持自定义规则检测前对请求进行解码，解码类型包括：Base64解码、十六进制解码等不少于5种，可根据业务系统编码类型进行配置，快速实现新爆发漏洞的防护；</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1D9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F3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FC5A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6"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80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81F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网络安全托管服务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BE34">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59、</w:t>
            </w:r>
            <w:r>
              <w:rPr>
                <w:rFonts w:hint="eastAsia" w:ascii="仿宋" w:hAnsi="仿宋" w:eastAsia="仿宋" w:cs="仿宋"/>
                <w:i w:val="0"/>
                <w:iCs w:val="0"/>
                <w:color w:val="000000"/>
                <w:kern w:val="0"/>
                <w:sz w:val="24"/>
                <w:szCs w:val="24"/>
                <w:u w:val="none"/>
                <w:lang w:val="en-US" w:eastAsia="zh-CN" w:bidi="ar"/>
              </w:rPr>
              <w:t>服务提供方需提供三年的不少于10个核心业务资产的安全检测处置、提供三年的不少于2个二级域名的网站监测，包括对网页篡改、敏感词、网站挂码/黑链进行实时监测，同时帮助我方持续监控网站业务的可用性，帮助用户实时掌控网站的安全态势。</w:t>
            </w:r>
          </w:p>
          <w:p w14:paraId="13B303F8">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2"/>
                <w:sz w:val="24"/>
                <w:szCs w:val="24"/>
                <w:lang w:val="en-US" w:eastAsia="zh-CN" w:bidi="ar-SA"/>
              </w:rPr>
              <w:t>60、</w:t>
            </w:r>
            <w:r>
              <w:rPr>
                <w:rFonts w:hint="eastAsia" w:ascii="仿宋" w:hAnsi="仿宋" w:eastAsia="仿宋" w:cs="仿宋"/>
                <w:i w:val="0"/>
                <w:iCs w:val="0"/>
                <w:color w:val="000000"/>
                <w:kern w:val="0"/>
                <w:sz w:val="24"/>
                <w:szCs w:val="24"/>
                <w:u w:val="none"/>
                <w:lang w:val="en-US" w:eastAsia="zh-CN" w:bidi="ar"/>
              </w:rPr>
              <w:t>本服务需要提供线上服务平台，支持对接本次采购的和我单位正在使用的主要安全设备，包括下一代防火墙、安全态势感知、终端安全软件等，支持实时接收安全设备检测的日志数据以提供7*24小时的服务。</w:t>
            </w:r>
          </w:p>
          <w:p w14:paraId="66C13382">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2"/>
                <w:sz w:val="24"/>
                <w:szCs w:val="24"/>
                <w:lang w:val="en-US" w:eastAsia="zh-CN" w:bidi="ar-SA"/>
              </w:rPr>
              <w:t>61、</w:t>
            </w:r>
            <w:r>
              <w:rPr>
                <w:rFonts w:hint="eastAsia" w:ascii="仿宋" w:hAnsi="仿宋" w:eastAsia="仿宋" w:cs="仿宋"/>
                <w:i w:val="0"/>
                <w:iCs w:val="0"/>
                <w:color w:val="000000"/>
                <w:kern w:val="0"/>
                <w:sz w:val="24"/>
                <w:szCs w:val="24"/>
                <w:u w:val="none"/>
                <w:lang w:val="en-US" w:eastAsia="zh-CN" w:bidi="ar"/>
              </w:rPr>
              <w:t>本服务需要提供服务成果展示门户，门户可通过可视化的数据清晰了解服务水平，包括高危可利用漏洞准确率、高危可利用漏洞防护率、威胁闭环率、威胁平均分析研判时效、威胁平均遏制时效、事件闭环率、事件平均分析研判时效、事件平均闭环时效，以验证服务提供方所承诺的服务指标（SLA）。</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线上服务平台要求：</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▲35、远程检测和分析平台应当做好严格的安全防护，并严格按照《信息安全技术—网络安全等级保护基本要求》完成等级保护测评工作。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▲36、依据相关标准要求，服务方安全运营服务云平台应通过 “国家云计算服务安全评估”</w:t>
            </w:r>
            <w:r>
              <w:rPr>
                <w:rFonts w:hint="eastAsia" w:ascii="仿宋" w:hAnsi="仿宋" w:eastAsia="仿宋" w:cs="仿宋"/>
                <w:i w:val="0"/>
                <w:iCs w:val="0"/>
                <w:color w:val="000000"/>
                <w:kern w:val="0"/>
                <w:sz w:val="24"/>
                <w:szCs w:val="24"/>
                <w:highlight w:val="yellow"/>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62、应当具备线上检测和分析平台，通过采集我方安全设备和工具的安全告警和安全日志，结合人工智能等技术手段为我方提供安全威胁分析鉴定，同时在用户界面进行展示；</w:t>
            </w:r>
          </w:p>
          <w:p w14:paraId="524FD1D5">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63、应使用安全工具对我单位服务资产开展互联网暴露面探测，以梳理资产面向互联网的开放情况，快速发现违规暴露在互联网中的资产及存在的风险并进行处置，实现对暴露面资产可管可控，降低暴露面资产的风险，频率不少于半年一次。</w:t>
            </w:r>
          </w:p>
          <w:p w14:paraId="6CAD7B93">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b/>
                <w:bCs/>
                <w:spacing w:val="-2"/>
                <w:sz w:val="24"/>
                <w:szCs w:val="24"/>
                <w:highlight w:val="none"/>
                <w:lang w:val="en-US" w:eastAsia="zh-CN"/>
              </w:rPr>
              <w:t>★</w:t>
            </w:r>
            <w:r>
              <w:rPr>
                <w:rFonts w:hint="eastAsia" w:ascii="仿宋" w:hAnsi="仿宋" w:eastAsia="仿宋" w:cs="仿宋"/>
                <w:i w:val="0"/>
                <w:iCs w:val="0"/>
                <w:color w:val="000000"/>
                <w:kern w:val="0"/>
                <w:sz w:val="24"/>
                <w:szCs w:val="24"/>
                <w:highlight w:val="none"/>
                <w:u w:val="none"/>
                <w:lang w:val="en-US" w:eastAsia="zh-CN" w:bidi="ar"/>
              </w:rPr>
              <w:t>4、在服务期内，服务方应当为我单位提供7*24小时的连续线上安全值守服务，在夜间和法定节假日期间的在线服务不终止，并且在国家法定节假日期间为我单位提供值守快报。</w:t>
            </w:r>
            <w:r>
              <w:rPr>
                <w:rFonts w:hint="default"/>
                <w:b/>
                <w:bCs/>
                <w:sz w:val="24"/>
                <w:szCs w:val="24"/>
                <w:highlight w:val="none"/>
                <w:lang w:val="en-US" w:eastAsia="zh-CN"/>
              </w:rPr>
              <w:t>（以《承诺函》为准，格式自拟）</w:t>
            </w:r>
          </w:p>
          <w:p w14:paraId="2FFBB4B6">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4"/>
                <w:szCs w:val="24"/>
                <w:u w:val="none"/>
                <w:lang w:val="en-US"/>
              </w:rPr>
            </w:pPr>
            <w:r>
              <w:rPr>
                <w:rFonts w:hint="eastAsia"/>
                <w:b/>
                <w:bCs/>
                <w:spacing w:val="-2"/>
                <w:sz w:val="24"/>
                <w:szCs w:val="24"/>
                <w:highlight w:val="none"/>
                <w:lang w:val="en-US" w:eastAsia="zh-CN"/>
              </w:rPr>
              <w:t>★</w:t>
            </w:r>
            <w:r>
              <w:rPr>
                <w:rFonts w:hint="eastAsia" w:ascii="仿宋" w:hAnsi="仿宋" w:eastAsia="仿宋" w:cs="仿宋"/>
                <w:i w:val="0"/>
                <w:iCs w:val="0"/>
                <w:color w:val="000000"/>
                <w:kern w:val="0"/>
                <w:sz w:val="24"/>
                <w:szCs w:val="24"/>
                <w:highlight w:val="none"/>
                <w:u w:val="none"/>
                <w:lang w:val="en-US" w:eastAsia="zh-CN" w:bidi="ar"/>
              </w:rPr>
              <w:t>5、应对服务范围内的资产提供网络安全事件损失理赔承诺，即在正常服务过程中因服务提供方的服务缺陷导致服务范围内资产发生网络安全事件时，服务提供方赔偿该事件给我方直接造成的网络营业中断损失、数据恢复费用、第三者责任因网络安全问题产生的法律纠纷、</w:t>
            </w:r>
            <w:r>
              <w:rPr>
                <w:rFonts w:hint="eastAsia" w:ascii="仿宋" w:hAnsi="仿宋" w:eastAsia="仿宋" w:cs="仿宋"/>
                <w:i w:val="0"/>
                <w:iCs w:val="0"/>
                <w:color w:val="000000"/>
                <w:kern w:val="0"/>
                <w:sz w:val="24"/>
                <w:szCs w:val="24"/>
                <w:u w:val="none"/>
                <w:lang w:val="en-US" w:eastAsia="zh-CN" w:bidi="ar"/>
              </w:rPr>
              <w:t>应急响应损失、网络勒索损失，累计赔付金额上限不得低于20万元人民币。</w:t>
            </w:r>
            <w:r>
              <w:rPr>
                <w:rFonts w:hint="default"/>
                <w:b/>
                <w:bCs/>
                <w:sz w:val="24"/>
                <w:szCs w:val="24"/>
                <w:highlight w:val="none"/>
                <w:lang w:val="en-US" w:eastAsia="zh-CN"/>
              </w:rPr>
              <w:t>（以《承诺函》为准，格式自拟）</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8E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87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EA55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D6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E4C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交换机板卡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D73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64、原核心交换</w:t>
            </w:r>
            <w:r>
              <w:rPr>
                <w:rFonts w:hint="eastAsia" w:ascii="仿宋" w:hAnsi="仿宋" w:eastAsia="仿宋" w:cs="仿宋"/>
                <w:i w:val="0"/>
                <w:iCs w:val="0"/>
                <w:color w:val="000000"/>
                <w:kern w:val="0"/>
                <w:sz w:val="24"/>
                <w:szCs w:val="24"/>
                <w:highlight w:val="none"/>
                <w:u w:val="none"/>
                <w:lang w:val="en-US" w:eastAsia="zh-CN" w:bidi="ar"/>
              </w:rPr>
              <w:t>机（H3C S7003X）增</w:t>
            </w:r>
            <w:r>
              <w:rPr>
                <w:rFonts w:hint="eastAsia" w:ascii="仿宋" w:hAnsi="仿宋" w:eastAsia="仿宋" w:cs="仿宋"/>
                <w:i w:val="0"/>
                <w:iCs w:val="0"/>
                <w:color w:val="000000"/>
                <w:kern w:val="0"/>
                <w:sz w:val="24"/>
                <w:szCs w:val="24"/>
                <w:u w:val="none"/>
                <w:lang w:val="en-US" w:eastAsia="zh-CN" w:bidi="ar"/>
              </w:rPr>
              <w:t>加扩展板卡，≥24个千兆电口，≥4个万兆光口</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F8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FCA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7DEB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AA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6B6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交换机</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E620">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65、机架式交换机，≥8个千兆电口，≥14个万兆光口，交换容量≥2.56Tbps/23.04Tbps，包转发率≥220Mpps</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FB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F8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5F00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09E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CB7A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辅材</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AB4E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66、提供本次机房网络整改所需辅材，48芯ODF光纤配线架≥5个，24口网络理线架≥40个，24口配线架≥20个，8位10A PDU≥20个，RVV3*2.5mm</w:t>
            </w:r>
            <w:r>
              <w:rPr>
                <w:rStyle w:val="7"/>
                <w:sz w:val="24"/>
                <w:szCs w:val="24"/>
                <w:lang w:val="en-US" w:eastAsia="zh-CN" w:bidi="ar"/>
              </w:rPr>
              <w:t>²线缆≥</w:t>
            </w:r>
            <w:r>
              <w:rPr>
                <w:rFonts w:hint="eastAsia" w:ascii="仿宋" w:hAnsi="仿宋" w:eastAsia="仿宋" w:cs="仿宋"/>
                <w:i w:val="0"/>
                <w:iCs w:val="0"/>
                <w:color w:val="000000"/>
                <w:kern w:val="0"/>
                <w:sz w:val="24"/>
                <w:szCs w:val="24"/>
                <w:u w:val="none"/>
                <w:lang w:val="en-US" w:eastAsia="zh-CN" w:bidi="ar"/>
              </w:rPr>
              <w:t>100米，6类网线≥2箱，5米千兆多模双纤≥64根，3米千兆单模双纤≥68根，</w:t>
            </w:r>
            <w:r>
              <w:rPr>
                <w:rStyle w:val="6"/>
                <w:sz w:val="24"/>
                <w:szCs w:val="24"/>
                <w:lang w:val="en-US" w:eastAsia="zh-CN" w:bidi="ar"/>
              </w:rPr>
              <w:t>万兆多模双纤≥24根，光纤熔接≥288芯，扎带、水晶头、标签纸等辅材</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61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批</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F5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2BE1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C0A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ED8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可视化感烟型探测器</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0C8E">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lang w:val="en-US" w:eastAsia="zh-CN" w:bidi="ar"/>
              </w:rPr>
              <w:t>67、</w:t>
            </w:r>
            <w:r>
              <w:rPr>
                <w:rFonts w:hint="eastAsia" w:ascii="仿宋" w:hAnsi="仿宋" w:eastAsia="仿宋" w:cs="仿宋"/>
                <w:i w:val="0"/>
                <w:iCs w:val="0"/>
                <w:color w:val="000000"/>
                <w:kern w:val="0"/>
                <w:sz w:val="24"/>
                <w:szCs w:val="24"/>
                <w:highlight w:val="none"/>
                <w:u w:val="none"/>
                <w:lang w:val="en-US" w:eastAsia="zh-CN" w:bidi="ar"/>
              </w:rPr>
              <w:t>设备具有1路音频输入(Line in)，1路音频输出(Line out)，主码流视频最高分辨率应为2560*1440；</w:t>
            </w:r>
          </w:p>
          <w:p w14:paraId="4FF8AA99">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2"/>
                <w:sz w:val="24"/>
                <w:szCs w:val="24"/>
                <w:highlight w:val="none"/>
                <w:lang w:val="en-US" w:eastAsia="zh-CN" w:bidi="ar-SA"/>
              </w:rPr>
              <w:t>68、</w:t>
            </w:r>
            <w:r>
              <w:rPr>
                <w:rFonts w:hint="eastAsia" w:ascii="仿宋" w:hAnsi="仿宋" w:eastAsia="仿宋" w:cs="仿宋"/>
                <w:i w:val="0"/>
                <w:iCs w:val="0"/>
                <w:color w:val="000000"/>
                <w:kern w:val="0"/>
                <w:sz w:val="24"/>
                <w:szCs w:val="24"/>
                <w:highlight w:val="none"/>
                <w:u w:val="none"/>
                <w:lang w:val="en-US" w:eastAsia="zh-CN" w:bidi="ar"/>
              </w:rPr>
              <w:t>烟雾探测：设备应具有烟雾探测功能，当设备断电后，应能切换至电池供电并仍支持烟感探测；</w:t>
            </w:r>
          </w:p>
          <w:p w14:paraId="270BED89">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2"/>
                <w:sz w:val="24"/>
                <w:szCs w:val="24"/>
                <w:highlight w:val="none"/>
                <w:lang w:val="en-US" w:eastAsia="zh-CN" w:bidi="ar-SA"/>
              </w:rPr>
              <w:t>69、</w:t>
            </w:r>
            <w:r>
              <w:rPr>
                <w:rFonts w:hint="eastAsia" w:ascii="仿宋" w:hAnsi="仿宋" w:eastAsia="仿宋" w:cs="仿宋"/>
                <w:i w:val="0"/>
                <w:iCs w:val="0"/>
                <w:color w:val="000000"/>
                <w:kern w:val="0"/>
                <w:sz w:val="24"/>
                <w:szCs w:val="24"/>
                <w:highlight w:val="none"/>
                <w:u w:val="none"/>
                <w:lang w:val="en-US" w:eastAsia="zh-CN" w:bidi="ar"/>
              </w:rPr>
              <w:t>感温功能：设备应具有感温功能，当环境温度超过设定阈值时，应能发出文字及声音报警提示；</w:t>
            </w:r>
          </w:p>
          <w:p w14:paraId="0BA2E47D">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2"/>
                <w:sz w:val="24"/>
                <w:szCs w:val="24"/>
                <w:highlight w:val="none"/>
                <w:lang w:val="en-US" w:eastAsia="zh-CN" w:bidi="ar-SA"/>
              </w:rPr>
              <w:t>70、</w:t>
            </w:r>
            <w:r>
              <w:rPr>
                <w:rFonts w:hint="eastAsia" w:ascii="仿宋" w:hAnsi="仿宋" w:eastAsia="仿宋" w:cs="仿宋"/>
                <w:i w:val="0"/>
                <w:iCs w:val="0"/>
                <w:color w:val="000000"/>
                <w:kern w:val="0"/>
                <w:sz w:val="24"/>
                <w:szCs w:val="24"/>
                <w:highlight w:val="none"/>
                <w:u w:val="none"/>
                <w:lang w:val="en-US" w:eastAsia="zh-CN" w:bidi="ar"/>
              </w:rPr>
              <w:t>高分贝报警音：在距设备3m远处，蜂鸣器报警时的信号声压级应大于等于85dB(A)；</w:t>
            </w:r>
          </w:p>
          <w:p w14:paraId="4B24DED4">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2"/>
                <w:sz w:val="24"/>
                <w:szCs w:val="24"/>
                <w:highlight w:val="none"/>
                <w:lang w:val="en-US" w:eastAsia="zh-CN" w:bidi="ar-SA"/>
              </w:rPr>
              <w:t>71、设备具有通道占用告警提示功能，在设定的摄像头监控区域范围内，当物体占用通道时间达到设置值时，触发通道占用告警提示。</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FC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5D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570FF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7" w:hRule="atLeast"/>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5A1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w:t>
            </w:r>
          </w:p>
        </w:tc>
        <w:tc>
          <w:tcPr>
            <w:tcW w:w="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B75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系统集成服务</w:t>
            </w:r>
          </w:p>
        </w:tc>
        <w:tc>
          <w:tcPr>
            <w:tcW w:w="6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536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b/>
                <w:bCs/>
                <w:spacing w:val="-2"/>
                <w:sz w:val="24"/>
                <w:szCs w:val="24"/>
                <w:highlight w:val="none"/>
                <w:lang w:val="en-US" w:eastAsia="zh-CN"/>
              </w:rPr>
              <w:t>★</w:t>
            </w:r>
            <w:r>
              <w:rPr>
                <w:rFonts w:hint="eastAsia" w:ascii="仿宋" w:hAnsi="仿宋" w:eastAsia="仿宋" w:cs="仿宋"/>
                <w:i w:val="0"/>
                <w:iCs w:val="0"/>
                <w:color w:val="000000"/>
                <w:kern w:val="0"/>
                <w:sz w:val="24"/>
                <w:szCs w:val="24"/>
                <w:highlight w:val="none"/>
                <w:u w:val="none"/>
                <w:lang w:val="en-US" w:eastAsia="zh-CN" w:bidi="ar"/>
              </w:rPr>
              <w:t>6、中标供应商需负责我单位原有设备与新设备的割接与优化工作，确保业务在指定窗口期内完成割接，若因为割接失败、无法回退等原因造成的损失，由中标供应商全权负责，同时对单位原有网络进行整体架构调整，对原有10个机柜进行双供电改造及机柜设备打标、整理。</w:t>
            </w:r>
            <w:r>
              <w:rPr>
                <w:rFonts w:hint="default"/>
                <w:b/>
                <w:bCs/>
                <w:sz w:val="24"/>
                <w:szCs w:val="24"/>
                <w:highlight w:val="none"/>
                <w:lang w:val="en-US" w:eastAsia="zh-CN"/>
              </w:rPr>
              <w:t>（以《承诺函》为准，格式自拟）</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D23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4A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68EE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88" w:type="dxa"/>
            <w:tcBorders>
              <w:top w:val="nil"/>
              <w:left w:val="nil"/>
              <w:bottom w:val="nil"/>
              <w:right w:val="nil"/>
            </w:tcBorders>
            <w:shd w:val="clear" w:color="auto" w:fill="auto"/>
            <w:noWrap/>
            <w:vAlign w:val="center"/>
          </w:tcPr>
          <w:p w14:paraId="29A196B5">
            <w:pPr>
              <w:rPr>
                <w:rFonts w:hint="eastAsia" w:ascii="宋体" w:hAnsi="宋体" w:eastAsia="宋体" w:cs="宋体"/>
                <w:i w:val="0"/>
                <w:iCs w:val="0"/>
                <w:color w:val="000000"/>
                <w:sz w:val="24"/>
                <w:szCs w:val="24"/>
                <w:u w:val="none"/>
              </w:rPr>
            </w:pPr>
          </w:p>
        </w:tc>
        <w:tc>
          <w:tcPr>
            <w:tcW w:w="808" w:type="dxa"/>
            <w:tcBorders>
              <w:top w:val="nil"/>
              <w:left w:val="nil"/>
              <w:bottom w:val="nil"/>
              <w:right w:val="nil"/>
            </w:tcBorders>
            <w:shd w:val="clear" w:color="auto" w:fill="auto"/>
            <w:noWrap/>
            <w:vAlign w:val="center"/>
          </w:tcPr>
          <w:p w14:paraId="2A534B46">
            <w:pPr>
              <w:jc w:val="center"/>
              <w:rPr>
                <w:rFonts w:hint="eastAsia" w:ascii="仿宋" w:hAnsi="仿宋" w:eastAsia="仿宋" w:cs="仿宋"/>
                <w:i w:val="0"/>
                <w:iCs w:val="0"/>
                <w:color w:val="000000"/>
                <w:sz w:val="24"/>
                <w:szCs w:val="24"/>
                <w:u w:val="none"/>
              </w:rPr>
            </w:pPr>
          </w:p>
        </w:tc>
        <w:tc>
          <w:tcPr>
            <w:tcW w:w="6485" w:type="dxa"/>
            <w:tcBorders>
              <w:top w:val="nil"/>
              <w:left w:val="nil"/>
              <w:bottom w:val="nil"/>
              <w:right w:val="nil"/>
            </w:tcBorders>
            <w:shd w:val="clear" w:color="auto" w:fill="auto"/>
            <w:vAlign w:val="center"/>
          </w:tcPr>
          <w:p w14:paraId="29EBC291">
            <w:pPr>
              <w:rPr>
                <w:rFonts w:hint="eastAsia" w:ascii="宋体" w:hAnsi="宋体" w:eastAsia="宋体" w:cs="宋体"/>
                <w:i w:val="0"/>
                <w:iCs w:val="0"/>
                <w:color w:val="000000"/>
                <w:sz w:val="24"/>
                <w:szCs w:val="24"/>
                <w:u w:val="none"/>
              </w:rPr>
            </w:pPr>
          </w:p>
        </w:tc>
        <w:tc>
          <w:tcPr>
            <w:tcW w:w="727" w:type="dxa"/>
            <w:tcBorders>
              <w:top w:val="nil"/>
              <w:left w:val="nil"/>
              <w:bottom w:val="nil"/>
              <w:right w:val="nil"/>
            </w:tcBorders>
            <w:shd w:val="clear" w:color="auto" w:fill="auto"/>
            <w:noWrap/>
            <w:vAlign w:val="center"/>
          </w:tcPr>
          <w:p w14:paraId="52D39742">
            <w:pPr>
              <w:jc w:val="center"/>
              <w:rPr>
                <w:rFonts w:hint="eastAsia" w:ascii="宋体" w:hAnsi="宋体" w:eastAsia="宋体" w:cs="宋体"/>
                <w:i w:val="0"/>
                <w:iCs w:val="0"/>
                <w:color w:val="000000"/>
                <w:sz w:val="24"/>
                <w:szCs w:val="24"/>
                <w:u w:val="none"/>
              </w:rPr>
            </w:pPr>
          </w:p>
        </w:tc>
        <w:tc>
          <w:tcPr>
            <w:tcW w:w="672" w:type="dxa"/>
            <w:tcBorders>
              <w:top w:val="nil"/>
              <w:left w:val="nil"/>
              <w:bottom w:val="nil"/>
              <w:right w:val="nil"/>
            </w:tcBorders>
            <w:shd w:val="clear" w:color="auto" w:fill="auto"/>
            <w:noWrap/>
            <w:vAlign w:val="center"/>
          </w:tcPr>
          <w:p w14:paraId="3AB780CB">
            <w:pPr>
              <w:jc w:val="center"/>
              <w:rPr>
                <w:rFonts w:hint="eastAsia" w:ascii="宋体" w:hAnsi="宋体" w:eastAsia="宋体" w:cs="宋体"/>
                <w:i w:val="0"/>
                <w:iCs w:val="0"/>
                <w:color w:val="000000"/>
                <w:sz w:val="24"/>
                <w:szCs w:val="24"/>
                <w:u w:val="none"/>
              </w:rPr>
            </w:pPr>
          </w:p>
        </w:tc>
      </w:tr>
    </w:tbl>
    <w:p w14:paraId="53C5FB60">
      <w:pPr>
        <w:ind w:left="0" w:leftChars="0" w:firstLine="0" w:firstLineChars="0"/>
        <w:rPr>
          <w:rFonts w:hint="eastAsia"/>
          <w:lang w:val="en-US" w:eastAsia="zh-CN"/>
        </w:rPr>
      </w:pPr>
    </w:p>
    <w:p w14:paraId="73A8D4F8">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14:paraId="7C3D67C0">
      <w:pPr>
        <w:pStyle w:val="3"/>
        <w:rPr>
          <w:rFonts w:hint="default" w:eastAsia="宋体"/>
          <w:b/>
          <w:bCs/>
          <w:sz w:val="24"/>
          <w:szCs w:val="32"/>
          <w:highlight w:val="yellow"/>
          <w:lang w:val="en-US" w:eastAsia="zh-CN"/>
        </w:rPr>
      </w:pPr>
      <w:r>
        <w:rPr>
          <w:rFonts w:hint="eastAsia"/>
          <w:b/>
          <w:bCs/>
          <w:sz w:val="24"/>
          <w:szCs w:val="32"/>
          <w:highlight w:val="yellow"/>
          <w:lang w:val="en-US" w:eastAsia="zh-CN"/>
        </w:rPr>
        <w:t>第二标段参数：</w:t>
      </w:r>
    </w:p>
    <w:tbl>
      <w:tblPr>
        <w:tblStyle w:val="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809"/>
        <w:gridCol w:w="7022"/>
        <w:gridCol w:w="823"/>
      </w:tblGrid>
      <w:tr w14:paraId="439C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0" w:type="auto"/>
            <w:vAlign w:val="center"/>
          </w:tcPr>
          <w:p w14:paraId="27C70DD7">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0" w:type="auto"/>
            <w:vAlign w:val="center"/>
          </w:tcPr>
          <w:p w14:paraId="480B9DD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名称</w:t>
            </w:r>
          </w:p>
        </w:tc>
        <w:tc>
          <w:tcPr>
            <w:tcW w:w="7022" w:type="dxa"/>
            <w:vAlign w:val="center"/>
          </w:tcPr>
          <w:p w14:paraId="1F60497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技术要求</w:t>
            </w:r>
          </w:p>
        </w:tc>
        <w:tc>
          <w:tcPr>
            <w:tcW w:w="823" w:type="dxa"/>
            <w:vAlign w:val="center"/>
          </w:tcPr>
          <w:p w14:paraId="0730801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数量</w:t>
            </w:r>
          </w:p>
        </w:tc>
      </w:tr>
      <w:tr w14:paraId="21D0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0" w:type="auto"/>
            <w:vAlign w:val="center"/>
          </w:tcPr>
          <w:p w14:paraId="29D80E67">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w:t>
            </w:r>
          </w:p>
        </w:tc>
        <w:tc>
          <w:tcPr>
            <w:tcW w:w="0" w:type="auto"/>
            <w:vAlign w:val="center"/>
          </w:tcPr>
          <w:p w14:paraId="79FD22B9">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信息系统等级保护测评服务</w:t>
            </w:r>
          </w:p>
        </w:tc>
        <w:tc>
          <w:tcPr>
            <w:tcW w:w="7022" w:type="dxa"/>
            <w:vAlign w:val="center"/>
          </w:tcPr>
          <w:p w14:paraId="0A84BD95">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对汉中市消防救援支队的3套系统进行系统进行等保三级备案，协助并开展测评取得《信息系统安全等级保护备案证》，至少包含以下服务：进行系统调研，编制测评方案，开展现场测评；编制整改方案，并协助整改；进行现场复测评，形成测评报告。</w:t>
            </w:r>
          </w:p>
          <w:p w14:paraId="36164563">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供应商在测评过程中要求按照《计算机信息系统安全保护等级划分准则》（GB17859-1999）、《信息安全技术网络安全等级保护实施指南》（GB/T25058-2019）、《信息安全技术网络安全等级保护基本要求》（GB/T22239-2019）、《信息安全技术网络安全等级保护测评要求》（GB/T28448-2019）、《信息安全技术网络安全等级保护测评过程指南》（GB/T28449-2018）等相关的标准规范开展等级测评工作，对系统的安全物理环境、安全通信网络、安全区域边界、安全计算环境、安全管理中心、安全管理制度、安全管理机构、安全管理人员、安全建设管理、安全运维管理共10个层面进行安全等级保护测评。</w:t>
            </w:r>
          </w:p>
          <w:p w14:paraId="34E3A6B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kern w:val="0"/>
                <w:sz w:val="28"/>
                <w:szCs w:val="28"/>
                <w:lang w:bidi="ar"/>
              </w:rPr>
            </w:pPr>
            <w:r>
              <w:rPr>
                <w:rFonts w:hint="eastAsia" w:ascii="仿宋" w:hAnsi="仿宋" w:eastAsia="仿宋" w:cs="仿宋"/>
                <w:bCs/>
                <w:color w:val="auto"/>
                <w:sz w:val="28"/>
                <w:szCs w:val="28"/>
                <w:lang w:val="en-US" w:eastAsia="zh-CN"/>
              </w:rPr>
              <w:t>3、</w:t>
            </w:r>
            <w:r>
              <w:rPr>
                <w:rFonts w:hint="eastAsia" w:ascii="仿宋" w:hAnsi="仿宋" w:eastAsia="仿宋" w:cs="仿宋"/>
                <w:bCs/>
                <w:kern w:val="0"/>
                <w:sz w:val="28"/>
                <w:szCs w:val="28"/>
                <w:lang w:bidi="ar"/>
              </w:rPr>
              <w:t>服务团队要求</w:t>
            </w:r>
            <w:r>
              <w:rPr>
                <w:rFonts w:hint="eastAsia" w:ascii="仿宋" w:hAnsi="仿宋" w:eastAsia="仿宋" w:cs="仿宋"/>
                <w:bCs/>
                <w:color w:val="auto"/>
                <w:sz w:val="28"/>
                <w:szCs w:val="28"/>
              </w:rPr>
              <w:t>：</w:t>
            </w:r>
            <w:r>
              <w:rPr>
                <w:rFonts w:hint="eastAsia" w:ascii="仿宋" w:hAnsi="仿宋" w:eastAsia="仿宋" w:cs="仿宋"/>
                <w:kern w:val="0"/>
                <w:sz w:val="28"/>
                <w:szCs w:val="28"/>
                <w:lang w:bidi="ar"/>
              </w:rPr>
              <w:t>供应商必须为本项目成立等级保护测评小组，由测评小组组长统一负责，测评小组组长具有一定的技术及管理知识和经验，能容易地与客户沟通，能很好的执行与完成测评工作，并根据适当情况增加测评人员。</w:t>
            </w:r>
          </w:p>
          <w:p w14:paraId="2AFE1915">
            <w:pPr>
              <w:keepNext w:val="0"/>
              <w:keepLines w:val="0"/>
              <w:pageBreakBefore w:val="0"/>
              <w:widowControl/>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bCs/>
                <w:color w:val="auto"/>
                <w:sz w:val="28"/>
                <w:szCs w:val="28"/>
              </w:rPr>
            </w:pPr>
            <w:r>
              <w:rPr>
                <w:rFonts w:hint="eastAsia" w:ascii="仿宋" w:hAnsi="仿宋" w:eastAsia="仿宋" w:cs="仿宋"/>
                <w:b/>
                <w:bCs/>
                <w:kern w:val="0"/>
                <w:sz w:val="28"/>
                <w:szCs w:val="28"/>
                <w:lang w:bidi="ar"/>
              </w:rPr>
              <w:t>备注：上述所有人员须提供社保缴纳证明，社保缴纳单位与投标人为同一单位。</w:t>
            </w:r>
          </w:p>
        </w:tc>
        <w:tc>
          <w:tcPr>
            <w:tcW w:w="823" w:type="dxa"/>
            <w:vAlign w:val="center"/>
          </w:tcPr>
          <w:p w14:paraId="4A33B52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1项</w:t>
            </w:r>
          </w:p>
        </w:tc>
      </w:tr>
      <w:tr w14:paraId="7381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0" w:type="auto"/>
            <w:vAlign w:val="center"/>
          </w:tcPr>
          <w:p w14:paraId="7F7A142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p>
        </w:tc>
        <w:tc>
          <w:tcPr>
            <w:tcW w:w="0" w:type="auto"/>
            <w:vAlign w:val="center"/>
          </w:tcPr>
          <w:p w14:paraId="1315311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p>
        </w:tc>
        <w:tc>
          <w:tcPr>
            <w:tcW w:w="7022" w:type="dxa"/>
            <w:vAlign w:val="center"/>
          </w:tcPr>
          <w:p w14:paraId="0EEB2EA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lang w:val="en-US" w:eastAsia="zh-CN"/>
              </w:rPr>
              <w:t>★备注：1、以上服务内容</w:t>
            </w:r>
            <w:r>
              <w:rPr>
                <w:rFonts w:hint="eastAsia" w:ascii="仿宋" w:hAnsi="仿宋" w:eastAsia="仿宋" w:cs="仿宋"/>
                <w:b/>
                <w:bCs/>
                <w:color w:val="000000"/>
                <w:sz w:val="28"/>
                <w:szCs w:val="28"/>
              </w:rPr>
              <w:t>为实质性条款，</w:t>
            </w:r>
            <w:r>
              <w:rPr>
                <w:rFonts w:hint="eastAsia" w:ascii="仿宋" w:hAnsi="仿宋" w:eastAsia="仿宋" w:cs="仿宋"/>
                <w:b/>
                <w:bCs/>
                <w:color w:val="000000"/>
                <w:sz w:val="28"/>
                <w:szCs w:val="28"/>
                <w:lang w:val="en-US" w:eastAsia="zh-CN"/>
              </w:rPr>
              <w:t>不接受负偏差</w:t>
            </w: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lang w:val="en-US" w:eastAsia="zh-CN"/>
              </w:rPr>
              <w:t>投标人</w:t>
            </w:r>
            <w:r>
              <w:rPr>
                <w:rFonts w:hint="eastAsia" w:ascii="仿宋" w:hAnsi="仿宋" w:eastAsia="仿宋" w:cs="仿宋"/>
                <w:b/>
                <w:bCs/>
                <w:color w:val="000000"/>
                <w:sz w:val="28"/>
                <w:szCs w:val="28"/>
              </w:rPr>
              <w:t>未逐条响应、有缺漏</w:t>
            </w:r>
            <w:r>
              <w:rPr>
                <w:rFonts w:hint="eastAsia" w:ascii="仿宋" w:hAnsi="仿宋" w:eastAsia="仿宋" w:cs="仿宋"/>
                <w:b/>
                <w:bCs/>
                <w:color w:val="000000"/>
                <w:sz w:val="28"/>
                <w:szCs w:val="28"/>
                <w:lang w:val="en-US" w:eastAsia="zh-CN"/>
              </w:rPr>
              <w:t>项或负偏差</w:t>
            </w:r>
            <w:r>
              <w:rPr>
                <w:rFonts w:hint="eastAsia" w:ascii="仿宋" w:hAnsi="仿宋" w:eastAsia="仿宋" w:cs="仿宋"/>
                <w:b/>
                <w:bCs/>
                <w:color w:val="000000"/>
                <w:sz w:val="28"/>
                <w:szCs w:val="28"/>
              </w:rPr>
              <w:t>将被视为无效响应；</w:t>
            </w:r>
          </w:p>
          <w:p w14:paraId="396801CB">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b/>
                <w:bCs/>
                <w:kern w:val="0"/>
                <w:sz w:val="28"/>
                <w:szCs w:val="28"/>
                <w:lang w:bidi="ar"/>
              </w:rPr>
            </w:pPr>
            <w:r>
              <w:rPr>
                <w:rFonts w:hint="eastAsia" w:ascii="仿宋" w:hAnsi="仿宋" w:eastAsia="仿宋" w:cs="仿宋"/>
                <w:color w:val="000000"/>
                <w:sz w:val="28"/>
                <w:szCs w:val="28"/>
                <w:highlight w:val="none"/>
                <w:lang w:val="en-US" w:eastAsia="zh-CN"/>
              </w:rPr>
              <w:t>2、本采购项目需执行的国家相关标准、行业标准、地方标准或其他标准、规范，如有涉及的相关品目未特别注明则统一执行最新标准、规范。如上述标准在开标截止时间有更新版本，以最新版本为准。</w:t>
            </w:r>
          </w:p>
        </w:tc>
        <w:tc>
          <w:tcPr>
            <w:tcW w:w="823" w:type="dxa"/>
            <w:vAlign w:val="center"/>
          </w:tcPr>
          <w:p w14:paraId="462EF1A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Cs/>
                <w:color w:val="auto"/>
                <w:sz w:val="28"/>
                <w:szCs w:val="28"/>
              </w:rPr>
            </w:pPr>
          </w:p>
        </w:tc>
      </w:tr>
    </w:tbl>
    <w:p w14:paraId="28F7A30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863823"/>
    <w:rsid w:val="27863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First Indent"/>
    <w:basedOn w:val="2"/>
    <w:qFormat/>
    <w:uiPriority w:val="0"/>
    <w:pPr>
      <w:ind w:firstLine="420" w:firstLineChars="100"/>
    </w:pPr>
  </w:style>
  <w:style w:type="character" w:customStyle="1" w:styleId="6">
    <w:name w:val="font51"/>
    <w:basedOn w:val="5"/>
    <w:qFormat/>
    <w:uiPriority w:val="0"/>
    <w:rPr>
      <w:rFonts w:hint="eastAsia" w:ascii="仿宋" w:hAnsi="仿宋" w:eastAsia="仿宋" w:cs="仿宋"/>
      <w:color w:val="000000"/>
      <w:sz w:val="18"/>
      <w:szCs w:val="18"/>
      <w:u w:val="none"/>
    </w:rPr>
  </w:style>
  <w:style w:type="character" w:customStyle="1" w:styleId="7">
    <w:name w:val="font6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2026-01-14T07:05:00Z</dcterms:created>
  <dc:creator>大漠苍狼</dc:creator>
  <cp:lastModifiedBy>大漠苍狼</cp:lastModifiedBy>
  <dcterms:modified xsi:type="dcterms:W3CDTF">2026-01-14T07:06:15Z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46219C8EF4D24CE7B5F88A84FD60A1DA_11</vt:lpwstr>
  </property>
  <property fmtid="{D5CDD505-2E9C-101B-9397-08002B2CF9AE}" pid="4" name="KSOTemplateDocerSaveRecord">
    <vt:lpwstr>eyJoZGlkIjoiZjljYWZhYTQ2MTJjMjYyZTIzNDY2Y2I3NzZjNmYyMWQiLCJ1c2VySWQiOiI1NzM2OTk2MzAifQ==</vt:lpwstr>
  </property>
</Properties>
</file>