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0DA16">
      <w:pPr>
        <w:adjustRightInd w:val="0"/>
        <w:snapToGrid w:val="0"/>
        <w:spacing w:line="360" w:lineRule="auto"/>
        <w:rPr>
          <w:rFonts w:ascii="宋体" w:hAnsi="宋体"/>
          <w:color w:val="auto"/>
          <w:highlight w:val="none"/>
          <w:lang w:val="en-GB"/>
        </w:rPr>
      </w:pPr>
      <w:r>
        <w:rPr>
          <w:rFonts w:ascii="宋体" w:hAnsi="宋体"/>
          <w:color w:val="auto"/>
          <w:highlight w:val="none"/>
        </w:rPr>
        <w:drawing>
          <wp:inline distT="0" distB="0" distL="114300" distR="114300">
            <wp:extent cx="1390650" cy="667385"/>
            <wp:effectExtent l="0" t="0" r="0"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cstate="print"/>
                    <a:stretch>
                      <a:fillRect/>
                    </a:stretch>
                  </pic:blipFill>
                  <pic:spPr>
                    <a:xfrm>
                      <a:off x="0" y="0"/>
                      <a:ext cx="1390650" cy="667385"/>
                    </a:xfrm>
                    <a:prstGeom prst="rect">
                      <a:avLst/>
                    </a:prstGeom>
                    <a:noFill/>
                    <a:ln>
                      <a:noFill/>
                    </a:ln>
                  </pic:spPr>
                </pic:pic>
              </a:graphicData>
            </a:graphic>
          </wp:inline>
        </w:drawing>
      </w:r>
    </w:p>
    <w:p w14:paraId="2F84AAF9">
      <w:pPr>
        <w:adjustRightInd w:val="0"/>
        <w:snapToGrid w:val="0"/>
        <w:spacing w:line="360" w:lineRule="auto"/>
        <w:rPr>
          <w:rFonts w:ascii="宋体" w:hAnsi="宋体"/>
          <w:color w:val="auto"/>
          <w:highlight w:val="none"/>
        </w:rPr>
      </w:pPr>
    </w:p>
    <w:p w14:paraId="0645854F">
      <w:pPr>
        <w:adjustRightInd w:val="0"/>
        <w:snapToGrid w:val="0"/>
        <w:spacing w:line="360" w:lineRule="auto"/>
        <w:rPr>
          <w:rFonts w:ascii="宋体" w:hAnsi="宋体"/>
          <w:color w:val="auto"/>
          <w:highlight w:val="none"/>
        </w:rPr>
      </w:pPr>
    </w:p>
    <w:p w14:paraId="5C93C221">
      <w:pPr>
        <w:adjustRightInd w:val="0"/>
        <w:snapToGrid w:val="0"/>
        <w:spacing w:line="360" w:lineRule="auto"/>
        <w:ind w:firstLine="1044"/>
        <w:jc w:val="center"/>
        <w:rPr>
          <w:rFonts w:ascii="宋体" w:hAnsi="宋体"/>
          <w:color w:val="auto"/>
          <w:sz w:val="52"/>
          <w:highlight w:val="none"/>
        </w:rPr>
      </w:pPr>
    </w:p>
    <w:p w14:paraId="69D963DB">
      <w:pPr>
        <w:adjustRightInd w:val="0"/>
        <w:snapToGrid w:val="0"/>
        <w:spacing w:line="360" w:lineRule="auto"/>
        <w:ind w:firstLine="1044"/>
        <w:jc w:val="center"/>
        <w:rPr>
          <w:rFonts w:ascii="宋体" w:hAnsi="宋体"/>
          <w:color w:val="auto"/>
          <w:sz w:val="52"/>
          <w:highlight w:val="none"/>
        </w:rPr>
      </w:pPr>
    </w:p>
    <w:p w14:paraId="36E6467F">
      <w:pPr>
        <w:tabs>
          <w:tab w:val="center" w:pos="4156"/>
          <w:tab w:val="left" w:pos="6405"/>
        </w:tabs>
        <w:adjustRightInd w:val="0"/>
        <w:snapToGrid w:val="0"/>
        <w:spacing w:line="360" w:lineRule="auto"/>
        <w:ind w:firstLine="1446"/>
        <w:jc w:val="left"/>
        <w:rPr>
          <w:rFonts w:ascii="宋体" w:hAnsi="宋体"/>
          <w:color w:val="auto"/>
          <w:highlight w:val="none"/>
        </w:rPr>
      </w:pPr>
      <w:r>
        <w:rPr>
          <w:rFonts w:ascii="宋体" w:hAnsi="宋体"/>
          <w:color w:val="auto"/>
          <w:sz w:val="72"/>
          <w:highlight w:val="none"/>
        </w:rPr>
        <w:tab/>
      </w:r>
      <w:r>
        <w:rPr>
          <w:rFonts w:hint="eastAsia" w:ascii="宋体" w:hAnsi="宋体"/>
          <w:color w:val="auto"/>
          <w:sz w:val="72"/>
          <w:highlight w:val="none"/>
        </w:rPr>
        <w:t>竞争性磋商文件</w:t>
      </w:r>
    </w:p>
    <w:p w14:paraId="469C59FF">
      <w:pPr>
        <w:adjustRightInd w:val="0"/>
        <w:snapToGrid w:val="0"/>
        <w:spacing w:line="360" w:lineRule="auto"/>
        <w:jc w:val="center"/>
        <w:rPr>
          <w:rFonts w:ascii="宋体" w:hAnsi="宋体"/>
          <w:color w:val="auto"/>
          <w:highlight w:val="none"/>
        </w:rPr>
      </w:pPr>
      <w:bookmarkStart w:id="551" w:name="_GoBack"/>
      <w:bookmarkEnd w:id="551"/>
    </w:p>
    <w:p w14:paraId="4DEBD14E">
      <w:pPr>
        <w:adjustRightInd w:val="0"/>
        <w:snapToGrid w:val="0"/>
        <w:spacing w:line="360" w:lineRule="auto"/>
        <w:jc w:val="center"/>
        <w:rPr>
          <w:rFonts w:ascii="宋体" w:hAnsi="宋体"/>
          <w:color w:val="auto"/>
          <w:highlight w:val="none"/>
        </w:rPr>
      </w:pPr>
    </w:p>
    <w:p w14:paraId="1EEEE84D">
      <w:pPr>
        <w:adjustRightInd w:val="0"/>
        <w:snapToGrid w:val="0"/>
        <w:spacing w:line="360" w:lineRule="auto"/>
        <w:jc w:val="center"/>
        <w:rPr>
          <w:rFonts w:ascii="宋体" w:hAnsi="宋体"/>
          <w:color w:val="auto"/>
          <w:highlight w:val="none"/>
        </w:rPr>
      </w:pPr>
    </w:p>
    <w:p w14:paraId="0FC4C3CB">
      <w:pPr>
        <w:adjustRightInd w:val="0"/>
        <w:snapToGrid w:val="0"/>
        <w:spacing w:line="360" w:lineRule="auto"/>
        <w:jc w:val="center"/>
        <w:rPr>
          <w:rFonts w:ascii="宋体" w:hAnsi="宋体"/>
          <w:color w:val="auto"/>
          <w:highlight w:val="none"/>
        </w:rPr>
      </w:pPr>
    </w:p>
    <w:p w14:paraId="3F85CA44">
      <w:pPr>
        <w:pStyle w:val="40"/>
        <w:ind w:left="1837" w:leftChars="203" w:right="-727" w:rightChars="-346" w:hanging="1411" w:hangingChars="502"/>
        <w:rPr>
          <w:rFonts w:ascii="宋体" w:hAnsi="宋体"/>
          <w:b/>
          <w:color w:val="auto"/>
          <w:highlight w:val="none"/>
        </w:rPr>
      </w:pPr>
      <w:r>
        <w:rPr>
          <w:rFonts w:hint="eastAsia" w:ascii="宋体" w:hAnsi="宋体"/>
          <w:b/>
          <w:color w:val="auto"/>
          <w:highlight w:val="none"/>
        </w:rPr>
        <w:t xml:space="preserve">项目名称：分析测试中心大型及贵重仪器共享平台建设-仪器租赁  </w:t>
      </w:r>
    </w:p>
    <w:p w14:paraId="5B7D757B">
      <w:pPr>
        <w:pStyle w:val="40"/>
        <w:ind w:left="1837" w:leftChars="203" w:hanging="1411" w:hangingChars="502"/>
        <w:rPr>
          <w:rFonts w:ascii="宋体" w:hAnsi="宋体"/>
          <w:b/>
          <w:color w:val="auto"/>
          <w:highlight w:val="none"/>
        </w:rPr>
      </w:pPr>
      <w:bookmarkStart w:id="0" w:name="_Hlk22391106"/>
      <w:r>
        <w:rPr>
          <w:rFonts w:hint="eastAsia" w:ascii="宋体" w:hAnsi="宋体"/>
          <w:b/>
          <w:color w:val="auto"/>
          <w:highlight w:val="none"/>
        </w:rPr>
        <w:t>项目编号：07-14-04F-2024-D-E18641</w:t>
      </w:r>
    </w:p>
    <w:bookmarkEnd w:id="0"/>
    <w:p w14:paraId="45A3A8F2">
      <w:pPr>
        <w:pStyle w:val="40"/>
        <w:ind w:firstLine="0" w:firstLineChars="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w:t>
      </w:r>
    </w:p>
    <w:p w14:paraId="13A3BBC3">
      <w:pPr>
        <w:pStyle w:val="40"/>
        <w:ind w:firstLine="0" w:firstLineChars="0"/>
        <w:rPr>
          <w:rFonts w:ascii="宋体" w:hAnsi="宋体"/>
          <w:color w:val="auto"/>
          <w:highlight w:val="none"/>
        </w:rPr>
      </w:pPr>
    </w:p>
    <w:p w14:paraId="2DC136F5">
      <w:pPr>
        <w:pStyle w:val="40"/>
        <w:ind w:firstLine="0" w:firstLineChars="0"/>
        <w:rPr>
          <w:rFonts w:ascii="宋体" w:hAnsi="宋体"/>
          <w:color w:val="auto"/>
          <w:highlight w:val="none"/>
        </w:rPr>
      </w:pPr>
    </w:p>
    <w:p w14:paraId="62A7B0EF">
      <w:pPr>
        <w:pStyle w:val="40"/>
        <w:ind w:firstLine="0" w:firstLineChars="0"/>
        <w:rPr>
          <w:rFonts w:ascii="宋体" w:hAnsi="宋体"/>
          <w:color w:val="auto"/>
          <w:highlight w:val="none"/>
        </w:rPr>
      </w:pPr>
    </w:p>
    <w:p w14:paraId="3382CBC7">
      <w:pPr>
        <w:pStyle w:val="40"/>
        <w:ind w:firstLine="0" w:firstLineChars="0"/>
        <w:rPr>
          <w:rFonts w:ascii="宋体" w:hAnsi="宋体"/>
          <w:color w:val="auto"/>
          <w:highlight w:val="none"/>
        </w:rPr>
      </w:pPr>
    </w:p>
    <w:p w14:paraId="50D19F44">
      <w:pPr>
        <w:adjustRightInd w:val="0"/>
        <w:snapToGrid w:val="0"/>
        <w:spacing w:line="360" w:lineRule="auto"/>
        <w:rPr>
          <w:rFonts w:ascii="宋体" w:hAnsi="宋体"/>
          <w:color w:val="auto"/>
          <w:highlight w:val="none"/>
        </w:rPr>
      </w:pPr>
    </w:p>
    <w:p w14:paraId="64F37C3B">
      <w:pPr>
        <w:pStyle w:val="40"/>
        <w:ind w:left="1975" w:leftChars="267" w:hanging="1414" w:hangingChars="503"/>
        <w:jc w:val="left"/>
        <w:rPr>
          <w:rFonts w:ascii="宋体" w:hAnsi="宋体"/>
          <w:b/>
          <w:color w:val="auto"/>
          <w:highlight w:val="none"/>
        </w:rPr>
      </w:pPr>
      <w:r>
        <w:rPr>
          <w:rFonts w:hint="eastAsia" w:ascii="宋体" w:hAnsi="宋体"/>
          <w:b/>
          <w:color w:val="auto"/>
          <w:highlight w:val="none"/>
        </w:rPr>
        <w:t>采购人：广东海洋大学</w:t>
      </w:r>
    </w:p>
    <w:p w14:paraId="2571E383">
      <w:pPr>
        <w:pStyle w:val="40"/>
        <w:ind w:left="1975" w:leftChars="267" w:hanging="1414" w:hangingChars="503"/>
        <w:jc w:val="left"/>
        <w:rPr>
          <w:rFonts w:ascii="宋体" w:hAnsi="宋体"/>
          <w:b/>
          <w:color w:val="auto"/>
          <w:highlight w:val="none"/>
        </w:rPr>
      </w:pPr>
      <w:r>
        <w:rPr>
          <w:rFonts w:hint="eastAsia" w:ascii="宋体" w:hAnsi="宋体"/>
          <w:b/>
          <w:color w:val="auto"/>
          <w:highlight w:val="none"/>
        </w:rPr>
        <w:t>采购代理机构：公诚管理咨询有限公司</w:t>
      </w:r>
    </w:p>
    <w:p w14:paraId="76F8B24E">
      <w:pPr>
        <w:pStyle w:val="40"/>
        <w:ind w:left="1975" w:leftChars="267" w:hanging="1414" w:hangingChars="503"/>
        <w:jc w:val="left"/>
        <w:rPr>
          <w:rFonts w:ascii="宋体" w:hAnsi="宋体"/>
          <w:b/>
          <w:color w:val="auto"/>
          <w:highlight w:val="none"/>
        </w:rPr>
        <w:sectPr>
          <w:headerReference r:id="rId4" w:type="first"/>
          <w:headerReference r:id="rId3" w:type="default"/>
          <w:footerReference r:id="rId5" w:type="default"/>
          <w:type w:val="nextColumn"/>
          <w:pgSz w:w="11906" w:h="16838"/>
          <w:pgMar w:top="1440" w:right="1797" w:bottom="1440" w:left="1797" w:header="709" w:footer="992" w:gutter="0"/>
          <w:paperSrc w:first="7"/>
          <w:cols w:space="720" w:num="1"/>
          <w:titlePg/>
          <w:docGrid w:linePitch="312" w:charSpace="0"/>
        </w:sectPr>
      </w:pPr>
      <w:r>
        <w:rPr>
          <w:rFonts w:hint="eastAsia" w:ascii="宋体" w:hAnsi="宋体"/>
          <w:b/>
          <w:color w:val="auto"/>
          <w:highlight w:val="none"/>
        </w:rPr>
        <w:t>日期：二〇二四年</w:t>
      </w:r>
      <w:r>
        <w:rPr>
          <w:rFonts w:hint="eastAsia" w:ascii="宋体" w:hAnsi="宋体"/>
          <w:b/>
          <w:color w:val="auto"/>
          <w:highlight w:val="none"/>
          <w:lang w:val="en-US" w:eastAsia="zh-CN"/>
        </w:rPr>
        <w:t>八</w:t>
      </w:r>
      <w:r>
        <w:rPr>
          <w:rFonts w:hint="eastAsia" w:ascii="宋体" w:hAnsi="宋体"/>
          <w:b/>
          <w:color w:val="auto"/>
          <w:highlight w:val="none"/>
        </w:rPr>
        <w:t>月</w:t>
      </w:r>
    </w:p>
    <w:p w14:paraId="7E9505B0">
      <w:pPr>
        <w:pStyle w:val="15"/>
        <w:pageBreakBefore/>
        <w:spacing w:line="360" w:lineRule="auto"/>
        <w:jc w:val="center"/>
        <w:rPr>
          <w:rFonts w:ascii="宋体" w:hAnsi="宋体" w:cs="Times New Roman"/>
          <w:b/>
          <w:bCs/>
          <w:color w:val="auto"/>
          <w:sz w:val="44"/>
          <w:szCs w:val="44"/>
          <w:highlight w:val="none"/>
        </w:rPr>
      </w:pPr>
      <w:r>
        <w:rPr>
          <w:rFonts w:ascii="宋体" w:hAnsi="宋体" w:cs="Times New Roman"/>
          <w:b/>
          <w:bCs/>
          <w:color w:val="auto"/>
          <w:sz w:val="44"/>
          <w:szCs w:val="44"/>
          <w:highlight w:val="none"/>
        </w:rPr>
        <w:t>温馨提示</w:t>
      </w:r>
    </w:p>
    <w:p w14:paraId="0797F2D6">
      <w:pPr>
        <w:pStyle w:val="15"/>
        <w:spacing w:line="360" w:lineRule="auto"/>
        <w:rPr>
          <w:rFonts w:ascii="宋体" w:hAnsi="宋体" w:cs="Times New Roman"/>
          <w:b/>
          <w:color w:val="auto"/>
          <w:sz w:val="22"/>
          <w:szCs w:val="21"/>
          <w:highlight w:val="none"/>
        </w:rPr>
      </w:pPr>
      <w:r>
        <w:rPr>
          <w:rFonts w:ascii="宋体" w:hAnsi="宋体" w:cs="Times New Roman"/>
          <w:b/>
          <w:color w:val="auto"/>
          <w:sz w:val="22"/>
          <w:szCs w:val="21"/>
          <w:highlight w:val="none"/>
        </w:rPr>
        <w:t xml:space="preserve"> </w:t>
      </w:r>
    </w:p>
    <w:p w14:paraId="7DD3875E">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“□”为选择项，采购人/采购代理机构采用相应内容的以“■”或“☑”表示，不采用相应内容的仍然以“□”表示。</w:t>
      </w:r>
    </w:p>
    <w:p w14:paraId="5C33D842">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本项目邀请供应商参加开标会议，出席开标会议的人员应当为供应商法定代表人或其授权代表，并携带相关身份证件；响应文件递交地址/开标地址详见第一章投标邀请；请供应商适当提前到达指定地点，建议在响应截止时间前30分钟到达。</w:t>
      </w:r>
    </w:p>
    <w:p w14:paraId="3B2DADA5">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响应文件应按顺序编制页码和目录，请仔细检查响应文件是否已按采购文件要求盖章、签名、签署日期。</w:t>
      </w:r>
    </w:p>
    <w:p w14:paraId="00BFEFFE">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请仔细根据资格性审查表和符合性审查表逐条检查响应文件对应内容是否符合采购文件要求，检查相关证照、证书、人员身份证等证明材料是否在有效期内，业绩合同是否有签订日期，是否在规定的时间范围内。</w:t>
      </w:r>
    </w:p>
    <w:p w14:paraId="4DA85337">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采购文件中如有实质性条款要求，则响应文件格式中《实质性条款响应表》不能留空白，一定要按照采购文件要求填写，若要求提供证明材料还须对应提供证明材料。</w:t>
      </w:r>
    </w:p>
    <w:p w14:paraId="67BF0F32">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请正确填写《首轮报价表》（报价表）和《分项报价表》（如有），注意大小写必须一致；《分项报价表》汇总金额必须与《首轮报价表》总报价一致。</w:t>
      </w:r>
    </w:p>
    <w:p w14:paraId="4EAA0BAD">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多包组项目请仔细检查包组号，包组号与包组采购内容必须对应。</w:t>
      </w:r>
    </w:p>
    <w:p w14:paraId="6C715CE1">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为方便评审，提高评审效率和质量，建议供应商可根据评审标准要求，对照自己的响应文件，用显眼的方式标记出对应的响应内容。</w:t>
      </w:r>
    </w:p>
    <w:p w14:paraId="477DBA38">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为了提高采购效率，节约社会交易成本与时间，希望获取了采购文件的供应商如果决定放弃响应的，在响应文件递交截止时间前2日，以书面盖章形式告知采购代理机构：</w:t>
      </w:r>
      <w:bookmarkStart w:id="1" w:name="_Hlk111933718"/>
      <w:r>
        <w:rPr>
          <w:rFonts w:hint="eastAsia" w:ascii="宋体" w:hAnsi="宋体"/>
          <w:color w:val="auto"/>
          <w:sz w:val="22"/>
          <w:szCs w:val="21"/>
          <w:highlight w:val="none"/>
        </w:rPr>
        <w:t>gczbzjzb@163.com</w:t>
      </w:r>
      <w:bookmarkEnd w:id="1"/>
      <w:r>
        <w:rPr>
          <w:rFonts w:hint="eastAsia" w:ascii="宋体" w:hAnsi="宋体"/>
          <w:color w:val="auto"/>
          <w:sz w:val="22"/>
          <w:szCs w:val="21"/>
          <w:highlight w:val="none"/>
        </w:rPr>
        <w:t>。</w:t>
      </w:r>
    </w:p>
    <w:p w14:paraId="3688739D">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根据“节约能源、保护环境”要求，建议供应商双面打印响应文件。</w:t>
      </w:r>
    </w:p>
    <w:p w14:paraId="15AF0815">
      <w:pPr>
        <w:widowControl/>
        <w:numPr>
          <w:ilvl w:val="0"/>
          <w:numId w:val="5"/>
        </w:numPr>
        <w:tabs>
          <w:tab w:val="left" w:pos="502"/>
          <w:tab w:val="left" w:pos="1408"/>
          <w:tab w:val="left" w:pos="4769"/>
        </w:tabs>
        <w:spacing w:line="360" w:lineRule="auto"/>
        <w:ind w:left="440" w:hanging="440" w:hangingChars="200"/>
        <w:jc w:val="left"/>
        <w:rPr>
          <w:rFonts w:ascii="宋体" w:hAnsi="宋体"/>
          <w:color w:val="auto"/>
          <w:sz w:val="22"/>
          <w:szCs w:val="21"/>
          <w:highlight w:val="none"/>
        </w:rPr>
      </w:pPr>
      <w:r>
        <w:rPr>
          <w:rFonts w:hint="eastAsia" w:ascii="宋体" w:hAnsi="宋体"/>
          <w:color w:val="auto"/>
          <w:sz w:val="22"/>
          <w:szCs w:val="21"/>
          <w:highlight w:val="none"/>
        </w:rPr>
        <w:t>特别说明：本提示内容非采购文件的组成部分，仅为善意提醒；如有不一致的地方，以采购文件为准。</w:t>
      </w:r>
    </w:p>
    <w:p w14:paraId="308BA9C0">
      <w:pPr>
        <w:widowControl/>
        <w:tabs>
          <w:tab w:val="left" w:pos="502"/>
          <w:tab w:val="left" w:pos="1408"/>
          <w:tab w:val="left" w:pos="4769"/>
        </w:tabs>
        <w:spacing w:line="360" w:lineRule="auto"/>
        <w:ind w:firstLine="440"/>
        <w:jc w:val="center"/>
        <w:rPr>
          <w:rFonts w:ascii="宋体" w:hAnsi="宋体"/>
          <w:b/>
          <w:color w:val="auto"/>
          <w:sz w:val="22"/>
          <w:szCs w:val="21"/>
          <w:highlight w:val="none"/>
        </w:rPr>
        <w:sectPr>
          <w:headerReference r:id="rId6" w:type="first"/>
          <w:footerReference r:id="rId8" w:type="first"/>
          <w:footerReference r:id="rId7" w:type="default"/>
          <w:pgSz w:w="11906" w:h="16838"/>
          <w:pgMar w:top="1109" w:right="1797" w:bottom="1440" w:left="1797" w:header="426" w:footer="992" w:gutter="0"/>
          <w:paperSrc w:first="7"/>
          <w:pgNumType w:start="1"/>
          <w:cols w:space="720" w:num="1"/>
          <w:titlePg/>
          <w:docGrid w:linePitch="312" w:charSpace="0"/>
        </w:sectPr>
      </w:pPr>
    </w:p>
    <w:p w14:paraId="795B36AA">
      <w:pPr>
        <w:widowControl/>
        <w:tabs>
          <w:tab w:val="left" w:pos="502"/>
          <w:tab w:val="left" w:pos="1408"/>
          <w:tab w:val="left" w:pos="4769"/>
        </w:tabs>
        <w:spacing w:line="360" w:lineRule="auto"/>
        <w:ind w:firstLine="640"/>
        <w:jc w:val="center"/>
        <w:rPr>
          <w:rFonts w:ascii="宋体" w:hAnsi="宋体"/>
          <w:b/>
          <w:bCs/>
          <w:color w:val="auto"/>
          <w:sz w:val="32"/>
          <w:highlight w:val="none"/>
        </w:rPr>
      </w:pPr>
    </w:p>
    <w:p w14:paraId="6818E185">
      <w:pPr>
        <w:widowControl/>
        <w:tabs>
          <w:tab w:val="left" w:pos="502"/>
          <w:tab w:val="left" w:pos="1408"/>
          <w:tab w:val="left" w:pos="4769"/>
        </w:tabs>
        <w:spacing w:line="360" w:lineRule="auto"/>
        <w:ind w:firstLine="643"/>
        <w:jc w:val="center"/>
        <w:rPr>
          <w:rFonts w:ascii="宋体" w:hAnsi="宋体"/>
          <w:b/>
          <w:bCs/>
          <w:color w:val="auto"/>
          <w:sz w:val="32"/>
          <w:highlight w:val="none"/>
        </w:rPr>
      </w:pPr>
      <w:r>
        <w:rPr>
          <w:rFonts w:hint="eastAsia" w:ascii="宋体" w:hAnsi="宋体"/>
          <w:b/>
          <w:bCs/>
          <w:color w:val="auto"/>
          <w:sz w:val="32"/>
          <w:highlight w:val="none"/>
        </w:rPr>
        <w:t>目</w:t>
      </w:r>
      <w:r>
        <w:rPr>
          <w:rFonts w:hint="eastAsia" w:ascii="宋体" w:hAnsi="宋体"/>
          <w:b/>
          <w:bCs/>
          <w:color w:val="auto"/>
          <w:sz w:val="32"/>
          <w:highlight w:val="none"/>
        </w:rPr>
        <w:tab/>
      </w:r>
      <w:r>
        <w:rPr>
          <w:rFonts w:hint="eastAsia" w:ascii="宋体" w:hAnsi="宋体"/>
          <w:b/>
          <w:bCs/>
          <w:color w:val="auto"/>
          <w:sz w:val="32"/>
          <w:highlight w:val="none"/>
        </w:rPr>
        <w:t xml:space="preserve">  录</w:t>
      </w:r>
    </w:p>
    <w:p w14:paraId="23AE196B">
      <w:pPr>
        <w:rPr>
          <w:rFonts w:ascii="宋体" w:hAnsi="宋体"/>
          <w:color w:val="auto"/>
          <w:highlight w:val="none"/>
        </w:rPr>
      </w:pPr>
      <w:bookmarkStart w:id="2" w:name="_Toc35342044"/>
      <w:bookmarkStart w:id="3" w:name="_Toc276645569"/>
    </w:p>
    <w:p w14:paraId="652108AB">
      <w:pPr>
        <w:pStyle w:val="33"/>
        <w:tabs>
          <w:tab w:val="right" w:leader="dot" w:pos="8312"/>
        </w:tabs>
        <w:spacing w:line="360" w:lineRule="auto"/>
        <w:ind w:firstLine="482" w:firstLineChars="200"/>
        <w:rPr>
          <w:rFonts w:ascii="宋体" w:hAnsi="宋体" w:eastAsia="宋体" w:cs="宋体"/>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"1-2" \h \z \u </w:instrText>
      </w:r>
      <w:r>
        <w:rPr>
          <w:rFonts w:hint="eastAsia" w:ascii="宋体" w:hAnsi="宋体" w:eastAsia="宋体" w:cs="宋体"/>
          <w:color w:val="auto"/>
          <w:sz w:val="24"/>
          <w:szCs w:val="24"/>
          <w:highlight w:val="none"/>
        </w:rPr>
        <w:fldChar w:fldCharType="separate"/>
      </w:r>
      <w:r>
        <w:rPr>
          <w:color w:val="auto"/>
          <w:highlight w:val="none"/>
        </w:rPr>
        <w:fldChar w:fldCharType="begin"/>
      </w:r>
      <w:r>
        <w:rPr>
          <w:color w:val="auto"/>
          <w:highlight w:val="none"/>
        </w:rPr>
        <w:instrText xml:space="preserve"> HYPERLINK \l "_Toc23160" </w:instrText>
      </w:r>
      <w:r>
        <w:rPr>
          <w:color w:val="auto"/>
          <w:highlight w:val="none"/>
        </w:rPr>
        <w:fldChar w:fldCharType="separate"/>
      </w:r>
      <w:r>
        <w:rPr>
          <w:rFonts w:hint="eastAsia" w:ascii="宋体" w:hAnsi="宋体" w:eastAsia="宋体" w:cs="宋体"/>
          <w:color w:val="auto"/>
          <w:highlight w:val="none"/>
        </w:rPr>
        <w:t xml:space="preserve">第一部分 </w:t>
      </w:r>
      <w:r>
        <w:rPr>
          <w:rFonts w:hint="eastAsia" w:eastAsia="宋体" w:cs="宋体"/>
          <w:color w:val="auto"/>
          <w:highlight w:val="none"/>
        </w:rPr>
        <w:t>磋商邀请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_Toc23160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3FFE678">
      <w:pPr>
        <w:pStyle w:val="33"/>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"_Toc29349" </w:instrText>
      </w:r>
      <w:r>
        <w:rPr>
          <w:color w:val="auto"/>
          <w:highlight w:val="none"/>
        </w:rPr>
        <w:fldChar w:fldCharType="separate"/>
      </w:r>
      <w:r>
        <w:rPr>
          <w:rFonts w:hint="eastAsia" w:ascii="宋体" w:hAnsi="宋体" w:eastAsia="宋体" w:cs="宋体"/>
          <w:color w:val="auto"/>
          <w:highlight w:val="none"/>
        </w:rPr>
        <w:t>第二部分 响应资料表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_Toc29349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3DB5B11">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"_Toc14826" </w:instrText>
      </w:r>
      <w:r>
        <w:rPr>
          <w:color w:val="auto"/>
          <w:highlight w:val="none"/>
        </w:rPr>
        <w:fldChar w:fldCharType="separate"/>
      </w:r>
      <w:r>
        <w:rPr>
          <w:rFonts w:hint="eastAsia" w:ascii="宋体" w:hAnsi="宋体" w:eastAsia="宋体" w:cs="宋体"/>
          <w:color w:val="auto"/>
          <w:highlight w:val="none"/>
        </w:rPr>
        <w:t>一、供应商须知前附表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_Toc14826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C354F40">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"_Toc15081" </w:instrText>
      </w:r>
      <w:r>
        <w:rPr>
          <w:color w:val="auto"/>
          <w:highlight w:val="none"/>
        </w:rPr>
        <w:fldChar w:fldCharType="separate"/>
      </w:r>
      <w:r>
        <w:rPr>
          <w:rFonts w:hint="eastAsia" w:ascii="宋体" w:hAnsi="宋体" w:eastAsia="宋体" w:cs="宋体"/>
          <w:color w:val="auto"/>
          <w:highlight w:val="none"/>
        </w:rPr>
        <w:t>二、评分细则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_Toc15081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6C63059">
      <w:pPr>
        <w:pStyle w:val="33"/>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"_Toc24823" </w:instrText>
      </w:r>
      <w:r>
        <w:rPr>
          <w:color w:val="auto"/>
          <w:highlight w:val="none"/>
        </w:rPr>
        <w:fldChar w:fldCharType="separate"/>
      </w:r>
      <w:r>
        <w:rPr>
          <w:rFonts w:hint="eastAsia" w:ascii="宋体" w:hAnsi="宋体" w:eastAsia="宋体" w:cs="宋体"/>
          <w:color w:val="auto"/>
          <w:highlight w:val="none"/>
        </w:rPr>
        <w:t>第三部分 供应商须知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_Toc24823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143D1821">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"_Toc11101" </w:instrText>
      </w:r>
      <w:r>
        <w:rPr>
          <w:color w:val="auto"/>
          <w:highlight w:val="none"/>
        </w:rPr>
        <w:fldChar w:fldCharType="separate"/>
      </w:r>
      <w:r>
        <w:rPr>
          <w:rFonts w:hint="eastAsia" w:ascii="宋体" w:hAnsi="宋体" w:eastAsia="宋体" w:cs="宋体"/>
          <w:color w:val="auto"/>
          <w:szCs w:val="28"/>
          <w:highlight w:val="none"/>
        </w:rPr>
        <w:t>一、说  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8413953">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"_Toc12136" </w:instrText>
      </w:r>
      <w:r>
        <w:rPr>
          <w:color w:val="auto"/>
          <w:highlight w:val="none"/>
        </w:rPr>
        <w:fldChar w:fldCharType="separate"/>
      </w:r>
      <w:r>
        <w:rPr>
          <w:rFonts w:hint="eastAsia" w:ascii="宋体" w:hAnsi="宋体" w:eastAsia="宋体" w:cs="宋体"/>
          <w:color w:val="auto"/>
          <w:szCs w:val="28"/>
          <w:highlight w:val="none"/>
        </w:rPr>
        <w:t>二、采购文件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_Toc12136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4D6D28E">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"_Toc28357" </w:instrText>
      </w:r>
      <w:r>
        <w:rPr>
          <w:color w:val="auto"/>
          <w:highlight w:val="none"/>
        </w:rPr>
        <w:fldChar w:fldCharType="separate"/>
      </w:r>
      <w:r>
        <w:rPr>
          <w:rFonts w:hint="eastAsia" w:ascii="宋体" w:hAnsi="宋体" w:eastAsia="宋体" w:cs="宋体"/>
          <w:color w:val="auto"/>
          <w:szCs w:val="28"/>
          <w:highlight w:val="none"/>
        </w:rPr>
        <w:t>三、响应文件的编制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_Toc28357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47B2C2A">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"_Toc11941" </w:instrText>
      </w:r>
      <w:r>
        <w:rPr>
          <w:color w:val="auto"/>
          <w:highlight w:val="none"/>
        </w:rPr>
        <w:fldChar w:fldCharType="separate"/>
      </w:r>
      <w:r>
        <w:rPr>
          <w:rFonts w:hint="eastAsia" w:ascii="宋体" w:hAnsi="宋体" w:eastAsia="宋体" w:cs="宋体"/>
          <w:color w:val="auto"/>
          <w:szCs w:val="28"/>
          <w:highlight w:val="none"/>
        </w:rPr>
        <w:t>四、响应文件的递交</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_Toc11941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1B93259">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"_Toc5070" </w:instrText>
      </w:r>
      <w:r>
        <w:rPr>
          <w:color w:val="auto"/>
          <w:highlight w:val="none"/>
        </w:rPr>
        <w:fldChar w:fldCharType="separate"/>
      </w:r>
      <w:r>
        <w:rPr>
          <w:rFonts w:hint="eastAsia" w:ascii="宋体" w:hAnsi="宋体" w:eastAsia="宋体" w:cs="宋体"/>
          <w:color w:val="auto"/>
          <w:szCs w:val="28"/>
          <w:highlight w:val="none"/>
        </w:rPr>
        <w:t>五、开标、评标、定标</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_Toc5070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6F3DD2B">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"_Toc23018" </w:instrText>
      </w:r>
      <w:r>
        <w:rPr>
          <w:color w:val="auto"/>
          <w:highlight w:val="none"/>
        </w:rPr>
        <w:fldChar w:fldCharType="separate"/>
      </w:r>
      <w:r>
        <w:rPr>
          <w:rFonts w:hint="eastAsia" w:ascii="宋体" w:hAnsi="宋体" w:eastAsia="宋体" w:cs="宋体"/>
          <w:color w:val="auto"/>
          <w:szCs w:val="28"/>
          <w:highlight w:val="none"/>
        </w:rPr>
        <w:t>六、合同的订立和履行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_Toc23018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84E8DE4">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"_Toc15103" </w:instrText>
      </w:r>
      <w:r>
        <w:rPr>
          <w:color w:val="auto"/>
          <w:highlight w:val="none"/>
        </w:rPr>
        <w:fldChar w:fldCharType="separate"/>
      </w:r>
      <w:r>
        <w:rPr>
          <w:rFonts w:hint="eastAsia" w:ascii="宋体" w:hAnsi="宋体" w:eastAsia="宋体" w:cs="宋体"/>
          <w:color w:val="auto"/>
          <w:szCs w:val="28"/>
          <w:highlight w:val="none"/>
        </w:rPr>
        <w:t>七、质疑、投诉</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_Toc15103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246E3E4">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"_Toc241" </w:instrText>
      </w:r>
      <w:r>
        <w:rPr>
          <w:color w:val="auto"/>
          <w:highlight w:val="none"/>
        </w:rPr>
        <w:fldChar w:fldCharType="separate"/>
      </w:r>
      <w:r>
        <w:rPr>
          <w:rFonts w:hint="eastAsia" w:ascii="宋体" w:hAnsi="宋体" w:eastAsia="宋体" w:cs="宋体"/>
          <w:color w:val="auto"/>
          <w:szCs w:val="28"/>
          <w:highlight w:val="none"/>
        </w:rPr>
        <w:t>八、适用法律</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D39E44C">
      <w:pPr>
        <w:pStyle w:val="33"/>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"_Toc10551" </w:instrText>
      </w:r>
      <w:r>
        <w:rPr>
          <w:color w:val="auto"/>
          <w:highlight w:val="none"/>
        </w:rPr>
        <w:fldChar w:fldCharType="separate"/>
      </w:r>
      <w:r>
        <w:rPr>
          <w:rFonts w:hint="eastAsia" w:ascii="宋体" w:hAnsi="宋体" w:eastAsia="宋体" w:cs="宋体"/>
          <w:color w:val="auto"/>
          <w:highlight w:val="none"/>
        </w:rPr>
        <w:t>第四部分 用户需求书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_Toc10551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B638921">
      <w:pPr>
        <w:pStyle w:val="33"/>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"_Toc24835" </w:instrText>
      </w:r>
      <w:r>
        <w:rPr>
          <w:color w:val="auto"/>
          <w:highlight w:val="none"/>
        </w:rPr>
        <w:fldChar w:fldCharType="separate"/>
      </w:r>
      <w:r>
        <w:rPr>
          <w:rFonts w:hint="eastAsia" w:ascii="宋体" w:hAnsi="宋体" w:eastAsia="宋体" w:cs="宋体"/>
          <w:color w:val="auto"/>
          <w:highlight w:val="none"/>
        </w:rPr>
        <w:t>第五部分 格式文件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_Toc24835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B27CB9E">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宋体"/>
          <w:color w:val="auto"/>
          <w:highlight w:val="none"/>
        </w:rPr>
        <w:t>第一节  合同书格式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_Toc2804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7F49BF9">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"_Toc22264" </w:instrText>
      </w:r>
      <w:r>
        <w:rPr>
          <w:color w:val="auto"/>
          <w:highlight w:val="none"/>
        </w:rPr>
        <w:fldChar w:fldCharType="separate"/>
      </w:r>
      <w:r>
        <w:rPr>
          <w:rFonts w:hint="eastAsia" w:ascii="宋体" w:hAnsi="宋体" w:eastAsia="宋体" w:cs="宋体"/>
          <w:color w:val="auto"/>
          <w:highlight w:val="none"/>
        </w:rPr>
        <w:t>第二节  响应文件格式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_Toc22264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610009C5">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"_Toc27368" </w:instrText>
      </w:r>
      <w:r>
        <w:rPr>
          <w:color w:val="auto"/>
          <w:highlight w:val="none"/>
        </w:rPr>
        <w:fldChar w:fldCharType="separate"/>
      </w:r>
      <w:r>
        <w:rPr>
          <w:rFonts w:hint="eastAsia" w:ascii="宋体" w:hAnsi="宋体" w:eastAsia="宋体" w:cs="宋体"/>
          <w:color w:val="auto"/>
          <w:szCs w:val="28"/>
          <w:highlight w:val="none"/>
        </w:rPr>
        <w:t>一、资格性文件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_Toc27368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A420814">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"_Toc29456" </w:instrText>
      </w:r>
      <w:r>
        <w:rPr>
          <w:color w:val="auto"/>
          <w:highlight w:val="none"/>
        </w:rPr>
        <w:fldChar w:fldCharType="separate"/>
      </w:r>
      <w:r>
        <w:rPr>
          <w:rFonts w:hint="eastAsia" w:ascii="宋体" w:hAnsi="宋体" w:eastAsia="宋体" w:cs="宋体"/>
          <w:color w:val="auto"/>
          <w:szCs w:val="28"/>
          <w:highlight w:val="none"/>
        </w:rPr>
        <w:t>二、商务文件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_Toc29456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288C9B8">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"_Toc10274" </w:instrText>
      </w:r>
      <w:r>
        <w:rPr>
          <w:color w:val="auto"/>
          <w:highlight w:val="none"/>
        </w:rPr>
        <w:fldChar w:fldCharType="separate"/>
      </w:r>
      <w:r>
        <w:rPr>
          <w:rFonts w:hint="eastAsia" w:ascii="宋体" w:hAnsi="宋体" w:eastAsia="宋体" w:cs="宋体"/>
          <w:color w:val="auto"/>
          <w:szCs w:val="28"/>
          <w:highlight w:val="none"/>
        </w:rPr>
        <w:t>三、技术文件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_Toc10274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70</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C43181E">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"_Toc5119" </w:instrText>
      </w:r>
      <w:r>
        <w:rPr>
          <w:color w:val="auto"/>
          <w:highlight w:val="none"/>
        </w:rPr>
        <w:fldChar w:fldCharType="separate"/>
      </w:r>
      <w:r>
        <w:rPr>
          <w:rFonts w:hint="eastAsia" w:ascii="宋体" w:hAnsi="宋体" w:eastAsia="宋体" w:cs="宋体"/>
          <w:color w:val="auto"/>
          <w:szCs w:val="28"/>
          <w:highlight w:val="none"/>
        </w:rPr>
        <w:t>四、报价文件</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_Toc5119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FF2CD38">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"_Toc5146" </w:instrText>
      </w:r>
      <w:r>
        <w:rPr>
          <w:color w:val="auto"/>
          <w:highlight w:val="none"/>
        </w:rPr>
        <w:fldChar w:fldCharType="separate"/>
      </w:r>
      <w:r>
        <w:rPr>
          <w:rFonts w:hint="eastAsia" w:ascii="宋体" w:hAnsi="宋体" w:eastAsia="宋体" w:cs="宋体"/>
          <w:color w:val="auto"/>
          <w:szCs w:val="28"/>
          <w:highlight w:val="none"/>
        </w:rPr>
        <w:t>五、采购代理服务费支付同意函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_Toc5146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0C1CF4DA">
      <w:pPr>
        <w:pStyle w:val="41"/>
        <w:tabs>
          <w:tab w:val="right" w:leader="dot" w:pos="8312"/>
        </w:tabs>
        <w:spacing w:line="360" w:lineRule="auto"/>
        <w:ind w:firstLine="400"/>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"_Toc23011" </w:instrText>
      </w:r>
      <w:r>
        <w:rPr>
          <w:color w:val="auto"/>
          <w:highlight w:val="none"/>
        </w:rPr>
        <w:fldChar w:fldCharType="separate"/>
      </w:r>
      <w:r>
        <w:rPr>
          <w:rFonts w:hint="eastAsia" w:ascii="宋体" w:hAnsi="宋体" w:eastAsia="宋体" w:cs="宋体"/>
          <w:color w:val="auto"/>
          <w:szCs w:val="28"/>
          <w:highlight w:val="none"/>
        </w:rPr>
        <w:t>六、其他格式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_Toc23011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AE4D58C">
      <w:pPr>
        <w:pStyle w:val="48"/>
        <w:spacing w:line="360" w:lineRule="auto"/>
        <w:rPr>
          <w:color w:val="auto"/>
          <w:highlight w:val="none"/>
        </w:rPr>
        <w:sectPr>
          <w:footerReference r:id="rId10" w:type="first"/>
          <w:footerReference r:id="rId9" w:type="default"/>
          <w:pgSz w:w="11906" w:h="16838"/>
          <w:pgMar w:top="1109" w:right="1797" w:bottom="1440" w:left="1797" w:header="426" w:footer="992" w:gutter="0"/>
          <w:paperSrc w:first="7"/>
          <w:pgNumType w:start="1"/>
          <w:cols w:space="720" w:num="1"/>
          <w:titlePg/>
          <w:docGrid w:linePitch="312" w:charSpace="0"/>
        </w:sectPr>
      </w:pPr>
      <w:r>
        <w:rPr>
          <w:rFonts w:hint="eastAsia" w:ascii="宋体" w:hAnsi="宋体" w:cs="宋体"/>
          <w:color w:val="auto"/>
          <w:szCs w:val="36"/>
          <w:highlight w:val="none"/>
        </w:rPr>
        <w:fldChar w:fldCharType="end"/>
      </w:r>
    </w:p>
    <w:p w14:paraId="30E5FF91">
      <w:pPr>
        <w:rPr>
          <w:rFonts w:ascii="宋体" w:hAnsi="宋体"/>
          <w:color w:val="auto"/>
          <w:highlight w:val="none"/>
        </w:rPr>
      </w:pPr>
    </w:p>
    <w:p w14:paraId="030739C7">
      <w:pPr>
        <w:rPr>
          <w:rFonts w:ascii="宋体" w:hAnsi="宋体"/>
          <w:color w:val="auto"/>
          <w:highlight w:val="none"/>
        </w:rPr>
      </w:pPr>
    </w:p>
    <w:p w14:paraId="2F04090E">
      <w:pPr>
        <w:rPr>
          <w:rFonts w:ascii="宋体" w:hAnsi="宋体"/>
          <w:color w:val="auto"/>
          <w:highlight w:val="none"/>
        </w:rPr>
      </w:pPr>
    </w:p>
    <w:p w14:paraId="7BE626A8">
      <w:pPr>
        <w:rPr>
          <w:rFonts w:ascii="宋体" w:hAnsi="宋体"/>
          <w:color w:val="auto"/>
          <w:highlight w:val="none"/>
        </w:rPr>
      </w:pPr>
    </w:p>
    <w:p w14:paraId="304E1EF7">
      <w:pPr>
        <w:rPr>
          <w:rFonts w:ascii="宋体" w:hAnsi="宋体"/>
          <w:color w:val="auto"/>
          <w:highlight w:val="none"/>
        </w:rPr>
      </w:pPr>
    </w:p>
    <w:p w14:paraId="5A29B82C">
      <w:pPr>
        <w:rPr>
          <w:rFonts w:ascii="宋体" w:hAnsi="宋体"/>
          <w:color w:val="auto"/>
          <w:highlight w:val="none"/>
        </w:rPr>
      </w:pPr>
    </w:p>
    <w:p w14:paraId="0C7A20FB">
      <w:pPr>
        <w:rPr>
          <w:rFonts w:ascii="宋体" w:hAnsi="宋体"/>
          <w:color w:val="auto"/>
          <w:highlight w:val="none"/>
        </w:rPr>
      </w:pPr>
    </w:p>
    <w:p w14:paraId="78A101CD">
      <w:pPr>
        <w:rPr>
          <w:rFonts w:ascii="宋体" w:hAnsi="宋体"/>
          <w:color w:val="auto"/>
          <w:highlight w:val="none"/>
        </w:rPr>
      </w:pPr>
    </w:p>
    <w:p w14:paraId="73178167">
      <w:pPr>
        <w:rPr>
          <w:rFonts w:ascii="宋体" w:hAnsi="宋体"/>
          <w:color w:val="auto"/>
          <w:highlight w:val="none"/>
        </w:rPr>
      </w:pPr>
    </w:p>
    <w:p w14:paraId="45FFAE53">
      <w:pPr>
        <w:rPr>
          <w:rFonts w:ascii="宋体" w:hAnsi="宋体"/>
          <w:color w:val="auto"/>
          <w:highlight w:val="none"/>
        </w:rPr>
      </w:pPr>
    </w:p>
    <w:p w14:paraId="3689B5E9">
      <w:pPr>
        <w:rPr>
          <w:rFonts w:ascii="宋体" w:hAnsi="宋体"/>
          <w:color w:val="auto"/>
          <w:highlight w:val="none"/>
        </w:rPr>
      </w:pPr>
    </w:p>
    <w:p w14:paraId="252F50A6">
      <w:pPr>
        <w:pStyle w:val="3"/>
        <w:ind w:firstLine="1044"/>
        <w:rPr>
          <w:rFonts w:ascii="宋体" w:hAnsi="宋体" w:eastAsia="宋体"/>
          <w:color w:val="auto"/>
          <w:highlight w:val="none"/>
        </w:rPr>
      </w:pPr>
      <w:bookmarkStart w:id="4" w:name="_Toc22041"/>
      <w:bookmarkStart w:id="5" w:name="_Toc11111"/>
      <w:bookmarkStart w:id="6" w:name="_Toc11342"/>
      <w:bookmarkStart w:id="7" w:name="_Toc15651"/>
      <w:bookmarkStart w:id="8" w:name="_Toc21632"/>
      <w:bookmarkStart w:id="9" w:name="_Toc70528474"/>
      <w:bookmarkStart w:id="10" w:name="_Toc23160"/>
      <w:bookmarkStart w:id="11" w:name="_Toc4281"/>
      <w:bookmarkStart w:id="12" w:name="_Toc1559"/>
      <w:bookmarkStart w:id="13" w:name="_Toc70528434"/>
      <w:bookmarkStart w:id="14" w:name="_Toc67046842"/>
      <w:bookmarkStart w:id="15" w:name="_Toc68789509"/>
      <w:r>
        <w:rPr>
          <w:rFonts w:hint="eastAsia" w:ascii="宋体" w:hAnsi="宋体" w:eastAsia="宋体"/>
          <w:color w:val="auto"/>
          <w:highlight w:val="none"/>
        </w:rPr>
        <w:t xml:space="preserve">第一部分 </w:t>
      </w:r>
      <w:bookmarkEnd w:id="2"/>
      <w:bookmarkEnd w:id="3"/>
      <w:bookmarkEnd w:id="4"/>
      <w:bookmarkEnd w:id="5"/>
      <w:bookmarkEnd w:id="6"/>
      <w:bookmarkEnd w:id="7"/>
      <w:bookmarkEnd w:id="8"/>
      <w:bookmarkEnd w:id="9"/>
      <w:bookmarkEnd w:id="10"/>
      <w:bookmarkEnd w:id="11"/>
      <w:bookmarkEnd w:id="12"/>
      <w:bookmarkEnd w:id="13"/>
      <w:bookmarkEnd w:id="14"/>
      <w:bookmarkEnd w:id="15"/>
      <w:r>
        <w:rPr>
          <w:rFonts w:hint="eastAsia" w:eastAsia="宋体" w:cs="宋体"/>
          <w:color w:val="auto"/>
          <w:highlight w:val="none"/>
        </w:rPr>
        <w:t>磋商邀请</w:t>
      </w:r>
    </w:p>
    <w:p w14:paraId="365CE42C">
      <w:pPr>
        <w:spacing w:line="360" w:lineRule="auto"/>
        <w:ind w:firstLine="420" w:firstLineChars="200"/>
        <w:jc w:val="center"/>
        <w:rPr>
          <w:rFonts w:ascii="宋体" w:hAnsi="宋体"/>
          <w:color w:val="auto"/>
          <w:highlight w:val="none"/>
        </w:rPr>
      </w:pPr>
    </w:p>
    <w:p w14:paraId="24B59AE8">
      <w:pPr>
        <w:rPr>
          <w:rFonts w:ascii="宋体" w:hAnsi="宋体"/>
          <w:color w:val="auto"/>
          <w:highlight w:val="none"/>
        </w:rPr>
      </w:pPr>
    </w:p>
    <w:p w14:paraId="446EBDAE">
      <w:pPr>
        <w:rPr>
          <w:rFonts w:ascii="宋体" w:hAnsi="宋体"/>
          <w:color w:val="auto"/>
          <w:highlight w:val="none"/>
        </w:rPr>
      </w:pPr>
    </w:p>
    <w:p w14:paraId="1FD46C7E">
      <w:pPr>
        <w:rPr>
          <w:rFonts w:ascii="宋体" w:hAnsi="宋体"/>
          <w:color w:val="auto"/>
          <w:highlight w:val="none"/>
        </w:rPr>
      </w:pPr>
    </w:p>
    <w:p w14:paraId="22241A6C">
      <w:pPr>
        <w:rPr>
          <w:rFonts w:ascii="宋体" w:hAnsi="宋体"/>
          <w:color w:val="auto"/>
          <w:highlight w:val="none"/>
        </w:rPr>
      </w:pPr>
    </w:p>
    <w:p w14:paraId="2CEBC54A">
      <w:pPr>
        <w:rPr>
          <w:rFonts w:ascii="宋体" w:hAnsi="宋体"/>
          <w:color w:val="auto"/>
          <w:highlight w:val="none"/>
        </w:rPr>
      </w:pPr>
    </w:p>
    <w:p w14:paraId="653EB55C">
      <w:pPr>
        <w:rPr>
          <w:rFonts w:ascii="宋体" w:hAnsi="宋体"/>
          <w:color w:val="auto"/>
          <w:highlight w:val="none"/>
        </w:rPr>
      </w:pPr>
    </w:p>
    <w:p w14:paraId="6FED82C3">
      <w:pPr>
        <w:rPr>
          <w:rFonts w:ascii="宋体" w:hAnsi="宋体"/>
          <w:color w:val="auto"/>
          <w:highlight w:val="none"/>
        </w:rPr>
      </w:pPr>
    </w:p>
    <w:p w14:paraId="19F2891B">
      <w:pPr>
        <w:rPr>
          <w:rFonts w:ascii="宋体" w:hAnsi="宋体"/>
          <w:color w:val="auto"/>
          <w:highlight w:val="none"/>
        </w:rPr>
      </w:pPr>
    </w:p>
    <w:p w14:paraId="5D83EF9A">
      <w:pPr>
        <w:rPr>
          <w:rFonts w:ascii="宋体" w:hAnsi="宋体"/>
          <w:color w:val="auto"/>
          <w:highlight w:val="none"/>
        </w:rPr>
      </w:pPr>
    </w:p>
    <w:p w14:paraId="2A9AAA17">
      <w:pPr>
        <w:rPr>
          <w:rFonts w:ascii="宋体" w:hAnsi="宋体"/>
          <w:color w:val="auto"/>
          <w:highlight w:val="none"/>
        </w:rPr>
      </w:pPr>
    </w:p>
    <w:p w14:paraId="51334C71">
      <w:pPr>
        <w:rPr>
          <w:rFonts w:ascii="宋体" w:hAnsi="宋体"/>
          <w:color w:val="auto"/>
          <w:highlight w:val="none"/>
        </w:rPr>
      </w:pPr>
    </w:p>
    <w:p w14:paraId="7CF7260D">
      <w:pPr>
        <w:rPr>
          <w:rFonts w:ascii="宋体" w:hAnsi="宋体"/>
          <w:color w:val="auto"/>
          <w:highlight w:val="none"/>
        </w:rPr>
      </w:pPr>
    </w:p>
    <w:p w14:paraId="501FC9FF">
      <w:pPr>
        <w:rPr>
          <w:rFonts w:ascii="宋体" w:hAnsi="宋体"/>
          <w:color w:val="auto"/>
          <w:highlight w:val="none"/>
        </w:rPr>
      </w:pPr>
    </w:p>
    <w:p w14:paraId="74E4E673">
      <w:pPr>
        <w:rPr>
          <w:rFonts w:ascii="宋体" w:hAnsi="宋体"/>
          <w:color w:val="auto"/>
          <w:highlight w:val="none"/>
        </w:rPr>
      </w:pPr>
    </w:p>
    <w:p w14:paraId="3D4CFA8C">
      <w:pPr>
        <w:rPr>
          <w:rFonts w:ascii="宋体" w:hAnsi="宋体"/>
          <w:color w:val="auto"/>
          <w:highlight w:val="none"/>
        </w:rPr>
      </w:pPr>
    </w:p>
    <w:p w14:paraId="60DAC5C6">
      <w:pPr>
        <w:rPr>
          <w:rFonts w:ascii="宋体" w:hAnsi="宋体"/>
          <w:color w:val="auto"/>
          <w:highlight w:val="none"/>
        </w:rPr>
      </w:pPr>
    </w:p>
    <w:p w14:paraId="74E70D88">
      <w:pPr>
        <w:rPr>
          <w:rFonts w:ascii="宋体" w:hAnsi="宋体"/>
          <w:color w:val="auto"/>
          <w:highlight w:val="none"/>
        </w:rPr>
      </w:pPr>
    </w:p>
    <w:p w14:paraId="2619434C">
      <w:pPr>
        <w:rPr>
          <w:rFonts w:ascii="宋体" w:hAnsi="宋体"/>
          <w:color w:val="auto"/>
          <w:highlight w:val="none"/>
        </w:rPr>
      </w:pPr>
    </w:p>
    <w:p w14:paraId="4A0F7A8C">
      <w:pPr>
        <w:spacing w:before="100" w:beforeAutospacing="1" w:after="100" w:afterAutospacing="1" w:line="360" w:lineRule="auto"/>
        <w:ind w:firstLine="420" w:firstLineChars="200"/>
        <w:jc w:val="center"/>
        <w:rPr>
          <w:rFonts w:ascii="宋体" w:hAnsi="宋体" w:cs="ヒラギノ角ゴ Pro W3"/>
          <w:b/>
          <w:color w:val="auto"/>
          <w:sz w:val="24"/>
          <w:highlight w:val="none"/>
        </w:rPr>
      </w:pPr>
      <w:r>
        <w:rPr>
          <w:rFonts w:ascii="宋体" w:hAnsi="宋体"/>
          <w:color w:val="auto"/>
          <w:highlight w:val="none"/>
        </w:rPr>
        <w:br w:type="page"/>
      </w:r>
    </w:p>
    <w:p w14:paraId="091FFA3B">
      <w:pPr>
        <w:spacing w:line="380" w:lineRule="exact"/>
        <w:ind w:firstLine="560"/>
        <w:jc w:val="center"/>
        <w:rPr>
          <w:b/>
          <w:color w:val="auto"/>
          <w:sz w:val="28"/>
          <w:highlight w:val="none"/>
        </w:rPr>
      </w:pPr>
    </w:p>
    <w:p w14:paraId="32D60C5B">
      <w:pPr>
        <w:spacing w:line="380" w:lineRule="exact"/>
        <w:ind w:firstLine="562"/>
        <w:jc w:val="center"/>
        <w:rPr>
          <w:b/>
          <w:color w:val="auto"/>
          <w:sz w:val="28"/>
          <w:highlight w:val="none"/>
        </w:rPr>
      </w:pPr>
      <w:r>
        <w:rPr>
          <w:rFonts w:hint="eastAsia"/>
          <w:b/>
          <w:color w:val="auto"/>
          <w:sz w:val="28"/>
          <w:highlight w:val="none"/>
        </w:rPr>
        <w:t>磋商邀请</w:t>
      </w:r>
    </w:p>
    <w:p w14:paraId="332FD669">
      <w:pPr>
        <w:spacing w:line="336" w:lineRule="auto"/>
        <w:rPr>
          <w:b/>
          <w:bCs/>
          <w:color w:val="auto"/>
          <w:szCs w:val="21"/>
          <w:highlight w:val="none"/>
        </w:rPr>
      </w:pPr>
      <w:bookmarkStart w:id="16" w:name="_Hlk4312558"/>
      <w:r>
        <w:rPr>
          <w:rFonts w:hint="eastAsia"/>
          <w:b/>
          <w:bCs/>
          <w:color w:val="auto"/>
          <w:szCs w:val="21"/>
          <w:highlight w:val="none"/>
        </w:rPr>
        <w:t>一、项目概况</w:t>
      </w:r>
    </w:p>
    <w:bookmarkEnd w:id="16"/>
    <w:p w14:paraId="53DC6A72">
      <w:pPr>
        <w:pStyle w:val="47"/>
        <w:spacing w:line="360" w:lineRule="auto"/>
        <w:ind w:firstLineChars="200"/>
        <w:rPr>
          <w:color w:val="auto"/>
          <w:szCs w:val="21"/>
          <w:highlight w:val="none"/>
        </w:rPr>
      </w:pPr>
      <w:r>
        <w:rPr>
          <w:rFonts w:hint="eastAsia"/>
          <w:color w:val="auto"/>
          <w:szCs w:val="21"/>
          <w:highlight w:val="none"/>
          <w:u w:val="single"/>
        </w:rPr>
        <w:t xml:space="preserve">分析测试中心大型及贵重仪器共享平台建设-仪器租赁 </w:t>
      </w:r>
      <w:r>
        <w:rPr>
          <w:rFonts w:hint="eastAsia"/>
          <w:color w:val="auto"/>
          <w:szCs w:val="21"/>
          <w:highlight w:val="none"/>
        </w:rPr>
        <w:t>的潜在供应商应在诚E招电子采购交易平台</w:t>
      </w:r>
      <w:r>
        <w:rPr>
          <w:color w:val="auto"/>
          <w:szCs w:val="21"/>
          <w:highlight w:val="none"/>
        </w:rPr>
        <w:t>(</w:t>
      </w:r>
      <w:r>
        <w:rPr>
          <w:rFonts w:hint="eastAsia"/>
          <w:color w:val="auto"/>
          <w:szCs w:val="21"/>
          <w:highlight w:val="none"/>
        </w:rPr>
        <w:t>https:</w:t>
      </w:r>
      <w:r>
        <w:rPr>
          <w:color w:val="auto"/>
          <w:szCs w:val="21"/>
          <w:highlight w:val="none"/>
        </w:rPr>
        <w:t>/</w:t>
      </w:r>
      <w:r>
        <w:rPr>
          <w:rFonts w:hint="eastAsia"/>
          <w:color w:val="auto"/>
          <w:szCs w:val="21"/>
          <w:highlight w:val="none"/>
        </w:rPr>
        <w:t>www.chengezhao.com</w:t>
      </w:r>
      <w:r>
        <w:rPr>
          <w:color w:val="auto"/>
          <w:szCs w:val="21"/>
          <w:highlight w:val="none"/>
        </w:rPr>
        <w:t>)</w:t>
      </w:r>
      <w:r>
        <w:rPr>
          <w:rFonts w:hint="eastAsia"/>
          <w:color w:val="auto"/>
          <w:szCs w:val="21"/>
          <w:highlight w:val="none"/>
        </w:rPr>
        <w:t>获取采购文件，并于</w:t>
      </w:r>
      <w:r>
        <w:rPr>
          <w:rFonts w:hint="eastAsia"/>
          <w:b/>
          <w:bCs/>
          <w:color w:val="auto"/>
          <w:szCs w:val="21"/>
          <w:highlight w:val="none"/>
        </w:rPr>
        <w:t>2024</w:t>
      </w:r>
      <w:r>
        <w:rPr>
          <w:b/>
          <w:bCs/>
          <w:color w:val="auto"/>
          <w:szCs w:val="21"/>
          <w:highlight w:val="none"/>
        </w:rPr>
        <w:t>年</w:t>
      </w:r>
      <w:r>
        <w:rPr>
          <w:rFonts w:hint="eastAsia"/>
          <w:b/>
          <w:bCs/>
          <w:color w:val="auto"/>
          <w:szCs w:val="21"/>
          <w:highlight w:val="none"/>
          <w:lang w:val="en-US" w:eastAsia="zh-CN"/>
        </w:rPr>
        <w:t>9</w:t>
      </w:r>
      <w:r>
        <w:rPr>
          <w:b/>
          <w:bCs/>
          <w:color w:val="auto"/>
          <w:szCs w:val="21"/>
          <w:highlight w:val="none"/>
        </w:rPr>
        <w:t>月</w:t>
      </w:r>
      <w:r>
        <w:rPr>
          <w:rFonts w:hint="eastAsia"/>
          <w:b/>
          <w:bCs/>
          <w:color w:val="auto"/>
          <w:szCs w:val="21"/>
          <w:highlight w:val="none"/>
          <w:lang w:val="en-US" w:eastAsia="zh-CN"/>
        </w:rPr>
        <w:t>10</w:t>
      </w:r>
      <w:r>
        <w:rPr>
          <w:b/>
          <w:bCs/>
          <w:color w:val="auto"/>
          <w:szCs w:val="21"/>
          <w:highlight w:val="none"/>
        </w:rPr>
        <w:t>日</w:t>
      </w:r>
      <w:r>
        <w:rPr>
          <w:rFonts w:hint="eastAsia"/>
          <w:b/>
          <w:bCs/>
          <w:color w:val="auto"/>
          <w:szCs w:val="21"/>
          <w:highlight w:val="none"/>
        </w:rPr>
        <w:t>15时30分</w:t>
      </w:r>
      <w:r>
        <w:rPr>
          <w:color w:val="auto"/>
          <w:szCs w:val="21"/>
          <w:highlight w:val="none"/>
        </w:rPr>
        <w:t>（北京时间）前提交响应文件。</w:t>
      </w:r>
    </w:p>
    <w:p w14:paraId="08F2F246">
      <w:pPr>
        <w:spacing w:line="336" w:lineRule="auto"/>
        <w:rPr>
          <w:b/>
          <w:color w:val="auto"/>
          <w:szCs w:val="21"/>
          <w:highlight w:val="none"/>
        </w:rPr>
      </w:pPr>
      <w:r>
        <w:rPr>
          <w:rFonts w:hint="eastAsia" w:cs="宋体"/>
          <w:b/>
          <w:color w:val="auto"/>
          <w:szCs w:val="21"/>
          <w:highlight w:val="none"/>
        </w:rPr>
        <w:t>二</w:t>
      </w:r>
      <w:r>
        <w:rPr>
          <w:rFonts w:ascii="宋体" w:hAnsi="宋体" w:cs="宋体"/>
          <w:b/>
          <w:color w:val="auto"/>
          <w:szCs w:val="21"/>
          <w:highlight w:val="none"/>
        </w:rPr>
        <w:t>、</w:t>
      </w:r>
      <w:r>
        <w:rPr>
          <w:rFonts w:hint="eastAsia"/>
          <w:b/>
          <w:color w:val="auto"/>
          <w:szCs w:val="21"/>
          <w:highlight w:val="none"/>
        </w:rPr>
        <w:t>项目基本情况</w:t>
      </w:r>
    </w:p>
    <w:p w14:paraId="4CB2B620">
      <w:pPr>
        <w:spacing w:line="336" w:lineRule="auto"/>
        <w:rPr>
          <w:rFonts w:ascii="宋体" w:hAnsi="宋体"/>
          <w:bCs/>
          <w:color w:val="auto"/>
          <w:highlight w:val="none"/>
        </w:rPr>
      </w:pPr>
      <w:r>
        <w:rPr>
          <w:rFonts w:hint="eastAsia"/>
          <w:color w:val="auto"/>
          <w:highlight w:val="none"/>
        </w:rPr>
        <w:t>项目编号：</w:t>
      </w:r>
      <w:r>
        <w:rPr>
          <w:rFonts w:hint="eastAsia" w:ascii="宋体" w:hAnsi="宋体"/>
          <w:bCs/>
          <w:color w:val="auto"/>
          <w:highlight w:val="none"/>
        </w:rPr>
        <w:t>07-14-04F-2024-D-E18641</w:t>
      </w:r>
    </w:p>
    <w:p w14:paraId="045AB138">
      <w:pPr>
        <w:spacing w:line="336" w:lineRule="auto"/>
        <w:rPr>
          <w:color w:val="auto"/>
          <w:highlight w:val="none"/>
        </w:rPr>
      </w:pPr>
      <w:r>
        <w:rPr>
          <w:rFonts w:hint="eastAsia"/>
          <w:color w:val="auto"/>
          <w:highlight w:val="none"/>
        </w:rPr>
        <w:t>项目名称</w:t>
      </w:r>
      <w:r>
        <w:rPr>
          <w:rFonts w:hint="eastAsia"/>
          <w:color w:val="auto"/>
          <w:kern w:val="28"/>
          <w:highlight w:val="none"/>
        </w:rPr>
        <w:t>：分析测试中心大型及贵重仪器共享平台建设-仪器租赁</w:t>
      </w:r>
    </w:p>
    <w:p w14:paraId="3709622E">
      <w:pPr>
        <w:spacing w:line="336" w:lineRule="auto"/>
        <w:rPr>
          <w:color w:val="auto"/>
          <w:highlight w:val="none"/>
        </w:rPr>
      </w:pPr>
      <w:r>
        <w:rPr>
          <w:rFonts w:hint="eastAsia"/>
          <w:color w:val="auto"/>
          <w:highlight w:val="none"/>
        </w:rPr>
        <w:t>采购方式：竞争性磋商</w:t>
      </w:r>
    </w:p>
    <w:p w14:paraId="536BA89A">
      <w:pPr>
        <w:tabs>
          <w:tab w:val="left" w:pos="5730"/>
        </w:tabs>
        <w:spacing w:line="336" w:lineRule="auto"/>
        <w:rPr>
          <w:color w:val="auto"/>
          <w:highlight w:val="none"/>
        </w:rPr>
      </w:pPr>
      <w:r>
        <w:rPr>
          <w:rFonts w:hint="eastAsia"/>
          <w:color w:val="auto"/>
          <w:highlight w:val="none"/>
        </w:rPr>
        <w:t>采购预算</w:t>
      </w:r>
      <w:r>
        <w:rPr>
          <w:rFonts w:hint="eastAsia" w:ascii="宋体" w:hAnsi="宋体"/>
          <w:color w:val="auto"/>
          <w:highlight w:val="none"/>
        </w:rPr>
        <w:t>（</w:t>
      </w:r>
      <w:r>
        <w:rPr>
          <w:rFonts w:hint="eastAsia" w:ascii="宋体" w:hAnsi="宋体" w:cs="宋体"/>
          <w:color w:val="auto"/>
          <w:highlight w:val="none"/>
        </w:rPr>
        <w:t>含税）：748000.00元</w:t>
      </w:r>
    </w:p>
    <w:p w14:paraId="5E54856E">
      <w:pPr>
        <w:tabs>
          <w:tab w:val="left" w:pos="5730"/>
        </w:tabs>
        <w:spacing w:line="336" w:lineRule="auto"/>
        <w:rPr>
          <w:color w:val="auto"/>
          <w:highlight w:val="none"/>
        </w:rPr>
      </w:pPr>
      <w:r>
        <w:rPr>
          <w:rFonts w:hint="eastAsia"/>
          <w:color w:val="auto"/>
          <w:highlight w:val="none"/>
        </w:rPr>
        <w:t>采购内容及最高限价：</w:t>
      </w:r>
    </w:p>
    <w:tbl>
      <w:tblPr>
        <w:tblStyle w:val="49"/>
        <w:tblW w:w="8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3"/>
        <w:gridCol w:w="2205"/>
        <w:gridCol w:w="2655"/>
        <w:gridCol w:w="1388"/>
      </w:tblGrid>
      <w:tr w14:paraId="08A8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323" w:type="dxa"/>
            <w:vAlign w:val="center"/>
          </w:tcPr>
          <w:p w14:paraId="1D214492">
            <w:pPr>
              <w:jc w:val="center"/>
              <w:rPr>
                <w:rFonts w:ascii="宋体" w:hAnsi="宋体"/>
                <w:b/>
                <w:bCs/>
                <w:color w:val="auto"/>
                <w:szCs w:val="21"/>
                <w:highlight w:val="none"/>
              </w:rPr>
            </w:pPr>
            <w:r>
              <w:rPr>
                <w:rFonts w:hint="eastAsia" w:ascii="宋体" w:hAnsi="宋体"/>
                <w:b/>
                <w:bCs/>
                <w:color w:val="auto"/>
                <w:szCs w:val="21"/>
                <w:highlight w:val="none"/>
              </w:rPr>
              <w:t>标的名称</w:t>
            </w:r>
          </w:p>
        </w:tc>
        <w:tc>
          <w:tcPr>
            <w:tcW w:w="2205" w:type="dxa"/>
            <w:vAlign w:val="center"/>
          </w:tcPr>
          <w:p w14:paraId="7AF1D487">
            <w:pPr>
              <w:jc w:val="center"/>
              <w:rPr>
                <w:rFonts w:ascii="宋体" w:hAnsi="宋体"/>
                <w:b/>
                <w:bCs/>
                <w:color w:val="auto"/>
                <w:szCs w:val="21"/>
                <w:highlight w:val="none"/>
              </w:rPr>
            </w:pPr>
            <w:r>
              <w:rPr>
                <w:rFonts w:hint="eastAsia" w:ascii="宋体" w:hAnsi="宋体"/>
                <w:b/>
                <w:bCs/>
                <w:color w:val="auto"/>
                <w:szCs w:val="21"/>
                <w:highlight w:val="none"/>
              </w:rPr>
              <w:t>最高限价（含税/元）</w:t>
            </w:r>
          </w:p>
        </w:tc>
        <w:tc>
          <w:tcPr>
            <w:tcW w:w="2655" w:type="dxa"/>
            <w:vAlign w:val="center"/>
          </w:tcPr>
          <w:p w14:paraId="04E93864">
            <w:pPr>
              <w:jc w:val="center"/>
              <w:rPr>
                <w:rFonts w:ascii="宋体" w:hAnsi="宋体"/>
                <w:b/>
                <w:bCs/>
                <w:color w:val="auto"/>
                <w:szCs w:val="21"/>
                <w:highlight w:val="none"/>
              </w:rPr>
            </w:pPr>
            <w:r>
              <w:rPr>
                <w:rFonts w:hint="eastAsia" w:ascii="宋体" w:hAnsi="宋体"/>
                <w:b/>
                <w:bCs/>
                <w:color w:val="auto"/>
                <w:szCs w:val="21"/>
                <w:highlight w:val="none"/>
              </w:rPr>
              <w:t>交货时间</w:t>
            </w:r>
          </w:p>
        </w:tc>
        <w:tc>
          <w:tcPr>
            <w:tcW w:w="1388" w:type="dxa"/>
            <w:vAlign w:val="center"/>
          </w:tcPr>
          <w:p w14:paraId="70C83576">
            <w:pPr>
              <w:jc w:val="center"/>
              <w:rPr>
                <w:rFonts w:ascii="宋体" w:hAnsi="宋体"/>
                <w:b/>
                <w:bCs/>
                <w:color w:val="auto"/>
                <w:szCs w:val="21"/>
                <w:highlight w:val="none"/>
              </w:rPr>
            </w:pPr>
            <w:r>
              <w:rPr>
                <w:rFonts w:hint="eastAsia" w:ascii="宋体" w:hAnsi="宋体"/>
                <w:b/>
                <w:bCs/>
                <w:color w:val="auto"/>
                <w:szCs w:val="21"/>
                <w:highlight w:val="none"/>
              </w:rPr>
              <w:t>采购方式</w:t>
            </w:r>
          </w:p>
        </w:tc>
      </w:tr>
      <w:tr w14:paraId="6524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2323" w:type="dxa"/>
            <w:vAlign w:val="center"/>
          </w:tcPr>
          <w:p w14:paraId="5E3617B2">
            <w:pPr>
              <w:jc w:val="center"/>
              <w:rPr>
                <w:rFonts w:ascii="宋体" w:hAnsi="宋体"/>
                <w:color w:val="auto"/>
                <w:szCs w:val="21"/>
                <w:highlight w:val="none"/>
              </w:rPr>
            </w:pPr>
            <w:r>
              <w:rPr>
                <w:rFonts w:hint="eastAsia" w:ascii="宋体" w:hAnsi="宋体"/>
                <w:color w:val="auto"/>
                <w:szCs w:val="21"/>
                <w:highlight w:val="none"/>
              </w:rPr>
              <w:t>分析测试中心大型及贵重仪器共享平台建设-仪器租赁</w:t>
            </w:r>
          </w:p>
        </w:tc>
        <w:tc>
          <w:tcPr>
            <w:tcW w:w="2205" w:type="dxa"/>
            <w:vAlign w:val="center"/>
          </w:tcPr>
          <w:p w14:paraId="04ACF7E7">
            <w:pPr>
              <w:jc w:val="center"/>
              <w:rPr>
                <w:rFonts w:ascii="宋体" w:hAnsi="宋体"/>
                <w:color w:val="auto"/>
                <w:szCs w:val="21"/>
                <w:highlight w:val="none"/>
              </w:rPr>
            </w:pPr>
            <w:r>
              <w:rPr>
                <w:rFonts w:hint="eastAsia" w:ascii="宋体" w:hAnsi="宋体" w:cs="宋体"/>
                <w:color w:val="auto"/>
                <w:highlight w:val="none"/>
              </w:rPr>
              <w:t>748000.00</w:t>
            </w:r>
          </w:p>
        </w:tc>
        <w:tc>
          <w:tcPr>
            <w:tcW w:w="2655" w:type="dxa"/>
            <w:vAlign w:val="center"/>
          </w:tcPr>
          <w:p w14:paraId="3E40CC49">
            <w:pPr>
              <w:jc w:val="center"/>
              <w:rPr>
                <w:rFonts w:ascii="宋体" w:hAnsi="宋体"/>
                <w:color w:val="auto"/>
                <w:szCs w:val="21"/>
                <w:highlight w:val="none"/>
              </w:rPr>
            </w:pPr>
            <w:r>
              <w:rPr>
                <w:rFonts w:hint="eastAsia" w:ascii="宋体" w:hAnsi="宋体"/>
                <w:color w:val="auto"/>
                <w:szCs w:val="21"/>
                <w:highlight w:val="none"/>
              </w:rPr>
              <w:t>合同签订后30个工作日内完成租赁货物的供货、安装、调试、交付使用，并在合同生效后5年内提供租赁服务</w:t>
            </w:r>
          </w:p>
        </w:tc>
        <w:tc>
          <w:tcPr>
            <w:tcW w:w="1388" w:type="dxa"/>
            <w:vAlign w:val="center"/>
          </w:tcPr>
          <w:p w14:paraId="3826A01B">
            <w:pPr>
              <w:jc w:val="center"/>
              <w:rPr>
                <w:rFonts w:ascii="宋体" w:hAnsi="宋体"/>
                <w:color w:val="auto"/>
                <w:szCs w:val="21"/>
                <w:highlight w:val="none"/>
              </w:rPr>
            </w:pPr>
            <w:r>
              <w:rPr>
                <w:rFonts w:hint="eastAsia" w:ascii="宋体" w:hAnsi="宋体"/>
                <w:color w:val="auto"/>
                <w:szCs w:val="21"/>
                <w:highlight w:val="none"/>
              </w:rPr>
              <w:t>竞争性磋商</w:t>
            </w:r>
          </w:p>
        </w:tc>
      </w:tr>
    </w:tbl>
    <w:p w14:paraId="691E5A18">
      <w:pPr>
        <w:spacing w:before="156" w:beforeLines="50"/>
        <w:rPr>
          <w:bCs/>
          <w:color w:val="auto"/>
          <w:highlight w:val="none"/>
        </w:rPr>
      </w:pPr>
      <w:r>
        <w:rPr>
          <w:rFonts w:hint="eastAsia"/>
          <w:bCs/>
          <w:color w:val="auto"/>
          <w:szCs w:val="21"/>
          <w:highlight w:val="none"/>
          <w:lang w:val="zh-CN"/>
        </w:rPr>
        <w:t>注：</w:t>
      </w:r>
      <w:r>
        <w:rPr>
          <w:rFonts w:hint="eastAsia"/>
          <w:bCs/>
          <w:color w:val="auto"/>
          <w:highlight w:val="none"/>
        </w:rPr>
        <w:t xml:space="preserve">1、详细项目要求请查阅磋商文件第四部分《用户需求书》； </w:t>
      </w:r>
    </w:p>
    <w:p w14:paraId="37FB998B">
      <w:pPr>
        <w:spacing w:line="360" w:lineRule="auto"/>
        <w:ind w:firstLine="420" w:firstLineChars="200"/>
        <w:rPr>
          <w:b/>
          <w:bCs/>
          <w:color w:val="auto"/>
          <w:highlight w:val="none"/>
        </w:rPr>
      </w:pPr>
      <w:r>
        <w:rPr>
          <w:bCs/>
          <w:color w:val="auto"/>
          <w:highlight w:val="none"/>
        </w:rPr>
        <w:t>2</w:t>
      </w:r>
      <w:r>
        <w:rPr>
          <w:rFonts w:hint="eastAsia"/>
          <w:bCs/>
          <w:color w:val="auto"/>
          <w:highlight w:val="none"/>
        </w:rPr>
        <w:t>、响应供应商所报价格为项目整体包干价，以人民币结算，响应报价超过最高限价上限的视为无效响应。</w:t>
      </w:r>
    </w:p>
    <w:p w14:paraId="4FFEE1CD">
      <w:pPr>
        <w:spacing w:line="336" w:lineRule="auto"/>
        <w:ind w:firstLine="482"/>
        <w:rPr>
          <w:b/>
          <w:color w:val="auto"/>
          <w:highlight w:val="none"/>
        </w:rPr>
      </w:pPr>
      <w:r>
        <w:rPr>
          <w:rFonts w:hint="eastAsia" w:cs="宋体"/>
          <w:b/>
          <w:color w:val="auto"/>
          <w:sz w:val="24"/>
          <w:highlight w:val="none"/>
        </w:rPr>
        <w:t>三</w:t>
      </w:r>
      <w:r>
        <w:rPr>
          <w:rFonts w:ascii="宋体" w:hAnsi="宋体" w:cs="宋体"/>
          <w:b/>
          <w:color w:val="auto"/>
          <w:sz w:val="24"/>
          <w:highlight w:val="none"/>
        </w:rPr>
        <w:t>、</w:t>
      </w:r>
      <w:r>
        <w:rPr>
          <w:rFonts w:hint="eastAsia"/>
          <w:b/>
          <w:color w:val="auto"/>
          <w:highlight w:val="none"/>
        </w:rPr>
        <w:t>申请人的资格要求</w:t>
      </w:r>
    </w:p>
    <w:p w14:paraId="08A7DB22">
      <w:pPr>
        <w:spacing w:line="360" w:lineRule="auto"/>
        <w:rPr>
          <w:rFonts w:ascii="宋体" w:hAnsi="宋体"/>
          <w:b/>
          <w:bCs/>
          <w:color w:val="auto"/>
          <w:highlight w:val="none"/>
        </w:rPr>
      </w:pPr>
      <w:r>
        <w:rPr>
          <w:rFonts w:hint="eastAsia" w:ascii="宋体" w:hAnsi="宋体"/>
          <w:b/>
          <w:bCs/>
          <w:color w:val="auto"/>
          <w:highlight w:val="none"/>
        </w:rPr>
        <w:t>1、投标供应商应具备《政府采购法》第二十二条规定的条件，提供下列材料：</w:t>
      </w:r>
    </w:p>
    <w:p w14:paraId="25DC2680">
      <w:pPr>
        <w:spacing w:line="360" w:lineRule="auto"/>
        <w:ind w:firstLine="422"/>
        <w:rPr>
          <w:rFonts w:ascii="宋体" w:hAnsi="宋体"/>
          <w:color w:val="auto"/>
          <w:highlight w:val="none"/>
        </w:rPr>
      </w:pPr>
      <w:r>
        <w:rPr>
          <w:rFonts w:hint="eastAsia" w:ascii="宋体" w:hAnsi="宋体"/>
          <w:color w:val="auto"/>
          <w:highlight w:val="none"/>
        </w:rPr>
        <w:t>（1）具有独立承担民事责任的能力：在中华人民共和国境内注册的法人或其他组织或自然人，投标时提交有效的营业执照（或事业法人登记证或社会团体法人登记证或身份证等相关证明）复印件。分支机构投标的，须提供总公司和分公司营业执照副本复印件，总公司出具给分支机构的授权书。</w:t>
      </w:r>
    </w:p>
    <w:p w14:paraId="42CBD80D">
      <w:pPr>
        <w:spacing w:line="360" w:lineRule="auto"/>
        <w:ind w:firstLine="422"/>
        <w:rPr>
          <w:rFonts w:ascii="宋体" w:hAnsi="宋体"/>
          <w:color w:val="auto"/>
          <w:highlight w:val="none"/>
        </w:rPr>
      </w:pPr>
      <w:r>
        <w:rPr>
          <w:rFonts w:hint="eastAsia" w:ascii="宋体" w:hAnsi="宋体"/>
          <w:color w:val="auto"/>
          <w:highlight w:val="none"/>
        </w:rPr>
        <w:t>（2）具有良好的商业信誉和健全的财</w:t>
      </w:r>
      <w:r>
        <w:rPr>
          <w:rFonts w:hint="eastAsia" w:ascii="宋体" w:hAnsi="宋体" w:cs="宋体"/>
          <w:color w:val="auto"/>
          <w:highlight w:val="none"/>
        </w:rPr>
        <w:t>务会计制度：经第三方机构出具的2022年或2023年度财务审计报告，或2024年1月至今任意1个月的财务报表，或银行出具的资信证明材料复印件</w:t>
      </w:r>
      <w:r>
        <w:rPr>
          <w:rFonts w:hint="eastAsia" w:ascii="宋体" w:hAnsi="宋体"/>
          <w:color w:val="auto"/>
          <w:highlight w:val="none"/>
        </w:rPr>
        <w:t xml:space="preserve">。 </w:t>
      </w:r>
    </w:p>
    <w:p w14:paraId="5B9B5F71">
      <w:pPr>
        <w:spacing w:line="360" w:lineRule="auto"/>
        <w:ind w:firstLine="422"/>
        <w:rPr>
          <w:rFonts w:ascii="宋体" w:hAnsi="宋体"/>
          <w:color w:val="auto"/>
          <w:highlight w:val="none"/>
        </w:rPr>
      </w:pPr>
      <w:r>
        <w:rPr>
          <w:rFonts w:hint="eastAsia" w:ascii="宋体" w:hAnsi="宋体"/>
          <w:color w:val="auto"/>
          <w:highlight w:val="none"/>
        </w:rPr>
        <w:t>（3）履行合同所必须的设备和专业技术能力：</w:t>
      </w:r>
      <w:r>
        <w:rPr>
          <w:rFonts w:hint="eastAsia"/>
          <w:color w:val="auto"/>
          <w:szCs w:val="21"/>
          <w:highlight w:val="none"/>
        </w:rPr>
        <w:t>参照</w:t>
      </w:r>
      <w:r>
        <w:rPr>
          <w:rFonts w:hint="eastAsia" w:ascii="宋体" w:hAnsi="宋体"/>
          <w:color w:val="auto"/>
          <w:highlight w:val="none"/>
        </w:rPr>
        <w:t>《资格声明函》</w:t>
      </w:r>
      <w:r>
        <w:rPr>
          <w:rFonts w:hint="eastAsia"/>
          <w:color w:val="auto"/>
          <w:szCs w:val="21"/>
          <w:highlight w:val="none"/>
        </w:rPr>
        <w:t>相关承诺格式内容，进行相关申明。</w:t>
      </w:r>
    </w:p>
    <w:p w14:paraId="05EA0D99">
      <w:pPr>
        <w:spacing w:line="360" w:lineRule="auto"/>
        <w:ind w:firstLine="422"/>
        <w:rPr>
          <w:rFonts w:ascii="宋体" w:hAnsi="宋体"/>
          <w:color w:val="auto"/>
          <w:highlight w:val="none"/>
        </w:rPr>
      </w:pPr>
      <w:r>
        <w:rPr>
          <w:rFonts w:hint="eastAsia" w:ascii="宋体" w:hAnsi="宋体"/>
          <w:color w:val="auto"/>
          <w:highlight w:val="none"/>
        </w:rPr>
        <w:t>（4）有依法缴纳税收和社会保障资金的良好记</w:t>
      </w:r>
      <w:r>
        <w:rPr>
          <w:rFonts w:hint="eastAsia" w:ascii="宋体" w:hAnsi="宋体" w:cs="宋体"/>
          <w:color w:val="auto"/>
          <w:highlight w:val="none"/>
        </w:rPr>
        <w:t>录：提供2024年1月至今任意1个月依法缴纳税收证明及社会保障资金的缴纳记录相关证明材料</w:t>
      </w:r>
      <w:r>
        <w:rPr>
          <w:rFonts w:hint="eastAsia" w:ascii="宋体" w:hAnsi="宋体"/>
          <w:color w:val="auto"/>
          <w:highlight w:val="none"/>
        </w:rPr>
        <w:t>。如依法免税的，应提供相应文件证明其依法免税；如依法不需要缴纳社会保障资金的，应提供相应文件证明其依法不需要缴纳社会保障资金。</w:t>
      </w:r>
    </w:p>
    <w:p w14:paraId="07B82894">
      <w:pPr>
        <w:spacing w:line="360" w:lineRule="auto"/>
        <w:ind w:firstLine="422"/>
        <w:rPr>
          <w:rFonts w:ascii="宋体" w:hAnsi="宋体"/>
          <w:color w:val="auto"/>
          <w:highlight w:val="none"/>
        </w:rPr>
      </w:pPr>
      <w:r>
        <w:rPr>
          <w:rFonts w:hint="eastAsia" w:ascii="宋体" w:hAnsi="宋体"/>
          <w:color w:val="auto"/>
          <w:highlight w:val="none"/>
        </w:rPr>
        <w:t>（5）参加采购活动前3年内，在经营活动中没有重大违法记录：重大违法记录，是指供应商因违法经营受到刑事处罚或者责</w:t>
      </w:r>
      <w:r>
        <w:rPr>
          <w:rFonts w:hint="eastAsia" w:ascii="宋体" w:hAnsi="宋体" w:cs="宋体"/>
          <w:color w:val="auto"/>
          <w:highlight w:val="none"/>
        </w:rPr>
        <w:t>令停产停业、吊销许可证或者执照、较大数额罚款等行政处罚。（根据财库（2022）3号文，“较大数额罚款”认定为200万元以上的罚款，法律、行政法规以及国务院有关部门明确规定相关领域“较大数额罚款”标准高于200万</w:t>
      </w:r>
      <w:r>
        <w:rPr>
          <w:rFonts w:hint="eastAsia"/>
          <w:color w:val="auto"/>
          <w:highlight w:val="none"/>
        </w:rPr>
        <w:t>元的，从其规定。</w:t>
      </w:r>
      <w:r>
        <w:rPr>
          <w:rFonts w:hint="eastAsia" w:ascii="宋体" w:hAnsi="宋体"/>
          <w:color w:val="auto"/>
          <w:highlight w:val="none"/>
        </w:rPr>
        <w:t>）</w:t>
      </w:r>
      <w:r>
        <w:rPr>
          <w:rFonts w:hint="eastAsia"/>
          <w:color w:val="auto"/>
          <w:szCs w:val="21"/>
          <w:highlight w:val="none"/>
        </w:rPr>
        <w:t>参照</w:t>
      </w:r>
      <w:r>
        <w:rPr>
          <w:rFonts w:hint="eastAsia" w:ascii="宋体" w:hAnsi="宋体"/>
          <w:color w:val="auto"/>
          <w:highlight w:val="none"/>
        </w:rPr>
        <w:t>《资格声明函》</w:t>
      </w:r>
      <w:r>
        <w:rPr>
          <w:rFonts w:hint="eastAsia"/>
          <w:color w:val="auto"/>
          <w:szCs w:val="21"/>
          <w:highlight w:val="none"/>
        </w:rPr>
        <w:t>相关承诺格式内容，进行相关申明</w:t>
      </w:r>
      <w:r>
        <w:rPr>
          <w:rFonts w:hint="eastAsia" w:ascii="宋体" w:hAnsi="宋体"/>
          <w:color w:val="auto"/>
          <w:highlight w:val="none"/>
        </w:rPr>
        <w:t>。</w:t>
      </w:r>
    </w:p>
    <w:p w14:paraId="5B8A68CF">
      <w:pPr>
        <w:spacing w:line="360" w:lineRule="auto"/>
        <w:ind w:firstLine="422"/>
        <w:rPr>
          <w:rFonts w:ascii="宋体" w:hAnsi="宋体"/>
          <w:color w:val="auto"/>
          <w:highlight w:val="none"/>
        </w:rPr>
      </w:pPr>
      <w:r>
        <w:rPr>
          <w:rFonts w:hint="eastAsia" w:ascii="宋体" w:hAnsi="宋体"/>
          <w:color w:val="auto"/>
          <w:highlight w:val="none"/>
        </w:rPr>
        <w:t>（6）法律、行政法规规定的其他条件：</w:t>
      </w:r>
      <w:r>
        <w:rPr>
          <w:rFonts w:hint="eastAsia"/>
          <w:color w:val="auto"/>
          <w:szCs w:val="21"/>
          <w:highlight w:val="none"/>
        </w:rPr>
        <w:t>参照</w:t>
      </w:r>
      <w:r>
        <w:rPr>
          <w:rFonts w:hint="eastAsia" w:ascii="宋体" w:hAnsi="宋体"/>
          <w:color w:val="auto"/>
          <w:highlight w:val="none"/>
        </w:rPr>
        <w:t>《资格声明函》</w:t>
      </w:r>
      <w:r>
        <w:rPr>
          <w:rFonts w:hint="eastAsia"/>
          <w:color w:val="auto"/>
          <w:szCs w:val="21"/>
          <w:highlight w:val="none"/>
        </w:rPr>
        <w:t>相关承诺格式内容，进行相关申明。</w:t>
      </w:r>
    </w:p>
    <w:p w14:paraId="1A235B64">
      <w:pPr>
        <w:spacing w:line="360" w:lineRule="auto"/>
        <w:rPr>
          <w:rFonts w:ascii="宋体" w:hAnsi="宋体"/>
          <w:b/>
          <w:bCs/>
          <w:color w:val="auto"/>
          <w:highlight w:val="none"/>
        </w:rPr>
      </w:pPr>
      <w:r>
        <w:rPr>
          <w:rFonts w:hint="eastAsia" w:ascii="宋体" w:hAnsi="宋体"/>
          <w:b/>
          <w:bCs/>
          <w:color w:val="auto"/>
          <w:highlight w:val="none"/>
        </w:rPr>
        <w:t>2、落实政府采购政策需满足的资格要求：</w:t>
      </w:r>
    </w:p>
    <w:p w14:paraId="6178701E">
      <w:pPr>
        <w:widowControl/>
        <w:spacing w:line="360" w:lineRule="auto"/>
        <w:ind w:firstLine="420" w:firstLineChars="200"/>
        <w:jc w:val="left"/>
        <w:rPr>
          <w:rFonts w:ascii="宋体" w:hAnsi="宋体" w:cs="Futura-Heavy"/>
          <w:bCs/>
          <w:color w:val="auto"/>
          <w:szCs w:val="21"/>
          <w:highlight w:val="none"/>
          <w:shd w:val="clear" w:color="auto" w:fill="FFFFFF"/>
        </w:rPr>
      </w:pPr>
      <w:r>
        <w:rPr>
          <w:rFonts w:hint="eastAsia"/>
          <w:color w:val="auto"/>
          <w:highlight w:val="none"/>
        </w:rPr>
        <w:t>本项目不属于专门面向中小企业采购的项目</w:t>
      </w:r>
      <w:r>
        <w:rPr>
          <w:rFonts w:hint="eastAsia" w:ascii="宋体" w:hAnsi="宋体" w:cs="Futura-Heavy"/>
          <w:bCs/>
          <w:color w:val="auto"/>
          <w:szCs w:val="21"/>
          <w:highlight w:val="none"/>
          <w:shd w:val="clear" w:color="auto" w:fill="FFFFFF"/>
        </w:rPr>
        <w:t>。</w:t>
      </w:r>
    </w:p>
    <w:p w14:paraId="418B69D7">
      <w:pPr>
        <w:widowControl/>
        <w:spacing w:line="360" w:lineRule="auto"/>
        <w:jc w:val="left"/>
        <w:rPr>
          <w:rFonts w:ascii="宋体" w:hAnsi="宋体" w:cs="Futura-Heavy"/>
          <w:b/>
          <w:bCs/>
          <w:color w:val="auto"/>
          <w:szCs w:val="21"/>
          <w:highlight w:val="none"/>
          <w:shd w:val="clear" w:color="auto" w:fill="FFFFFF"/>
        </w:rPr>
      </w:pPr>
      <w:r>
        <w:rPr>
          <w:rFonts w:hint="eastAsia" w:ascii="宋体" w:hAnsi="宋体" w:cs="Futura-Heavy"/>
          <w:b/>
          <w:bCs/>
          <w:color w:val="auto"/>
          <w:szCs w:val="21"/>
          <w:highlight w:val="none"/>
          <w:shd w:val="clear" w:color="auto" w:fill="FFFFFF"/>
        </w:rPr>
        <w:t>3、本项目的特定资格要求：</w:t>
      </w:r>
    </w:p>
    <w:p w14:paraId="7B7ECFC3">
      <w:pPr>
        <w:widowControl/>
        <w:numPr>
          <w:ilvl w:val="0"/>
          <w:numId w:val="6"/>
        </w:numPr>
        <w:spacing w:line="360" w:lineRule="auto"/>
        <w:ind w:left="0" w:firstLine="422"/>
        <w:jc w:val="left"/>
        <w:rPr>
          <w:rFonts w:ascii="宋体" w:hAnsi="宋体"/>
          <w:color w:val="auto"/>
          <w:highlight w:val="none"/>
        </w:rPr>
      </w:pPr>
      <w:r>
        <w:rPr>
          <w:rFonts w:ascii="宋体" w:hAnsi="宋体"/>
          <w:color w:val="auto"/>
          <w:highlight w:val="none"/>
        </w:rPr>
        <w:t>单位负责人为同一人或者存在直接控股、管理关系的不同供应商，不得同时参加本采购项目（或采购包</w:t>
      </w:r>
      <w:r>
        <w:rPr>
          <w:rFonts w:hint="eastAsia" w:ascii="宋体" w:hAnsi="宋体"/>
          <w:color w:val="auto"/>
          <w:highlight w:val="none"/>
        </w:rPr>
        <w:t>）</w:t>
      </w:r>
      <w:r>
        <w:rPr>
          <w:rFonts w:ascii="宋体" w:hAnsi="宋体"/>
          <w:color w:val="auto"/>
          <w:highlight w:val="none"/>
        </w:rPr>
        <w:t>投标。为本项目提供整体设计、规范编制或者项目管理、监理、检测等服务的供应商，不得再参与本项目投标</w:t>
      </w:r>
      <w:r>
        <w:rPr>
          <w:rFonts w:hint="eastAsia" w:ascii="宋体" w:hAnsi="宋体"/>
          <w:color w:val="auto"/>
          <w:highlight w:val="none"/>
        </w:rPr>
        <w:t>；（</w:t>
      </w:r>
      <w:r>
        <w:rPr>
          <w:rFonts w:ascii="宋体" w:hAnsi="宋体"/>
          <w:color w:val="auto"/>
          <w:highlight w:val="none"/>
        </w:rPr>
        <w:t>提供《</w:t>
      </w:r>
      <w:r>
        <w:rPr>
          <w:rFonts w:hint="eastAsia" w:ascii="宋体" w:hAnsi="宋体"/>
          <w:color w:val="auto"/>
          <w:highlight w:val="none"/>
        </w:rPr>
        <w:t>资格声明函</w:t>
      </w:r>
      <w:r>
        <w:rPr>
          <w:rFonts w:ascii="宋体" w:hAnsi="宋体"/>
          <w:color w:val="auto"/>
          <w:highlight w:val="none"/>
        </w:rPr>
        <w:t>》</w:t>
      </w:r>
      <w:r>
        <w:rPr>
          <w:rFonts w:hint="eastAsia"/>
          <w:color w:val="auto"/>
          <w:szCs w:val="21"/>
          <w:highlight w:val="none"/>
        </w:rPr>
        <w:t>进行相关申明</w:t>
      </w:r>
      <w:r>
        <w:rPr>
          <w:rFonts w:hint="eastAsia" w:ascii="宋体" w:hAnsi="宋体"/>
          <w:color w:val="auto"/>
          <w:highlight w:val="none"/>
        </w:rPr>
        <w:t>）</w:t>
      </w:r>
    </w:p>
    <w:p w14:paraId="1FAC3ECE">
      <w:pPr>
        <w:widowControl/>
        <w:numPr>
          <w:ilvl w:val="0"/>
          <w:numId w:val="6"/>
        </w:numPr>
        <w:spacing w:line="360" w:lineRule="auto"/>
        <w:ind w:left="0" w:firstLine="422"/>
        <w:jc w:val="left"/>
        <w:rPr>
          <w:rFonts w:ascii="宋体" w:hAnsi="宋体"/>
          <w:color w:val="auto"/>
          <w:highlight w:val="none"/>
        </w:rPr>
      </w:pPr>
      <w:r>
        <w:rPr>
          <w:rFonts w:ascii="宋体" w:hAnsi="宋体"/>
          <w:color w:val="auto"/>
          <w:highlight w:val="none"/>
        </w:rPr>
        <w:t>供应商未被列入“信用中国”网站</w:t>
      </w:r>
      <w:r>
        <w:rPr>
          <w:rFonts w:hint="eastAsia" w:ascii="宋体" w:hAnsi="宋体"/>
          <w:color w:val="auto"/>
          <w:highlight w:val="none"/>
        </w:rPr>
        <w:t>（</w:t>
      </w:r>
      <w:r>
        <w:rPr>
          <w:rFonts w:ascii="宋体" w:hAnsi="宋体"/>
          <w:color w:val="auto"/>
          <w:highlight w:val="none"/>
        </w:rPr>
        <w:t>www.creditchina.gov.cn</w:t>
      </w:r>
      <w:r>
        <w:rPr>
          <w:rFonts w:hint="eastAsia" w:ascii="宋体" w:hAnsi="宋体"/>
          <w:color w:val="auto"/>
          <w:highlight w:val="none"/>
        </w:rPr>
        <w:t>）</w:t>
      </w:r>
      <w:r>
        <w:rPr>
          <w:rFonts w:ascii="宋体" w:hAnsi="宋体"/>
          <w:color w:val="auto"/>
          <w:highlight w:val="none"/>
        </w:rPr>
        <w:t>以下任意名单之一：</w:t>
      </w:r>
      <w:r>
        <w:rPr>
          <w:rFonts w:hint="eastAsia" w:ascii="宋体" w:hAnsi="宋体"/>
          <w:color w:val="auto"/>
          <w:highlight w:val="none"/>
        </w:rPr>
        <w:t>“失信被执行人”或“政府采购严重违法失信行为记录名单”或“重大税收违法失信主体”</w:t>
      </w:r>
      <w:r>
        <w:rPr>
          <w:rFonts w:ascii="宋体" w:hAnsi="宋体"/>
          <w:color w:val="auto"/>
          <w:highlight w:val="none"/>
        </w:rPr>
        <w:t>。</w:t>
      </w:r>
      <w:r>
        <w:rPr>
          <w:rFonts w:hint="eastAsia" w:ascii="宋体" w:hAnsi="宋体"/>
          <w:color w:val="auto"/>
          <w:highlight w:val="none"/>
        </w:rPr>
        <w:t>同时，不处于中国政府采购网（</w:t>
      </w:r>
      <w:r>
        <w:rPr>
          <w:rFonts w:ascii="宋体" w:hAnsi="宋体"/>
          <w:color w:val="auto"/>
          <w:highlight w:val="none"/>
        </w:rPr>
        <w:t>www.ccgp.gov.cn</w:t>
      </w:r>
      <w:r>
        <w:rPr>
          <w:rFonts w:hint="eastAsia" w:ascii="宋体" w:hAnsi="宋体"/>
          <w:color w:val="auto"/>
          <w:highlight w:val="none"/>
        </w:rPr>
        <w:t>）</w:t>
      </w:r>
      <w:r>
        <w:rPr>
          <w:rFonts w:ascii="宋体" w:hAnsi="宋体"/>
          <w:color w:val="auto"/>
          <w:highlight w:val="none"/>
        </w:rPr>
        <w:t>“政府采购严重违法失信行为信息记录”中的禁止参加政府采购活动期间。（以采购代理机构于评审当天在上述网站查询结果为准，如在上述网站查询结果均显示没有相关记录，视为没有上述不良信用记录</w:t>
      </w:r>
      <w:r>
        <w:rPr>
          <w:rFonts w:hint="eastAsia" w:ascii="宋体" w:hAnsi="宋体"/>
          <w:color w:val="auto"/>
          <w:highlight w:val="none"/>
        </w:rPr>
        <w:t>，</w:t>
      </w:r>
      <w:r>
        <w:rPr>
          <w:rFonts w:ascii="宋体" w:hAnsi="宋体"/>
          <w:color w:val="auto"/>
          <w:highlight w:val="none"/>
        </w:rPr>
        <w:t>同时对信用信息查询记录和证据截图存档</w:t>
      </w:r>
      <w:r>
        <w:rPr>
          <w:rFonts w:hint="eastAsia"/>
          <w:color w:val="auto"/>
          <w:szCs w:val="21"/>
          <w:highlight w:val="none"/>
        </w:rPr>
        <w:t>；</w:t>
      </w:r>
      <w:r>
        <w:rPr>
          <w:rFonts w:ascii="宋体" w:hAnsi="宋体"/>
          <w:color w:val="auto"/>
          <w:highlight w:val="none"/>
        </w:rPr>
        <w:t>如相关失信记录已失效，供应商须提供相关证明资料</w:t>
      </w:r>
      <w:r>
        <w:rPr>
          <w:rFonts w:hint="eastAsia" w:ascii="宋体" w:hAnsi="宋体"/>
          <w:color w:val="auto"/>
          <w:highlight w:val="none"/>
        </w:rPr>
        <w:t>）</w:t>
      </w:r>
      <w:r>
        <w:rPr>
          <w:rFonts w:ascii="宋体" w:hAnsi="宋体"/>
          <w:color w:val="auto"/>
          <w:highlight w:val="none"/>
        </w:rPr>
        <w:t>。</w:t>
      </w:r>
    </w:p>
    <w:p w14:paraId="1E9B0906">
      <w:pPr>
        <w:spacing w:line="360" w:lineRule="auto"/>
        <w:ind w:left="420" w:leftChars="200"/>
        <w:rPr>
          <w:rFonts w:eastAsia="仿宋"/>
          <w:color w:val="auto"/>
          <w:highlight w:val="none"/>
        </w:rPr>
      </w:pPr>
      <w:r>
        <w:rPr>
          <w:rFonts w:hint="eastAsia"/>
          <w:color w:val="auto"/>
          <w:highlight w:val="none"/>
        </w:rPr>
        <w:t>（3）本项目不接受联合体投标。</w:t>
      </w:r>
    </w:p>
    <w:p w14:paraId="73302BFC">
      <w:pPr>
        <w:spacing w:line="336" w:lineRule="auto"/>
        <w:ind w:firstLine="482"/>
        <w:rPr>
          <w:b/>
          <w:color w:val="auto"/>
          <w:highlight w:val="none"/>
        </w:rPr>
      </w:pPr>
      <w:r>
        <w:rPr>
          <w:rFonts w:hint="eastAsia" w:cs="宋体"/>
          <w:b/>
          <w:color w:val="auto"/>
          <w:sz w:val="24"/>
          <w:highlight w:val="none"/>
        </w:rPr>
        <w:t>四</w:t>
      </w:r>
      <w:r>
        <w:rPr>
          <w:rFonts w:ascii="宋体" w:hAnsi="宋体" w:cs="宋体"/>
          <w:b/>
          <w:color w:val="auto"/>
          <w:sz w:val="24"/>
          <w:highlight w:val="none"/>
        </w:rPr>
        <w:t>、</w:t>
      </w:r>
      <w:r>
        <w:rPr>
          <w:rFonts w:hint="eastAsia"/>
          <w:b/>
          <w:color w:val="auto"/>
          <w:highlight w:val="none"/>
        </w:rPr>
        <w:t>获取采购文件</w:t>
      </w:r>
    </w:p>
    <w:p w14:paraId="5510F886">
      <w:pPr>
        <w:spacing w:line="360" w:lineRule="auto"/>
        <w:ind w:firstLine="428" w:firstLineChars="200"/>
        <w:rPr>
          <w:color w:val="auto"/>
          <w:spacing w:val="2"/>
          <w:szCs w:val="21"/>
          <w:highlight w:val="none"/>
        </w:rPr>
      </w:pPr>
      <w:r>
        <w:rPr>
          <w:rFonts w:hint="eastAsia"/>
          <w:color w:val="auto"/>
          <w:spacing w:val="2"/>
          <w:szCs w:val="21"/>
          <w:highlight w:val="none"/>
        </w:rPr>
        <w:t>符合以上资格条件的供应商，以投标登记方式确认其投标资格，于2024年</w:t>
      </w:r>
      <w:r>
        <w:rPr>
          <w:rFonts w:hint="eastAsia"/>
          <w:color w:val="auto"/>
          <w:spacing w:val="2"/>
          <w:szCs w:val="21"/>
          <w:highlight w:val="none"/>
          <w:u w:val="single"/>
        </w:rPr>
        <w:t xml:space="preserve"> </w:t>
      </w:r>
      <w:r>
        <w:rPr>
          <w:rFonts w:hint="eastAsia"/>
          <w:color w:val="auto"/>
          <w:spacing w:val="2"/>
          <w:szCs w:val="21"/>
          <w:highlight w:val="none"/>
          <w:u w:val="single"/>
          <w:lang w:val="en-US" w:eastAsia="zh-CN"/>
        </w:rPr>
        <w:t>8</w:t>
      </w:r>
      <w:r>
        <w:rPr>
          <w:rFonts w:hint="eastAsia"/>
          <w:color w:val="auto"/>
          <w:spacing w:val="2"/>
          <w:szCs w:val="21"/>
          <w:highlight w:val="none"/>
          <w:u w:val="single"/>
        </w:rPr>
        <w:t xml:space="preserve"> </w:t>
      </w:r>
      <w:r>
        <w:rPr>
          <w:rFonts w:hint="eastAsia"/>
          <w:color w:val="auto"/>
          <w:spacing w:val="2"/>
          <w:szCs w:val="21"/>
          <w:highlight w:val="none"/>
        </w:rPr>
        <w:t>月</w:t>
      </w:r>
      <w:r>
        <w:rPr>
          <w:rFonts w:hint="eastAsia"/>
          <w:color w:val="auto"/>
          <w:spacing w:val="2"/>
          <w:szCs w:val="21"/>
          <w:highlight w:val="none"/>
          <w:u w:val="single"/>
        </w:rPr>
        <w:t xml:space="preserve"> </w:t>
      </w:r>
      <w:r>
        <w:rPr>
          <w:rFonts w:hint="eastAsia"/>
          <w:color w:val="auto"/>
          <w:spacing w:val="2"/>
          <w:szCs w:val="21"/>
          <w:highlight w:val="none"/>
          <w:u w:val="single"/>
          <w:lang w:val="en-US" w:eastAsia="zh-CN"/>
        </w:rPr>
        <w:t>28</w:t>
      </w:r>
      <w:r>
        <w:rPr>
          <w:rFonts w:hint="eastAsia"/>
          <w:color w:val="auto"/>
          <w:spacing w:val="2"/>
          <w:szCs w:val="21"/>
          <w:highlight w:val="none"/>
          <w:u w:val="single"/>
        </w:rPr>
        <w:t xml:space="preserve"> </w:t>
      </w:r>
      <w:r>
        <w:rPr>
          <w:rFonts w:hint="eastAsia"/>
          <w:color w:val="auto"/>
          <w:spacing w:val="2"/>
          <w:szCs w:val="21"/>
          <w:highlight w:val="none"/>
        </w:rPr>
        <w:t>日至2024年</w:t>
      </w:r>
      <w:r>
        <w:rPr>
          <w:rFonts w:hint="eastAsia"/>
          <w:color w:val="auto"/>
          <w:spacing w:val="2"/>
          <w:szCs w:val="21"/>
          <w:highlight w:val="none"/>
          <w:u w:val="single"/>
        </w:rPr>
        <w:t xml:space="preserve"> </w:t>
      </w:r>
      <w:r>
        <w:rPr>
          <w:rFonts w:hint="eastAsia"/>
          <w:color w:val="auto"/>
          <w:spacing w:val="2"/>
          <w:szCs w:val="21"/>
          <w:highlight w:val="none"/>
          <w:u w:val="single"/>
          <w:lang w:val="en-US" w:eastAsia="zh-CN"/>
        </w:rPr>
        <w:t>9</w:t>
      </w:r>
      <w:r>
        <w:rPr>
          <w:rFonts w:hint="eastAsia"/>
          <w:color w:val="auto"/>
          <w:spacing w:val="2"/>
          <w:szCs w:val="21"/>
          <w:highlight w:val="none"/>
          <w:u w:val="single"/>
        </w:rPr>
        <w:t xml:space="preserve"> </w:t>
      </w:r>
      <w:r>
        <w:rPr>
          <w:rFonts w:hint="eastAsia"/>
          <w:color w:val="auto"/>
          <w:spacing w:val="2"/>
          <w:szCs w:val="21"/>
          <w:highlight w:val="none"/>
        </w:rPr>
        <w:t>月</w:t>
      </w:r>
      <w:r>
        <w:rPr>
          <w:rFonts w:hint="eastAsia"/>
          <w:color w:val="auto"/>
          <w:spacing w:val="2"/>
          <w:szCs w:val="21"/>
          <w:highlight w:val="none"/>
          <w:u w:val="single"/>
        </w:rPr>
        <w:t xml:space="preserve"> </w:t>
      </w:r>
      <w:r>
        <w:rPr>
          <w:rFonts w:hint="eastAsia"/>
          <w:color w:val="auto"/>
          <w:spacing w:val="2"/>
          <w:szCs w:val="21"/>
          <w:highlight w:val="none"/>
          <w:u w:val="single"/>
          <w:lang w:val="en-US" w:eastAsia="zh-CN"/>
        </w:rPr>
        <w:t>6</w:t>
      </w:r>
      <w:r>
        <w:rPr>
          <w:rFonts w:hint="eastAsia"/>
          <w:color w:val="auto"/>
          <w:spacing w:val="2"/>
          <w:szCs w:val="21"/>
          <w:highlight w:val="none"/>
          <w:u w:val="single"/>
        </w:rPr>
        <w:t xml:space="preserve"> </w:t>
      </w:r>
      <w:r>
        <w:rPr>
          <w:rFonts w:hint="eastAsia"/>
          <w:color w:val="auto"/>
          <w:spacing w:val="2"/>
          <w:szCs w:val="21"/>
          <w:highlight w:val="none"/>
        </w:rPr>
        <w:t>日，每日上午08:30至12:00，下午1</w:t>
      </w:r>
      <w:r>
        <w:rPr>
          <w:color w:val="auto"/>
          <w:spacing w:val="2"/>
          <w:szCs w:val="21"/>
          <w:highlight w:val="none"/>
        </w:rPr>
        <w:t>4</w:t>
      </w:r>
      <w:r>
        <w:rPr>
          <w:rFonts w:hint="eastAsia"/>
          <w:color w:val="auto"/>
          <w:spacing w:val="2"/>
          <w:szCs w:val="21"/>
          <w:highlight w:val="none"/>
        </w:rPr>
        <w:t>:30至</w:t>
      </w:r>
      <w:r>
        <w:rPr>
          <w:color w:val="auto"/>
          <w:spacing w:val="2"/>
          <w:szCs w:val="21"/>
          <w:highlight w:val="none"/>
        </w:rPr>
        <w:t>17</w:t>
      </w:r>
      <w:r>
        <w:rPr>
          <w:rFonts w:hint="eastAsia"/>
          <w:color w:val="auto"/>
          <w:spacing w:val="2"/>
          <w:szCs w:val="21"/>
          <w:highlight w:val="none"/>
        </w:rPr>
        <w:t>:3</w:t>
      </w:r>
      <w:r>
        <w:rPr>
          <w:color w:val="auto"/>
          <w:spacing w:val="2"/>
          <w:szCs w:val="21"/>
          <w:highlight w:val="none"/>
        </w:rPr>
        <w:t>0</w:t>
      </w:r>
      <w:r>
        <w:rPr>
          <w:rFonts w:hint="eastAsia"/>
          <w:color w:val="auto"/>
          <w:spacing w:val="2"/>
          <w:szCs w:val="21"/>
          <w:highlight w:val="none"/>
        </w:rPr>
        <w:t>（北京时间，法定节假日除外）</w:t>
      </w:r>
    </w:p>
    <w:p w14:paraId="1017F55B">
      <w:pPr>
        <w:spacing w:line="360" w:lineRule="auto"/>
        <w:ind w:firstLine="428" w:firstLineChars="200"/>
        <w:rPr>
          <w:color w:val="auto"/>
          <w:spacing w:val="2"/>
          <w:szCs w:val="21"/>
          <w:highlight w:val="none"/>
        </w:rPr>
      </w:pPr>
      <w:r>
        <w:rPr>
          <w:rFonts w:hint="eastAsia"/>
          <w:color w:val="auto"/>
          <w:spacing w:val="2"/>
          <w:szCs w:val="21"/>
          <w:highlight w:val="none"/>
        </w:rPr>
        <w:t>获取地点：诚E招电子采购交易平台（https</w:t>
      </w:r>
      <w:r>
        <w:rPr>
          <w:rFonts w:hint="eastAsia"/>
          <w:color w:val="auto"/>
          <w:spacing w:val="2"/>
          <w:szCs w:val="21"/>
          <w:highlight w:val="none"/>
          <w:lang w:val="en-US" w:eastAsia="zh-CN"/>
        </w:rPr>
        <w:t>:</w:t>
      </w:r>
      <w:r>
        <w:rPr>
          <w:rFonts w:hint="eastAsia"/>
          <w:color w:val="auto"/>
          <w:spacing w:val="2"/>
          <w:szCs w:val="21"/>
          <w:highlight w:val="none"/>
        </w:rPr>
        <w:t>//www.chengezhao.com/）</w:t>
      </w:r>
    </w:p>
    <w:p w14:paraId="635319A8">
      <w:pPr>
        <w:spacing w:line="360" w:lineRule="auto"/>
        <w:ind w:firstLine="428" w:firstLineChars="200"/>
        <w:rPr>
          <w:color w:val="auto"/>
          <w:spacing w:val="2"/>
          <w:szCs w:val="21"/>
          <w:highlight w:val="none"/>
        </w:rPr>
      </w:pPr>
      <w:r>
        <w:rPr>
          <w:rFonts w:hint="eastAsia"/>
          <w:color w:val="auto"/>
          <w:spacing w:val="2"/>
          <w:szCs w:val="21"/>
          <w:highlight w:val="none"/>
        </w:rPr>
        <w:t>供应商须于采购项目公告规定的时间内，通过“诚E招电子采购交易平台”（网址https：//www.chengezhao.com/）完成本项目的登记、文件的购买与下载。供应商输入网址，点击【新用户注册】（“注册”方式详见【诚E招电子采购交易平台-帮助中心-操作指南-注册指引】；供应商在注册成功后登录，点击【商机发现】，检索本项目购买下载文件，操作手册详见【常用文件-《响应供应商&amp;供应商操作手册》】。具体操作若有疑问，可致电客服热线：020-89524219，8：30-17：30（工作日）。支付完成后请及时下载采购文件</w:t>
      </w:r>
      <w:r>
        <w:rPr>
          <w:color w:val="auto"/>
          <w:spacing w:val="2"/>
          <w:szCs w:val="21"/>
          <w:highlight w:val="none"/>
        </w:rPr>
        <w:t>，登录平台，点击【商机发现】，通过项目名称或项目编号检索本项目后在线获取采购文件；供应商在网上成功获取采购文件后，可无需现场获取采购文件</w:t>
      </w:r>
      <w:r>
        <w:rPr>
          <w:rFonts w:hint="eastAsia"/>
          <w:color w:val="auto"/>
          <w:spacing w:val="2"/>
          <w:szCs w:val="21"/>
          <w:highlight w:val="none"/>
        </w:rPr>
        <w:t>。</w:t>
      </w:r>
    </w:p>
    <w:p w14:paraId="0F8F392F">
      <w:pPr>
        <w:spacing w:line="360" w:lineRule="auto"/>
        <w:ind w:firstLine="428" w:firstLineChars="200"/>
        <w:rPr>
          <w:color w:val="auto"/>
          <w:spacing w:val="2"/>
          <w:szCs w:val="21"/>
          <w:highlight w:val="none"/>
        </w:rPr>
      </w:pPr>
      <w:r>
        <w:rPr>
          <w:rFonts w:hint="eastAsia"/>
          <w:color w:val="auto"/>
          <w:spacing w:val="2"/>
          <w:szCs w:val="21"/>
          <w:highlight w:val="none"/>
        </w:rPr>
        <w:t>售价：￥300.00 元（人民币）</w:t>
      </w:r>
    </w:p>
    <w:p w14:paraId="3054F2B2">
      <w:pPr>
        <w:spacing w:line="336" w:lineRule="auto"/>
        <w:rPr>
          <w:rFonts w:ascii="宋体" w:hAnsi="宋体" w:cs="宋体"/>
          <w:b/>
          <w:color w:val="auto"/>
          <w:highlight w:val="none"/>
        </w:rPr>
      </w:pPr>
      <w:r>
        <w:rPr>
          <w:rFonts w:hint="eastAsia" w:ascii="宋体" w:hAnsi="宋体" w:cs="宋体"/>
          <w:b/>
          <w:color w:val="auto"/>
          <w:highlight w:val="none"/>
        </w:rPr>
        <w:t>五、提交响应文件截止开标时间和地点</w:t>
      </w:r>
    </w:p>
    <w:p w14:paraId="16D6A4C0">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1、签到及递交响应文件时间：2024年</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9</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10</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w:t>
      </w:r>
      <w:r>
        <w:rPr>
          <w:rFonts w:hint="eastAsia" w:ascii="宋体" w:hAnsi="宋体" w:cs="宋体"/>
          <w:b/>
          <w:bCs/>
          <w:color w:val="auto"/>
          <w:highlight w:val="none"/>
          <w:u w:val="single"/>
        </w:rPr>
        <w:t xml:space="preserve"> 15 </w:t>
      </w:r>
      <w:r>
        <w:rPr>
          <w:rFonts w:hint="eastAsia" w:ascii="宋体" w:hAnsi="宋体" w:cs="宋体"/>
          <w:b/>
          <w:bCs/>
          <w:color w:val="auto"/>
          <w:highlight w:val="none"/>
        </w:rPr>
        <w:t>时</w:t>
      </w:r>
      <w:r>
        <w:rPr>
          <w:rFonts w:hint="eastAsia" w:ascii="宋体" w:hAnsi="宋体" w:cs="宋体"/>
          <w:b/>
          <w:bCs/>
          <w:color w:val="auto"/>
          <w:highlight w:val="none"/>
          <w:u w:val="single"/>
        </w:rPr>
        <w:t xml:space="preserve"> 00 </w:t>
      </w:r>
      <w:r>
        <w:rPr>
          <w:rFonts w:hint="eastAsia" w:ascii="宋体" w:hAnsi="宋体" w:cs="宋体"/>
          <w:b/>
          <w:bCs/>
          <w:color w:val="auto"/>
          <w:highlight w:val="none"/>
        </w:rPr>
        <w:t>分起至2024年</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9</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10</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w:t>
      </w:r>
      <w:r>
        <w:rPr>
          <w:rFonts w:hint="eastAsia" w:ascii="宋体" w:hAnsi="宋体" w:cs="宋体"/>
          <w:b/>
          <w:bCs/>
          <w:color w:val="auto"/>
          <w:highlight w:val="none"/>
          <w:u w:val="single"/>
        </w:rPr>
        <w:t xml:space="preserve"> 15 </w:t>
      </w:r>
      <w:r>
        <w:rPr>
          <w:rFonts w:hint="eastAsia" w:ascii="宋体" w:hAnsi="宋体" w:cs="宋体"/>
          <w:b/>
          <w:bCs/>
          <w:color w:val="auto"/>
          <w:highlight w:val="none"/>
        </w:rPr>
        <w:t>时</w:t>
      </w:r>
      <w:r>
        <w:rPr>
          <w:rFonts w:hint="eastAsia" w:ascii="宋体" w:hAnsi="宋体" w:cs="宋体"/>
          <w:b/>
          <w:bCs/>
          <w:color w:val="auto"/>
          <w:highlight w:val="none"/>
          <w:u w:val="single"/>
        </w:rPr>
        <w:t xml:space="preserve"> 30 </w:t>
      </w:r>
      <w:r>
        <w:rPr>
          <w:rFonts w:hint="eastAsia" w:ascii="宋体" w:hAnsi="宋体" w:cs="宋体"/>
          <w:b/>
          <w:bCs/>
          <w:color w:val="auto"/>
          <w:highlight w:val="none"/>
        </w:rPr>
        <w:t>分止（北京时间）；</w:t>
      </w:r>
    </w:p>
    <w:p w14:paraId="6586637E">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2、递交响应文件截止时间：2024年</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9</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10</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w:t>
      </w:r>
      <w:r>
        <w:rPr>
          <w:rFonts w:hint="eastAsia" w:ascii="宋体" w:hAnsi="宋体" w:cs="宋体"/>
          <w:b/>
          <w:bCs/>
          <w:color w:val="auto"/>
          <w:highlight w:val="none"/>
          <w:u w:val="single"/>
        </w:rPr>
        <w:t xml:space="preserve"> 15 </w:t>
      </w:r>
      <w:r>
        <w:rPr>
          <w:rFonts w:hint="eastAsia" w:ascii="宋体" w:hAnsi="宋体" w:cs="宋体"/>
          <w:b/>
          <w:bCs/>
          <w:color w:val="auto"/>
          <w:highlight w:val="none"/>
        </w:rPr>
        <w:t>时</w:t>
      </w:r>
      <w:r>
        <w:rPr>
          <w:rFonts w:hint="eastAsia" w:ascii="宋体" w:hAnsi="宋体" w:cs="宋体"/>
          <w:b/>
          <w:bCs/>
          <w:color w:val="auto"/>
          <w:highlight w:val="none"/>
          <w:u w:val="single"/>
        </w:rPr>
        <w:t xml:space="preserve"> 30 </w:t>
      </w:r>
      <w:r>
        <w:rPr>
          <w:rFonts w:hint="eastAsia" w:ascii="宋体" w:hAnsi="宋体" w:cs="宋体"/>
          <w:b/>
          <w:bCs/>
          <w:color w:val="auto"/>
          <w:highlight w:val="none"/>
        </w:rPr>
        <w:t>分（北京时间）；</w:t>
      </w:r>
    </w:p>
    <w:p w14:paraId="31EE48A3">
      <w:pPr>
        <w:spacing w:line="360" w:lineRule="auto"/>
        <w:ind w:firstLine="420" w:firstLineChars="200"/>
        <w:rPr>
          <w:color w:val="auto"/>
          <w:highlight w:val="none"/>
        </w:rPr>
      </w:pPr>
      <w:r>
        <w:rPr>
          <w:rFonts w:hint="eastAsia"/>
          <w:color w:val="auto"/>
          <w:highlight w:val="none"/>
        </w:rPr>
        <w:t>3、递交地点：广东省湛江市霞山区人民大道中24号剑麻大厦12层会议室；</w:t>
      </w:r>
    </w:p>
    <w:p w14:paraId="0280ADF3">
      <w:pPr>
        <w:spacing w:line="360" w:lineRule="auto"/>
        <w:ind w:firstLine="420" w:firstLineChars="200"/>
        <w:rPr>
          <w:color w:val="auto"/>
          <w:highlight w:val="none"/>
        </w:rPr>
      </w:pPr>
      <w:r>
        <w:rPr>
          <w:rFonts w:hint="eastAsia"/>
          <w:color w:val="auto"/>
          <w:highlight w:val="none"/>
        </w:rPr>
        <w:t>4、逾期递交或者未按时送达指定地点的响应文件不予接受；</w:t>
      </w:r>
    </w:p>
    <w:p w14:paraId="0D5ED977">
      <w:pPr>
        <w:spacing w:line="336" w:lineRule="auto"/>
        <w:ind w:left="630" w:leftChars="200" w:hanging="210" w:hangingChars="100"/>
        <w:rPr>
          <w:color w:val="auto"/>
          <w:highlight w:val="none"/>
        </w:rPr>
      </w:pPr>
      <w:r>
        <w:rPr>
          <w:rFonts w:hint="eastAsia"/>
          <w:bCs/>
          <w:color w:val="auto"/>
          <w:highlight w:val="none"/>
        </w:rPr>
        <w:t>5、响应文件开启</w:t>
      </w:r>
      <w:r>
        <w:rPr>
          <w:rFonts w:hint="eastAsia"/>
          <w:color w:val="auto"/>
          <w:kern w:val="28"/>
          <w:highlight w:val="none"/>
        </w:rPr>
        <w:t>时间：2024年</w:t>
      </w:r>
      <w:r>
        <w:rPr>
          <w:rFonts w:hint="eastAsia"/>
          <w:color w:val="auto"/>
          <w:kern w:val="28"/>
          <w:highlight w:val="none"/>
          <w:u w:val="single"/>
        </w:rPr>
        <w:t xml:space="preserve"> </w:t>
      </w:r>
      <w:r>
        <w:rPr>
          <w:rFonts w:hint="eastAsia"/>
          <w:color w:val="auto"/>
          <w:kern w:val="28"/>
          <w:highlight w:val="none"/>
          <w:u w:val="single"/>
          <w:lang w:val="en-US" w:eastAsia="zh-CN"/>
        </w:rPr>
        <w:t>9</w:t>
      </w:r>
      <w:r>
        <w:rPr>
          <w:rFonts w:hint="eastAsia"/>
          <w:color w:val="auto"/>
          <w:kern w:val="28"/>
          <w:highlight w:val="none"/>
          <w:u w:val="single"/>
        </w:rPr>
        <w:t xml:space="preserve"> </w:t>
      </w:r>
      <w:r>
        <w:rPr>
          <w:rFonts w:hint="eastAsia"/>
          <w:color w:val="auto"/>
          <w:kern w:val="28"/>
          <w:highlight w:val="none"/>
        </w:rPr>
        <w:t>月</w:t>
      </w:r>
      <w:r>
        <w:rPr>
          <w:rFonts w:hint="eastAsia"/>
          <w:color w:val="auto"/>
          <w:kern w:val="28"/>
          <w:highlight w:val="none"/>
          <w:u w:val="single"/>
        </w:rPr>
        <w:t xml:space="preserve"> </w:t>
      </w:r>
      <w:r>
        <w:rPr>
          <w:rFonts w:hint="eastAsia"/>
          <w:color w:val="auto"/>
          <w:kern w:val="28"/>
          <w:highlight w:val="none"/>
          <w:u w:val="single"/>
          <w:lang w:val="en-US" w:eastAsia="zh-CN"/>
        </w:rPr>
        <w:t>10</w:t>
      </w:r>
      <w:r>
        <w:rPr>
          <w:rFonts w:hint="eastAsia"/>
          <w:color w:val="auto"/>
          <w:kern w:val="28"/>
          <w:highlight w:val="none"/>
          <w:u w:val="single"/>
        </w:rPr>
        <w:t xml:space="preserve"> </w:t>
      </w:r>
      <w:r>
        <w:rPr>
          <w:rFonts w:hint="eastAsia"/>
          <w:color w:val="auto"/>
          <w:kern w:val="28"/>
          <w:highlight w:val="none"/>
        </w:rPr>
        <w:t>日</w:t>
      </w:r>
      <w:r>
        <w:rPr>
          <w:rFonts w:hint="eastAsia"/>
          <w:color w:val="auto"/>
          <w:highlight w:val="none"/>
          <w:u w:val="single"/>
        </w:rPr>
        <w:t xml:space="preserve"> 15 </w:t>
      </w:r>
      <w:r>
        <w:rPr>
          <w:rFonts w:hint="eastAsia"/>
          <w:color w:val="auto"/>
          <w:highlight w:val="none"/>
        </w:rPr>
        <w:t>时</w:t>
      </w:r>
      <w:r>
        <w:rPr>
          <w:rFonts w:hint="eastAsia"/>
          <w:color w:val="auto"/>
          <w:highlight w:val="none"/>
          <w:u w:val="single"/>
        </w:rPr>
        <w:t xml:space="preserve"> 30 </w:t>
      </w:r>
      <w:r>
        <w:rPr>
          <w:rFonts w:hint="eastAsia"/>
          <w:color w:val="auto"/>
          <w:highlight w:val="none"/>
        </w:rPr>
        <w:t>分</w:t>
      </w:r>
      <w:r>
        <w:rPr>
          <w:color w:val="auto"/>
          <w:kern w:val="28"/>
          <w:highlight w:val="none"/>
        </w:rPr>
        <w:t>（北京时间）</w:t>
      </w:r>
      <w:r>
        <w:rPr>
          <w:rFonts w:hint="eastAsia"/>
          <w:color w:val="auto"/>
          <w:kern w:val="28"/>
          <w:highlight w:val="none"/>
        </w:rPr>
        <w:t>。</w:t>
      </w:r>
    </w:p>
    <w:p w14:paraId="7A5A2BB2">
      <w:pPr>
        <w:spacing w:line="336" w:lineRule="auto"/>
        <w:ind w:firstLine="482"/>
        <w:rPr>
          <w:b/>
          <w:color w:val="auto"/>
          <w:highlight w:val="none"/>
        </w:rPr>
      </w:pPr>
      <w:r>
        <w:rPr>
          <w:rFonts w:hint="eastAsia" w:cs="宋体"/>
          <w:b/>
          <w:color w:val="auto"/>
          <w:sz w:val="24"/>
          <w:highlight w:val="none"/>
        </w:rPr>
        <w:t>六</w:t>
      </w:r>
      <w:r>
        <w:rPr>
          <w:rFonts w:ascii="宋体" w:hAnsi="宋体" w:cs="宋体"/>
          <w:b/>
          <w:color w:val="auto"/>
          <w:sz w:val="24"/>
          <w:highlight w:val="none"/>
        </w:rPr>
        <w:t>、</w:t>
      </w:r>
      <w:r>
        <w:rPr>
          <w:rFonts w:hint="eastAsia"/>
          <w:b/>
          <w:color w:val="auto"/>
          <w:highlight w:val="none"/>
        </w:rPr>
        <w:t>公告期限</w:t>
      </w:r>
    </w:p>
    <w:p w14:paraId="6207166D">
      <w:pPr>
        <w:spacing w:line="336" w:lineRule="auto"/>
        <w:ind w:firstLine="422"/>
        <w:rPr>
          <w:color w:val="auto"/>
          <w:kern w:val="28"/>
          <w:highlight w:val="none"/>
        </w:rPr>
      </w:pPr>
      <w:r>
        <w:rPr>
          <w:rFonts w:hint="eastAsia"/>
          <w:color w:val="auto"/>
          <w:kern w:val="28"/>
          <w:highlight w:val="none"/>
        </w:rPr>
        <w:t>自本公告发布之日起</w:t>
      </w:r>
      <w:r>
        <w:rPr>
          <w:color w:val="auto"/>
          <w:kern w:val="28"/>
          <w:highlight w:val="none"/>
        </w:rPr>
        <w:t>3个工作日。</w:t>
      </w:r>
    </w:p>
    <w:p w14:paraId="22CAB7E7">
      <w:pPr>
        <w:spacing w:line="336" w:lineRule="auto"/>
        <w:ind w:firstLine="482"/>
        <w:rPr>
          <w:b/>
          <w:color w:val="auto"/>
          <w:highlight w:val="none"/>
        </w:rPr>
      </w:pPr>
      <w:r>
        <w:rPr>
          <w:rFonts w:hint="eastAsia" w:cs="宋体"/>
          <w:b/>
          <w:color w:val="auto"/>
          <w:sz w:val="24"/>
          <w:highlight w:val="none"/>
        </w:rPr>
        <w:t>七</w:t>
      </w:r>
      <w:r>
        <w:rPr>
          <w:rFonts w:ascii="宋体" w:hAnsi="宋体" w:cs="宋体"/>
          <w:b/>
          <w:color w:val="auto"/>
          <w:sz w:val="24"/>
          <w:highlight w:val="none"/>
        </w:rPr>
        <w:t>、</w:t>
      </w:r>
      <w:r>
        <w:rPr>
          <w:rFonts w:hint="eastAsia"/>
          <w:b/>
          <w:color w:val="auto"/>
          <w:highlight w:val="none"/>
        </w:rPr>
        <w:t>其他补充事宜</w:t>
      </w:r>
    </w:p>
    <w:p w14:paraId="655C25C6">
      <w:pPr>
        <w:spacing w:line="336" w:lineRule="auto"/>
        <w:ind w:firstLine="422"/>
        <w:rPr>
          <w:b/>
          <w:color w:val="auto"/>
          <w:highlight w:val="none"/>
        </w:rPr>
      </w:pPr>
      <w:bookmarkStart w:id="17" w:name="_Hlk4312634"/>
      <w:r>
        <w:rPr>
          <w:rFonts w:hint="eastAsia"/>
          <w:b/>
          <w:color w:val="auto"/>
          <w:highlight w:val="none"/>
        </w:rPr>
        <w:t>1、</w:t>
      </w:r>
      <w:r>
        <w:rPr>
          <w:b/>
          <w:color w:val="auto"/>
          <w:highlight w:val="none"/>
        </w:rPr>
        <w:t>本项目所属行业：</w:t>
      </w:r>
      <w:r>
        <w:rPr>
          <w:rFonts w:hint="eastAsia"/>
          <w:b/>
          <w:color w:val="auto"/>
          <w:highlight w:val="none"/>
        </w:rPr>
        <w:t>租赁和商务服务业</w:t>
      </w:r>
      <w:r>
        <w:rPr>
          <w:b/>
          <w:color w:val="auto"/>
          <w:highlight w:val="none"/>
        </w:rPr>
        <w:t>。</w:t>
      </w:r>
    </w:p>
    <w:p w14:paraId="25D31DAC">
      <w:pPr>
        <w:adjustRightInd w:val="0"/>
        <w:snapToGrid w:val="0"/>
        <w:spacing w:line="336" w:lineRule="auto"/>
        <w:ind w:firstLine="430"/>
        <w:rPr>
          <w:color w:val="auto"/>
          <w:spacing w:val="2"/>
          <w:szCs w:val="21"/>
          <w:highlight w:val="none"/>
        </w:rPr>
      </w:pPr>
      <w:r>
        <w:rPr>
          <w:rFonts w:hint="eastAsia"/>
          <w:color w:val="auto"/>
          <w:spacing w:val="2"/>
          <w:szCs w:val="21"/>
          <w:highlight w:val="none"/>
        </w:rPr>
        <w:t>2、免责声明：“诚E招电子采购交易平台”（https://www.chengezhao.com/）为本项目购买文件的唯一渠道，其他平台的购买文件均属无效。</w:t>
      </w:r>
    </w:p>
    <w:p w14:paraId="1ED4C31E">
      <w:pPr>
        <w:adjustRightInd w:val="0"/>
        <w:snapToGrid w:val="0"/>
        <w:spacing w:line="336" w:lineRule="auto"/>
        <w:ind w:firstLine="430"/>
        <w:rPr>
          <w:color w:val="auto"/>
          <w:highlight w:val="none"/>
        </w:rPr>
      </w:pPr>
      <w:r>
        <w:rPr>
          <w:rFonts w:hint="eastAsia"/>
          <w:color w:val="auto"/>
          <w:spacing w:val="2"/>
          <w:szCs w:val="21"/>
          <w:highlight w:val="none"/>
        </w:rPr>
        <w:t>3、资格要求中所指“其他组织”不包括法人的分支机构，由于法人分支机构不能独立承担民事责任，不能以分支机构的身份参加政府采购，只能以法人身份参加。但由于银行、保险、石油石化、电力、电信、邮政、铁路等行业具有其特殊性（行业特殊性是指这些行业本身具备的垄断性），如果能够提供其法人给予的相应授权证明材料，可以参加政府采购活动。</w:t>
      </w:r>
    </w:p>
    <w:bookmarkEnd w:id="17"/>
    <w:p w14:paraId="3872DE25">
      <w:pPr>
        <w:spacing w:line="336" w:lineRule="auto"/>
        <w:ind w:firstLine="482"/>
        <w:rPr>
          <w:b/>
          <w:color w:val="auto"/>
          <w:highlight w:val="none"/>
        </w:rPr>
      </w:pPr>
      <w:r>
        <w:rPr>
          <w:rFonts w:hint="eastAsia" w:cs="宋体"/>
          <w:b/>
          <w:color w:val="auto"/>
          <w:sz w:val="24"/>
          <w:highlight w:val="none"/>
        </w:rPr>
        <w:t>八</w:t>
      </w:r>
      <w:r>
        <w:rPr>
          <w:rFonts w:ascii="宋体" w:hAnsi="宋体" w:cs="宋体"/>
          <w:b/>
          <w:color w:val="auto"/>
          <w:sz w:val="24"/>
          <w:highlight w:val="none"/>
        </w:rPr>
        <w:t>、</w:t>
      </w:r>
      <w:r>
        <w:rPr>
          <w:rFonts w:hint="eastAsia"/>
          <w:b/>
          <w:color w:val="auto"/>
          <w:highlight w:val="none"/>
        </w:rPr>
        <w:t>凡对本次采购提出询问，请按以下方式联系</w:t>
      </w:r>
    </w:p>
    <w:p w14:paraId="7E089C24">
      <w:pPr>
        <w:spacing w:line="360" w:lineRule="auto"/>
        <w:ind w:firstLine="422"/>
        <w:rPr>
          <w:color w:val="auto"/>
          <w:highlight w:val="none"/>
        </w:rPr>
      </w:pPr>
      <w:r>
        <w:rPr>
          <w:rFonts w:hint="eastAsia"/>
          <w:color w:val="auto"/>
          <w:highlight w:val="none"/>
        </w:rPr>
        <w:t>1、采购人信息</w:t>
      </w:r>
    </w:p>
    <w:p w14:paraId="7BEC61C0">
      <w:pPr>
        <w:spacing w:line="360" w:lineRule="auto"/>
        <w:ind w:firstLine="422"/>
        <w:rPr>
          <w:color w:val="auto"/>
          <w:highlight w:val="none"/>
        </w:rPr>
      </w:pPr>
      <w:r>
        <w:rPr>
          <w:rFonts w:hint="eastAsia"/>
          <w:color w:val="auto"/>
          <w:highlight w:val="none"/>
        </w:rPr>
        <w:t xml:space="preserve">名称：广东海洋大学 </w:t>
      </w:r>
    </w:p>
    <w:p w14:paraId="4EA1071E">
      <w:pPr>
        <w:spacing w:line="360" w:lineRule="auto"/>
        <w:ind w:firstLine="422"/>
        <w:rPr>
          <w:bCs/>
          <w:color w:val="auto"/>
          <w:highlight w:val="none"/>
        </w:rPr>
      </w:pPr>
      <w:r>
        <w:rPr>
          <w:rFonts w:hint="eastAsia"/>
          <w:color w:val="auto"/>
          <w:highlight w:val="none"/>
        </w:rPr>
        <w:t>地址：</w:t>
      </w:r>
      <w:r>
        <w:rPr>
          <w:color w:val="auto"/>
          <w:highlight w:val="none"/>
        </w:rPr>
        <w:t>广东省湛江市麻章区海大路1号</w:t>
      </w:r>
    </w:p>
    <w:p w14:paraId="1A323AB1">
      <w:pPr>
        <w:spacing w:line="360" w:lineRule="auto"/>
        <w:ind w:firstLine="422"/>
        <w:rPr>
          <w:color w:val="auto"/>
          <w:highlight w:val="none"/>
        </w:rPr>
      </w:pPr>
      <w:r>
        <w:rPr>
          <w:rFonts w:hint="eastAsia"/>
          <w:color w:val="auto"/>
          <w:highlight w:val="none"/>
        </w:rPr>
        <w:t>联系方式：胡老师</w:t>
      </w:r>
    </w:p>
    <w:p w14:paraId="0ECC4515">
      <w:pPr>
        <w:spacing w:line="360" w:lineRule="auto"/>
        <w:ind w:firstLine="422"/>
        <w:rPr>
          <w:color w:val="auto"/>
          <w:szCs w:val="21"/>
          <w:highlight w:val="none"/>
        </w:rPr>
      </w:pPr>
      <w:r>
        <w:rPr>
          <w:rFonts w:hint="eastAsia"/>
          <w:color w:val="auto"/>
          <w:highlight w:val="none"/>
        </w:rPr>
        <w:t>联系电话：0759-2396211</w:t>
      </w:r>
    </w:p>
    <w:p w14:paraId="5610C533">
      <w:pPr>
        <w:spacing w:line="360" w:lineRule="auto"/>
        <w:ind w:firstLine="422"/>
        <w:rPr>
          <w:color w:val="auto"/>
          <w:highlight w:val="none"/>
        </w:rPr>
      </w:pPr>
      <w:r>
        <w:rPr>
          <w:rFonts w:hint="eastAsia"/>
          <w:color w:val="auto"/>
          <w:highlight w:val="none"/>
        </w:rPr>
        <w:t>2、采购代理机构信息</w:t>
      </w:r>
    </w:p>
    <w:p w14:paraId="41CDCF6D">
      <w:pPr>
        <w:spacing w:line="360" w:lineRule="auto"/>
        <w:ind w:firstLine="422"/>
        <w:rPr>
          <w:color w:val="auto"/>
          <w:highlight w:val="none"/>
        </w:rPr>
      </w:pPr>
      <w:r>
        <w:rPr>
          <w:rFonts w:hint="eastAsia"/>
          <w:color w:val="auto"/>
          <w:highlight w:val="none"/>
        </w:rPr>
        <w:t>名称：公诚管理咨询有限公司</w:t>
      </w:r>
    </w:p>
    <w:p w14:paraId="281722AE">
      <w:pPr>
        <w:spacing w:line="360" w:lineRule="auto"/>
        <w:ind w:firstLine="422"/>
        <w:rPr>
          <w:color w:val="auto"/>
          <w:highlight w:val="none"/>
        </w:rPr>
      </w:pPr>
      <w:r>
        <w:rPr>
          <w:rFonts w:hint="eastAsia"/>
          <w:color w:val="auto"/>
          <w:highlight w:val="none"/>
        </w:rPr>
        <w:t>地址：</w:t>
      </w:r>
      <w:r>
        <w:rPr>
          <w:rFonts w:hint="eastAsia"/>
          <w:color w:val="auto"/>
          <w:szCs w:val="21"/>
          <w:highlight w:val="none"/>
        </w:rPr>
        <w:t>广东省湛江市霞山区人民大道中24号剑麻大厦12层</w:t>
      </w:r>
    </w:p>
    <w:p w14:paraId="1BB39AB1">
      <w:pPr>
        <w:spacing w:line="360" w:lineRule="auto"/>
        <w:ind w:firstLine="422"/>
        <w:rPr>
          <w:color w:val="auto"/>
          <w:highlight w:val="none"/>
        </w:rPr>
      </w:pPr>
      <w:r>
        <w:rPr>
          <w:rFonts w:hint="eastAsia"/>
          <w:color w:val="auto"/>
          <w:highlight w:val="none"/>
        </w:rPr>
        <w:t>联系</w:t>
      </w:r>
      <w:bookmarkStart w:id="18" w:name="_Hlk4312806"/>
      <w:r>
        <w:rPr>
          <w:rFonts w:hint="eastAsia"/>
          <w:color w:val="auto"/>
          <w:highlight w:val="none"/>
        </w:rPr>
        <w:t>方式：0759-3382389</w:t>
      </w:r>
      <w:bookmarkEnd w:id="18"/>
    </w:p>
    <w:p w14:paraId="5D3E0A7E">
      <w:pPr>
        <w:spacing w:line="360" w:lineRule="auto"/>
        <w:ind w:firstLine="422"/>
        <w:rPr>
          <w:color w:val="auto"/>
          <w:highlight w:val="none"/>
        </w:rPr>
      </w:pPr>
      <w:r>
        <w:rPr>
          <w:color w:val="auto"/>
          <w:highlight w:val="none"/>
        </w:rPr>
        <w:t>3</w:t>
      </w:r>
      <w:r>
        <w:rPr>
          <w:rFonts w:hint="eastAsia"/>
          <w:color w:val="auto"/>
          <w:highlight w:val="none"/>
        </w:rPr>
        <w:t>、项目联系方式</w:t>
      </w:r>
    </w:p>
    <w:p w14:paraId="69B75747">
      <w:pPr>
        <w:spacing w:line="360" w:lineRule="auto"/>
        <w:ind w:firstLine="422"/>
        <w:rPr>
          <w:color w:val="auto"/>
          <w:highlight w:val="none"/>
        </w:rPr>
      </w:pPr>
      <w:r>
        <w:rPr>
          <w:rFonts w:hint="eastAsia"/>
          <w:color w:val="auto"/>
          <w:highlight w:val="none"/>
        </w:rPr>
        <w:t>项目联系人：劳丹、黎凯达</w:t>
      </w:r>
    </w:p>
    <w:p w14:paraId="09E3135D">
      <w:pPr>
        <w:spacing w:line="360" w:lineRule="auto"/>
        <w:ind w:firstLine="422"/>
        <w:rPr>
          <w:color w:val="auto"/>
          <w:highlight w:val="none"/>
        </w:rPr>
      </w:pPr>
      <w:r>
        <w:rPr>
          <w:rFonts w:hint="eastAsia"/>
          <w:color w:val="auto"/>
          <w:highlight w:val="none"/>
        </w:rPr>
        <w:t>电话：0759-3382389</w:t>
      </w:r>
    </w:p>
    <w:p w14:paraId="30196974">
      <w:pPr>
        <w:adjustRightInd w:val="0"/>
        <w:snapToGrid w:val="0"/>
        <w:spacing w:line="312" w:lineRule="auto"/>
        <w:ind w:right="482" w:firstLine="2730" w:firstLineChars="1300"/>
        <w:jc w:val="right"/>
        <w:rPr>
          <w:bCs/>
          <w:color w:val="auto"/>
          <w:highlight w:val="none"/>
        </w:rPr>
      </w:pPr>
    </w:p>
    <w:p w14:paraId="25677C8C">
      <w:pPr>
        <w:pStyle w:val="64"/>
        <w:ind w:firstLine="422"/>
        <w:rPr>
          <w:color w:val="auto"/>
          <w:highlight w:val="none"/>
        </w:rPr>
      </w:pPr>
    </w:p>
    <w:p w14:paraId="6C6CAC68">
      <w:pPr>
        <w:pStyle w:val="22"/>
        <w:ind w:firstLine="482"/>
        <w:rPr>
          <w:bCs/>
          <w:color w:val="auto"/>
          <w:highlight w:val="none"/>
        </w:rPr>
      </w:pPr>
    </w:p>
    <w:p w14:paraId="41D380B8">
      <w:pPr>
        <w:pStyle w:val="22"/>
        <w:ind w:firstLine="482"/>
        <w:rPr>
          <w:bCs/>
          <w:color w:val="auto"/>
          <w:highlight w:val="none"/>
        </w:rPr>
      </w:pPr>
    </w:p>
    <w:p w14:paraId="092651E6">
      <w:pPr>
        <w:adjustRightInd w:val="0"/>
        <w:snapToGrid w:val="0"/>
        <w:spacing w:line="312" w:lineRule="auto"/>
        <w:ind w:right="482" w:firstLine="2730" w:firstLineChars="1300"/>
        <w:jc w:val="right"/>
        <w:rPr>
          <w:bCs/>
          <w:color w:val="auto"/>
          <w:highlight w:val="none"/>
        </w:rPr>
      </w:pPr>
      <w:r>
        <w:rPr>
          <w:rFonts w:hint="eastAsia"/>
          <w:bCs/>
          <w:color w:val="auto"/>
          <w:highlight w:val="none"/>
        </w:rPr>
        <w:t>公诚管理咨询有限公司</w:t>
      </w:r>
    </w:p>
    <w:p w14:paraId="64445C49">
      <w:pPr>
        <w:widowControl/>
        <w:spacing w:line="360" w:lineRule="auto"/>
        <w:rPr>
          <w:rFonts w:ascii="宋体" w:hAnsi="宋体" w:cs="Futura-Heavy"/>
          <w:b/>
          <w:bCs/>
          <w:color w:val="auto"/>
          <w:kern w:val="0"/>
          <w:szCs w:val="21"/>
          <w:highlight w:val="none"/>
          <w:shd w:val="clear" w:color="auto" w:fill="FFFFFF"/>
        </w:rPr>
      </w:pPr>
      <w:r>
        <w:rPr>
          <w:rFonts w:hint="eastAsia"/>
          <w:color w:val="auto"/>
          <w:highlight w:val="none"/>
        </w:rPr>
        <w:t xml:space="preserve">                                                          2024年</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28</w:t>
      </w:r>
      <w:r>
        <w:rPr>
          <w:rFonts w:hint="eastAsia"/>
          <w:color w:val="auto"/>
          <w:highlight w:val="none"/>
        </w:rPr>
        <w:t>日</w:t>
      </w:r>
    </w:p>
    <w:p w14:paraId="307ED5E4">
      <w:pPr>
        <w:spacing w:line="336" w:lineRule="auto"/>
        <w:ind w:firstLine="210" w:firstLineChars="100"/>
        <w:jc w:val="right"/>
        <w:rPr>
          <w:rFonts w:ascii="宋体" w:hAnsi="宋体"/>
          <w:color w:val="auto"/>
          <w:sz w:val="24"/>
          <w:highlight w:val="none"/>
        </w:rPr>
      </w:pPr>
      <w:r>
        <w:rPr>
          <w:rFonts w:hint="eastAsia" w:ascii="宋体" w:hAnsi="宋体" w:cs="Futura-Heavy"/>
          <w:color w:val="auto"/>
          <w:kern w:val="0"/>
          <w:szCs w:val="21"/>
          <w:highlight w:val="none"/>
          <w:shd w:val="clear" w:color="auto" w:fill="FFFFFF"/>
        </w:rPr>
        <w:t> </w:t>
      </w:r>
      <w:r>
        <w:rPr>
          <w:rFonts w:ascii="宋体" w:hAnsi="宋体" w:cs="Futura-Heavy"/>
          <w:color w:val="auto"/>
          <w:kern w:val="0"/>
          <w:szCs w:val="21"/>
          <w:highlight w:val="none"/>
          <w:shd w:val="clear" w:color="auto" w:fill="FFFFFF"/>
        </w:rPr>
        <w:t xml:space="preserve">                                 </w:t>
      </w:r>
      <w:r>
        <w:rPr>
          <w:rFonts w:hint="eastAsia" w:ascii="宋体" w:hAnsi="宋体" w:cs="ヒラギノ角ゴ Pro W3"/>
          <w:color w:val="auto"/>
          <w:sz w:val="24"/>
          <w:highlight w:val="none"/>
        </w:rPr>
        <w:br w:type="page"/>
      </w:r>
      <w:bookmarkStart w:id="19" w:name="_Toc35342045"/>
    </w:p>
    <w:p w14:paraId="5A9B4577">
      <w:pPr>
        <w:adjustRightInd w:val="0"/>
        <w:snapToGrid w:val="0"/>
        <w:spacing w:before="15" w:beforeLines="5" w:after="15" w:afterLines="5" w:line="400" w:lineRule="exact"/>
        <w:ind w:firstLine="482"/>
        <w:rPr>
          <w:rFonts w:ascii="宋体" w:hAnsi="宋体"/>
          <w:color w:val="auto"/>
          <w:sz w:val="24"/>
          <w:highlight w:val="none"/>
        </w:rPr>
      </w:pPr>
    </w:p>
    <w:p w14:paraId="3A3A9FF1">
      <w:pPr>
        <w:adjustRightInd w:val="0"/>
        <w:snapToGrid w:val="0"/>
        <w:spacing w:before="15" w:beforeLines="5" w:after="15" w:afterLines="5" w:line="400" w:lineRule="exact"/>
        <w:ind w:firstLine="482"/>
        <w:rPr>
          <w:rFonts w:ascii="宋体" w:hAnsi="宋体"/>
          <w:color w:val="auto"/>
          <w:sz w:val="24"/>
          <w:highlight w:val="none"/>
        </w:rPr>
      </w:pPr>
    </w:p>
    <w:p w14:paraId="06084268">
      <w:pPr>
        <w:adjustRightInd w:val="0"/>
        <w:snapToGrid w:val="0"/>
        <w:spacing w:before="15" w:beforeLines="5" w:after="15" w:afterLines="5" w:line="400" w:lineRule="exact"/>
        <w:ind w:firstLine="482"/>
        <w:rPr>
          <w:rFonts w:ascii="宋体" w:hAnsi="宋体"/>
          <w:color w:val="auto"/>
          <w:sz w:val="24"/>
          <w:highlight w:val="none"/>
        </w:rPr>
      </w:pPr>
    </w:p>
    <w:p w14:paraId="792E6A5A">
      <w:pPr>
        <w:rPr>
          <w:color w:val="auto"/>
          <w:highlight w:val="none"/>
        </w:rPr>
      </w:pPr>
    </w:p>
    <w:p w14:paraId="2D8C2EAC">
      <w:pPr>
        <w:adjustRightInd w:val="0"/>
        <w:snapToGrid w:val="0"/>
        <w:spacing w:before="15" w:beforeLines="5" w:after="15" w:afterLines="5" w:line="400" w:lineRule="exact"/>
        <w:ind w:firstLine="482"/>
        <w:rPr>
          <w:rFonts w:ascii="宋体" w:hAnsi="宋体"/>
          <w:color w:val="auto"/>
          <w:sz w:val="24"/>
          <w:highlight w:val="none"/>
        </w:rPr>
      </w:pPr>
    </w:p>
    <w:p w14:paraId="6FF072B2">
      <w:pPr>
        <w:adjustRightInd w:val="0"/>
        <w:snapToGrid w:val="0"/>
        <w:spacing w:before="15" w:beforeLines="5" w:after="15" w:afterLines="5" w:line="400" w:lineRule="exact"/>
        <w:ind w:firstLine="482"/>
        <w:rPr>
          <w:rFonts w:ascii="宋体" w:hAnsi="宋体"/>
          <w:color w:val="auto"/>
          <w:sz w:val="24"/>
          <w:highlight w:val="none"/>
        </w:rPr>
      </w:pPr>
    </w:p>
    <w:p w14:paraId="68784566">
      <w:pPr>
        <w:adjustRightInd w:val="0"/>
        <w:snapToGrid w:val="0"/>
        <w:spacing w:before="15" w:beforeLines="5" w:after="15" w:afterLines="5" w:line="400" w:lineRule="exact"/>
        <w:ind w:firstLine="482"/>
        <w:rPr>
          <w:rFonts w:ascii="宋体" w:hAnsi="宋体"/>
          <w:color w:val="auto"/>
          <w:sz w:val="24"/>
          <w:highlight w:val="none"/>
        </w:rPr>
      </w:pPr>
    </w:p>
    <w:p w14:paraId="5A8D5B4C">
      <w:pPr>
        <w:pStyle w:val="3"/>
        <w:ind w:firstLine="1044"/>
        <w:rPr>
          <w:rFonts w:ascii="宋体" w:hAnsi="宋体" w:eastAsia="宋体"/>
          <w:color w:val="auto"/>
          <w:highlight w:val="none"/>
        </w:rPr>
      </w:pPr>
      <w:bookmarkStart w:id="20" w:name="_Toc29349"/>
      <w:bookmarkStart w:id="21" w:name="_Toc22374"/>
      <w:bookmarkStart w:id="22" w:name="_Toc21643"/>
      <w:bookmarkStart w:id="23" w:name="_Toc13688"/>
      <w:bookmarkStart w:id="24" w:name="_Toc70528475"/>
      <w:bookmarkStart w:id="25" w:name="_Toc68789510"/>
      <w:bookmarkStart w:id="26" w:name="_Toc276645570"/>
      <w:bookmarkStart w:id="27" w:name="_Toc12634"/>
      <w:bookmarkStart w:id="28" w:name="_Toc67046843"/>
      <w:bookmarkStart w:id="29" w:name="_Toc28178"/>
      <w:bookmarkStart w:id="30" w:name="_Toc13414"/>
      <w:bookmarkStart w:id="31" w:name="_Toc70528435"/>
      <w:bookmarkStart w:id="32" w:name="_Toc9411"/>
      <w:r>
        <w:rPr>
          <w:rFonts w:hint="eastAsia" w:ascii="宋体" w:hAnsi="宋体" w:eastAsia="宋体"/>
          <w:color w:val="auto"/>
          <w:highlight w:val="none"/>
        </w:rPr>
        <w:t>第二部分 响应资料表</w:t>
      </w:r>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17F4E82D">
      <w:pPr>
        <w:pStyle w:val="5"/>
        <w:spacing w:before="400" w:after="120" w:line="360" w:lineRule="auto"/>
        <w:ind w:firstLine="640"/>
        <w:jc w:val="center"/>
        <w:rPr>
          <w:rFonts w:ascii="宋体" w:hAnsi="宋体" w:eastAsia="宋体"/>
          <w:color w:val="auto"/>
          <w:highlight w:val="none"/>
        </w:rPr>
      </w:pPr>
      <w:r>
        <w:rPr>
          <w:rFonts w:ascii="宋体" w:hAnsi="宋体" w:eastAsia="宋体"/>
          <w:color w:val="auto"/>
          <w:highlight w:val="none"/>
        </w:rPr>
        <w:br w:type="page"/>
      </w:r>
      <w:bookmarkStart w:id="33" w:name="_Toc70528436"/>
      <w:bookmarkStart w:id="34" w:name="_Toc12951"/>
      <w:bookmarkStart w:id="35" w:name="_Toc67046844"/>
      <w:bookmarkStart w:id="36" w:name="_Toc19798"/>
      <w:bookmarkStart w:id="37" w:name="_Toc462677177"/>
      <w:bookmarkStart w:id="38" w:name="_Toc22952"/>
      <w:bookmarkStart w:id="39" w:name="_Toc10937"/>
      <w:bookmarkStart w:id="40" w:name="_Toc31424"/>
      <w:bookmarkStart w:id="41" w:name="_Toc14826"/>
      <w:bookmarkStart w:id="42" w:name="_Toc24915"/>
      <w:bookmarkStart w:id="43" w:name="_Toc23628"/>
      <w:bookmarkStart w:id="44" w:name="_Toc68789511"/>
      <w:bookmarkStart w:id="45" w:name="_Toc276645571"/>
      <w:r>
        <w:rPr>
          <w:rFonts w:hint="eastAsia" w:ascii="宋体" w:hAnsi="宋体" w:eastAsia="宋体"/>
          <w:color w:val="auto"/>
          <w:highlight w:val="none"/>
        </w:rPr>
        <w:t>一、</w:t>
      </w:r>
      <w:bookmarkEnd w:id="33"/>
      <w:bookmarkEnd w:id="34"/>
      <w:bookmarkEnd w:id="35"/>
      <w:bookmarkEnd w:id="36"/>
      <w:bookmarkEnd w:id="37"/>
      <w:bookmarkEnd w:id="38"/>
      <w:bookmarkEnd w:id="39"/>
      <w:bookmarkEnd w:id="40"/>
      <w:bookmarkEnd w:id="41"/>
      <w:bookmarkEnd w:id="42"/>
      <w:bookmarkEnd w:id="43"/>
      <w:bookmarkEnd w:id="44"/>
      <w:r>
        <w:rPr>
          <w:rFonts w:hint="eastAsia" w:ascii="宋体" w:hAnsi="宋体" w:eastAsia="宋体"/>
          <w:color w:val="auto"/>
          <w:highlight w:val="none"/>
        </w:rPr>
        <w:t>供应商须知前附表</w:t>
      </w:r>
    </w:p>
    <w:p w14:paraId="79059346">
      <w:pPr>
        <w:pStyle w:val="21"/>
        <w:rPr>
          <w:rFonts w:ascii="宋体" w:hAnsi="宋体"/>
          <w:color w:val="auto"/>
          <w:szCs w:val="21"/>
          <w:highlight w:val="none"/>
        </w:rPr>
      </w:pPr>
      <w:r>
        <w:rPr>
          <w:rFonts w:hint="eastAsia" w:ascii="宋体" w:hAnsi="宋体"/>
          <w:color w:val="auto"/>
          <w:szCs w:val="21"/>
          <w:highlight w:val="none"/>
        </w:rPr>
        <w:t>本表是对《供应商须知》的具体补充和说明，如有矛盾，应以本表为准。</w:t>
      </w:r>
    </w:p>
    <w:tbl>
      <w:tblPr>
        <w:tblStyle w:val="49"/>
        <w:tblW w:w="920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4"/>
        <w:gridCol w:w="8333"/>
      </w:tblGrid>
      <w:tr w14:paraId="27B6A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09AD0363">
            <w:pPr>
              <w:spacing w:line="360" w:lineRule="auto"/>
              <w:jc w:val="center"/>
              <w:rPr>
                <w:rFonts w:ascii="宋体" w:hAnsi="宋体"/>
                <w:color w:val="auto"/>
                <w:szCs w:val="21"/>
                <w:highlight w:val="none"/>
              </w:rPr>
            </w:pPr>
            <w:r>
              <w:rPr>
                <w:rFonts w:hint="eastAsia" w:ascii="宋体" w:hAnsi="宋体"/>
                <w:color w:val="auto"/>
                <w:szCs w:val="21"/>
                <w:highlight w:val="none"/>
              </w:rPr>
              <w:t>条款号</w:t>
            </w:r>
          </w:p>
        </w:tc>
        <w:tc>
          <w:tcPr>
            <w:tcW w:w="8333" w:type="dxa"/>
            <w:vAlign w:val="center"/>
          </w:tcPr>
          <w:p w14:paraId="1A5FDCAA">
            <w:pPr>
              <w:spacing w:line="360" w:lineRule="auto"/>
              <w:jc w:val="center"/>
              <w:rPr>
                <w:rFonts w:ascii="宋体" w:hAnsi="宋体"/>
                <w:b/>
                <w:color w:val="auto"/>
                <w:szCs w:val="21"/>
                <w:highlight w:val="none"/>
              </w:rPr>
            </w:pPr>
            <w:r>
              <w:rPr>
                <w:rFonts w:hint="eastAsia" w:ascii="宋体" w:hAnsi="宋体"/>
                <w:b/>
                <w:color w:val="auto"/>
                <w:szCs w:val="21"/>
                <w:highlight w:val="none"/>
              </w:rPr>
              <w:t>内      容</w:t>
            </w:r>
          </w:p>
        </w:tc>
      </w:tr>
      <w:tr w14:paraId="15B1FC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214C4530">
            <w:pPr>
              <w:spacing w:line="360" w:lineRule="auto"/>
              <w:jc w:val="center"/>
              <w:rPr>
                <w:rFonts w:ascii="宋体" w:hAnsi="宋体"/>
                <w:b/>
                <w:color w:val="auto"/>
                <w:szCs w:val="21"/>
                <w:highlight w:val="none"/>
              </w:rPr>
            </w:pPr>
            <w:r>
              <w:rPr>
                <w:rFonts w:hint="eastAsia" w:ascii="宋体" w:hAnsi="宋体"/>
                <w:b/>
                <w:color w:val="auto"/>
                <w:szCs w:val="21"/>
                <w:highlight w:val="none"/>
              </w:rPr>
              <w:t>说明</w:t>
            </w:r>
          </w:p>
        </w:tc>
      </w:tr>
      <w:tr w14:paraId="54702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08E5152A">
            <w:pPr>
              <w:spacing w:line="360" w:lineRule="auto"/>
              <w:jc w:val="center"/>
              <w:rPr>
                <w:rFonts w:ascii="宋体" w:hAnsi="宋体"/>
                <w:color w:val="auto"/>
                <w:szCs w:val="21"/>
                <w:highlight w:val="none"/>
              </w:rPr>
            </w:pPr>
            <w:r>
              <w:rPr>
                <w:rFonts w:hint="eastAsia" w:ascii="宋体" w:hAnsi="宋体"/>
                <w:color w:val="auto"/>
                <w:szCs w:val="21"/>
                <w:highlight w:val="none"/>
              </w:rPr>
              <w:t>1.1</w:t>
            </w:r>
          </w:p>
        </w:tc>
        <w:tc>
          <w:tcPr>
            <w:tcW w:w="8333" w:type="dxa"/>
            <w:vAlign w:val="center"/>
          </w:tcPr>
          <w:p w14:paraId="0FE88367">
            <w:pPr>
              <w:spacing w:line="360" w:lineRule="auto"/>
              <w:rPr>
                <w:rFonts w:ascii="宋体" w:hAnsi="宋体"/>
                <w:color w:val="auto"/>
                <w:szCs w:val="21"/>
                <w:highlight w:val="none"/>
              </w:rPr>
            </w:pPr>
            <w:r>
              <w:rPr>
                <w:rFonts w:hint="eastAsia" w:ascii="宋体" w:hAnsi="宋体"/>
                <w:color w:val="auto"/>
                <w:szCs w:val="21"/>
                <w:highlight w:val="none"/>
              </w:rPr>
              <w:t>项目名称：</w:t>
            </w:r>
            <w:r>
              <w:rPr>
                <w:rFonts w:hint="eastAsia" w:ascii="宋体" w:hAnsi="宋体" w:cs="ヒラギノ角ゴ Pro W3"/>
                <w:color w:val="auto"/>
                <w:kern w:val="28"/>
                <w:szCs w:val="21"/>
                <w:highlight w:val="none"/>
              </w:rPr>
              <w:t>分析测试中心大型及贵重仪器共享平台建设-仪器租赁</w:t>
            </w:r>
          </w:p>
        </w:tc>
      </w:tr>
      <w:tr w14:paraId="05CB0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00BE89DD">
            <w:pPr>
              <w:spacing w:line="360" w:lineRule="auto"/>
              <w:jc w:val="center"/>
              <w:rPr>
                <w:rFonts w:ascii="宋体" w:hAnsi="宋体"/>
                <w:color w:val="auto"/>
                <w:szCs w:val="21"/>
                <w:highlight w:val="none"/>
              </w:rPr>
            </w:pPr>
            <w:r>
              <w:rPr>
                <w:rFonts w:hint="eastAsia" w:ascii="宋体" w:hAnsi="宋体"/>
                <w:color w:val="auto"/>
                <w:szCs w:val="21"/>
                <w:highlight w:val="none"/>
              </w:rPr>
              <w:t>2.1</w:t>
            </w:r>
          </w:p>
        </w:tc>
        <w:tc>
          <w:tcPr>
            <w:tcW w:w="8333" w:type="dxa"/>
            <w:vAlign w:val="center"/>
          </w:tcPr>
          <w:p w14:paraId="0BED9607">
            <w:pPr>
              <w:spacing w:line="360" w:lineRule="auto"/>
              <w:rPr>
                <w:rFonts w:ascii="宋体" w:hAnsi="宋体"/>
                <w:color w:val="auto"/>
                <w:szCs w:val="21"/>
                <w:highlight w:val="none"/>
              </w:rPr>
            </w:pPr>
            <w:r>
              <w:rPr>
                <w:rFonts w:hint="eastAsia" w:ascii="宋体" w:hAnsi="宋体"/>
                <w:color w:val="auto"/>
                <w:szCs w:val="21"/>
                <w:highlight w:val="none"/>
              </w:rPr>
              <w:t>采购人名称：</w:t>
            </w:r>
            <w:r>
              <w:rPr>
                <w:rFonts w:hint="eastAsia" w:ascii="宋体" w:hAnsi="宋体" w:cs="ヒラギノ角ゴ Pro W3"/>
                <w:color w:val="auto"/>
                <w:kern w:val="28"/>
                <w:szCs w:val="21"/>
                <w:highlight w:val="none"/>
              </w:rPr>
              <w:t>广东海洋大学</w:t>
            </w:r>
          </w:p>
        </w:tc>
      </w:tr>
      <w:tr w14:paraId="721B7C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45" w:hRule="atLeast"/>
          <w:jc w:val="center"/>
        </w:trPr>
        <w:tc>
          <w:tcPr>
            <w:tcW w:w="874" w:type="dxa"/>
            <w:vAlign w:val="center"/>
          </w:tcPr>
          <w:p w14:paraId="0CE70F11">
            <w:pPr>
              <w:spacing w:line="360" w:lineRule="auto"/>
              <w:jc w:val="center"/>
              <w:rPr>
                <w:rFonts w:ascii="宋体" w:hAnsi="宋体"/>
                <w:color w:val="auto"/>
                <w:szCs w:val="21"/>
                <w:highlight w:val="none"/>
              </w:rPr>
            </w:pPr>
            <w:r>
              <w:rPr>
                <w:rFonts w:hint="eastAsia" w:ascii="宋体" w:hAnsi="宋体"/>
                <w:color w:val="auto"/>
                <w:szCs w:val="21"/>
                <w:highlight w:val="none"/>
              </w:rPr>
              <w:t>/</w:t>
            </w:r>
          </w:p>
        </w:tc>
        <w:tc>
          <w:tcPr>
            <w:tcW w:w="8333" w:type="dxa"/>
            <w:vAlign w:val="center"/>
          </w:tcPr>
          <w:p w14:paraId="5424F67A">
            <w:pPr>
              <w:spacing w:line="360" w:lineRule="auto"/>
              <w:rPr>
                <w:color w:val="auto"/>
                <w:highlight w:val="none"/>
              </w:rPr>
            </w:pPr>
            <w:r>
              <w:rPr>
                <w:rFonts w:hint="eastAsia"/>
                <w:color w:val="auto"/>
                <w:highlight w:val="none"/>
              </w:rPr>
              <w:t>本项目相关公告在以下媒体发布：</w:t>
            </w:r>
          </w:p>
          <w:p w14:paraId="6FC3E2F0">
            <w:pPr>
              <w:spacing w:line="360" w:lineRule="auto"/>
              <w:ind w:firstLine="420" w:firstLineChars="200"/>
              <w:rPr>
                <w:color w:val="auto"/>
                <w:highlight w:val="none"/>
              </w:rPr>
            </w:pPr>
            <w:r>
              <w:rPr>
                <w:rFonts w:hint="eastAsia"/>
                <w:color w:val="auto"/>
                <w:highlight w:val="none"/>
              </w:rPr>
              <w:t>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color w:val="auto"/>
                <w:highlight w:val="none"/>
              </w:rPr>
              <w:t>http</w:t>
            </w:r>
            <w:r>
              <w:rPr>
                <w:rFonts w:hint="eastAsia"/>
                <w:color w:val="auto"/>
                <w:highlight w:val="none"/>
              </w:rPr>
              <w:t>:</w:t>
            </w:r>
            <w:r>
              <w:rPr>
                <w:color w:val="auto"/>
                <w:highlight w:val="none"/>
              </w:rPr>
              <w:t>//www.ccgp.gov.cn</w:t>
            </w:r>
            <w:r>
              <w:rPr>
                <w:rFonts w:hint="eastAsia"/>
                <w:color w:val="auto"/>
                <w:highlight w:val="none"/>
              </w:rPr>
              <w:t>）</w:t>
            </w:r>
            <w:r>
              <w:rPr>
                <w:rFonts w:hint="eastAsia"/>
                <w:color w:val="auto"/>
                <w:highlight w:val="none"/>
              </w:rPr>
              <w:fldChar w:fldCharType="end"/>
            </w:r>
          </w:p>
          <w:p w14:paraId="6F7E7818">
            <w:pPr>
              <w:pStyle w:val="5"/>
              <w:ind w:firstLine="420"/>
              <w:rPr>
                <w:color w:val="auto"/>
                <w:highlight w:val="none"/>
              </w:rPr>
            </w:pPr>
            <w:r>
              <w:rPr>
                <w:rFonts w:hint="eastAsia" w:ascii="Times New Roman" w:hAnsi="Times New Roman" w:eastAsia="宋体"/>
                <w:b w:val="0"/>
                <w:bCs w:val="0"/>
                <w:color w:val="auto"/>
                <w:sz w:val="21"/>
                <w:szCs w:val="24"/>
                <w:highlight w:val="none"/>
              </w:rPr>
              <w:t>有关本项目的竞争性磋商公告、补充（更正）通知、成交结果公示等在上述媒体上公布，公布之日即视为有效送达，不再另行通知。</w:t>
            </w:r>
          </w:p>
        </w:tc>
      </w:tr>
      <w:tr w14:paraId="7D41C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7" w:hRule="atLeast"/>
          <w:jc w:val="center"/>
        </w:trPr>
        <w:tc>
          <w:tcPr>
            <w:tcW w:w="874" w:type="dxa"/>
            <w:vAlign w:val="center"/>
          </w:tcPr>
          <w:p w14:paraId="6845ECB5">
            <w:pPr>
              <w:adjustRightInd w:val="0"/>
              <w:snapToGrid w:val="0"/>
              <w:jc w:val="center"/>
              <w:rPr>
                <w:rFonts w:ascii="宋体" w:hAnsi="宋体"/>
                <w:color w:val="auto"/>
                <w:szCs w:val="21"/>
                <w:highlight w:val="none"/>
              </w:rPr>
            </w:pPr>
            <w:r>
              <w:rPr>
                <w:rFonts w:hint="eastAsia" w:ascii="宋体" w:hAnsi="宋体"/>
                <w:color w:val="auto"/>
                <w:szCs w:val="21"/>
                <w:highlight w:val="none"/>
              </w:rPr>
              <w:t>/</w:t>
            </w:r>
          </w:p>
        </w:tc>
        <w:tc>
          <w:tcPr>
            <w:tcW w:w="8333" w:type="dxa"/>
            <w:vAlign w:val="center"/>
          </w:tcPr>
          <w:p w14:paraId="4CE40D6F">
            <w:pPr>
              <w:adjustRightInd w:val="0"/>
              <w:snapToGrid w:val="0"/>
              <w:jc w:val="left"/>
              <w:rPr>
                <w:color w:val="auto"/>
                <w:highlight w:val="none"/>
              </w:rPr>
            </w:pPr>
            <w:r>
              <w:rPr>
                <w:rFonts w:hint="eastAsia" w:ascii="宋体" w:hAnsi="宋体" w:cs="宋体"/>
                <w:color w:val="auto"/>
                <w:szCs w:val="21"/>
                <w:highlight w:val="none"/>
              </w:rPr>
              <w:t>集中答疑会或现场考察：</w:t>
            </w:r>
            <w:r>
              <w:rPr>
                <w:rFonts w:hint="eastAsia" w:ascii="宋体" w:hAnsi="宋体" w:cs="宋体"/>
                <w:bCs/>
                <w:color w:val="auto"/>
                <w:szCs w:val="21"/>
                <w:highlight w:val="none"/>
              </w:rPr>
              <w:t>不组织踏勘、</w:t>
            </w:r>
            <w:r>
              <w:rPr>
                <w:rFonts w:hint="eastAsia" w:ascii="宋体" w:hAnsi="宋体" w:cs="宋体"/>
                <w:color w:val="auto"/>
                <w:szCs w:val="21"/>
                <w:highlight w:val="none"/>
              </w:rPr>
              <w:t>不举行项目</w:t>
            </w:r>
            <w:r>
              <w:rPr>
                <w:rFonts w:hint="eastAsia" w:ascii="宋体" w:hAnsi="宋体" w:cs="宋体"/>
                <w:bCs/>
                <w:color w:val="auto"/>
                <w:szCs w:val="21"/>
                <w:highlight w:val="none"/>
              </w:rPr>
              <w:t>现场考察或者召开开标前答疑会。</w:t>
            </w:r>
          </w:p>
        </w:tc>
      </w:tr>
      <w:tr w14:paraId="395F6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0322327B">
            <w:pPr>
              <w:spacing w:line="360" w:lineRule="auto"/>
              <w:jc w:val="center"/>
              <w:rPr>
                <w:rFonts w:ascii="宋体" w:hAnsi="宋体"/>
                <w:b/>
                <w:color w:val="auto"/>
                <w:szCs w:val="21"/>
                <w:highlight w:val="none"/>
              </w:rPr>
            </w:pPr>
            <w:r>
              <w:rPr>
                <w:rFonts w:hint="eastAsia" w:ascii="宋体" w:hAnsi="宋体"/>
                <w:b/>
                <w:color w:val="auto"/>
                <w:szCs w:val="21"/>
                <w:highlight w:val="none"/>
              </w:rPr>
              <w:t>响应文件的编制</w:t>
            </w:r>
          </w:p>
        </w:tc>
      </w:tr>
      <w:tr w14:paraId="521D3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43339E53">
            <w:pPr>
              <w:spacing w:line="360" w:lineRule="auto"/>
              <w:jc w:val="center"/>
              <w:rPr>
                <w:rFonts w:ascii="宋体" w:hAnsi="宋体"/>
                <w:color w:val="auto"/>
                <w:szCs w:val="21"/>
                <w:highlight w:val="none"/>
              </w:rPr>
            </w:pPr>
            <w:r>
              <w:rPr>
                <w:rFonts w:hint="eastAsia" w:ascii="宋体" w:hAnsi="宋体"/>
                <w:color w:val="auto"/>
                <w:szCs w:val="21"/>
                <w:highlight w:val="none"/>
              </w:rPr>
              <w:t>9.2</w:t>
            </w:r>
          </w:p>
        </w:tc>
        <w:tc>
          <w:tcPr>
            <w:tcW w:w="8333" w:type="dxa"/>
            <w:vAlign w:val="center"/>
          </w:tcPr>
          <w:p w14:paraId="4C0BB17F">
            <w:pPr>
              <w:spacing w:line="360" w:lineRule="auto"/>
              <w:ind w:firstLine="420" w:firstLineChars="200"/>
              <w:rPr>
                <w:color w:val="auto"/>
                <w:highlight w:val="none"/>
              </w:rPr>
            </w:pPr>
            <w:r>
              <w:rPr>
                <w:rFonts w:hint="eastAsia"/>
                <w:color w:val="auto"/>
                <w:highlight w:val="none"/>
              </w:rPr>
              <w:t>响应报价：供应商须对本项目所有的采购内容进行报价，不允许只对部分内容进行报价。</w:t>
            </w:r>
          </w:p>
          <w:p w14:paraId="51D21B1F">
            <w:pPr>
              <w:spacing w:line="360" w:lineRule="auto"/>
              <w:ind w:firstLine="420" w:firstLineChars="200"/>
              <w:rPr>
                <w:color w:val="auto"/>
                <w:highlight w:val="none"/>
              </w:rPr>
            </w:pPr>
            <w:r>
              <w:rPr>
                <w:rFonts w:hint="eastAsia" w:ascii="宋体" w:hAnsi="宋体"/>
                <w:color w:val="auto"/>
                <w:szCs w:val="21"/>
                <w:highlight w:val="none"/>
              </w:rPr>
              <w:t>响应报价包括：该总金额包括货物设计、制造、仓储、包装、运输及保险、安装及安装辅料、装卸、调试、培训、随机附件、标配工具、货物正常使用所需的配件、质保期服务、一切技术服务和售后服务费用及合同实施执行过程中的不可预见费用等所有的含税费用。所有价格均应以人民币报价，金额单位为元</w:t>
            </w:r>
            <w:r>
              <w:rPr>
                <w:rFonts w:hint="eastAsia"/>
                <w:color w:val="auto"/>
                <w:highlight w:val="none"/>
              </w:rPr>
              <w:t>。</w:t>
            </w:r>
          </w:p>
          <w:p w14:paraId="02C60EE5">
            <w:pPr>
              <w:spacing w:line="360" w:lineRule="auto"/>
              <w:ind w:firstLine="422" w:firstLineChars="200"/>
              <w:rPr>
                <w:color w:val="auto"/>
                <w:highlight w:val="none"/>
              </w:rPr>
            </w:pPr>
            <w:r>
              <w:rPr>
                <w:rFonts w:hint="eastAsia"/>
                <w:b/>
                <w:bCs/>
                <w:color w:val="auto"/>
                <w:highlight w:val="none"/>
              </w:rPr>
              <w:t>报价上限：最高限价总</w:t>
            </w:r>
            <w:r>
              <w:rPr>
                <w:rFonts w:hint="eastAsia" w:ascii="宋体" w:hAnsi="宋体" w:eastAsia="宋体" w:cs="宋体"/>
                <w:b/>
                <w:bCs/>
                <w:color w:val="auto"/>
                <w:highlight w:val="none"/>
              </w:rPr>
              <w:t>价</w:t>
            </w:r>
            <w:r>
              <w:rPr>
                <w:rFonts w:hint="eastAsia" w:ascii="宋体" w:hAnsi="宋体" w:eastAsia="宋体" w:cs="宋体"/>
                <w:b/>
                <w:bCs/>
                <w:color w:val="auto"/>
                <w:highlight w:val="none"/>
                <w:u w:val="single"/>
              </w:rPr>
              <w:t xml:space="preserve"> 748000.00</w:t>
            </w:r>
            <w:r>
              <w:rPr>
                <w:rFonts w:hint="eastAsia"/>
                <w:b/>
                <w:bCs/>
                <w:color w:val="auto"/>
                <w:highlight w:val="none"/>
              </w:rPr>
              <w:t>元，最高限价单价</w:t>
            </w:r>
            <w:r>
              <w:rPr>
                <w:rFonts w:hint="eastAsia" w:ascii="宋体" w:hAnsi="宋体" w:eastAsia="宋体" w:cs="宋体"/>
                <w:b/>
                <w:bCs/>
                <w:color w:val="auto"/>
                <w:highlight w:val="none"/>
                <w:u w:val="single"/>
              </w:rPr>
              <w:t xml:space="preserve"> 详见货物清单 </w:t>
            </w:r>
            <w:r>
              <w:rPr>
                <w:rFonts w:hint="eastAsia"/>
                <w:color w:val="auto"/>
                <w:highlight w:val="none"/>
              </w:rPr>
              <w:t>。供应商响应报价不能高于上述报价上限，否则作无效投标处理。</w:t>
            </w:r>
          </w:p>
        </w:tc>
      </w:tr>
      <w:tr w14:paraId="2C368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2D54B5B8">
            <w:pPr>
              <w:spacing w:line="360" w:lineRule="auto"/>
              <w:jc w:val="center"/>
              <w:rPr>
                <w:rFonts w:ascii="宋体" w:hAnsi="宋体"/>
                <w:color w:val="auto"/>
                <w:szCs w:val="21"/>
                <w:highlight w:val="none"/>
              </w:rPr>
            </w:pPr>
            <w:r>
              <w:rPr>
                <w:rFonts w:hint="eastAsia" w:ascii="宋体" w:hAnsi="宋体"/>
                <w:color w:val="auto"/>
                <w:szCs w:val="21"/>
                <w:highlight w:val="none"/>
              </w:rPr>
              <w:t>12.1</w:t>
            </w:r>
          </w:p>
        </w:tc>
        <w:tc>
          <w:tcPr>
            <w:tcW w:w="8333" w:type="dxa"/>
            <w:vAlign w:val="center"/>
          </w:tcPr>
          <w:p w14:paraId="3E35DB9D">
            <w:pPr>
              <w:spacing w:line="360" w:lineRule="auto"/>
              <w:rPr>
                <w:rFonts w:ascii="宋体" w:hAnsi="宋体"/>
                <w:color w:val="auto"/>
                <w:szCs w:val="21"/>
                <w:highlight w:val="none"/>
              </w:rPr>
            </w:pPr>
            <w:r>
              <w:rPr>
                <w:rFonts w:hint="eastAsia" w:ascii="宋体" w:hAnsi="宋体"/>
                <w:color w:val="auto"/>
                <w:szCs w:val="21"/>
                <w:highlight w:val="none"/>
              </w:rPr>
              <w:t>□本项目无需递交响应保证金</w:t>
            </w:r>
          </w:p>
          <w:p w14:paraId="555B24F4">
            <w:pPr>
              <w:spacing w:line="360" w:lineRule="auto"/>
              <w:rPr>
                <w:rFonts w:ascii="宋体" w:hAnsi="宋体"/>
                <w:color w:val="auto"/>
                <w:szCs w:val="21"/>
                <w:highlight w:val="none"/>
              </w:rPr>
            </w:pPr>
            <w:r>
              <w:rPr>
                <w:rFonts w:hint="eastAsia" w:ascii="宋体" w:hAnsi="宋体"/>
                <w:color w:val="auto"/>
                <w:szCs w:val="21"/>
                <w:highlight w:val="none"/>
              </w:rPr>
              <w:t>☑本项目需要递交响应保证金，要求如下：</w:t>
            </w:r>
          </w:p>
          <w:p w14:paraId="36559813">
            <w:pPr>
              <w:spacing w:line="360" w:lineRule="auto"/>
              <w:rPr>
                <w:rFonts w:ascii="宋体" w:hAnsi="宋体"/>
                <w:b/>
                <w:bCs/>
                <w:color w:val="auto"/>
                <w:szCs w:val="21"/>
                <w:highlight w:val="none"/>
              </w:rPr>
            </w:pPr>
            <w:r>
              <w:rPr>
                <w:rFonts w:hint="eastAsia" w:ascii="宋体" w:hAnsi="宋体"/>
                <w:b/>
                <w:bCs/>
                <w:color w:val="auto"/>
                <w:szCs w:val="21"/>
                <w:highlight w:val="none"/>
              </w:rPr>
              <w:t>投标保证金：14000.00元</w:t>
            </w:r>
          </w:p>
          <w:p w14:paraId="10014C7D">
            <w:pPr>
              <w:spacing w:line="360" w:lineRule="auto"/>
              <w:rPr>
                <w:rFonts w:ascii="宋体" w:hAnsi="宋体"/>
                <w:color w:val="auto"/>
                <w:szCs w:val="21"/>
                <w:highlight w:val="none"/>
              </w:rPr>
            </w:pPr>
            <w:r>
              <w:rPr>
                <w:rFonts w:hint="eastAsia" w:ascii="宋体" w:hAnsi="宋体"/>
                <w:color w:val="auto"/>
                <w:szCs w:val="21"/>
                <w:highlight w:val="none"/>
              </w:rPr>
              <w:t xml:space="preserve">账户名称：公诚管理咨询有限公司                                      </w:t>
            </w:r>
          </w:p>
          <w:p w14:paraId="6AC5A85F">
            <w:pPr>
              <w:spacing w:line="360" w:lineRule="auto"/>
              <w:rPr>
                <w:rFonts w:ascii="宋体" w:hAnsi="宋体"/>
                <w:color w:val="auto"/>
                <w:szCs w:val="21"/>
                <w:highlight w:val="none"/>
              </w:rPr>
            </w:pPr>
            <w:r>
              <w:rPr>
                <w:rFonts w:hint="eastAsia" w:ascii="宋体" w:hAnsi="宋体"/>
                <w:color w:val="auto"/>
                <w:szCs w:val="21"/>
                <w:highlight w:val="none"/>
              </w:rPr>
              <w:t xml:space="preserve">开户行：中信银行广州花园支行                                                 </w:t>
            </w:r>
          </w:p>
          <w:p w14:paraId="4B572B20">
            <w:pPr>
              <w:spacing w:line="360" w:lineRule="auto"/>
              <w:rPr>
                <w:rFonts w:ascii="宋体" w:hAnsi="宋体"/>
                <w:color w:val="auto"/>
                <w:szCs w:val="21"/>
                <w:highlight w:val="none"/>
              </w:rPr>
            </w:pPr>
            <w:r>
              <w:rPr>
                <w:rFonts w:hint="eastAsia" w:ascii="宋体" w:hAnsi="宋体"/>
                <w:color w:val="auto"/>
                <w:szCs w:val="21"/>
                <w:highlight w:val="none"/>
              </w:rPr>
              <w:t>账号：</w:t>
            </w:r>
            <w:r>
              <w:rPr>
                <w:rFonts w:hint="eastAsia"/>
                <w:color w:val="auto"/>
                <w:highlight w:val="none"/>
              </w:rPr>
              <w:t>3110910037672418641</w:t>
            </w:r>
          </w:p>
          <w:p w14:paraId="475F7A64">
            <w:pPr>
              <w:spacing w:line="360" w:lineRule="auto"/>
              <w:rPr>
                <w:rFonts w:ascii="宋体" w:hAnsi="宋体"/>
                <w:color w:val="auto"/>
                <w:szCs w:val="21"/>
                <w:highlight w:val="none"/>
              </w:rPr>
            </w:pPr>
            <w:r>
              <w:rPr>
                <w:rFonts w:hint="eastAsia" w:ascii="宋体" w:hAnsi="宋体"/>
                <w:color w:val="auto"/>
                <w:szCs w:val="21"/>
                <w:highlight w:val="none"/>
              </w:rPr>
              <w:t>1、提交方式：银行转帐、支票、汇票、本票或者金融机构、担保机构出具的保函等形式交纳（除银行转账外，其他须提供原件；采用银行转账方式的，投标截止前将投标保证金转到指定投标保证金账户，实际支付到账时间以投标保证金账户开户银行提供的投标保证金到账凭证所记载的时间为准，投标保证金逾期未到账的潜在供应商的响应将做无效响应）。</w:t>
            </w:r>
          </w:p>
          <w:p w14:paraId="02241DF7">
            <w:pPr>
              <w:spacing w:line="360" w:lineRule="auto"/>
              <w:rPr>
                <w:rFonts w:ascii="宋体" w:hAnsi="宋体"/>
                <w:color w:val="auto"/>
                <w:szCs w:val="21"/>
                <w:highlight w:val="none"/>
              </w:rPr>
            </w:pPr>
            <w:r>
              <w:rPr>
                <w:rFonts w:hint="eastAsia" w:ascii="宋体" w:hAnsi="宋体"/>
                <w:color w:val="auto"/>
                <w:szCs w:val="21"/>
                <w:highlight w:val="none"/>
              </w:rPr>
              <w:t>响应保证金有效期：与响应有效期一致。</w:t>
            </w:r>
          </w:p>
          <w:p w14:paraId="42271228">
            <w:pPr>
              <w:spacing w:line="360" w:lineRule="auto"/>
              <w:rPr>
                <w:rFonts w:ascii="宋体" w:hAnsi="宋体"/>
                <w:color w:val="auto"/>
                <w:szCs w:val="21"/>
                <w:highlight w:val="none"/>
              </w:rPr>
            </w:pPr>
            <w:r>
              <w:rPr>
                <w:rFonts w:hint="eastAsia" w:ascii="宋体" w:hAnsi="宋体"/>
                <w:color w:val="auto"/>
                <w:szCs w:val="21"/>
                <w:highlight w:val="none"/>
              </w:rPr>
              <w:t>2、电子保函：供应商可</w:t>
            </w:r>
            <w:r>
              <w:rPr>
                <w:rFonts w:ascii="宋体" w:hAnsi="宋体"/>
                <w:color w:val="auto"/>
                <w:szCs w:val="21"/>
                <w:highlight w:val="none"/>
              </w:rPr>
              <w:t>选择具有电子投标保函资质的机构开具电子投标保函，电子投标保函中须载明线上查验方法，且保函查验结果为真，同时将电子保函上传至诚E招。</w:t>
            </w:r>
          </w:p>
          <w:p w14:paraId="626EDC59">
            <w:pPr>
              <w:spacing w:line="360" w:lineRule="auto"/>
              <w:rPr>
                <w:rFonts w:ascii="宋体" w:hAnsi="宋体"/>
                <w:color w:val="auto"/>
                <w:szCs w:val="21"/>
                <w:highlight w:val="none"/>
              </w:rPr>
            </w:pPr>
            <w:r>
              <w:rPr>
                <w:rFonts w:hint="eastAsia" w:ascii="宋体" w:hAnsi="宋体"/>
                <w:color w:val="auto"/>
                <w:szCs w:val="21"/>
                <w:highlight w:val="none"/>
              </w:rPr>
              <w:t>3、纸质保函：通过金融机构、专业担保机构开具的纸质保函，须密封递交原件，</w:t>
            </w:r>
            <w:r>
              <w:rPr>
                <w:rFonts w:ascii="宋体" w:hAnsi="宋体"/>
                <w:color w:val="auto"/>
                <w:szCs w:val="21"/>
                <w:highlight w:val="none"/>
              </w:rPr>
              <w:t>同时将</w:t>
            </w:r>
            <w:r>
              <w:rPr>
                <w:rFonts w:hint="eastAsia" w:ascii="宋体" w:hAnsi="宋体"/>
                <w:color w:val="auto"/>
                <w:szCs w:val="21"/>
                <w:highlight w:val="none"/>
              </w:rPr>
              <w:t>纸质</w:t>
            </w:r>
            <w:r>
              <w:rPr>
                <w:rFonts w:ascii="宋体" w:hAnsi="宋体"/>
                <w:color w:val="auto"/>
                <w:szCs w:val="21"/>
                <w:highlight w:val="none"/>
              </w:rPr>
              <w:t>保函</w:t>
            </w:r>
            <w:r>
              <w:rPr>
                <w:rFonts w:hint="eastAsia" w:ascii="宋体" w:hAnsi="宋体"/>
                <w:color w:val="auto"/>
                <w:szCs w:val="21"/>
                <w:highlight w:val="none"/>
              </w:rPr>
              <w:t>扫描</w:t>
            </w:r>
            <w:r>
              <w:rPr>
                <w:rFonts w:ascii="宋体" w:hAnsi="宋体"/>
                <w:color w:val="auto"/>
                <w:szCs w:val="21"/>
                <w:highlight w:val="none"/>
              </w:rPr>
              <w:t>上传至诚E招</w:t>
            </w:r>
            <w:r>
              <w:rPr>
                <w:rFonts w:hint="eastAsia" w:ascii="宋体" w:hAnsi="宋体"/>
                <w:color w:val="auto"/>
                <w:szCs w:val="21"/>
                <w:highlight w:val="none"/>
              </w:rPr>
              <w:t>。</w:t>
            </w:r>
          </w:p>
        </w:tc>
      </w:tr>
      <w:tr w14:paraId="4FB7D3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297E58C3">
            <w:pPr>
              <w:spacing w:line="360" w:lineRule="auto"/>
              <w:jc w:val="center"/>
              <w:rPr>
                <w:rFonts w:ascii="宋体" w:hAnsi="宋体"/>
                <w:color w:val="auto"/>
                <w:szCs w:val="21"/>
                <w:highlight w:val="none"/>
              </w:rPr>
            </w:pPr>
            <w:r>
              <w:rPr>
                <w:rFonts w:hint="eastAsia" w:ascii="宋体" w:hAnsi="宋体"/>
                <w:color w:val="auto"/>
                <w:szCs w:val="21"/>
                <w:highlight w:val="none"/>
              </w:rPr>
              <w:t>13.1</w:t>
            </w:r>
          </w:p>
        </w:tc>
        <w:tc>
          <w:tcPr>
            <w:tcW w:w="8333" w:type="dxa"/>
            <w:vAlign w:val="center"/>
          </w:tcPr>
          <w:p w14:paraId="766219F7">
            <w:pPr>
              <w:spacing w:line="360" w:lineRule="auto"/>
              <w:rPr>
                <w:rFonts w:ascii="宋体" w:hAnsi="宋体"/>
                <w:color w:val="auto"/>
                <w:szCs w:val="21"/>
                <w:highlight w:val="none"/>
              </w:rPr>
            </w:pPr>
            <w:r>
              <w:rPr>
                <w:rFonts w:hint="eastAsia" w:ascii="宋体" w:hAnsi="宋体"/>
                <w:color w:val="auto"/>
                <w:szCs w:val="21"/>
                <w:highlight w:val="none"/>
              </w:rPr>
              <w:t>响应有效期：从提交响应文件的截止之日起90日历天。</w:t>
            </w:r>
          </w:p>
        </w:tc>
      </w:tr>
      <w:tr w14:paraId="15F297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7784E49A">
            <w:pPr>
              <w:spacing w:line="360" w:lineRule="auto"/>
              <w:jc w:val="center"/>
              <w:rPr>
                <w:rFonts w:ascii="宋体" w:hAnsi="宋体"/>
                <w:color w:val="auto"/>
                <w:szCs w:val="21"/>
                <w:highlight w:val="none"/>
              </w:rPr>
            </w:pPr>
            <w:r>
              <w:rPr>
                <w:rFonts w:hint="eastAsia" w:ascii="宋体" w:hAnsi="宋体"/>
                <w:color w:val="auto"/>
                <w:szCs w:val="21"/>
                <w:highlight w:val="none"/>
              </w:rPr>
              <w:t>14.1</w:t>
            </w:r>
          </w:p>
        </w:tc>
        <w:tc>
          <w:tcPr>
            <w:tcW w:w="8333" w:type="dxa"/>
            <w:vAlign w:val="center"/>
          </w:tcPr>
          <w:p w14:paraId="3729DF70">
            <w:pPr>
              <w:rPr>
                <w:color w:val="auto"/>
                <w:szCs w:val="21"/>
                <w:highlight w:val="none"/>
              </w:rPr>
            </w:pPr>
            <w:r>
              <w:rPr>
                <w:rFonts w:hint="eastAsia"/>
                <w:color w:val="auto"/>
                <w:szCs w:val="21"/>
                <w:highlight w:val="none"/>
              </w:rPr>
              <w:t>1、正本1份，副本2份，电子文件1份；正本与副本不一致时，以正本为准。</w:t>
            </w:r>
          </w:p>
          <w:p w14:paraId="3C3370C9">
            <w:pPr>
              <w:spacing w:line="360" w:lineRule="auto"/>
              <w:rPr>
                <w:color w:val="auto"/>
                <w:szCs w:val="21"/>
                <w:highlight w:val="none"/>
              </w:rPr>
            </w:pPr>
            <w:r>
              <w:rPr>
                <w:color w:val="auto"/>
                <w:szCs w:val="21"/>
                <w:highlight w:val="none"/>
              </w:rPr>
              <w:t>2</w:t>
            </w:r>
            <w:r>
              <w:rPr>
                <w:rFonts w:hint="eastAsia"/>
                <w:color w:val="auto"/>
                <w:szCs w:val="21"/>
                <w:highlight w:val="none"/>
              </w:rPr>
              <w:t>、电子文件：应包含纸质响应文件全部内容，WORD可编辑格式、签字盖章后扫描的PDF格式电子文档各1份，图纸文件应采用DWG格式或JPG格式；以</w:t>
            </w:r>
            <w:r>
              <w:rPr>
                <w:color w:val="auto"/>
                <w:szCs w:val="21"/>
                <w:highlight w:val="none"/>
              </w:rPr>
              <w:t>U盘</w:t>
            </w:r>
            <w:r>
              <w:rPr>
                <w:rFonts w:hint="eastAsia"/>
                <w:color w:val="auto"/>
                <w:szCs w:val="21"/>
                <w:highlight w:val="none"/>
              </w:rPr>
              <w:t>或刻录光盘</w:t>
            </w:r>
            <w:r>
              <w:rPr>
                <w:color w:val="auto"/>
                <w:szCs w:val="21"/>
                <w:highlight w:val="none"/>
              </w:rPr>
              <w:t>形式存储</w:t>
            </w:r>
            <w:r>
              <w:rPr>
                <w:rFonts w:hint="eastAsia"/>
                <w:color w:val="auto"/>
                <w:szCs w:val="21"/>
                <w:highlight w:val="none"/>
              </w:rPr>
              <w:t>，不留密码，无病毒，不压缩，密封提交；</w:t>
            </w:r>
            <w:r>
              <w:rPr>
                <w:color w:val="auto"/>
                <w:szCs w:val="21"/>
                <w:highlight w:val="none"/>
              </w:rPr>
              <w:t>电子</w:t>
            </w:r>
            <w:r>
              <w:rPr>
                <w:rFonts w:hint="eastAsia"/>
                <w:color w:val="auto"/>
                <w:szCs w:val="21"/>
                <w:highlight w:val="none"/>
              </w:rPr>
              <w:t>文件</w:t>
            </w:r>
            <w:r>
              <w:rPr>
                <w:color w:val="auto"/>
                <w:szCs w:val="21"/>
                <w:highlight w:val="none"/>
              </w:rPr>
              <w:t>中应</w:t>
            </w:r>
            <w:r>
              <w:rPr>
                <w:rFonts w:hint="eastAsia"/>
                <w:color w:val="auto"/>
                <w:szCs w:val="21"/>
                <w:highlight w:val="none"/>
              </w:rPr>
              <w:t>包含</w:t>
            </w:r>
            <w:r>
              <w:rPr>
                <w:color w:val="auto"/>
                <w:szCs w:val="21"/>
                <w:highlight w:val="none"/>
              </w:rPr>
              <w:t>Word</w:t>
            </w:r>
            <w:r>
              <w:rPr>
                <w:rFonts w:hint="eastAsia"/>
                <w:color w:val="auto"/>
                <w:szCs w:val="21"/>
                <w:highlight w:val="none"/>
              </w:rPr>
              <w:t>、Excel</w:t>
            </w:r>
            <w:r>
              <w:rPr>
                <w:color w:val="auto"/>
                <w:szCs w:val="21"/>
                <w:highlight w:val="none"/>
              </w:rPr>
              <w:t>等可编辑</w:t>
            </w:r>
            <w:r>
              <w:rPr>
                <w:rFonts w:hint="eastAsia"/>
                <w:color w:val="auto"/>
                <w:szCs w:val="21"/>
                <w:highlight w:val="none"/>
              </w:rPr>
              <w:t>文档和签字盖章后的P</w:t>
            </w:r>
            <w:r>
              <w:rPr>
                <w:color w:val="auto"/>
                <w:szCs w:val="21"/>
                <w:highlight w:val="none"/>
              </w:rPr>
              <w:t>DF</w:t>
            </w:r>
            <w:r>
              <w:rPr>
                <w:rFonts w:hint="eastAsia"/>
                <w:color w:val="auto"/>
                <w:szCs w:val="21"/>
                <w:highlight w:val="none"/>
              </w:rPr>
              <w:t>扫描件</w:t>
            </w:r>
            <w:r>
              <w:rPr>
                <w:color w:val="auto"/>
                <w:szCs w:val="21"/>
                <w:highlight w:val="none"/>
              </w:rPr>
              <w:t>。</w:t>
            </w:r>
          </w:p>
        </w:tc>
      </w:tr>
      <w:tr w14:paraId="173F74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4C7FEC9B">
            <w:pPr>
              <w:spacing w:line="360" w:lineRule="auto"/>
              <w:jc w:val="center"/>
              <w:rPr>
                <w:rFonts w:ascii="宋体" w:hAnsi="宋体"/>
                <w:color w:val="auto"/>
                <w:szCs w:val="21"/>
                <w:highlight w:val="none"/>
              </w:rPr>
            </w:pPr>
            <w:r>
              <w:rPr>
                <w:rFonts w:hint="eastAsia" w:ascii="宋体" w:hAnsi="宋体"/>
                <w:color w:val="auto"/>
                <w:szCs w:val="21"/>
                <w:highlight w:val="none"/>
              </w:rPr>
              <w:t>15.1</w:t>
            </w:r>
          </w:p>
        </w:tc>
        <w:tc>
          <w:tcPr>
            <w:tcW w:w="8333" w:type="dxa"/>
            <w:vAlign w:val="center"/>
          </w:tcPr>
          <w:p w14:paraId="4CD1F2ED">
            <w:pPr>
              <w:spacing w:line="360" w:lineRule="auto"/>
              <w:rPr>
                <w:rFonts w:ascii="宋体" w:hAnsi="宋体"/>
                <w:color w:val="auto"/>
                <w:szCs w:val="21"/>
                <w:highlight w:val="none"/>
              </w:rPr>
            </w:pPr>
            <w:r>
              <w:rPr>
                <w:rFonts w:hint="eastAsia" w:ascii="宋体" w:hAnsi="宋体"/>
                <w:color w:val="auto"/>
                <w:szCs w:val="21"/>
                <w:highlight w:val="none"/>
              </w:rPr>
              <w:t>响应文件的密封：响应文件正本与副本可以单独密封包装，也可以所有响应文件密封包装在一个密封袋内。密封袋的封口处应粘贴处理。</w:t>
            </w:r>
          </w:p>
        </w:tc>
      </w:tr>
      <w:tr w14:paraId="110D71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647F6422">
            <w:pPr>
              <w:spacing w:line="360" w:lineRule="auto"/>
              <w:jc w:val="center"/>
              <w:rPr>
                <w:rFonts w:ascii="宋体" w:hAnsi="宋体"/>
                <w:b/>
                <w:color w:val="auto"/>
                <w:szCs w:val="21"/>
                <w:highlight w:val="none"/>
              </w:rPr>
            </w:pPr>
            <w:r>
              <w:rPr>
                <w:rFonts w:hint="eastAsia" w:ascii="宋体" w:hAnsi="宋体"/>
                <w:b/>
                <w:color w:val="auto"/>
                <w:szCs w:val="21"/>
                <w:highlight w:val="none"/>
              </w:rPr>
              <w:t>响应文件的递交</w:t>
            </w:r>
          </w:p>
        </w:tc>
      </w:tr>
      <w:tr w14:paraId="1BCD2D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0511EC86">
            <w:pPr>
              <w:spacing w:line="360" w:lineRule="auto"/>
              <w:jc w:val="center"/>
              <w:rPr>
                <w:rFonts w:ascii="宋体" w:hAnsi="宋体"/>
                <w:color w:val="auto"/>
                <w:szCs w:val="21"/>
                <w:highlight w:val="none"/>
              </w:rPr>
            </w:pPr>
            <w:r>
              <w:rPr>
                <w:rFonts w:hint="eastAsia" w:ascii="宋体" w:hAnsi="宋体"/>
                <w:color w:val="auto"/>
                <w:szCs w:val="21"/>
                <w:highlight w:val="none"/>
              </w:rPr>
              <w:t>16.1</w:t>
            </w:r>
          </w:p>
        </w:tc>
        <w:tc>
          <w:tcPr>
            <w:tcW w:w="8333" w:type="dxa"/>
            <w:vAlign w:val="center"/>
          </w:tcPr>
          <w:p w14:paraId="59B2DE56">
            <w:pPr>
              <w:spacing w:line="360" w:lineRule="auto"/>
              <w:rPr>
                <w:rFonts w:ascii="宋体" w:hAnsi="宋体"/>
                <w:color w:val="auto"/>
                <w:szCs w:val="21"/>
                <w:highlight w:val="none"/>
              </w:rPr>
            </w:pPr>
            <w:r>
              <w:rPr>
                <w:rFonts w:hint="eastAsia" w:ascii="宋体" w:hAnsi="宋体"/>
                <w:color w:val="auto"/>
                <w:szCs w:val="21"/>
                <w:highlight w:val="none"/>
              </w:rPr>
              <w:t>响应时间、地点详见《磋商邀请》。</w:t>
            </w:r>
          </w:p>
        </w:tc>
      </w:tr>
      <w:tr w14:paraId="76C9E8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1BA4B498">
            <w:pPr>
              <w:spacing w:line="360" w:lineRule="auto"/>
              <w:jc w:val="center"/>
              <w:rPr>
                <w:rFonts w:ascii="宋体" w:hAnsi="宋体"/>
                <w:b/>
                <w:color w:val="auto"/>
                <w:szCs w:val="21"/>
                <w:highlight w:val="none"/>
              </w:rPr>
            </w:pPr>
            <w:r>
              <w:rPr>
                <w:rFonts w:hint="eastAsia" w:ascii="宋体" w:hAnsi="宋体"/>
                <w:b/>
                <w:color w:val="auto"/>
                <w:szCs w:val="21"/>
                <w:highlight w:val="none"/>
              </w:rPr>
              <w:t>开标、评标、定标</w:t>
            </w:r>
          </w:p>
        </w:tc>
      </w:tr>
      <w:tr w14:paraId="2EC37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0E72657C">
            <w:pPr>
              <w:spacing w:line="360" w:lineRule="auto"/>
              <w:jc w:val="center"/>
              <w:rPr>
                <w:rFonts w:ascii="宋体" w:hAnsi="宋体"/>
                <w:color w:val="auto"/>
                <w:szCs w:val="21"/>
                <w:highlight w:val="none"/>
              </w:rPr>
            </w:pPr>
            <w:r>
              <w:rPr>
                <w:rFonts w:hint="eastAsia" w:ascii="宋体" w:hAnsi="宋体"/>
                <w:color w:val="auto"/>
                <w:szCs w:val="21"/>
                <w:highlight w:val="none"/>
              </w:rPr>
              <w:t>18.1</w:t>
            </w:r>
          </w:p>
        </w:tc>
        <w:tc>
          <w:tcPr>
            <w:tcW w:w="8333" w:type="dxa"/>
            <w:vAlign w:val="center"/>
          </w:tcPr>
          <w:p w14:paraId="74CC0F9D">
            <w:pPr>
              <w:spacing w:line="360" w:lineRule="auto"/>
              <w:rPr>
                <w:rFonts w:ascii="宋体" w:hAnsi="宋体"/>
                <w:color w:val="auto"/>
                <w:szCs w:val="21"/>
                <w:highlight w:val="none"/>
              </w:rPr>
            </w:pPr>
            <w:r>
              <w:rPr>
                <w:rFonts w:hint="eastAsia" w:ascii="宋体" w:hAnsi="宋体"/>
                <w:color w:val="auto"/>
                <w:szCs w:val="21"/>
                <w:highlight w:val="none"/>
              </w:rPr>
              <w:t>开标时间、地点详见《磋商邀请》。</w:t>
            </w:r>
          </w:p>
        </w:tc>
      </w:tr>
      <w:tr w14:paraId="3F13ED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1EAD3B21">
            <w:pPr>
              <w:spacing w:line="360" w:lineRule="auto"/>
              <w:jc w:val="center"/>
              <w:rPr>
                <w:rFonts w:ascii="宋体" w:hAnsi="宋体"/>
                <w:color w:val="auto"/>
                <w:szCs w:val="21"/>
                <w:highlight w:val="none"/>
              </w:rPr>
            </w:pPr>
            <w:r>
              <w:rPr>
                <w:rFonts w:hint="eastAsia" w:ascii="宋体" w:hAnsi="宋体"/>
                <w:color w:val="auto"/>
                <w:szCs w:val="21"/>
                <w:highlight w:val="none"/>
              </w:rPr>
              <w:t>19.1</w:t>
            </w:r>
          </w:p>
        </w:tc>
        <w:tc>
          <w:tcPr>
            <w:tcW w:w="8333" w:type="dxa"/>
            <w:vAlign w:val="center"/>
          </w:tcPr>
          <w:p w14:paraId="46FD34FC">
            <w:pPr>
              <w:pStyle w:val="14"/>
              <w:spacing w:line="360" w:lineRule="auto"/>
              <w:ind w:firstLine="422"/>
              <w:rPr>
                <w:rFonts w:ascii="宋体" w:hAnsi="宋体" w:eastAsia="宋体"/>
                <w:color w:val="auto"/>
                <w:sz w:val="21"/>
                <w:szCs w:val="21"/>
                <w:highlight w:val="none"/>
              </w:rPr>
            </w:pPr>
            <w:r>
              <w:rPr>
                <w:rFonts w:hint="eastAsia" w:ascii="宋体" w:hAnsi="宋体" w:eastAsia="宋体"/>
                <w:color w:val="auto"/>
                <w:sz w:val="21"/>
                <w:szCs w:val="21"/>
                <w:highlight w:val="none"/>
              </w:rPr>
              <w:t>本项目的磋商评审由依法组建的磋商小组负责，其成员由采购人代表和有关技术、经济等方面的专家共</w:t>
            </w:r>
            <w:r>
              <w:rPr>
                <w:rFonts w:hint="eastAsia" w:ascii="宋体" w:hAnsi="宋体" w:eastAsia="宋体"/>
                <w:color w:val="auto"/>
                <w:sz w:val="21"/>
                <w:szCs w:val="21"/>
                <w:highlight w:val="none"/>
                <w:u w:val="single"/>
              </w:rPr>
              <w:t xml:space="preserve"> 3 </w:t>
            </w:r>
            <w:r>
              <w:rPr>
                <w:rFonts w:hint="eastAsia" w:ascii="宋体" w:hAnsi="宋体" w:eastAsia="宋体"/>
                <w:color w:val="auto"/>
                <w:sz w:val="21"/>
                <w:szCs w:val="21"/>
                <w:highlight w:val="none"/>
              </w:rPr>
              <w:t>人组成，其中采购人代表</w:t>
            </w:r>
            <w:r>
              <w:rPr>
                <w:rFonts w:hint="eastAsia" w:ascii="宋体" w:hAnsi="宋体" w:eastAsia="宋体"/>
                <w:color w:val="auto"/>
                <w:sz w:val="21"/>
                <w:szCs w:val="21"/>
                <w:highlight w:val="none"/>
                <w:u w:val="single"/>
              </w:rPr>
              <w:t xml:space="preserve"> 1 </w:t>
            </w:r>
            <w:r>
              <w:rPr>
                <w:rFonts w:hint="eastAsia" w:ascii="宋体" w:hAnsi="宋体" w:eastAsia="宋体"/>
                <w:color w:val="auto"/>
                <w:sz w:val="21"/>
                <w:szCs w:val="21"/>
                <w:highlight w:val="none"/>
              </w:rPr>
              <w:t>人，技术、经济方面的专家</w:t>
            </w:r>
            <w:r>
              <w:rPr>
                <w:rFonts w:hint="eastAsia" w:ascii="宋体" w:hAnsi="宋体" w:eastAsia="宋体"/>
                <w:color w:val="auto"/>
                <w:sz w:val="21"/>
                <w:szCs w:val="21"/>
                <w:highlight w:val="none"/>
                <w:u w:val="single"/>
              </w:rPr>
              <w:t xml:space="preserve"> 2 </w:t>
            </w:r>
            <w:r>
              <w:rPr>
                <w:rFonts w:hint="eastAsia" w:ascii="宋体" w:hAnsi="宋体" w:eastAsia="宋体"/>
                <w:color w:val="auto"/>
                <w:sz w:val="21"/>
                <w:szCs w:val="21"/>
                <w:highlight w:val="none"/>
              </w:rPr>
              <w:t>人组成。专家在政府采购专家库中随机抽取，招标代理机构工作人员不作为磋商小组成员。</w:t>
            </w:r>
          </w:p>
        </w:tc>
      </w:tr>
      <w:tr w14:paraId="57EC2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5466EC99">
            <w:pPr>
              <w:spacing w:line="360" w:lineRule="auto"/>
              <w:jc w:val="center"/>
              <w:rPr>
                <w:rFonts w:ascii="宋体" w:hAnsi="宋体"/>
                <w:color w:val="auto"/>
                <w:szCs w:val="21"/>
                <w:highlight w:val="none"/>
              </w:rPr>
            </w:pPr>
            <w:r>
              <w:rPr>
                <w:rFonts w:hint="eastAsia" w:ascii="宋体" w:hAnsi="宋体"/>
                <w:color w:val="auto"/>
                <w:szCs w:val="21"/>
                <w:highlight w:val="none"/>
              </w:rPr>
              <w:t>20.1</w:t>
            </w:r>
          </w:p>
        </w:tc>
        <w:tc>
          <w:tcPr>
            <w:tcW w:w="8333" w:type="dxa"/>
            <w:vAlign w:val="center"/>
          </w:tcPr>
          <w:p w14:paraId="35037B3D">
            <w:pPr>
              <w:keepLines/>
              <w:widowControl/>
              <w:tabs>
                <w:tab w:val="left" w:pos="-30"/>
              </w:tabs>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在响应文件审查过程中，如发现下列情况之一的，其投标将被视为未实质性响应采购文件而作无效投标处理：</w:t>
            </w:r>
          </w:p>
          <w:p w14:paraId="7D95F62B">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olor w:val="auto"/>
                <w:highlight w:val="none"/>
              </w:rPr>
              <w:t>、未按照采购文件的规定提交投标保证金的；</w:t>
            </w:r>
          </w:p>
          <w:p w14:paraId="7B6AF601">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、采购文件明示盖公章处未加盖公章的；</w:t>
            </w:r>
          </w:p>
          <w:p w14:paraId="2144FE73">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3</w:t>
            </w:r>
            <w:r>
              <w:rPr>
                <w:rFonts w:hint="eastAsia" w:ascii="宋体" w:hAnsi="宋体" w:eastAsia="宋体"/>
                <w:color w:val="auto"/>
                <w:highlight w:val="none"/>
              </w:rPr>
              <w:t>、采购文件明示需供应商代表签字或盖章处未签字或盖章的；</w:t>
            </w:r>
          </w:p>
          <w:p w14:paraId="56D04C69">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4</w:t>
            </w:r>
            <w:r>
              <w:rPr>
                <w:rFonts w:hint="eastAsia" w:ascii="宋体" w:hAnsi="宋体" w:eastAsia="宋体"/>
                <w:color w:val="auto"/>
                <w:highlight w:val="none"/>
              </w:rPr>
              <w:t>、响应文件签字代表不是单位负责人或其授权代表的；</w:t>
            </w:r>
          </w:p>
          <w:p w14:paraId="358873A5">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5</w:t>
            </w:r>
            <w:r>
              <w:rPr>
                <w:rFonts w:hint="eastAsia" w:ascii="宋体" w:hAnsi="宋体" w:eastAsia="宋体"/>
                <w:color w:val="auto"/>
                <w:highlight w:val="none"/>
              </w:rPr>
              <w:t>、供应商不满足资格要求或资格证明文件不全的；</w:t>
            </w:r>
          </w:p>
          <w:p w14:paraId="767E60F8">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6</w:t>
            </w:r>
            <w:r>
              <w:rPr>
                <w:rFonts w:hint="eastAsia" w:ascii="宋体" w:hAnsi="宋体" w:eastAsia="宋体"/>
                <w:color w:val="auto"/>
                <w:highlight w:val="none"/>
              </w:rPr>
              <w:t>、响应报价超过项目预算总价或最高限价的；</w:t>
            </w:r>
          </w:p>
          <w:p w14:paraId="687118CC">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7</w:t>
            </w:r>
            <w:r>
              <w:rPr>
                <w:rFonts w:hint="eastAsia" w:ascii="宋体" w:hAnsi="宋体" w:eastAsia="宋体"/>
                <w:color w:val="auto"/>
                <w:highlight w:val="none"/>
              </w:rPr>
              <w:t>、响应文件不满足本项目的实质性技术与商务的条款；</w:t>
            </w:r>
          </w:p>
          <w:p w14:paraId="1DA097B7">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8</w:t>
            </w:r>
            <w:r>
              <w:rPr>
                <w:rFonts w:hint="eastAsia" w:ascii="宋体" w:hAnsi="宋体" w:eastAsia="宋体"/>
                <w:color w:val="auto"/>
                <w:highlight w:val="none"/>
              </w:rPr>
              <w:t>、响应有效期不足的；</w:t>
            </w:r>
          </w:p>
          <w:p w14:paraId="2C4146FD">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ascii="宋体" w:hAnsi="宋体" w:eastAsia="宋体"/>
                <w:color w:val="auto"/>
                <w:highlight w:val="none"/>
              </w:rPr>
              <w:t>9</w:t>
            </w:r>
            <w:r>
              <w:rPr>
                <w:rFonts w:hint="eastAsia" w:ascii="宋体" w:hAnsi="宋体" w:eastAsia="宋体"/>
                <w:color w:val="auto"/>
                <w:highlight w:val="none"/>
              </w:rPr>
              <w:t>、响应文件含有采购人不能接受的附加条件的；</w:t>
            </w:r>
          </w:p>
          <w:p w14:paraId="1BB9BCBF">
            <w:pPr>
              <w:pStyle w:val="25"/>
              <w:widowControl/>
              <w:tabs>
                <w:tab w:val="left" w:pos="332"/>
                <w:tab w:val="left" w:pos="363"/>
              </w:tabs>
              <w:adjustRightInd w:val="0"/>
              <w:snapToGrid w:val="0"/>
              <w:spacing w:line="360" w:lineRule="auto"/>
              <w:ind w:left="315" w:hanging="315" w:hangingChars="150"/>
              <w:rPr>
                <w:rFonts w:ascii="宋体" w:hAnsi="宋体"/>
                <w:color w:val="auto"/>
                <w:highlight w:val="none"/>
              </w:rPr>
            </w:pPr>
            <w:r>
              <w:rPr>
                <w:rFonts w:ascii="宋体" w:hAnsi="宋体" w:eastAsia="宋体"/>
                <w:color w:val="auto"/>
                <w:highlight w:val="none"/>
              </w:rPr>
              <w:t>10</w:t>
            </w:r>
            <w:r>
              <w:rPr>
                <w:rFonts w:hint="eastAsia" w:ascii="宋体" w:hAnsi="宋体" w:eastAsia="宋体"/>
                <w:color w:val="auto"/>
                <w:highlight w:val="none"/>
              </w:rPr>
              <w:t>、不符合法律、法规和采购文件规定的其他无效投标情形。</w:t>
            </w:r>
          </w:p>
        </w:tc>
      </w:tr>
      <w:tr w14:paraId="4B7D85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730B237B">
            <w:pPr>
              <w:spacing w:line="360" w:lineRule="auto"/>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2</w:t>
            </w:r>
          </w:p>
        </w:tc>
        <w:tc>
          <w:tcPr>
            <w:tcW w:w="8333" w:type="dxa"/>
            <w:vAlign w:val="center"/>
          </w:tcPr>
          <w:p w14:paraId="1DC1C5FA">
            <w:pPr>
              <w:pStyle w:val="21"/>
              <w:keepLines/>
              <w:widowControl/>
              <w:tabs>
                <w:tab w:val="left" w:pos="753"/>
              </w:tabs>
              <w:ind w:left="752" w:hanging="751" w:hangingChars="358"/>
              <w:rPr>
                <w:rFonts w:ascii="宋体" w:hAnsi="宋体" w:cs="微软雅黑"/>
                <w:color w:val="auto"/>
                <w:szCs w:val="21"/>
                <w:highlight w:val="none"/>
              </w:rPr>
            </w:pPr>
            <w:r>
              <w:rPr>
                <w:rFonts w:hint="eastAsia" w:ascii="宋体" w:hAnsi="宋体" w:cs="微软雅黑"/>
                <w:color w:val="auto"/>
                <w:szCs w:val="21"/>
                <w:highlight w:val="none"/>
              </w:rPr>
              <w:t>本项目采用综合评分法来确定成交候选供应商，其操作程序为：</w:t>
            </w:r>
          </w:p>
          <w:p w14:paraId="52BF4232">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hint="eastAsia" w:ascii="宋体" w:hAnsi="宋体" w:eastAsia="宋体"/>
                <w:color w:val="auto"/>
                <w:highlight w:val="none"/>
              </w:rPr>
              <w:t>1、</w:t>
            </w:r>
            <w:r>
              <w:rPr>
                <w:rFonts w:ascii="宋体" w:hAnsi="宋体" w:eastAsia="宋体"/>
                <w:color w:val="auto"/>
                <w:highlight w:val="none"/>
              </w:rPr>
              <w:t>按照“</w:t>
            </w:r>
            <w:r>
              <w:rPr>
                <w:rFonts w:hint="eastAsia" w:ascii="宋体" w:hAnsi="宋体" w:eastAsia="宋体"/>
                <w:color w:val="auto"/>
                <w:highlight w:val="none"/>
              </w:rPr>
              <w:t>供应商须知前附表</w:t>
            </w:r>
            <w:r>
              <w:rPr>
                <w:rFonts w:ascii="宋体" w:hAnsi="宋体" w:eastAsia="宋体"/>
                <w:color w:val="auto"/>
                <w:highlight w:val="none"/>
              </w:rPr>
              <w:t>”</w:t>
            </w:r>
            <w:r>
              <w:rPr>
                <w:rFonts w:hint="eastAsia" w:ascii="宋体" w:hAnsi="宋体" w:eastAsia="宋体"/>
                <w:color w:val="auto"/>
                <w:highlight w:val="none"/>
              </w:rPr>
              <w:t>20.1款对所有供应商进行资格审查和符合性审查。</w:t>
            </w:r>
          </w:p>
          <w:p w14:paraId="78A0D9C8">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hint="eastAsia" w:ascii="宋体" w:hAnsi="宋体" w:eastAsia="宋体"/>
                <w:color w:val="auto"/>
                <w:highlight w:val="none"/>
              </w:rPr>
              <w:t>2、对通过资格审查和符合性审查的供应商，进入价格磋商环节，再按照商务、技术评价指标和各评价指标的分值及详细评分细则进行评分。</w:t>
            </w:r>
          </w:p>
          <w:p w14:paraId="7F19BF5C">
            <w:pPr>
              <w:pStyle w:val="25"/>
              <w:widowControl/>
              <w:tabs>
                <w:tab w:val="left" w:pos="332"/>
                <w:tab w:val="left" w:pos="363"/>
              </w:tabs>
              <w:adjustRightInd w:val="0"/>
              <w:snapToGrid w:val="0"/>
              <w:spacing w:line="360" w:lineRule="auto"/>
              <w:ind w:left="315" w:hanging="315" w:hangingChars="150"/>
              <w:rPr>
                <w:rFonts w:ascii="宋体" w:hAnsi="宋体" w:eastAsia="宋体"/>
                <w:color w:val="auto"/>
                <w:highlight w:val="none"/>
              </w:rPr>
            </w:pPr>
            <w:r>
              <w:rPr>
                <w:rFonts w:hint="eastAsia" w:ascii="宋体" w:hAnsi="宋体" w:eastAsia="宋体"/>
                <w:color w:val="auto"/>
                <w:highlight w:val="none"/>
              </w:rPr>
              <w:t>3、由评委独立地根据价格指标以外的各项指标的评价标准，结合每个供应商的实际情况，分别就各项指标对每个供应商独立打分。</w:t>
            </w:r>
          </w:p>
          <w:p w14:paraId="6FFDF7D1">
            <w:pPr>
              <w:pStyle w:val="25"/>
              <w:widowControl/>
              <w:tabs>
                <w:tab w:val="left" w:pos="332"/>
                <w:tab w:val="left" w:pos="363"/>
              </w:tabs>
              <w:adjustRightInd w:val="0"/>
              <w:snapToGrid w:val="0"/>
              <w:spacing w:line="360" w:lineRule="auto"/>
              <w:ind w:left="315" w:hanging="315" w:hangingChars="150"/>
              <w:rPr>
                <w:rFonts w:ascii="宋体" w:hAnsi="宋体" w:eastAsia="宋体" w:cs="华文中宋"/>
                <w:color w:val="auto"/>
                <w:highlight w:val="none"/>
              </w:rPr>
            </w:pPr>
            <w:r>
              <w:rPr>
                <w:rFonts w:hint="eastAsia" w:ascii="宋体" w:hAnsi="宋体" w:eastAsia="宋体" w:cs="华文中宋"/>
                <w:color w:val="auto"/>
                <w:highlight w:val="none"/>
              </w:rPr>
              <w:t>4、</w:t>
            </w:r>
            <w:r>
              <w:rPr>
                <w:rFonts w:hint="eastAsia" w:ascii="宋体" w:hAnsi="宋体" w:eastAsia="宋体"/>
                <w:color w:val="auto"/>
                <w:highlight w:val="none"/>
              </w:rPr>
              <w:t>按照价格评分公式统一计算各个供应商的</w:t>
            </w:r>
            <w:r>
              <w:rPr>
                <w:rFonts w:hint="eastAsia" w:ascii="宋体" w:hAnsi="宋体" w:eastAsia="宋体" w:cs="ヒラギノ角ゴ Pro W3"/>
                <w:color w:val="auto"/>
                <w:kern w:val="0"/>
                <w:highlight w:val="none"/>
              </w:rPr>
              <w:t>价格标</w:t>
            </w:r>
            <w:r>
              <w:rPr>
                <w:rFonts w:hint="eastAsia" w:ascii="宋体" w:hAnsi="宋体" w:eastAsia="宋体"/>
                <w:color w:val="auto"/>
                <w:highlight w:val="none"/>
              </w:rPr>
              <w:t>得分。本项目如果“属于专门面向中小企业采购的项目”，将无需进行价格扣除；如果“不属于专门面向中小企业采购的项目”，将进行价格扣除，价格扣除原则详见第三部分供应商须知9.6价格扣除，未明确的情形视为“不属于专门面向中小企业采购的项目”。</w:t>
            </w:r>
          </w:p>
          <w:p w14:paraId="623F82CC">
            <w:pPr>
              <w:pStyle w:val="25"/>
              <w:widowControl/>
              <w:tabs>
                <w:tab w:val="left" w:pos="332"/>
                <w:tab w:val="left" w:pos="363"/>
              </w:tabs>
              <w:adjustRightInd w:val="0"/>
              <w:snapToGrid w:val="0"/>
              <w:spacing w:line="360" w:lineRule="auto"/>
              <w:ind w:left="315" w:hanging="315" w:hangingChars="150"/>
              <w:rPr>
                <w:rFonts w:ascii="宋体" w:hAnsi="宋体" w:eastAsia="宋体" w:cs="华文中宋"/>
                <w:color w:val="auto"/>
                <w:highlight w:val="none"/>
              </w:rPr>
            </w:pPr>
            <w:r>
              <w:rPr>
                <w:rFonts w:hint="eastAsia" w:ascii="宋体" w:hAnsi="宋体" w:eastAsia="宋体" w:cs="华文中宋"/>
                <w:color w:val="auto"/>
                <w:highlight w:val="none"/>
              </w:rPr>
              <w:t>5、将所有评价指标所得实际评价分数相加，即为该供应商得分；所有评委对同一供应商评分的算术平均值为该供应商的最终得分。</w:t>
            </w:r>
          </w:p>
        </w:tc>
      </w:tr>
      <w:tr w14:paraId="23479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75B1EDB2">
            <w:pPr>
              <w:spacing w:line="360" w:lineRule="auto"/>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2</w:t>
            </w:r>
          </w:p>
        </w:tc>
        <w:tc>
          <w:tcPr>
            <w:tcW w:w="8333" w:type="dxa"/>
            <w:vAlign w:val="center"/>
          </w:tcPr>
          <w:p w14:paraId="2214279F">
            <w:pPr>
              <w:spacing w:line="360" w:lineRule="auto"/>
              <w:rPr>
                <w:rFonts w:ascii="宋体" w:hAnsi="宋体"/>
                <w:color w:val="auto"/>
                <w:szCs w:val="21"/>
                <w:highlight w:val="none"/>
              </w:rPr>
            </w:pPr>
            <w:r>
              <w:rPr>
                <w:rFonts w:hint="eastAsia" w:ascii="宋体" w:hAnsi="宋体"/>
                <w:color w:val="auto"/>
                <w:szCs w:val="21"/>
                <w:highlight w:val="none"/>
              </w:rPr>
              <w:t>磋商小组将对最终得分从高至低进行排序，并推荐排前三名的供应商为本项目的成交候选供应商，计算最终得分时将保留至小数点后</w:t>
            </w:r>
            <w:r>
              <w:rPr>
                <w:rFonts w:ascii="宋体" w:hAnsi="宋体"/>
                <w:color w:val="auto"/>
                <w:szCs w:val="21"/>
                <w:highlight w:val="none"/>
              </w:rPr>
              <w:t>2</w:t>
            </w:r>
            <w:r>
              <w:rPr>
                <w:rFonts w:hint="eastAsia" w:ascii="宋体" w:hAnsi="宋体"/>
                <w:color w:val="auto"/>
                <w:szCs w:val="21"/>
                <w:highlight w:val="none"/>
              </w:rPr>
              <w:t>位。最终得分相同的，按最终报价由低到高顺序排列。最终得分且最终报价相同的，由磋商小组采取随机抽取的方式确定。</w:t>
            </w:r>
          </w:p>
        </w:tc>
      </w:tr>
      <w:tr w14:paraId="0F4532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8" w:hRule="atLeast"/>
          <w:jc w:val="center"/>
        </w:trPr>
        <w:tc>
          <w:tcPr>
            <w:tcW w:w="874" w:type="dxa"/>
            <w:vAlign w:val="center"/>
          </w:tcPr>
          <w:p w14:paraId="7AC8F0BD">
            <w:pPr>
              <w:spacing w:line="360" w:lineRule="auto"/>
              <w:jc w:val="center"/>
              <w:rPr>
                <w:rFonts w:ascii="宋体" w:hAnsi="宋体"/>
                <w:color w:val="auto"/>
                <w:szCs w:val="21"/>
                <w:highlight w:val="none"/>
              </w:rPr>
            </w:pPr>
            <w:r>
              <w:rPr>
                <w:rFonts w:hint="eastAsia" w:ascii="宋体" w:hAnsi="宋体"/>
                <w:color w:val="auto"/>
                <w:szCs w:val="21"/>
                <w:highlight w:val="none"/>
              </w:rPr>
              <w:t>26.1</w:t>
            </w:r>
          </w:p>
        </w:tc>
        <w:tc>
          <w:tcPr>
            <w:tcW w:w="8333" w:type="dxa"/>
            <w:vAlign w:val="center"/>
          </w:tcPr>
          <w:p w14:paraId="1BD1C2DA">
            <w:pPr>
              <w:spacing w:line="360" w:lineRule="auto"/>
              <w:rPr>
                <w:rFonts w:ascii="宋体" w:hAnsi="宋体"/>
                <w:color w:val="auto"/>
                <w:szCs w:val="21"/>
                <w:highlight w:val="none"/>
              </w:rPr>
            </w:pPr>
            <w:r>
              <w:rPr>
                <w:rFonts w:hint="eastAsia" w:ascii="宋体" w:hAnsi="宋体"/>
                <w:color w:val="auto"/>
                <w:szCs w:val="21"/>
                <w:highlight w:val="none"/>
              </w:rPr>
              <w:t>本项目由采购人依照成交候选供应商排序依法确定1名成交供应商。</w:t>
            </w:r>
          </w:p>
        </w:tc>
      </w:tr>
      <w:tr w14:paraId="26C1E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4" w:type="dxa"/>
            <w:vAlign w:val="center"/>
          </w:tcPr>
          <w:p w14:paraId="3E522727">
            <w:pPr>
              <w:spacing w:line="360" w:lineRule="auto"/>
              <w:jc w:val="center"/>
              <w:rPr>
                <w:rFonts w:ascii="宋体" w:hAnsi="宋体"/>
                <w:color w:val="auto"/>
                <w:szCs w:val="21"/>
                <w:highlight w:val="none"/>
              </w:rPr>
            </w:pPr>
            <w:r>
              <w:rPr>
                <w:rFonts w:hint="eastAsia" w:ascii="宋体" w:hAnsi="宋体"/>
                <w:color w:val="auto"/>
                <w:szCs w:val="21"/>
                <w:highlight w:val="none"/>
              </w:rPr>
              <w:t>28.2</w:t>
            </w:r>
          </w:p>
        </w:tc>
        <w:tc>
          <w:tcPr>
            <w:tcW w:w="8333" w:type="dxa"/>
            <w:vAlign w:val="center"/>
          </w:tcPr>
          <w:p w14:paraId="392EBA20">
            <w:pPr>
              <w:adjustRightInd w:val="0"/>
              <w:snapToGrid w:val="0"/>
              <w:spacing w:line="360" w:lineRule="auto"/>
              <w:rPr>
                <w:color w:val="auto"/>
                <w:szCs w:val="21"/>
                <w:highlight w:val="none"/>
              </w:rPr>
            </w:pPr>
            <w:r>
              <w:rPr>
                <w:rFonts w:hint="eastAsia" w:ascii="宋体" w:hAnsi="宋体"/>
                <w:color w:val="auto"/>
                <w:szCs w:val="21"/>
                <w:highlight w:val="none"/>
              </w:rPr>
              <w:t>招标代理服务费</w:t>
            </w:r>
            <w:r>
              <w:rPr>
                <w:rFonts w:hint="eastAsia"/>
                <w:color w:val="auto"/>
                <w:szCs w:val="21"/>
                <w:highlight w:val="none"/>
              </w:rPr>
              <w:t>收费标准：</w:t>
            </w:r>
          </w:p>
          <w:p w14:paraId="67CC00FB">
            <w:pPr>
              <w:adjustRightInd w:val="0"/>
              <w:snapToGrid w:val="0"/>
              <w:spacing w:line="360" w:lineRule="auto"/>
              <w:rPr>
                <w:rFonts w:ascii="宋体" w:hAnsi="宋体"/>
                <w:color w:val="auto"/>
                <w:szCs w:val="21"/>
                <w:highlight w:val="none"/>
              </w:rPr>
            </w:pPr>
            <w:r>
              <w:rPr>
                <w:rFonts w:hint="eastAsia"/>
                <w:color w:val="auto"/>
                <w:szCs w:val="21"/>
                <w:highlight w:val="none"/>
              </w:rPr>
              <w:t>1、依照 [☑货物/□服务/□工程</w:t>
            </w:r>
            <w:r>
              <w:rPr>
                <w:color w:val="auto"/>
                <w:szCs w:val="21"/>
                <w:highlight w:val="none"/>
              </w:rPr>
              <w:t>]</w:t>
            </w:r>
            <w:r>
              <w:rPr>
                <w:rFonts w:hint="eastAsia"/>
                <w:color w:val="auto"/>
                <w:szCs w:val="21"/>
                <w:highlight w:val="none"/>
              </w:rPr>
              <w:t xml:space="preserve"> 招标收费标准，以项目（各包组）中标金额作为基数按照差额定率累进法计算代理服务费；</w:t>
            </w:r>
          </w:p>
          <w:p w14:paraId="43C7A2C5">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2、招标代理服务费由</w:t>
            </w:r>
            <w:r>
              <w:rPr>
                <w:rFonts w:hint="eastAsia" w:ascii="宋体" w:hAnsi="宋体"/>
                <w:color w:val="auto"/>
                <w:szCs w:val="21"/>
                <w:highlight w:val="none"/>
                <w:u w:val="single"/>
              </w:rPr>
              <w:t xml:space="preserve"> 成交供应商 </w:t>
            </w:r>
            <w:r>
              <w:rPr>
                <w:rFonts w:hint="eastAsia" w:ascii="宋体" w:hAnsi="宋体"/>
                <w:color w:val="auto"/>
                <w:szCs w:val="21"/>
                <w:highlight w:val="none"/>
              </w:rPr>
              <w:t xml:space="preserve">支付，收费标准参照《广东省物价局粤价函〔2013〕1233号》规定的标准费率下浮20%，计算基数为中标/成交金额，详见以下速算表： </w:t>
            </w:r>
          </w:p>
          <w:tbl>
            <w:tblPr>
              <w:tblStyle w:val="49"/>
              <w:tblW w:w="7190" w:type="dxa"/>
              <w:tblInd w:w="267" w:type="dxa"/>
              <w:tblLayout w:type="fixed"/>
              <w:tblCellMar>
                <w:top w:w="15" w:type="dxa"/>
                <w:left w:w="15" w:type="dxa"/>
                <w:bottom w:w="15" w:type="dxa"/>
                <w:right w:w="15" w:type="dxa"/>
              </w:tblCellMar>
            </w:tblPr>
            <w:tblGrid>
              <w:gridCol w:w="2852"/>
              <w:gridCol w:w="1446"/>
              <w:gridCol w:w="1446"/>
              <w:gridCol w:w="1446"/>
            </w:tblGrid>
            <w:tr w14:paraId="6C18A450">
              <w:tblPrEx>
                <w:tblCellMar>
                  <w:top w:w="15" w:type="dxa"/>
                  <w:left w:w="15" w:type="dxa"/>
                  <w:bottom w:w="15" w:type="dxa"/>
                  <w:right w:w="15" w:type="dxa"/>
                </w:tblCellMar>
              </w:tblPrEx>
              <w:trPr>
                <w:trHeight w:val="449" w:hRule="atLeast"/>
              </w:trPr>
              <w:tc>
                <w:tcPr>
                  <w:tcW w:w="2852" w:type="dxa"/>
                  <w:tcBorders>
                    <w:top w:val="single" w:color="000000" w:sz="4" w:space="0"/>
                    <w:left w:val="single" w:color="000000" w:sz="4" w:space="0"/>
                    <w:bottom w:val="single" w:color="000000" w:sz="4" w:space="0"/>
                    <w:right w:val="single" w:color="000000" w:sz="4" w:space="0"/>
                  </w:tcBorders>
                  <w:vAlign w:val="center"/>
                </w:tcPr>
                <w:p w14:paraId="58F99079">
                  <w:pPr>
                    <w:adjustRightInd w:val="0"/>
                    <w:snapToGrid w:val="0"/>
                    <w:jc w:val="center"/>
                    <w:rPr>
                      <w:rFonts w:ascii="宋体" w:hAnsi="宋体"/>
                      <w:color w:val="auto"/>
                      <w:szCs w:val="21"/>
                      <w:highlight w:val="none"/>
                    </w:rPr>
                  </w:pPr>
                  <w:r>
                    <w:rPr>
                      <w:rFonts w:hint="eastAsia" w:ascii="宋体" w:hAnsi="宋体"/>
                      <w:color w:val="auto"/>
                      <w:szCs w:val="21"/>
                      <w:highlight w:val="none"/>
                    </w:rPr>
                    <w:t>中标金额（万元）</w:t>
                  </w:r>
                </w:p>
              </w:tc>
              <w:tc>
                <w:tcPr>
                  <w:tcW w:w="1446" w:type="dxa"/>
                  <w:tcBorders>
                    <w:top w:val="single" w:color="000000" w:sz="4" w:space="0"/>
                    <w:left w:val="single" w:color="000000" w:sz="4" w:space="0"/>
                    <w:bottom w:val="single" w:color="000000" w:sz="4" w:space="0"/>
                    <w:right w:val="single" w:color="000000" w:sz="4" w:space="0"/>
                  </w:tcBorders>
                  <w:vAlign w:val="center"/>
                </w:tcPr>
                <w:p w14:paraId="2FF6670C">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货物类</w:t>
                  </w:r>
                </w:p>
              </w:tc>
              <w:tc>
                <w:tcPr>
                  <w:tcW w:w="1446" w:type="dxa"/>
                  <w:tcBorders>
                    <w:top w:val="single" w:color="000000" w:sz="4" w:space="0"/>
                    <w:left w:val="single" w:color="000000" w:sz="4" w:space="0"/>
                    <w:bottom w:val="single" w:color="000000" w:sz="4" w:space="0"/>
                    <w:right w:val="single" w:color="000000" w:sz="4" w:space="0"/>
                  </w:tcBorders>
                  <w:vAlign w:val="center"/>
                </w:tcPr>
                <w:p w14:paraId="280BE66B">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服务类</w:t>
                  </w:r>
                </w:p>
              </w:tc>
              <w:tc>
                <w:tcPr>
                  <w:tcW w:w="1446" w:type="dxa"/>
                  <w:tcBorders>
                    <w:top w:val="single" w:color="000000" w:sz="4" w:space="0"/>
                    <w:left w:val="single" w:color="000000" w:sz="4" w:space="0"/>
                    <w:bottom w:val="single" w:color="000000" w:sz="4" w:space="0"/>
                    <w:right w:val="single" w:color="000000" w:sz="4" w:space="0"/>
                  </w:tcBorders>
                  <w:vAlign w:val="center"/>
                </w:tcPr>
                <w:p w14:paraId="4B2A34BE">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工程类</w:t>
                  </w:r>
                </w:p>
              </w:tc>
            </w:tr>
            <w:tr w14:paraId="1319B63E">
              <w:tblPrEx>
                <w:tblCellMar>
                  <w:top w:w="15" w:type="dxa"/>
                  <w:left w:w="15" w:type="dxa"/>
                  <w:bottom w:w="15" w:type="dxa"/>
                  <w:right w:w="15" w:type="dxa"/>
                </w:tblCellMar>
              </w:tblPrEx>
              <w:trPr>
                <w:trHeight w:val="421" w:hRule="atLeast"/>
              </w:trPr>
              <w:tc>
                <w:tcPr>
                  <w:tcW w:w="2852" w:type="dxa"/>
                  <w:tcBorders>
                    <w:top w:val="single" w:color="000000" w:sz="4" w:space="0"/>
                    <w:left w:val="single" w:color="000000" w:sz="4" w:space="0"/>
                    <w:bottom w:val="single" w:color="000000" w:sz="4" w:space="0"/>
                    <w:right w:val="single" w:color="000000" w:sz="4" w:space="0"/>
                  </w:tcBorders>
                  <w:vAlign w:val="center"/>
                </w:tcPr>
                <w:p w14:paraId="7118C3AC">
                  <w:pPr>
                    <w:adjustRightInd w:val="0"/>
                    <w:snapToGrid w:val="0"/>
                    <w:jc w:val="center"/>
                    <w:rPr>
                      <w:rFonts w:ascii="宋体" w:hAnsi="宋体"/>
                      <w:color w:val="auto"/>
                      <w:szCs w:val="21"/>
                      <w:highlight w:val="none"/>
                    </w:rPr>
                  </w:pPr>
                  <w:r>
                    <w:rPr>
                      <w:rFonts w:hint="eastAsia" w:ascii="宋体" w:hAnsi="宋体"/>
                      <w:color w:val="auto"/>
                      <w:szCs w:val="21"/>
                      <w:highlight w:val="none"/>
                    </w:rPr>
                    <w:t>100万元及以下</w:t>
                  </w:r>
                </w:p>
              </w:tc>
              <w:tc>
                <w:tcPr>
                  <w:tcW w:w="1446" w:type="dxa"/>
                  <w:tcBorders>
                    <w:top w:val="single" w:color="000000" w:sz="4" w:space="0"/>
                    <w:left w:val="single" w:color="000000" w:sz="4" w:space="0"/>
                    <w:bottom w:val="single" w:color="000000" w:sz="4" w:space="0"/>
                    <w:right w:val="single" w:color="000000" w:sz="4" w:space="0"/>
                  </w:tcBorders>
                  <w:vAlign w:val="center"/>
                </w:tcPr>
                <w:p w14:paraId="16271937">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1.5%</w:t>
                  </w:r>
                </w:p>
              </w:tc>
              <w:tc>
                <w:tcPr>
                  <w:tcW w:w="1446" w:type="dxa"/>
                  <w:tcBorders>
                    <w:top w:val="single" w:color="000000" w:sz="4" w:space="0"/>
                    <w:left w:val="single" w:color="000000" w:sz="4" w:space="0"/>
                    <w:bottom w:val="single" w:color="000000" w:sz="4" w:space="0"/>
                    <w:right w:val="single" w:color="000000" w:sz="4" w:space="0"/>
                  </w:tcBorders>
                  <w:vAlign w:val="center"/>
                </w:tcPr>
                <w:p w14:paraId="3774B09C">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1.5%</w:t>
                  </w:r>
                </w:p>
              </w:tc>
              <w:tc>
                <w:tcPr>
                  <w:tcW w:w="1446" w:type="dxa"/>
                  <w:tcBorders>
                    <w:top w:val="single" w:color="000000" w:sz="4" w:space="0"/>
                    <w:left w:val="single" w:color="000000" w:sz="4" w:space="0"/>
                    <w:bottom w:val="single" w:color="000000" w:sz="4" w:space="0"/>
                    <w:right w:val="single" w:color="000000" w:sz="4" w:space="0"/>
                  </w:tcBorders>
                  <w:vAlign w:val="center"/>
                </w:tcPr>
                <w:p w14:paraId="3CCD85F1">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1.0%</w:t>
                  </w:r>
                </w:p>
              </w:tc>
            </w:tr>
            <w:tr w14:paraId="65181A40">
              <w:tblPrEx>
                <w:tblCellMar>
                  <w:top w:w="15" w:type="dxa"/>
                  <w:left w:w="15" w:type="dxa"/>
                  <w:bottom w:w="15" w:type="dxa"/>
                  <w:right w:w="15" w:type="dxa"/>
                </w:tblCellMar>
              </w:tblPrEx>
              <w:trPr>
                <w:trHeight w:val="464" w:hRule="atLeast"/>
              </w:trPr>
              <w:tc>
                <w:tcPr>
                  <w:tcW w:w="2852" w:type="dxa"/>
                  <w:tcBorders>
                    <w:top w:val="single" w:color="000000" w:sz="4" w:space="0"/>
                    <w:left w:val="single" w:color="000000" w:sz="4" w:space="0"/>
                    <w:bottom w:val="single" w:color="000000" w:sz="4" w:space="0"/>
                    <w:right w:val="single" w:color="000000" w:sz="4" w:space="0"/>
                  </w:tcBorders>
                  <w:vAlign w:val="center"/>
                </w:tcPr>
                <w:p w14:paraId="251258A5">
                  <w:pPr>
                    <w:adjustRightInd w:val="0"/>
                    <w:snapToGrid w:val="0"/>
                    <w:jc w:val="center"/>
                    <w:rPr>
                      <w:rFonts w:ascii="宋体" w:hAnsi="宋体"/>
                      <w:color w:val="auto"/>
                      <w:szCs w:val="21"/>
                      <w:highlight w:val="none"/>
                    </w:rPr>
                  </w:pPr>
                  <w:r>
                    <w:rPr>
                      <w:rFonts w:hint="eastAsia" w:ascii="宋体" w:hAnsi="宋体"/>
                      <w:color w:val="auto"/>
                      <w:szCs w:val="21"/>
                      <w:highlight w:val="none"/>
                    </w:rPr>
                    <w:t>100-500万元</w:t>
                  </w:r>
                </w:p>
              </w:tc>
              <w:tc>
                <w:tcPr>
                  <w:tcW w:w="1446" w:type="dxa"/>
                  <w:tcBorders>
                    <w:top w:val="single" w:color="000000" w:sz="4" w:space="0"/>
                    <w:left w:val="single" w:color="000000" w:sz="4" w:space="0"/>
                    <w:bottom w:val="single" w:color="000000" w:sz="4" w:space="0"/>
                    <w:right w:val="single" w:color="000000" w:sz="4" w:space="0"/>
                  </w:tcBorders>
                  <w:vAlign w:val="center"/>
                </w:tcPr>
                <w:p w14:paraId="5F9FCDCB">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1.1%</w:t>
                  </w:r>
                </w:p>
              </w:tc>
              <w:tc>
                <w:tcPr>
                  <w:tcW w:w="1446" w:type="dxa"/>
                  <w:tcBorders>
                    <w:top w:val="single" w:color="000000" w:sz="4" w:space="0"/>
                    <w:left w:val="single" w:color="000000" w:sz="4" w:space="0"/>
                    <w:bottom w:val="single" w:color="000000" w:sz="4" w:space="0"/>
                    <w:right w:val="single" w:color="000000" w:sz="4" w:space="0"/>
                  </w:tcBorders>
                  <w:vAlign w:val="center"/>
                </w:tcPr>
                <w:p w14:paraId="3E2E0E39">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0.8%</w:t>
                  </w:r>
                </w:p>
              </w:tc>
              <w:tc>
                <w:tcPr>
                  <w:tcW w:w="1446" w:type="dxa"/>
                  <w:tcBorders>
                    <w:top w:val="single" w:color="000000" w:sz="4" w:space="0"/>
                    <w:left w:val="single" w:color="000000" w:sz="4" w:space="0"/>
                    <w:bottom w:val="single" w:color="000000" w:sz="4" w:space="0"/>
                    <w:right w:val="single" w:color="000000" w:sz="4" w:space="0"/>
                  </w:tcBorders>
                  <w:vAlign w:val="center"/>
                </w:tcPr>
                <w:p w14:paraId="7C4771E2">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0.7%</w:t>
                  </w:r>
                </w:p>
              </w:tc>
            </w:tr>
            <w:tr w14:paraId="1691EDB0">
              <w:tblPrEx>
                <w:tblCellMar>
                  <w:top w:w="15" w:type="dxa"/>
                  <w:left w:w="15" w:type="dxa"/>
                  <w:bottom w:w="15" w:type="dxa"/>
                  <w:right w:w="15" w:type="dxa"/>
                </w:tblCellMar>
              </w:tblPrEx>
              <w:trPr>
                <w:trHeight w:val="422" w:hRule="atLeast"/>
              </w:trPr>
              <w:tc>
                <w:tcPr>
                  <w:tcW w:w="2852" w:type="dxa"/>
                  <w:tcBorders>
                    <w:top w:val="single" w:color="000000" w:sz="4" w:space="0"/>
                    <w:left w:val="single" w:color="000000" w:sz="4" w:space="0"/>
                    <w:bottom w:val="single" w:color="000000" w:sz="4" w:space="0"/>
                    <w:right w:val="single" w:color="000000" w:sz="4" w:space="0"/>
                  </w:tcBorders>
                  <w:vAlign w:val="center"/>
                </w:tcPr>
                <w:p w14:paraId="100EB731">
                  <w:pPr>
                    <w:adjustRightInd w:val="0"/>
                    <w:snapToGrid w:val="0"/>
                    <w:jc w:val="center"/>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00-</w:t>
                  </w:r>
                  <w:r>
                    <w:rPr>
                      <w:rFonts w:ascii="宋体" w:hAnsi="宋体"/>
                      <w:color w:val="auto"/>
                      <w:szCs w:val="21"/>
                      <w:highlight w:val="none"/>
                    </w:rPr>
                    <w:t>1</w:t>
                  </w:r>
                  <w:r>
                    <w:rPr>
                      <w:rFonts w:hint="eastAsia" w:ascii="宋体" w:hAnsi="宋体"/>
                      <w:color w:val="auto"/>
                      <w:szCs w:val="21"/>
                      <w:highlight w:val="none"/>
                    </w:rPr>
                    <w:t>00</w:t>
                  </w:r>
                  <w:r>
                    <w:rPr>
                      <w:rFonts w:ascii="宋体" w:hAnsi="宋体"/>
                      <w:color w:val="auto"/>
                      <w:szCs w:val="21"/>
                      <w:highlight w:val="none"/>
                    </w:rPr>
                    <w:t>0</w:t>
                  </w:r>
                  <w:r>
                    <w:rPr>
                      <w:rFonts w:hint="eastAsia" w:ascii="宋体" w:hAnsi="宋体"/>
                      <w:color w:val="auto"/>
                      <w:szCs w:val="21"/>
                      <w:highlight w:val="none"/>
                    </w:rPr>
                    <w:t>万元</w:t>
                  </w:r>
                </w:p>
              </w:tc>
              <w:tc>
                <w:tcPr>
                  <w:tcW w:w="1446" w:type="dxa"/>
                  <w:tcBorders>
                    <w:top w:val="single" w:color="000000" w:sz="4" w:space="0"/>
                    <w:left w:val="single" w:color="000000" w:sz="4" w:space="0"/>
                    <w:bottom w:val="single" w:color="000000" w:sz="4" w:space="0"/>
                    <w:right w:val="single" w:color="000000" w:sz="4" w:space="0"/>
                  </w:tcBorders>
                  <w:vAlign w:val="center"/>
                </w:tcPr>
                <w:p w14:paraId="4E91C513">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0.8%</w:t>
                  </w:r>
                </w:p>
              </w:tc>
              <w:tc>
                <w:tcPr>
                  <w:tcW w:w="1446" w:type="dxa"/>
                  <w:tcBorders>
                    <w:top w:val="single" w:color="000000" w:sz="4" w:space="0"/>
                    <w:left w:val="single" w:color="000000" w:sz="4" w:space="0"/>
                    <w:bottom w:val="single" w:color="000000" w:sz="4" w:space="0"/>
                    <w:right w:val="single" w:color="000000" w:sz="4" w:space="0"/>
                  </w:tcBorders>
                  <w:vAlign w:val="center"/>
                </w:tcPr>
                <w:p w14:paraId="41C3D45B">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0.45%</w:t>
                  </w:r>
                </w:p>
              </w:tc>
              <w:tc>
                <w:tcPr>
                  <w:tcW w:w="1446" w:type="dxa"/>
                  <w:tcBorders>
                    <w:top w:val="single" w:color="000000" w:sz="4" w:space="0"/>
                    <w:left w:val="single" w:color="000000" w:sz="4" w:space="0"/>
                    <w:bottom w:val="single" w:color="000000" w:sz="4" w:space="0"/>
                    <w:right w:val="single" w:color="000000" w:sz="4" w:space="0"/>
                  </w:tcBorders>
                  <w:vAlign w:val="center"/>
                </w:tcPr>
                <w:p w14:paraId="71970844">
                  <w:pPr>
                    <w:adjustRightInd w:val="0"/>
                    <w:snapToGrid w:val="0"/>
                    <w:jc w:val="center"/>
                    <w:rPr>
                      <w:rFonts w:ascii="宋体" w:hAnsi="宋体"/>
                      <w:color w:val="auto"/>
                      <w:szCs w:val="21"/>
                      <w:highlight w:val="none"/>
                    </w:rPr>
                  </w:pPr>
                  <w:r>
                    <w:rPr>
                      <w:rFonts w:hint="eastAsia" w:ascii="宋体" w:hAnsi="宋体" w:cs="宋体"/>
                      <w:color w:val="auto"/>
                      <w:szCs w:val="21"/>
                      <w:highlight w:val="none"/>
                    </w:rPr>
                    <w:t>0.55%</w:t>
                  </w:r>
                </w:p>
              </w:tc>
            </w:tr>
          </w:tbl>
          <w:p w14:paraId="64F7B1DF">
            <w:pPr>
              <w:adjustRightInd w:val="0"/>
              <w:snapToGrid w:val="0"/>
              <w:spacing w:line="360" w:lineRule="auto"/>
              <w:rPr>
                <w:rFonts w:ascii="宋体" w:hAnsi="宋体"/>
                <w:b/>
                <w:color w:val="auto"/>
                <w:szCs w:val="21"/>
                <w:highlight w:val="none"/>
              </w:rPr>
            </w:pPr>
            <w:r>
              <w:rPr>
                <w:rFonts w:hint="eastAsia" w:ascii="宋体" w:hAnsi="宋体"/>
                <w:b/>
                <w:color w:val="auto"/>
                <w:szCs w:val="21"/>
                <w:highlight w:val="none"/>
              </w:rPr>
              <w:t>3、支付方式及时间：依据每次中标（成交）合同金额以人民币结算，在发出中标（成交）通知时向中标（成交）人一次性收取。</w:t>
            </w:r>
          </w:p>
        </w:tc>
      </w:tr>
      <w:tr w14:paraId="11BE6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9207" w:type="dxa"/>
            <w:gridSpan w:val="2"/>
            <w:vAlign w:val="center"/>
          </w:tcPr>
          <w:p w14:paraId="6376D866">
            <w:pPr>
              <w:spacing w:line="360" w:lineRule="auto"/>
              <w:ind w:firstLine="422" w:firstLineChars="200"/>
              <w:jc w:val="left"/>
              <w:rPr>
                <w:rFonts w:ascii="宋体" w:hAnsi="宋体"/>
                <w:b/>
                <w:color w:val="auto"/>
                <w:szCs w:val="21"/>
                <w:highlight w:val="none"/>
              </w:rPr>
            </w:pPr>
            <w:r>
              <w:rPr>
                <w:rFonts w:hint="eastAsia" w:hAnsi="宋体" w:cs="宋体"/>
                <w:b/>
                <w:bCs/>
                <w:color w:val="auto"/>
                <w:highlight w:val="none"/>
                <w:lang w:val="af-ZA"/>
              </w:rPr>
              <w:t>项目</w:t>
            </w:r>
            <w:r>
              <w:rPr>
                <w:rFonts w:hint="eastAsia" w:hAnsi="宋体" w:cs="宋体"/>
                <w:b/>
                <w:bCs/>
                <w:color w:val="auto"/>
                <w:highlight w:val="none"/>
              </w:rPr>
              <w:t>若</w:t>
            </w:r>
            <w:r>
              <w:rPr>
                <w:rFonts w:hint="eastAsia" w:hAnsi="宋体" w:cs="宋体"/>
                <w:b/>
                <w:bCs/>
                <w:color w:val="auto"/>
                <w:highlight w:val="none"/>
                <w:lang w:val="af-ZA"/>
              </w:rPr>
              <w:t>属货物采购，</w:t>
            </w:r>
            <w:r>
              <w:rPr>
                <w:rFonts w:hint="eastAsia" w:hAnsi="宋体" w:cs="宋体"/>
                <w:b/>
                <w:bCs/>
                <w:color w:val="auto"/>
                <w:highlight w:val="none"/>
              </w:rPr>
              <w:t>均</w:t>
            </w:r>
            <w:r>
              <w:rPr>
                <w:rFonts w:hint="eastAsia" w:hAnsi="宋体" w:cs="宋体"/>
                <w:b/>
                <w:bCs/>
                <w:color w:val="auto"/>
                <w:highlight w:val="none"/>
                <w:lang w:val="af-ZA"/>
              </w:rPr>
              <w:t>只采购国内产品，</w:t>
            </w:r>
            <w:r>
              <w:rPr>
                <w:rFonts w:hint="eastAsia" w:hAnsi="宋体" w:cs="宋体"/>
                <w:b/>
                <w:bCs/>
                <w:color w:val="auto"/>
                <w:highlight w:val="none"/>
              </w:rPr>
              <w:t>或由国内生产的国外品牌产品；</w:t>
            </w:r>
            <w:r>
              <w:rPr>
                <w:rFonts w:hint="eastAsia" w:hAnsi="宋体" w:cs="宋体"/>
                <w:b/>
                <w:bCs/>
                <w:color w:val="auto"/>
                <w:highlight w:val="none"/>
                <w:lang w:val="af-ZA"/>
              </w:rPr>
              <w:t>若供应商提供进口产品，将按无效响应处理。</w:t>
            </w:r>
          </w:p>
        </w:tc>
      </w:tr>
      <w:tr w14:paraId="757AF6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3BE46825">
            <w:pPr>
              <w:pStyle w:val="25"/>
              <w:spacing w:line="360" w:lineRule="auto"/>
              <w:ind w:firstLine="420" w:firstLineChars="200"/>
              <w:rPr>
                <w:rFonts w:hAnsi="宋体" w:eastAsia="宋体" w:cs="宋体"/>
                <w:color w:val="auto"/>
                <w:highlight w:val="none"/>
                <w:lang w:val="af-ZA"/>
              </w:rPr>
            </w:pPr>
            <w:r>
              <w:rPr>
                <w:rFonts w:hint="eastAsia" w:hAnsi="宋体" w:eastAsia="宋体" w:cs="宋体"/>
                <w:color w:val="auto"/>
                <w:highlight w:val="none"/>
                <w:lang w:val="af-ZA"/>
              </w:rPr>
              <w:t>本采购文件</w:t>
            </w:r>
            <w:r>
              <w:rPr>
                <w:rFonts w:hint="eastAsia" w:hAnsi="宋体" w:eastAsia="宋体" w:cs="宋体"/>
                <w:color w:val="auto"/>
                <w:highlight w:val="none"/>
              </w:rPr>
              <w:t>的招标</w:t>
            </w:r>
            <w:r>
              <w:rPr>
                <w:rFonts w:hint="eastAsia" w:hAnsi="宋体" w:eastAsia="宋体" w:cs="宋体"/>
                <w:color w:val="auto"/>
                <w:highlight w:val="none"/>
                <w:lang w:val="af-ZA"/>
              </w:rPr>
              <w:t>项目内容中符号定义：</w:t>
            </w:r>
          </w:p>
          <w:p w14:paraId="1DC461B5">
            <w:pPr>
              <w:pStyle w:val="25"/>
              <w:spacing w:line="360" w:lineRule="auto"/>
              <w:ind w:firstLine="420" w:firstLineChars="200"/>
              <w:rPr>
                <w:rFonts w:hAnsi="宋体" w:eastAsia="宋体" w:cs="宋体"/>
                <w:color w:val="auto"/>
                <w:highlight w:val="none"/>
                <w:lang w:val="af-ZA"/>
              </w:rPr>
            </w:pPr>
            <w:r>
              <w:rPr>
                <w:rFonts w:hint="eastAsia" w:hAnsi="宋体" w:eastAsia="宋体" w:cs="宋体"/>
                <w:color w:val="auto"/>
                <w:highlight w:val="none"/>
                <w:lang w:val="af-ZA"/>
              </w:rPr>
              <w:t>（1）“★”号条款：废标条款，必须对此响应并完全满足或优于这些条款，若有一项“★”的条款未响应或不满足，将按无效响应处理。</w:t>
            </w:r>
          </w:p>
          <w:p w14:paraId="632BB164">
            <w:pPr>
              <w:pStyle w:val="25"/>
              <w:spacing w:line="360" w:lineRule="auto"/>
              <w:ind w:firstLine="420" w:firstLineChars="200"/>
              <w:rPr>
                <w:rFonts w:ascii="宋体" w:hAnsi="宋体"/>
                <w:b/>
                <w:color w:val="auto"/>
                <w:highlight w:val="none"/>
              </w:rPr>
            </w:pPr>
            <w:r>
              <w:rPr>
                <w:rFonts w:hint="eastAsia" w:hAnsi="宋体" w:eastAsia="宋体" w:cs="宋体"/>
                <w:color w:val="auto"/>
                <w:highlight w:val="none"/>
                <w:lang w:val="af-ZA"/>
              </w:rPr>
              <w:t>（2）“▲”号条款：重要条款，负偏离将导致严重扣分。</w:t>
            </w:r>
          </w:p>
        </w:tc>
      </w:tr>
      <w:tr w14:paraId="687AD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0C465B1A">
            <w:pPr>
              <w:spacing w:line="360" w:lineRule="auto"/>
              <w:ind w:firstLine="422" w:firstLineChars="200"/>
              <w:jc w:val="left"/>
              <w:rPr>
                <w:rFonts w:ascii="宋体" w:hAnsi="宋体"/>
                <w:b/>
                <w:color w:val="auto"/>
                <w:szCs w:val="21"/>
                <w:highlight w:val="none"/>
              </w:rPr>
            </w:pPr>
            <w:r>
              <w:rPr>
                <w:rFonts w:hint="eastAsia" w:hAnsi="宋体" w:cs="宋体"/>
                <w:b/>
                <w:bCs/>
                <w:color w:val="auto"/>
                <w:highlight w:val="none"/>
                <w:lang w:val="af-ZA"/>
              </w:rPr>
              <w:t>★供应商总报价不能超过项目预算，否则均作无效投标处理。</w:t>
            </w:r>
          </w:p>
        </w:tc>
      </w:tr>
      <w:tr w14:paraId="53F59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74D3F1C8">
            <w:pPr>
              <w:pStyle w:val="25"/>
              <w:spacing w:line="360" w:lineRule="auto"/>
              <w:ind w:firstLine="420" w:firstLineChars="200"/>
              <w:rPr>
                <w:rFonts w:ascii="宋体" w:hAnsi="宋体"/>
                <w:b/>
                <w:color w:val="auto"/>
                <w:highlight w:val="none"/>
              </w:rPr>
            </w:pPr>
            <w:r>
              <w:rPr>
                <w:rFonts w:hint="eastAsia" w:hAnsi="宋体" w:eastAsia="宋体" w:cs="宋体"/>
                <w:color w:val="auto"/>
                <w:highlight w:val="none"/>
              </w:rPr>
              <w:t>供应商在响应“配置／技术参数、功能要求及附件”的过程中，应对其内容要求进行响应，不得有任何遗漏，如有遗漏，磋商小组有权认定其为无效投标且无需向供应商解释；如有技术差异，则详细说明差异的内容，否则磋商小组有权视为不响应采购文件要求。</w:t>
            </w:r>
          </w:p>
        </w:tc>
      </w:tr>
      <w:tr w14:paraId="2902F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07" w:type="dxa"/>
            <w:gridSpan w:val="2"/>
            <w:vAlign w:val="center"/>
          </w:tcPr>
          <w:p w14:paraId="02C98B35">
            <w:pPr>
              <w:spacing w:line="360" w:lineRule="auto"/>
              <w:jc w:val="center"/>
              <w:rPr>
                <w:rFonts w:ascii="宋体" w:hAnsi="宋体"/>
                <w:b/>
                <w:color w:val="auto"/>
                <w:szCs w:val="21"/>
                <w:highlight w:val="none"/>
              </w:rPr>
            </w:pPr>
            <w:r>
              <w:rPr>
                <w:rFonts w:hint="eastAsia" w:ascii="宋体" w:hAnsi="宋体"/>
                <w:b/>
                <w:color w:val="auto"/>
                <w:szCs w:val="21"/>
                <w:highlight w:val="none"/>
              </w:rPr>
              <w:t>合同的订立和履行</w:t>
            </w:r>
          </w:p>
        </w:tc>
      </w:tr>
      <w:tr w14:paraId="4D5E4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 w:hRule="atLeast"/>
          <w:jc w:val="center"/>
        </w:trPr>
        <w:tc>
          <w:tcPr>
            <w:tcW w:w="874" w:type="dxa"/>
            <w:vAlign w:val="center"/>
          </w:tcPr>
          <w:p w14:paraId="03DDEF0E">
            <w:pPr>
              <w:spacing w:line="360" w:lineRule="auto"/>
              <w:jc w:val="center"/>
              <w:rPr>
                <w:rFonts w:ascii="宋体" w:hAnsi="宋体"/>
                <w:color w:val="auto"/>
                <w:szCs w:val="21"/>
                <w:highlight w:val="none"/>
              </w:rPr>
            </w:pPr>
            <w:r>
              <w:rPr>
                <w:rFonts w:hint="eastAsia" w:ascii="宋体" w:hAnsi="宋体"/>
                <w:color w:val="auto"/>
                <w:kern w:val="0"/>
                <w:szCs w:val="21"/>
                <w:highlight w:val="none"/>
              </w:rPr>
              <w:t>29.1</w:t>
            </w:r>
          </w:p>
        </w:tc>
        <w:tc>
          <w:tcPr>
            <w:tcW w:w="8333" w:type="dxa"/>
            <w:vAlign w:val="center"/>
          </w:tcPr>
          <w:p w14:paraId="28E2AB73">
            <w:pPr>
              <w:spacing w:line="360" w:lineRule="auto"/>
              <w:rPr>
                <w:rFonts w:ascii="宋体" w:hAnsi="宋体"/>
                <w:color w:val="auto"/>
                <w:szCs w:val="21"/>
                <w:highlight w:val="none"/>
              </w:rPr>
            </w:pPr>
            <w:r>
              <w:rPr>
                <w:rFonts w:hint="eastAsia" w:ascii="宋体" w:hAnsi="宋体"/>
                <w:color w:val="auto"/>
                <w:kern w:val="0"/>
                <w:szCs w:val="21"/>
                <w:highlight w:val="none"/>
              </w:rPr>
              <w:t>1、采购人与成交供应商自成交通知书发出之日起三十日内，按采购文件要求和成交供应商响应文件承诺签订采购合同，但</w:t>
            </w:r>
            <w:r>
              <w:rPr>
                <w:rFonts w:hint="eastAsia" w:ascii="宋体" w:hAnsi="宋体"/>
                <w:color w:val="auto"/>
                <w:szCs w:val="21"/>
                <w:highlight w:val="none"/>
              </w:rPr>
              <w:t>不得超出采购文件和成交供应商响应文件的范围、也不得再行订立背离合同实质性内容的其他协议。</w:t>
            </w:r>
          </w:p>
          <w:p w14:paraId="2FC0C777">
            <w:pPr>
              <w:spacing w:line="360" w:lineRule="auto"/>
              <w:rPr>
                <w:rFonts w:ascii="宋体" w:hAnsi="宋体"/>
                <w:color w:val="auto"/>
                <w:szCs w:val="21"/>
                <w:highlight w:val="none"/>
              </w:rPr>
            </w:pPr>
            <w:r>
              <w:rPr>
                <w:rFonts w:hint="eastAsia" w:ascii="宋体" w:hAnsi="宋体"/>
                <w:color w:val="auto"/>
                <w:szCs w:val="21"/>
                <w:highlight w:val="none"/>
              </w:rPr>
              <w:t>2、</w:t>
            </w:r>
            <w:r>
              <w:rPr>
                <w:rFonts w:hint="eastAsia" w:ascii="宋体" w:hAnsi="宋体"/>
                <w:bCs/>
                <w:color w:val="auto"/>
                <w:szCs w:val="21"/>
                <w:highlight w:val="none"/>
              </w:rPr>
              <w:t>本采购文件提供的合同样本（详见合同书格式），该样本或合同资料表中没有约定的条款内容由采购人和成交单位协商确定，但不得对采购文件、响应文件的实质性条款作出变更。</w:t>
            </w:r>
          </w:p>
        </w:tc>
      </w:tr>
      <w:tr w14:paraId="1D491F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 w:hRule="atLeast"/>
          <w:jc w:val="center"/>
        </w:trPr>
        <w:tc>
          <w:tcPr>
            <w:tcW w:w="9207" w:type="dxa"/>
            <w:gridSpan w:val="2"/>
            <w:vAlign w:val="center"/>
          </w:tcPr>
          <w:p w14:paraId="302DF10E">
            <w:pPr>
              <w:spacing w:line="360" w:lineRule="auto"/>
              <w:jc w:val="center"/>
              <w:rPr>
                <w:rFonts w:ascii="宋体" w:hAnsi="宋体"/>
                <w:b/>
                <w:color w:val="auto"/>
                <w:szCs w:val="21"/>
                <w:highlight w:val="none"/>
              </w:rPr>
            </w:pPr>
            <w:r>
              <w:rPr>
                <w:rFonts w:hint="eastAsia" w:ascii="宋体" w:hAnsi="宋体"/>
                <w:b/>
                <w:color w:val="auto"/>
                <w:szCs w:val="21"/>
                <w:highlight w:val="none"/>
              </w:rPr>
              <w:t>质疑、投诉</w:t>
            </w:r>
          </w:p>
        </w:tc>
      </w:tr>
      <w:tr w14:paraId="2DEFB8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 w:hRule="atLeast"/>
          <w:jc w:val="center"/>
        </w:trPr>
        <w:tc>
          <w:tcPr>
            <w:tcW w:w="874" w:type="dxa"/>
            <w:vAlign w:val="center"/>
          </w:tcPr>
          <w:p w14:paraId="77AEB755">
            <w:pPr>
              <w:spacing w:line="360" w:lineRule="auto"/>
              <w:jc w:val="center"/>
              <w:rPr>
                <w:rFonts w:ascii="宋体" w:hAnsi="宋体"/>
                <w:color w:val="auto"/>
                <w:kern w:val="0"/>
                <w:szCs w:val="21"/>
                <w:highlight w:val="none"/>
              </w:rPr>
            </w:pPr>
            <w:r>
              <w:rPr>
                <w:rFonts w:ascii="宋体" w:hAnsi="宋体"/>
                <w:color w:val="auto"/>
                <w:kern w:val="0"/>
                <w:szCs w:val="21"/>
                <w:highlight w:val="none"/>
              </w:rPr>
              <w:t>3</w:t>
            </w:r>
            <w:r>
              <w:rPr>
                <w:rFonts w:hint="eastAsia" w:ascii="宋体" w:hAnsi="宋体"/>
                <w:color w:val="auto"/>
                <w:kern w:val="0"/>
                <w:szCs w:val="21"/>
                <w:highlight w:val="none"/>
              </w:rPr>
              <w:t>1.1</w:t>
            </w:r>
          </w:p>
        </w:tc>
        <w:tc>
          <w:tcPr>
            <w:tcW w:w="8333" w:type="dxa"/>
            <w:vAlign w:val="center"/>
          </w:tcPr>
          <w:p w14:paraId="52EFDF21">
            <w:pPr>
              <w:spacing w:line="360" w:lineRule="auto"/>
              <w:rPr>
                <w:rFonts w:ascii="宋体" w:hAnsi="宋体" w:cs="宋体"/>
                <w:color w:val="auto"/>
                <w:highlight w:val="none"/>
              </w:rPr>
            </w:pPr>
            <w:r>
              <w:rPr>
                <w:rFonts w:hint="eastAsia" w:ascii="宋体" w:hAnsi="宋体" w:cs="宋体"/>
                <w:color w:val="auto"/>
                <w:highlight w:val="none"/>
              </w:rPr>
              <w:t>供应商对此次招标活动有疑问，可依法向采购人或招标代理机构提出质疑。采购人或招标代理机构应当依法给与答复，并将结果告知有关当事人。</w:t>
            </w:r>
          </w:p>
          <w:p w14:paraId="79D28C74">
            <w:pPr>
              <w:spacing w:line="360" w:lineRule="auto"/>
              <w:rPr>
                <w:rFonts w:ascii="宋体" w:hAnsi="宋体" w:cs="宋体"/>
                <w:color w:val="auto"/>
                <w:highlight w:val="none"/>
              </w:rPr>
            </w:pPr>
            <w:r>
              <w:rPr>
                <w:rFonts w:hint="eastAsia" w:ascii="宋体" w:hAnsi="宋体" w:cs="宋体"/>
                <w:color w:val="auto"/>
                <w:highlight w:val="none"/>
              </w:rPr>
              <w:t>递交质疑函地点：广东省湛江市霞山区人民大道中24号剑麻大厦12层。</w:t>
            </w:r>
          </w:p>
          <w:p w14:paraId="6C1596A1">
            <w:pPr>
              <w:spacing w:line="360" w:lineRule="auto"/>
              <w:rPr>
                <w:rFonts w:ascii="宋体" w:hAnsi="宋体"/>
                <w:color w:val="auto"/>
                <w:kern w:val="0"/>
                <w:szCs w:val="21"/>
                <w:highlight w:val="none"/>
              </w:rPr>
            </w:pPr>
            <w:r>
              <w:rPr>
                <w:rFonts w:hint="eastAsia" w:ascii="宋体" w:hAnsi="宋体" w:cs="宋体"/>
                <w:color w:val="auto"/>
                <w:highlight w:val="none"/>
              </w:rPr>
              <w:t>供应商对评审结果有质疑的，需对质疑内容的真实性承担责任。质疑必须是书面的原件，并加盖公章及由法定代表人或其授权代表签署或盖章。质疑应当有明确的请求和必要的证明材料。采购人或招标代理机构应在收到供应商书面质疑后7个工作日内，对质疑内容作出答复。</w:t>
            </w:r>
          </w:p>
        </w:tc>
      </w:tr>
      <w:bookmarkEnd w:id="45"/>
    </w:tbl>
    <w:p w14:paraId="74913F0C">
      <w:pPr>
        <w:keepNext/>
        <w:keepLines/>
        <w:spacing w:line="360" w:lineRule="auto"/>
        <w:outlineLvl w:val="2"/>
        <w:rPr>
          <w:rFonts w:ascii="宋体" w:hAnsi="宋体"/>
          <w:b/>
          <w:bCs/>
          <w:color w:val="auto"/>
          <w:sz w:val="28"/>
          <w:szCs w:val="28"/>
          <w:highlight w:val="none"/>
        </w:rPr>
      </w:pPr>
      <w:r>
        <w:rPr>
          <w:rFonts w:ascii="宋体" w:hAnsi="宋体"/>
          <w:color w:val="auto"/>
          <w:highlight w:val="none"/>
        </w:rPr>
        <w:br w:type="page"/>
      </w:r>
      <w:bookmarkStart w:id="46" w:name="_Toc67046845"/>
      <w:r>
        <w:rPr>
          <w:rFonts w:hint="eastAsia" w:ascii="宋体" w:hAnsi="宋体"/>
          <w:b/>
          <w:bCs/>
          <w:color w:val="auto"/>
          <w:sz w:val="28"/>
          <w:szCs w:val="28"/>
          <w:highlight w:val="none"/>
        </w:rPr>
        <w:t>附表1：资格性和符合性审查表</w:t>
      </w:r>
      <w:bookmarkEnd w:id="46"/>
    </w:p>
    <w:p w14:paraId="38D243FA">
      <w:pPr>
        <w:widowControl/>
        <w:spacing w:line="360" w:lineRule="auto"/>
        <w:ind w:firstLine="482"/>
        <w:jc w:val="left"/>
        <w:rPr>
          <w:rFonts w:ascii="宋体" w:hAnsi="宋体" w:cs="Futura-Heavy"/>
          <w:b/>
          <w:bCs/>
          <w:color w:val="auto"/>
          <w:sz w:val="24"/>
          <w:highlight w:val="none"/>
        </w:rPr>
      </w:pPr>
      <w:r>
        <w:rPr>
          <w:rFonts w:hint="eastAsia" w:ascii="宋体" w:hAnsi="宋体" w:cs="Futura-Heavy"/>
          <w:b/>
          <w:bCs/>
          <w:color w:val="auto"/>
          <w:sz w:val="24"/>
          <w:highlight w:val="none"/>
        </w:rPr>
        <w:t>1.1资格性审查表</w:t>
      </w:r>
    </w:p>
    <w:tbl>
      <w:tblPr>
        <w:tblStyle w:val="49"/>
        <w:tblW w:w="9270" w:type="dxa"/>
        <w:tblInd w:w="-4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30"/>
        <w:gridCol w:w="2370"/>
        <w:gridCol w:w="6270"/>
      </w:tblGrid>
      <w:tr w14:paraId="6E7B5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7" w:hRule="atLeast"/>
        </w:trPr>
        <w:tc>
          <w:tcPr>
            <w:tcW w:w="630" w:type="dxa"/>
            <w:shd w:val="clear" w:color="auto" w:fill="F4F4F4"/>
            <w:vAlign w:val="center"/>
          </w:tcPr>
          <w:p w14:paraId="5BB29164">
            <w:pPr>
              <w:pStyle w:val="334"/>
              <w:ind w:right="-11"/>
              <w:jc w:val="center"/>
              <w:rPr>
                <w:b/>
                <w:color w:val="auto"/>
                <w:szCs w:val="21"/>
                <w:highlight w:val="none"/>
              </w:rPr>
            </w:pPr>
            <w:r>
              <w:rPr>
                <w:rFonts w:hint="eastAsia"/>
                <w:b/>
                <w:color w:val="auto"/>
                <w:szCs w:val="21"/>
                <w:highlight w:val="none"/>
              </w:rPr>
              <w:t>序号</w:t>
            </w:r>
          </w:p>
        </w:tc>
        <w:tc>
          <w:tcPr>
            <w:tcW w:w="8640" w:type="dxa"/>
            <w:gridSpan w:val="2"/>
            <w:shd w:val="clear" w:color="auto" w:fill="F4F4F4"/>
            <w:vAlign w:val="center"/>
          </w:tcPr>
          <w:p w14:paraId="16E366EB">
            <w:pPr>
              <w:pStyle w:val="334"/>
              <w:ind w:right="34" w:firstLine="482"/>
              <w:jc w:val="center"/>
              <w:rPr>
                <w:b/>
                <w:color w:val="auto"/>
                <w:szCs w:val="21"/>
                <w:highlight w:val="none"/>
              </w:rPr>
            </w:pPr>
            <w:r>
              <w:rPr>
                <w:rFonts w:hint="eastAsia"/>
                <w:b/>
                <w:color w:val="auto"/>
                <w:szCs w:val="21"/>
                <w:highlight w:val="none"/>
              </w:rPr>
              <w:t>资格审查内容</w:t>
            </w:r>
          </w:p>
        </w:tc>
      </w:tr>
      <w:tr w14:paraId="46B58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5F899156">
            <w:pPr>
              <w:pStyle w:val="334"/>
              <w:ind w:left="420" w:firstLine="422"/>
              <w:jc w:val="center"/>
              <w:rPr>
                <w:color w:val="auto"/>
                <w:sz w:val="21"/>
                <w:szCs w:val="21"/>
                <w:highlight w:val="none"/>
              </w:rPr>
            </w:pPr>
            <w:r>
              <w:rPr>
                <w:rFonts w:hint="eastAsia"/>
                <w:color w:val="auto"/>
                <w:sz w:val="21"/>
                <w:szCs w:val="21"/>
                <w:highlight w:val="none"/>
              </w:rPr>
              <w:t>1</w:t>
            </w:r>
          </w:p>
        </w:tc>
        <w:tc>
          <w:tcPr>
            <w:tcW w:w="2370" w:type="dxa"/>
            <w:vAlign w:val="center"/>
          </w:tcPr>
          <w:p w14:paraId="2726177C">
            <w:pPr>
              <w:pStyle w:val="334"/>
              <w:spacing w:line="400" w:lineRule="exact"/>
              <w:ind w:left="102"/>
              <w:jc w:val="center"/>
              <w:rPr>
                <w:color w:val="auto"/>
                <w:sz w:val="21"/>
                <w:szCs w:val="21"/>
                <w:highlight w:val="none"/>
              </w:rPr>
            </w:pPr>
            <w:r>
              <w:rPr>
                <w:rFonts w:hint="eastAsia"/>
                <w:color w:val="auto"/>
                <w:sz w:val="21"/>
                <w:szCs w:val="21"/>
                <w:highlight w:val="none"/>
              </w:rPr>
              <w:t>具有独立承担民事责任的能力</w:t>
            </w:r>
          </w:p>
        </w:tc>
        <w:tc>
          <w:tcPr>
            <w:tcW w:w="6270" w:type="dxa"/>
            <w:vAlign w:val="center"/>
          </w:tcPr>
          <w:p w14:paraId="579EA8C8">
            <w:pPr>
              <w:pStyle w:val="334"/>
              <w:spacing w:line="400" w:lineRule="exact"/>
              <w:ind w:left="102"/>
              <w:rPr>
                <w:color w:val="auto"/>
                <w:sz w:val="21"/>
                <w:szCs w:val="21"/>
                <w:highlight w:val="none"/>
              </w:rPr>
            </w:pPr>
            <w:r>
              <w:rPr>
                <w:rFonts w:hint="eastAsia"/>
                <w:color w:val="auto"/>
                <w:sz w:val="21"/>
                <w:szCs w:val="21"/>
                <w:highlight w:val="none"/>
              </w:rPr>
              <w:t>在中华人民共和国境内注册的法人或其他组织或自然人，投标时提交有效的营业执照（或事业法人登记证或社会团体法人登记证或身份证等相关证明）复印件。分支机构投标的，须提供总公司和分公司营业执照副本复印件，总公司出具给分支机构的授权书；</w:t>
            </w:r>
          </w:p>
        </w:tc>
      </w:tr>
      <w:tr w14:paraId="446AC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44F3DC1D">
            <w:pPr>
              <w:pStyle w:val="334"/>
              <w:ind w:left="420" w:firstLine="422"/>
              <w:jc w:val="center"/>
              <w:rPr>
                <w:color w:val="auto"/>
                <w:sz w:val="21"/>
                <w:szCs w:val="21"/>
                <w:highlight w:val="none"/>
              </w:rPr>
            </w:pPr>
            <w:r>
              <w:rPr>
                <w:rFonts w:hint="eastAsia"/>
                <w:color w:val="auto"/>
                <w:sz w:val="21"/>
                <w:szCs w:val="21"/>
                <w:highlight w:val="none"/>
              </w:rPr>
              <w:t>2</w:t>
            </w:r>
          </w:p>
        </w:tc>
        <w:tc>
          <w:tcPr>
            <w:tcW w:w="2370" w:type="dxa"/>
            <w:vAlign w:val="center"/>
          </w:tcPr>
          <w:p w14:paraId="4F39E7A6">
            <w:pPr>
              <w:pStyle w:val="334"/>
              <w:spacing w:line="400" w:lineRule="exact"/>
              <w:ind w:left="102"/>
              <w:jc w:val="center"/>
              <w:rPr>
                <w:color w:val="auto"/>
                <w:sz w:val="21"/>
                <w:szCs w:val="21"/>
                <w:highlight w:val="none"/>
              </w:rPr>
            </w:pPr>
            <w:r>
              <w:rPr>
                <w:rFonts w:hint="eastAsia"/>
                <w:color w:val="auto"/>
                <w:sz w:val="21"/>
                <w:szCs w:val="21"/>
                <w:highlight w:val="none"/>
              </w:rPr>
              <w:t>具有良好的商业信誉和健全的财务会计制度</w:t>
            </w:r>
          </w:p>
        </w:tc>
        <w:tc>
          <w:tcPr>
            <w:tcW w:w="6270" w:type="dxa"/>
            <w:vAlign w:val="center"/>
          </w:tcPr>
          <w:p w14:paraId="0E7C3639">
            <w:pPr>
              <w:pStyle w:val="334"/>
              <w:spacing w:line="400" w:lineRule="exact"/>
              <w:ind w:left="102"/>
              <w:rPr>
                <w:color w:val="auto"/>
                <w:sz w:val="21"/>
                <w:szCs w:val="21"/>
                <w:highlight w:val="none"/>
              </w:rPr>
            </w:pPr>
            <w:r>
              <w:rPr>
                <w:rFonts w:hint="eastAsia"/>
                <w:color w:val="auto"/>
                <w:sz w:val="21"/>
                <w:szCs w:val="21"/>
                <w:highlight w:val="none"/>
              </w:rPr>
              <w:t>经第三方机构出具的2022年或2023年度财务审计报告，或2024年1月至今任意1个月的财务报表，或银行出具的资信证明材料复印件；</w:t>
            </w:r>
          </w:p>
        </w:tc>
      </w:tr>
      <w:tr w14:paraId="1C4C1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6F257392">
            <w:pPr>
              <w:pStyle w:val="334"/>
              <w:ind w:left="420" w:firstLine="422"/>
              <w:jc w:val="center"/>
              <w:rPr>
                <w:color w:val="auto"/>
                <w:sz w:val="21"/>
                <w:szCs w:val="21"/>
                <w:highlight w:val="none"/>
              </w:rPr>
            </w:pPr>
            <w:r>
              <w:rPr>
                <w:rFonts w:hint="eastAsia"/>
                <w:color w:val="auto"/>
                <w:sz w:val="21"/>
                <w:szCs w:val="21"/>
                <w:highlight w:val="none"/>
              </w:rPr>
              <w:t>3</w:t>
            </w:r>
          </w:p>
        </w:tc>
        <w:tc>
          <w:tcPr>
            <w:tcW w:w="2370" w:type="dxa"/>
            <w:vAlign w:val="center"/>
          </w:tcPr>
          <w:p w14:paraId="70A1DB99">
            <w:pPr>
              <w:pStyle w:val="334"/>
              <w:spacing w:line="400" w:lineRule="exact"/>
              <w:ind w:left="102"/>
              <w:jc w:val="center"/>
              <w:rPr>
                <w:color w:val="auto"/>
                <w:sz w:val="21"/>
                <w:szCs w:val="21"/>
                <w:highlight w:val="none"/>
              </w:rPr>
            </w:pPr>
            <w:r>
              <w:rPr>
                <w:rFonts w:hint="eastAsia"/>
                <w:color w:val="auto"/>
                <w:sz w:val="21"/>
                <w:szCs w:val="21"/>
                <w:highlight w:val="none"/>
              </w:rPr>
              <w:t>履行合同所必须的设备和专业技术能力</w:t>
            </w:r>
          </w:p>
        </w:tc>
        <w:tc>
          <w:tcPr>
            <w:tcW w:w="6270" w:type="dxa"/>
            <w:vAlign w:val="center"/>
          </w:tcPr>
          <w:p w14:paraId="6396FDB1">
            <w:pPr>
              <w:pStyle w:val="334"/>
              <w:spacing w:line="400" w:lineRule="exact"/>
              <w:ind w:left="102"/>
              <w:rPr>
                <w:color w:val="auto"/>
                <w:sz w:val="21"/>
                <w:szCs w:val="21"/>
                <w:highlight w:val="none"/>
              </w:rPr>
            </w:pPr>
            <w:r>
              <w:rPr>
                <w:rFonts w:hint="eastAsia"/>
                <w:color w:val="auto"/>
                <w:sz w:val="21"/>
                <w:szCs w:val="21"/>
                <w:highlight w:val="none"/>
              </w:rPr>
              <w:t>参照《资格声明函》相关承诺格式内容，进行相关申明；</w:t>
            </w:r>
          </w:p>
        </w:tc>
      </w:tr>
      <w:tr w14:paraId="3981E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438C2512">
            <w:pPr>
              <w:pStyle w:val="334"/>
              <w:ind w:left="420" w:firstLine="422"/>
              <w:jc w:val="center"/>
              <w:rPr>
                <w:color w:val="auto"/>
                <w:sz w:val="21"/>
                <w:szCs w:val="21"/>
                <w:highlight w:val="none"/>
              </w:rPr>
            </w:pPr>
            <w:r>
              <w:rPr>
                <w:rFonts w:hint="eastAsia"/>
                <w:color w:val="auto"/>
                <w:sz w:val="21"/>
                <w:szCs w:val="21"/>
                <w:highlight w:val="none"/>
              </w:rPr>
              <w:t>4</w:t>
            </w:r>
          </w:p>
        </w:tc>
        <w:tc>
          <w:tcPr>
            <w:tcW w:w="2370" w:type="dxa"/>
            <w:vAlign w:val="center"/>
          </w:tcPr>
          <w:p w14:paraId="49D53645">
            <w:pPr>
              <w:pStyle w:val="334"/>
              <w:spacing w:line="400" w:lineRule="exact"/>
              <w:ind w:left="102"/>
              <w:jc w:val="center"/>
              <w:rPr>
                <w:color w:val="auto"/>
                <w:sz w:val="21"/>
                <w:szCs w:val="21"/>
                <w:highlight w:val="none"/>
              </w:rPr>
            </w:pPr>
            <w:r>
              <w:rPr>
                <w:rFonts w:hint="eastAsia"/>
                <w:color w:val="auto"/>
                <w:sz w:val="21"/>
                <w:szCs w:val="21"/>
                <w:highlight w:val="none"/>
              </w:rPr>
              <w:t>有依法缴纳税收和社会保障资金的良好记录</w:t>
            </w:r>
          </w:p>
        </w:tc>
        <w:tc>
          <w:tcPr>
            <w:tcW w:w="6270" w:type="dxa"/>
            <w:vAlign w:val="center"/>
          </w:tcPr>
          <w:p w14:paraId="44C92C94">
            <w:pPr>
              <w:pStyle w:val="334"/>
              <w:spacing w:line="400" w:lineRule="exact"/>
              <w:ind w:left="102"/>
              <w:rPr>
                <w:color w:val="auto"/>
                <w:sz w:val="21"/>
                <w:szCs w:val="21"/>
                <w:highlight w:val="none"/>
              </w:rPr>
            </w:pPr>
            <w:r>
              <w:rPr>
                <w:rFonts w:hint="eastAsia"/>
                <w:color w:val="auto"/>
                <w:sz w:val="21"/>
                <w:szCs w:val="21"/>
                <w:highlight w:val="none"/>
              </w:rPr>
              <w:t>提供2024年1月至今任意1个月依法缴纳税收证明及社会保障资金的缴纳记录相关证明材料。如依法免税的，应提供相应文件证明其依法免税；如依法不需要缴纳社会保障资金的，应提供相应文件证明其依法不需要缴纳社会保障资金；</w:t>
            </w:r>
          </w:p>
        </w:tc>
      </w:tr>
      <w:tr w14:paraId="04E73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2EC23A92">
            <w:pPr>
              <w:pStyle w:val="334"/>
              <w:ind w:left="420" w:firstLine="422"/>
              <w:jc w:val="center"/>
              <w:rPr>
                <w:color w:val="auto"/>
                <w:sz w:val="21"/>
                <w:szCs w:val="21"/>
                <w:highlight w:val="none"/>
              </w:rPr>
            </w:pPr>
            <w:r>
              <w:rPr>
                <w:rFonts w:hint="eastAsia"/>
                <w:color w:val="auto"/>
                <w:sz w:val="21"/>
                <w:szCs w:val="21"/>
                <w:highlight w:val="none"/>
              </w:rPr>
              <w:t>5</w:t>
            </w:r>
          </w:p>
        </w:tc>
        <w:tc>
          <w:tcPr>
            <w:tcW w:w="2370" w:type="dxa"/>
            <w:vAlign w:val="center"/>
          </w:tcPr>
          <w:p w14:paraId="06250B0E">
            <w:pPr>
              <w:pStyle w:val="334"/>
              <w:spacing w:line="400" w:lineRule="exact"/>
              <w:ind w:left="102"/>
              <w:jc w:val="center"/>
              <w:rPr>
                <w:color w:val="auto"/>
                <w:sz w:val="21"/>
                <w:szCs w:val="21"/>
                <w:highlight w:val="none"/>
              </w:rPr>
            </w:pPr>
            <w:r>
              <w:rPr>
                <w:rFonts w:hint="eastAsia"/>
                <w:color w:val="auto"/>
                <w:sz w:val="21"/>
                <w:szCs w:val="21"/>
                <w:highlight w:val="none"/>
              </w:rPr>
              <w:t>参加采购活动前3年内，在经营活动中没有重大违法记录</w:t>
            </w:r>
          </w:p>
        </w:tc>
        <w:tc>
          <w:tcPr>
            <w:tcW w:w="6270" w:type="dxa"/>
            <w:vAlign w:val="center"/>
          </w:tcPr>
          <w:p w14:paraId="15B47136">
            <w:pPr>
              <w:pStyle w:val="334"/>
              <w:spacing w:line="400" w:lineRule="exact"/>
              <w:ind w:left="102"/>
              <w:rPr>
                <w:color w:val="auto"/>
                <w:sz w:val="21"/>
                <w:szCs w:val="21"/>
                <w:highlight w:val="none"/>
              </w:rPr>
            </w:pPr>
            <w:r>
              <w:rPr>
                <w:rFonts w:hint="eastAsia"/>
                <w:color w:val="auto"/>
                <w:sz w:val="21"/>
                <w:szCs w:val="21"/>
                <w:highlight w:val="none"/>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参照《资格声明函》相关承诺格式内容，进行相关申明；</w:t>
            </w:r>
          </w:p>
        </w:tc>
      </w:tr>
      <w:tr w14:paraId="4E1EE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3517FC66">
            <w:pPr>
              <w:pStyle w:val="334"/>
              <w:ind w:left="420" w:firstLine="422"/>
              <w:jc w:val="center"/>
              <w:rPr>
                <w:color w:val="auto"/>
                <w:sz w:val="21"/>
                <w:szCs w:val="21"/>
                <w:highlight w:val="none"/>
              </w:rPr>
            </w:pPr>
            <w:r>
              <w:rPr>
                <w:rFonts w:hint="eastAsia"/>
                <w:color w:val="auto"/>
                <w:sz w:val="21"/>
                <w:szCs w:val="21"/>
                <w:highlight w:val="none"/>
              </w:rPr>
              <w:t>6</w:t>
            </w:r>
          </w:p>
        </w:tc>
        <w:tc>
          <w:tcPr>
            <w:tcW w:w="2370" w:type="dxa"/>
            <w:vAlign w:val="center"/>
          </w:tcPr>
          <w:p w14:paraId="0C1B1C6C">
            <w:pPr>
              <w:pStyle w:val="334"/>
              <w:ind w:left="102"/>
              <w:jc w:val="center"/>
              <w:rPr>
                <w:color w:val="auto"/>
                <w:sz w:val="21"/>
                <w:szCs w:val="21"/>
                <w:highlight w:val="none"/>
              </w:rPr>
            </w:pPr>
            <w:r>
              <w:rPr>
                <w:rFonts w:hint="eastAsia"/>
                <w:color w:val="auto"/>
                <w:sz w:val="21"/>
                <w:szCs w:val="21"/>
                <w:highlight w:val="none"/>
              </w:rPr>
              <w:t>法律、行政法规规定的其他条件</w:t>
            </w:r>
          </w:p>
        </w:tc>
        <w:tc>
          <w:tcPr>
            <w:tcW w:w="6270" w:type="dxa"/>
            <w:vAlign w:val="center"/>
          </w:tcPr>
          <w:p w14:paraId="45622F09">
            <w:pPr>
              <w:pStyle w:val="334"/>
              <w:spacing w:line="400" w:lineRule="exact"/>
              <w:ind w:left="102"/>
              <w:rPr>
                <w:color w:val="auto"/>
                <w:sz w:val="21"/>
                <w:szCs w:val="21"/>
                <w:highlight w:val="none"/>
              </w:rPr>
            </w:pPr>
            <w:r>
              <w:rPr>
                <w:rFonts w:hint="eastAsia"/>
                <w:color w:val="auto"/>
                <w:sz w:val="21"/>
                <w:szCs w:val="21"/>
                <w:highlight w:val="none"/>
              </w:rPr>
              <w:t>参照《资格声明函》相关承诺格式内容，进行相关申明；</w:t>
            </w:r>
          </w:p>
        </w:tc>
      </w:tr>
      <w:tr w14:paraId="68AF5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7AA28E75">
            <w:pPr>
              <w:pStyle w:val="334"/>
              <w:ind w:left="420" w:firstLine="422"/>
              <w:jc w:val="center"/>
              <w:rPr>
                <w:color w:val="auto"/>
                <w:sz w:val="21"/>
                <w:szCs w:val="21"/>
                <w:highlight w:val="none"/>
              </w:rPr>
            </w:pPr>
            <w:r>
              <w:rPr>
                <w:rFonts w:hint="eastAsia"/>
                <w:color w:val="auto"/>
                <w:sz w:val="21"/>
                <w:szCs w:val="21"/>
                <w:highlight w:val="none"/>
              </w:rPr>
              <w:t>7</w:t>
            </w:r>
          </w:p>
        </w:tc>
        <w:tc>
          <w:tcPr>
            <w:tcW w:w="2370" w:type="dxa"/>
            <w:vAlign w:val="center"/>
          </w:tcPr>
          <w:p w14:paraId="0B7401E6">
            <w:pPr>
              <w:pStyle w:val="334"/>
              <w:ind w:left="102"/>
              <w:jc w:val="center"/>
              <w:rPr>
                <w:color w:val="auto"/>
                <w:sz w:val="21"/>
                <w:szCs w:val="21"/>
                <w:highlight w:val="none"/>
              </w:rPr>
            </w:pPr>
            <w:r>
              <w:rPr>
                <w:rFonts w:hint="eastAsia"/>
                <w:color w:val="auto"/>
                <w:sz w:val="21"/>
                <w:szCs w:val="21"/>
                <w:highlight w:val="none"/>
              </w:rPr>
              <w:t>落实政府采购政策需满足的资格要求</w:t>
            </w:r>
          </w:p>
        </w:tc>
        <w:tc>
          <w:tcPr>
            <w:tcW w:w="6270" w:type="dxa"/>
            <w:vAlign w:val="center"/>
          </w:tcPr>
          <w:p w14:paraId="51379F7C">
            <w:pPr>
              <w:pStyle w:val="334"/>
              <w:spacing w:line="400" w:lineRule="exact"/>
              <w:ind w:left="102"/>
              <w:rPr>
                <w:color w:val="auto"/>
                <w:sz w:val="21"/>
                <w:szCs w:val="21"/>
                <w:highlight w:val="none"/>
              </w:rPr>
            </w:pPr>
            <w:r>
              <w:rPr>
                <w:rFonts w:hint="eastAsia"/>
                <w:color w:val="auto"/>
                <w:sz w:val="21"/>
                <w:szCs w:val="21"/>
                <w:highlight w:val="none"/>
              </w:rPr>
              <w:t>本项目不属于专门面向中小企业采购的项目；</w:t>
            </w:r>
          </w:p>
        </w:tc>
      </w:tr>
      <w:tr w14:paraId="05FD8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6A111E13">
            <w:pPr>
              <w:pStyle w:val="334"/>
              <w:ind w:left="420" w:firstLine="422"/>
              <w:jc w:val="center"/>
              <w:rPr>
                <w:color w:val="auto"/>
                <w:sz w:val="21"/>
                <w:szCs w:val="21"/>
                <w:highlight w:val="none"/>
              </w:rPr>
            </w:pPr>
            <w:r>
              <w:rPr>
                <w:rFonts w:hint="eastAsia"/>
                <w:color w:val="auto"/>
                <w:sz w:val="21"/>
                <w:szCs w:val="21"/>
                <w:highlight w:val="none"/>
              </w:rPr>
              <w:t>8</w:t>
            </w:r>
          </w:p>
        </w:tc>
        <w:tc>
          <w:tcPr>
            <w:tcW w:w="2370" w:type="dxa"/>
            <w:vAlign w:val="center"/>
          </w:tcPr>
          <w:p w14:paraId="0FD48739">
            <w:pPr>
              <w:pStyle w:val="334"/>
              <w:spacing w:line="400" w:lineRule="exact"/>
              <w:ind w:left="102"/>
              <w:jc w:val="center"/>
              <w:rPr>
                <w:color w:val="auto"/>
                <w:sz w:val="21"/>
                <w:szCs w:val="21"/>
                <w:highlight w:val="none"/>
              </w:rPr>
            </w:pPr>
            <w:r>
              <w:rPr>
                <w:rFonts w:hint="eastAsia"/>
                <w:color w:val="auto"/>
                <w:sz w:val="21"/>
                <w:szCs w:val="21"/>
                <w:highlight w:val="none"/>
              </w:rPr>
              <w:t>必须符合法律、行政法规规定的其他条件</w:t>
            </w:r>
          </w:p>
        </w:tc>
        <w:tc>
          <w:tcPr>
            <w:tcW w:w="6270" w:type="dxa"/>
            <w:vAlign w:val="center"/>
          </w:tcPr>
          <w:p w14:paraId="07BF2747">
            <w:pPr>
              <w:pStyle w:val="334"/>
              <w:spacing w:line="400" w:lineRule="exact"/>
              <w:ind w:left="102"/>
              <w:rPr>
                <w:color w:val="auto"/>
                <w:sz w:val="21"/>
                <w:szCs w:val="21"/>
                <w:highlight w:val="none"/>
              </w:rPr>
            </w:pPr>
            <w:r>
              <w:rPr>
                <w:color w:val="auto"/>
                <w:sz w:val="21"/>
                <w:szCs w:val="21"/>
                <w:highlight w:val="none"/>
              </w:rPr>
              <w:t>单位负责人为同一人或者存在直接控股、管理关系的不同供应商，不得同时参加本采购项目（或采购包</w:t>
            </w:r>
            <w:r>
              <w:rPr>
                <w:rFonts w:hint="eastAsia"/>
                <w:color w:val="auto"/>
                <w:sz w:val="21"/>
                <w:szCs w:val="21"/>
                <w:highlight w:val="none"/>
              </w:rPr>
              <w:t>）</w:t>
            </w:r>
            <w:r>
              <w:rPr>
                <w:color w:val="auto"/>
                <w:sz w:val="21"/>
                <w:szCs w:val="21"/>
                <w:highlight w:val="none"/>
              </w:rPr>
              <w:t>投标。为本项目提供整体设计、规范编制或者项目管理、监理、检测等服务的供应商，不得再参与本项目投标</w:t>
            </w:r>
            <w:r>
              <w:rPr>
                <w:rFonts w:hint="eastAsia"/>
                <w:color w:val="auto"/>
                <w:sz w:val="21"/>
                <w:szCs w:val="21"/>
                <w:highlight w:val="none"/>
              </w:rPr>
              <w:t>；（</w:t>
            </w:r>
            <w:r>
              <w:rPr>
                <w:color w:val="auto"/>
                <w:sz w:val="21"/>
                <w:szCs w:val="21"/>
                <w:highlight w:val="none"/>
              </w:rPr>
              <w:t>提供《</w:t>
            </w:r>
            <w:r>
              <w:rPr>
                <w:rFonts w:hint="eastAsia"/>
                <w:color w:val="auto"/>
                <w:sz w:val="21"/>
                <w:szCs w:val="21"/>
                <w:highlight w:val="none"/>
              </w:rPr>
              <w:t>资格声明函</w:t>
            </w:r>
            <w:r>
              <w:rPr>
                <w:color w:val="auto"/>
                <w:sz w:val="21"/>
                <w:szCs w:val="21"/>
                <w:highlight w:val="none"/>
              </w:rPr>
              <w:t>》</w:t>
            </w:r>
            <w:r>
              <w:rPr>
                <w:rFonts w:hint="eastAsia"/>
                <w:color w:val="auto"/>
                <w:sz w:val="21"/>
                <w:szCs w:val="21"/>
                <w:highlight w:val="none"/>
              </w:rPr>
              <w:t>进行相关申明）</w:t>
            </w:r>
          </w:p>
        </w:tc>
      </w:tr>
      <w:tr w14:paraId="78EEC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c>
          <w:tcPr>
            <w:tcW w:w="630" w:type="dxa"/>
            <w:vAlign w:val="center"/>
          </w:tcPr>
          <w:p w14:paraId="2AE802D5">
            <w:pPr>
              <w:pStyle w:val="334"/>
              <w:ind w:left="420" w:firstLine="422"/>
              <w:jc w:val="center"/>
              <w:rPr>
                <w:color w:val="auto"/>
                <w:sz w:val="21"/>
                <w:szCs w:val="21"/>
                <w:highlight w:val="none"/>
              </w:rPr>
            </w:pPr>
            <w:r>
              <w:rPr>
                <w:rFonts w:hint="eastAsia"/>
                <w:color w:val="auto"/>
                <w:sz w:val="21"/>
                <w:szCs w:val="21"/>
                <w:highlight w:val="none"/>
              </w:rPr>
              <w:t>9</w:t>
            </w:r>
          </w:p>
        </w:tc>
        <w:tc>
          <w:tcPr>
            <w:tcW w:w="2370" w:type="dxa"/>
            <w:vAlign w:val="center"/>
          </w:tcPr>
          <w:p w14:paraId="11118616">
            <w:pPr>
              <w:pStyle w:val="334"/>
              <w:spacing w:line="400" w:lineRule="exact"/>
              <w:ind w:left="102"/>
              <w:jc w:val="center"/>
              <w:rPr>
                <w:color w:val="auto"/>
                <w:sz w:val="21"/>
                <w:szCs w:val="21"/>
                <w:highlight w:val="none"/>
              </w:rPr>
            </w:pPr>
            <w:r>
              <w:rPr>
                <w:rFonts w:hint="eastAsia"/>
                <w:color w:val="auto"/>
                <w:sz w:val="21"/>
                <w:szCs w:val="21"/>
                <w:highlight w:val="none"/>
              </w:rPr>
              <w:t>信用记录</w:t>
            </w:r>
          </w:p>
        </w:tc>
        <w:tc>
          <w:tcPr>
            <w:tcW w:w="6270" w:type="dxa"/>
            <w:vAlign w:val="center"/>
          </w:tcPr>
          <w:p w14:paraId="389A1654">
            <w:pPr>
              <w:pStyle w:val="334"/>
              <w:spacing w:line="400" w:lineRule="exact"/>
              <w:ind w:left="102"/>
              <w:rPr>
                <w:color w:val="auto"/>
                <w:sz w:val="21"/>
                <w:szCs w:val="21"/>
                <w:highlight w:val="none"/>
              </w:rPr>
            </w:pPr>
            <w:r>
              <w:rPr>
                <w:rFonts w:hint="eastAsia"/>
                <w:color w:val="auto"/>
                <w:sz w:val="21"/>
                <w:szCs w:val="21"/>
                <w:highlight w:val="none"/>
              </w:rPr>
              <w:t>供应商未被列入“信用中国”网站（www.creditchina.gov.cn）以下任意名单之一：“失信被执行人”或“政府采购严重违法失信行为记录名单”或“重大税收违法失信主体”。同时，不处于中国政府采购网（www.ccgp.gov.cn）“政府采购严重违法失信行为信息记录”中的禁止参加政府采购活动期间。（以采购代理机构于评审当天在上述网站查询结果为准，如在上述网站查询结果均显示没有相关记录，视为没有上述不良信用记录，同时对信用信息查询记录和证据截图存档；如相关失信记录已失效，供应商须提供相关证明资料）</w:t>
            </w:r>
          </w:p>
        </w:tc>
      </w:tr>
      <w:tr w14:paraId="4CA30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5" w:hRule="atLeast"/>
        </w:trPr>
        <w:tc>
          <w:tcPr>
            <w:tcW w:w="630" w:type="dxa"/>
            <w:vAlign w:val="center"/>
          </w:tcPr>
          <w:p w14:paraId="47892A6F">
            <w:pPr>
              <w:pStyle w:val="334"/>
              <w:jc w:val="center"/>
              <w:rPr>
                <w:color w:val="auto"/>
                <w:sz w:val="21"/>
                <w:szCs w:val="21"/>
                <w:highlight w:val="none"/>
              </w:rPr>
            </w:pPr>
            <w:r>
              <w:rPr>
                <w:rFonts w:hint="eastAsia"/>
                <w:color w:val="auto"/>
                <w:sz w:val="21"/>
                <w:szCs w:val="21"/>
                <w:highlight w:val="none"/>
              </w:rPr>
              <w:t>10</w:t>
            </w:r>
          </w:p>
        </w:tc>
        <w:tc>
          <w:tcPr>
            <w:tcW w:w="2370" w:type="dxa"/>
            <w:vAlign w:val="center"/>
          </w:tcPr>
          <w:p w14:paraId="2704B33A">
            <w:pPr>
              <w:pStyle w:val="334"/>
              <w:spacing w:line="400" w:lineRule="exact"/>
              <w:ind w:left="102"/>
              <w:jc w:val="center"/>
              <w:rPr>
                <w:color w:val="auto"/>
                <w:sz w:val="21"/>
                <w:szCs w:val="21"/>
                <w:highlight w:val="none"/>
              </w:rPr>
            </w:pPr>
            <w:r>
              <w:rPr>
                <w:rFonts w:hint="eastAsia"/>
                <w:color w:val="auto"/>
                <w:sz w:val="21"/>
                <w:szCs w:val="21"/>
                <w:highlight w:val="none"/>
              </w:rPr>
              <w:t>联合体</w:t>
            </w:r>
          </w:p>
        </w:tc>
        <w:tc>
          <w:tcPr>
            <w:tcW w:w="6270" w:type="dxa"/>
            <w:vAlign w:val="center"/>
          </w:tcPr>
          <w:p w14:paraId="23CD8F2D">
            <w:pPr>
              <w:pStyle w:val="334"/>
              <w:spacing w:line="400" w:lineRule="exact"/>
              <w:ind w:left="102"/>
              <w:rPr>
                <w:color w:val="auto"/>
                <w:sz w:val="21"/>
                <w:szCs w:val="21"/>
                <w:highlight w:val="none"/>
              </w:rPr>
            </w:pPr>
            <w:r>
              <w:rPr>
                <w:rFonts w:hint="eastAsia"/>
                <w:color w:val="auto"/>
                <w:sz w:val="21"/>
                <w:szCs w:val="21"/>
                <w:highlight w:val="none"/>
              </w:rPr>
              <w:t>本项目不接受联合体投标。</w:t>
            </w:r>
          </w:p>
        </w:tc>
      </w:tr>
      <w:tr w14:paraId="762CA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9270" w:type="dxa"/>
            <w:gridSpan w:val="3"/>
            <w:vAlign w:val="center"/>
          </w:tcPr>
          <w:p w14:paraId="7A4B9905">
            <w:pPr>
              <w:pStyle w:val="334"/>
              <w:spacing w:before="156" w:beforeLines="50" w:after="156" w:afterLines="50"/>
              <w:ind w:left="102" w:right="159" w:firstLine="482"/>
              <w:jc w:val="center"/>
              <w:rPr>
                <w:b/>
                <w:bCs/>
                <w:color w:val="auto"/>
                <w:szCs w:val="21"/>
                <w:highlight w:val="none"/>
              </w:rPr>
            </w:pPr>
            <w:r>
              <w:rPr>
                <w:rFonts w:hint="eastAsia"/>
                <w:b/>
                <w:bCs/>
                <w:color w:val="auto"/>
                <w:szCs w:val="21"/>
                <w:highlight w:val="none"/>
              </w:rPr>
              <w:t>结论</w:t>
            </w:r>
          </w:p>
        </w:tc>
      </w:tr>
    </w:tbl>
    <w:p w14:paraId="107FD89A">
      <w:pPr>
        <w:spacing w:line="360" w:lineRule="auto"/>
        <w:jc w:val="left"/>
        <w:rPr>
          <w:rFonts w:ascii="宋体" w:hAnsi="宋体"/>
          <w:bCs/>
          <w:color w:val="auto"/>
          <w:szCs w:val="21"/>
          <w:highlight w:val="none"/>
        </w:rPr>
      </w:pPr>
      <w:r>
        <w:rPr>
          <w:rFonts w:ascii="宋体" w:hAnsi="宋体"/>
          <w:bCs/>
          <w:color w:val="auto"/>
          <w:szCs w:val="21"/>
          <w:highlight w:val="none"/>
        </w:rPr>
        <w:t>填表说明：</w:t>
      </w:r>
    </w:p>
    <w:p w14:paraId="699DEF7A">
      <w:pPr>
        <w:spacing w:line="360" w:lineRule="auto"/>
        <w:jc w:val="left"/>
        <w:rPr>
          <w:rFonts w:ascii="宋体" w:hAnsi="宋体"/>
          <w:bCs/>
          <w:color w:val="auto"/>
          <w:szCs w:val="21"/>
          <w:highlight w:val="none"/>
        </w:rPr>
      </w:pPr>
      <w:r>
        <w:rPr>
          <w:rFonts w:ascii="宋体" w:hAnsi="宋体"/>
          <w:bCs/>
          <w:color w:val="auto"/>
          <w:szCs w:val="21"/>
          <w:highlight w:val="none"/>
        </w:rPr>
        <w:t>1、“通过”打“√”，“不通过”打“×”；</w:t>
      </w:r>
    </w:p>
    <w:p w14:paraId="333EB3D6">
      <w:pPr>
        <w:spacing w:line="360" w:lineRule="auto"/>
        <w:ind w:right="-313" w:rightChars="-149"/>
        <w:jc w:val="left"/>
        <w:rPr>
          <w:rFonts w:ascii="宋体" w:hAnsi="宋体"/>
          <w:bCs/>
          <w:color w:val="auto"/>
          <w:szCs w:val="21"/>
          <w:highlight w:val="none"/>
        </w:rPr>
      </w:pPr>
      <w:r>
        <w:rPr>
          <w:rFonts w:ascii="宋体" w:hAnsi="宋体"/>
          <w:bCs/>
          <w:color w:val="auto"/>
          <w:szCs w:val="21"/>
          <w:highlight w:val="none"/>
        </w:rPr>
        <w:t>2、</w:t>
      </w:r>
      <w:r>
        <w:rPr>
          <w:rFonts w:hint="eastAsia" w:ascii="宋体" w:hAnsi="宋体"/>
          <w:bCs/>
          <w:color w:val="auto"/>
          <w:szCs w:val="21"/>
          <w:highlight w:val="none"/>
        </w:rPr>
        <w:t>在结论栏中填写“通过”或“不通过”；</w:t>
      </w:r>
    </w:p>
    <w:p w14:paraId="134E8F94">
      <w:pPr>
        <w:spacing w:line="360" w:lineRule="auto"/>
        <w:ind w:right="-313" w:rightChars="-149"/>
        <w:jc w:val="left"/>
        <w:rPr>
          <w:rFonts w:ascii="宋体" w:hAnsi="宋体"/>
          <w:bCs/>
          <w:color w:val="auto"/>
          <w:szCs w:val="21"/>
          <w:highlight w:val="none"/>
        </w:rPr>
      </w:pPr>
      <w:r>
        <w:rPr>
          <w:rFonts w:hint="eastAsia" w:ascii="宋体" w:hAnsi="宋体"/>
          <w:bCs/>
          <w:color w:val="auto"/>
          <w:szCs w:val="21"/>
          <w:highlight w:val="none"/>
        </w:rPr>
        <w:t>3、供应商</w:t>
      </w:r>
      <w:r>
        <w:rPr>
          <w:rFonts w:ascii="宋体" w:hAnsi="宋体"/>
          <w:bCs/>
          <w:color w:val="auto"/>
          <w:szCs w:val="21"/>
          <w:highlight w:val="none"/>
        </w:rPr>
        <w:t>有一个“不通过”，审查</w:t>
      </w:r>
      <w:r>
        <w:rPr>
          <w:rFonts w:hint="eastAsia" w:ascii="宋体" w:hAnsi="宋体"/>
          <w:bCs/>
          <w:color w:val="auto"/>
          <w:szCs w:val="21"/>
          <w:highlight w:val="none"/>
        </w:rPr>
        <w:t>结论</w:t>
      </w:r>
      <w:r>
        <w:rPr>
          <w:rFonts w:ascii="宋体" w:hAnsi="宋体"/>
          <w:bCs/>
          <w:color w:val="auto"/>
          <w:szCs w:val="21"/>
          <w:highlight w:val="none"/>
        </w:rPr>
        <w:t>视为不通过</w:t>
      </w:r>
      <w:r>
        <w:rPr>
          <w:rFonts w:hint="eastAsia" w:ascii="宋体" w:hAnsi="宋体"/>
          <w:bCs/>
          <w:color w:val="auto"/>
          <w:szCs w:val="21"/>
          <w:highlight w:val="none"/>
        </w:rPr>
        <w:t>。</w:t>
      </w:r>
    </w:p>
    <w:p w14:paraId="5A00EBBE">
      <w:pPr>
        <w:widowControl/>
        <w:ind w:firstLine="480"/>
        <w:jc w:val="left"/>
        <w:rPr>
          <w:rFonts w:ascii="宋体" w:hAnsi="宋体" w:cs="Futura-Heavy"/>
          <w:b/>
          <w:bCs/>
          <w:color w:val="auto"/>
          <w:sz w:val="24"/>
          <w:highlight w:val="none"/>
        </w:rPr>
      </w:pPr>
    </w:p>
    <w:p w14:paraId="2CA2CA5E">
      <w:pPr>
        <w:widowControl/>
        <w:ind w:firstLine="482"/>
        <w:jc w:val="left"/>
        <w:rPr>
          <w:rFonts w:ascii="宋体" w:hAnsi="宋体"/>
          <w:color w:val="auto"/>
          <w:highlight w:val="none"/>
        </w:rPr>
      </w:pPr>
      <w:r>
        <w:rPr>
          <w:rFonts w:hint="eastAsia" w:ascii="宋体" w:hAnsi="宋体" w:cs="Futura-Heavy"/>
          <w:b/>
          <w:bCs/>
          <w:color w:val="auto"/>
          <w:sz w:val="24"/>
          <w:highlight w:val="none"/>
        </w:rPr>
        <w:t>1.2符合性审查表</w:t>
      </w:r>
    </w:p>
    <w:tbl>
      <w:tblPr>
        <w:tblStyle w:val="49"/>
        <w:tblpPr w:leftFromText="180" w:rightFromText="180" w:vertAnchor="text" w:horzAnchor="page" w:tblpX="1274" w:tblpY="307"/>
        <w:tblOverlap w:val="never"/>
        <w:tblW w:w="935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00"/>
        <w:gridCol w:w="2284"/>
        <w:gridCol w:w="6375"/>
      </w:tblGrid>
      <w:tr w14:paraId="7E1A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3" w:hRule="atLeast"/>
        </w:trPr>
        <w:tc>
          <w:tcPr>
            <w:tcW w:w="700" w:type="dxa"/>
            <w:shd w:val="clear" w:color="auto" w:fill="F1F1F1" w:themeFill="background1" w:themeFillShade="F2"/>
            <w:vAlign w:val="center"/>
          </w:tcPr>
          <w:p w14:paraId="7514534F">
            <w:pPr>
              <w:pStyle w:val="334"/>
              <w:spacing w:before="60"/>
              <w:ind w:right="153"/>
              <w:jc w:val="center"/>
              <w:rPr>
                <w:b/>
                <w:color w:val="auto"/>
                <w:szCs w:val="21"/>
                <w:highlight w:val="none"/>
              </w:rPr>
            </w:pPr>
            <w:r>
              <w:rPr>
                <w:b/>
                <w:color w:val="auto"/>
                <w:szCs w:val="21"/>
                <w:highlight w:val="none"/>
              </w:rPr>
              <w:t>序号</w:t>
            </w:r>
          </w:p>
        </w:tc>
        <w:tc>
          <w:tcPr>
            <w:tcW w:w="2284" w:type="dxa"/>
            <w:shd w:val="clear" w:color="auto" w:fill="F1F1F1" w:themeFill="background1" w:themeFillShade="F2"/>
            <w:vAlign w:val="center"/>
          </w:tcPr>
          <w:p w14:paraId="5E96B067">
            <w:pPr>
              <w:pStyle w:val="334"/>
              <w:spacing w:before="60"/>
              <w:ind w:left="-3" w:firstLine="482"/>
              <w:jc w:val="center"/>
              <w:rPr>
                <w:b/>
                <w:color w:val="auto"/>
                <w:szCs w:val="21"/>
                <w:highlight w:val="none"/>
              </w:rPr>
            </w:pPr>
            <w:r>
              <w:rPr>
                <w:b/>
                <w:color w:val="auto"/>
                <w:szCs w:val="21"/>
                <w:highlight w:val="none"/>
              </w:rPr>
              <w:t>评审点要求概况</w:t>
            </w:r>
          </w:p>
        </w:tc>
        <w:tc>
          <w:tcPr>
            <w:tcW w:w="6375" w:type="dxa"/>
            <w:shd w:val="clear" w:color="auto" w:fill="F1F1F1" w:themeFill="background1" w:themeFillShade="F2"/>
            <w:vAlign w:val="center"/>
          </w:tcPr>
          <w:p w14:paraId="1EBF442D">
            <w:pPr>
              <w:pStyle w:val="334"/>
              <w:spacing w:before="60"/>
              <w:ind w:firstLine="482"/>
              <w:jc w:val="center"/>
              <w:rPr>
                <w:b/>
                <w:color w:val="auto"/>
                <w:szCs w:val="21"/>
                <w:highlight w:val="none"/>
              </w:rPr>
            </w:pPr>
            <w:r>
              <w:rPr>
                <w:b/>
                <w:color w:val="auto"/>
                <w:szCs w:val="21"/>
                <w:highlight w:val="none"/>
              </w:rPr>
              <w:t>评审点具体描述</w:t>
            </w:r>
          </w:p>
        </w:tc>
      </w:tr>
      <w:tr w14:paraId="37D78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700" w:type="dxa"/>
            <w:vAlign w:val="center"/>
          </w:tcPr>
          <w:p w14:paraId="221C603B">
            <w:pPr>
              <w:pStyle w:val="334"/>
              <w:spacing w:line="400" w:lineRule="exact"/>
              <w:ind w:left="102"/>
              <w:jc w:val="center"/>
              <w:rPr>
                <w:color w:val="auto"/>
                <w:sz w:val="21"/>
                <w:szCs w:val="21"/>
                <w:highlight w:val="none"/>
              </w:rPr>
            </w:pPr>
            <w:r>
              <w:rPr>
                <w:rFonts w:hint="eastAsia"/>
                <w:color w:val="auto"/>
                <w:sz w:val="21"/>
                <w:szCs w:val="21"/>
                <w:highlight w:val="none"/>
              </w:rPr>
              <w:t>1</w:t>
            </w:r>
          </w:p>
        </w:tc>
        <w:tc>
          <w:tcPr>
            <w:tcW w:w="2284" w:type="dxa"/>
            <w:vAlign w:val="center"/>
          </w:tcPr>
          <w:p w14:paraId="21335395">
            <w:pPr>
              <w:pStyle w:val="334"/>
              <w:spacing w:line="400" w:lineRule="exact"/>
              <w:ind w:left="102"/>
              <w:jc w:val="center"/>
              <w:rPr>
                <w:color w:val="auto"/>
                <w:sz w:val="21"/>
                <w:szCs w:val="21"/>
                <w:highlight w:val="none"/>
              </w:rPr>
            </w:pPr>
            <w:r>
              <w:rPr>
                <w:rFonts w:hint="eastAsia"/>
                <w:color w:val="auto"/>
                <w:sz w:val="21"/>
                <w:szCs w:val="21"/>
                <w:highlight w:val="none"/>
              </w:rPr>
              <w:t>响应函</w:t>
            </w:r>
          </w:p>
        </w:tc>
        <w:tc>
          <w:tcPr>
            <w:tcW w:w="6375" w:type="dxa"/>
            <w:vAlign w:val="center"/>
          </w:tcPr>
          <w:p w14:paraId="65E3C909">
            <w:pPr>
              <w:pStyle w:val="334"/>
              <w:spacing w:line="400" w:lineRule="exact"/>
              <w:ind w:left="102"/>
              <w:rPr>
                <w:color w:val="auto"/>
                <w:sz w:val="21"/>
                <w:szCs w:val="21"/>
                <w:highlight w:val="none"/>
              </w:rPr>
            </w:pPr>
            <w:r>
              <w:rPr>
                <w:rFonts w:hint="eastAsia"/>
                <w:color w:val="auto"/>
                <w:sz w:val="21"/>
                <w:szCs w:val="21"/>
                <w:highlight w:val="none"/>
              </w:rPr>
              <w:t>按采购文件要求提交响应函，内容完整，无重大错漏，按对应格式文件签署和盖章。</w:t>
            </w:r>
          </w:p>
        </w:tc>
      </w:tr>
      <w:tr w14:paraId="7E741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700" w:type="dxa"/>
            <w:vAlign w:val="center"/>
          </w:tcPr>
          <w:p w14:paraId="1BB8AB66">
            <w:pPr>
              <w:pStyle w:val="334"/>
              <w:spacing w:line="400" w:lineRule="exact"/>
              <w:ind w:left="102"/>
              <w:jc w:val="center"/>
              <w:rPr>
                <w:color w:val="auto"/>
                <w:sz w:val="21"/>
                <w:szCs w:val="21"/>
                <w:highlight w:val="none"/>
              </w:rPr>
            </w:pPr>
            <w:r>
              <w:rPr>
                <w:rFonts w:hint="eastAsia"/>
                <w:color w:val="auto"/>
                <w:sz w:val="21"/>
                <w:szCs w:val="21"/>
                <w:highlight w:val="none"/>
              </w:rPr>
              <w:t>2</w:t>
            </w:r>
          </w:p>
        </w:tc>
        <w:tc>
          <w:tcPr>
            <w:tcW w:w="2284" w:type="dxa"/>
            <w:vAlign w:val="center"/>
          </w:tcPr>
          <w:p w14:paraId="62037F59">
            <w:pPr>
              <w:pStyle w:val="334"/>
              <w:spacing w:line="400" w:lineRule="exact"/>
              <w:ind w:left="102"/>
              <w:jc w:val="center"/>
              <w:rPr>
                <w:color w:val="auto"/>
                <w:sz w:val="21"/>
                <w:szCs w:val="21"/>
                <w:highlight w:val="none"/>
              </w:rPr>
            </w:pPr>
            <w:r>
              <w:rPr>
                <w:rFonts w:hint="eastAsia"/>
                <w:color w:val="auto"/>
                <w:sz w:val="21"/>
                <w:szCs w:val="21"/>
                <w:highlight w:val="none"/>
              </w:rPr>
              <w:t>响应有效期</w:t>
            </w:r>
          </w:p>
        </w:tc>
        <w:tc>
          <w:tcPr>
            <w:tcW w:w="6375" w:type="dxa"/>
            <w:vAlign w:val="center"/>
          </w:tcPr>
          <w:p w14:paraId="1D95616B">
            <w:pPr>
              <w:pStyle w:val="334"/>
              <w:spacing w:line="400" w:lineRule="exact"/>
              <w:ind w:left="102"/>
              <w:rPr>
                <w:color w:val="auto"/>
                <w:sz w:val="21"/>
                <w:szCs w:val="21"/>
                <w:highlight w:val="none"/>
              </w:rPr>
            </w:pPr>
            <w:r>
              <w:rPr>
                <w:rFonts w:hint="eastAsia"/>
                <w:color w:val="auto"/>
                <w:sz w:val="21"/>
                <w:szCs w:val="21"/>
                <w:highlight w:val="none"/>
              </w:rPr>
              <w:t>响应有效期不少于采购文件中载明的有效期。</w:t>
            </w:r>
          </w:p>
        </w:tc>
      </w:tr>
      <w:tr w14:paraId="3FC95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700" w:type="dxa"/>
            <w:vAlign w:val="center"/>
          </w:tcPr>
          <w:p w14:paraId="6F1A0114">
            <w:pPr>
              <w:pStyle w:val="334"/>
              <w:spacing w:line="400" w:lineRule="exact"/>
              <w:ind w:left="102"/>
              <w:jc w:val="center"/>
              <w:rPr>
                <w:color w:val="auto"/>
                <w:sz w:val="21"/>
                <w:szCs w:val="21"/>
                <w:highlight w:val="none"/>
              </w:rPr>
            </w:pPr>
            <w:r>
              <w:rPr>
                <w:rFonts w:hint="eastAsia"/>
                <w:color w:val="auto"/>
                <w:sz w:val="21"/>
                <w:szCs w:val="21"/>
                <w:highlight w:val="none"/>
              </w:rPr>
              <w:t>3</w:t>
            </w:r>
          </w:p>
        </w:tc>
        <w:tc>
          <w:tcPr>
            <w:tcW w:w="2284" w:type="dxa"/>
            <w:vAlign w:val="center"/>
          </w:tcPr>
          <w:p w14:paraId="4CAE5F6F">
            <w:pPr>
              <w:pStyle w:val="334"/>
              <w:spacing w:line="400" w:lineRule="exact"/>
              <w:ind w:left="102"/>
              <w:jc w:val="center"/>
              <w:rPr>
                <w:color w:val="auto"/>
                <w:sz w:val="21"/>
                <w:szCs w:val="21"/>
                <w:highlight w:val="none"/>
              </w:rPr>
            </w:pPr>
            <w:r>
              <w:rPr>
                <w:rFonts w:hint="eastAsia"/>
                <w:color w:val="auto"/>
                <w:sz w:val="21"/>
                <w:szCs w:val="21"/>
                <w:highlight w:val="none"/>
              </w:rPr>
              <w:t>响应报价</w:t>
            </w:r>
          </w:p>
        </w:tc>
        <w:tc>
          <w:tcPr>
            <w:tcW w:w="6375" w:type="dxa"/>
            <w:vAlign w:val="center"/>
          </w:tcPr>
          <w:p w14:paraId="6046BEE3">
            <w:pPr>
              <w:pStyle w:val="334"/>
              <w:spacing w:line="400" w:lineRule="exact"/>
              <w:ind w:left="102"/>
              <w:rPr>
                <w:color w:val="auto"/>
                <w:sz w:val="21"/>
                <w:szCs w:val="21"/>
                <w:highlight w:val="none"/>
              </w:rPr>
            </w:pPr>
            <w:r>
              <w:rPr>
                <w:rFonts w:hint="eastAsia"/>
                <w:color w:val="auto"/>
                <w:sz w:val="21"/>
                <w:szCs w:val="21"/>
                <w:highlight w:val="none"/>
              </w:rPr>
              <w:t>响应报价是固定价且是唯一的，未超过项目预算总金额或最高限价的。</w:t>
            </w:r>
          </w:p>
        </w:tc>
      </w:tr>
      <w:tr w14:paraId="3C041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700" w:type="dxa"/>
            <w:vAlign w:val="center"/>
          </w:tcPr>
          <w:p w14:paraId="7970B722">
            <w:pPr>
              <w:pStyle w:val="334"/>
              <w:spacing w:line="400" w:lineRule="exact"/>
              <w:ind w:left="102"/>
              <w:jc w:val="center"/>
              <w:rPr>
                <w:color w:val="auto"/>
                <w:sz w:val="21"/>
                <w:szCs w:val="21"/>
                <w:highlight w:val="none"/>
              </w:rPr>
            </w:pPr>
            <w:r>
              <w:rPr>
                <w:rFonts w:hint="eastAsia"/>
                <w:color w:val="auto"/>
                <w:sz w:val="21"/>
                <w:szCs w:val="21"/>
                <w:highlight w:val="none"/>
              </w:rPr>
              <w:t>4</w:t>
            </w:r>
          </w:p>
        </w:tc>
        <w:tc>
          <w:tcPr>
            <w:tcW w:w="2284" w:type="dxa"/>
            <w:vAlign w:val="center"/>
          </w:tcPr>
          <w:p w14:paraId="3661386D">
            <w:pPr>
              <w:pStyle w:val="334"/>
              <w:spacing w:line="400" w:lineRule="exact"/>
              <w:ind w:left="102"/>
              <w:jc w:val="center"/>
              <w:rPr>
                <w:color w:val="auto"/>
                <w:sz w:val="21"/>
                <w:szCs w:val="21"/>
                <w:highlight w:val="none"/>
              </w:rPr>
            </w:pPr>
            <w:r>
              <w:rPr>
                <w:rFonts w:hint="eastAsia"/>
                <w:color w:val="auto"/>
                <w:sz w:val="21"/>
                <w:szCs w:val="21"/>
                <w:highlight w:val="none"/>
              </w:rPr>
              <w:t>投标保证金（如有）</w:t>
            </w:r>
          </w:p>
        </w:tc>
        <w:tc>
          <w:tcPr>
            <w:tcW w:w="6375" w:type="dxa"/>
            <w:vAlign w:val="center"/>
          </w:tcPr>
          <w:p w14:paraId="0B18D953">
            <w:pPr>
              <w:pStyle w:val="334"/>
              <w:spacing w:line="400" w:lineRule="exact"/>
              <w:ind w:left="102"/>
              <w:rPr>
                <w:color w:val="auto"/>
                <w:sz w:val="21"/>
                <w:szCs w:val="21"/>
                <w:highlight w:val="none"/>
              </w:rPr>
            </w:pPr>
            <w:r>
              <w:rPr>
                <w:rFonts w:hint="eastAsia"/>
                <w:color w:val="auto"/>
                <w:sz w:val="21"/>
                <w:szCs w:val="21"/>
                <w:highlight w:val="none"/>
              </w:rPr>
              <w:t>已按文件的规定递交投标保证金。</w:t>
            </w:r>
          </w:p>
        </w:tc>
      </w:tr>
      <w:tr w14:paraId="6E4C0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4" w:hRule="atLeast"/>
        </w:trPr>
        <w:tc>
          <w:tcPr>
            <w:tcW w:w="700" w:type="dxa"/>
            <w:vAlign w:val="center"/>
          </w:tcPr>
          <w:p w14:paraId="440AEEB8">
            <w:pPr>
              <w:pStyle w:val="334"/>
              <w:spacing w:line="400" w:lineRule="exact"/>
              <w:ind w:left="102"/>
              <w:jc w:val="center"/>
              <w:rPr>
                <w:color w:val="auto"/>
                <w:sz w:val="21"/>
                <w:szCs w:val="21"/>
                <w:highlight w:val="none"/>
              </w:rPr>
            </w:pPr>
            <w:r>
              <w:rPr>
                <w:rFonts w:hint="eastAsia"/>
                <w:color w:val="auto"/>
                <w:sz w:val="21"/>
                <w:szCs w:val="21"/>
                <w:highlight w:val="none"/>
              </w:rPr>
              <w:t>5</w:t>
            </w:r>
          </w:p>
        </w:tc>
        <w:tc>
          <w:tcPr>
            <w:tcW w:w="2284" w:type="dxa"/>
            <w:vAlign w:val="center"/>
          </w:tcPr>
          <w:p w14:paraId="410AAD3C">
            <w:pPr>
              <w:pStyle w:val="334"/>
              <w:spacing w:line="400" w:lineRule="exact"/>
              <w:ind w:left="102"/>
              <w:jc w:val="center"/>
              <w:rPr>
                <w:color w:val="auto"/>
                <w:sz w:val="21"/>
                <w:szCs w:val="21"/>
                <w:highlight w:val="none"/>
              </w:rPr>
            </w:pPr>
            <w:r>
              <w:rPr>
                <w:rFonts w:hint="eastAsia"/>
                <w:color w:val="auto"/>
                <w:sz w:val="21"/>
                <w:szCs w:val="21"/>
                <w:highlight w:val="none"/>
              </w:rPr>
              <w:t>法定代表人证明书和法定代表人授权书</w:t>
            </w:r>
          </w:p>
        </w:tc>
        <w:tc>
          <w:tcPr>
            <w:tcW w:w="6375" w:type="dxa"/>
            <w:vAlign w:val="center"/>
          </w:tcPr>
          <w:p w14:paraId="47F3DA3E">
            <w:pPr>
              <w:pStyle w:val="334"/>
              <w:spacing w:line="400" w:lineRule="exact"/>
              <w:ind w:left="102"/>
              <w:rPr>
                <w:color w:val="auto"/>
                <w:sz w:val="21"/>
                <w:szCs w:val="21"/>
                <w:highlight w:val="none"/>
              </w:rPr>
            </w:pPr>
            <w:r>
              <w:rPr>
                <w:rFonts w:hint="eastAsia"/>
                <w:color w:val="auto"/>
                <w:sz w:val="21"/>
                <w:szCs w:val="21"/>
                <w:highlight w:val="none"/>
              </w:rPr>
              <w:t>供应商提供的法定代表人证明书及法定代表人授权书原件，按格式要求签署并盖章；若法定代表人作为响应代表参加投标，则只需提供法定代表人证明书。</w:t>
            </w:r>
          </w:p>
        </w:tc>
      </w:tr>
      <w:tr w14:paraId="1710B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 w:hRule="atLeast"/>
        </w:trPr>
        <w:tc>
          <w:tcPr>
            <w:tcW w:w="700" w:type="dxa"/>
            <w:vAlign w:val="center"/>
          </w:tcPr>
          <w:p w14:paraId="4E34AE7D">
            <w:pPr>
              <w:pStyle w:val="334"/>
              <w:spacing w:line="400" w:lineRule="exact"/>
              <w:ind w:left="102"/>
              <w:jc w:val="center"/>
              <w:rPr>
                <w:color w:val="auto"/>
                <w:sz w:val="21"/>
                <w:szCs w:val="21"/>
                <w:highlight w:val="none"/>
              </w:rPr>
            </w:pPr>
            <w:r>
              <w:rPr>
                <w:rFonts w:hint="eastAsia"/>
                <w:color w:val="auto"/>
                <w:sz w:val="21"/>
                <w:szCs w:val="21"/>
                <w:highlight w:val="none"/>
              </w:rPr>
              <w:t>6</w:t>
            </w:r>
          </w:p>
        </w:tc>
        <w:tc>
          <w:tcPr>
            <w:tcW w:w="2284" w:type="dxa"/>
            <w:vAlign w:val="center"/>
          </w:tcPr>
          <w:p w14:paraId="6FD52E54">
            <w:pPr>
              <w:pStyle w:val="334"/>
              <w:spacing w:line="400" w:lineRule="exact"/>
              <w:ind w:left="102"/>
              <w:jc w:val="center"/>
              <w:rPr>
                <w:color w:val="auto"/>
                <w:sz w:val="21"/>
                <w:szCs w:val="21"/>
                <w:highlight w:val="none"/>
              </w:rPr>
            </w:pPr>
            <w:r>
              <w:rPr>
                <w:rFonts w:hint="eastAsia"/>
                <w:color w:val="auto"/>
                <w:sz w:val="21"/>
                <w:szCs w:val="21"/>
                <w:highlight w:val="none"/>
              </w:rPr>
              <w:t>附加条件</w:t>
            </w:r>
          </w:p>
        </w:tc>
        <w:tc>
          <w:tcPr>
            <w:tcW w:w="6375" w:type="dxa"/>
            <w:vAlign w:val="center"/>
          </w:tcPr>
          <w:p w14:paraId="099BEF23">
            <w:pPr>
              <w:pStyle w:val="334"/>
              <w:spacing w:line="400" w:lineRule="exact"/>
              <w:ind w:left="102"/>
              <w:rPr>
                <w:color w:val="auto"/>
                <w:sz w:val="21"/>
                <w:szCs w:val="21"/>
                <w:highlight w:val="none"/>
              </w:rPr>
            </w:pPr>
            <w:r>
              <w:rPr>
                <w:rFonts w:hint="eastAsia"/>
                <w:color w:val="auto"/>
                <w:sz w:val="21"/>
                <w:szCs w:val="21"/>
                <w:highlight w:val="none"/>
              </w:rPr>
              <w:t>响应文件中未含有采购人不能接受的附加条件。</w:t>
            </w:r>
          </w:p>
        </w:tc>
      </w:tr>
      <w:tr w14:paraId="15A91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700" w:type="dxa"/>
            <w:vAlign w:val="center"/>
          </w:tcPr>
          <w:p w14:paraId="682BACDE">
            <w:pPr>
              <w:pStyle w:val="334"/>
              <w:spacing w:line="400" w:lineRule="exact"/>
              <w:ind w:left="102"/>
              <w:jc w:val="center"/>
              <w:rPr>
                <w:color w:val="auto"/>
                <w:sz w:val="21"/>
                <w:szCs w:val="21"/>
                <w:highlight w:val="none"/>
              </w:rPr>
            </w:pPr>
            <w:r>
              <w:rPr>
                <w:rFonts w:hint="eastAsia"/>
                <w:color w:val="auto"/>
                <w:sz w:val="21"/>
                <w:szCs w:val="21"/>
                <w:highlight w:val="none"/>
              </w:rPr>
              <w:t>7</w:t>
            </w:r>
          </w:p>
        </w:tc>
        <w:tc>
          <w:tcPr>
            <w:tcW w:w="2284" w:type="dxa"/>
            <w:vAlign w:val="center"/>
          </w:tcPr>
          <w:p w14:paraId="58765F5D">
            <w:pPr>
              <w:pStyle w:val="334"/>
              <w:spacing w:line="400" w:lineRule="exact"/>
              <w:ind w:left="102"/>
              <w:jc w:val="center"/>
              <w:rPr>
                <w:color w:val="auto"/>
                <w:sz w:val="21"/>
                <w:szCs w:val="21"/>
                <w:highlight w:val="none"/>
              </w:rPr>
            </w:pPr>
            <w:r>
              <w:rPr>
                <w:rFonts w:hint="eastAsia"/>
                <w:color w:val="auto"/>
                <w:sz w:val="21"/>
                <w:szCs w:val="21"/>
                <w:highlight w:val="none"/>
              </w:rPr>
              <w:t>“★”号条款要求</w:t>
            </w:r>
          </w:p>
          <w:p w14:paraId="6D3B4E07">
            <w:pPr>
              <w:pStyle w:val="334"/>
              <w:spacing w:line="400" w:lineRule="exact"/>
              <w:ind w:left="102"/>
              <w:jc w:val="center"/>
              <w:rPr>
                <w:color w:val="auto"/>
                <w:sz w:val="21"/>
                <w:szCs w:val="21"/>
                <w:highlight w:val="none"/>
              </w:rPr>
            </w:pPr>
            <w:r>
              <w:rPr>
                <w:rFonts w:hint="eastAsia"/>
                <w:color w:val="auto"/>
                <w:sz w:val="21"/>
                <w:szCs w:val="21"/>
                <w:highlight w:val="none"/>
              </w:rPr>
              <w:t>（如有）</w:t>
            </w:r>
          </w:p>
        </w:tc>
        <w:tc>
          <w:tcPr>
            <w:tcW w:w="6375" w:type="dxa"/>
            <w:vAlign w:val="center"/>
          </w:tcPr>
          <w:p w14:paraId="775C5982">
            <w:pPr>
              <w:pStyle w:val="334"/>
              <w:spacing w:line="400" w:lineRule="exact"/>
              <w:ind w:left="102"/>
              <w:rPr>
                <w:color w:val="auto"/>
                <w:sz w:val="21"/>
                <w:szCs w:val="21"/>
                <w:highlight w:val="none"/>
              </w:rPr>
            </w:pPr>
            <w:r>
              <w:rPr>
                <w:rFonts w:hint="eastAsia"/>
                <w:color w:val="auto"/>
                <w:sz w:val="21"/>
                <w:szCs w:val="21"/>
                <w:highlight w:val="none"/>
              </w:rPr>
              <w:t>满足采购文件要求成交注“★”号条款的要求，且不存在负偏离或不满足的情况。</w:t>
            </w:r>
          </w:p>
        </w:tc>
      </w:tr>
      <w:tr w14:paraId="4A3E1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700" w:type="dxa"/>
            <w:vAlign w:val="center"/>
          </w:tcPr>
          <w:p w14:paraId="1714CC35">
            <w:pPr>
              <w:pStyle w:val="334"/>
              <w:spacing w:line="400" w:lineRule="exact"/>
              <w:ind w:left="102"/>
              <w:jc w:val="center"/>
              <w:rPr>
                <w:color w:val="auto"/>
                <w:sz w:val="21"/>
                <w:szCs w:val="21"/>
                <w:highlight w:val="none"/>
              </w:rPr>
            </w:pPr>
            <w:r>
              <w:rPr>
                <w:rFonts w:hint="eastAsia"/>
                <w:color w:val="auto"/>
                <w:sz w:val="21"/>
                <w:szCs w:val="21"/>
                <w:highlight w:val="none"/>
              </w:rPr>
              <w:t>8</w:t>
            </w:r>
          </w:p>
        </w:tc>
        <w:tc>
          <w:tcPr>
            <w:tcW w:w="2284" w:type="dxa"/>
            <w:vAlign w:val="center"/>
          </w:tcPr>
          <w:p w14:paraId="11B02134">
            <w:pPr>
              <w:pStyle w:val="334"/>
              <w:spacing w:line="400" w:lineRule="exact"/>
              <w:ind w:left="102"/>
              <w:jc w:val="center"/>
              <w:rPr>
                <w:color w:val="auto"/>
                <w:sz w:val="21"/>
                <w:szCs w:val="21"/>
                <w:highlight w:val="none"/>
              </w:rPr>
            </w:pPr>
            <w:r>
              <w:rPr>
                <w:rFonts w:hint="eastAsia"/>
                <w:color w:val="auto"/>
                <w:sz w:val="21"/>
                <w:szCs w:val="21"/>
                <w:highlight w:val="none"/>
              </w:rPr>
              <w:t>响应文件签署、盖章要求</w:t>
            </w:r>
          </w:p>
        </w:tc>
        <w:tc>
          <w:tcPr>
            <w:tcW w:w="6375" w:type="dxa"/>
            <w:vAlign w:val="center"/>
          </w:tcPr>
          <w:p w14:paraId="749BED96">
            <w:pPr>
              <w:pStyle w:val="334"/>
              <w:spacing w:line="400" w:lineRule="exact"/>
              <w:ind w:left="102"/>
              <w:rPr>
                <w:color w:val="auto"/>
                <w:sz w:val="21"/>
                <w:szCs w:val="21"/>
                <w:highlight w:val="none"/>
              </w:rPr>
            </w:pPr>
            <w:r>
              <w:rPr>
                <w:rFonts w:hint="eastAsia"/>
                <w:color w:val="auto"/>
                <w:sz w:val="21"/>
                <w:szCs w:val="21"/>
                <w:highlight w:val="none"/>
              </w:rPr>
              <w:t>响应文件按照采购文件要求签署、盖章。</w:t>
            </w:r>
          </w:p>
        </w:tc>
      </w:tr>
      <w:tr w14:paraId="44911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0" w:hRule="atLeast"/>
        </w:trPr>
        <w:tc>
          <w:tcPr>
            <w:tcW w:w="700" w:type="dxa"/>
            <w:vAlign w:val="center"/>
          </w:tcPr>
          <w:p w14:paraId="2791A000">
            <w:pPr>
              <w:pStyle w:val="334"/>
              <w:spacing w:line="400" w:lineRule="exact"/>
              <w:ind w:left="102"/>
              <w:jc w:val="center"/>
              <w:rPr>
                <w:color w:val="auto"/>
                <w:sz w:val="21"/>
                <w:szCs w:val="21"/>
                <w:highlight w:val="none"/>
              </w:rPr>
            </w:pPr>
            <w:r>
              <w:rPr>
                <w:rFonts w:hint="eastAsia"/>
                <w:color w:val="auto"/>
                <w:sz w:val="21"/>
                <w:szCs w:val="21"/>
                <w:highlight w:val="none"/>
              </w:rPr>
              <w:t>9</w:t>
            </w:r>
          </w:p>
        </w:tc>
        <w:tc>
          <w:tcPr>
            <w:tcW w:w="2284" w:type="dxa"/>
            <w:vAlign w:val="center"/>
          </w:tcPr>
          <w:p w14:paraId="4902D01A">
            <w:pPr>
              <w:pStyle w:val="334"/>
              <w:spacing w:line="400" w:lineRule="exact"/>
              <w:ind w:left="102"/>
              <w:jc w:val="center"/>
              <w:rPr>
                <w:color w:val="auto"/>
                <w:sz w:val="21"/>
                <w:szCs w:val="21"/>
                <w:highlight w:val="none"/>
              </w:rPr>
            </w:pPr>
            <w:r>
              <w:rPr>
                <w:rFonts w:hint="eastAsia"/>
                <w:color w:val="auto"/>
                <w:sz w:val="21"/>
                <w:szCs w:val="21"/>
                <w:highlight w:val="none"/>
              </w:rPr>
              <w:t>其他无效情形</w:t>
            </w:r>
          </w:p>
        </w:tc>
        <w:tc>
          <w:tcPr>
            <w:tcW w:w="6375" w:type="dxa"/>
            <w:vAlign w:val="center"/>
          </w:tcPr>
          <w:p w14:paraId="1230EA32">
            <w:pPr>
              <w:pStyle w:val="334"/>
              <w:spacing w:line="400" w:lineRule="exact"/>
              <w:ind w:left="102"/>
              <w:rPr>
                <w:color w:val="auto"/>
                <w:sz w:val="21"/>
                <w:szCs w:val="21"/>
                <w:highlight w:val="none"/>
              </w:rPr>
            </w:pPr>
            <w:r>
              <w:rPr>
                <w:rFonts w:hint="eastAsia"/>
                <w:color w:val="auto"/>
                <w:sz w:val="21"/>
                <w:szCs w:val="21"/>
                <w:highlight w:val="none"/>
              </w:rPr>
              <w:t>响应文件中不存在有关法律、法规和规章及采购文件规定的其他无效情形。</w:t>
            </w:r>
          </w:p>
        </w:tc>
      </w:tr>
      <w:tr w14:paraId="7460D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9359" w:type="dxa"/>
            <w:gridSpan w:val="3"/>
            <w:vAlign w:val="center"/>
          </w:tcPr>
          <w:p w14:paraId="7088D44A">
            <w:pPr>
              <w:pStyle w:val="334"/>
              <w:spacing w:line="400" w:lineRule="exact"/>
              <w:ind w:left="102" w:firstLine="482"/>
              <w:jc w:val="center"/>
              <w:rPr>
                <w:color w:val="auto"/>
                <w:sz w:val="21"/>
                <w:szCs w:val="21"/>
                <w:highlight w:val="none"/>
              </w:rPr>
            </w:pPr>
            <w:r>
              <w:rPr>
                <w:rFonts w:hint="eastAsia"/>
                <w:b/>
                <w:bCs/>
                <w:color w:val="auto"/>
                <w:szCs w:val="21"/>
                <w:highlight w:val="none"/>
              </w:rPr>
              <w:t>结论</w:t>
            </w:r>
          </w:p>
        </w:tc>
      </w:tr>
    </w:tbl>
    <w:p w14:paraId="702B3E70">
      <w:pPr>
        <w:pStyle w:val="334"/>
        <w:spacing w:line="360" w:lineRule="auto"/>
        <w:ind w:left="102"/>
        <w:rPr>
          <w:rFonts w:ascii="宋体" w:hAnsi="宋体"/>
          <w:bCs/>
          <w:color w:val="auto"/>
          <w:szCs w:val="21"/>
          <w:highlight w:val="none"/>
        </w:rPr>
      </w:pPr>
      <w:r>
        <w:rPr>
          <w:rFonts w:hint="eastAsia"/>
          <w:color w:val="auto"/>
          <w:sz w:val="21"/>
          <w:szCs w:val="21"/>
          <w:highlight w:val="none"/>
        </w:rPr>
        <w:t>填表说明：</w:t>
      </w:r>
    </w:p>
    <w:p w14:paraId="0CD199C7">
      <w:pPr>
        <w:spacing w:line="360" w:lineRule="auto"/>
        <w:jc w:val="left"/>
        <w:rPr>
          <w:rFonts w:ascii="宋体" w:hAnsi="宋体"/>
          <w:bCs/>
          <w:color w:val="auto"/>
          <w:szCs w:val="21"/>
          <w:highlight w:val="none"/>
        </w:rPr>
      </w:pPr>
      <w:r>
        <w:rPr>
          <w:rFonts w:ascii="宋体" w:hAnsi="宋体"/>
          <w:bCs/>
          <w:color w:val="auto"/>
          <w:szCs w:val="21"/>
          <w:highlight w:val="none"/>
        </w:rPr>
        <w:t>1、“通过”打“√”，“不通过”打“×”；</w:t>
      </w:r>
    </w:p>
    <w:p w14:paraId="73A17592">
      <w:pPr>
        <w:spacing w:line="360" w:lineRule="auto"/>
        <w:ind w:right="-313" w:rightChars="-149"/>
        <w:jc w:val="left"/>
        <w:rPr>
          <w:rFonts w:ascii="宋体" w:hAnsi="宋体"/>
          <w:bCs/>
          <w:color w:val="auto"/>
          <w:szCs w:val="21"/>
          <w:highlight w:val="none"/>
        </w:rPr>
      </w:pPr>
      <w:r>
        <w:rPr>
          <w:rFonts w:ascii="宋体" w:hAnsi="宋体"/>
          <w:bCs/>
          <w:color w:val="auto"/>
          <w:szCs w:val="21"/>
          <w:highlight w:val="none"/>
        </w:rPr>
        <w:t>2、</w:t>
      </w:r>
      <w:r>
        <w:rPr>
          <w:rFonts w:hint="eastAsia" w:ascii="宋体" w:hAnsi="宋体"/>
          <w:bCs/>
          <w:color w:val="auto"/>
          <w:szCs w:val="21"/>
          <w:highlight w:val="none"/>
        </w:rPr>
        <w:t>在结论栏中填写“通过”或“不通过”；</w:t>
      </w:r>
    </w:p>
    <w:p w14:paraId="585968A2">
      <w:pPr>
        <w:spacing w:line="360" w:lineRule="auto"/>
        <w:ind w:right="-313" w:rightChars="-149"/>
        <w:jc w:val="left"/>
        <w:rPr>
          <w:rFonts w:ascii="宋体" w:hAnsi="宋体"/>
          <w:bCs/>
          <w:color w:val="auto"/>
          <w:szCs w:val="21"/>
          <w:highlight w:val="none"/>
        </w:rPr>
      </w:pPr>
      <w:r>
        <w:rPr>
          <w:rFonts w:hint="eastAsia" w:ascii="宋体" w:hAnsi="宋体"/>
          <w:bCs/>
          <w:color w:val="auto"/>
          <w:szCs w:val="21"/>
          <w:highlight w:val="none"/>
        </w:rPr>
        <w:t>3、供应商</w:t>
      </w:r>
      <w:r>
        <w:rPr>
          <w:rFonts w:ascii="宋体" w:hAnsi="宋体"/>
          <w:bCs/>
          <w:color w:val="auto"/>
          <w:szCs w:val="21"/>
          <w:highlight w:val="none"/>
        </w:rPr>
        <w:t>有一个“不通过”，审查</w:t>
      </w:r>
      <w:r>
        <w:rPr>
          <w:rFonts w:hint="eastAsia" w:ascii="宋体" w:hAnsi="宋体"/>
          <w:bCs/>
          <w:color w:val="auto"/>
          <w:szCs w:val="21"/>
          <w:highlight w:val="none"/>
        </w:rPr>
        <w:t>结论</w:t>
      </w:r>
      <w:r>
        <w:rPr>
          <w:rFonts w:ascii="宋体" w:hAnsi="宋体"/>
          <w:bCs/>
          <w:color w:val="auto"/>
          <w:szCs w:val="21"/>
          <w:highlight w:val="none"/>
        </w:rPr>
        <w:t>视为不通过。</w:t>
      </w:r>
    </w:p>
    <w:p w14:paraId="141E216D">
      <w:pPr>
        <w:widowControl/>
        <w:ind w:firstLine="480"/>
        <w:jc w:val="left"/>
        <w:rPr>
          <w:rFonts w:ascii="宋体" w:hAnsi="宋体" w:cs="Futura-Heavy"/>
          <w:b/>
          <w:bCs/>
          <w:color w:val="auto"/>
          <w:sz w:val="24"/>
          <w:highlight w:val="none"/>
        </w:rPr>
      </w:pPr>
    </w:p>
    <w:p w14:paraId="74E27C3E">
      <w:pPr>
        <w:keepNext/>
        <w:keepLines/>
        <w:spacing w:before="260" w:after="260" w:line="276" w:lineRule="auto"/>
        <w:ind w:firstLine="562"/>
        <w:jc w:val="center"/>
        <w:outlineLvl w:val="1"/>
        <w:rPr>
          <w:rFonts w:ascii="宋体" w:hAnsi="宋体"/>
          <w:b/>
          <w:bCs/>
          <w:color w:val="auto"/>
          <w:sz w:val="32"/>
          <w:szCs w:val="32"/>
          <w:highlight w:val="none"/>
        </w:rPr>
      </w:pPr>
      <w:r>
        <w:rPr>
          <w:rFonts w:ascii="宋体" w:hAnsi="宋体"/>
          <w:color w:val="auto"/>
          <w:sz w:val="28"/>
          <w:szCs w:val="28"/>
          <w:highlight w:val="none"/>
        </w:rPr>
        <w:br w:type="page"/>
      </w:r>
      <w:bookmarkStart w:id="47" w:name="_Toc16416"/>
      <w:bookmarkStart w:id="48" w:name="_Toc67046846"/>
      <w:bookmarkStart w:id="49" w:name="_Toc70528437"/>
      <w:bookmarkStart w:id="50" w:name="_Toc496088680"/>
      <w:bookmarkStart w:id="51" w:name="_Toc26291"/>
      <w:bookmarkStart w:id="52" w:name="_Toc16988"/>
      <w:bookmarkStart w:id="53" w:name="_Toc1886"/>
      <w:bookmarkStart w:id="54" w:name="_Toc24667"/>
      <w:bookmarkStart w:id="55" w:name="_Toc9027"/>
      <w:bookmarkStart w:id="56" w:name="_Toc15081"/>
      <w:bookmarkStart w:id="57" w:name="_Toc24394"/>
      <w:bookmarkStart w:id="58" w:name="_Toc68789512"/>
      <w:bookmarkStart w:id="59" w:name="_Hlk45712320"/>
      <w:bookmarkStart w:id="60" w:name="_Toc462677180"/>
      <w:bookmarkStart w:id="61" w:name="_Toc276645572"/>
      <w:r>
        <w:rPr>
          <w:rFonts w:hint="eastAsia" w:ascii="宋体" w:hAnsi="宋体"/>
          <w:b/>
          <w:bCs/>
          <w:color w:val="auto"/>
          <w:sz w:val="32"/>
          <w:szCs w:val="32"/>
          <w:highlight w:val="none"/>
        </w:rPr>
        <w:t>二、评分细则</w:t>
      </w:r>
      <w:bookmarkEnd w:id="47"/>
      <w:bookmarkEnd w:id="48"/>
      <w:bookmarkEnd w:id="49"/>
      <w:bookmarkEnd w:id="50"/>
      <w:bookmarkEnd w:id="51"/>
      <w:bookmarkEnd w:id="52"/>
      <w:bookmarkEnd w:id="53"/>
      <w:bookmarkEnd w:id="54"/>
      <w:bookmarkEnd w:id="55"/>
      <w:bookmarkEnd w:id="56"/>
      <w:bookmarkEnd w:id="57"/>
      <w:bookmarkEnd w:id="58"/>
    </w:p>
    <w:p w14:paraId="64A67F81">
      <w:pPr>
        <w:pStyle w:val="2"/>
        <w:ind w:firstLine="482"/>
        <w:rPr>
          <w:b/>
          <w:bCs/>
          <w:color w:val="auto"/>
          <w:highlight w:val="none"/>
        </w:rPr>
      </w:pPr>
      <w:r>
        <w:rPr>
          <w:rFonts w:hint="eastAsia" w:ascii="宋体" w:hAnsi="宋体"/>
          <w:b/>
          <w:bCs/>
          <w:color w:val="auto"/>
          <w:sz w:val="24"/>
          <w:highlight w:val="none"/>
        </w:rPr>
        <w:t>采用综合评分法评标</w:t>
      </w:r>
    </w:p>
    <w:tbl>
      <w:tblPr>
        <w:tblStyle w:val="4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14:paraId="63AD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16719D82">
            <w:pPr>
              <w:autoSpaceDE w:val="0"/>
              <w:autoSpaceDN w:val="0"/>
              <w:spacing w:line="360" w:lineRule="auto"/>
              <w:ind w:firstLine="482"/>
              <w:jc w:val="center"/>
              <w:rPr>
                <w:rFonts w:ascii="宋体" w:hAnsi="宋体"/>
                <w:color w:val="auto"/>
                <w:sz w:val="24"/>
                <w:highlight w:val="none"/>
              </w:rPr>
            </w:pPr>
            <w:r>
              <w:rPr>
                <w:rFonts w:hint="eastAsia" w:ascii="宋体" w:hAnsi="宋体"/>
                <w:color w:val="auto"/>
                <w:sz w:val="24"/>
                <w:highlight w:val="none"/>
              </w:rPr>
              <w:t>评审项目</w:t>
            </w:r>
          </w:p>
        </w:tc>
        <w:tc>
          <w:tcPr>
            <w:tcW w:w="2130" w:type="dxa"/>
            <w:tcBorders>
              <w:top w:val="single" w:color="auto" w:sz="4" w:space="0"/>
              <w:left w:val="single" w:color="auto" w:sz="4" w:space="0"/>
              <w:bottom w:val="single" w:color="auto" w:sz="4" w:space="0"/>
              <w:right w:val="single" w:color="auto" w:sz="4" w:space="0"/>
            </w:tcBorders>
            <w:vAlign w:val="center"/>
          </w:tcPr>
          <w:p w14:paraId="044FAC0E">
            <w:pPr>
              <w:autoSpaceDE w:val="0"/>
              <w:autoSpaceDN w:val="0"/>
              <w:spacing w:line="360" w:lineRule="auto"/>
              <w:ind w:firstLine="482"/>
              <w:jc w:val="center"/>
              <w:rPr>
                <w:rFonts w:ascii="宋体" w:hAnsi="宋体"/>
                <w:color w:val="auto"/>
                <w:sz w:val="24"/>
                <w:highlight w:val="none"/>
              </w:rPr>
            </w:pPr>
            <w:r>
              <w:rPr>
                <w:rFonts w:hint="eastAsia" w:ascii="宋体" w:hAnsi="宋体"/>
                <w:color w:val="auto"/>
                <w:sz w:val="24"/>
                <w:highlight w:val="none"/>
              </w:rPr>
              <w:t>技术部分</w:t>
            </w:r>
          </w:p>
        </w:tc>
        <w:tc>
          <w:tcPr>
            <w:tcW w:w="2131" w:type="dxa"/>
            <w:tcBorders>
              <w:top w:val="single" w:color="auto" w:sz="4" w:space="0"/>
              <w:left w:val="single" w:color="auto" w:sz="4" w:space="0"/>
              <w:bottom w:val="single" w:color="auto" w:sz="4" w:space="0"/>
              <w:right w:val="single" w:color="auto" w:sz="4" w:space="0"/>
            </w:tcBorders>
            <w:vAlign w:val="center"/>
          </w:tcPr>
          <w:p w14:paraId="7C52BEFE">
            <w:pPr>
              <w:autoSpaceDE w:val="0"/>
              <w:autoSpaceDN w:val="0"/>
              <w:spacing w:line="360" w:lineRule="auto"/>
              <w:ind w:firstLine="482"/>
              <w:jc w:val="center"/>
              <w:rPr>
                <w:rFonts w:ascii="宋体" w:hAnsi="宋体"/>
                <w:color w:val="auto"/>
                <w:sz w:val="24"/>
                <w:highlight w:val="none"/>
              </w:rPr>
            </w:pPr>
            <w:r>
              <w:rPr>
                <w:rFonts w:hint="eastAsia" w:ascii="宋体" w:hAnsi="宋体"/>
                <w:color w:val="auto"/>
                <w:sz w:val="24"/>
                <w:highlight w:val="none"/>
              </w:rPr>
              <w:t>商务部分</w:t>
            </w:r>
          </w:p>
        </w:tc>
        <w:tc>
          <w:tcPr>
            <w:tcW w:w="2131" w:type="dxa"/>
            <w:tcBorders>
              <w:top w:val="single" w:color="auto" w:sz="4" w:space="0"/>
              <w:left w:val="single" w:color="auto" w:sz="4" w:space="0"/>
              <w:bottom w:val="single" w:color="auto" w:sz="4" w:space="0"/>
              <w:right w:val="single" w:color="auto" w:sz="4" w:space="0"/>
            </w:tcBorders>
            <w:vAlign w:val="center"/>
          </w:tcPr>
          <w:p w14:paraId="33A5CBBF">
            <w:pPr>
              <w:autoSpaceDE w:val="0"/>
              <w:autoSpaceDN w:val="0"/>
              <w:spacing w:line="360" w:lineRule="auto"/>
              <w:ind w:firstLine="482"/>
              <w:jc w:val="center"/>
              <w:rPr>
                <w:rFonts w:ascii="宋体" w:hAnsi="宋体"/>
                <w:color w:val="auto"/>
                <w:sz w:val="24"/>
                <w:highlight w:val="none"/>
              </w:rPr>
            </w:pPr>
            <w:r>
              <w:rPr>
                <w:rFonts w:hint="eastAsia" w:ascii="宋体" w:hAnsi="宋体"/>
                <w:color w:val="auto"/>
                <w:sz w:val="24"/>
                <w:highlight w:val="none"/>
              </w:rPr>
              <w:t>价格部分</w:t>
            </w:r>
          </w:p>
        </w:tc>
      </w:tr>
      <w:tr w14:paraId="634A6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11344445">
            <w:pPr>
              <w:autoSpaceDE w:val="0"/>
              <w:autoSpaceDN w:val="0"/>
              <w:spacing w:line="360" w:lineRule="auto"/>
              <w:ind w:firstLine="482"/>
              <w:jc w:val="center"/>
              <w:rPr>
                <w:rFonts w:ascii="宋体" w:hAnsi="宋体"/>
                <w:color w:val="auto"/>
                <w:sz w:val="24"/>
                <w:highlight w:val="none"/>
              </w:rPr>
            </w:pPr>
            <w:r>
              <w:rPr>
                <w:rFonts w:hint="eastAsia" w:ascii="宋体" w:hAnsi="宋体"/>
                <w:color w:val="auto"/>
                <w:sz w:val="24"/>
                <w:highlight w:val="none"/>
              </w:rPr>
              <w:t>项目权重</w:t>
            </w:r>
          </w:p>
        </w:tc>
        <w:tc>
          <w:tcPr>
            <w:tcW w:w="2130" w:type="dxa"/>
            <w:tcBorders>
              <w:top w:val="single" w:color="auto" w:sz="4" w:space="0"/>
              <w:left w:val="single" w:color="auto" w:sz="4" w:space="0"/>
              <w:bottom w:val="single" w:color="auto" w:sz="4" w:space="0"/>
              <w:right w:val="single" w:color="auto" w:sz="4" w:space="0"/>
            </w:tcBorders>
            <w:vAlign w:val="center"/>
          </w:tcPr>
          <w:p w14:paraId="5E2718C7">
            <w:pPr>
              <w:autoSpaceDE w:val="0"/>
              <w:autoSpaceDN w:val="0"/>
              <w:spacing w:line="360" w:lineRule="auto"/>
              <w:ind w:firstLine="482"/>
              <w:jc w:val="center"/>
              <w:rPr>
                <w:rFonts w:ascii="宋体" w:hAnsi="宋体"/>
                <w:color w:val="auto"/>
                <w:sz w:val="24"/>
                <w:highlight w:val="none"/>
              </w:rPr>
            </w:pPr>
            <w:r>
              <w:rPr>
                <w:rFonts w:hint="eastAsia" w:ascii="宋体" w:hAnsi="宋体"/>
                <w:color w:val="auto"/>
                <w:sz w:val="24"/>
                <w:highlight w:val="none"/>
              </w:rPr>
              <w:t>50%</w:t>
            </w:r>
          </w:p>
        </w:tc>
        <w:tc>
          <w:tcPr>
            <w:tcW w:w="2131" w:type="dxa"/>
            <w:tcBorders>
              <w:top w:val="single" w:color="auto" w:sz="4" w:space="0"/>
              <w:left w:val="single" w:color="auto" w:sz="4" w:space="0"/>
              <w:bottom w:val="single" w:color="auto" w:sz="4" w:space="0"/>
              <w:right w:val="single" w:color="auto" w:sz="4" w:space="0"/>
            </w:tcBorders>
            <w:vAlign w:val="center"/>
          </w:tcPr>
          <w:p w14:paraId="0DA7E4E7">
            <w:pPr>
              <w:autoSpaceDE w:val="0"/>
              <w:autoSpaceDN w:val="0"/>
              <w:spacing w:line="360" w:lineRule="auto"/>
              <w:ind w:firstLine="482"/>
              <w:jc w:val="center"/>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0%</w:t>
            </w:r>
          </w:p>
        </w:tc>
        <w:tc>
          <w:tcPr>
            <w:tcW w:w="2131" w:type="dxa"/>
            <w:tcBorders>
              <w:top w:val="single" w:color="auto" w:sz="4" w:space="0"/>
              <w:left w:val="single" w:color="auto" w:sz="4" w:space="0"/>
              <w:bottom w:val="single" w:color="auto" w:sz="4" w:space="0"/>
              <w:right w:val="single" w:color="auto" w:sz="4" w:space="0"/>
            </w:tcBorders>
            <w:vAlign w:val="center"/>
          </w:tcPr>
          <w:p w14:paraId="250EE2C7">
            <w:pPr>
              <w:autoSpaceDE w:val="0"/>
              <w:autoSpaceDN w:val="0"/>
              <w:spacing w:line="360" w:lineRule="auto"/>
              <w:ind w:firstLine="482"/>
              <w:jc w:val="center"/>
              <w:rPr>
                <w:rFonts w:ascii="宋体" w:hAnsi="宋体"/>
                <w:color w:val="auto"/>
                <w:sz w:val="24"/>
                <w:highlight w:val="none"/>
              </w:rPr>
            </w:pPr>
            <w:r>
              <w:rPr>
                <w:rFonts w:hint="eastAsia" w:ascii="宋体" w:hAnsi="宋体"/>
                <w:color w:val="auto"/>
                <w:sz w:val="24"/>
                <w:highlight w:val="none"/>
              </w:rPr>
              <w:t>30%</w:t>
            </w:r>
          </w:p>
        </w:tc>
      </w:tr>
    </w:tbl>
    <w:p w14:paraId="7DDD482E">
      <w:pPr>
        <w:rPr>
          <w:color w:val="auto"/>
          <w:highlight w:val="none"/>
        </w:rPr>
      </w:pPr>
    </w:p>
    <w:p w14:paraId="7D3E98A1">
      <w:pPr>
        <w:pStyle w:val="2"/>
        <w:ind w:firstLine="482"/>
        <w:rPr>
          <w:rFonts w:ascii="宋体" w:hAnsi="宋体"/>
          <w:b/>
          <w:bCs/>
          <w:color w:val="auto"/>
          <w:sz w:val="24"/>
          <w:highlight w:val="none"/>
        </w:rPr>
      </w:pPr>
      <w:bookmarkStart w:id="62" w:name="_Toc67046847"/>
      <w:bookmarkStart w:id="63" w:name="_Toc6322231"/>
      <w:r>
        <w:rPr>
          <w:rFonts w:hint="eastAsia" w:ascii="宋体" w:hAnsi="宋体"/>
          <w:b/>
          <w:bCs/>
          <w:color w:val="auto"/>
          <w:sz w:val="24"/>
          <w:highlight w:val="none"/>
        </w:rPr>
        <w:t>附表2：技术评分细则表</w:t>
      </w:r>
      <w:bookmarkEnd w:id="62"/>
      <w:bookmarkEnd w:id="63"/>
      <w:r>
        <w:rPr>
          <w:rFonts w:hint="eastAsia" w:ascii="宋体" w:hAnsi="宋体"/>
          <w:b/>
          <w:bCs/>
          <w:color w:val="auto"/>
          <w:sz w:val="24"/>
          <w:highlight w:val="none"/>
        </w:rPr>
        <w:t>（满分50分）</w:t>
      </w:r>
    </w:p>
    <w:tbl>
      <w:tblPr>
        <w:tblStyle w:val="49"/>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563"/>
        <w:gridCol w:w="5363"/>
        <w:gridCol w:w="760"/>
      </w:tblGrid>
      <w:tr w14:paraId="793D4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1" w:type="dxa"/>
            <w:vAlign w:val="center"/>
          </w:tcPr>
          <w:p w14:paraId="48E550C4">
            <w:pPr>
              <w:widowControl/>
              <w:autoSpaceDN w:val="0"/>
              <w:snapToGrid w:val="0"/>
              <w:spacing w:line="340" w:lineRule="exact"/>
              <w:ind w:left="-36" w:leftChars="-17" w:right="-27" w:rightChars="-13"/>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563" w:type="dxa"/>
            <w:vAlign w:val="center"/>
          </w:tcPr>
          <w:p w14:paraId="1BA5F4ED">
            <w:pPr>
              <w:widowControl/>
              <w:autoSpaceDN w:val="0"/>
              <w:snapToGrid w:val="0"/>
              <w:spacing w:line="340" w:lineRule="exact"/>
              <w:jc w:val="center"/>
              <w:rPr>
                <w:rFonts w:ascii="宋体" w:hAnsi="宋体" w:cs="宋体"/>
                <w:b/>
                <w:color w:val="auto"/>
                <w:szCs w:val="21"/>
                <w:highlight w:val="none"/>
              </w:rPr>
            </w:pPr>
            <w:r>
              <w:rPr>
                <w:rFonts w:hint="eastAsia" w:ascii="宋体" w:hAnsi="宋体" w:cs="宋体"/>
                <w:b/>
                <w:color w:val="auto"/>
                <w:szCs w:val="21"/>
                <w:highlight w:val="none"/>
              </w:rPr>
              <w:t>评审项目</w:t>
            </w:r>
          </w:p>
        </w:tc>
        <w:tc>
          <w:tcPr>
            <w:tcW w:w="5363" w:type="dxa"/>
            <w:vAlign w:val="center"/>
          </w:tcPr>
          <w:p w14:paraId="742C5C2D">
            <w:pPr>
              <w:widowControl/>
              <w:autoSpaceDN w:val="0"/>
              <w:snapToGrid w:val="0"/>
              <w:spacing w:line="340" w:lineRule="exact"/>
              <w:jc w:val="center"/>
              <w:rPr>
                <w:rFonts w:ascii="宋体" w:hAnsi="宋体" w:cs="宋体"/>
                <w:b/>
                <w:color w:val="auto"/>
                <w:szCs w:val="21"/>
                <w:highlight w:val="none"/>
              </w:rPr>
            </w:pPr>
            <w:r>
              <w:rPr>
                <w:rFonts w:hint="eastAsia" w:ascii="宋体" w:hAnsi="宋体" w:cs="宋体"/>
                <w:b/>
                <w:color w:val="auto"/>
                <w:szCs w:val="21"/>
                <w:highlight w:val="none"/>
              </w:rPr>
              <w:t>评审细则</w:t>
            </w:r>
          </w:p>
        </w:tc>
        <w:tc>
          <w:tcPr>
            <w:tcW w:w="760" w:type="dxa"/>
            <w:vAlign w:val="center"/>
          </w:tcPr>
          <w:p w14:paraId="765A908C">
            <w:pPr>
              <w:widowControl/>
              <w:autoSpaceDN w:val="0"/>
              <w:snapToGrid w:val="0"/>
              <w:spacing w:line="340" w:lineRule="exact"/>
              <w:jc w:val="center"/>
              <w:rPr>
                <w:rFonts w:ascii="宋体" w:hAnsi="宋体" w:cs="宋体"/>
                <w:b/>
                <w:color w:val="auto"/>
                <w:szCs w:val="21"/>
                <w:highlight w:val="none"/>
              </w:rPr>
            </w:pPr>
            <w:r>
              <w:rPr>
                <w:rFonts w:hint="eastAsia" w:ascii="宋体" w:hAnsi="宋体" w:cs="宋体"/>
                <w:b/>
                <w:color w:val="auto"/>
                <w:szCs w:val="21"/>
                <w:highlight w:val="none"/>
              </w:rPr>
              <w:t>分值</w:t>
            </w:r>
          </w:p>
        </w:tc>
      </w:tr>
      <w:tr w14:paraId="6B2C2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1" w:hRule="atLeast"/>
          <w:jc w:val="center"/>
        </w:trPr>
        <w:tc>
          <w:tcPr>
            <w:tcW w:w="831" w:type="dxa"/>
            <w:vAlign w:val="center"/>
          </w:tcPr>
          <w:p w14:paraId="43A15F23">
            <w:pPr>
              <w:widowControl/>
              <w:numPr>
                <w:ilvl w:val="0"/>
                <w:numId w:val="7"/>
              </w:numPr>
              <w:autoSpaceDN w:val="0"/>
              <w:snapToGrid w:val="0"/>
              <w:spacing w:line="340" w:lineRule="exact"/>
              <w:ind w:right="-27" w:rightChars="-13" w:firstLine="422"/>
              <w:jc w:val="center"/>
              <w:rPr>
                <w:rFonts w:ascii="宋体" w:hAnsi="宋体" w:cs="宋体"/>
                <w:color w:val="auto"/>
                <w:szCs w:val="21"/>
                <w:highlight w:val="none"/>
              </w:rPr>
            </w:pPr>
          </w:p>
        </w:tc>
        <w:tc>
          <w:tcPr>
            <w:tcW w:w="1563" w:type="dxa"/>
            <w:vAlign w:val="center"/>
          </w:tcPr>
          <w:p w14:paraId="7AE6EE7A">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所投货物技术响应情况</w:t>
            </w:r>
          </w:p>
        </w:tc>
        <w:tc>
          <w:tcPr>
            <w:tcW w:w="5363" w:type="dxa"/>
            <w:vAlign w:val="center"/>
          </w:tcPr>
          <w:p w14:paraId="7E44A74B">
            <w:pPr>
              <w:spacing w:line="400" w:lineRule="atLeast"/>
              <w:rPr>
                <w:rFonts w:cs="Calibri Light"/>
                <w:color w:val="auto"/>
                <w:szCs w:val="21"/>
                <w:highlight w:val="none"/>
              </w:rPr>
            </w:pPr>
            <w:r>
              <w:rPr>
                <w:rFonts w:hint="eastAsia" w:cs="Calibri Light"/>
                <w:color w:val="auto"/>
                <w:szCs w:val="21"/>
                <w:highlight w:val="none"/>
              </w:rPr>
              <w:t>根据供应商对《第四部分 用户需求书》第二条款货物清单的主要技术参数项（除“★”条款以外）响应情况进行评审：</w:t>
            </w:r>
          </w:p>
          <w:p w14:paraId="3F1F31A9">
            <w:pPr>
              <w:spacing w:line="400" w:lineRule="atLeast"/>
              <w:rPr>
                <w:rFonts w:cs="Calibri Light"/>
                <w:color w:val="auto"/>
                <w:szCs w:val="21"/>
                <w:highlight w:val="none"/>
              </w:rPr>
            </w:pPr>
            <w:r>
              <w:rPr>
                <w:rFonts w:hint="eastAsia" w:cs="Calibri Light"/>
                <w:color w:val="auto"/>
                <w:szCs w:val="21"/>
                <w:highlight w:val="none"/>
              </w:rPr>
              <w:t xml:space="preserve">根据供应商对本项目采购需求的主要配置／技术参数、功能等情况评审： </w:t>
            </w:r>
          </w:p>
          <w:p w14:paraId="074A7A63">
            <w:pPr>
              <w:spacing w:line="400" w:lineRule="atLeast"/>
              <w:rPr>
                <w:rFonts w:cs="Calibri Light"/>
                <w:color w:val="auto"/>
                <w:szCs w:val="21"/>
                <w:highlight w:val="none"/>
              </w:rPr>
            </w:pPr>
            <w:r>
              <w:rPr>
                <w:rFonts w:hint="eastAsia" w:cs="Calibri Light"/>
                <w:color w:val="auto"/>
                <w:szCs w:val="21"/>
                <w:highlight w:val="none"/>
              </w:rPr>
              <w:t>供应商全部满足采购需求中普通技术参数条款（非“★”号、非“▲”号技术参数），得 30 分；每出现一处负偏离，扣0.67分，共45项</w:t>
            </w:r>
            <w:r>
              <w:rPr>
                <w:rFonts w:hint="eastAsia"/>
                <w:color w:val="auto"/>
                <w:highlight w:val="none"/>
              </w:rPr>
              <w:t>普通技术参数条款</w:t>
            </w:r>
            <w:r>
              <w:rPr>
                <w:rFonts w:hint="eastAsia" w:cs="Calibri Light"/>
                <w:color w:val="auto"/>
                <w:szCs w:val="21"/>
                <w:highlight w:val="none"/>
              </w:rPr>
              <w:t>。计算结果四舍五入保留两位小数。</w:t>
            </w:r>
          </w:p>
          <w:p w14:paraId="35B49F20">
            <w:pPr>
              <w:spacing w:line="400" w:lineRule="atLeast"/>
              <w:rPr>
                <w:rFonts w:cs="Calibri Light"/>
                <w:b/>
                <w:bCs/>
                <w:color w:val="auto"/>
                <w:szCs w:val="21"/>
                <w:highlight w:val="none"/>
              </w:rPr>
            </w:pPr>
            <w:r>
              <w:rPr>
                <w:rFonts w:hint="eastAsia" w:cs="Calibri Light"/>
                <w:b/>
                <w:bCs/>
                <w:color w:val="auto"/>
                <w:szCs w:val="21"/>
                <w:highlight w:val="none"/>
              </w:rPr>
              <w:t>注：（1）如采购需求中有明确要求提供证明资料的，则以采购需求中要求的证明资料为准；</w:t>
            </w:r>
          </w:p>
          <w:p w14:paraId="66C113FD">
            <w:pPr>
              <w:spacing w:line="400" w:lineRule="atLeast"/>
              <w:rPr>
                <w:rFonts w:ascii="宋体" w:hAnsi="宋体" w:cs="宋体"/>
                <w:color w:val="auto"/>
                <w:szCs w:val="21"/>
                <w:highlight w:val="none"/>
              </w:rPr>
            </w:pPr>
            <w:r>
              <w:rPr>
                <w:rFonts w:hint="eastAsia" w:cs="Calibri Light"/>
                <w:b/>
                <w:bCs/>
                <w:color w:val="auto"/>
                <w:szCs w:val="21"/>
                <w:highlight w:val="none"/>
              </w:rPr>
              <w:t>（2）如采购需求中未明确证明材料的，以供应商响应文件中的《用户需求条款响应表》中偏离程度为准；负偏离或未按要求提供证明材料的视为不满足。</w:t>
            </w:r>
          </w:p>
        </w:tc>
        <w:tc>
          <w:tcPr>
            <w:tcW w:w="760" w:type="dxa"/>
            <w:vAlign w:val="center"/>
          </w:tcPr>
          <w:p w14:paraId="2833B3F5">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30</w:t>
            </w:r>
          </w:p>
        </w:tc>
      </w:tr>
      <w:tr w14:paraId="37D0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dxa"/>
            <w:vAlign w:val="center"/>
          </w:tcPr>
          <w:p w14:paraId="43CC9DA7">
            <w:pPr>
              <w:widowControl/>
              <w:numPr>
                <w:ilvl w:val="0"/>
                <w:numId w:val="7"/>
              </w:numPr>
              <w:autoSpaceDN w:val="0"/>
              <w:snapToGrid w:val="0"/>
              <w:spacing w:line="340" w:lineRule="exact"/>
              <w:ind w:right="-27" w:rightChars="-13" w:firstLine="422"/>
              <w:jc w:val="center"/>
              <w:rPr>
                <w:rFonts w:ascii="宋体" w:hAnsi="宋体" w:cs="宋体"/>
                <w:color w:val="auto"/>
                <w:szCs w:val="21"/>
                <w:highlight w:val="none"/>
              </w:rPr>
            </w:pPr>
          </w:p>
        </w:tc>
        <w:tc>
          <w:tcPr>
            <w:tcW w:w="1563" w:type="dxa"/>
            <w:vAlign w:val="center"/>
          </w:tcPr>
          <w:p w14:paraId="1196327C">
            <w:pPr>
              <w:widowControl/>
              <w:autoSpaceDN w:val="0"/>
              <w:snapToGrid w:val="0"/>
              <w:spacing w:line="340" w:lineRule="exact"/>
              <w:jc w:val="center"/>
              <w:rPr>
                <w:rFonts w:ascii="宋体" w:hAnsi="宋体" w:cs="宋体"/>
                <w:bCs/>
                <w:color w:val="auto"/>
                <w:szCs w:val="21"/>
                <w:highlight w:val="none"/>
              </w:rPr>
            </w:pPr>
            <w:r>
              <w:rPr>
                <w:rFonts w:hint="eastAsia" w:cs="Calibri Light"/>
                <w:color w:val="auto"/>
                <w:szCs w:val="21"/>
                <w:highlight w:val="none"/>
              </w:rPr>
              <w:t>项目</w:t>
            </w:r>
            <w:r>
              <w:rPr>
                <w:rFonts w:hAnsiTheme="minorEastAsia" w:cstheme="minorEastAsia"/>
                <w:color w:val="auto"/>
                <w:szCs w:val="21"/>
                <w:highlight w:val="none"/>
              </w:rPr>
              <w:t>实施方案</w:t>
            </w:r>
          </w:p>
        </w:tc>
        <w:tc>
          <w:tcPr>
            <w:tcW w:w="5363" w:type="dxa"/>
            <w:vAlign w:val="center"/>
          </w:tcPr>
          <w:p w14:paraId="2F735C5A">
            <w:pPr>
              <w:spacing w:line="400" w:lineRule="atLeast"/>
              <w:rPr>
                <w:rFonts w:cs="Calibri Light"/>
                <w:color w:val="auto"/>
                <w:szCs w:val="21"/>
                <w:highlight w:val="none"/>
              </w:rPr>
            </w:pPr>
            <w:r>
              <w:rPr>
                <w:rFonts w:hint="eastAsia" w:cs="Calibri Light"/>
                <w:color w:val="auto"/>
                <w:szCs w:val="21"/>
                <w:highlight w:val="none"/>
              </w:rPr>
              <w:t>根据供应商提供的项目实施方案（包括但不限于工作计划、供货安排、人员安排、安装调试、总体部署统筹、验收标准等）进行评审：</w:t>
            </w:r>
          </w:p>
          <w:p w14:paraId="0B5BB536">
            <w:pPr>
              <w:spacing w:line="400" w:lineRule="atLeast"/>
              <w:rPr>
                <w:rFonts w:cs="Calibri Light"/>
                <w:color w:val="auto"/>
                <w:szCs w:val="21"/>
                <w:highlight w:val="none"/>
              </w:rPr>
            </w:pPr>
            <w:r>
              <w:rPr>
                <w:rFonts w:hint="eastAsia" w:cs="Calibri Light"/>
                <w:color w:val="auto"/>
                <w:szCs w:val="21"/>
                <w:highlight w:val="none"/>
              </w:rPr>
              <w:t>1、工作计划、供货和人员安排、总体布置统筹规划及安装验收措施针、对性强、具体可行，实施方案及技术措施科学、合理，得5分。</w:t>
            </w:r>
          </w:p>
          <w:p w14:paraId="6348772F">
            <w:pPr>
              <w:spacing w:line="400" w:lineRule="atLeast"/>
              <w:rPr>
                <w:rFonts w:cs="Calibri Light"/>
                <w:color w:val="auto"/>
                <w:szCs w:val="21"/>
                <w:highlight w:val="none"/>
              </w:rPr>
            </w:pPr>
            <w:r>
              <w:rPr>
                <w:rFonts w:hint="eastAsia" w:cs="Calibri Light"/>
                <w:color w:val="auto"/>
                <w:szCs w:val="21"/>
                <w:highlight w:val="none"/>
              </w:rPr>
              <w:t>2、工作计划、供货和人员安排、总体布置统筹规划及安装验收措施可行，实施方案及技术措施一般，得3分。</w:t>
            </w:r>
          </w:p>
          <w:p w14:paraId="526D5679">
            <w:pPr>
              <w:spacing w:line="400" w:lineRule="atLeast"/>
              <w:rPr>
                <w:rFonts w:cs="Calibri Light"/>
                <w:color w:val="auto"/>
                <w:szCs w:val="21"/>
                <w:highlight w:val="none"/>
              </w:rPr>
            </w:pPr>
            <w:r>
              <w:rPr>
                <w:rFonts w:hint="eastAsia" w:cs="Calibri Light"/>
                <w:color w:val="auto"/>
                <w:szCs w:val="21"/>
                <w:highlight w:val="none"/>
              </w:rPr>
              <w:t>3、施工总体布置统筹规划及施工组织措施不完整，实施方案及技术措施合理性较差，得1分。</w:t>
            </w:r>
          </w:p>
          <w:p w14:paraId="020D6BC8">
            <w:pPr>
              <w:spacing w:line="400" w:lineRule="atLeast"/>
              <w:rPr>
                <w:color w:val="auto"/>
                <w:highlight w:val="none"/>
              </w:rPr>
            </w:pPr>
            <w:r>
              <w:rPr>
                <w:rFonts w:hint="eastAsia" w:cs="Calibri Light"/>
                <w:color w:val="auto"/>
                <w:szCs w:val="21"/>
                <w:highlight w:val="none"/>
              </w:rPr>
              <w:t>4、</w:t>
            </w:r>
            <w:r>
              <w:rPr>
                <w:rFonts w:hint="eastAsia"/>
                <w:bCs/>
                <w:color w:val="auto"/>
                <w:highlight w:val="none"/>
              </w:rPr>
              <w:t>未提供该部分内容的，不得分。</w:t>
            </w:r>
          </w:p>
        </w:tc>
        <w:tc>
          <w:tcPr>
            <w:tcW w:w="760" w:type="dxa"/>
            <w:vAlign w:val="center"/>
          </w:tcPr>
          <w:p w14:paraId="483C85EF">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5</w:t>
            </w:r>
          </w:p>
        </w:tc>
      </w:tr>
      <w:tr w14:paraId="7A0D5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dxa"/>
            <w:vAlign w:val="center"/>
          </w:tcPr>
          <w:p w14:paraId="2EC41B0B">
            <w:pPr>
              <w:widowControl/>
              <w:numPr>
                <w:ilvl w:val="0"/>
                <w:numId w:val="7"/>
              </w:numPr>
              <w:autoSpaceDN w:val="0"/>
              <w:snapToGrid w:val="0"/>
              <w:spacing w:line="340" w:lineRule="exact"/>
              <w:ind w:right="-27" w:rightChars="-13" w:firstLine="422"/>
              <w:jc w:val="center"/>
              <w:rPr>
                <w:rFonts w:ascii="宋体" w:hAnsi="宋体" w:cs="宋体"/>
                <w:color w:val="auto"/>
                <w:szCs w:val="21"/>
                <w:highlight w:val="none"/>
              </w:rPr>
            </w:pPr>
          </w:p>
        </w:tc>
        <w:tc>
          <w:tcPr>
            <w:tcW w:w="1563" w:type="dxa"/>
            <w:vAlign w:val="center"/>
          </w:tcPr>
          <w:p w14:paraId="691A6152">
            <w:pPr>
              <w:widowControl/>
              <w:autoSpaceDN w:val="0"/>
              <w:snapToGrid w:val="0"/>
              <w:spacing w:line="340" w:lineRule="exact"/>
              <w:jc w:val="center"/>
              <w:rPr>
                <w:rFonts w:hAnsiTheme="minorEastAsia" w:cstheme="minorEastAsia"/>
                <w:color w:val="auto"/>
                <w:szCs w:val="21"/>
                <w:highlight w:val="none"/>
              </w:rPr>
            </w:pPr>
            <w:r>
              <w:rPr>
                <w:rFonts w:hint="eastAsia" w:hAnsiTheme="minorEastAsia" w:cstheme="minorEastAsia"/>
                <w:color w:val="auto"/>
                <w:szCs w:val="21"/>
                <w:highlight w:val="none"/>
              </w:rPr>
              <w:t>产品性能情况</w:t>
            </w:r>
          </w:p>
        </w:tc>
        <w:tc>
          <w:tcPr>
            <w:tcW w:w="5363" w:type="dxa"/>
            <w:vAlign w:val="center"/>
          </w:tcPr>
          <w:p w14:paraId="66931FE6">
            <w:pPr>
              <w:spacing w:line="400" w:lineRule="atLeast"/>
              <w:rPr>
                <w:color w:val="auto"/>
                <w:highlight w:val="none"/>
              </w:rPr>
            </w:pPr>
            <w:r>
              <w:rPr>
                <w:color w:val="auto"/>
                <w:highlight w:val="none"/>
              </w:rPr>
              <w:t>根据</w:t>
            </w:r>
            <w:r>
              <w:rPr>
                <w:rFonts w:hint="eastAsia"/>
                <w:color w:val="auto"/>
                <w:highlight w:val="none"/>
              </w:rPr>
              <w:t>供应商</w:t>
            </w:r>
            <w:r>
              <w:rPr>
                <w:color w:val="auto"/>
                <w:highlight w:val="none"/>
              </w:rPr>
              <w:t>提供的产品性能及配置情况</w:t>
            </w:r>
            <w:r>
              <w:rPr>
                <w:rFonts w:hint="eastAsia" w:cs="Calibri Light"/>
                <w:color w:val="auto"/>
                <w:szCs w:val="21"/>
                <w:highlight w:val="none"/>
              </w:rPr>
              <w:t>进行评审：</w:t>
            </w:r>
          </w:p>
          <w:p w14:paraId="6144F83D">
            <w:pPr>
              <w:spacing w:line="400" w:lineRule="atLeast"/>
              <w:rPr>
                <w:color w:val="auto"/>
                <w:highlight w:val="none"/>
              </w:rPr>
            </w:pPr>
            <w:r>
              <w:rPr>
                <w:color w:val="auto"/>
                <w:highlight w:val="none"/>
              </w:rPr>
              <w:t>1、</w:t>
            </w:r>
            <w:r>
              <w:rPr>
                <w:rFonts w:hint="eastAsia"/>
                <w:color w:val="auto"/>
                <w:highlight w:val="none"/>
              </w:rPr>
              <w:t>拟投</w:t>
            </w:r>
            <w:r>
              <w:rPr>
                <w:color w:val="auto"/>
                <w:highlight w:val="none"/>
              </w:rPr>
              <w:t>产品选型情况说明及产品整体使用情况说明</w:t>
            </w:r>
            <w:r>
              <w:rPr>
                <w:rFonts w:hint="eastAsia"/>
                <w:color w:val="auto"/>
                <w:highlight w:val="none"/>
              </w:rPr>
              <w:t>清晰详细、</w:t>
            </w:r>
            <w:r>
              <w:rPr>
                <w:color w:val="auto"/>
                <w:highlight w:val="none"/>
              </w:rPr>
              <w:t>配套设施情况说明及技术支持情况</w:t>
            </w:r>
            <w:r>
              <w:rPr>
                <w:rFonts w:hint="eastAsia"/>
                <w:color w:val="auto"/>
                <w:highlight w:val="none"/>
              </w:rPr>
              <w:t>合理、完整，完全符合采购需求</w:t>
            </w:r>
            <w:r>
              <w:rPr>
                <w:rFonts w:hint="eastAsia" w:cs="Calibri Light"/>
                <w:color w:val="auto"/>
                <w:szCs w:val="21"/>
                <w:highlight w:val="none"/>
              </w:rPr>
              <w:t>，得5分</w:t>
            </w:r>
            <w:r>
              <w:rPr>
                <w:color w:val="auto"/>
                <w:highlight w:val="none"/>
              </w:rPr>
              <w:t>；</w:t>
            </w:r>
          </w:p>
          <w:p w14:paraId="62CE8258">
            <w:pPr>
              <w:spacing w:line="400" w:lineRule="atLeast"/>
              <w:rPr>
                <w:color w:val="auto"/>
                <w:highlight w:val="none"/>
              </w:rPr>
            </w:pPr>
            <w:r>
              <w:rPr>
                <w:rFonts w:hint="eastAsia" w:cs="Calibri Light"/>
                <w:color w:val="auto"/>
                <w:szCs w:val="21"/>
                <w:highlight w:val="none"/>
              </w:rPr>
              <w:t>2、</w:t>
            </w:r>
            <w:r>
              <w:rPr>
                <w:rFonts w:hint="eastAsia"/>
                <w:color w:val="auto"/>
                <w:highlight w:val="none"/>
              </w:rPr>
              <w:t>拟投</w:t>
            </w:r>
            <w:r>
              <w:rPr>
                <w:color w:val="auto"/>
                <w:highlight w:val="none"/>
              </w:rPr>
              <w:t>产品选型情况说明及产品整体使用情况说明</w:t>
            </w:r>
            <w:r>
              <w:rPr>
                <w:rFonts w:hint="eastAsia"/>
                <w:color w:val="auto"/>
                <w:highlight w:val="none"/>
              </w:rPr>
              <w:t>较清晰、</w:t>
            </w:r>
            <w:r>
              <w:rPr>
                <w:color w:val="auto"/>
                <w:highlight w:val="none"/>
              </w:rPr>
              <w:t>配套设施情况说明及技术支持情况</w:t>
            </w:r>
            <w:r>
              <w:rPr>
                <w:rFonts w:hint="eastAsia"/>
                <w:color w:val="auto"/>
                <w:highlight w:val="none"/>
              </w:rPr>
              <w:t>较完整</w:t>
            </w:r>
            <w:r>
              <w:rPr>
                <w:rFonts w:hint="eastAsia" w:cs="Calibri Light"/>
                <w:color w:val="auto"/>
                <w:szCs w:val="21"/>
                <w:highlight w:val="none"/>
              </w:rPr>
              <w:t>，部分满足采购需求，得3分</w:t>
            </w:r>
            <w:r>
              <w:rPr>
                <w:rFonts w:hint="eastAsia"/>
                <w:color w:val="auto"/>
                <w:highlight w:val="none"/>
              </w:rPr>
              <w:t>；</w:t>
            </w:r>
          </w:p>
          <w:p w14:paraId="33A7E773">
            <w:pPr>
              <w:spacing w:line="400" w:lineRule="atLeast"/>
              <w:rPr>
                <w:color w:val="auto"/>
                <w:highlight w:val="none"/>
              </w:rPr>
            </w:pPr>
            <w:r>
              <w:rPr>
                <w:rFonts w:hint="eastAsia"/>
                <w:color w:val="auto"/>
                <w:highlight w:val="none"/>
              </w:rPr>
              <w:t>3、拟投产品选型情况说明及配套设施情况说明及技术支持情况不清晰、不合理、不满足采购需求</w:t>
            </w:r>
            <w:r>
              <w:rPr>
                <w:rFonts w:hint="eastAsia" w:cs="Calibri Light"/>
                <w:color w:val="auto"/>
                <w:szCs w:val="21"/>
                <w:highlight w:val="none"/>
              </w:rPr>
              <w:t>，得1分</w:t>
            </w:r>
            <w:r>
              <w:rPr>
                <w:rFonts w:hint="eastAsia"/>
                <w:color w:val="auto"/>
                <w:highlight w:val="none"/>
              </w:rPr>
              <w:t>；</w:t>
            </w:r>
          </w:p>
          <w:p w14:paraId="4FDC0710">
            <w:pPr>
              <w:spacing w:line="400" w:lineRule="atLeast"/>
              <w:rPr>
                <w:color w:val="auto"/>
                <w:highlight w:val="none"/>
              </w:rPr>
            </w:pPr>
            <w:r>
              <w:rPr>
                <w:rFonts w:hint="eastAsia"/>
                <w:bCs/>
                <w:color w:val="auto"/>
                <w:highlight w:val="none"/>
              </w:rPr>
              <w:t>4、未提供该部分内容的，不得分。</w:t>
            </w:r>
          </w:p>
        </w:tc>
        <w:tc>
          <w:tcPr>
            <w:tcW w:w="760" w:type="dxa"/>
            <w:vAlign w:val="center"/>
          </w:tcPr>
          <w:p w14:paraId="01E46070">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5</w:t>
            </w:r>
          </w:p>
        </w:tc>
      </w:tr>
      <w:tr w14:paraId="60F3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dxa"/>
            <w:vAlign w:val="center"/>
          </w:tcPr>
          <w:p w14:paraId="04F7EEE1">
            <w:pPr>
              <w:widowControl/>
              <w:numPr>
                <w:ilvl w:val="0"/>
                <w:numId w:val="7"/>
              </w:numPr>
              <w:autoSpaceDN w:val="0"/>
              <w:snapToGrid w:val="0"/>
              <w:spacing w:line="340" w:lineRule="exact"/>
              <w:ind w:right="-27" w:rightChars="-13" w:firstLine="422"/>
              <w:jc w:val="center"/>
              <w:rPr>
                <w:rFonts w:ascii="宋体" w:hAnsi="宋体" w:cs="宋体"/>
                <w:color w:val="auto"/>
                <w:szCs w:val="21"/>
                <w:highlight w:val="none"/>
              </w:rPr>
            </w:pPr>
          </w:p>
        </w:tc>
        <w:tc>
          <w:tcPr>
            <w:tcW w:w="1563" w:type="dxa"/>
            <w:vAlign w:val="center"/>
          </w:tcPr>
          <w:p w14:paraId="07E73BDA">
            <w:pPr>
              <w:widowControl/>
              <w:autoSpaceDN w:val="0"/>
              <w:snapToGrid w:val="0"/>
              <w:spacing w:line="340" w:lineRule="exact"/>
              <w:jc w:val="center"/>
              <w:rPr>
                <w:rFonts w:hAnsiTheme="minorEastAsia" w:cstheme="minorEastAsia"/>
                <w:color w:val="auto"/>
                <w:szCs w:val="21"/>
                <w:highlight w:val="none"/>
              </w:rPr>
            </w:pPr>
            <w:r>
              <w:rPr>
                <w:rFonts w:hint="eastAsia"/>
                <w:color w:val="auto"/>
                <w:szCs w:val="21"/>
                <w:highlight w:val="none"/>
              </w:rPr>
              <w:t>质量保证措施</w:t>
            </w:r>
          </w:p>
        </w:tc>
        <w:tc>
          <w:tcPr>
            <w:tcW w:w="5363" w:type="dxa"/>
            <w:vAlign w:val="center"/>
          </w:tcPr>
          <w:p w14:paraId="5D53AA93">
            <w:pPr>
              <w:spacing w:line="400" w:lineRule="atLeast"/>
              <w:rPr>
                <w:bCs/>
                <w:color w:val="auto"/>
                <w:highlight w:val="none"/>
              </w:rPr>
            </w:pPr>
            <w:r>
              <w:rPr>
                <w:rFonts w:hint="eastAsia"/>
                <w:bCs/>
                <w:color w:val="auto"/>
                <w:highlight w:val="none"/>
              </w:rPr>
              <w:t>1、对项目</w:t>
            </w:r>
            <w:r>
              <w:rPr>
                <w:rFonts w:hint="eastAsia"/>
                <w:color w:val="auto"/>
                <w:szCs w:val="21"/>
                <w:highlight w:val="none"/>
              </w:rPr>
              <w:t>质量保证措施</w:t>
            </w:r>
            <w:r>
              <w:rPr>
                <w:rFonts w:hint="eastAsia"/>
                <w:bCs/>
                <w:color w:val="auto"/>
                <w:highlight w:val="none"/>
              </w:rPr>
              <w:t xml:space="preserve">目标明确，措施全面、合理、可操作性强完全，满足项目的进度要求，得5分； </w:t>
            </w:r>
          </w:p>
          <w:p w14:paraId="3F57F5C8">
            <w:pPr>
              <w:spacing w:line="400" w:lineRule="atLeast"/>
              <w:rPr>
                <w:bCs/>
                <w:color w:val="auto"/>
                <w:highlight w:val="none"/>
              </w:rPr>
            </w:pPr>
            <w:r>
              <w:rPr>
                <w:rFonts w:hint="eastAsia"/>
                <w:bCs/>
                <w:color w:val="auto"/>
                <w:highlight w:val="none"/>
              </w:rPr>
              <w:t>2、对项目</w:t>
            </w:r>
            <w:r>
              <w:rPr>
                <w:rFonts w:hint="eastAsia"/>
                <w:color w:val="auto"/>
                <w:szCs w:val="21"/>
                <w:highlight w:val="none"/>
              </w:rPr>
              <w:t>质量保证措施</w:t>
            </w:r>
            <w:r>
              <w:rPr>
                <w:rFonts w:hint="eastAsia"/>
                <w:bCs/>
                <w:color w:val="auto"/>
                <w:highlight w:val="none"/>
              </w:rPr>
              <w:t xml:space="preserve">目标较为明确，措施较全面、较合理，可操作性一般，基本满足项目的进度要求，得3分； </w:t>
            </w:r>
          </w:p>
          <w:p w14:paraId="44D6E819">
            <w:pPr>
              <w:spacing w:line="400" w:lineRule="atLeast"/>
              <w:rPr>
                <w:bCs/>
                <w:color w:val="auto"/>
                <w:highlight w:val="none"/>
              </w:rPr>
            </w:pPr>
            <w:r>
              <w:rPr>
                <w:rFonts w:hint="eastAsia"/>
                <w:bCs/>
                <w:color w:val="auto"/>
                <w:highlight w:val="none"/>
              </w:rPr>
              <w:t>3、对项目</w:t>
            </w:r>
            <w:r>
              <w:rPr>
                <w:rFonts w:hint="eastAsia"/>
                <w:color w:val="auto"/>
                <w:szCs w:val="21"/>
                <w:highlight w:val="none"/>
              </w:rPr>
              <w:t>质量保证措施</w:t>
            </w:r>
            <w:r>
              <w:rPr>
                <w:rFonts w:hint="eastAsia"/>
                <w:bCs/>
                <w:color w:val="auto"/>
                <w:highlight w:val="none"/>
              </w:rPr>
              <w:t xml:space="preserve">及措施阐述不全面，不够合理，可操作性差，不能满足进度要求，得1分。 </w:t>
            </w:r>
          </w:p>
          <w:p w14:paraId="05CFDCBB">
            <w:pPr>
              <w:spacing w:line="400" w:lineRule="atLeast"/>
              <w:rPr>
                <w:rFonts w:cs="Calibri Light"/>
                <w:color w:val="auto"/>
                <w:szCs w:val="21"/>
                <w:highlight w:val="none"/>
              </w:rPr>
            </w:pPr>
            <w:r>
              <w:rPr>
                <w:rFonts w:hint="eastAsia"/>
                <w:bCs/>
                <w:color w:val="auto"/>
                <w:highlight w:val="none"/>
              </w:rPr>
              <w:t>4、未提供该部分内容的，不得分。</w:t>
            </w:r>
          </w:p>
        </w:tc>
        <w:tc>
          <w:tcPr>
            <w:tcW w:w="760" w:type="dxa"/>
            <w:vAlign w:val="center"/>
          </w:tcPr>
          <w:p w14:paraId="2983A2E3">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5</w:t>
            </w:r>
          </w:p>
        </w:tc>
      </w:tr>
      <w:tr w14:paraId="2CB33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1" w:type="dxa"/>
            <w:vAlign w:val="center"/>
          </w:tcPr>
          <w:p w14:paraId="3AD686AB">
            <w:pPr>
              <w:widowControl/>
              <w:numPr>
                <w:ilvl w:val="0"/>
                <w:numId w:val="7"/>
              </w:numPr>
              <w:autoSpaceDN w:val="0"/>
              <w:snapToGrid w:val="0"/>
              <w:spacing w:line="340" w:lineRule="exact"/>
              <w:ind w:right="-27" w:rightChars="-13" w:firstLine="422"/>
              <w:jc w:val="center"/>
              <w:rPr>
                <w:rFonts w:ascii="宋体" w:hAnsi="宋体" w:cs="宋体"/>
                <w:color w:val="auto"/>
                <w:szCs w:val="21"/>
                <w:highlight w:val="none"/>
              </w:rPr>
            </w:pPr>
          </w:p>
        </w:tc>
        <w:tc>
          <w:tcPr>
            <w:tcW w:w="1563" w:type="dxa"/>
            <w:vAlign w:val="center"/>
          </w:tcPr>
          <w:p w14:paraId="6449341A">
            <w:pPr>
              <w:widowControl/>
              <w:jc w:val="center"/>
              <w:rPr>
                <w:color w:val="auto"/>
                <w:szCs w:val="21"/>
                <w:highlight w:val="none"/>
              </w:rPr>
            </w:pPr>
            <w:r>
              <w:rPr>
                <w:rFonts w:hint="eastAsia" w:ascii="宋体" w:hAnsi="宋体" w:cs="宋体"/>
                <w:color w:val="auto"/>
                <w:szCs w:val="21"/>
                <w:highlight w:val="none"/>
              </w:rPr>
              <w:t>技术培训方案</w:t>
            </w:r>
          </w:p>
        </w:tc>
        <w:tc>
          <w:tcPr>
            <w:tcW w:w="5363" w:type="dxa"/>
            <w:vAlign w:val="center"/>
          </w:tcPr>
          <w:p w14:paraId="7A44BB01">
            <w:pPr>
              <w:widowControl/>
              <w:autoSpaceDE w:val="0"/>
              <w:autoSpaceDN w:val="0"/>
              <w:snapToGrid w:val="0"/>
              <w:spacing w:line="380" w:lineRule="exact"/>
              <w:jc w:val="left"/>
              <w:rPr>
                <w:rFonts w:ascii="宋体" w:hAnsi="宋体" w:cs="宋体"/>
                <w:color w:val="auto"/>
                <w:szCs w:val="21"/>
                <w:highlight w:val="none"/>
              </w:rPr>
            </w:pPr>
            <w:r>
              <w:rPr>
                <w:rFonts w:hint="eastAsia" w:ascii="宋体" w:hAnsi="宋体" w:cs="宋体"/>
                <w:color w:val="auto"/>
                <w:szCs w:val="21"/>
                <w:highlight w:val="none"/>
              </w:rPr>
              <w:t>根据供应商提供的培训方案（</w:t>
            </w:r>
            <w:r>
              <w:rPr>
                <w:rFonts w:hint="eastAsia" w:cs="Calibri Light"/>
                <w:color w:val="auto"/>
                <w:szCs w:val="21"/>
                <w:highlight w:val="none"/>
              </w:rPr>
              <w:t>包括但不限于</w:t>
            </w:r>
            <w:r>
              <w:rPr>
                <w:rFonts w:hint="eastAsia" w:ascii="宋体" w:hAnsi="宋体" w:cs="宋体"/>
                <w:color w:val="auto"/>
                <w:szCs w:val="21"/>
                <w:highlight w:val="none"/>
              </w:rPr>
              <w:t>培训计划、时间安排、人员安排，内容安排、考核及效果评估等）</w:t>
            </w:r>
            <w:r>
              <w:rPr>
                <w:rFonts w:hint="eastAsia" w:cs="Calibri Light"/>
                <w:color w:val="auto"/>
                <w:szCs w:val="21"/>
                <w:highlight w:val="none"/>
              </w:rPr>
              <w:t>进行评审</w:t>
            </w:r>
            <w:r>
              <w:rPr>
                <w:rFonts w:hint="eastAsia" w:ascii="宋体" w:hAnsi="宋体" w:cs="宋体"/>
                <w:color w:val="auto"/>
                <w:szCs w:val="21"/>
                <w:highlight w:val="none"/>
              </w:rPr>
              <w:t>：</w:t>
            </w:r>
          </w:p>
          <w:p w14:paraId="2D89A6BE">
            <w:pPr>
              <w:widowControl/>
              <w:autoSpaceDE w:val="0"/>
              <w:autoSpaceDN w:val="0"/>
              <w:snapToGrid w:val="0"/>
              <w:spacing w:line="380" w:lineRule="exact"/>
              <w:jc w:val="left"/>
              <w:rPr>
                <w:rFonts w:ascii="宋体" w:hAnsi="宋体" w:cs="宋体"/>
                <w:color w:val="auto"/>
                <w:szCs w:val="21"/>
                <w:highlight w:val="none"/>
              </w:rPr>
            </w:pPr>
            <w:r>
              <w:rPr>
                <w:rFonts w:hint="eastAsia" w:ascii="宋体" w:hAnsi="宋体" w:cs="宋体"/>
                <w:color w:val="auto"/>
                <w:szCs w:val="21"/>
                <w:highlight w:val="none"/>
              </w:rPr>
              <w:t>1、针对本项目的培训方案详细具体，可行性、可操作性强、培训计划全面，得5分；</w:t>
            </w:r>
          </w:p>
          <w:p w14:paraId="6AD336B8">
            <w:pPr>
              <w:widowControl/>
              <w:autoSpaceDE w:val="0"/>
              <w:autoSpaceDN w:val="0"/>
              <w:snapToGrid w:val="0"/>
              <w:spacing w:line="380" w:lineRule="exact"/>
              <w:jc w:val="left"/>
              <w:rPr>
                <w:rFonts w:ascii="宋体" w:hAnsi="宋体" w:cs="宋体"/>
                <w:color w:val="auto"/>
                <w:szCs w:val="21"/>
                <w:highlight w:val="none"/>
              </w:rPr>
            </w:pPr>
            <w:r>
              <w:rPr>
                <w:rFonts w:hint="eastAsia" w:ascii="宋体" w:hAnsi="宋体" w:cs="宋体"/>
                <w:color w:val="auto"/>
                <w:szCs w:val="21"/>
                <w:highlight w:val="none"/>
              </w:rPr>
              <w:t>2、针对本项目的培训服务方案不够详细具体，可行性、可操作性一般、培训计划一般，得3分；</w:t>
            </w:r>
          </w:p>
          <w:p w14:paraId="6AA0DCA6">
            <w:pPr>
              <w:widowControl/>
              <w:autoSpaceDE w:val="0"/>
              <w:autoSpaceDN w:val="0"/>
              <w:snapToGrid w:val="0"/>
              <w:spacing w:line="380" w:lineRule="exact"/>
              <w:jc w:val="left"/>
              <w:rPr>
                <w:rFonts w:ascii="宋体" w:hAnsi="宋体" w:cs="宋体"/>
                <w:color w:val="auto"/>
                <w:szCs w:val="21"/>
                <w:highlight w:val="none"/>
              </w:rPr>
            </w:pPr>
            <w:r>
              <w:rPr>
                <w:rFonts w:hint="eastAsia" w:ascii="宋体" w:hAnsi="宋体" w:cs="宋体"/>
                <w:color w:val="auto"/>
                <w:szCs w:val="21"/>
                <w:highlight w:val="none"/>
              </w:rPr>
              <w:t>3、针对本项目的培训服务方案不够详细具体，可行性、可操作性较差、培训计划较差，得1分；</w:t>
            </w:r>
          </w:p>
          <w:p w14:paraId="63B0A8B5">
            <w:pPr>
              <w:widowControl/>
              <w:autoSpaceDE w:val="0"/>
              <w:autoSpaceDN w:val="0"/>
              <w:snapToGrid w:val="0"/>
              <w:spacing w:line="380" w:lineRule="exact"/>
              <w:jc w:val="left"/>
              <w:rPr>
                <w:bCs/>
                <w:color w:val="auto"/>
                <w:highlight w:val="none"/>
              </w:rPr>
            </w:pPr>
            <w:r>
              <w:rPr>
                <w:rFonts w:hint="eastAsia"/>
                <w:bCs/>
                <w:color w:val="auto"/>
                <w:highlight w:val="none"/>
              </w:rPr>
              <w:t>4、未提供该部分内容的，不得分</w:t>
            </w:r>
            <w:r>
              <w:rPr>
                <w:rFonts w:hint="eastAsia" w:ascii="宋体" w:hAnsi="宋体" w:cs="宋体"/>
                <w:color w:val="auto"/>
                <w:szCs w:val="21"/>
                <w:highlight w:val="none"/>
              </w:rPr>
              <w:t>。</w:t>
            </w:r>
          </w:p>
        </w:tc>
        <w:tc>
          <w:tcPr>
            <w:tcW w:w="760" w:type="dxa"/>
            <w:vAlign w:val="center"/>
          </w:tcPr>
          <w:p w14:paraId="20615188">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5</w:t>
            </w:r>
          </w:p>
        </w:tc>
      </w:tr>
      <w:tr w14:paraId="216CE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757" w:type="dxa"/>
            <w:gridSpan w:val="3"/>
            <w:vAlign w:val="center"/>
          </w:tcPr>
          <w:p w14:paraId="3EC98E1D">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760" w:type="dxa"/>
            <w:vAlign w:val="center"/>
          </w:tcPr>
          <w:p w14:paraId="29225E92">
            <w:pPr>
              <w:widowControl/>
              <w:autoSpaceDN w:val="0"/>
              <w:snapToGrid w:val="0"/>
              <w:spacing w:line="340" w:lineRule="exact"/>
              <w:jc w:val="center"/>
              <w:rPr>
                <w:rFonts w:ascii="宋体" w:hAnsi="宋体" w:cs="宋体"/>
                <w:color w:val="auto"/>
                <w:szCs w:val="21"/>
                <w:highlight w:val="none"/>
              </w:rPr>
            </w:pPr>
            <w:r>
              <w:rPr>
                <w:rFonts w:hint="eastAsia" w:ascii="宋体" w:hAnsi="宋体" w:cs="宋体"/>
                <w:color w:val="auto"/>
                <w:szCs w:val="21"/>
                <w:highlight w:val="none"/>
              </w:rPr>
              <w:t>50分</w:t>
            </w:r>
          </w:p>
        </w:tc>
      </w:tr>
    </w:tbl>
    <w:p w14:paraId="691469FF">
      <w:pPr>
        <w:spacing w:line="360" w:lineRule="auto"/>
        <w:rPr>
          <w:color w:val="auto"/>
          <w:highlight w:val="none"/>
        </w:rPr>
      </w:pPr>
      <w:r>
        <w:rPr>
          <w:rFonts w:hint="eastAsia" w:ascii="宋体" w:hAnsi="宋体"/>
          <w:color w:val="auto"/>
          <w:szCs w:val="21"/>
          <w:highlight w:val="none"/>
        </w:rPr>
        <w:t>注：</w:t>
      </w:r>
      <w:r>
        <w:rPr>
          <w:rFonts w:ascii="宋体" w:hAnsi="宋体"/>
          <w:color w:val="auto"/>
          <w:szCs w:val="21"/>
          <w:highlight w:val="none"/>
        </w:rPr>
        <w:t xml:space="preserve"> </w:t>
      </w:r>
      <w:r>
        <w:rPr>
          <w:rFonts w:hint="eastAsia" w:ascii="宋体" w:hAnsi="宋体" w:cs="宋体"/>
          <w:color w:val="auto"/>
          <w:szCs w:val="21"/>
          <w:highlight w:val="none"/>
        </w:rPr>
        <w:t>供应商应根据以上评分内容提供相应的资料供磋商小组评审</w:t>
      </w:r>
      <w:r>
        <w:rPr>
          <w:rFonts w:hint="eastAsia" w:ascii="宋体" w:hAnsi="宋体"/>
          <w:color w:val="auto"/>
          <w:szCs w:val="21"/>
          <w:highlight w:val="none"/>
        </w:rPr>
        <w:t>。</w:t>
      </w:r>
    </w:p>
    <w:p w14:paraId="4338D6B7">
      <w:pPr>
        <w:keepNext/>
        <w:keepLines/>
        <w:ind w:firstLine="480"/>
        <w:rPr>
          <w:rFonts w:ascii="宋体" w:hAnsi="宋体"/>
          <w:b/>
          <w:bCs/>
          <w:color w:val="auto"/>
          <w:sz w:val="24"/>
          <w:highlight w:val="none"/>
        </w:rPr>
      </w:pPr>
      <w:bookmarkStart w:id="64" w:name="_Toc6322232"/>
      <w:bookmarkStart w:id="65" w:name="_Toc67046848"/>
    </w:p>
    <w:p w14:paraId="16AB9036">
      <w:pPr>
        <w:keepNext/>
        <w:keepLines/>
        <w:ind w:firstLine="482"/>
        <w:outlineLvl w:val="2"/>
        <w:rPr>
          <w:rFonts w:ascii="宋体" w:hAnsi="宋体"/>
          <w:b/>
          <w:bCs/>
          <w:color w:val="auto"/>
          <w:sz w:val="28"/>
          <w:szCs w:val="28"/>
          <w:highlight w:val="none"/>
        </w:rPr>
      </w:pPr>
      <w:r>
        <w:rPr>
          <w:rFonts w:hint="eastAsia" w:ascii="宋体" w:hAnsi="宋体"/>
          <w:b/>
          <w:bCs/>
          <w:color w:val="auto"/>
          <w:sz w:val="24"/>
          <w:highlight w:val="none"/>
        </w:rPr>
        <w:t>附表3：商务评分细则表</w:t>
      </w:r>
      <w:bookmarkEnd w:id="64"/>
      <w:bookmarkEnd w:id="65"/>
      <w:r>
        <w:rPr>
          <w:rFonts w:hint="eastAsia" w:ascii="宋体" w:hAnsi="宋体"/>
          <w:b/>
          <w:bCs/>
          <w:color w:val="auto"/>
          <w:sz w:val="24"/>
          <w:highlight w:val="none"/>
        </w:rPr>
        <w:t>（满分20分）</w:t>
      </w:r>
    </w:p>
    <w:tbl>
      <w:tblPr>
        <w:tblStyle w:val="49"/>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683"/>
        <w:gridCol w:w="5614"/>
        <w:gridCol w:w="776"/>
      </w:tblGrid>
      <w:tr w14:paraId="3A71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1376AA71">
            <w:pPr>
              <w:widowControl/>
              <w:autoSpaceDN w:val="0"/>
              <w:snapToGrid w:val="0"/>
              <w:ind w:left="-36" w:leftChars="-17" w:right="-27" w:rightChars="-13"/>
              <w:jc w:val="center"/>
              <w:rPr>
                <w:rFonts w:ascii="宋体" w:hAnsi="宋体"/>
                <w:b/>
                <w:color w:val="auto"/>
                <w:szCs w:val="21"/>
                <w:highlight w:val="none"/>
              </w:rPr>
            </w:pPr>
            <w:r>
              <w:rPr>
                <w:rFonts w:hint="eastAsia" w:ascii="宋体" w:hAnsi="宋体"/>
                <w:b/>
                <w:color w:val="auto"/>
                <w:szCs w:val="21"/>
                <w:highlight w:val="none"/>
              </w:rPr>
              <w:t>序号</w:t>
            </w:r>
          </w:p>
        </w:tc>
        <w:tc>
          <w:tcPr>
            <w:tcW w:w="1683" w:type="dxa"/>
            <w:tcBorders>
              <w:top w:val="single" w:color="auto" w:sz="4" w:space="0"/>
              <w:left w:val="single" w:color="auto" w:sz="4" w:space="0"/>
              <w:bottom w:val="single" w:color="auto" w:sz="4" w:space="0"/>
              <w:right w:val="single" w:color="auto" w:sz="4" w:space="0"/>
            </w:tcBorders>
            <w:vAlign w:val="center"/>
          </w:tcPr>
          <w:p w14:paraId="5CBFEC52">
            <w:pPr>
              <w:widowControl/>
              <w:autoSpaceDN w:val="0"/>
              <w:snapToGrid w:val="0"/>
              <w:jc w:val="center"/>
              <w:rPr>
                <w:rFonts w:ascii="宋体" w:hAnsi="宋体"/>
                <w:b/>
                <w:color w:val="auto"/>
                <w:szCs w:val="21"/>
                <w:highlight w:val="none"/>
              </w:rPr>
            </w:pPr>
            <w:r>
              <w:rPr>
                <w:rFonts w:hint="eastAsia" w:ascii="宋体" w:hAnsi="宋体"/>
                <w:b/>
                <w:color w:val="auto"/>
                <w:szCs w:val="21"/>
                <w:highlight w:val="none"/>
              </w:rPr>
              <w:t>评审项目</w:t>
            </w:r>
          </w:p>
        </w:tc>
        <w:tc>
          <w:tcPr>
            <w:tcW w:w="5614" w:type="dxa"/>
            <w:tcBorders>
              <w:top w:val="single" w:color="auto" w:sz="4" w:space="0"/>
              <w:left w:val="single" w:color="auto" w:sz="4" w:space="0"/>
              <w:bottom w:val="single" w:color="auto" w:sz="4" w:space="0"/>
              <w:right w:val="single" w:color="auto" w:sz="4" w:space="0"/>
            </w:tcBorders>
            <w:vAlign w:val="center"/>
          </w:tcPr>
          <w:p w14:paraId="096F61CF">
            <w:pPr>
              <w:widowControl/>
              <w:autoSpaceDN w:val="0"/>
              <w:snapToGrid w:val="0"/>
              <w:jc w:val="center"/>
              <w:rPr>
                <w:rFonts w:ascii="宋体" w:hAnsi="宋体"/>
                <w:b/>
                <w:color w:val="auto"/>
                <w:szCs w:val="21"/>
                <w:highlight w:val="none"/>
              </w:rPr>
            </w:pPr>
            <w:r>
              <w:rPr>
                <w:rFonts w:hint="eastAsia" w:ascii="宋体" w:hAnsi="宋体"/>
                <w:b/>
                <w:color w:val="auto"/>
                <w:szCs w:val="21"/>
                <w:highlight w:val="none"/>
              </w:rPr>
              <w:t>评审细则</w:t>
            </w:r>
          </w:p>
        </w:tc>
        <w:tc>
          <w:tcPr>
            <w:tcW w:w="776" w:type="dxa"/>
            <w:tcBorders>
              <w:top w:val="single" w:color="auto" w:sz="4" w:space="0"/>
              <w:left w:val="single" w:color="auto" w:sz="4" w:space="0"/>
              <w:bottom w:val="single" w:color="auto" w:sz="4" w:space="0"/>
              <w:right w:val="single" w:color="auto" w:sz="4" w:space="0"/>
            </w:tcBorders>
            <w:vAlign w:val="center"/>
          </w:tcPr>
          <w:p w14:paraId="22757B33">
            <w:pPr>
              <w:widowControl/>
              <w:autoSpaceDN w:val="0"/>
              <w:snapToGrid w:val="0"/>
              <w:jc w:val="center"/>
              <w:rPr>
                <w:rFonts w:ascii="宋体" w:hAnsi="宋体"/>
                <w:b/>
                <w:color w:val="auto"/>
                <w:szCs w:val="21"/>
                <w:highlight w:val="none"/>
              </w:rPr>
            </w:pPr>
            <w:r>
              <w:rPr>
                <w:rFonts w:hint="eastAsia" w:ascii="宋体" w:hAnsi="宋体"/>
                <w:b/>
                <w:color w:val="auto"/>
                <w:szCs w:val="21"/>
                <w:highlight w:val="none"/>
              </w:rPr>
              <w:t>分值</w:t>
            </w:r>
          </w:p>
        </w:tc>
      </w:tr>
      <w:tr w14:paraId="47F95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09B620A1">
            <w:pPr>
              <w:widowControl/>
              <w:autoSpaceDN w:val="0"/>
              <w:adjustRightInd w:val="0"/>
              <w:jc w:val="center"/>
              <w:rPr>
                <w:rFonts w:ascii="宋体" w:hAnsi="宋体"/>
                <w:color w:val="auto"/>
                <w:szCs w:val="21"/>
                <w:highlight w:val="none"/>
              </w:rPr>
            </w:pPr>
            <w:r>
              <w:rPr>
                <w:rFonts w:hint="eastAsia" w:ascii="宋体" w:hAnsi="宋体"/>
                <w:color w:val="auto"/>
                <w:szCs w:val="21"/>
                <w:highlight w:val="none"/>
              </w:rPr>
              <w:t>1</w:t>
            </w:r>
          </w:p>
        </w:tc>
        <w:tc>
          <w:tcPr>
            <w:tcW w:w="1683" w:type="dxa"/>
            <w:tcBorders>
              <w:top w:val="single" w:color="auto" w:sz="4" w:space="0"/>
              <w:left w:val="single" w:color="auto" w:sz="4" w:space="0"/>
              <w:bottom w:val="single" w:color="auto" w:sz="4" w:space="0"/>
              <w:right w:val="single" w:color="auto" w:sz="4" w:space="0"/>
            </w:tcBorders>
            <w:vAlign w:val="center"/>
          </w:tcPr>
          <w:p w14:paraId="287C25A6">
            <w:pPr>
              <w:adjustRightInd w:val="0"/>
              <w:jc w:val="center"/>
              <w:rPr>
                <w:rFonts w:ascii="宋体" w:hAnsi="宋体"/>
                <w:color w:val="auto"/>
                <w:szCs w:val="21"/>
                <w:highlight w:val="none"/>
              </w:rPr>
            </w:pPr>
            <w:r>
              <w:rPr>
                <w:rFonts w:hint="eastAsia" w:ascii="宋体" w:hAnsi="宋体"/>
                <w:color w:val="auto"/>
                <w:szCs w:val="21"/>
                <w:highlight w:val="none"/>
              </w:rPr>
              <w:t>商务响应及履约能力</w:t>
            </w:r>
          </w:p>
        </w:tc>
        <w:tc>
          <w:tcPr>
            <w:tcW w:w="5614" w:type="dxa"/>
            <w:tcBorders>
              <w:top w:val="single" w:color="auto" w:sz="4" w:space="0"/>
              <w:left w:val="single" w:color="auto" w:sz="4" w:space="0"/>
              <w:bottom w:val="single" w:color="auto" w:sz="4" w:space="0"/>
              <w:right w:val="single" w:color="auto" w:sz="4" w:space="0"/>
            </w:tcBorders>
            <w:vAlign w:val="center"/>
          </w:tcPr>
          <w:p w14:paraId="11510103">
            <w:pPr>
              <w:spacing w:line="400" w:lineRule="atLeast"/>
              <w:rPr>
                <w:bCs/>
                <w:color w:val="auto"/>
                <w:highlight w:val="none"/>
              </w:rPr>
            </w:pPr>
            <w:r>
              <w:rPr>
                <w:rFonts w:hint="eastAsia"/>
                <w:bCs/>
                <w:color w:val="auto"/>
                <w:highlight w:val="none"/>
              </w:rPr>
              <w:t>根据供应商对合同书条款的响应程度进行评审：</w:t>
            </w:r>
          </w:p>
          <w:p w14:paraId="02F44BA9">
            <w:pPr>
              <w:spacing w:line="400" w:lineRule="atLeast"/>
              <w:rPr>
                <w:bCs/>
                <w:color w:val="auto"/>
                <w:highlight w:val="none"/>
              </w:rPr>
            </w:pPr>
            <w:r>
              <w:rPr>
                <w:rFonts w:hint="eastAsia"/>
                <w:bCs/>
                <w:color w:val="auto"/>
                <w:highlight w:val="none"/>
              </w:rPr>
              <w:t>完全响应或满足采购文件要求，得5分；</w:t>
            </w:r>
            <w:r>
              <w:rPr>
                <w:rFonts w:hint="eastAsia" w:cs="Calibri Light"/>
                <w:color w:val="auto"/>
                <w:szCs w:val="21"/>
                <w:highlight w:val="none"/>
              </w:rPr>
              <w:t>每出现一处负偏离或不响应，扣1分，</w:t>
            </w:r>
            <w:r>
              <w:rPr>
                <w:color w:val="auto"/>
                <w:highlight w:val="none"/>
              </w:rPr>
              <w:t>扣完为止。</w:t>
            </w:r>
          </w:p>
          <w:p w14:paraId="414433CC">
            <w:pPr>
              <w:spacing w:line="400" w:lineRule="atLeast"/>
              <w:rPr>
                <w:color w:val="auto"/>
                <w:highlight w:val="none"/>
              </w:rPr>
            </w:pPr>
            <w:r>
              <w:rPr>
                <w:rFonts w:hint="eastAsia"/>
                <w:b/>
                <w:color w:val="auto"/>
                <w:highlight w:val="none"/>
              </w:rPr>
              <w:t>注：以《合同条款响应表》的响应情况作为评审依据。</w:t>
            </w:r>
          </w:p>
        </w:tc>
        <w:tc>
          <w:tcPr>
            <w:tcW w:w="776" w:type="dxa"/>
            <w:tcBorders>
              <w:top w:val="single" w:color="auto" w:sz="4" w:space="0"/>
              <w:left w:val="single" w:color="auto" w:sz="4" w:space="0"/>
              <w:bottom w:val="single" w:color="auto" w:sz="4" w:space="0"/>
              <w:right w:val="single" w:color="auto" w:sz="4" w:space="0"/>
            </w:tcBorders>
            <w:vAlign w:val="center"/>
          </w:tcPr>
          <w:p w14:paraId="15316058">
            <w:pPr>
              <w:adjustRightInd w:val="0"/>
              <w:jc w:val="center"/>
              <w:rPr>
                <w:rFonts w:ascii="宋体" w:hAnsi="宋体"/>
                <w:color w:val="auto"/>
                <w:szCs w:val="21"/>
                <w:highlight w:val="none"/>
              </w:rPr>
            </w:pPr>
            <w:r>
              <w:rPr>
                <w:rFonts w:hint="eastAsia" w:ascii="宋体" w:hAnsi="宋体"/>
                <w:color w:val="auto"/>
                <w:szCs w:val="21"/>
                <w:highlight w:val="none"/>
              </w:rPr>
              <w:t>5</w:t>
            </w:r>
          </w:p>
        </w:tc>
      </w:tr>
      <w:tr w14:paraId="7634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72C34BEE">
            <w:pPr>
              <w:widowControl/>
              <w:autoSpaceDN w:val="0"/>
              <w:adjustRightInd w:val="0"/>
              <w:jc w:val="center"/>
              <w:rPr>
                <w:rFonts w:ascii="宋体" w:hAnsi="宋体"/>
                <w:color w:val="auto"/>
                <w:szCs w:val="21"/>
                <w:highlight w:val="none"/>
              </w:rPr>
            </w:pPr>
            <w:r>
              <w:rPr>
                <w:rFonts w:hint="eastAsia" w:ascii="宋体" w:hAnsi="宋体"/>
                <w:color w:val="auto"/>
                <w:szCs w:val="21"/>
                <w:highlight w:val="none"/>
              </w:rPr>
              <w:t>2</w:t>
            </w:r>
          </w:p>
        </w:tc>
        <w:tc>
          <w:tcPr>
            <w:tcW w:w="1683" w:type="dxa"/>
            <w:tcBorders>
              <w:top w:val="single" w:color="auto" w:sz="4" w:space="0"/>
              <w:left w:val="single" w:color="auto" w:sz="4" w:space="0"/>
              <w:bottom w:val="single" w:color="auto" w:sz="4" w:space="0"/>
              <w:right w:val="single" w:color="auto" w:sz="4" w:space="0"/>
            </w:tcBorders>
            <w:vAlign w:val="center"/>
          </w:tcPr>
          <w:p w14:paraId="5594E2B3">
            <w:pPr>
              <w:adjustRightInd w:val="0"/>
              <w:spacing w:line="400" w:lineRule="exact"/>
              <w:jc w:val="center"/>
              <w:rPr>
                <w:rFonts w:ascii="宋体" w:hAnsi="宋体"/>
                <w:color w:val="auto"/>
                <w:szCs w:val="21"/>
                <w:highlight w:val="none"/>
              </w:rPr>
            </w:pPr>
            <w:r>
              <w:rPr>
                <w:rFonts w:hAnsiTheme="minorEastAsia" w:cstheme="minorEastAsia"/>
                <w:color w:val="auto"/>
                <w:szCs w:val="21"/>
                <w:highlight w:val="none"/>
              </w:rPr>
              <w:t>同类项目</w:t>
            </w:r>
            <w:r>
              <w:rPr>
                <w:rFonts w:hint="eastAsia" w:hAnsiTheme="minorEastAsia" w:cstheme="minorEastAsia"/>
                <w:color w:val="auto"/>
                <w:szCs w:val="21"/>
                <w:highlight w:val="none"/>
              </w:rPr>
              <w:t>经验</w:t>
            </w:r>
          </w:p>
        </w:tc>
        <w:tc>
          <w:tcPr>
            <w:tcW w:w="5614" w:type="dxa"/>
            <w:tcBorders>
              <w:top w:val="single" w:color="auto" w:sz="4" w:space="0"/>
              <w:left w:val="single" w:color="auto" w:sz="4" w:space="0"/>
              <w:bottom w:val="single" w:color="auto" w:sz="4" w:space="0"/>
              <w:right w:val="single" w:color="auto" w:sz="4" w:space="0"/>
            </w:tcBorders>
            <w:vAlign w:val="center"/>
          </w:tcPr>
          <w:p w14:paraId="3CAD4631">
            <w:pPr>
              <w:adjustRightInd w:val="0"/>
              <w:snapToGrid w:val="0"/>
              <w:spacing w:line="400" w:lineRule="exact"/>
              <w:jc w:val="left"/>
              <w:rPr>
                <w:color w:val="auto"/>
                <w:highlight w:val="none"/>
              </w:rPr>
            </w:pPr>
            <w:r>
              <w:rPr>
                <w:color w:val="auto"/>
                <w:highlight w:val="none"/>
              </w:rPr>
              <w:t>自20</w:t>
            </w:r>
            <w:r>
              <w:rPr>
                <w:rFonts w:hint="eastAsia"/>
                <w:color w:val="auto"/>
                <w:highlight w:val="none"/>
              </w:rPr>
              <w:t>21</w:t>
            </w:r>
            <w:r>
              <w:rPr>
                <w:color w:val="auto"/>
                <w:highlight w:val="none"/>
              </w:rPr>
              <w:t>年</w:t>
            </w:r>
            <w:r>
              <w:rPr>
                <w:rFonts w:hint="eastAsia"/>
                <w:color w:val="auto"/>
                <w:highlight w:val="none"/>
              </w:rPr>
              <w:t>1</w:t>
            </w:r>
            <w:r>
              <w:rPr>
                <w:color w:val="auto"/>
                <w:highlight w:val="none"/>
              </w:rPr>
              <w:t>月1日至今，完成</w:t>
            </w:r>
            <w:r>
              <w:rPr>
                <w:rFonts w:hint="eastAsia"/>
                <w:color w:val="auto"/>
                <w:szCs w:val="21"/>
                <w:highlight w:val="none"/>
              </w:rPr>
              <w:t>过的同类业绩</w:t>
            </w:r>
            <w:r>
              <w:rPr>
                <w:color w:val="auto"/>
                <w:highlight w:val="none"/>
              </w:rPr>
              <w:t>（须包含</w:t>
            </w:r>
            <w:r>
              <w:rPr>
                <w:rFonts w:hint="eastAsia"/>
                <w:color w:val="auto"/>
                <w:highlight w:val="none"/>
              </w:rPr>
              <w:t>所租赁</w:t>
            </w:r>
            <w:r>
              <w:rPr>
                <w:color w:val="auto"/>
                <w:highlight w:val="none"/>
              </w:rPr>
              <w:t>货物的其中</w:t>
            </w:r>
            <w:r>
              <w:rPr>
                <w:rFonts w:hint="eastAsia"/>
                <w:color w:val="auto"/>
                <w:highlight w:val="none"/>
              </w:rPr>
              <w:t>一</w:t>
            </w:r>
            <w:r>
              <w:rPr>
                <w:color w:val="auto"/>
                <w:highlight w:val="none"/>
              </w:rPr>
              <w:t>种或以上），每提供一项得</w:t>
            </w:r>
            <w:r>
              <w:rPr>
                <w:rFonts w:hint="eastAsia"/>
                <w:color w:val="auto"/>
                <w:highlight w:val="none"/>
              </w:rPr>
              <w:t>2</w:t>
            </w:r>
            <w:r>
              <w:rPr>
                <w:color w:val="auto"/>
                <w:highlight w:val="none"/>
              </w:rPr>
              <w:t>分，最高得</w:t>
            </w:r>
            <w:r>
              <w:rPr>
                <w:rFonts w:hint="eastAsia"/>
                <w:color w:val="auto"/>
                <w:highlight w:val="none"/>
              </w:rPr>
              <w:t>10</w:t>
            </w:r>
            <w:r>
              <w:rPr>
                <w:color w:val="auto"/>
                <w:highlight w:val="none"/>
              </w:rPr>
              <w:t>分。</w:t>
            </w:r>
          </w:p>
          <w:p w14:paraId="48B50A87">
            <w:pPr>
              <w:adjustRightInd w:val="0"/>
              <w:spacing w:line="400" w:lineRule="exact"/>
              <w:jc w:val="left"/>
              <w:rPr>
                <w:rFonts w:ascii="宋体" w:hAnsi="宋体"/>
                <w:color w:val="auto"/>
                <w:szCs w:val="21"/>
                <w:highlight w:val="none"/>
              </w:rPr>
            </w:pPr>
            <w:r>
              <w:rPr>
                <w:b/>
                <w:bCs/>
                <w:color w:val="auto"/>
                <w:highlight w:val="none"/>
              </w:rPr>
              <w:t>注：</w:t>
            </w:r>
            <w:r>
              <w:rPr>
                <w:rFonts w:hint="eastAsia"/>
                <w:b/>
                <w:bCs/>
                <w:color w:val="auto"/>
                <w:highlight w:val="none"/>
              </w:rPr>
              <w:t>提供项目合同关键页复印件加盖公章（以合同签订时间为准，含项目内容、签订时间、签订双方的落款盖章），不提供不得分</w:t>
            </w:r>
            <w:r>
              <w:rPr>
                <w:b/>
                <w:bCs/>
                <w:color w:val="auto"/>
                <w:highlight w:val="none"/>
              </w:rPr>
              <w:t>。</w:t>
            </w:r>
          </w:p>
        </w:tc>
        <w:tc>
          <w:tcPr>
            <w:tcW w:w="776" w:type="dxa"/>
            <w:tcBorders>
              <w:top w:val="single" w:color="auto" w:sz="4" w:space="0"/>
              <w:left w:val="single" w:color="auto" w:sz="4" w:space="0"/>
              <w:bottom w:val="single" w:color="auto" w:sz="4" w:space="0"/>
              <w:right w:val="single" w:color="auto" w:sz="4" w:space="0"/>
            </w:tcBorders>
            <w:vAlign w:val="center"/>
          </w:tcPr>
          <w:p w14:paraId="2C5270DA">
            <w:pPr>
              <w:adjustRightInd w:val="0"/>
              <w:jc w:val="center"/>
              <w:rPr>
                <w:rFonts w:ascii="宋体" w:hAnsi="宋体"/>
                <w:color w:val="auto"/>
                <w:szCs w:val="21"/>
                <w:highlight w:val="none"/>
              </w:rPr>
            </w:pPr>
            <w:r>
              <w:rPr>
                <w:rFonts w:hint="eastAsia" w:ascii="宋体" w:hAnsi="宋体"/>
                <w:color w:val="auto"/>
                <w:szCs w:val="21"/>
                <w:highlight w:val="none"/>
              </w:rPr>
              <w:t>10</w:t>
            </w:r>
          </w:p>
        </w:tc>
      </w:tr>
      <w:tr w14:paraId="53651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5" w:type="dxa"/>
            <w:tcBorders>
              <w:top w:val="single" w:color="auto" w:sz="4" w:space="0"/>
              <w:left w:val="single" w:color="auto" w:sz="4" w:space="0"/>
              <w:bottom w:val="single" w:color="auto" w:sz="4" w:space="0"/>
              <w:right w:val="single" w:color="auto" w:sz="4" w:space="0"/>
            </w:tcBorders>
            <w:vAlign w:val="center"/>
          </w:tcPr>
          <w:p w14:paraId="4FCC735F">
            <w:pPr>
              <w:widowControl/>
              <w:autoSpaceDN w:val="0"/>
              <w:adjustRightInd w:val="0"/>
              <w:jc w:val="center"/>
              <w:rPr>
                <w:rFonts w:ascii="宋体" w:hAnsi="宋体"/>
                <w:color w:val="auto"/>
                <w:szCs w:val="21"/>
                <w:highlight w:val="none"/>
              </w:rPr>
            </w:pPr>
            <w:r>
              <w:rPr>
                <w:rFonts w:hint="eastAsia" w:ascii="宋体" w:hAnsi="宋体"/>
                <w:color w:val="auto"/>
                <w:szCs w:val="21"/>
                <w:highlight w:val="none"/>
              </w:rPr>
              <w:t>3</w:t>
            </w:r>
          </w:p>
        </w:tc>
        <w:tc>
          <w:tcPr>
            <w:tcW w:w="1683" w:type="dxa"/>
            <w:tcBorders>
              <w:top w:val="single" w:color="auto" w:sz="4" w:space="0"/>
              <w:left w:val="single" w:color="auto" w:sz="4" w:space="0"/>
              <w:bottom w:val="single" w:color="auto" w:sz="4" w:space="0"/>
              <w:right w:val="single" w:color="auto" w:sz="4" w:space="0"/>
            </w:tcBorders>
            <w:vAlign w:val="center"/>
          </w:tcPr>
          <w:p w14:paraId="277C5267">
            <w:pPr>
              <w:adjustRightInd w:val="0"/>
              <w:jc w:val="center"/>
              <w:rPr>
                <w:rFonts w:hAnsiTheme="minorEastAsia" w:cstheme="minorEastAsia"/>
                <w:color w:val="auto"/>
                <w:szCs w:val="21"/>
                <w:highlight w:val="none"/>
              </w:rPr>
            </w:pPr>
            <w:r>
              <w:rPr>
                <w:rFonts w:hint="eastAsia" w:ascii="宋体" w:hAnsi="宋体"/>
                <w:color w:val="auto"/>
                <w:szCs w:val="21"/>
                <w:highlight w:val="none"/>
              </w:rPr>
              <w:t>售后服务方案</w:t>
            </w:r>
          </w:p>
        </w:tc>
        <w:tc>
          <w:tcPr>
            <w:tcW w:w="5614" w:type="dxa"/>
            <w:tcBorders>
              <w:top w:val="single" w:color="auto" w:sz="4" w:space="0"/>
              <w:left w:val="single" w:color="auto" w:sz="4" w:space="0"/>
              <w:bottom w:val="single" w:color="auto" w:sz="4" w:space="0"/>
              <w:right w:val="single" w:color="auto" w:sz="4" w:space="0"/>
            </w:tcBorders>
            <w:vAlign w:val="center"/>
          </w:tcPr>
          <w:p w14:paraId="3E7430E0">
            <w:pPr>
              <w:spacing w:line="400" w:lineRule="atLeast"/>
              <w:rPr>
                <w:bCs/>
                <w:color w:val="auto"/>
                <w:highlight w:val="none"/>
              </w:rPr>
            </w:pPr>
            <w:r>
              <w:rPr>
                <w:rFonts w:hint="eastAsia"/>
                <w:bCs/>
                <w:color w:val="auto"/>
                <w:highlight w:val="none"/>
              </w:rPr>
              <w:t>对供应商提供的售后服务方案（包括但不限于售后服务承诺、响应时间、故障处理、</w:t>
            </w:r>
            <w:r>
              <w:rPr>
                <w:color w:val="auto"/>
                <w:highlight w:val="none"/>
              </w:rPr>
              <w:t>维护</w:t>
            </w:r>
            <w:r>
              <w:rPr>
                <w:rFonts w:hint="eastAsia"/>
                <w:bCs/>
                <w:color w:val="auto"/>
                <w:highlight w:val="none"/>
              </w:rPr>
              <w:t>方案等）进行评审：</w:t>
            </w:r>
          </w:p>
          <w:p w14:paraId="594504B2">
            <w:pPr>
              <w:spacing w:line="400" w:lineRule="atLeast"/>
              <w:rPr>
                <w:bCs/>
                <w:color w:val="auto"/>
                <w:highlight w:val="none"/>
              </w:rPr>
            </w:pPr>
            <w:r>
              <w:rPr>
                <w:rFonts w:hint="eastAsia"/>
                <w:bCs/>
                <w:color w:val="auto"/>
                <w:highlight w:val="none"/>
              </w:rPr>
              <w:t>1、售后服务方案全面、详尽，可行性高，满足用户需求的，得5分；</w:t>
            </w:r>
          </w:p>
          <w:p w14:paraId="37063B1D">
            <w:pPr>
              <w:spacing w:line="400" w:lineRule="atLeast"/>
              <w:rPr>
                <w:bCs/>
                <w:color w:val="auto"/>
                <w:highlight w:val="none"/>
              </w:rPr>
            </w:pPr>
            <w:r>
              <w:rPr>
                <w:rFonts w:hint="eastAsia"/>
                <w:bCs/>
                <w:color w:val="auto"/>
                <w:highlight w:val="none"/>
              </w:rPr>
              <w:t>2、售后服务方案较全面、较详尽，可行性一般，基本满足用户需求的，得3分；</w:t>
            </w:r>
          </w:p>
          <w:p w14:paraId="7A599F23">
            <w:pPr>
              <w:spacing w:line="400" w:lineRule="atLeast"/>
              <w:rPr>
                <w:bCs/>
                <w:color w:val="auto"/>
                <w:highlight w:val="none"/>
              </w:rPr>
            </w:pPr>
            <w:r>
              <w:rPr>
                <w:rFonts w:hint="eastAsia"/>
                <w:bCs/>
                <w:color w:val="auto"/>
                <w:highlight w:val="none"/>
              </w:rPr>
              <w:t>3、售后服务方案不够全面，可行性较差，基本不能满足用户需求的，得1分。</w:t>
            </w:r>
          </w:p>
          <w:p w14:paraId="2564FA46">
            <w:pPr>
              <w:spacing w:line="400" w:lineRule="atLeast"/>
              <w:rPr>
                <w:color w:val="auto"/>
                <w:highlight w:val="none"/>
              </w:rPr>
            </w:pPr>
            <w:r>
              <w:rPr>
                <w:rFonts w:hint="eastAsia"/>
                <w:bCs/>
                <w:color w:val="auto"/>
                <w:highlight w:val="none"/>
              </w:rPr>
              <w:t>4、未提供该部分内容的，不得分。</w:t>
            </w:r>
          </w:p>
        </w:tc>
        <w:tc>
          <w:tcPr>
            <w:tcW w:w="776" w:type="dxa"/>
            <w:tcBorders>
              <w:top w:val="single" w:color="auto" w:sz="4" w:space="0"/>
              <w:left w:val="single" w:color="auto" w:sz="4" w:space="0"/>
              <w:bottom w:val="single" w:color="auto" w:sz="4" w:space="0"/>
              <w:right w:val="single" w:color="auto" w:sz="4" w:space="0"/>
            </w:tcBorders>
            <w:vAlign w:val="center"/>
          </w:tcPr>
          <w:p w14:paraId="3DFEE2EF">
            <w:pPr>
              <w:adjustRightInd w:val="0"/>
              <w:jc w:val="center"/>
              <w:rPr>
                <w:rFonts w:ascii="宋体" w:hAnsi="宋体"/>
                <w:color w:val="auto"/>
                <w:szCs w:val="21"/>
                <w:highlight w:val="none"/>
              </w:rPr>
            </w:pPr>
            <w:r>
              <w:rPr>
                <w:rFonts w:hint="eastAsia" w:ascii="宋体" w:hAnsi="宋体"/>
                <w:color w:val="auto"/>
                <w:szCs w:val="21"/>
                <w:highlight w:val="none"/>
              </w:rPr>
              <w:t>5</w:t>
            </w:r>
          </w:p>
        </w:tc>
      </w:tr>
      <w:tr w14:paraId="44F8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082" w:type="dxa"/>
            <w:gridSpan w:val="3"/>
            <w:tcBorders>
              <w:top w:val="single" w:color="auto" w:sz="4" w:space="0"/>
              <w:left w:val="single" w:color="auto" w:sz="4" w:space="0"/>
              <w:bottom w:val="single" w:color="auto" w:sz="4" w:space="0"/>
              <w:right w:val="single" w:color="auto" w:sz="4" w:space="0"/>
            </w:tcBorders>
            <w:vAlign w:val="center"/>
          </w:tcPr>
          <w:p w14:paraId="35D67632">
            <w:pPr>
              <w:widowControl/>
              <w:autoSpaceDN w:val="0"/>
              <w:jc w:val="center"/>
              <w:rPr>
                <w:rFonts w:ascii="宋体" w:hAnsi="宋体"/>
                <w:color w:val="auto"/>
                <w:szCs w:val="21"/>
                <w:highlight w:val="none"/>
              </w:rPr>
            </w:pPr>
            <w:r>
              <w:rPr>
                <w:rFonts w:hint="eastAsia" w:ascii="宋体" w:hAnsi="宋体"/>
                <w:color w:val="auto"/>
                <w:szCs w:val="21"/>
                <w:highlight w:val="none"/>
              </w:rPr>
              <w:t>合计</w:t>
            </w:r>
          </w:p>
        </w:tc>
        <w:tc>
          <w:tcPr>
            <w:tcW w:w="776" w:type="dxa"/>
            <w:tcBorders>
              <w:top w:val="single" w:color="auto" w:sz="4" w:space="0"/>
              <w:left w:val="single" w:color="auto" w:sz="4" w:space="0"/>
              <w:bottom w:val="single" w:color="auto" w:sz="4" w:space="0"/>
              <w:right w:val="single" w:color="auto" w:sz="4" w:space="0"/>
            </w:tcBorders>
            <w:vAlign w:val="center"/>
          </w:tcPr>
          <w:p w14:paraId="73975ADE">
            <w:pPr>
              <w:widowControl/>
              <w:autoSpaceDN w:val="0"/>
              <w:adjustRightInd w:val="0"/>
              <w:jc w:val="center"/>
              <w:rPr>
                <w:rFonts w:ascii="宋体" w:hAnsi="宋体"/>
                <w:color w:val="auto"/>
                <w:szCs w:val="21"/>
                <w:highlight w:val="none"/>
              </w:rPr>
            </w:pPr>
            <w:r>
              <w:rPr>
                <w:rFonts w:hint="eastAsia" w:ascii="宋体" w:hAnsi="宋体"/>
                <w:color w:val="auto"/>
                <w:szCs w:val="21"/>
                <w:highlight w:val="none"/>
              </w:rPr>
              <w:t>20</w:t>
            </w:r>
          </w:p>
        </w:tc>
      </w:tr>
    </w:tbl>
    <w:p w14:paraId="2E18A4A1">
      <w:pPr>
        <w:pStyle w:val="48"/>
        <w:ind w:left="0" w:leftChars="0" w:firstLine="0" w:firstLineChars="0"/>
        <w:rPr>
          <w:color w:val="auto"/>
          <w:highlight w:val="none"/>
        </w:rPr>
      </w:pPr>
    </w:p>
    <w:p w14:paraId="2F656260">
      <w:pPr>
        <w:keepNext/>
        <w:keepLines/>
        <w:spacing w:line="360" w:lineRule="auto"/>
        <w:ind w:firstLine="562"/>
        <w:outlineLvl w:val="2"/>
        <w:rPr>
          <w:rFonts w:ascii="宋体" w:hAnsi="宋体"/>
          <w:b/>
          <w:bCs/>
          <w:color w:val="auto"/>
          <w:sz w:val="28"/>
          <w:szCs w:val="28"/>
          <w:highlight w:val="none"/>
        </w:rPr>
      </w:pPr>
      <w:bookmarkStart w:id="66" w:name="_Toc67046849"/>
      <w:r>
        <w:rPr>
          <w:rFonts w:hint="eastAsia" w:ascii="宋体" w:hAnsi="宋体"/>
          <w:b/>
          <w:bCs/>
          <w:color w:val="auto"/>
          <w:sz w:val="28"/>
          <w:szCs w:val="28"/>
          <w:highlight w:val="none"/>
        </w:rPr>
        <w:t>附表</w:t>
      </w:r>
      <w:r>
        <w:rPr>
          <w:rFonts w:ascii="宋体" w:hAnsi="宋体"/>
          <w:b/>
          <w:bCs/>
          <w:color w:val="auto"/>
          <w:sz w:val="28"/>
          <w:szCs w:val="28"/>
          <w:highlight w:val="none"/>
        </w:rPr>
        <w:t>4</w:t>
      </w:r>
      <w:r>
        <w:rPr>
          <w:rFonts w:hint="eastAsia" w:ascii="宋体" w:hAnsi="宋体"/>
          <w:b/>
          <w:bCs/>
          <w:color w:val="auto"/>
          <w:sz w:val="28"/>
          <w:szCs w:val="28"/>
          <w:highlight w:val="none"/>
        </w:rPr>
        <w:t>：价格</w:t>
      </w:r>
      <w:r>
        <w:rPr>
          <w:rFonts w:ascii="宋体" w:hAnsi="宋体"/>
          <w:b/>
          <w:bCs/>
          <w:color w:val="auto"/>
          <w:sz w:val="28"/>
          <w:szCs w:val="28"/>
          <w:highlight w:val="none"/>
        </w:rPr>
        <w:t>评分细则</w:t>
      </w:r>
      <w:r>
        <w:rPr>
          <w:rFonts w:hint="eastAsia" w:ascii="宋体" w:hAnsi="宋体"/>
          <w:b/>
          <w:bCs/>
          <w:color w:val="auto"/>
          <w:sz w:val="28"/>
          <w:szCs w:val="28"/>
          <w:highlight w:val="none"/>
        </w:rPr>
        <w:t>表</w:t>
      </w:r>
      <w:bookmarkEnd w:id="66"/>
      <w:r>
        <w:rPr>
          <w:rFonts w:hint="eastAsia" w:ascii="宋体" w:hAnsi="宋体"/>
          <w:b/>
          <w:bCs/>
          <w:color w:val="auto"/>
          <w:sz w:val="28"/>
          <w:szCs w:val="28"/>
          <w:highlight w:val="none"/>
        </w:rPr>
        <w:t>（满分30分）</w:t>
      </w:r>
    </w:p>
    <w:tbl>
      <w:tblPr>
        <w:tblStyle w:val="4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038"/>
        <w:gridCol w:w="5713"/>
        <w:gridCol w:w="1056"/>
      </w:tblGrid>
      <w:tr w14:paraId="156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2" w:type="dxa"/>
            <w:tcBorders>
              <w:bottom w:val="single" w:color="auto" w:sz="4" w:space="0"/>
            </w:tcBorders>
            <w:vAlign w:val="center"/>
          </w:tcPr>
          <w:p w14:paraId="106FF766">
            <w:pPr>
              <w:jc w:val="center"/>
              <w:rPr>
                <w:rFonts w:ascii="宋体" w:hAnsi="宋体" w:cs="宋体"/>
                <w:color w:val="auto"/>
                <w:szCs w:val="21"/>
                <w:highlight w:val="none"/>
              </w:rPr>
            </w:pPr>
            <w:r>
              <w:rPr>
                <w:rFonts w:hint="eastAsia" w:ascii="宋体" w:hAnsi="宋体" w:cs="宋体"/>
                <w:b/>
                <w:bCs/>
                <w:color w:val="auto"/>
                <w:szCs w:val="21"/>
                <w:highlight w:val="none"/>
              </w:rPr>
              <w:t>序号</w:t>
            </w:r>
          </w:p>
        </w:tc>
        <w:tc>
          <w:tcPr>
            <w:tcW w:w="1038" w:type="dxa"/>
            <w:tcBorders>
              <w:bottom w:val="single" w:color="auto" w:sz="4" w:space="0"/>
            </w:tcBorders>
            <w:vAlign w:val="center"/>
          </w:tcPr>
          <w:p w14:paraId="70ECC13A">
            <w:pPr>
              <w:jc w:val="center"/>
              <w:rPr>
                <w:rFonts w:ascii="宋体" w:hAnsi="宋体" w:cs="宋体"/>
                <w:b/>
                <w:bCs/>
                <w:color w:val="auto"/>
                <w:szCs w:val="21"/>
                <w:highlight w:val="none"/>
              </w:rPr>
            </w:pPr>
            <w:r>
              <w:rPr>
                <w:rFonts w:hint="eastAsia" w:ascii="宋体" w:hAnsi="宋体" w:cs="宋体"/>
                <w:b/>
                <w:bCs/>
                <w:color w:val="auto"/>
                <w:szCs w:val="21"/>
                <w:highlight w:val="none"/>
              </w:rPr>
              <w:t>评审</w:t>
            </w:r>
          </w:p>
          <w:p w14:paraId="65EC9501">
            <w:pPr>
              <w:jc w:val="center"/>
              <w:rPr>
                <w:rFonts w:ascii="宋体" w:hAnsi="宋体" w:cs="宋体"/>
                <w:color w:val="auto"/>
                <w:szCs w:val="21"/>
                <w:highlight w:val="none"/>
              </w:rPr>
            </w:pPr>
            <w:r>
              <w:rPr>
                <w:rFonts w:hint="eastAsia" w:ascii="宋体" w:hAnsi="宋体" w:cs="宋体"/>
                <w:b/>
                <w:bCs/>
                <w:color w:val="auto"/>
                <w:szCs w:val="21"/>
                <w:highlight w:val="none"/>
              </w:rPr>
              <w:t>因素</w:t>
            </w:r>
          </w:p>
        </w:tc>
        <w:tc>
          <w:tcPr>
            <w:tcW w:w="5713" w:type="dxa"/>
            <w:tcBorders>
              <w:bottom w:val="single" w:color="auto" w:sz="4" w:space="0"/>
            </w:tcBorders>
            <w:vAlign w:val="center"/>
          </w:tcPr>
          <w:p w14:paraId="15050DE5">
            <w:pPr>
              <w:jc w:val="center"/>
              <w:rPr>
                <w:rFonts w:ascii="宋体" w:hAnsi="宋体" w:cs="宋体"/>
                <w:color w:val="auto"/>
                <w:szCs w:val="21"/>
                <w:highlight w:val="none"/>
              </w:rPr>
            </w:pPr>
            <w:r>
              <w:rPr>
                <w:rFonts w:hint="eastAsia" w:ascii="宋体" w:hAnsi="宋体" w:cs="宋体"/>
                <w:b/>
                <w:bCs/>
                <w:color w:val="auto"/>
                <w:szCs w:val="21"/>
                <w:highlight w:val="none"/>
              </w:rPr>
              <w:t>评分细则</w:t>
            </w:r>
          </w:p>
        </w:tc>
        <w:tc>
          <w:tcPr>
            <w:tcW w:w="1056" w:type="dxa"/>
            <w:tcBorders>
              <w:bottom w:val="single" w:color="auto" w:sz="4" w:space="0"/>
            </w:tcBorders>
            <w:vAlign w:val="center"/>
          </w:tcPr>
          <w:p w14:paraId="35D6E45A">
            <w:pPr>
              <w:jc w:val="center"/>
              <w:rPr>
                <w:rFonts w:ascii="宋体" w:hAnsi="宋体" w:cs="宋体"/>
                <w:color w:val="auto"/>
                <w:szCs w:val="21"/>
                <w:highlight w:val="none"/>
              </w:rPr>
            </w:pPr>
            <w:r>
              <w:rPr>
                <w:rFonts w:hint="eastAsia" w:ascii="宋体" w:hAnsi="宋体" w:cs="宋体"/>
                <w:b/>
                <w:bCs/>
                <w:color w:val="auto"/>
                <w:szCs w:val="21"/>
                <w:highlight w:val="none"/>
              </w:rPr>
              <w:t>分值（分）</w:t>
            </w:r>
          </w:p>
        </w:tc>
      </w:tr>
      <w:tr w14:paraId="1B152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12" w:type="dxa"/>
            <w:tcBorders>
              <w:bottom w:val="single" w:color="auto" w:sz="4" w:space="0"/>
            </w:tcBorders>
            <w:vAlign w:val="center"/>
          </w:tcPr>
          <w:p w14:paraId="17E83757">
            <w:pPr>
              <w:ind w:left="10"/>
              <w:jc w:val="center"/>
              <w:rPr>
                <w:rFonts w:ascii="宋体" w:hAnsi="宋体" w:cs="宋体"/>
                <w:color w:val="auto"/>
                <w:szCs w:val="21"/>
                <w:highlight w:val="none"/>
              </w:rPr>
            </w:pPr>
            <w:r>
              <w:rPr>
                <w:rFonts w:hint="eastAsia" w:ascii="宋体" w:hAnsi="宋体" w:cs="宋体"/>
                <w:color w:val="auto"/>
                <w:szCs w:val="21"/>
                <w:highlight w:val="none"/>
              </w:rPr>
              <w:t>1</w:t>
            </w:r>
          </w:p>
        </w:tc>
        <w:tc>
          <w:tcPr>
            <w:tcW w:w="1038" w:type="dxa"/>
            <w:tcBorders>
              <w:bottom w:val="single" w:color="auto" w:sz="4" w:space="0"/>
            </w:tcBorders>
            <w:vAlign w:val="center"/>
          </w:tcPr>
          <w:p w14:paraId="7F3DD63D">
            <w:pPr>
              <w:ind w:left="10"/>
              <w:jc w:val="center"/>
              <w:rPr>
                <w:color w:val="auto"/>
                <w:highlight w:val="none"/>
              </w:rPr>
            </w:pPr>
            <w:r>
              <w:rPr>
                <w:rFonts w:hint="eastAsia"/>
                <w:color w:val="auto"/>
                <w:highlight w:val="none"/>
              </w:rPr>
              <w:t>响应</w:t>
            </w:r>
          </w:p>
          <w:p w14:paraId="67F15C13">
            <w:pPr>
              <w:ind w:left="10"/>
              <w:jc w:val="center"/>
              <w:rPr>
                <w:rFonts w:ascii="宋体" w:hAnsi="宋体" w:cs="宋体"/>
                <w:color w:val="auto"/>
                <w:szCs w:val="21"/>
                <w:highlight w:val="none"/>
              </w:rPr>
            </w:pPr>
            <w:r>
              <w:rPr>
                <w:color w:val="auto"/>
                <w:highlight w:val="none"/>
              </w:rPr>
              <w:t>报价</w:t>
            </w:r>
          </w:p>
        </w:tc>
        <w:tc>
          <w:tcPr>
            <w:tcW w:w="5713" w:type="dxa"/>
            <w:tcBorders>
              <w:bottom w:val="single" w:color="auto" w:sz="4" w:space="0"/>
            </w:tcBorders>
            <w:vAlign w:val="center"/>
          </w:tcPr>
          <w:p w14:paraId="142CCEEA">
            <w:pPr>
              <w:spacing w:line="360" w:lineRule="auto"/>
              <w:rPr>
                <w:rFonts w:ascii="宋体" w:hAnsi="宋体" w:cs="宋体"/>
                <w:color w:val="auto"/>
                <w:szCs w:val="21"/>
                <w:highlight w:val="none"/>
              </w:rPr>
            </w:pPr>
            <w:r>
              <w:rPr>
                <w:rFonts w:hint="eastAsia" w:ascii="宋体" w:hAnsi="宋体" w:cs="宋体"/>
                <w:color w:val="auto"/>
                <w:szCs w:val="21"/>
                <w:highlight w:val="none"/>
              </w:rPr>
              <w:t>综合评分法中的价格分统一采用低价优先法计算，即满足采购文件要求（通过资格性和符合性审查）且响应报价最低的有效响应报价为评审基准价，其价格分为满分。其他供应商的价格分统一按照下列公式计算：</w:t>
            </w:r>
          </w:p>
          <w:p w14:paraId="73089FA0">
            <w:pPr>
              <w:pStyle w:val="47"/>
              <w:spacing w:line="360" w:lineRule="auto"/>
              <w:ind w:firstLine="0" w:firstLineChars="0"/>
              <w:rPr>
                <w:rFonts w:cs="宋体"/>
                <w:color w:val="auto"/>
                <w:szCs w:val="21"/>
                <w:highlight w:val="none"/>
              </w:rPr>
            </w:pPr>
            <w:r>
              <w:rPr>
                <w:rFonts w:hint="eastAsia"/>
                <w:color w:val="auto"/>
                <w:highlight w:val="none"/>
              </w:rPr>
              <w:t>响应报价</w:t>
            </w:r>
            <w:r>
              <w:rPr>
                <w:color w:val="auto"/>
                <w:highlight w:val="none"/>
              </w:rPr>
              <w:t>得分=（评标基准价/</w:t>
            </w:r>
            <w:r>
              <w:rPr>
                <w:rFonts w:hint="eastAsia"/>
                <w:color w:val="auto"/>
                <w:highlight w:val="none"/>
              </w:rPr>
              <w:t>响应报价</w:t>
            </w:r>
            <w:r>
              <w:rPr>
                <w:color w:val="auto"/>
                <w:highlight w:val="none"/>
              </w:rPr>
              <w:t>）×价格分分值</w:t>
            </w:r>
          </w:p>
          <w:p w14:paraId="714BEB74">
            <w:pPr>
              <w:pStyle w:val="47"/>
              <w:spacing w:line="360" w:lineRule="auto"/>
              <w:ind w:firstLine="0" w:firstLineChars="0"/>
              <w:rPr>
                <w:rFonts w:cs="宋体"/>
                <w:color w:val="auto"/>
                <w:szCs w:val="21"/>
                <w:highlight w:val="none"/>
              </w:rPr>
            </w:pPr>
            <w:r>
              <w:rPr>
                <w:rFonts w:hint="eastAsia" w:cs="宋体"/>
                <w:color w:val="auto"/>
                <w:szCs w:val="21"/>
                <w:highlight w:val="none"/>
              </w:rPr>
              <w:t>因落实政府采购政策进行价格调整的，以调整后的价格计算评标基准价和响应报价。</w:t>
            </w:r>
          </w:p>
        </w:tc>
        <w:tc>
          <w:tcPr>
            <w:tcW w:w="1056" w:type="dxa"/>
            <w:tcBorders>
              <w:bottom w:val="single" w:color="auto" w:sz="4" w:space="0"/>
            </w:tcBorders>
            <w:vAlign w:val="center"/>
          </w:tcPr>
          <w:p w14:paraId="4782BBD2">
            <w:pPr>
              <w:jc w:val="center"/>
              <w:rPr>
                <w:rFonts w:ascii="宋体" w:hAnsi="宋体" w:cs="宋体"/>
                <w:color w:val="auto"/>
                <w:szCs w:val="21"/>
                <w:highlight w:val="none"/>
              </w:rPr>
            </w:pPr>
            <w:r>
              <w:rPr>
                <w:rFonts w:hint="eastAsia" w:ascii="宋体" w:hAnsi="宋体" w:cs="宋体"/>
                <w:color w:val="auto"/>
                <w:szCs w:val="21"/>
                <w:highlight w:val="none"/>
              </w:rPr>
              <w:t>30</w:t>
            </w:r>
          </w:p>
        </w:tc>
      </w:tr>
      <w:tr w14:paraId="3753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8519" w:type="dxa"/>
            <w:gridSpan w:val="4"/>
            <w:tcBorders>
              <w:top w:val="single" w:color="auto" w:sz="4" w:space="0"/>
              <w:left w:val="nil"/>
              <w:bottom w:val="nil"/>
              <w:right w:val="nil"/>
            </w:tcBorders>
            <w:vAlign w:val="center"/>
          </w:tcPr>
          <w:p w14:paraId="60016D99">
            <w:pPr>
              <w:spacing w:line="360" w:lineRule="auto"/>
              <w:rPr>
                <w:rFonts w:ascii="宋体" w:hAnsi="宋体" w:cs="宋体"/>
                <w:color w:val="auto"/>
                <w:szCs w:val="21"/>
                <w:highlight w:val="none"/>
              </w:rPr>
            </w:pPr>
            <w:r>
              <w:rPr>
                <w:rFonts w:hint="eastAsia" w:ascii="宋体" w:hAnsi="宋体" w:cs="宋体"/>
                <w:color w:val="auto"/>
                <w:szCs w:val="21"/>
                <w:highlight w:val="none"/>
              </w:rPr>
              <w:t>说明：本项目如果“属于专门面向中小企业采购的项目”，将无需进行价格扣除；如果“不属于专门面向中小企业采购的项目”，将可以进行价格扣除，未明确的情形视为“不属于专门面向中小企业采购的项目”。</w:t>
            </w:r>
          </w:p>
        </w:tc>
      </w:tr>
      <w:bookmarkEnd w:id="59"/>
      <w:bookmarkEnd w:id="60"/>
      <w:bookmarkEnd w:id="61"/>
    </w:tbl>
    <w:p w14:paraId="1CB19053">
      <w:pPr>
        <w:spacing w:line="360" w:lineRule="auto"/>
        <w:ind w:firstLine="1044"/>
        <w:jc w:val="center"/>
        <w:outlineLvl w:val="0"/>
        <w:rPr>
          <w:rFonts w:ascii="宋体" w:hAnsi="宋体"/>
          <w:color w:val="auto"/>
          <w:kern w:val="44"/>
          <w:sz w:val="52"/>
          <w:szCs w:val="44"/>
          <w:highlight w:val="none"/>
        </w:rPr>
      </w:pPr>
      <w:bookmarkStart w:id="67" w:name="_Toc38619200"/>
      <w:bookmarkStart w:id="68" w:name="_Toc276645573"/>
      <w:bookmarkStart w:id="69" w:name="_Toc36226335"/>
      <w:bookmarkStart w:id="70" w:name="_Toc37250521"/>
      <w:r>
        <w:rPr>
          <w:rFonts w:ascii="宋体" w:hAnsi="宋体" w:cs="Cambria Math"/>
          <w:color w:val="auto"/>
          <w:sz w:val="52"/>
          <w:szCs w:val="52"/>
          <w:highlight w:val="none"/>
        </w:rPr>
        <w:br w:type="page"/>
      </w:r>
      <w:bookmarkStart w:id="71" w:name="_Toc70528438"/>
      <w:bookmarkStart w:id="72" w:name="_Toc24823"/>
      <w:bookmarkStart w:id="73" w:name="_Toc4721"/>
      <w:bookmarkStart w:id="74" w:name="_Toc22901"/>
      <w:bookmarkStart w:id="75" w:name="_Toc31873"/>
      <w:bookmarkStart w:id="76" w:name="_Toc32314"/>
      <w:bookmarkStart w:id="77" w:name="_Toc23614"/>
      <w:bookmarkStart w:id="78" w:name="_Toc4200"/>
      <w:bookmarkStart w:id="79" w:name="_Toc67046850"/>
      <w:bookmarkStart w:id="80" w:name="_Toc68789513"/>
      <w:bookmarkStart w:id="81" w:name="_Toc9637"/>
      <w:bookmarkStart w:id="82" w:name="_Toc70528476"/>
      <w:r>
        <w:rPr>
          <w:rFonts w:hint="eastAsia" w:ascii="宋体" w:hAnsi="宋体"/>
          <w:b/>
          <w:bCs/>
          <w:color w:val="auto"/>
          <w:kern w:val="44"/>
          <w:sz w:val="36"/>
          <w:szCs w:val="36"/>
          <w:highlight w:val="none"/>
        </w:rPr>
        <w:t>第三部分 供应商须知</w:t>
      </w:r>
      <w:bookmarkEnd w:id="71"/>
      <w:bookmarkEnd w:id="72"/>
      <w:bookmarkEnd w:id="73"/>
      <w:bookmarkEnd w:id="74"/>
      <w:bookmarkEnd w:id="75"/>
      <w:bookmarkEnd w:id="76"/>
      <w:bookmarkEnd w:id="77"/>
      <w:bookmarkEnd w:id="78"/>
      <w:bookmarkEnd w:id="79"/>
      <w:bookmarkEnd w:id="80"/>
      <w:bookmarkEnd w:id="81"/>
      <w:bookmarkEnd w:id="82"/>
    </w:p>
    <w:bookmarkEnd w:id="67"/>
    <w:bookmarkEnd w:id="68"/>
    <w:bookmarkEnd w:id="69"/>
    <w:bookmarkEnd w:id="70"/>
    <w:p w14:paraId="02F41152">
      <w:pPr>
        <w:pStyle w:val="5"/>
        <w:spacing w:before="40" w:after="40" w:line="360" w:lineRule="auto"/>
        <w:ind w:firstLine="560"/>
        <w:rPr>
          <w:rFonts w:ascii="宋体" w:hAnsi="宋体" w:eastAsia="宋体"/>
          <w:color w:val="auto"/>
          <w:sz w:val="28"/>
          <w:szCs w:val="28"/>
          <w:highlight w:val="none"/>
        </w:rPr>
      </w:pPr>
      <w:bookmarkStart w:id="83" w:name="_Toc6407"/>
      <w:bookmarkStart w:id="84" w:name="_Toc70528439"/>
      <w:bookmarkStart w:id="85" w:name="_Toc462677182"/>
      <w:bookmarkStart w:id="86" w:name="_Toc10203"/>
      <w:bookmarkStart w:id="87" w:name="_Toc24389"/>
      <w:bookmarkStart w:id="88" w:name="_Toc5344"/>
      <w:bookmarkStart w:id="89" w:name="_Toc30331"/>
      <w:bookmarkStart w:id="90" w:name="_Toc26728"/>
      <w:bookmarkStart w:id="91" w:name="_Toc67046851"/>
      <w:bookmarkStart w:id="92" w:name="_Toc1087"/>
      <w:bookmarkStart w:id="93" w:name="_Toc68789514"/>
      <w:bookmarkStart w:id="94" w:name="_Toc11101"/>
      <w:bookmarkStart w:id="95" w:name="_Toc259090934"/>
      <w:bookmarkStart w:id="96" w:name="_Toc276645574"/>
      <w:r>
        <w:rPr>
          <w:rFonts w:hint="eastAsia" w:ascii="宋体" w:hAnsi="宋体" w:eastAsia="宋体"/>
          <w:color w:val="auto"/>
          <w:sz w:val="28"/>
          <w:szCs w:val="28"/>
          <w:highlight w:val="none"/>
        </w:rPr>
        <w:t>一、说  明</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Start w:id="97" w:name="_Toc50864444"/>
      <w:bookmarkStart w:id="98" w:name="_Toc35342046"/>
    </w:p>
    <w:p w14:paraId="5BE75F10">
      <w:pPr>
        <w:pStyle w:val="4"/>
        <w:spacing w:before="100" w:line="360" w:lineRule="auto"/>
        <w:ind w:firstLine="480"/>
        <w:rPr>
          <w:rFonts w:ascii="宋体" w:hAnsi="宋体" w:eastAsia="宋体"/>
          <w:color w:val="auto"/>
          <w:sz w:val="24"/>
          <w:szCs w:val="24"/>
          <w:highlight w:val="none"/>
        </w:rPr>
      </w:pPr>
      <w:bookmarkStart w:id="99" w:name="_Toc462677183"/>
      <w:bookmarkStart w:id="100" w:name="_Toc259090935"/>
      <w:bookmarkStart w:id="101" w:name="_Toc67046852"/>
      <w:bookmarkStart w:id="102" w:name="_Toc6322236"/>
      <w:r>
        <w:rPr>
          <w:rFonts w:hint="eastAsia" w:ascii="宋体" w:hAnsi="宋体" w:eastAsia="宋体"/>
          <w:color w:val="auto"/>
          <w:sz w:val="24"/>
          <w:szCs w:val="24"/>
          <w:highlight w:val="none"/>
        </w:rPr>
        <w:t>1．适用范围</w:t>
      </w:r>
      <w:bookmarkEnd w:id="99"/>
      <w:bookmarkEnd w:id="100"/>
      <w:bookmarkEnd w:id="101"/>
      <w:bookmarkEnd w:id="102"/>
    </w:p>
    <w:p w14:paraId="305AA39C">
      <w:pPr>
        <w:pStyle w:val="25"/>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1.1本采购文件适用于《供应商须知前附表》所述项目的政府采购。</w:t>
      </w:r>
    </w:p>
    <w:p w14:paraId="47DD6E81">
      <w:pPr>
        <w:pStyle w:val="4"/>
        <w:spacing w:before="100" w:line="360" w:lineRule="auto"/>
        <w:ind w:firstLine="480"/>
        <w:rPr>
          <w:rFonts w:ascii="宋体" w:hAnsi="宋体" w:eastAsia="宋体"/>
          <w:color w:val="auto"/>
          <w:sz w:val="24"/>
          <w:szCs w:val="24"/>
          <w:highlight w:val="none"/>
        </w:rPr>
      </w:pPr>
      <w:bookmarkStart w:id="103" w:name="_Toc6322237"/>
      <w:bookmarkStart w:id="104" w:name="_Toc67046853"/>
      <w:bookmarkStart w:id="105" w:name="_Toc259090936"/>
      <w:bookmarkStart w:id="106" w:name="_Toc462677184"/>
      <w:bookmarkStart w:id="107" w:name="_Toc259090938"/>
      <w:bookmarkStart w:id="108" w:name="_Toc462677185"/>
      <w:bookmarkStart w:id="109" w:name="_Toc6322238"/>
      <w:r>
        <w:rPr>
          <w:rFonts w:hint="eastAsia" w:ascii="宋体" w:hAnsi="宋体" w:eastAsia="宋体"/>
          <w:color w:val="auto"/>
          <w:sz w:val="24"/>
          <w:szCs w:val="24"/>
          <w:highlight w:val="none"/>
        </w:rPr>
        <w:t>2．定义</w:t>
      </w:r>
      <w:bookmarkEnd w:id="103"/>
      <w:bookmarkEnd w:id="104"/>
      <w:bookmarkEnd w:id="105"/>
      <w:bookmarkEnd w:id="106"/>
    </w:p>
    <w:p w14:paraId="2A9288EA">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2.1“采购人”是指《供应商须知前附表》列明的、获得资金的国家机关、事业单位、团体组织。</w:t>
      </w:r>
    </w:p>
    <w:p w14:paraId="2396BE53">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2.2“监管部门”是指：同级财政部门。</w:t>
      </w:r>
    </w:p>
    <w:p w14:paraId="02960E37">
      <w:pPr>
        <w:pStyle w:val="25"/>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2.3“采购代理机构”是指：公诚管理咨询有限公司。</w:t>
      </w:r>
    </w:p>
    <w:p w14:paraId="0C7EAC64">
      <w:pPr>
        <w:pStyle w:val="25"/>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2.4“采购单位”是指：采购人和采购代理机构。</w:t>
      </w:r>
    </w:p>
    <w:p w14:paraId="7DD2D7B9">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2.5“供应商/供应商”是指：向采购人提供货物、工程、服务的法人、其它组织或者自然人。</w:t>
      </w:r>
    </w:p>
    <w:p w14:paraId="483766D7">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2.6 “货物”是指：各种形态和种类的物品，包括原材料、燃料、设备、产品等。</w:t>
      </w:r>
    </w:p>
    <w:p w14:paraId="5D587CA8">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“工程”是指：建设工程，包括建筑物和构筑物的新建、改建、扩建、装修、拆除、修缮等。</w:t>
      </w:r>
    </w:p>
    <w:p w14:paraId="7C3E40F1">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“服务”是指：货物和工程以外的其它政府采购对象，</w:t>
      </w:r>
      <w:r>
        <w:rPr>
          <w:rFonts w:ascii="宋体" w:hAnsi="宋体" w:eastAsia="宋体" w:cs="宋体"/>
          <w:color w:val="auto"/>
          <w:szCs w:val="24"/>
          <w:highlight w:val="none"/>
        </w:rPr>
        <w:t>包括政府自身需要的服务和政府向社</w:t>
      </w:r>
    </w:p>
    <w:p w14:paraId="3975426B">
      <w:pPr>
        <w:pStyle w:val="25"/>
        <w:adjustRightInd w:val="0"/>
        <w:snapToGrid w:val="0"/>
        <w:spacing w:line="360" w:lineRule="auto"/>
        <w:ind w:left="420" w:hanging="420" w:hangingChars="200"/>
        <w:rPr>
          <w:rFonts w:ascii="宋体" w:hAnsi="宋体" w:eastAsia="宋体" w:cs="宋体"/>
          <w:color w:val="auto"/>
          <w:szCs w:val="24"/>
          <w:highlight w:val="none"/>
        </w:rPr>
      </w:pPr>
      <w:r>
        <w:rPr>
          <w:rFonts w:ascii="宋体" w:hAnsi="宋体" w:eastAsia="宋体" w:cs="宋体"/>
          <w:color w:val="auto"/>
          <w:szCs w:val="24"/>
          <w:highlight w:val="none"/>
        </w:rPr>
        <w:t>会公众提供的公共服务。</w:t>
      </w:r>
    </w:p>
    <w:p w14:paraId="2C1AF3D4">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2.7 合格的供应商</w:t>
      </w:r>
    </w:p>
    <w:p w14:paraId="5243050E">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2.7.1 具备《中华人民共和国政府采购法》第二十二条规定的条件。</w:t>
      </w:r>
    </w:p>
    <w:p w14:paraId="5DDBB855">
      <w:pPr>
        <w:pStyle w:val="25"/>
        <w:numPr>
          <w:ilvl w:val="0"/>
          <w:numId w:val="1"/>
        </w:numPr>
        <w:tabs>
          <w:tab w:val="left" w:pos="360"/>
        </w:tabs>
        <w:adjustRightInd w:val="0"/>
        <w:snapToGrid w:val="0"/>
        <w:spacing w:line="360" w:lineRule="auto"/>
        <w:ind w:firstLine="630" w:firstLineChars="300"/>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具有独立承担民事责任的能力；</w:t>
      </w:r>
    </w:p>
    <w:p w14:paraId="66BACF1F">
      <w:pPr>
        <w:pStyle w:val="25"/>
        <w:numPr>
          <w:ilvl w:val="0"/>
          <w:numId w:val="1"/>
        </w:numPr>
        <w:tabs>
          <w:tab w:val="left" w:pos="360"/>
        </w:tabs>
        <w:adjustRightInd w:val="0"/>
        <w:snapToGrid w:val="0"/>
        <w:spacing w:line="360" w:lineRule="auto"/>
        <w:ind w:firstLine="630" w:firstLineChars="300"/>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具有良好的商业信誉和健全的财务会计制度；</w:t>
      </w:r>
      <w:r>
        <w:rPr>
          <w:rFonts w:ascii="宋体" w:hAnsi="宋体" w:eastAsia="宋体" w:cs="宋体"/>
          <w:snapToGrid w:val="0"/>
          <w:color w:val="auto"/>
          <w:kern w:val="0"/>
          <w:highlight w:val="none"/>
        </w:rPr>
        <w:t xml:space="preserve"> </w:t>
      </w:r>
    </w:p>
    <w:p w14:paraId="72B83F22">
      <w:pPr>
        <w:pStyle w:val="25"/>
        <w:numPr>
          <w:ilvl w:val="0"/>
          <w:numId w:val="1"/>
        </w:numPr>
        <w:tabs>
          <w:tab w:val="left" w:pos="360"/>
        </w:tabs>
        <w:adjustRightInd w:val="0"/>
        <w:snapToGrid w:val="0"/>
        <w:spacing w:line="360" w:lineRule="auto"/>
        <w:ind w:firstLine="630" w:firstLineChars="300"/>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具有履行合同所必需的设备和专业技术能力；</w:t>
      </w:r>
      <w:r>
        <w:rPr>
          <w:rFonts w:ascii="宋体" w:hAnsi="宋体" w:eastAsia="宋体" w:cs="宋体"/>
          <w:snapToGrid w:val="0"/>
          <w:color w:val="auto"/>
          <w:kern w:val="0"/>
          <w:highlight w:val="none"/>
        </w:rPr>
        <w:t xml:space="preserve"> </w:t>
      </w:r>
    </w:p>
    <w:p w14:paraId="046FA9A0">
      <w:pPr>
        <w:pStyle w:val="25"/>
        <w:numPr>
          <w:ilvl w:val="0"/>
          <w:numId w:val="1"/>
        </w:numPr>
        <w:tabs>
          <w:tab w:val="left" w:pos="360"/>
        </w:tabs>
        <w:adjustRightInd w:val="0"/>
        <w:snapToGrid w:val="0"/>
        <w:spacing w:line="360" w:lineRule="auto"/>
        <w:ind w:firstLine="630" w:firstLineChars="300"/>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有依法缴纳税收和社会保障资金的良好记录；</w:t>
      </w:r>
      <w:r>
        <w:rPr>
          <w:rFonts w:ascii="宋体" w:hAnsi="宋体" w:eastAsia="宋体" w:cs="宋体"/>
          <w:snapToGrid w:val="0"/>
          <w:color w:val="auto"/>
          <w:kern w:val="0"/>
          <w:highlight w:val="none"/>
        </w:rPr>
        <w:t xml:space="preserve"> </w:t>
      </w:r>
    </w:p>
    <w:p w14:paraId="35F8B5ED">
      <w:pPr>
        <w:pStyle w:val="25"/>
        <w:numPr>
          <w:ilvl w:val="0"/>
          <w:numId w:val="1"/>
        </w:numPr>
        <w:tabs>
          <w:tab w:val="left" w:pos="360"/>
        </w:tabs>
        <w:adjustRightInd w:val="0"/>
        <w:snapToGrid w:val="0"/>
        <w:spacing w:line="360" w:lineRule="auto"/>
        <w:ind w:firstLine="630" w:firstLineChars="300"/>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参加政府采购活动前三年内，在经营活动中没有重大违法记录；</w:t>
      </w:r>
      <w:r>
        <w:rPr>
          <w:rFonts w:ascii="宋体" w:hAnsi="宋体" w:eastAsia="宋体" w:cs="宋体"/>
          <w:snapToGrid w:val="0"/>
          <w:color w:val="auto"/>
          <w:kern w:val="0"/>
          <w:highlight w:val="none"/>
        </w:rPr>
        <w:t xml:space="preserve"> </w:t>
      </w:r>
    </w:p>
    <w:p w14:paraId="59206FE9">
      <w:pPr>
        <w:pStyle w:val="25"/>
        <w:tabs>
          <w:tab w:val="left" w:pos="360"/>
        </w:tabs>
        <w:adjustRightInd w:val="0"/>
        <w:snapToGrid w:val="0"/>
        <w:spacing w:line="360" w:lineRule="auto"/>
        <w:ind w:firstLine="630" w:firstLineChars="300"/>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6） 符合法律、行政法规规定的其他条件。</w:t>
      </w:r>
    </w:p>
    <w:p w14:paraId="31E95F9C">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2.7.2 符合第一部分《磋商</w:t>
      </w:r>
      <w:r>
        <w:rPr>
          <w:rFonts w:hint="eastAsia" w:ascii="宋体" w:hAnsi="宋体"/>
          <w:color w:val="auto"/>
          <w:highlight w:val="none"/>
        </w:rPr>
        <w:t>邀请</w:t>
      </w:r>
      <w:r>
        <w:rPr>
          <w:rFonts w:hint="eastAsia" w:ascii="宋体" w:hAnsi="宋体" w:eastAsia="宋体" w:cs="宋体"/>
          <w:color w:val="auto"/>
          <w:szCs w:val="24"/>
          <w:highlight w:val="none"/>
        </w:rPr>
        <w:t>》“供应商资格要求”所列特殊条款。</w:t>
      </w:r>
    </w:p>
    <w:p w14:paraId="5D81BEC7">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2.7.3 本项目是否接受联合体投标，以第一部分《磋商</w:t>
      </w:r>
      <w:r>
        <w:rPr>
          <w:rFonts w:hint="eastAsia" w:ascii="宋体" w:hAnsi="宋体"/>
          <w:color w:val="auto"/>
          <w:highlight w:val="none"/>
        </w:rPr>
        <w:t>邀请</w:t>
      </w:r>
      <w:r>
        <w:rPr>
          <w:rFonts w:hint="eastAsia" w:ascii="宋体" w:hAnsi="宋体" w:eastAsia="宋体" w:cs="宋体"/>
          <w:color w:val="auto"/>
          <w:szCs w:val="24"/>
          <w:highlight w:val="none"/>
        </w:rPr>
        <w:t>》“供应商资格要求”约定为准。如果接受联合体投标的，联合体各方均应当符合《中华人民共和国政府采购法》第二十二条规定的条件；采购人根据采购项目的特殊要求规定供应商特定条件的，联合体各方中应当至少有一方符合采购人规定的特定条件；联合体各方之间应当签订共同投标协议，明确约定联合体各方承担的工作和相应的责任，并将共同投标协议附于响应文件中；签订共同投标协议后，联合体各方不得再单独参加或者与其他供应商另外组成联合体参加同一合同项下的政府采购活动；联合体各方应当共同与采购人签订采购合同，就采购合同约定的事项对采购人承担连带责任。</w:t>
      </w:r>
    </w:p>
    <w:p w14:paraId="6795003A">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2.7.4 不允许参加本项目投标的情形，一经发现将均作无效投标处理：</w:t>
      </w:r>
    </w:p>
    <w:p w14:paraId="422F23EE">
      <w:pPr>
        <w:pStyle w:val="25"/>
        <w:numPr>
          <w:ilvl w:val="0"/>
          <w:numId w:val="3"/>
        </w:numPr>
        <w:tabs>
          <w:tab w:val="left" w:pos="360"/>
        </w:tabs>
        <w:adjustRightInd w:val="0"/>
        <w:snapToGrid w:val="0"/>
        <w:spacing w:line="360" w:lineRule="auto"/>
        <w:ind w:left="1030" w:leftChars="342" w:hanging="312" w:hangingChars="149"/>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除联合体外，两家或以上供应商有如下情况之一的，不得同时参加本项目投标（若有多个包组，则为同一包组）：a.单位负责人为同一人的；b.存在直接控股或管理关系的。</w:t>
      </w:r>
    </w:p>
    <w:p w14:paraId="634D8C4C">
      <w:pPr>
        <w:pStyle w:val="25"/>
        <w:numPr>
          <w:ilvl w:val="0"/>
          <w:numId w:val="3"/>
        </w:numPr>
        <w:tabs>
          <w:tab w:val="left" w:pos="360"/>
        </w:tabs>
        <w:adjustRightInd w:val="0"/>
        <w:snapToGrid w:val="0"/>
        <w:spacing w:line="360" w:lineRule="auto"/>
        <w:ind w:left="1030" w:leftChars="342" w:hanging="312" w:hangingChars="149"/>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为本采购项目提供整体设计、规范编制或者项目管理、监理、检测等服务的供应商，不得再参加本项目投标；</w:t>
      </w:r>
    </w:p>
    <w:p w14:paraId="0D880813">
      <w:pPr>
        <w:pStyle w:val="25"/>
        <w:tabs>
          <w:tab w:val="left" w:pos="360"/>
        </w:tabs>
        <w:adjustRightInd w:val="0"/>
        <w:snapToGrid w:val="0"/>
        <w:spacing w:line="360" w:lineRule="auto"/>
        <w:ind w:firstLine="420" w:firstLineChars="200"/>
        <w:rPr>
          <w:rFonts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目前处于</w:t>
      </w:r>
      <w:r>
        <w:rPr>
          <w:rFonts w:ascii="宋体" w:hAnsi="宋体" w:eastAsia="宋体" w:cs="宋体"/>
          <w:snapToGrid w:val="0"/>
          <w:color w:val="auto"/>
          <w:kern w:val="0"/>
          <w:highlight w:val="none"/>
        </w:rPr>
        <w:t>被</w:t>
      </w:r>
      <w:r>
        <w:rPr>
          <w:rFonts w:hint="eastAsia" w:ascii="宋体" w:hAnsi="宋体" w:eastAsia="宋体" w:cs="宋体"/>
          <w:snapToGrid w:val="0"/>
          <w:color w:val="auto"/>
          <w:kern w:val="0"/>
          <w:highlight w:val="none"/>
        </w:rPr>
        <w:t>政府采购监管部门</w:t>
      </w:r>
      <w:r>
        <w:rPr>
          <w:rFonts w:ascii="宋体" w:hAnsi="宋体" w:eastAsia="宋体" w:cs="宋体"/>
          <w:snapToGrid w:val="0"/>
          <w:color w:val="auto"/>
          <w:kern w:val="0"/>
          <w:highlight w:val="none"/>
        </w:rPr>
        <w:t>禁止参加政府采购活动</w:t>
      </w:r>
      <w:r>
        <w:rPr>
          <w:rFonts w:hint="eastAsia" w:ascii="宋体" w:hAnsi="宋体" w:eastAsia="宋体" w:cs="宋体"/>
          <w:snapToGrid w:val="0"/>
          <w:color w:val="auto"/>
          <w:kern w:val="0"/>
          <w:highlight w:val="none"/>
        </w:rPr>
        <w:t>的状态，不得再参加本项目投标。</w:t>
      </w:r>
    </w:p>
    <w:p w14:paraId="1122554B">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2.8 合格的货物或服务</w:t>
      </w:r>
    </w:p>
    <w:p w14:paraId="2AFDB46C">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2.8.1 供应商提供所有货物必须是全新的、未使用过的货物。</w:t>
      </w:r>
    </w:p>
    <w:p w14:paraId="71D8828E">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2.8.2 国产的货物及其有关服务必须符合中华人民共和国的设计和制造生产或行业标准。</w:t>
      </w:r>
    </w:p>
    <w:p w14:paraId="3052EF21">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2.8.3 进口的货物及其配套服务必须符合原产地和/或中华人民共和国的设计和制造生产或行业标准，具有合法的进口手续和途径，并通过了进口检验检疫主管部门的检验。</w:t>
      </w:r>
    </w:p>
    <w:p w14:paraId="7050CEC6">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2.8.4 供应商应保证，采购人在中华人民共和国使用该货物或货物的任何一部分时，免受第三方提出的侵犯其专利权、商标权、著作权或其它知识产权的起诉。</w:t>
      </w:r>
    </w:p>
    <w:p w14:paraId="0E61DE07">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2.8.5 除非本采购文件明确约定允许供应商选用进口产品投标，否则均视为拒绝选用进口产品投标。允许选用进口产品投标的，供应商也可以选用符合要求的国产产品投标。</w:t>
      </w:r>
    </w:p>
    <w:p w14:paraId="782F249A">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2.8.6 本次采购的货物中，有列入国家最新一期“节能产品政府采购清单”且属于政府强制采购节能产品范围的，供应商应选用清单内产品投标，并提供相关清单目录；清单中无对应细化分类且节能清单中的产品确实无法满足采购需求的，方允许选用清单之外产品投标。</w:t>
      </w:r>
    </w:p>
    <w:p w14:paraId="01FAE3C3">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2.8.7 满足《用户需求书》所列其它要求。</w:t>
      </w:r>
    </w:p>
    <w:p w14:paraId="747B793A">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2.9 合格的服务：满足《用户需求书》所列要求。</w:t>
      </w:r>
    </w:p>
    <w:p w14:paraId="0910F38B">
      <w:pPr>
        <w:pStyle w:val="25"/>
        <w:adjustRightInd w:val="0"/>
        <w:snapToGrid w:val="0"/>
        <w:spacing w:line="360" w:lineRule="auto"/>
        <w:ind w:left="420" w:hanging="420" w:hangingChars="200"/>
        <w:rPr>
          <w:rFonts w:ascii="宋体" w:hAnsi="宋体" w:eastAsia="宋体" w:cs="宋体"/>
          <w:color w:val="auto"/>
          <w:szCs w:val="24"/>
          <w:highlight w:val="none"/>
        </w:rPr>
      </w:pPr>
      <w:r>
        <w:rPr>
          <w:rFonts w:hint="eastAsia" w:ascii="宋体" w:hAnsi="宋体" w:eastAsia="宋体" w:cs="宋体"/>
          <w:color w:val="auto"/>
          <w:szCs w:val="24"/>
          <w:highlight w:val="none"/>
        </w:rPr>
        <w:t>2.10 “成交供应商”是指经法定程序确定并授予合同的供应商。</w:t>
      </w:r>
    </w:p>
    <w:p w14:paraId="29CB48C9">
      <w:pPr>
        <w:pStyle w:val="4"/>
        <w:spacing w:before="100" w:line="360" w:lineRule="auto"/>
        <w:ind w:firstLine="480"/>
        <w:rPr>
          <w:rFonts w:ascii="宋体" w:hAnsi="宋体" w:eastAsia="宋体"/>
          <w:color w:val="auto"/>
          <w:sz w:val="24"/>
          <w:szCs w:val="24"/>
          <w:highlight w:val="none"/>
        </w:rPr>
      </w:pPr>
      <w:bookmarkStart w:id="110" w:name="_Toc67046854"/>
      <w:r>
        <w:rPr>
          <w:rFonts w:hint="eastAsia" w:ascii="宋体" w:hAnsi="宋体" w:eastAsia="宋体"/>
          <w:color w:val="auto"/>
          <w:sz w:val="24"/>
          <w:szCs w:val="24"/>
          <w:highlight w:val="none"/>
        </w:rPr>
        <w:t>3．投标费用</w:t>
      </w:r>
      <w:bookmarkEnd w:id="107"/>
      <w:bookmarkEnd w:id="108"/>
      <w:bookmarkEnd w:id="109"/>
      <w:bookmarkEnd w:id="110"/>
    </w:p>
    <w:p w14:paraId="1E23AC24">
      <w:pPr>
        <w:pStyle w:val="25"/>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3.1 </w:t>
      </w:r>
      <w:r>
        <w:rPr>
          <w:rFonts w:hint="eastAsia" w:ascii="宋体" w:eastAsia="宋体"/>
          <w:color w:val="auto"/>
          <w:highlight w:val="none"/>
        </w:rPr>
        <w:t>响应</w:t>
      </w:r>
      <w:r>
        <w:rPr>
          <w:rFonts w:hint="eastAsia" w:ascii="宋体" w:hAnsi="宋体" w:eastAsia="宋体" w:cs="宋体"/>
          <w:color w:val="auto"/>
          <w:highlight w:val="none"/>
        </w:rPr>
        <w:t>供应商</w:t>
      </w:r>
      <w:r>
        <w:rPr>
          <w:rFonts w:hint="eastAsia" w:ascii="宋体"/>
          <w:color w:val="auto"/>
          <w:highlight w:val="none"/>
        </w:rPr>
        <w:t>须承担所有与</w:t>
      </w:r>
      <w:r>
        <w:rPr>
          <w:rFonts w:hint="eastAsia" w:ascii="宋体" w:eastAsia="宋体"/>
          <w:color w:val="auto"/>
          <w:highlight w:val="none"/>
        </w:rPr>
        <w:t>采购响应</w:t>
      </w:r>
      <w:r>
        <w:rPr>
          <w:rFonts w:hint="eastAsia" w:ascii="宋体"/>
          <w:color w:val="auto"/>
          <w:highlight w:val="none"/>
        </w:rPr>
        <w:t>有关的自身费用，包括但不限于本</w:t>
      </w:r>
      <w:r>
        <w:rPr>
          <w:rFonts w:hint="eastAsia" w:ascii="宋体" w:eastAsia="宋体"/>
          <w:color w:val="auto"/>
          <w:highlight w:val="none"/>
        </w:rPr>
        <w:t>采购文件</w:t>
      </w:r>
      <w:r>
        <w:rPr>
          <w:rFonts w:hint="eastAsia" w:ascii="宋体"/>
          <w:color w:val="auto"/>
          <w:highlight w:val="none"/>
        </w:rPr>
        <w:t>工本费、响应文件准备、参与投标以及投标保证金的费用等。无论投标结果如何，采购代理机构</w:t>
      </w:r>
      <w:r>
        <w:rPr>
          <w:rFonts w:hint="eastAsia" w:ascii="宋体" w:hAnsi="宋体" w:eastAsia="宋体" w:cs="宋体"/>
          <w:color w:val="auto"/>
          <w:szCs w:val="24"/>
          <w:highlight w:val="none"/>
        </w:rPr>
        <w:t>和采购人</w:t>
      </w:r>
      <w:r>
        <w:rPr>
          <w:rFonts w:hint="eastAsia" w:ascii="宋体"/>
          <w:color w:val="auto"/>
          <w:highlight w:val="none"/>
        </w:rPr>
        <w:t>在任何情况下无义务和责任承担或分担这些费用或任何类似费用。</w:t>
      </w:r>
    </w:p>
    <w:p w14:paraId="0F138153">
      <w:pPr>
        <w:pStyle w:val="5"/>
        <w:spacing w:before="40" w:after="40" w:line="360" w:lineRule="auto"/>
        <w:ind w:firstLine="560"/>
        <w:rPr>
          <w:rFonts w:ascii="宋体" w:hAnsi="宋体" w:eastAsia="宋体"/>
          <w:color w:val="auto"/>
          <w:sz w:val="28"/>
          <w:szCs w:val="28"/>
          <w:highlight w:val="none"/>
        </w:rPr>
      </w:pPr>
      <w:bookmarkStart w:id="111" w:name="_Toc11109"/>
      <w:bookmarkStart w:id="112" w:name="_Toc12357"/>
      <w:bookmarkStart w:id="113" w:name="_Toc68789515"/>
      <w:bookmarkStart w:id="114" w:name="_Toc259090939"/>
      <w:bookmarkStart w:id="115" w:name="_Toc462677186"/>
      <w:bookmarkStart w:id="116" w:name="_Toc1466"/>
      <w:bookmarkStart w:id="117" w:name="_Toc67046855"/>
      <w:bookmarkStart w:id="118" w:name="_Toc12220"/>
      <w:bookmarkStart w:id="119" w:name="_Toc29983"/>
      <w:bookmarkStart w:id="120" w:name="_Toc70528440"/>
      <w:bookmarkStart w:id="121" w:name="_Toc22699"/>
      <w:bookmarkStart w:id="122" w:name="_Toc1400"/>
      <w:bookmarkStart w:id="123" w:name="_Toc12136"/>
      <w:r>
        <w:rPr>
          <w:rFonts w:hint="eastAsia" w:ascii="宋体" w:hAnsi="宋体" w:eastAsia="宋体"/>
          <w:color w:val="auto"/>
          <w:sz w:val="28"/>
          <w:szCs w:val="28"/>
          <w:highlight w:val="none"/>
        </w:rPr>
        <w:t>二、</w:t>
      </w:r>
      <w:bookmarkEnd w:id="111"/>
      <w:bookmarkEnd w:id="112"/>
      <w:bookmarkEnd w:id="113"/>
      <w:bookmarkEnd w:id="114"/>
      <w:bookmarkEnd w:id="115"/>
      <w:bookmarkEnd w:id="116"/>
      <w:bookmarkEnd w:id="117"/>
      <w:bookmarkEnd w:id="118"/>
      <w:bookmarkEnd w:id="119"/>
      <w:bookmarkEnd w:id="120"/>
      <w:bookmarkEnd w:id="121"/>
      <w:bookmarkEnd w:id="122"/>
      <w:bookmarkEnd w:id="123"/>
      <w:r>
        <w:rPr>
          <w:rFonts w:hint="eastAsia" w:ascii="宋体" w:hAnsi="宋体" w:eastAsia="宋体"/>
          <w:color w:val="auto"/>
          <w:sz w:val="28"/>
          <w:szCs w:val="28"/>
          <w:highlight w:val="none"/>
        </w:rPr>
        <w:t>采购文件</w:t>
      </w:r>
    </w:p>
    <w:p w14:paraId="4228E369">
      <w:pPr>
        <w:pStyle w:val="4"/>
        <w:spacing w:before="100" w:line="360" w:lineRule="auto"/>
        <w:ind w:firstLine="480"/>
        <w:rPr>
          <w:rFonts w:ascii="宋体" w:hAnsi="宋体" w:eastAsia="宋体"/>
          <w:color w:val="auto"/>
          <w:sz w:val="24"/>
          <w:szCs w:val="24"/>
          <w:highlight w:val="none"/>
        </w:rPr>
      </w:pPr>
      <w:bookmarkStart w:id="124" w:name="_Toc67046856"/>
      <w:bookmarkStart w:id="125" w:name="_Toc462677188"/>
      <w:bookmarkStart w:id="126" w:name="_Toc6322241"/>
      <w:bookmarkStart w:id="127" w:name="_Toc6322240"/>
      <w:bookmarkStart w:id="128" w:name="_Toc259090941"/>
      <w:bookmarkStart w:id="129" w:name="_Toc462677187"/>
      <w:bookmarkStart w:id="130" w:name="_Toc259090940"/>
      <w:r>
        <w:rPr>
          <w:rFonts w:hint="eastAsia" w:ascii="宋体" w:hAnsi="宋体" w:eastAsia="宋体"/>
          <w:color w:val="auto"/>
          <w:sz w:val="24"/>
          <w:szCs w:val="24"/>
          <w:highlight w:val="none"/>
        </w:rPr>
        <w:t>4．采购文件的构成</w:t>
      </w:r>
      <w:bookmarkEnd w:id="124"/>
      <w:bookmarkEnd w:id="125"/>
      <w:bookmarkEnd w:id="126"/>
    </w:p>
    <w:p w14:paraId="3CD7E7EA">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4.1采购文件由下列文件以及在采购过程中发出的修正和补充文件组成：</w:t>
      </w:r>
    </w:p>
    <w:p w14:paraId="2D8267DD">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 磋商邀请</w:t>
      </w:r>
    </w:p>
    <w:p w14:paraId="16DF4163">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 响应资料表</w:t>
      </w:r>
    </w:p>
    <w:p w14:paraId="2E37FC42">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3） 供应商须知</w:t>
      </w:r>
    </w:p>
    <w:p w14:paraId="7C8148BA">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4） 用户需求书</w:t>
      </w:r>
    </w:p>
    <w:p w14:paraId="71B3EB53">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5） 格式文件</w:t>
      </w:r>
    </w:p>
    <w:p w14:paraId="68B421D3">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6） 在采购过程中由采购单位发出的修正和补充文件等</w:t>
      </w:r>
    </w:p>
    <w:p w14:paraId="527B652D">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4.2供应商应认真阅读、并充分理解采购文件的全部内容（包括所有的补充、修改内容、重要事项、格式、条款和技术规范、参数及要求等）。供应商没有按照采购文件要求提交全部资料，或者投标没有对采购文件在各方面都做出实质性响应是供应商的风险，有可能导致其投标被拒绝，或被认定为无效投标或被确定为投标无效。</w:t>
      </w:r>
    </w:p>
    <w:p w14:paraId="7311DA3D">
      <w:pPr>
        <w:pStyle w:val="4"/>
        <w:spacing w:before="100" w:line="360" w:lineRule="auto"/>
        <w:ind w:firstLine="480"/>
        <w:rPr>
          <w:rFonts w:ascii="宋体" w:hAnsi="宋体" w:eastAsia="宋体"/>
          <w:color w:val="auto"/>
          <w:sz w:val="24"/>
          <w:szCs w:val="24"/>
          <w:highlight w:val="none"/>
        </w:rPr>
      </w:pPr>
      <w:bookmarkStart w:id="131" w:name="_Toc67046857"/>
      <w:r>
        <w:rPr>
          <w:rFonts w:hint="eastAsia" w:ascii="宋体" w:hAnsi="宋体" w:eastAsia="宋体"/>
          <w:color w:val="auto"/>
          <w:sz w:val="24"/>
          <w:szCs w:val="24"/>
          <w:highlight w:val="none"/>
        </w:rPr>
        <w:t>5．采购文件的澄清或修改</w:t>
      </w:r>
      <w:bookmarkEnd w:id="127"/>
      <w:bookmarkEnd w:id="128"/>
      <w:bookmarkEnd w:id="129"/>
      <w:bookmarkEnd w:id="131"/>
    </w:p>
    <w:p w14:paraId="214C0C15">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snapToGrid w:val="0"/>
          <w:color w:val="auto"/>
          <w:kern w:val="0"/>
          <w:szCs w:val="24"/>
          <w:highlight w:val="none"/>
        </w:rPr>
        <w:t>5.1采购文件的澄清是指采购人对采购文件中的遗漏、错误、词义表达不清或对比较复杂的事项进行说明，回答供应商提出的各种问题。采购文件的修改是指采购人或采购代理机构对采购文件中出现的错误进行修订。</w:t>
      </w:r>
    </w:p>
    <w:p w14:paraId="3B2EC246">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5.2任何要求对采购文件进行澄清的供应商，均应以书面形式通知采购单位。采购单位对其收到的对采购文件的书面澄清要求均以书面形式予以答复，同时将书面答复发给每个购买采购文件的供应商（答复中不包括问题的来源）。供应商在收到上述答复后，应立即向采购单位回函确认。该答复作为采购文件的一部分，对供应商有约束力。</w:t>
      </w:r>
      <w:r>
        <w:rPr>
          <w:rFonts w:hint="eastAsia" w:ascii="宋体" w:hAnsi="宋体" w:eastAsia="宋体" w:cs="宋体"/>
          <w:color w:val="auto"/>
          <w:highlight w:val="none"/>
        </w:rPr>
        <w:t>如在24小时之内无书面确认则视为同意修改内容，并有责任履行相应的义务。</w:t>
      </w:r>
    </w:p>
    <w:p w14:paraId="2FEE07E6">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5.3采购文件的修改将以书面形式通知所有购买采购文件的供应商，并对其具有约束力。供应商在收到修改通知后，应立即向采购单位回函确认。</w:t>
      </w:r>
    </w:p>
    <w:p w14:paraId="7FC1F236">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5.4采购单位对已发出的采购文件进行必要的澄清或者修改的，应当在采购文件要求提交响应文件截止时间至少十五个日历日前，以书面形式通知所有采购文件收受人，并在财政部门指定的政府采购信息发布媒体上发布更正公告。该修改的内容为采购文件的组成部分。采购人修改采购文件之日起至投标截止期少于十五个日历日的，</w:t>
      </w:r>
      <w:r>
        <w:rPr>
          <w:rFonts w:hint="eastAsia" w:ascii="宋体" w:hAnsi="宋体" w:eastAsia="宋体" w:cs="宋体"/>
          <w:color w:val="auto"/>
          <w:highlight w:val="none"/>
        </w:rPr>
        <w:t>不足十五个日历日的，采购人或者采购代理机构应当顺延提交响应文件的截止时间。</w:t>
      </w:r>
    </w:p>
    <w:p w14:paraId="0AEF2F2A">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5.5采购人或采购代理机构可以视采购具体情况，延长投标截止时间和开标时间，但应并将变更时间书面通知所有采购文件收受人，并在财政部门指定的政府采购信息发布媒体上发布变更信息。</w:t>
      </w:r>
    </w:p>
    <w:bookmarkEnd w:id="130"/>
    <w:p w14:paraId="6842DEE5">
      <w:pPr>
        <w:pStyle w:val="5"/>
        <w:spacing w:before="40" w:after="40" w:line="360" w:lineRule="auto"/>
        <w:ind w:firstLine="560"/>
        <w:rPr>
          <w:rFonts w:ascii="宋体" w:hAnsi="宋体" w:eastAsia="宋体"/>
          <w:color w:val="auto"/>
          <w:sz w:val="28"/>
          <w:szCs w:val="28"/>
          <w:highlight w:val="none"/>
        </w:rPr>
      </w:pPr>
      <w:bookmarkStart w:id="132" w:name="_Toc25260"/>
      <w:bookmarkStart w:id="133" w:name="_Toc28963"/>
      <w:bookmarkStart w:id="134" w:name="_Toc28214"/>
      <w:bookmarkStart w:id="135" w:name="_Toc68789516"/>
      <w:bookmarkStart w:id="136" w:name="_Toc1144"/>
      <w:bookmarkStart w:id="137" w:name="_Toc18845"/>
      <w:bookmarkStart w:id="138" w:name="_Toc23149"/>
      <w:bookmarkStart w:id="139" w:name="_Toc259090942"/>
      <w:bookmarkStart w:id="140" w:name="_Toc19694"/>
      <w:bookmarkStart w:id="141" w:name="_Toc28357"/>
      <w:bookmarkStart w:id="142" w:name="_Toc462677189"/>
      <w:bookmarkStart w:id="143" w:name="_Toc67046858"/>
      <w:bookmarkStart w:id="144" w:name="_Toc70528441"/>
      <w:r>
        <w:rPr>
          <w:rFonts w:hint="eastAsia" w:ascii="宋体" w:hAnsi="宋体" w:eastAsia="宋体"/>
          <w:color w:val="auto"/>
          <w:sz w:val="28"/>
          <w:szCs w:val="28"/>
          <w:highlight w:val="none"/>
        </w:rPr>
        <w:t>三、响应文件的编制</w:t>
      </w:r>
      <w:bookmarkEnd w:id="132"/>
      <w:bookmarkEnd w:id="133"/>
      <w:bookmarkEnd w:id="134"/>
      <w:bookmarkEnd w:id="135"/>
      <w:bookmarkEnd w:id="136"/>
      <w:bookmarkEnd w:id="137"/>
      <w:bookmarkEnd w:id="138"/>
      <w:bookmarkEnd w:id="139"/>
      <w:bookmarkEnd w:id="140"/>
      <w:bookmarkEnd w:id="141"/>
      <w:bookmarkEnd w:id="142"/>
      <w:bookmarkEnd w:id="143"/>
      <w:bookmarkEnd w:id="144"/>
    </w:p>
    <w:p w14:paraId="3C5539F1">
      <w:pPr>
        <w:pStyle w:val="4"/>
        <w:spacing w:before="100" w:line="360" w:lineRule="auto"/>
        <w:ind w:firstLine="480"/>
        <w:rPr>
          <w:rFonts w:ascii="宋体" w:hAnsi="宋体" w:eastAsia="宋体"/>
          <w:color w:val="auto"/>
          <w:sz w:val="24"/>
          <w:szCs w:val="24"/>
          <w:highlight w:val="none"/>
        </w:rPr>
      </w:pPr>
      <w:bookmarkStart w:id="145" w:name="_Toc259090943"/>
      <w:bookmarkStart w:id="146" w:name="_Toc462677190"/>
      <w:bookmarkStart w:id="147" w:name="_Toc6322243"/>
      <w:bookmarkStart w:id="148" w:name="_Toc67046859"/>
      <w:r>
        <w:rPr>
          <w:rFonts w:hint="eastAsia" w:ascii="宋体" w:hAnsi="宋体" w:eastAsia="宋体"/>
          <w:color w:val="auto"/>
          <w:sz w:val="24"/>
          <w:szCs w:val="24"/>
          <w:highlight w:val="none"/>
        </w:rPr>
        <w:t>6．投标的语言</w:t>
      </w:r>
      <w:bookmarkEnd w:id="145"/>
      <w:r>
        <w:rPr>
          <w:rFonts w:hint="eastAsia" w:ascii="宋体" w:hAnsi="宋体" w:eastAsia="宋体"/>
          <w:color w:val="auto"/>
          <w:sz w:val="24"/>
          <w:szCs w:val="24"/>
          <w:highlight w:val="none"/>
        </w:rPr>
        <w:t>及计量</w:t>
      </w:r>
      <w:bookmarkEnd w:id="146"/>
      <w:bookmarkEnd w:id="147"/>
      <w:bookmarkEnd w:id="148"/>
    </w:p>
    <w:p w14:paraId="15D7692D">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6.1供应商提交的响应文件以及供应商与（采购单位）就有关响应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14:paraId="32162F2D">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6.2除非采购文件中另有规定，供应商在响应文件中及其与采购单位的所有往来文件中的计量单位均应采用中华人民共和国法定计量单位。</w:t>
      </w:r>
    </w:p>
    <w:p w14:paraId="67524FCD">
      <w:pPr>
        <w:pStyle w:val="4"/>
        <w:spacing w:before="100" w:line="360" w:lineRule="auto"/>
        <w:ind w:firstLine="480"/>
        <w:rPr>
          <w:rFonts w:ascii="宋体" w:hAnsi="宋体" w:eastAsia="宋体"/>
          <w:color w:val="auto"/>
          <w:sz w:val="24"/>
          <w:szCs w:val="24"/>
          <w:highlight w:val="none"/>
        </w:rPr>
      </w:pPr>
      <w:bookmarkStart w:id="149" w:name="_Toc67046860"/>
      <w:bookmarkStart w:id="150" w:name="_Toc259090944"/>
      <w:bookmarkStart w:id="151" w:name="_Toc6322244"/>
      <w:bookmarkStart w:id="152" w:name="_Toc462677191"/>
      <w:r>
        <w:rPr>
          <w:rFonts w:hint="eastAsia" w:ascii="宋体" w:hAnsi="宋体" w:eastAsia="宋体"/>
          <w:color w:val="auto"/>
          <w:sz w:val="24"/>
          <w:szCs w:val="24"/>
          <w:highlight w:val="none"/>
        </w:rPr>
        <w:t>7．响应文件的构成</w:t>
      </w:r>
      <w:bookmarkEnd w:id="149"/>
      <w:bookmarkEnd w:id="150"/>
      <w:bookmarkEnd w:id="151"/>
      <w:bookmarkEnd w:id="152"/>
    </w:p>
    <w:p w14:paraId="0FBD5FC9">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7.1响应文件的构成应符合法律法规及采购文件的要求，具体内容应包括但不少于本采购文件《响应文件格式》的所有内容。</w:t>
      </w:r>
    </w:p>
    <w:p w14:paraId="7F8E3519">
      <w:pPr>
        <w:pStyle w:val="4"/>
        <w:spacing w:before="100" w:line="360" w:lineRule="auto"/>
        <w:ind w:firstLine="480"/>
        <w:rPr>
          <w:rFonts w:ascii="宋体" w:hAnsi="宋体" w:eastAsia="宋体"/>
          <w:color w:val="auto"/>
          <w:sz w:val="24"/>
          <w:szCs w:val="24"/>
          <w:highlight w:val="none"/>
        </w:rPr>
      </w:pPr>
      <w:bookmarkStart w:id="153" w:name="_Toc67046861"/>
      <w:bookmarkStart w:id="154" w:name="_Toc259090945"/>
      <w:bookmarkStart w:id="155" w:name="_Toc462677192"/>
      <w:bookmarkStart w:id="156" w:name="_Toc6322245"/>
      <w:r>
        <w:rPr>
          <w:rFonts w:hint="eastAsia" w:ascii="宋体" w:hAnsi="宋体" w:eastAsia="宋体"/>
          <w:color w:val="auto"/>
          <w:sz w:val="24"/>
          <w:szCs w:val="24"/>
          <w:highlight w:val="none"/>
        </w:rPr>
        <w:t>8．响应文件编制</w:t>
      </w:r>
      <w:bookmarkEnd w:id="153"/>
      <w:bookmarkEnd w:id="154"/>
      <w:bookmarkEnd w:id="155"/>
      <w:bookmarkEnd w:id="156"/>
    </w:p>
    <w:p w14:paraId="6F1AA32C">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8.1供应商应当对响应文件进行装订，对未经装订的响应文件可能发生的文件散落或缺损，由此产生的后果由供应商承担。</w:t>
      </w:r>
    </w:p>
    <w:p w14:paraId="0C1474CA">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8.2供应商应完整、真实、准确的填写采购文件中规定的所有内容。</w:t>
      </w:r>
    </w:p>
    <w:p w14:paraId="58A0DCB2">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8.3供应商必须对响应文件所提供的全部资料的真实性承担法律责任，并无条件接受采购单位及政府采购监督管理部门等对其中任何资料进行核实的要求。</w:t>
      </w:r>
    </w:p>
    <w:p w14:paraId="24A20252">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8.4如果因为供应商响应文件填报的内容不详，或没有提供采购文件中所要求的全部资料及数据，由此造成的后果由供应商承担。</w:t>
      </w:r>
    </w:p>
    <w:p w14:paraId="4FAD2593">
      <w:pPr>
        <w:pStyle w:val="25"/>
        <w:adjustRightInd w:val="0"/>
        <w:snapToGrid w:val="0"/>
        <w:spacing w:line="360" w:lineRule="auto"/>
        <w:ind w:firstLine="420" w:firstLineChars="200"/>
        <w:rPr>
          <w:rFonts w:ascii="宋体" w:hAnsi="宋体" w:eastAsia="宋体"/>
          <w:color w:val="auto"/>
          <w:sz w:val="24"/>
          <w:szCs w:val="24"/>
          <w:highlight w:val="none"/>
        </w:rPr>
      </w:pPr>
      <w:r>
        <w:rPr>
          <w:rFonts w:hint="eastAsia" w:ascii="宋体" w:hAnsi="宋体" w:eastAsia="宋体" w:cs="宋体"/>
          <w:color w:val="auto"/>
          <w:szCs w:val="24"/>
          <w:highlight w:val="none"/>
        </w:rPr>
        <w:t>8.5</w:t>
      </w:r>
      <w:r>
        <w:rPr>
          <w:rFonts w:hint="eastAsia" w:ascii="宋体" w:hAnsi="宋体" w:eastAsia="宋体" w:cs="宋体"/>
          <w:color w:val="auto"/>
          <w:highlight w:val="none"/>
        </w:rPr>
        <w:t>供应商应认真阅读、并充分理解采购文件的全部内容（包括所有的补充、修改内容重要事项、格式、条款和技术规范、参数及要求等）。供应商没有按照采购文件要求提交资料，或者所投的响应文件没有对采购文件在各方面都作出实质性响应是供应商的风险，有可能导致其响应被认定为无效响应或被确定为响应无效。</w:t>
      </w:r>
      <w:bookmarkStart w:id="157" w:name="_Toc6322246"/>
      <w:bookmarkStart w:id="158" w:name="_Toc462677193"/>
      <w:bookmarkStart w:id="159" w:name="_Toc67046862"/>
      <w:bookmarkStart w:id="160" w:name="_Toc259090946"/>
    </w:p>
    <w:p w14:paraId="749BA3A1">
      <w:pPr>
        <w:pStyle w:val="4"/>
        <w:spacing w:before="100"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9．</w:t>
      </w:r>
      <w:bookmarkEnd w:id="157"/>
      <w:bookmarkEnd w:id="158"/>
      <w:bookmarkEnd w:id="159"/>
      <w:bookmarkEnd w:id="160"/>
      <w:r>
        <w:rPr>
          <w:rFonts w:hint="eastAsia" w:ascii="宋体" w:hAnsi="宋体" w:eastAsia="宋体"/>
          <w:color w:val="auto"/>
          <w:sz w:val="24"/>
          <w:szCs w:val="24"/>
          <w:highlight w:val="none"/>
        </w:rPr>
        <w:t>响应报价</w:t>
      </w:r>
    </w:p>
    <w:p w14:paraId="7E141D9F">
      <w:pPr>
        <w:spacing w:line="360" w:lineRule="auto"/>
        <w:ind w:firstLine="420" w:firstLineChars="200"/>
        <w:rPr>
          <w:rFonts w:ascii="宋体" w:hAnsi="宋体"/>
          <w:color w:val="auto"/>
          <w:highlight w:val="none"/>
        </w:rPr>
      </w:pPr>
      <w:r>
        <w:rPr>
          <w:rFonts w:ascii="宋体" w:hAnsi="宋体"/>
          <w:color w:val="auto"/>
          <w:highlight w:val="none"/>
        </w:rPr>
        <w:t>9</w:t>
      </w:r>
      <w:r>
        <w:rPr>
          <w:rFonts w:hint="eastAsia" w:ascii="宋体" w:hAnsi="宋体"/>
          <w:color w:val="auto"/>
          <w:highlight w:val="none"/>
        </w:rPr>
        <w:t>.1 如采购文件无特殊规定，响应价格以人民币填报。</w:t>
      </w:r>
    </w:p>
    <w:p w14:paraId="0B81FA3E">
      <w:pPr>
        <w:spacing w:line="360" w:lineRule="auto"/>
        <w:ind w:firstLine="420" w:firstLineChars="200"/>
        <w:rPr>
          <w:rFonts w:ascii="宋体" w:hAnsi="宋体"/>
          <w:color w:val="auto"/>
          <w:highlight w:val="none"/>
        </w:rPr>
      </w:pPr>
      <w:r>
        <w:rPr>
          <w:rFonts w:ascii="宋体" w:hAnsi="宋体"/>
          <w:color w:val="auto"/>
          <w:highlight w:val="none"/>
        </w:rPr>
        <w:t>9</w:t>
      </w:r>
      <w:r>
        <w:rPr>
          <w:rFonts w:hint="eastAsia" w:ascii="宋体" w:hAnsi="宋体"/>
          <w:color w:val="auto"/>
          <w:highlight w:val="none"/>
        </w:rPr>
        <w:t>.2 供应商应按照《供应商须知前附表》、《用户需求书》规定的内容进行报价，并按第五部分《格式文件》确定的格式进行报价。响应总价中不得包含采购文件要求以外的内容，否则，在评标时不予核减。响应总价中也不得缺漏采购文件所要求的内容，否则，视为该漏报或不报部分的费用已包括在已报的分项报价中而不予支付。</w:t>
      </w:r>
    </w:p>
    <w:p w14:paraId="725D6879">
      <w:pPr>
        <w:spacing w:line="360" w:lineRule="auto"/>
        <w:ind w:firstLine="420" w:firstLineChars="200"/>
        <w:rPr>
          <w:rFonts w:ascii="宋体" w:hAnsi="宋体"/>
          <w:color w:val="auto"/>
          <w:highlight w:val="none"/>
        </w:rPr>
      </w:pPr>
      <w:r>
        <w:rPr>
          <w:rFonts w:ascii="宋体" w:hAnsi="宋体"/>
          <w:color w:val="auto"/>
          <w:highlight w:val="none"/>
        </w:rPr>
        <w:t>9</w:t>
      </w:r>
      <w:r>
        <w:rPr>
          <w:rFonts w:hint="eastAsia" w:ascii="宋体" w:hAnsi="宋体"/>
          <w:color w:val="auto"/>
          <w:highlight w:val="none"/>
        </w:rPr>
        <w:t>.3 填写分项报价表时应响应下列要求：</w:t>
      </w:r>
    </w:p>
    <w:p w14:paraId="515D7FCE">
      <w:pPr>
        <w:spacing w:line="360" w:lineRule="auto"/>
        <w:ind w:firstLine="420" w:firstLineChars="200"/>
        <w:rPr>
          <w:rFonts w:ascii="宋体" w:hAnsi="宋体"/>
          <w:color w:val="auto"/>
          <w:highlight w:val="none"/>
        </w:rPr>
      </w:pPr>
      <w:r>
        <w:rPr>
          <w:rFonts w:hint="eastAsia" w:ascii="宋体" w:hAnsi="宋体"/>
          <w:color w:val="auto"/>
          <w:highlight w:val="none"/>
        </w:rPr>
        <w:t>1） 对于报价免费的项目必须标明“免费”；</w:t>
      </w:r>
    </w:p>
    <w:p w14:paraId="0AC52B29">
      <w:pPr>
        <w:spacing w:line="360" w:lineRule="auto"/>
        <w:ind w:firstLine="420" w:firstLineChars="200"/>
        <w:rPr>
          <w:rFonts w:ascii="宋体" w:hAnsi="宋体"/>
          <w:color w:val="auto"/>
          <w:highlight w:val="none"/>
        </w:rPr>
      </w:pPr>
      <w:r>
        <w:rPr>
          <w:rFonts w:hint="eastAsia" w:ascii="宋体" w:hAnsi="宋体"/>
          <w:color w:val="auto"/>
          <w:highlight w:val="none"/>
        </w:rPr>
        <w:t>2） 所有根据合同或其它原因应由供应商支付的税款和其它应交纳的费用都要包括在供应商提交的投标价格中；</w:t>
      </w:r>
    </w:p>
    <w:p w14:paraId="4BF2E138">
      <w:pPr>
        <w:spacing w:line="360" w:lineRule="auto"/>
        <w:ind w:firstLine="420" w:firstLineChars="200"/>
        <w:rPr>
          <w:rFonts w:ascii="宋体" w:hAnsi="宋体"/>
          <w:color w:val="auto"/>
          <w:highlight w:val="none"/>
        </w:rPr>
      </w:pPr>
      <w:r>
        <w:rPr>
          <w:rFonts w:hint="eastAsia" w:ascii="宋体" w:hAnsi="宋体"/>
          <w:color w:val="auto"/>
          <w:highlight w:val="none"/>
        </w:rPr>
        <w:t>3） 应包含货物运至最终目的地的运输、保险和伴随货物服务的其他所有费用。</w:t>
      </w:r>
    </w:p>
    <w:p w14:paraId="665CB9A1">
      <w:pPr>
        <w:spacing w:line="360" w:lineRule="auto"/>
        <w:ind w:firstLine="420" w:firstLineChars="200"/>
        <w:rPr>
          <w:rFonts w:ascii="宋体" w:hAnsi="宋体"/>
          <w:color w:val="auto"/>
          <w:highlight w:val="none"/>
        </w:rPr>
      </w:pPr>
      <w:r>
        <w:rPr>
          <w:rFonts w:ascii="宋体" w:hAnsi="宋体"/>
          <w:color w:val="auto"/>
          <w:highlight w:val="none"/>
        </w:rPr>
        <w:t>9</w:t>
      </w:r>
      <w:r>
        <w:rPr>
          <w:rFonts w:hint="eastAsia" w:ascii="宋体" w:hAnsi="宋体"/>
          <w:color w:val="auto"/>
          <w:highlight w:val="none"/>
        </w:rPr>
        <w:t>.4 每一种规格的货物或服务只允许有一个报价，否则将被视为无效响应。</w:t>
      </w:r>
    </w:p>
    <w:p w14:paraId="025FC680">
      <w:pPr>
        <w:spacing w:line="360" w:lineRule="auto"/>
        <w:ind w:firstLine="420" w:firstLineChars="200"/>
        <w:rPr>
          <w:rFonts w:ascii="宋体" w:hAnsi="宋体"/>
          <w:color w:val="auto"/>
          <w:highlight w:val="none"/>
        </w:rPr>
      </w:pPr>
      <w:r>
        <w:rPr>
          <w:rFonts w:ascii="宋体" w:hAnsi="宋体"/>
          <w:color w:val="auto"/>
          <w:highlight w:val="none"/>
        </w:rPr>
        <w:t>9</w:t>
      </w:r>
      <w:r>
        <w:rPr>
          <w:rFonts w:hint="eastAsia" w:ascii="宋体" w:hAnsi="宋体"/>
          <w:color w:val="auto"/>
          <w:highlight w:val="none"/>
        </w:rPr>
        <w:t>.5 响应文件报价出现前后不一致的，除采购文件另有规定外，按照下列规定修正：</w:t>
      </w:r>
    </w:p>
    <w:p w14:paraId="2EF85CF9">
      <w:pPr>
        <w:spacing w:line="360" w:lineRule="auto"/>
        <w:ind w:firstLine="420" w:firstLineChars="200"/>
        <w:rPr>
          <w:rFonts w:ascii="宋体" w:hAnsi="宋体"/>
          <w:color w:val="auto"/>
          <w:highlight w:val="none"/>
        </w:rPr>
      </w:pPr>
      <w:r>
        <w:rPr>
          <w:rFonts w:hint="eastAsia" w:ascii="宋体" w:hAnsi="宋体"/>
          <w:color w:val="auto"/>
          <w:highlight w:val="none"/>
        </w:rPr>
        <w:t>1） 响应文件中首轮报价表（报价表）内容与响应文件中相应内容不一致的，以首轮报价表（报价表）为准；</w:t>
      </w:r>
    </w:p>
    <w:p w14:paraId="1CEC9668">
      <w:pPr>
        <w:spacing w:line="360" w:lineRule="auto"/>
        <w:ind w:firstLine="420" w:firstLineChars="200"/>
        <w:rPr>
          <w:rFonts w:ascii="宋体" w:hAnsi="宋体"/>
          <w:color w:val="auto"/>
          <w:highlight w:val="none"/>
        </w:rPr>
      </w:pPr>
      <w:r>
        <w:rPr>
          <w:rFonts w:hint="eastAsia" w:ascii="宋体" w:hAnsi="宋体"/>
          <w:color w:val="auto"/>
          <w:highlight w:val="none"/>
        </w:rPr>
        <w:t>2） 大写金额和小写金额不一致的，以大写金额为准；</w:t>
      </w:r>
    </w:p>
    <w:p w14:paraId="4902411D">
      <w:pPr>
        <w:spacing w:line="360" w:lineRule="auto"/>
        <w:ind w:firstLine="420" w:firstLineChars="200"/>
        <w:rPr>
          <w:rFonts w:ascii="宋体" w:hAnsi="宋体"/>
          <w:color w:val="auto"/>
          <w:highlight w:val="none"/>
        </w:rPr>
      </w:pPr>
      <w:r>
        <w:rPr>
          <w:rFonts w:hint="eastAsia" w:ascii="宋体" w:hAnsi="宋体"/>
          <w:color w:val="auto"/>
          <w:highlight w:val="none"/>
        </w:rPr>
        <w:t>3） 单价金额小数点或者百分比有明显错位的，以首轮报价表的总价为准，并修改单价；</w:t>
      </w:r>
    </w:p>
    <w:p w14:paraId="37263D05">
      <w:pPr>
        <w:spacing w:line="360" w:lineRule="auto"/>
        <w:ind w:firstLine="420" w:firstLineChars="200"/>
        <w:rPr>
          <w:rFonts w:ascii="宋体" w:hAnsi="宋体"/>
          <w:color w:val="auto"/>
          <w:highlight w:val="none"/>
        </w:rPr>
      </w:pPr>
      <w:r>
        <w:rPr>
          <w:rFonts w:hint="eastAsia" w:ascii="宋体" w:hAnsi="宋体"/>
          <w:color w:val="auto"/>
          <w:highlight w:val="none"/>
        </w:rPr>
        <w:t>4） 总价金额与按单价汇总金额不一致的，以单价金额计算结果为准；</w:t>
      </w:r>
    </w:p>
    <w:p w14:paraId="34CC7169">
      <w:pPr>
        <w:spacing w:line="360" w:lineRule="auto"/>
        <w:ind w:firstLine="420" w:firstLineChars="200"/>
        <w:rPr>
          <w:rFonts w:ascii="宋体" w:hAnsi="宋体"/>
          <w:color w:val="auto"/>
          <w:highlight w:val="none"/>
        </w:rPr>
      </w:pPr>
      <w:r>
        <w:rPr>
          <w:rFonts w:hint="eastAsia" w:ascii="宋体" w:hAnsi="宋体"/>
          <w:color w:val="auto"/>
          <w:highlight w:val="none"/>
        </w:rPr>
        <w:t>5） 同时出现两种以上不一致的，按照前款规定的顺序修正。修正后的报价经供应商确认后产生约束力，供应商不确认的，其投标无效。</w:t>
      </w:r>
    </w:p>
    <w:p w14:paraId="6D40D06B">
      <w:pPr>
        <w:spacing w:line="360" w:lineRule="auto"/>
        <w:ind w:firstLine="420" w:firstLineChars="200"/>
        <w:rPr>
          <w:rFonts w:ascii="宋体" w:hAnsi="宋体"/>
          <w:color w:val="auto"/>
          <w:highlight w:val="none"/>
        </w:rPr>
      </w:pPr>
      <w:r>
        <w:rPr>
          <w:rFonts w:ascii="宋体" w:hAnsi="宋体"/>
          <w:color w:val="auto"/>
          <w:highlight w:val="none"/>
        </w:rPr>
        <w:t>9</w:t>
      </w:r>
      <w:r>
        <w:rPr>
          <w:rFonts w:hint="eastAsia" w:ascii="宋体" w:hAnsi="宋体"/>
          <w:color w:val="auto"/>
          <w:highlight w:val="none"/>
        </w:rPr>
        <w:t>.6 价格扣除：</w:t>
      </w:r>
    </w:p>
    <w:p w14:paraId="4FE088D3">
      <w:pPr>
        <w:spacing w:line="360" w:lineRule="auto"/>
        <w:ind w:firstLine="420" w:firstLineChars="200"/>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rPr>
        <w:tab/>
      </w:r>
      <w:r>
        <w:rPr>
          <w:rFonts w:hint="eastAsia" w:ascii="宋体" w:hAnsi="宋体"/>
          <w:color w:val="auto"/>
          <w:highlight w:val="none"/>
        </w:rPr>
        <w:t>小型和微型企业产品价格扣除</w:t>
      </w:r>
    </w:p>
    <w:p w14:paraId="3A8EE264">
      <w:pPr>
        <w:spacing w:line="360" w:lineRule="auto"/>
        <w:ind w:firstLine="420" w:firstLineChars="200"/>
        <w:rPr>
          <w:rFonts w:ascii="宋体" w:hAnsi="宋体"/>
          <w:color w:val="auto"/>
          <w:highlight w:val="none"/>
        </w:rPr>
      </w:pPr>
      <w:r>
        <w:rPr>
          <w:rFonts w:ascii="宋体" w:hAnsi="宋体"/>
          <w:color w:val="auto"/>
          <w:highlight w:val="none"/>
        </w:rPr>
        <w:t>1</w:t>
      </w:r>
      <w:r>
        <w:rPr>
          <w:rFonts w:hint="eastAsia" w:ascii="宋体" w:hAnsi="宋体"/>
          <w:color w:val="auto"/>
          <w:highlight w:val="none"/>
        </w:rPr>
        <w:t>.1 根据财政部、工业和信息化部印发的《政府采购促进中小企业发展管理办法》（财库﹝2020﹞46 号）的规定，对小型和微型企业产品的价格给予C1 的扣除（C1 的取值为10%），即：评标价＝核实价（经初审进行必要的更正后的响应报价）－小微企业核实价×C1；</w:t>
      </w:r>
    </w:p>
    <w:p w14:paraId="44F5A05B">
      <w:pPr>
        <w:spacing w:line="360" w:lineRule="auto"/>
        <w:ind w:firstLine="420" w:firstLineChars="200"/>
        <w:rPr>
          <w:rFonts w:ascii="宋体" w:hAnsi="宋体"/>
          <w:color w:val="auto"/>
          <w:highlight w:val="none"/>
        </w:rPr>
      </w:pPr>
      <w:r>
        <w:rPr>
          <w:rFonts w:ascii="宋体" w:hAnsi="宋体"/>
          <w:color w:val="auto"/>
          <w:highlight w:val="none"/>
        </w:rPr>
        <w:t>1</w:t>
      </w:r>
      <w:r>
        <w:rPr>
          <w:rFonts w:hint="eastAsia" w:ascii="宋体" w:hAnsi="宋体"/>
          <w:color w:val="auto"/>
          <w:highlight w:val="none"/>
        </w:rPr>
        <w:t>.2 如允许联合体投标，联合体协议中约定小型、微型企业的协议合同金额（必须为本企业承担的内容）占到联合体协议合同总金额30%以上的，对联合体的有效响应报价给予C2 的价格扣除（C2的取值为2%），即：评标价＝核实价（经初审进行必要的更正后的响应报价）×（1－C2）；如联合体各方均为小型、微型企业的，联合体视同为小型、微型企业享受上述1.1 条规定的价格扣除（允许联合体投标时适用）。</w:t>
      </w:r>
    </w:p>
    <w:p w14:paraId="78F5AE7B">
      <w:pPr>
        <w:spacing w:line="360" w:lineRule="auto"/>
        <w:ind w:firstLine="420" w:firstLineChars="200"/>
        <w:rPr>
          <w:rFonts w:ascii="宋体" w:hAnsi="宋体"/>
          <w:color w:val="auto"/>
          <w:highlight w:val="none"/>
        </w:rPr>
      </w:pPr>
      <w:r>
        <w:rPr>
          <w:rFonts w:hint="eastAsia" w:ascii="宋体" w:hAnsi="宋体"/>
          <w:color w:val="auto"/>
          <w:highlight w:val="none"/>
        </w:rPr>
        <w:t>1.3如允许联合体投标，组成联合体的大中型企业和其他自然人、法人或者其他组织与小型、微型企业之间存在投资关系的，不享受上述价格扣除（允许联合体投标时适用）。</w:t>
      </w:r>
    </w:p>
    <w:p w14:paraId="195A0F40">
      <w:pPr>
        <w:spacing w:line="360" w:lineRule="auto"/>
        <w:ind w:firstLine="420" w:firstLineChars="200"/>
        <w:rPr>
          <w:rFonts w:ascii="宋体" w:hAnsi="宋体"/>
          <w:color w:val="auto"/>
          <w:highlight w:val="none"/>
        </w:rPr>
      </w:pPr>
      <w:r>
        <w:rPr>
          <w:rFonts w:hint="eastAsia" w:ascii="宋体" w:hAnsi="宋体"/>
          <w:color w:val="auto"/>
          <w:highlight w:val="none"/>
        </w:rPr>
        <w:t>1.4《政府采购促进中小企业发展管理办法》所称中小企业（含中型、小型、微型企业，下同）应当同时符合以下条件：</w:t>
      </w:r>
    </w:p>
    <w:p w14:paraId="32218C89">
      <w:pPr>
        <w:spacing w:line="360" w:lineRule="auto"/>
        <w:ind w:firstLine="420" w:firstLineChars="200"/>
        <w:rPr>
          <w:rFonts w:ascii="宋体" w:hAnsi="宋体"/>
          <w:color w:val="auto"/>
          <w:highlight w:val="none"/>
        </w:rPr>
      </w:pPr>
      <w:r>
        <w:rPr>
          <w:rFonts w:hint="eastAsia" w:ascii="宋体" w:hAnsi="宋体"/>
          <w:color w:val="auto"/>
          <w:highlight w:val="none"/>
        </w:rPr>
        <w:t>1.4.1符合中小企业划分标准；</w:t>
      </w:r>
    </w:p>
    <w:p w14:paraId="14C3F904">
      <w:pPr>
        <w:spacing w:line="360" w:lineRule="auto"/>
        <w:ind w:firstLine="420" w:firstLineChars="200"/>
        <w:rPr>
          <w:rFonts w:ascii="宋体" w:hAnsi="宋体"/>
          <w:color w:val="auto"/>
          <w:highlight w:val="none"/>
        </w:rPr>
      </w:pPr>
      <w:r>
        <w:rPr>
          <w:rFonts w:hint="eastAsia" w:ascii="宋体" w:hAnsi="宋体"/>
          <w:color w:val="auto"/>
          <w:highlight w:val="none"/>
        </w:rPr>
        <w:t>1.4.2提供本企业制造的货物、承担的工程或者服务，或者提供其他中小企业制造的货物。本项所称货物不包括使用大型企业注册商标的货物。</w:t>
      </w:r>
    </w:p>
    <w:p w14:paraId="49937247">
      <w:pPr>
        <w:spacing w:line="360" w:lineRule="auto"/>
        <w:ind w:firstLine="420" w:firstLineChars="200"/>
        <w:rPr>
          <w:rFonts w:ascii="宋体" w:hAnsi="宋体"/>
          <w:color w:val="auto"/>
          <w:highlight w:val="none"/>
        </w:rPr>
      </w:pPr>
      <w:r>
        <w:rPr>
          <w:rFonts w:hint="eastAsia" w:ascii="宋体" w:hAnsi="宋体"/>
          <w:color w:val="auto"/>
          <w:highlight w:val="none"/>
        </w:rPr>
        <w:t>中小企业划分标准以工业和信息化部、国家统计局、国家发展和改革委员会、财政部《关于印发中小企业划型标准规定的通知》（工信部联企业[2011]300号）为准。</w:t>
      </w:r>
    </w:p>
    <w:p w14:paraId="3B8A693C">
      <w:pPr>
        <w:spacing w:line="360" w:lineRule="auto"/>
        <w:ind w:firstLine="420" w:firstLineChars="200"/>
        <w:rPr>
          <w:rFonts w:ascii="宋体" w:hAnsi="宋体"/>
          <w:color w:val="auto"/>
          <w:highlight w:val="none"/>
        </w:rPr>
      </w:pPr>
      <w:r>
        <w:rPr>
          <w:rFonts w:hint="eastAsia" w:ascii="宋体" w:hAnsi="宋体"/>
          <w:color w:val="auto"/>
          <w:highlight w:val="none"/>
        </w:rPr>
        <w:t>1.5参加政府采购活动的中小企业应当提供《中小企业声明函》（格式见第五部分响应文件格式）</w:t>
      </w:r>
    </w:p>
    <w:p w14:paraId="30D7A2CE">
      <w:pPr>
        <w:spacing w:line="360" w:lineRule="auto"/>
        <w:ind w:firstLine="420" w:firstLineChars="200"/>
        <w:rPr>
          <w:rFonts w:ascii="宋体" w:hAnsi="宋体"/>
          <w:color w:val="auto"/>
          <w:highlight w:val="none"/>
        </w:rPr>
      </w:pPr>
      <w:r>
        <w:rPr>
          <w:rFonts w:hint="eastAsia" w:ascii="宋体" w:hAnsi="宋体"/>
          <w:color w:val="auto"/>
          <w:highlight w:val="none"/>
        </w:rPr>
        <w:t>1.6监狱企业产品价格扣除</w:t>
      </w:r>
    </w:p>
    <w:p w14:paraId="6C44CB28">
      <w:pPr>
        <w:spacing w:line="360" w:lineRule="auto"/>
        <w:ind w:firstLine="420" w:firstLineChars="200"/>
        <w:rPr>
          <w:rFonts w:ascii="宋体" w:hAnsi="宋体"/>
          <w:color w:val="auto"/>
          <w:highlight w:val="none"/>
        </w:rPr>
      </w:pPr>
      <w:r>
        <w:rPr>
          <w:rFonts w:hint="eastAsia" w:ascii="宋体" w:hAnsi="宋体"/>
          <w:color w:val="auto"/>
          <w:highlight w:val="none"/>
        </w:rPr>
        <w:t>1.6.1监狱企业视同小型、微型企业，按上述1.1、1.2条款享受评审中价格扣除。</w:t>
      </w:r>
    </w:p>
    <w:p w14:paraId="6BB60112">
      <w:pPr>
        <w:spacing w:line="360" w:lineRule="auto"/>
        <w:ind w:firstLine="420" w:firstLineChars="200"/>
        <w:rPr>
          <w:rFonts w:ascii="宋体" w:hAnsi="宋体"/>
          <w:color w:val="auto"/>
          <w:highlight w:val="none"/>
        </w:rPr>
      </w:pPr>
      <w:r>
        <w:rPr>
          <w:rFonts w:hint="eastAsia" w:ascii="宋体" w:hAnsi="宋体"/>
          <w:color w:val="auto"/>
          <w:highlight w:val="none"/>
        </w:rPr>
        <w:t>1.6.2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B19770">
      <w:pPr>
        <w:spacing w:line="360" w:lineRule="auto"/>
        <w:ind w:firstLine="420" w:firstLineChars="200"/>
        <w:rPr>
          <w:rFonts w:ascii="宋体" w:hAnsi="宋体"/>
          <w:color w:val="auto"/>
          <w:highlight w:val="none"/>
        </w:rPr>
      </w:pPr>
      <w:r>
        <w:rPr>
          <w:rFonts w:hint="eastAsia" w:ascii="宋体" w:hAnsi="宋体"/>
          <w:color w:val="auto"/>
          <w:highlight w:val="none"/>
        </w:rPr>
        <w:t>1.6.3监狱企业参加政府采购活动时，应当提供由省级以上监狱管理局、戒毒管理局（含新疆生产建设兵团）出具的属于监狱企业的证明文件，否则不予认可。</w:t>
      </w:r>
    </w:p>
    <w:p w14:paraId="7CACC560">
      <w:pPr>
        <w:spacing w:line="360" w:lineRule="auto"/>
        <w:ind w:firstLine="420" w:firstLineChars="200"/>
        <w:rPr>
          <w:rFonts w:ascii="宋体" w:hAnsi="宋体"/>
          <w:color w:val="auto"/>
          <w:highlight w:val="none"/>
        </w:rPr>
      </w:pPr>
      <w:r>
        <w:rPr>
          <w:rFonts w:hint="eastAsia" w:ascii="宋体" w:hAnsi="宋体"/>
          <w:color w:val="auto"/>
          <w:highlight w:val="none"/>
        </w:rPr>
        <w:t>1.7残疾人福利性单位产品价格扣除</w:t>
      </w:r>
    </w:p>
    <w:p w14:paraId="38810F23">
      <w:pPr>
        <w:spacing w:line="360" w:lineRule="auto"/>
        <w:ind w:firstLine="420" w:firstLineChars="200"/>
        <w:rPr>
          <w:rFonts w:ascii="宋体" w:hAnsi="宋体"/>
          <w:color w:val="auto"/>
          <w:highlight w:val="none"/>
        </w:rPr>
      </w:pPr>
      <w:r>
        <w:rPr>
          <w:rFonts w:hint="eastAsia" w:ascii="宋体" w:hAnsi="宋体"/>
          <w:color w:val="auto"/>
          <w:highlight w:val="none"/>
        </w:rPr>
        <w:t>1.7.1残疾人福利性单位视同小型、微型企业，按上述1.1、1.2条款享受评审中价格扣除。</w:t>
      </w:r>
    </w:p>
    <w:p w14:paraId="0B63E91E">
      <w:pPr>
        <w:spacing w:line="360" w:lineRule="auto"/>
        <w:ind w:firstLine="420" w:firstLineChars="200"/>
        <w:rPr>
          <w:rFonts w:ascii="宋体" w:hAnsi="宋体"/>
          <w:color w:val="auto"/>
          <w:highlight w:val="none"/>
        </w:rPr>
      </w:pPr>
      <w:r>
        <w:rPr>
          <w:rFonts w:hint="eastAsia" w:ascii="宋体" w:hAnsi="宋体"/>
          <w:color w:val="auto"/>
          <w:highlight w:val="none"/>
        </w:rPr>
        <w:t>1.7.2</w:t>
      </w:r>
      <w:r>
        <w:rPr>
          <w:rFonts w:hint="eastAsia" w:ascii="宋体" w:hAnsi="宋体"/>
          <w:color w:val="auto"/>
          <w:highlight w:val="none"/>
        </w:rPr>
        <w:tab/>
      </w:r>
      <w:r>
        <w:rPr>
          <w:rFonts w:hint="eastAsia" w:ascii="宋体" w:hAnsi="宋体"/>
          <w:color w:val="auto"/>
          <w:highlight w:val="none"/>
        </w:rPr>
        <w:t>根据财政部、民政部、中国残疾人联合会印发的《关于促进残疾人就业政府采购政策的通知》（财库〔2017〕141号）的规定，符合条件的残疾人福利性单位在参加政府采购活动时，应当提供该通知规定的《残疾人福利性单位声明函》（格式见第五部格式文件），并对声明的真实性负责。一旦中标将在中标公告中公告其声明函，接受社会监督。供应商提供的《残疾人福利性单位声明函》与事实不符的，依照《中华人民共和国政府采购法》第七十七条第一款的规定追究法律责任。</w:t>
      </w:r>
    </w:p>
    <w:p w14:paraId="295B73C8">
      <w:pPr>
        <w:spacing w:line="360" w:lineRule="auto"/>
        <w:ind w:firstLine="420" w:firstLineChars="200"/>
        <w:rPr>
          <w:rFonts w:ascii="宋体" w:hAnsi="宋体"/>
          <w:color w:val="auto"/>
          <w:highlight w:val="none"/>
        </w:rPr>
      </w:pPr>
      <w:r>
        <w:rPr>
          <w:rFonts w:hint="eastAsia" w:ascii="宋体" w:hAnsi="宋体"/>
          <w:color w:val="auto"/>
          <w:highlight w:val="none"/>
        </w:rPr>
        <w:t>2）</w:t>
      </w:r>
      <w:r>
        <w:rPr>
          <w:rFonts w:hint="eastAsia" w:ascii="宋体" w:hAnsi="宋体"/>
          <w:color w:val="auto"/>
          <w:highlight w:val="none"/>
        </w:rPr>
        <w:tab/>
      </w:r>
      <w:r>
        <w:rPr>
          <w:rFonts w:hint="eastAsia" w:ascii="宋体" w:hAnsi="宋体"/>
          <w:color w:val="auto"/>
          <w:highlight w:val="none"/>
        </w:rPr>
        <w:t>供应商同时为小型、微型企业、监狱企业、残疾人福利性单位任两种或以上情况的，评审中只享受一次价格扣除，不重复进行价格扣除。</w:t>
      </w:r>
    </w:p>
    <w:p w14:paraId="6BA72748">
      <w:pPr>
        <w:spacing w:line="360" w:lineRule="auto"/>
        <w:ind w:firstLine="420" w:firstLineChars="200"/>
        <w:rPr>
          <w:rFonts w:ascii="宋体" w:hAnsi="宋体"/>
          <w:color w:val="auto"/>
          <w:highlight w:val="none"/>
        </w:rPr>
      </w:pPr>
      <w:r>
        <w:rPr>
          <w:rFonts w:hint="eastAsia" w:ascii="宋体" w:hAnsi="宋体"/>
          <w:color w:val="auto"/>
          <w:highlight w:val="none"/>
        </w:rPr>
        <w:t>3）节能产品、环境标志产品价格扣除：</w:t>
      </w:r>
    </w:p>
    <w:p w14:paraId="08163021">
      <w:pPr>
        <w:spacing w:line="360" w:lineRule="auto"/>
        <w:ind w:firstLine="420" w:firstLineChars="200"/>
        <w:rPr>
          <w:rFonts w:ascii="宋体" w:hAnsi="宋体"/>
          <w:color w:val="auto"/>
          <w:highlight w:val="none"/>
        </w:rPr>
      </w:pPr>
      <w:r>
        <w:rPr>
          <w:rFonts w:hint="eastAsia" w:ascii="宋体" w:hAnsi="宋体"/>
          <w:color w:val="auto"/>
          <w:highlight w:val="none"/>
        </w:rPr>
        <w:t>8.1采购的产品属于品目清单范围的，将依据国家确定的认证机构出具的、处于有效期之内的节能产品、环境标志产品认证证书，对获得证书的产品实施政府优先采购或强制采购，具体按照本招标文件相关要求执行。</w:t>
      </w:r>
    </w:p>
    <w:p w14:paraId="11514D37">
      <w:pPr>
        <w:spacing w:line="360" w:lineRule="auto"/>
        <w:ind w:firstLine="420" w:firstLineChars="200"/>
        <w:rPr>
          <w:rFonts w:ascii="宋体" w:hAnsi="宋体"/>
          <w:color w:val="auto"/>
          <w:highlight w:val="none"/>
        </w:rPr>
      </w:pPr>
      <w:r>
        <w:rPr>
          <w:rFonts w:hint="eastAsia" w:ascii="宋体" w:hAnsi="宋体"/>
          <w:color w:val="auto"/>
          <w:highlight w:val="none"/>
        </w:rPr>
        <w:t>相关认证机构和获证产品信息以市场监管总局组织建立的节能产品、环境标志产品认证结果信息发布平台公布为准。</w:t>
      </w:r>
    </w:p>
    <w:p w14:paraId="7EDDF93A">
      <w:pPr>
        <w:spacing w:line="360" w:lineRule="auto"/>
        <w:ind w:firstLine="420" w:firstLineChars="200"/>
        <w:rPr>
          <w:rFonts w:ascii="宋体" w:hAnsi="宋体" w:cs="宋体"/>
          <w:color w:val="auto"/>
          <w:highlight w:val="none"/>
        </w:rPr>
      </w:pPr>
      <w:r>
        <w:rPr>
          <w:rFonts w:hint="eastAsia" w:ascii="宋体" w:hAnsi="宋体"/>
          <w:color w:val="auto"/>
          <w:highlight w:val="none"/>
        </w:rPr>
        <w:t>8.2投标产品（针对非政府强制采购产品）纳入财政部 国家发展改革委颁布最新一期节能产品清单的，节能产品响应报价占总响应报价比例在30%或以上的，对节能产品的价格给予2%的扣除，在30%以下的，对节能产品的价格给予1%的扣除，用扣除后的价格参与评审。</w:t>
      </w:r>
      <w:r>
        <w:rPr>
          <w:rFonts w:hint="eastAsia"/>
          <w:color w:val="auto"/>
          <w:szCs w:val="21"/>
          <w:highlight w:val="none"/>
        </w:rPr>
        <w:t>对该类产品总报价给予价格扣</w:t>
      </w:r>
      <w:r>
        <w:rPr>
          <w:rFonts w:hint="eastAsia" w:ascii="宋体" w:hAnsi="宋体" w:cs="宋体"/>
          <w:color w:val="auto"/>
          <w:szCs w:val="21"/>
          <w:highlight w:val="none"/>
        </w:rPr>
        <w:t>除C1，即：该类产品评标价＝该类产品响应报价×（1-C1）</w:t>
      </w:r>
      <w:r>
        <w:rPr>
          <w:rFonts w:hint="eastAsia" w:ascii="宋体" w:hAnsi="宋体" w:cs="宋体"/>
          <w:color w:val="auto"/>
          <w:highlight w:val="none"/>
        </w:rPr>
        <w:t>。（提供投标产品所在清单页加盖供应商公章）。</w:t>
      </w:r>
    </w:p>
    <w:p w14:paraId="2F6B4B51">
      <w:pPr>
        <w:spacing w:line="360" w:lineRule="auto"/>
        <w:ind w:firstLine="420" w:firstLineChars="200"/>
        <w:rPr>
          <w:rFonts w:ascii="宋体" w:hAnsi="宋体"/>
          <w:color w:val="auto"/>
          <w:highlight w:val="none"/>
        </w:rPr>
      </w:pPr>
      <w:r>
        <w:rPr>
          <w:rFonts w:hint="eastAsia" w:ascii="宋体" w:hAnsi="宋体" w:cs="宋体"/>
          <w:color w:val="auto"/>
          <w:highlight w:val="none"/>
        </w:rPr>
        <w:t>8.3</w:t>
      </w:r>
      <w:r>
        <w:rPr>
          <w:rFonts w:hint="eastAsia" w:ascii="宋体" w:hAnsi="宋体" w:cs="宋体"/>
          <w:color w:val="auto"/>
          <w:highlight w:val="none"/>
        </w:rPr>
        <w:tab/>
      </w:r>
      <w:r>
        <w:rPr>
          <w:rFonts w:hint="eastAsia" w:ascii="宋体" w:hAnsi="宋体" w:cs="宋体"/>
          <w:color w:val="auto"/>
          <w:highlight w:val="none"/>
        </w:rPr>
        <w:t>投标产品纳入国家行业主管部门颁布的最新一期环境标志产品清单的，环境标志产品响应报价占总响应报价比例在30%或以上的，对环境标志产品的价格给予2%的扣除，在30%以下的，对节能产品的价格给予1%的扣除，用扣除后的价格参与评审。</w:t>
      </w:r>
      <w:r>
        <w:rPr>
          <w:rFonts w:hint="eastAsia" w:ascii="宋体" w:hAnsi="宋体" w:cs="宋体"/>
          <w:color w:val="auto"/>
          <w:szCs w:val="21"/>
          <w:highlight w:val="none"/>
        </w:rPr>
        <w:t>对该类产品总报价给予价格扣除C2，即：该类产品评标价＝该类产品响应报价×（1-C2</w:t>
      </w:r>
      <w:r>
        <w:rPr>
          <w:rFonts w:hint="eastAsia"/>
          <w:color w:val="auto"/>
          <w:szCs w:val="21"/>
          <w:highlight w:val="none"/>
        </w:rPr>
        <w:t>）</w:t>
      </w:r>
      <w:r>
        <w:rPr>
          <w:rFonts w:hint="eastAsia" w:ascii="宋体" w:hAnsi="宋体"/>
          <w:color w:val="auto"/>
          <w:highlight w:val="none"/>
        </w:rPr>
        <w:t>。（提供投标产品所在清单页加盖供应商公章）。</w:t>
      </w:r>
    </w:p>
    <w:p w14:paraId="6C17B949">
      <w:pPr>
        <w:pStyle w:val="2"/>
        <w:ind w:firstLine="420" w:firstLineChars="200"/>
        <w:rPr>
          <w:rFonts w:ascii="宋体" w:hAnsi="宋体"/>
          <w:color w:val="auto"/>
          <w:sz w:val="21"/>
          <w:highlight w:val="none"/>
        </w:rPr>
      </w:pPr>
      <w:r>
        <w:rPr>
          <w:rFonts w:hint="eastAsia" w:ascii="宋体" w:hAnsi="宋体"/>
          <w:color w:val="auto"/>
          <w:sz w:val="21"/>
          <w:highlight w:val="none"/>
        </w:rPr>
        <w:t xml:space="preserve">8.4如投标产品属于《节能产品政府采购品目清单》中所列的产品，供应商必须在响应文件中明确列明具体产品的名称并提供国家确定的认证机构出具的处于有效期之内的节能产品认证证书。节能产品政府采购品目清单在中国政府采购网（http：//www.ccgp.gov .cn/）上发布。 </w:t>
      </w:r>
    </w:p>
    <w:p w14:paraId="2FE9E752">
      <w:pPr>
        <w:pStyle w:val="2"/>
        <w:ind w:firstLine="420" w:firstLineChars="200"/>
        <w:rPr>
          <w:rFonts w:ascii="宋体" w:hAnsi="宋体"/>
          <w:color w:val="auto"/>
          <w:sz w:val="21"/>
          <w:highlight w:val="none"/>
        </w:rPr>
      </w:pPr>
      <w:r>
        <w:rPr>
          <w:rFonts w:hint="eastAsia" w:ascii="宋体" w:hAnsi="宋体"/>
          <w:color w:val="auto"/>
          <w:sz w:val="21"/>
          <w:highlight w:val="none"/>
        </w:rPr>
        <w:t>8.5对属于强制采购的节能产品，节能要求作为实质性响应指标，不再享受评审优惠。</w:t>
      </w:r>
    </w:p>
    <w:p w14:paraId="74050E22">
      <w:pPr>
        <w:pStyle w:val="2"/>
        <w:ind w:firstLine="420" w:firstLineChars="200"/>
        <w:rPr>
          <w:rFonts w:ascii="宋体" w:hAnsi="宋体"/>
          <w:color w:val="auto"/>
          <w:sz w:val="21"/>
          <w:highlight w:val="none"/>
        </w:rPr>
      </w:pPr>
      <w:r>
        <w:rPr>
          <w:rFonts w:hint="eastAsia" w:ascii="宋体" w:hAnsi="宋体"/>
          <w:color w:val="auto"/>
          <w:sz w:val="21"/>
          <w:highlight w:val="none"/>
        </w:rPr>
        <w:t>4）所称小型和微型企业应当符合以下条件：</w:t>
      </w:r>
    </w:p>
    <w:p w14:paraId="4ABF7C57">
      <w:pPr>
        <w:pStyle w:val="2"/>
        <w:ind w:firstLine="420" w:firstLineChars="200"/>
        <w:rPr>
          <w:rFonts w:ascii="宋体" w:hAnsi="宋体"/>
          <w:color w:val="auto"/>
          <w:sz w:val="21"/>
          <w:highlight w:val="none"/>
        </w:rPr>
      </w:pPr>
      <w:bookmarkStart w:id="161" w:name="_Toc259090947"/>
      <w:bookmarkStart w:id="162" w:name="_Toc67046863"/>
      <w:bookmarkStart w:id="163" w:name="_Toc6322247"/>
      <w:bookmarkStart w:id="164" w:name="_Toc462677194"/>
      <w:r>
        <w:rPr>
          <w:rFonts w:ascii="宋体" w:hAnsi="宋体"/>
          <w:color w:val="auto"/>
          <w:sz w:val="21"/>
          <w:highlight w:val="none"/>
        </w:rPr>
        <w:t>在中华人民共和国境内依法设立，依据国务院批准的中小企业划分标准确定的小型企业和微型企业，但与大企业的负责人为同一人，或者与大企业存在直接控股、管理关系的除外。</w:t>
      </w:r>
    </w:p>
    <w:p w14:paraId="362C2D72">
      <w:pPr>
        <w:pStyle w:val="2"/>
        <w:ind w:firstLine="420" w:firstLineChars="200"/>
        <w:rPr>
          <w:rFonts w:ascii="宋体" w:hAnsi="宋体"/>
          <w:color w:val="auto"/>
          <w:sz w:val="21"/>
          <w:highlight w:val="none"/>
        </w:rPr>
      </w:pPr>
      <w:r>
        <w:rPr>
          <w:rFonts w:ascii="宋体" w:hAnsi="宋体"/>
          <w:color w:val="auto"/>
          <w:sz w:val="21"/>
          <w:highlight w:val="none"/>
        </w:rPr>
        <w:t>符合中小企业划分标准的个体工商户，在政府采购活动中视同中小企业。</w:t>
      </w:r>
    </w:p>
    <w:p w14:paraId="532E4172">
      <w:pPr>
        <w:pStyle w:val="2"/>
        <w:ind w:firstLine="420" w:firstLineChars="200"/>
        <w:rPr>
          <w:rFonts w:ascii="宋体" w:hAnsi="宋体"/>
          <w:color w:val="auto"/>
          <w:sz w:val="21"/>
          <w:highlight w:val="none"/>
        </w:rPr>
      </w:pPr>
      <w:r>
        <w:rPr>
          <w:rFonts w:ascii="宋体" w:hAnsi="宋体"/>
          <w:color w:val="auto"/>
          <w:sz w:val="21"/>
          <w:highlight w:val="none"/>
        </w:rPr>
        <w:t>提供本企业（属于小微企业）制造的货物或者提供其他小型或微型企业制造的货物/提供本企业（属于小微企业）承接的服务。</w:t>
      </w:r>
    </w:p>
    <w:p w14:paraId="057481A1">
      <w:pPr>
        <w:pStyle w:val="2"/>
        <w:ind w:firstLine="420" w:firstLineChars="200"/>
        <w:rPr>
          <w:rFonts w:ascii="宋体" w:hAnsi="宋体"/>
          <w:color w:val="auto"/>
          <w:sz w:val="21"/>
          <w:highlight w:val="none"/>
        </w:rPr>
      </w:pPr>
      <w:r>
        <w:rPr>
          <w:rFonts w:ascii="宋体" w:hAnsi="宋体"/>
          <w:color w:val="auto"/>
          <w:sz w:val="21"/>
          <w:highlight w:val="none"/>
        </w:rPr>
        <w:t>（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14:paraId="4910400A">
      <w:pPr>
        <w:pStyle w:val="2"/>
        <w:ind w:firstLine="420" w:firstLineChars="200"/>
        <w:rPr>
          <w:rFonts w:ascii="宋体" w:hAnsi="宋体"/>
          <w:color w:val="auto"/>
          <w:sz w:val="21"/>
          <w:highlight w:val="none"/>
        </w:rPr>
      </w:pPr>
      <w:r>
        <w:rPr>
          <w:rFonts w:ascii="宋体" w:hAnsi="宋体"/>
          <w:color w:val="auto"/>
          <w:sz w:val="21"/>
          <w:highlight w:val="none"/>
        </w:rPr>
        <w:t>说明：投标人应当对其出具的《中小企业声明函》真实性负责，投标人出具的《中小企业声明函》内容不实的，属于提供虚假材料谋取中标。</w:t>
      </w:r>
    </w:p>
    <w:p w14:paraId="48713C2E">
      <w:pPr>
        <w:pStyle w:val="2"/>
        <w:ind w:firstLine="420" w:firstLineChars="200"/>
        <w:rPr>
          <w:rFonts w:ascii="宋体" w:hAnsi="宋体"/>
          <w:color w:val="auto"/>
          <w:sz w:val="24"/>
          <w:highlight w:val="none"/>
        </w:rPr>
      </w:pPr>
      <w:r>
        <w:rPr>
          <w:rFonts w:ascii="宋体" w:hAnsi="宋体"/>
          <w:color w:val="auto"/>
          <w:sz w:val="21"/>
          <w:highlight w:val="none"/>
        </w:rPr>
        <w:t>（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14:paraId="51BB507B">
      <w:pPr>
        <w:pStyle w:val="4"/>
        <w:spacing w:before="100"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10．备选方案</w:t>
      </w:r>
      <w:bookmarkEnd w:id="161"/>
      <w:bookmarkEnd w:id="162"/>
      <w:bookmarkEnd w:id="163"/>
      <w:bookmarkEnd w:id="164"/>
    </w:p>
    <w:p w14:paraId="72EC79EF">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10.1只允许供应商有一个投标方案，否则将被视为无效投标。（采购文件允许有备选方案的除外）</w:t>
      </w:r>
    </w:p>
    <w:p w14:paraId="3FD8243B">
      <w:pPr>
        <w:pStyle w:val="4"/>
        <w:spacing w:before="100" w:line="360" w:lineRule="auto"/>
        <w:ind w:firstLine="480"/>
        <w:rPr>
          <w:rFonts w:ascii="宋体" w:hAnsi="宋体" w:eastAsia="宋体"/>
          <w:color w:val="auto"/>
          <w:sz w:val="24"/>
          <w:szCs w:val="24"/>
          <w:highlight w:val="none"/>
        </w:rPr>
      </w:pPr>
      <w:bookmarkStart w:id="165" w:name="_Toc67046864"/>
      <w:bookmarkStart w:id="166" w:name="_Toc6322248"/>
      <w:bookmarkStart w:id="167" w:name="_Toc259090949"/>
      <w:bookmarkStart w:id="168" w:name="_Toc462677195"/>
      <w:r>
        <w:rPr>
          <w:rFonts w:hint="eastAsia" w:ascii="宋体" w:hAnsi="宋体" w:eastAsia="宋体"/>
          <w:color w:val="auto"/>
          <w:sz w:val="24"/>
          <w:szCs w:val="24"/>
          <w:highlight w:val="none"/>
        </w:rPr>
        <w:t>11．供应商资格证明文件</w:t>
      </w:r>
      <w:bookmarkEnd w:id="165"/>
      <w:bookmarkEnd w:id="166"/>
      <w:bookmarkEnd w:id="167"/>
      <w:bookmarkEnd w:id="168"/>
    </w:p>
    <w:p w14:paraId="4F100380">
      <w:pPr>
        <w:pStyle w:val="25"/>
        <w:tabs>
          <w:tab w:val="left" w:pos="7740"/>
        </w:tabs>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11.1供应商应按采购文件的要求，提交证明其有资格参加投标和中标后有履行合同能力的文件，并作为其响应文件的组成部分，内容详见采购文件《格式文件》中的“资格性文件”。</w:t>
      </w:r>
    </w:p>
    <w:p w14:paraId="5157F14D">
      <w:pPr>
        <w:pStyle w:val="25"/>
        <w:tabs>
          <w:tab w:val="left" w:pos="7740"/>
        </w:tabs>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11.2资格证明文件必须真实有效，复印件必须加盖单位印章；采购文件《格式文件》中的“资格性文件”要求向磋商小组提供原件核对的，供应商应按要求提供，否则将作无效投标处理。</w:t>
      </w:r>
    </w:p>
    <w:p w14:paraId="6C5EBE44">
      <w:pPr>
        <w:pStyle w:val="4"/>
        <w:spacing w:before="100" w:line="360" w:lineRule="auto"/>
        <w:ind w:firstLine="480"/>
        <w:rPr>
          <w:rFonts w:ascii="宋体" w:hAnsi="宋体" w:eastAsia="宋体"/>
          <w:color w:val="auto"/>
          <w:sz w:val="24"/>
          <w:szCs w:val="24"/>
          <w:highlight w:val="none"/>
        </w:rPr>
      </w:pPr>
      <w:bookmarkStart w:id="169" w:name="_Toc259090950"/>
      <w:bookmarkStart w:id="170" w:name="_Toc6322249"/>
      <w:bookmarkStart w:id="171" w:name="_Toc67046865"/>
      <w:bookmarkStart w:id="172" w:name="_Toc462677196"/>
      <w:r>
        <w:rPr>
          <w:rFonts w:hint="eastAsia" w:ascii="宋体" w:hAnsi="宋体" w:eastAsia="宋体"/>
          <w:color w:val="auto"/>
          <w:sz w:val="24"/>
          <w:szCs w:val="24"/>
          <w:highlight w:val="none"/>
        </w:rPr>
        <w:t>12．投标保证金</w:t>
      </w:r>
      <w:bookmarkEnd w:id="169"/>
      <w:bookmarkEnd w:id="170"/>
      <w:bookmarkEnd w:id="171"/>
      <w:bookmarkEnd w:id="172"/>
    </w:p>
    <w:p w14:paraId="440AD550">
      <w:pPr>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12.1供应商应按采购文件《供应商须知前附表》规定的数额、币种和方式在规定时间内提交投标保证金，并作为其投标的一部分。供应商为联合体的，可以由联合体中的一方或者多方共同交纳保证金，其交纳的保证金对联合体各方均具有约束力。</w:t>
      </w:r>
    </w:p>
    <w:p w14:paraId="34632354">
      <w:pPr>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12.2在规定时间前到达采购代理机构指定账户的投标保证金，由银行开出回单，采购代理机构不另开收据。（供应商交款时应向银行提供项目编号）；</w:t>
      </w:r>
    </w:p>
    <w:p w14:paraId="05245C02">
      <w:pPr>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12.3凡未按规定交纳投标保证金的投标，为无效投标。</w:t>
      </w:r>
    </w:p>
    <w:p w14:paraId="23070ECD">
      <w:pPr>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12.4未中标的供应商保证金，在成交通知书发出后五个工作日内不计利息原额退还。</w:t>
      </w:r>
    </w:p>
    <w:p w14:paraId="5A7DB7F4">
      <w:pPr>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12.5成交供应商的投标保证金，在成交供应商与采购人签订采购合同后5个工作日内不计利息原额退还。</w:t>
      </w:r>
    </w:p>
    <w:p w14:paraId="02955CC8">
      <w:pPr>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12.6有下列情形之一的，投标保证金将被依法没收并上缴同级国库：</w:t>
      </w:r>
    </w:p>
    <w:p w14:paraId="7E76F1C9">
      <w:pPr>
        <w:tabs>
          <w:tab w:val="left" w:pos="735"/>
        </w:tabs>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 中标后无正当理由放弃中标或不与采购人签订合同的；</w:t>
      </w:r>
    </w:p>
    <w:p w14:paraId="2491E3E8">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2） 将中标项目转让给他人，或者在响应文件中未说明，且未经采购人同意，违反采购文件规定，将中标项目分包给他人的。</w:t>
      </w:r>
    </w:p>
    <w:p w14:paraId="5CBA17C3">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3） 法律法规规定的其它情形。</w:t>
      </w:r>
    </w:p>
    <w:p w14:paraId="459B808C">
      <w:pPr>
        <w:pStyle w:val="4"/>
        <w:spacing w:before="100" w:line="360" w:lineRule="auto"/>
        <w:ind w:firstLine="480"/>
        <w:rPr>
          <w:rFonts w:ascii="宋体" w:hAnsi="宋体" w:eastAsia="宋体"/>
          <w:color w:val="auto"/>
          <w:sz w:val="24"/>
          <w:szCs w:val="24"/>
          <w:highlight w:val="none"/>
        </w:rPr>
      </w:pPr>
      <w:bookmarkStart w:id="173" w:name="_Toc6322250"/>
      <w:bookmarkStart w:id="174" w:name="_Toc230597966"/>
      <w:bookmarkStart w:id="175" w:name="_Toc462677197"/>
      <w:bookmarkStart w:id="176" w:name="_Toc222823292"/>
      <w:bookmarkStart w:id="177" w:name="_Toc259090951"/>
      <w:bookmarkStart w:id="178" w:name="_Toc42923352"/>
      <w:bookmarkStart w:id="179" w:name="_Toc67046866"/>
      <w:r>
        <w:rPr>
          <w:rFonts w:hint="eastAsia" w:ascii="宋体" w:hAnsi="宋体" w:eastAsia="宋体"/>
          <w:color w:val="auto"/>
          <w:sz w:val="24"/>
          <w:szCs w:val="24"/>
          <w:highlight w:val="none"/>
        </w:rPr>
        <w:t>13．</w:t>
      </w:r>
      <w:bookmarkEnd w:id="173"/>
      <w:bookmarkEnd w:id="174"/>
      <w:bookmarkEnd w:id="175"/>
      <w:bookmarkEnd w:id="176"/>
      <w:bookmarkEnd w:id="177"/>
      <w:bookmarkEnd w:id="178"/>
      <w:bookmarkEnd w:id="179"/>
      <w:r>
        <w:rPr>
          <w:rFonts w:hint="eastAsia" w:ascii="宋体" w:hAnsi="宋体" w:eastAsia="宋体"/>
          <w:color w:val="auto"/>
          <w:sz w:val="24"/>
          <w:szCs w:val="24"/>
          <w:highlight w:val="none"/>
        </w:rPr>
        <w:t>响应有效期</w:t>
      </w:r>
    </w:p>
    <w:p w14:paraId="3B0E0DC3">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13.1响应文件应在《供应商须知前附表》规定的时间内保持有效。响应有效期比规定时间短的将作无效投标处理。</w:t>
      </w:r>
    </w:p>
    <w:p w14:paraId="0B3B5264">
      <w:pPr>
        <w:tabs>
          <w:tab w:val="left" w:pos="8280"/>
        </w:tabs>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highlight w:val="none"/>
        </w:rPr>
        <w:t>13.2特殊情况下，采购代理机构可于响应有效期期满之前，要求供应商同意延长响应有效期，要求与答复均应为书面形式。供应商可以拒绝上述要求而其投标保证金不被没收。对于同意该要求的供应商，既不要求也不允许其修改响应文件。但将要求其相应延长投标保证金的有效期，有关退还和没收投标保证金的规定在响应有效期的延长期内继续有效。</w:t>
      </w:r>
    </w:p>
    <w:p w14:paraId="02FF6A02">
      <w:pPr>
        <w:pStyle w:val="4"/>
        <w:spacing w:before="100" w:line="360" w:lineRule="auto"/>
        <w:ind w:firstLine="480"/>
        <w:rPr>
          <w:rFonts w:ascii="宋体" w:hAnsi="宋体" w:eastAsia="宋体"/>
          <w:color w:val="auto"/>
          <w:sz w:val="24"/>
          <w:szCs w:val="24"/>
          <w:highlight w:val="none"/>
        </w:rPr>
      </w:pPr>
      <w:bookmarkStart w:id="180" w:name="_Toc67046867"/>
      <w:bookmarkStart w:id="181" w:name="_Toc462677198"/>
      <w:bookmarkStart w:id="182" w:name="_Toc6322251"/>
      <w:bookmarkStart w:id="183" w:name="_Toc259090952"/>
      <w:r>
        <w:rPr>
          <w:rFonts w:hint="eastAsia" w:ascii="宋体" w:hAnsi="宋体" w:eastAsia="宋体"/>
          <w:color w:val="auto"/>
          <w:sz w:val="24"/>
          <w:szCs w:val="24"/>
          <w:highlight w:val="none"/>
        </w:rPr>
        <w:t>14．响应文件的数量和签署</w:t>
      </w:r>
      <w:bookmarkEnd w:id="180"/>
      <w:bookmarkEnd w:id="181"/>
      <w:bookmarkEnd w:id="182"/>
      <w:bookmarkEnd w:id="183"/>
    </w:p>
    <w:p w14:paraId="4EF6925A">
      <w:pPr>
        <w:pStyle w:val="25"/>
        <w:adjustRightInd w:val="0"/>
        <w:snapToGrid w:val="0"/>
        <w:spacing w:line="360" w:lineRule="auto"/>
        <w:ind w:firstLine="420" w:firstLineChars="200"/>
        <w:rPr>
          <w:rFonts w:ascii="宋体" w:hAnsi="宋体" w:eastAsia="宋体" w:cs="微软雅黑"/>
          <w:color w:val="auto"/>
          <w:kern w:val="0"/>
          <w:szCs w:val="24"/>
          <w:highlight w:val="none"/>
        </w:rPr>
      </w:pPr>
      <w:r>
        <w:rPr>
          <w:rFonts w:hint="eastAsia" w:ascii="宋体" w:hAnsi="宋体" w:eastAsia="宋体" w:cs="微软雅黑"/>
          <w:color w:val="auto"/>
          <w:kern w:val="0"/>
          <w:szCs w:val="24"/>
          <w:highlight w:val="none"/>
        </w:rPr>
        <w:t>14.1 供应商应按《供应商须知前附表》规定的数量提交响应文件，响应文件的副本可采用正本的复印件。</w:t>
      </w:r>
      <w:r>
        <w:rPr>
          <w:rFonts w:hint="eastAsia" w:ascii="宋体" w:hAnsi="宋体" w:eastAsia="宋体" w:cs="宋体"/>
          <w:color w:val="auto"/>
          <w:highlight w:val="none"/>
        </w:rPr>
        <w:t>响应文件原则上采用A4纸制做，双面打印。</w:t>
      </w:r>
      <w:r>
        <w:rPr>
          <w:rFonts w:hint="eastAsia" w:ascii="宋体" w:hAnsi="宋体" w:eastAsia="宋体" w:cs="微软雅黑"/>
          <w:color w:val="auto"/>
          <w:kern w:val="0"/>
          <w:szCs w:val="24"/>
          <w:highlight w:val="none"/>
        </w:rPr>
        <w:t>每套响应文件需清楚地标明“正本”、“副本”。若副本与正本不符，以正本为准。</w:t>
      </w:r>
    </w:p>
    <w:p w14:paraId="7D173682">
      <w:pPr>
        <w:pStyle w:val="25"/>
        <w:adjustRightInd w:val="0"/>
        <w:snapToGrid w:val="0"/>
        <w:spacing w:line="360" w:lineRule="auto"/>
        <w:ind w:firstLine="420" w:firstLineChars="200"/>
        <w:rPr>
          <w:rFonts w:ascii="宋体" w:hAnsi="宋体" w:eastAsia="宋体" w:cs="微软雅黑"/>
          <w:color w:val="auto"/>
          <w:kern w:val="0"/>
          <w:szCs w:val="24"/>
          <w:highlight w:val="none"/>
        </w:rPr>
      </w:pPr>
      <w:r>
        <w:rPr>
          <w:rFonts w:hint="eastAsia" w:ascii="宋体" w:hAnsi="宋体" w:eastAsia="宋体" w:cs="宋体"/>
          <w:color w:val="auto"/>
          <w:highlight w:val="none"/>
        </w:rPr>
        <w:t>供应商应按</w:t>
      </w:r>
      <w:r>
        <w:rPr>
          <w:rFonts w:hint="eastAsia" w:ascii="宋体" w:hAnsi="宋体" w:eastAsia="宋体" w:cs="宋体"/>
          <w:bCs/>
          <w:color w:val="auto"/>
          <w:highlight w:val="none"/>
        </w:rPr>
        <w:t>响应资料表</w:t>
      </w:r>
      <w:r>
        <w:rPr>
          <w:rFonts w:hint="eastAsia" w:ascii="宋体" w:hAnsi="宋体" w:eastAsia="宋体" w:cs="宋体"/>
          <w:color w:val="auto"/>
          <w:highlight w:val="none"/>
        </w:rPr>
        <w:t>的规定，同时提交电子版的响应文件。电子版的响应文件</w:t>
      </w:r>
      <w:r>
        <w:rPr>
          <w:rFonts w:hint="eastAsia" w:ascii="宋体" w:hAnsi="宋体" w:eastAsia="宋体" w:cs="微软雅黑"/>
          <w:color w:val="auto"/>
          <w:kern w:val="0"/>
          <w:szCs w:val="24"/>
          <w:highlight w:val="none"/>
        </w:rPr>
        <w:t>与纸质</w:t>
      </w:r>
      <w:r>
        <w:rPr>
          <w:rFonts w:hint="eastAsia" w:ascii="宋体" w:hAnsi="宋体" w:eastAsia="宋体" w:cs="宋体"/>
          <w:color w:val="auto"/>
          <w:highlight w:val="none"/>
        </w:rPr>
        <w:t>响应文件具有同等的法律效力。除非</w:t>
      </w:r>
      <w:r>
        <w:rPr>
          <w:rFonts w:hint="eastAsia" w:ascii="宋体" w:hAnsi="宋体" w:eastAsia="宋体" w:cs="宋体"/>
          <w:bCs/>
          <w:color w:val="auto"/>
          <w:highlight w:val="none"/>
        </w:rPr>
        <w:t>响应资料表</w:t>
      </w:r>
      <w:r>
        <w:rPr>
          <w:rFonts w:hint="eastAsia" w:ascii="宋体" w:hAnsi="宋体" w:eastAsia="宋体" w:cs="宋体"/>
          <w:color w:val="auto"/>
          <w:highlight w:val="none"/>
        </w:rPr>
        <w:t>中另有规定，电子版的响应文件与纸质响应文件不一致时，以纸质响应文件为准。</w:t>
      </w:r>
    </w:p>
    <w:p w14:paraId="19EC6C8E">
      <w:pPr>
        <w:pStyle w:val="25"/>
        <w:adjustRightInd w:val="0"/>
        <w:snapToGrid w:val="0"/>
        <w:spacing w:line="360" w:lineRule="auto"/>
        <w:ind w:firstLine="420" w:firstLineChars="200"/>
        <w:rPr>
          <w:rFonts w:ascii="宋体" w:hAnsi="宋体" w:eastAsia="宋体" w:cs="微软雅黑"/>
          <w:color w:val="auto"/>
          <w:kern w:val="0"/>
          <w:szCs w:val="24"/>
          <w:highlight w:val="none"/>
        </w:rPr>
      </w:pPr>
      <w:r>
        <w:rPr>
          <w:rFonts w:hint="eastAsia" w:ascii="宋体" w:hAnsi="宋体" w:eastAsia="宋体" w:cs="微软雅黑"/>
          <w:color w:val="auto"/>
          <w:kern w:val="0"/>
          <w:szCs w:val="24"/>
          <w:highlight w:val="none"/>
        </w:rPr>
        <w:t>14.2 响应文件的正本需打印或用不褪色墨水书写，并由单位负责人或经其正式授权的代表签字。</w:t>
      </w:r>
    </w:p>
    <w:p w14:paraId="3976C206">
      <w:pPr>
        <w:pStyle w:val="25"/>
        <w:adjustRightInd w:val="0"/>
        <w:snapToGrid w:val="0"/>
        <w:spacing w:line="360" w:lineRule="auto"/>
        <w:ind w:firstLine="420" w:firstLineChars="200"/>
        <w:rPr>
          <w:rFonts w:ascii="宋体" w:hAnsi="宋体" w:eastAsia="宋体" w:cs="微软雅黑"/>
          <w:color w:val="auto"/>
          <w:kern w:val="0"/>
          <w:szCs w:val="24"/>
          <w:highlight w:val="none"/>
        </w:rPr>
      </w:pPr>
      <w:r>
        <w:rPr>
          <w:rFonts w:hint="eastAsia" w:ascii="宋体" w:hAnsi="宋体" w:eastAsia="宋体" w:cs="微软雅黑"/>
          <w:color w:val="auto"/>
          <w:kern w:val="0"/>
          <w:szCs w:val="24"/>
          <w:highlight w:val="none"/>
        </w:rPr>
        <w:t>14.3 响应文件中的任何重要的插字、涂改和增删，必须由单位负责人或经其正式授权的代表在旁边签章或签字才有效。（暗标除外）</w:t>
      </w:r>
    </w:p>
    <w:p w14:paraId="4A4AC71B">
      <w:pPr>
        <w:pStyle w:val="25"/>
        <w:adjustRightInd w:val="0"/>
        <w:snapToGrid w:val="0"/>
        <w:spacing w:line="360" w:lineRule="auto"/>
        <w:ind w:firstLine="420" w:firstLineChars="200"/>
        <w:rPr>
          <w:rFonts w:ascii="宋体" w:hAnsi="宋体" w:eastAsia="宋体" w:cs="微软雅黑"/>
          <w:color w:val="auto"/>
          <w:kern w:val="0"/>
          <w:szCs w:val="24"/>
          <w:highlight w:val="none"/>
        </w:rPr>
      </w:pPr>
      <w:r>
        <w:rPr>
          <w:rFonts w:hint="eastAsia" w:ascii="宋体" w:hAnsi="宋体" w:eastAsia="宋体" w:cs="微软雅黑"/>
          <w:color w:val="auto"/>
          <w:kern w:val="0"/>
          <w:szCs w:val="24"/>
          <w:highlight w:val="none"/>
        </w:rPr>
        <w:t>14.4采购文件中已明示需盖章签名处，均须加盖供应商公章（联合体投标的，除“响应文件格式”要求联合体各方均须加盖公章外，可加盖由联合投标协议约定的负责办理投标事宜单位的公章，没有约定的则加盖各方公章），并经供应商单位负责人（联合体投标的，指联合投标协议约定的负责办理投标事宜单位的负责人，没有约定的则指各方负责人）或其授权委托人签名或盖章。（暗标除外）</w:t>
      </w:r>
    </w:p>
    <w:p w14:paraId="763A41EF">
      <w:pPr>
        <w:pStyle w:val="25"/>
        <w:adjustRightInd w:val="0"/>
        <w:snapToGrid w:val="0"/>
        <w:spacing w:line="360" w:lineRule="auto"/>
        <w:ind w:firstLine="420" w:firstLineChars="200"/>
        <w:rPr>
          <w:rFonts w:ascii="宋体" w:hAnsi="宋体" w:eastAsia="宋体" w:cs="宋体"/>
          <w:color w:val="auto"/>
          <w:kern w:val="0"/>
          <w:szCs w:val="24"/>
          <w:highlight w:val="none"/>
        </w:rPr>
      </w:pPr>
      <w:r>
        <w:rPr>
          <w:rFonts w:hint="eastAsia" w:ascii="宋体" w:hAnsi="宋体" w:eastAsia="宋体" w:cs="微软雅黑"/>
          <w:color w:val="auto"/>
          <w:kern w:val="0"/>
          <w:szCs w:val="24"/>
          <w:highlight w:val="none"/>
        </w:rPr>
        <w:t>14.5电报、电话、传真形式的响应文件概不接受。</w:t>
      </w:r>
    </w:p>
    <w:p w14:paraId="5AB34D02">
      <w:pPr>
        <w:pStyle w:val="5"/>
        <w:spacing w:before="40" w:after="40" w:line="360" w:lineRule="auto"/>
        <w:ind w:firstLine="560"/>
        <w:rPr>
          <w:rFonts w:ascii="宋体" w:hAnsi="宋体" w:eastAsia="宋体"/>
          <w:color w:val="auto"/>
          <w:sz w:val="28"/>
          <w:szCs w:val="28"/>
          <w:highlight w:val="none"/>
        </w:rPr>
      </w:pPr>
      <w:bookmarkStart w:id="184" w:name="_Toc259090953"/>
      <w:bookmarkStart w:id="185" w:name="_Toc68789517"/>
      <w:bookmarkStart w:id="186" w:name="_Toc24661"/>
      <w:bookmarkStart w:id="187" w:name="_Toc283"/>
      <w:bookmarkStart w:id="188" w:name="_Toc9833"/>
      <w:bookmarkStart w:id="189" w:name="_Toc5360"/>
      <w:bookmarkStart w:id="190" w:name="_Toc8751"/>
      <w:bookmarkStart w:id="191" w:name="_Toc67046868"/>
      <w:bookmarkStart w:id="192" w:name="_Toc9338"/>
      <w:bookmarkStart w:id="193" w:name="_Toc462677199"/>
      <w:bookmarkStart w:id="194" w:name="_Toc70528442"/>
      <w:bookmarkStart w:id="195" w:name="_Toc21213"/>
      <w:bookmarkStart w:id="196" w:name="_Toc11941"/>
      <w:r>
        <w:rPr>
          <w:rFonts w:hint="eastAsia" w:ascii="宋体" w:hAnsi="宋体" w:eastAsia="宋体"/>
          <w:color w:val="auto"/>
          <w:sz w:val="28"/>
          <w:szCs w:val="28"/>
          <w:highlight w:val="none"/>
        </w:rPr>
        <w:t>四、响应文件的递交</w:t>
      </w:r>
      <w:bookmarkEnd w:id="184"/>
      <w:bookmarkEnd w:id="185"/>
      <w:bookmarkEnd w:id="186"/>
      <w:bookmarkEnd w:id="187"/>
      <w:bookmarkEnd w:id="188"/>
      <w:bookmarkEnd w:id="189"/>
      <w:bookmarkEnd w:id="190"/>
      <w:bookmarkEnd w:id="191"/>
      <w:bookmarkEnd w:id="192"/>
      <w:bookmarkEnd w:id="193"/>
      <w:bookmarkEnd w:id="194"/>
      <w:bookmarkEnd w:id="195"/>
      <w:bookmarkEnd w:id="196"/>
    </w:p>
    <w:p w14:paraId="2C42D564">
      <w:pPr>
        <w:pStyle w:val="4"/>
        <w:spacing w:before="100" w:line="360" w:lineRule="auto"/>
        <w:ind w:firstLine="480"/>
        <w:rPr>
          <w:rFonts w:ascii="宋体" w:hAnsi="宋体" w:eastAsia="宋体"/>
          <w:color w:val="auto"/>
          <w:sz w:val="24"/>
          <w:szCs w:val="24"/>
          <w:highlight w:val="none"/>
        </w:rPr>
      </w:pPr>
      <w:bookmarkStart w:id="197" w:name="_Toc259090954"/>
      <w:bookmarkStart w:id="198" w:name="_Toc6322253"/>
      <w:bookmarkStart w:id="199" w:name="_Toc462677200"/>
      <w:bookmarkStart w:id="200" w:name="_Toc67046869"/>
      <w:r>
        <w:rPr>
          <w:rFonts w:hint="eastAsia" w:ascii="宋体" w:hAnsi="宋体" w:eastAsia="宋体"/>
          <w:color w:val="auto"/>
          <w:sz w:val="24"/>
          <w:szCs w:val="24"/>
          <w:highlight w:val="none"/>
        </w:rPr>
        <w:t>15．响应文件的密封和标记</w:t>
      </w:r>
      <w:bookmarkEnd w:id="197"/>
      <w:bookmarkEnd w:id="198"/>
      <w:bookmarkEnd w:id="199"/>
      <w:bookmarkEnd w:id="200"/>
    </w:p>
    <w:p w14:paraId="470988E7">
      <w:pPr>
        <w:pStyle w:val="25"/>
        <w:tabs>
          <w:tab w:val="left" w:pos="7740"/>
        </w:tabs>
        <w:adjustRightInd w:val="0"/>
        <w:snapToGrid w:val="0"/>
        <w:spacing w:line="360" w:lineRule="auto"/>
        <w:ind w:firstLine="420" w:firstLineChars="200"/>
        <w:rPr>
          <w:rFonts w:ascii="宋体" w:hAnsi="宋体" w:eastAsia="宋体" w:cs="宋体"/>
          <w:bCs/>
          <w:color w:val="auto"/>
          <w:kern w:val="0"/>
          <w:szCs w:val="24"/>
          <w:highlight w:val="none"/>
        </w:rPr>
      </w:pPr>
      <w:r>
        <w:rPr>
          <w:rFonts w:hint="eastAsia" w:ascii="宋体" w:hAnsi="宋体" w:eastAsia="宋体" w:cs="宋体"/>
          <w:bCs/>
          <w:color w:val="auto"/>
          <w:kern w:val="0"/>
          <w:szCs w:val="24"/>
          <w:highlight w:val="none"/>
        </w:rPr>
        <w:t>15.1响应文件的密封：响应文件正本与副本可以单独密封包装，也可以所有响应文件密封包装在一个密封袋内。密封袋的封口处应粘贴处理。</w:t>
      </w:r>
    </w:p>
    <w:p w14:paraId="3251BC54">
      <w:pPr>
        <w:pStyle w:val="25"/>
        <w:tabs>
          <w:tab w:val="left" w:pos="7740"/>
        </w:tabs>
        <w:adjustRightInd w:val="0"/>
        <w:snapToGrid w:val="0"/>
        <w:spacing w:line="360" w:lineRule="auto"/>
        <w:ind w:firstLine="420" w:firstLineChars="200"/>
        <w:rPr>
          <w:rFonts w:ascii="宋体" w:hAnsi="宋体" w:eastAsia="宋体" w:cs="宋体"/>
          <w:bCs/>
          <w:color w:val="auto"/>
          <w:kern w:val="0"/>
          <w:szCs w:val="24"/>
          <w:highlight w:val="none"/>
        </w:rPr>
      </w:pPr>
      <w:r>
        <w:rPr>
          <w:rFonts w:hint="eastAsia" w:ascii="宋体" w:hAnsi="宋体" w:eastAsia="宋体" w:cs="宋体"/>
          <w:bCs/>
          <w:color w:val="auto"/>
          <w:kern w:val="0"/>
          <w:szCs w:val="24"/>
          <w:highlight w:val="none"/>
        </w:rPr>
        <w:t>15.2电子文件内容：是指将按采购文件要求签署、盖章后的正本响应文件扫描成PDF格式后拷贝至U盘或光盘。电子文件与正本响应文件一同密封。</w:t>
      </w:r>
    </w:p>
    <w:p w14:paraId="24FF9C0F">
      <w:pPr>
        <w:pStyle w:val="25"/>
        <w:tabs>
          <w:tab w:val="left" w:pos="7740"/>
        </w:tabs>
        <w:adjustRightInd w:val="0"/>
        <w:snapToGrid w:val="0"/>
        <w:spacing w:line="360" w:lineRule="auto"/>
        <w:ind w:firstLine="420" w:firstLineChars="200"/>
        <w:rPr>
          <w:rFonts w:ascii="宋体" w:hAnsi="宋体" w:eastAsia="宋体" w:cs="宋体"/>
          <w:bCs/>
          <w:color w:val="auto"/>
          <w:kern w:val="0"/>
          <w:szCs w:val="24"/>
          <w:highlight w:val="none"/>
        </w:rPr>
      </w:pPr>
      <w:r>
        <w:rPr>
          <w:rFonts w:hint="eastAsia" w:ascii="宋体" w:hAnsi="宋体" w:eastAsia="宋体" w:cs="宋体"/>
          <w:bCs/>
          <w:color w:val="auto"/>
          <w:kern w:val="0"/>
          <w:szCs w:val="24"/>
          <w:highlight w:val="none"/>
        </w:rPr>
        <w:t>15.3外包装上</w:t>
      </w:r>
    </w:p>
    <w:p w14:paraId="769A36BA">
      <w:pPr>
        <w:autoSpaceDE w:val="0"/>
        <w:autoSpaceDN w:val="0"/>
        <w:adjustRightInd w:val="0"/>
        <w:snapToGrid w:val="0"/>
        <w:spacing w:line="360" w:lineRule="auto"/>
        <w:ind w:firstLine="630" w:firstLineChars="300"/>
        <w:rPr>
          <w:color w:val="auto"/>
          <w:highlight w:val="none"/>
        </w:rPr>
      </w:pPr>
      <w:r>
        <w:rPr>
          <w:rFonts w:hint="eastAsia" w:ascii="宋体" w:hAnsi="宋体" w:cs="宋体"/>
          <w:bCs/>
          <w:color w:val="auto"/>
          <w:kern w:val="0"/>
          <w:highlight w:val="none"/>
        </w:rPr>
        <w:t>信封或外包装上</w:t>
      </w:r>
      <w:r>
        <w:rPr>
          <w:rFonts w:hint="eastAsia" w:ascii="宋体" w:hAnsi="宋体" w:cs="宋体"/>
          <w:color w:val="auto"/>
          <w:szCs w:val="21"/>
          <w:highlight w:val="none"/>
        </w:rPr>
        <w:t>每一密封的信封封面上应按以下要求清楚标明：</w:t>
      </w:r>
    </w:p>
    <w:p w14:paraId="162B2535">
      <w:pPr>
        <w:autoSpaceDE w:val="0"/>
        <w:autoSpaceDN w:val="0"/>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        “项目名称：</w:t>
      </w:r>
      <w:r>
        <w:rPr>
          <w:rFonts w:hint="eastAsia" w:ascii="宋体" w:hAnsi="宋体" w:cs="宋体"/>
          <w:color w:val="auto"/>
          <w:szCs w:val="21"/>
          <w:highlight w:val="none"/>
          <w:u w:val="single"/>
        </w:rPr>
        <w:t xml:space="preserve">    （按磋商邀请填写）          </w:t>
      </w:r>
    </w:p>
    <w:p w14:paraId="5DA11D7D">
      <w:pPr>
        <w:autoSpaceDE w:val="0"/>
        <w:autoSpaceDN w:val="0"/>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        采购项目编号：</w:t>
      </w:r>
      <w:r>
        <w:rPr>
          <w:rFonts w:hint="eastAsia" w:ascii="宋体" w:hAnsi="宋体" w:cs="宋体"/>
          <w:color w:val="auto"/>
          <w:szCs w:val="21"/>
          <w:highlight w:val="none"/>
          <w:u w:val="single"/>
        </w:rPr>
        <w:t xml:space="preserve">    （按磋商邀请填写）        </w:t>
      </w:r>
    </w:p>
    <w:p w14:paraId="7800639D">
      <w:pPr>
        <w:autoSpaceDE w:val="0"/>
        <w:autoSpaceDN w:val="0"/>
        <w:adjustRightInd w:val="0"/>
        <w:snapToGrid w:val="0"/>
        <w:spacing w:line="360" w:lineRule="auto"/>
        <w:rPr>
          <w:color w:val="auto"/>
          <w:highlight w:val="none"/>
          <w:u w:val="single"/>
        </w:rPr>
      </w:pPr>
      <w:r>
        <w:rPr>
          <w:rFonts w:hint="eastAsia" w:ascii="宋体" w:hAnsi="宋体" w:cs="宋体"/>
          <w:color w:val="auto"/>
          <w:szCs w:val="21"/>
          <w:highlight w:val="none"/>
        </w:rPr>
        <w:t xml:space="preserve">        包组号：</w:t>
      </w:r>
      <w:r>
        <w:rPr>
          <w:rFonts w:hint="eastAsia" w:ascii="宋体" w:hAnsi="宋体" w:cs="宋体"/>
          <w:color w:val="auto"/>
          <w:szCs w:val="21"/>
          <w:highlight w:val="none"/>
          <w:u w:val="single"/>
        </w:rPr>
        <w:t xml:space="preserve">             </w:t>
      </w:r>
      <w:r>
        <w:rPr>
          <w:rFonts w:hint="eastAsia" w:ascii="宋体" w:hAnsi="宋体" w:cs="宋体"/>
          <w:bCs/>
          <w:color w:val="auto"/>
          <w:kern w:val="0"/>
          <w:highlight w:val="none"/>
          <w:u w:val="single"/>
        </w:rPr>
        <w:t xml:space="preserve">（如有）               </w:t>
      </w:r>
    </w:p>
    <w:p w14:paraId="07D87B7D">
      <w:pPr>
        <w:autoSpaceDE w:val="0"/>
        <w:autoSpaceDN w:val="0"/>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供应商：</w:t>
      </w:r>
      <w:r>
        <w:rPr>
          <w:rFonts w:hint="eastAsia" w:ascii="宋体" w:hAnsi="宋体" w:cs="宋体"/>
          <w:color w:val="auto"/>
          <w:szCs w:val="21"/>
          <w:highlight w:val="none"/>
          <w:u w:val="single"/>
        </w:rPr>
        <w:t xml:space="preserve">          （供应商全称）            </w:t>
      </w:r>
    </w:p>
    <w:p w14:paraId="40B902B9">
      <w:pPr>
        <w:autoSpaceDE w:val="0"/>
        <w:autoSpaceDN w:val="0"/>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        供应商地址：</w:t>
      </w:r>
      <w:r>
        <w:rPr>
          <w:rFonts w:hint="eastAsia" w:ascii="宋体" w:hAnsi="宋体" w:cs="宋体"/>
          <w:color w:val="auto"/>
          <w:szCs w:val="21"/>
          <w:highlight w:val="none"/>
          <w:u w:val="single"/>
        </w:rPr>
        <w:t xml:space="preserve">   （供应商详细地址）           </w:t>
      </w:r>
    </w:p>
    <w:p w14:paraId="7BFEDD2E">
      <w:pPr>
        <w:autoSpaceDE w:val="0"/>
        <w:autoSpaceDN w:val="0"/>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日之前不得启封”的字样。</w:t>
      </w:r>
    </w:p>
    <w:p w14:paraId="369219B4">
      <w:pPr>
        <w:autoSpaceDE w:val="0"/>
        <w:autoSpaceDN w:val="0"/>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b/>
          <w:bCs/>
          <w:color w:val="auto"/>
          <w:szCs w:val="21"/>
          <w:highlight w:val="none"/>
        </w:rPr>
        <w:t>注：日期按投标截止时间填写</w:t>
      </w:r>
      <w:r>
        <w:rPr>
          <w:rFonts w:hint="eastAsia" w:ascii="宋体" w:hAnsi="宋体" w:cs="宋体"/>
          <w:color w:val="auto"/>
          <w:szCs w:val="21"/>
          <w:highlight w:val="none"/>
        </w:rPr>
        <w:t>。</w:t>
      </w:r>
    </w:p>
    <w:p w14:paraId="26A033D0">
      <w:pPr>
        <w:pStyle w:val="25"/>
        <w:tabs>
          <w:tab w:val="left" w:pos="7740"/>
        </w:tabs>
        <w:adjustRightInd w:val="0"/>
        <w:snapToGrid w:val="0"/>
        <w:spacing w:line="360" w:lineRule="auto"/>
        <w:ind w:firstLine="420" w:firstLineChars="200"/>
        <w:rPr>
          <w:rFonts w:ascii="宋体" w:hAnsi="宋体" w:eastAsia="宋体" w:cs="宋体"/>
          <w:bCs/>
          <w:color w:val="auto"/>
          <w:kern w:val="0"/>
          <w:szCs w:val="24"/>
          <w:highlight w:val="none"/>
        </w:rPr>
      </w:pPr>
      <w:r>
        <w:rPr>
          <w:rFonts w:hint="eastAsia" w:ascii="宋体" w:hAnsi="宋体" w:eastAsia="宋体" w:cs="宋体"/>
          <w:bCs/>
          <w:color w:val="auto"/>
          <w:kern w:val="0"/>
          <w:szCs w:val="24"/>
          <w:highlight w:val="none"/>
        </w:rPr>
        <w:t>15.4如果未按本须知上款要求加写标记和密封，采购代理机构对误投或提前启封概不负责。</w:t>
      </w:r>
    </w:p>
    <w:p w14:paraId="606A6A19">
      <w:pPr>
        <w:pStyle w:val="25"/>
        <w:tabs>
          <w:tab w:val="left" w:pos="7740"/>
        </w:tabs>
        <w:adjustRightInd w:val="0"/>
        <w:snapToGrid w:val="0"/>
        <w:spacing w:line="360" w:lineRule="auto"/>
        <w:ind w:firstLine="420" w:firstLineChars="200"/>
        <w:rPr>
          <w:rFonts w:ascii="宋体" w:hAnsi="宋体" w:eastAsia="宋体" w:cs="宋体"/>
          <w:bCs/>
          <w:color w:val="auto"/>
          <w:kern w:val="0"/>
          <w:szCs w:val="24"/>
          <w:highlight w:val="none"/>
        </w:rPr>
      </w:pPr>
      <w:r>
        <w:rPr>
          <w:rFonts w:hint="eastAsia" w:ascii="宋体" w:hAnsi="宋体" w:eastAsia="宋体" w:cs="宋体"/>
          <w:bCs/>
          <w:color w:val="auto"/>
          <w:kern w:val="0"/>
          <w:szCs w:val="24"/>
          <w:highlight w:val="none"/>
        </w:rPr>
        <w:t>15.5响应文件未密封的或在递交截止时间后递交的，采购代理机构将拒绝接收。</w:t>
      </w:r>
    </w:p>
    <w:p w14:paraId="2E3BBCE5">
      <w:pPr>
        <w:pStyle w:val="4"/>
        <w:spacing w:before="100" w:line="360" w:lineRule="auto"/>
        <w:ind w:firstLine="480"/>
        <w:rPr>
          <w:rFonts w:ascii="宋体" w:hAnsi="宋体" w:eastAsia="宋体"/>
          <w:color w:val="auto"/>
          <w:sz w:val="24"/>
          <w:szCs w:val="24"/>
          <w:highlight w:val="none"/>
        </w:rPr>
      </w:pPr>
      <w:bookmarkStart w:id="201" w:name="_Toc462677201"/>
      <w:bookmarkStart w:id="202" w:name="_Toc259090955"/>
      <w:bookmarkStart w:id="203" w:name="_Toc6322254"/>
      <w:bookmarkStart w:id="204" w:name="_Toc67046870"/>
      <w:r>
        <w:rPr>
          <w:rFonts w:hint="eastAsia" w:ascii="宋体" w:hAnsi="宋体" w:eastAsia="宋体"/>
          <w:color w:val="auto"/>
          <w:sz w:val="24"/>
          <w:szCs w:val="24"/>
          <w:highlight w:val="none"/>
        </w:rPr>
        <w:t>16．投标截止期</w:t>
      </w:r>
      <w:bookmarkEnd w:id="201"/>
      <w:bookmarkEnd w:id="202"/>
      <w:bookmarkEnd w:id="203"/>
      <w:bookmarkEnd w:id="204"/>
    </w:p>
    <w:p w14:paraId="11D423E5">
      <w:pPr>
        <w:pStyle w:val="25"/>
        <w:tabs>
          <w:tab w:val="left" w:pos="7740"/>
        </w:tabs>
        <w:adjustRightInd w:val="0"/>
        <w:snapToGrid w:val="0"/>
        <w:spacing w:line="360" w:lineRule="auto"/>
        <w:ind w:firstLine="420" w:firstLineChars="200"/>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16.1采购单位在《供应商须知前附表》中规定的地点和投标截止时间之前接收响应文件，超过截止时点后的投标为无效投标。</w:t>
      </w:r>
    </w:p>
    <w:p w14:paraId="76AD9179">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kern w:val="0"/>
          <w:szCs w:val="24"/>
          <w:highlight w:val="none"/>
        </w:rPr>
        <w:t>16.2采购单位可以按本须知5.条款规定，通过修改采购文件自行决定酌情延长投标截止期。在此情况下，采购单位和供应商受投标截止期制约的所有权利和义务均应延长至新的截止期。</w:t>
      </w:r>
    </w:p>
    <w:p w14:paraId="0F554E99">
      <w:pPr>
        <w:pStyle w:val="4"/>
        <w:spacing w:before="100" w:line="360" w:lineRule="auto"/>
        <w:ind w:firstLine="480"/>
        <w:rPr>
          <w:rFonts w:ascii="宋体" w:hAnsi="宋体" w:eastAsia="宋体"/>
          <w:color w:val="auto"/>
          <w:sz w:val="24"/>
          <w:szCs w:val="24"/>
          <w:highlight w:val="none"/>
        </w:rPr>
      </w:pPr>
      <w:bookmarkStart w:id="205" w:name="_Toc462677202"/>
      <w:bookmarkStart w:id="206" w:name="_Toc6322255"/>
      <w:bookmarkStart w:id="207" w:name="_Toc67046871"/>
      <w:bookmarkStart w:id="208" w:name="_Toc259090956"/>
      <w:r>
        <w:rPr>
          <w:rFonts w:hint="eastAsia" w:ascii="宋体" w:hAnsi="宋体" w:eastAsia="宋体"/>
          <w:color w:val="auto"/>
          <w:sz w:val="24"/>
          <w:szCs w:val="24"/>
          <w:highlight w:val="none"/>
        </w:rPr>
        <w:t>17．响应文件的修改和撤回</w:t>
      </w:r>
      <w:bookmarkEnd w:id="205"/>
      <w:bookmarkEnd w:id="206"/>
      <w:bookmarkEnd w:id="207"/>
      <w:bookmarkEnd w:id="208"/>
    </w:p>
    <w:p w14:paraId="747B114E">
      <w:pPr>
        <w:pStyle w:val="25"/>
        <w:tabs>
          <w:tab w:val="left" w:pos="7740"/>
        </w:tabs>
        <w:adjustRightInd w:val="0"/>
        <w:snapToGrid w:val="0"/>
        <w:spacing w:line="360" w:lineRule="auto"/>
        <w:ind w:firstLine="420" w:firstLineChars="200"/>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17.1供应商在投标截止时间前，可以对所递交的响应文件进行补充、修改或者撤回，并书面通知采购单位。补充、修改的内容应当按采购文件要求签署、盖章，并作为响应文件的组成部分。在投标截止时点之后，供应商不得对其响应文件做任何修改和补充。</w:t>
      </w:r>
    </w:p>
    <w:p w14:paraId="032DE93A">
      <w:pPr>
        <w:tabs>
          <w:tab w:val="left" w:pos="7740"/>
        </w:tabs>
        <w:autoSpaceDE w:val="0"/>
        <w:autoSpaceDN w:val="0"/>
        <w:adjustRightInd w:val="0"/>
        <w:snapToGrid w:val="0"/>
        <w:spacing w:before="3" w:line="360" w:lineRule="auto"/>
        <w:ind w:firstLine="420" w:firstLineChars="200"/>
        <w:rPr>
          <w:rFonts w:ascii="宋体" w:hAnsi="宋体"/>
          <w:color w:val="auto"/>
          <w:kern w:val="0"/>
          <w:highlight w:val="none"/>
        </w:rPr>
      </w:pPr>
      <w:r>
        <w:rPr>
          <w:rFonts w:hint="eastAsia" w:ascii="宋体" w:hAnsi="宋体"/>
          <w:color w:val="auto"/>
          <w:kern w:val="0"/>
          <w:highlight w:val="none"/>
        </w:rPr>
        <w:t>17.2供应商在递交响应文件后，可以撤回其投标，但供应商必须在规定的投标截止时点前以书面形式告知采购单位。从投标截止期至供应商承诺的响应有效期内，供应商不得撤回其投标，否则其投标保证金将被没收。</w:t>
      </w:r>
    </w:p>
    <w:p w14:paraId="53843FCA">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17.3供应商所提交的响应文件在评标结束后，无论中标与否都不退还。</w:t>
      </w:r>
    </w:p>
    <w:p w14:paraId="23F72B2B">
      <w:pPr>
        <w:pStyle w:val="5"/>
        <w:spacing w:before="40" w:after="40" w:line="360" w:lineRule="auto"/>
        <w:ind w:firstLine="560"/>
        <w:rPr>
          <w:rFonts w:ascii="宋体" w:hAnsi="宋体" w:eastAsia="宋体"/>
          <w:color w:val="auto"/>
          <w:sz w:val="28"/>
          <w:szCs w:val="28"/>
          <w:highlight w:val="none"/>
        </w:rPr>
      </w:pPr>
      <w:bookmarkStart w:id="209" w:name="_Toc5070"/>
      <w:bookmarkStart w:id="210" w:name="_Toc22841"/>
      <w:bookmarkStart w:id="211" w:name="_Toc67046872"/>
      <w:bookmarkStart w:id="212" w:name="_Toc259090957"/>
      <w:bookmarkStart w:id="213" w:name="_Toc12322"/>
      <w:bookmarkStart w:id="214" w:name="_Toc462677203"/>
      <w:bookmarkStart w:id="215" w:name="_Toc218"/>
      <w:bookmarkStart w:id="216" w:name="_Toc68789518"/>
      <w:bookmarkStart w:id="217" w:name="_Toc12985"/>
      <w:bookmarkStart w:id="218" w:name="_Toc70528443"/>
      <w:bookmarkStart w:id="219" w:name="_Toc32563"/>
      <w:bookmarkStart w:id="220" w:name="_Toc11462"/>
      <w:bookmarkStart w:id="221" w:name="_Toc19127"/>
      <w:r>
        <w:rPr>
          <w:rFonts w:hint="eastAsia" w:ascii="宋体" w:hAnsi="宋体" w:eastAsia="宋体"/>
          <w:color w:val="auto"/>
          <w:sz w:val="28"/>
          <w:szCs w:val="28"/>
          <w:highlight w:val="none"/>
        </w:rPr>
        <w:t>五、开标、评标、定标</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71CE1234">
      <w:pPr>
        <w:pStyle w:val="4"/>
        <w:spacing w:before="100" w:line="360" w:lineRule="auto"/>
        <w:ind w:firstLine="480"/>
        <w:rPr>
          <w:rFonts w:ascii="宋体" w:hAnsi="宋体" w:eastAsia="宋体"/>
          <w:color w:val="auto"/>
          <w:sz w:val="24"/>
          <w:szCs w:val="24"/>
          <w:highlight w:val="none"/>
        </w:rPr>
      </w:pPr>
      <w:bookmarkStart w:id="222" w:name="_Toc462677204"/>
      <w:bookmarkStart w:id="223" w:name="_Toc6322257"/>
      <w:bookmarkStart w:id="224" w:name="_Toc259090958"/>
      <w:bookmarkStart w:id="225" w:name="_Toc67046873"/>
      <w:r>
        <w:rPr>
          <w:rFonts w:hint="eastAsia" w:ascii="宋体" w:hAnsi="宋体" w:eastAsia="宋体"/>
          <w:color w:val="auto"/>
          <w:sz w:val="24"/>
          <w:szCs w:val="24"/>
          <w:highlight w:val="none"/>
        </w:rPr>
        <w:t>18．开标</w:t>
      </w:r>
      <w:bookmarkEnd w:id="222"/>
      <w:bookmarkEnd w:id="223"/>
      <w:bookmarkEnd w:id="224"/>
      <w:bookmarkEnd w:id="225"/>
    </w:p>
    <w:p w14:paraId="60C43FFB">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w:t>
      </w:r>
      <w:r>
        <w:rPr>
          <w:rFonts w:ascii="宋体" w:hAnsi="宋体" w:eastAsia="宋体" w:cs="宋体"/>
          <w:color w:val="auto"/>
          <w:szCs w:val="24"/>
          <w:highlight w:val="none"/>
        </w:rPr>
        <w:t>8</w:t>
      </w:r>
      <w:r>
        <w:rPr>
          <w:rFonts w:hint="eastAsia" w:ascii="宋体" w:hAnsi="宋体" w:eastAsia="宋体" w:cs="宋体"/>
          <w:color w:val="auto"/>
          <w:szCs w:val="24"/>
          <w:highlight w:val="none"/>
        </w:rPr>
        <w:t>.1 采购单位在《供应商须知前附表》中规定的日期、时间和地点组织公开开标。开标由采购人或者采购代理机构主持，并邀请所有供应商代表参加。参加开标的代表应签名报到以证明其出席。该代表人可以是法定代表人或授权代表人。</w:t>
      </w:r>
    </w:p>
    <w:p w14:paraId="0E309E05">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highlight w:val="none"/>
        </w:rPr>
        <w:t>18.2 供应商所投的响应文件应在本项目投标截止时间前送达开标地点并在签到表上签到。逾期送达或者未按照采购文件要求密封的响应文件，采购代理机构应当拒收。</w:t>
      </w:r>
    </w:p>
    <w:p w14:paraId="5EC066A2">
      <w:pPr>
        <w:autoSpaceDE w:val="0"/>
        <w:autoSpaceDN w:val="0"/>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t>18.3 供应商未办理登记手续和未购买采购文件而向采购代理机构提交的响应文件为无效响应文件，采购代理机构将不予接收。</w:t>
      </w:r>
    </w:p>
    <w:p w14:paraId="0D145BFF">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w:t>
      </w:r>
      <w:r>
        <w:rPr>
          <w:rFonts w:ascii="宋体" w:hAnsi="宋体" w:eastAsia="宋体" w:cs="宋体"/>
          <w:color w:val="auto"/>
          <w:szCs w:val="24"/>
          <w:highlight w:val="none"/>
        </w:rPr>
        <w:t>8</w:t>
      </w:r>
      <w:r>
        <w:rPr>
          <w:rFonts w:hint="eastAsia" w:ascii="宋体" w:hAnsi="宋体" w:eastAsia="宋体" w:cs="宋体"/>
          <w:color w:val="auto"/>
          <w:szCs w:val="24"/>
          <w:highlight w:val="none"/>
        </w:rPr>
        <w:t xml:space="preserve">.4 开标时，由供应商或者其推选的代表检查响应文件的密封情况且确认无误。 </w:t>
      </w:r>
    </w:p>
    <w:p w14:paraId="3BB3D048">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w:t>
      </w:r>
      <w:r>
        <w:rPr>
          <w:rFonts w:ascii="宋体" w:hAnsi="宋体" w:eastAsia="宋体" w:cs="宋体"/>
          <w:color w:val="auto"/>
          <w:szCs w:val="24"/>
          <w:highlight w:val="none"/>
        </w:rPr>
        <w:t>8</w:t>
      </w:r>
      <w:r>
        <w:rPr>
          <w:rFonts w:hint="eastAsia" w:ascii="宋体" w:hAnsi="宋体" w:eastAsia="宋体" w:cs="宋体"/>
          <w:color w:val="auto"/>
          <w:szCs w:val="24"/>
          <w:highlight w:val="none"/>
        </w:rPr>
        <w:t>.5 供应商不足3家的，不得开标。采购代理机构应在投标截止时间后当场退还响应文件，并与供应商办理退还手续。</w:t>
      </w:r>
    </w:p>
    <w:p w14:paraId="1051FF0D">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w:t>
      </w:r>
      <w:r>
        <w:rPr>
          <w:rFonts w:ascii="宋体" w:hAnsi="宋体" w:eastAsia="宋体" w:cs="宋体"/>
          <w:color w:val="auto"/>
          <w:szCs w:val="24"/>
          <w:highlight w:val="none"/>
        </w:rPr>
        <w:t>8</w:t>
      </w:r>
      <w:r>
        <w:rPr>
          <w:rFonts w:hint="eastAsia" w:ascii="宋体" w:hAnsi="宋体" w:eastAsia="宋体" w:cs="宋体"/>
          <w:color w:val="auto"/>
          <w:szCs w:val="24"/>
          <w:highlight w:val="none"/>
        </w:rPr>
        <w:t xml:space="preserve">.6 开标过程应当由采购人或者采购代理机构负责记录，由参加开标的各供应商代表和相关工作人员签字确认后随采购文件一并存档。 </w:t>
      </w:r>
    </w:p>
    <w:p w14:paraId="3759BC2D">
      <w:pPr>
        <w:pStyle w:val="25"/>
        <w:adjustRightInd w:val="0"/>
        <w:snapToGrid w:val="0"/>
        <w:spacing w:line="360" w:lineRule="auto"/>
        <w:ind w:firstLine="420" w:firstLineChars="200"/>
        <w:rPr>
          <w:rFonts w:ascii="宋体" w:hAnsi="宋体" w:eastAsia="宋体" w:cs="宋体"/>
          <w:color w:val="auto"/>
          <w:szCs w:val="24"/>
          <w:highlight w:val="none"/>
        </w:rPr>
      </w:pPr>
      <w:r>
        <w:rPr>
          <w:rFonts w:hint="eastAsia" w:ascii="宋体" w:hAnsi="宋体" w:eastAsia="宋体" w:cs="宋体"/>
          <w:color w:val="auto"/>
          <w:szCs w:val="24"/>
          <w:highlight w:val="none"/>
        </w:rPr>
        <w:t>1</w:t>
      </w:r>
      <w:r>
        <w:rPr>
          <w:rFonts w:ascii="宋体" w:hAnsi="宋体" w:eastAsia="宋体" w:cs="宋体"/>
          <w:color w:val="auto"/>
          <w:szCs w:val="24"/>
          <w:highlight w:val="none"/>
        </w:rPr>
        <w:t>8</w:t>
      </w:r>
      <w:r>
        <w:rPr>
          <w:rFonts w:hint="eastAsia" w:ascii="宋体" w:hAnsi="宋体" w:eastAsia="宋体" w:cs="宋体"/>
          <w:color w:val="auto"/>
          <w:szCs w:val="24"/>
          <w:highlight w:val="none"/>
        </w:rPr>
        <w:t xml:space="preserve">.7 供应商代表对开标过程和开标记录有疑义，以及认为采购人、采购代理机构相关工作人员有需要回避的情形的，应当场提出询问或者回避申请。采购人、采购代理机构对供应商代表提出的询问或者回避申请应当及时处理。 </w:t>
      </w:r>
    </w:p>
    <w:p w14:paraId="2B1D81BA">
      <w:pPr>
        <w:pStyle w:val="25"/>
        <w:adjustRightInd w:val="0"/>
        <w:snapToGrid w:val="0"/>
        <w:spacing w:line="360" w:lineRule="auto"/>
        <w:ind w:firstLine="420" w:firstLineChars="200"/>
        <w:rPr>
          <w:rFonts w:ascii="宋体" w:hAnsi="宋体" w:eastAsia="宋体" w:cs="宋体"/>
          <w:color w:val="auto"/>
          <w:kern w:val="0"/>
          <w:szCs w:val="24"/>
          <w:highlight w:val="none"/>
        </w:rPr>
      </w:pPr>
      <w:r>
        <w:rPr>
          <w:rFonts w:hint="eastAsia" w:ascii="宋体" w:hAnsi="宋体" w:eastAsia="宋体" w:cs="宋体"/>
          <w:color w:val="auto"/>
          <w:szCs w:val="24"/>
          <w:highlight w:val="none"/>
        </w:rPr>
        <w:t>1</w:t>
      </w:r>
      <w:r>
        <w:rPr>
          <w:rFonts w:ascii="宋体" w:hAnsi="宋体" w:eastAsia="宋体" w:cs="宋体"/>
          <w:color w:val="auto"/>
          <w:szCs w:val="24"/>
          <w:highlight w:val="none"/>
        </w:rPr>
        <w:t>8</w:t>
      </w:r>
      <w:r>
        <w:rPr>
          <w:rFonts w:hint="eastAsia" w:ascii="宋体" w:hAnsi="宋体" w:eastAsia="宋体" w:cs="宋体"/>
          <w:color w:val="auto"/>
          <w:szCs w:val="24"/>
          <w:highlight w:val="none"/>
        </w:rPr>
        <w:t>.8 供应商未参加开标的，视同认可开标结果。</w:t>
      </w:r>
    </w:p>
    <w:p w14:paraId="2C237EDA">
      <w:pPr>
        <w:pStyle w:val="4"/>
        <w:spacing w:before="100" w:line="360" w:lineRule="auto"/>
        <w:ind w:firstLine="480"/>
        <w:rPr>
          <w:rFonts w:ascii="宋体" w:hAnsi="宋体" w:eastAsia="宋体"/>
          <w:color w:val="auto"/>
          <w:sz w:val="24"/>
          <w:szCs w:val="24"/>
          <w:highlight w:val="none"/>
        </w:rPr>
      </w:pPr>
      <w:bookmarkStart w:id="226" w:name="_Toc259090959"/>
      <w:bookmarkStart w:id="227" w:name="_Toc462677205"/>
      <w:bookmarkStart w:id="228" w:name="_Toc67046874"/>
      <w:bookmarkStart w:id="229" w:name="_Toc6322258"/>
      <w:r>
        <w:rPr>
          <w:rFonts w:hint="eastAsia" w:ascii="宋体" w:hAnsi="宋体" w:eastAsia="宋体"/>
          <w:color w:val="auto"/>
          <w:sz w:val="24"/>
          <w:szCs w:val="24"/>
          <w:highlight w:val="none"/>
        </w:rPr>
        <w:t>19．</w:t>
      </w:r>
      <w:bookmarkEnd w:id="226"/>
      <w:bookmarkEnd w:id="227"/>
      <w:bookmarkEnd w:id="228"/>
      <w:bookmarkEnd w:id="229"/>
      <w:r>
        <w:rPr>
          <w:rFonts w:hint="eastAsia" w:ascii="宋体" w:hAnsi="宋体" w:eastAsia="宋体"/>
          <w:color w:val="auto"/>
          <w:sz w:val="24"/>
          <w:szCs w:val="24"/>
          <w:highlight w:val="none"/>
        </w:rPr>
        <w:t>磋商小组</w:t>
      </w:r>
    </w:p>
    <w:p w14:paraId="25647E89">
      <w:pPr>
        <w:pStyle w:val="25"/>
        <w:adjustRightInd w:val="0"/>
        <w:snapToGrid w:val="0"/>
        <w:spacing w:line="360" w:lineRule="auto"/>
        <w:ind w:left="474" w:leftChars="1" w:hanging="472" w:hangingChars="225"/>
        <w:rPr>
          <w:rFonts w:ascii="宋体" w:hAnsi="宋体" w:eastAsia="宋体" w:cs="宋体"/>
          <w:color w:val="auto"/>
          <w:kern w:val="0"/>
          <w:szCs w:val="24"/>
          <w:highlight w:val="none"/>
        </w:rPr>
      </w:pPr>
      <w:r>
        <w:rPr>
          <w:rFonts w:hint="eastAsia" w:ascii="宋体" w:hAnsi="宋体" w:eastAsia="宋体" w:cs="宋体"/>
          <w:color w:val="auto"/>
          <w:kern w:val="0"/>
          <w:szCs w:val="24"/>
          <w:highlight w:val="none"/>
        </w:rPr>
        <w:t>19.1 评标由采购单位依照政府采购法律、法规、规章、政策的规定，组建的磋商小组负责。磋商小组成员由采购人代表和技术、经济等方面的评审专家组成，采购人代表人数、专家人数及专业构成按政府采购规定确定。磋商小组成员依法从政府采购专家库中随机抽取。</w:t>
      </w:r>
    </w:p>
    <w:p w14:paraId="3A089E23">
      <w:pPr>
        <w:pStyle w:val="4"/>
        <w:spacing w:before="100" w:line="360" w:lineRule="auto"/>
        <w:ind w:firstLine="480"/>
        <w:rPr>
          <w:rFonts w:ascii="宋体" w:hAnsi="宋体" w:eastAsia="宋体"/>
          <w:color w:val="auto"/>
          <w:sz w:val="24"/>
          <w:szCs w:val="24"/>
          <w:highlight w:val="none"/>
        </w:rPr>
      </w:pPr>
      <w:bookmarkStart w:id="230" w:name="_Toc6322259"/>
      <w:bookmarkStart w:id="231" w:name="_Toc534461083"/>
      <w:bookmarkStart w:id="232" w:name="_Toc513018368"/>
      <w:bookmarkStart w:id="233" w:name="_Toc502752781"/>
      <w:bookmarkStart w:id="234" w:name="_Toc503426802"/>
      <w:bookmarkStart w:id="235" w:name="_Toc67046875"/>
      <w:r>
        <w:rPr>
          <w:rFonts w:hint="eastAsia" w:ascii="宋体" w:hAnsi="宋体" w:eastAsia="宋体"/>
          <w:color w:val="auto"/>
          <w:sz w:val="24"/>
          <w:szCs w:val="24"/>
          <w:highlight w:val="none"/>
        </w:rPr>
        <w:t>2</w:t>
      </w:r>
      <w:r>
        <w:rPr>
          <w:rFonts w:ascii="宋体" w:hAnsi="宋体" w:eastAsia="宋体"/>
          <w:color w:val="auto"/>
          <w:sz w:val="24"/>
          <w:szCs w:val="24"/>
          <w:highlight w:val="none"/>
        </w:rPr>
        <w:t>0</w:t>
      </w:r>
      <w:r>
        <w:rPr>
          <w:rFonts w:hint="eastAsia" w:ascii="宋体" w:hAnsi="宋体" w:eastAsia="宋体"/>
          <w:color w:val="auto"/>
          <w:sz w:val="24"/>
          <w:szCs w:val="24"/>
          <w:highlight w:val="none"/>
        </w:rPr>
        <w:t>．</w:t>
      </w:r>
      <w:bookmarkEnd w:id="230"/>
      <w:bookmarkEnd w:id="231"/>
      <w:bookmarkEnd w:id="232"/>
      <w:bookmarkEnd w:id="233"/>
      <w:bookmarkEnd w:id="234"/>
      <w:r>
        <w:rPr>
          <w:rFonts w:hint="eastAsia" w:ascii="宋体" w:hAnsi="宋体" w:eastAsia="宋体"/>
          <w:color w:val="auto"/>
          <w:sz w:val="24"/>
          <w:szCs w:val="24"/>
          <w:highlight w:val="none"/>
        </w:rPr>
        <w:t>响应文件的资格审查与符合性审查</w:t>
      </w:r>
      <w:bookmarkEnd w:id="235"/>
    </w:p>
    <w:p w14:paraId="44D566A5">
      <w:pPr>
        <w:pStyle w:val="25"/>
        <w:adjustRightInd w:val="0"/>
        <w:snapToGrid w:val="0"/>
        <w:spacing w:line="360" w:lineRule="auto"/>
        <w:ind w:left="474" w:leftChars="1" w:hanging="472" w:hangingChars="225"/>
        <w:rPr>
          <w:rFonts w:ascii="宋体" w:hAnsi="宋体" w:eastAsia="宋体" w:cs="宋体"/>
          <w:color w:val="auto"/>
          <w:kern w:val="0"/>
          <w:highlight w:val="none"/>
        </w:rPr>
      </w:pPr>
      <w:r>
        <w:rPr>
          <w:rFonts w:hint="eastAsia" w:ascii="宋体" w:hAnsi="宋体" w:eastAsia="宋体" w:cs="宋体"/>
          <w:color w:val="auto"/>
          <w:kern w:val="0"/>
          <w:highlight w:val="none"/>
        </w:rPr>
        <w:t>2</w:t>
      </w:r>
      <w:r>
        <w:rPr>
          <w:rFonts w:ascii="宋体" w:hAnsi="宋体" w:eastAsia="宋体" w:cs="宋体"/>
          <w:color w:val="auto"/>
          <w:kern w:val="0"/>
          <w:highlight w:val="none"/>
        </w:rPr>
        <w:t>0</w:t>
      </w:r>
      <w:r>
        <w:rPr>
          <w:rFonts w:hint="eastAsia" w:ascii="宋体" w:hAnsi="宋体" w:eastAsia="宋体" w:cs="宋体"/>
          <w:color w:val="auto"/>
          <w:kern w:val="0"/>
          <w:highlight w:val="none"/>
        </w:rPr>
        <w:t xml:space="preserve">.1 </w:t>
      </w:r>
      <w:bookmarkStart w:id="236" w:name="_Hlk15293713"/>
      <w:r>
        <w:rPr>
          <w:rFonts w:hint="eastAsia" w:ascii="宋体" w:hAnsi="宋体" w:eastAsia="宋体" w:cs="宋体"/>
          <w:color w:val="auto"/>
          <w:kern w:val="0"/>
          <w:highlight w:val="none"/>
        </w:rPr>
        <w:t>资格审查与符合性审查</w:t>
      </w:r>
      <w:bookmarkEnd w:id="236"/>
      <w:r>
        <w:rPr>
          <w:rFonts w:hint="eastAsia" w:ascii="宋体" w:hAnsi="宋体" w:eastAsia="宋体" w:cs="宋体"/>
          <w:color w:val="auto"/>
          <w:kern w:val="0"/>
          <w:highlight w:val="none"/>
        </w:rPr>
        <w:t>。</w:t>
      </w:r>
    </w:p>
    <w:p w14:paraId="00EE15DE">
      <w:pPr>
        <w:pStyle w:val="25"/>
        <w:adjustRightInd w:val="0"/>
        <w:snapToGrid w:val="0"/>
        <w:spacing w:line="360" w:lineRule="auto"/>
        <w:ind w:left="733" w:hanging="732" w:hangingChars="349"/>
        <w:rPr>
          <w:rFonts w:ascii="宋体" w:hAnsi="宋体" w:eastAsia="宋体" w:cs="宋体"/>
          <w:color w:val="auto"/>
          <w:kern w:val="0"/>
          <w:highlight w:val="none"/>
        </w:rPr>
      </w:pPr>
      <w:r>
        <w:rPr>
          <w:rFonts w:hint="eastAsia" w:ascii="宋体" w:hAnsi="宋体" w:eastAsia="宋体" w:cs="宋体"/>
          <w:color w:val="auto"/>
          <w:kern w:val="0"/>
          <w:highlight w:val="none"/>
        </w:rPr>
        <w:t>2</w:t>
      </w:r>
      <w:r>
        <w:rPr>
          <w:rFonts w:ascii="宋体" w:hAnsi="宋体" w:eastAsia="宋体" w:cs="宋体"/>
          <w:color w:val="auto"/>
          <w:kern w:val="0"/>
          <w:highlight w:val="none"/>
        </w:rPr>
        <w:t>0</w:t>
      </w:r>
      <w:r>
        <w:rPr>
          <w:rFonts w:hint="eastAsia" w:ascii="宋体" w:hAnsi="宋体" w:eastAsia="宋体" w:cs="宋体"/>
          <w:color w:val="auto"/>
          <w:kern w:val="0"/>
          <w:highlight w:val="none"/>
        </w:rPr>
        <w:t>.1.1 资格审查。依据法律法规和采购文件的规定，由磋商小组依法对供应商的资格进行审查，详见《供应商须知前附表》《资格性审查表》。对初步被认定为资格审查不合格的，应实行及时告知投标当事人，以让其核证、澄清事实。未通过资格审查的供应商，不进入符合性审查。</w:t>
      </w:r>
    </w:p>
    <w:p w14:paraId="48D78F73">
      <w:pPr>
        <w:pStyle w:val="25"/>
        <w:adjustRightInd w:val="0"/>
        <w:snapToGrid w:val="0"/>
        <w:spacing w:line="360" w:lineRule="auto"/>
        <w:ind w:left="733" w:hanging="732" w:hangingChars="349"/>
        <w:rPr>
          <w:rFonts w:ascii="宋体" w:hAnsi="宋体" w:eastAsia="宋体" w:cs="宋体"/>
          <w:color w:val="auto"/>
          <w:kern w:val="0"/>
          <w:highlight w:val="none"/>
        </w:rPr>
      </w:pPr>
      <w:r>
        <w:rPr>
          <w:rFonts w:hint="eastAsia" w:ascii="宋体" w:hAnsi="宋体" w:eastAsia="宋体" w:cs="宋体"/>
          <w:color w:val="auto"/>
          <w:kern w:val="0"/>
          <w:highlight w:val="none"/>
        </w:rPr>
        <w:t>2</w:t>
      </w:r>
      <w:r>
        <w:rPr>
          <w:rFonts w:ascii="宋体" w:hAnsi="宋体" w:eastAsia="宋体" w:cs="宋体"/>
          <w:color w:val="auto"/>
          <w:kern w:val="0"/>
          <w:highlight w:val="none"/>
        </w:rPr>
        <w:t>0</w:t>
      </w:r>
      <w:r>
        <w:rPr>
          <w:rFonts w:hint="eastAsia" w:ascii="宋体" w:hAnsi="宋体" w:eastAsia="宋体" w:cs="宋体"/>
          <w:color w:val="auto"/>
          <w:kern w:val="0"/>
          <w:highlight w:val="none"/>
        </w:rPr>
        <w:t>.1.2 符合性审查。磋商小组对符合资格的供应商的响应文件进行符合性审查，详见《供应商须知前附表》《符合性审查表》，以确定其是否满足采购文件的实质性要求。磋商小组对初步被认定为符合性审查不合格或无效投标者应实行及时告知，由磋商小组组长将集体意见现场及时告知投标当事人，以让其核证、澄清事实。未通过符合性审查的供应商，不进入价格磋商和技术、商务评审。</w:t>
      </w:r>
    </w:p>
    <w:p w14:paraId="71E6A56F">
      <w:pPr>
        <w:pStyle w:val="25"/>
        <w:adjustRightInd w:val="0"/>
        <w:snapToGrid w:val="0"/>
        <w:spacing w:line="360" w:lineRule="auto"/>
        <w:ind w:left="733" w:hanging="732" w:hangingChars="349"/>
        <w:rPr>
          <w:rFonts w:ascii="宋体" w:hAnsi="宋体" w:eastAsia="宋体" w:cs="宋体"/>
          <w:color w:val="auto"/>
          <w:kern w:val="0"/>
          <w:highlight w:val="none"/>
        </w:rPr>
      </w:pPr>
      <w:r>
        <w:rPr>
          <w:rFonts w:hint="eastAsia" w:ascii="宋体" w:hAnsi="宋体" w:eastAsia="宋体" w:cs="宋体"/>
          <w:color w:val="auto"/>
          <w:kern w:val="0"/>
          <w:highlight w:val="none"/>
        </w:rPr>
        <w:t xml:space="preserve">20.1.3 </w:t>
      </w:r>
      <w:r>
        <w:rPr>
          <w:rFonts w:hint="eastAsia"/>
          <w:color w:val="auto"/>
          <w:highlight w:val="none"/>
        </w:rPr>
        <w:t>资格性审查和符合性审查中凡有其中任意一项未通过的，评审结果为未通过，未通过资格性审查、符合性审查的供应商按无效响应处理。对响应有效性认定意见不一致的，磋商小组按少数服从多数原则表决决定</w:t>
      </w:r>
      <w:r>
        <w:rPr>
          <w:rFonts w:hint="eastAsia" w:ascii="宋体" w:hAnsi="宋体" w:eastAsia="宋体" w:cs="宋体"/>
          <w:color w:val="auto"/>
          <w:kern w:val="0"/>
          <w:highlight w:val="none"/>
        </w:rPr>
        <w:t>。合格供应商不足3家的，不得</w:t>
      </w:r>
      <w:r>
        <w:rPr>
          <w:rFonts w:hint="eastAsia"/>
          <w:color w:val="auto"/>
          <w:highlight w:val="none"/>
        </w:rPr>
        <w:t>进入磋商</w:t>
      </w:r>
      <w:r>
        <w:rPr>
          <w:rFonts w:hint="eastAsia" w:ascii="宋体" w:hAnsi="宋体" w:eastAsia="宋体" w:cs="宋体"/>
          <w:color w:val="auto"/>
          <w:kern w:val="0"/>
          <w:highlight w:val="none"/>
        </w:rPr>
        <w:t>。</w:t>
      </w:r>
    </w:p>
    <w:p w14:paraId="027FB95A">
      <w:pPr>
        <w:pStyle w:val="25"/>
        <w:adjustRightInd w:val="0"/>
        <w:snapToGrid w:val="0"/>
        <w:spacing w:line="360" w:lineRule="auto"/>
        <w:ind w:left="733" w:hanging="732" w:hangingChars="349"/>
        <w:rPr>
          <w:rFonts w:ascii="宋体" w:hAnsi="宋体" w:eastAsia="宋体" w:cs="宋体"/>
          <w:color w:val="auto"/>
          <w:kern w:val="0"/>
          <w:highlight w:val="none"/>
        </w:rPr>
      </w:pPr>
      <w:r>
        <w:rPr>
          <w:rFonts w:hint="eastAsia" w:ascii="宋体" w:hAnsi="宋体" w:eastAsia="宋体" w:cs="宋体"/>
          <w:color w:val="auto"/>
          <w:kern w:val="0"/>
          <w:highlight w:val="none"/>
        </w:rPr>
        <w:t>20.1.4 磋商小组对各磋商供应商进行资格性和符合性审查过程中，对初步被认定为初审不合格或无效响应者应实行及时告知，由磋商小组组长或采购人代表将集体意见及时告知报价当事人。</w:t>
      </w:r>
    </w:p>
    <w:p w14:paraId="6EE46DDE">
      <w:pPr>
        <w:pStyle w:val="25"/>
        <w:adjustRightInd w:val="0"/>
        <w:snapToGrid w:val="0"/>
        <w:spacing w:line="360" w:lineRule="auto"/>
        <w:ind w:left="733" w:hanging="732" w:hangingChars="349"/>
        <w:rPr>
          <w:rFonts w:ascii="宋体" w:hAnsi="宋体" w:eastAsia="宋体" w:cs="宋体"/>
          <w:color w:val="auto"/>
          <w:kern w:val="0"/>
          <w:highlight w:val="none"/>
        </w:rPr>
      </w:pPr>
      <w:r>
        <w:rPr>
          <w:rFonts w:hint="eastAsia" w:ascii="宋体" w:hAnsi="宋体" w:eastAsia="宋体" w:cs="宋体"/>
          <w:color w:val="auto"/>
          <w:kern w:val="0"/>
          <w:highlight w:val="none"/>
        </w:rPr>
        <w:t xml:space="preserve">20.1.5 </w:t>
      </w:r>
      <w:r>
        <w:rPr>
          <w:rFonts w:hint="eastAsia"/>
          <w:color w:val="auto"/>
          <w:highlight w:val="none"/>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r>
        <w:rPr>
          <w:rFonts w:hint="eastAsia" w:eastAsia="宋体"/>
          <w:color w:val="auto"/>
          <w:highlight w:val="none"/>
        </w:rPr>
        <w:t>。</w:t>
      </w:r>
    </w:p>
    <w:p w14:paraId="1E203EE4">
      <w:pPr>
        <w:pStyle w:val="25"/>
        <w:adjustRightInd w:val="0"/>
        <w:snapToGrid w:val="0"/>
        <w:spacing w:line="360" w:lineRule="auto"/>
        <w:ind w:left="733" w:hanging="732" w:hangingChars="349"/>
        <w:rPr>
          <w:rFonts w:ascii="宋体" w:hAnsi="宋体" w:eastAsia="宋体" w:cs="宋体"/>
          <w:color w:val="auto"/>
          <w:kern w:val="0"/>
          <w:highlight w:val="none"/>
        </w:rPr>
      </w:pPr>
      <w:r>
        <w:rPr>
          <w:rFonts w:hint="eastAsia" w:ascii="宋体" w:hAnsi="宋体" w:eastAsia="宋体" w:cs="宋体"/>
          <w:color w:val="auto"/>
          <w:kern w:val="0"/>
          <w:highlight w:val="none"/>
        </w:rPr>
        <w:t>2</w:t>
      </w:r>
      <w:r>
        <w:rPr>
          <w:rFonts w:ascii="宋体" w:hAnsi="宋体" w:eastAsia="宋体" w:cs="宋体"/>
          <w:color w:val="auto"/>
          <w:kern w:val="0"/>
          <w:highlight w:val="none"/>
        </w:rPr>
        <w:t>0</w:t>
      </w:r>
      <w:r>
        <w:rPr>
          <w:rFonts w:hint="eastAsia" w:ascii="宋体" w:hAnsi="宋体" w:eastAsia="宋体" w:cs="宋体"/>
          <w:color w:val="auto"/>
          <w:kern w:val="0"/>
          <w:highlight w:val="none"/>
        </w:rPr>
        <w:t>.1.6 磋商小组决定响应文件的响应程度只依据响应文件本身的真实无误的内容，而不依据外部的证据。但响应文件有不真实、不正确内容的除外。</w:t>
      </w:r>
      <w:r>
        <w:rPr>
          <w:rFonts w:ascii="宋体" w:hAnsi="宋体" w:eastAsia="宋体" w:cs="宋体"/>
          <w:color w:val="auto"/>
          <w:kern w:val="0"/>
          <w:highlight w:val="none"/>
        </w:rPr>
        <w:t xml:space="preserve"> </w:t>
      </w:r>
    </w:p>
    <w:p w14:paraId="23E67290">
      <w:pPr>
        <w:pStyle w:val="4"/>
        <w:spacing w:before="100" w:line="360" w:lineRule="auto"/>
        <w:ind w:firstLine="480"/>
        <w:rPr>
          <w:rFonts w:ascii="宋体" w:hAnsi="宋体" w:eastAsia="宋体"/>
          <w:color w:val="auto"/>
          <w:sz w:val="24"/>
          <w:szCs w:val="24"/>
          <w:highlight w:val="none"/>
        </w:rPr>
      </w:pPr>
      <w:bookmarkStart w:id="237" w:name="_Toc513018369"/>
      <w:bookmarkStart w:id="238" w:name="_Toc534461084"/>
      <w:bookmarkStart w:id="239" w:name="_Toc503426803"/>
      <w:bookmarkStart w:id="240" w:name="_Toc6322260"/>
      <w:bookmarkStart w:id="241" w:name="_Toc502752782"/>
      <w:bookmarkStart w:id="242" w:name="_Toc67046876"/>
      <w:r>
        <w:rPr>
          <w:rFonts w:hint="eastAsia" w:ascii="宋体" w:hAnsi="宋体" w:eastAsia="宋体"/>
          <w:color w:val="auto"/>
          <w:sz w:val="24"/>
          <w:szCs w:val="24"/>
          <w:highlight w:val="none"/>
        </w:rPr>
        <w:t>2</w:t>
      </w:r>
      <w:r>
        <w:rPr>
          <w:rFonts w:ascii="宋体" w:hAnsi="宋体" w:eastAsia="宋体"/>
          <w:color w:val="auto"/>
          <w:sz w:val="24"/>
          <w:szCs w:val="24"/>
          <w:highlight w:val="none"/>
        </w:rPr>
        <w:t>1</w:t>
      </w:r>
      <w:r>
        <w:rPr>
          <w:rFonts w:hint="eastAsia" w:ascii="宋体" w:hAnsi="宋体" w:eastAsia="宋体"/>
          <w:color w:val="auto"/>
          <w:sz w:val="24"/>
          <w:szCs w:val="24"/>
          <w:highlight w:val="none"/>
        </w:rPr>
        <w:t>．响应文件的澄清</w:t>
      </w:r>
      <w:bookmarkEnd w:id="237"/>
      <w:bookmarkEnd w:id="238"/>
      <w:bookmarkEnd w:id="239"/>
      <w:bookmarkEnd w:id="240"/>
      <w:bookmarkEnd w:id="241"/>
      <w:bookmarkEnd w:id="242"/>
    </w:p>
    <w:p w14:paraId="64784140">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21.1 对于响应文件中含义不明确、同类问题表述不一致或者有明显文字和计算错误的内容，磋商小组可在评审过程中发起澄清，要求供应商针对价格或内容做出必要的澄清、说明或补正。代理机构可根据开标环节记录的授权代表人联系方式发送短信提醒或电话告知，供应商需保持电话畅通。</w:t>
      </w:r>
    </w:p>
    <w:p w14:paraId="63E16BA5">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21.2供应商需在规定时间内完成澄清（响应），并加盖单位公章，或法定代表人签字或盖章，或法定代表人授权委托人签字或盖章。</w:t>
      </w:r>
    </w:p>
    <w:p w14:paraId="4DCB3254">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21.3若因供应商联系方式错误未接收短信、未接听电话或超时未进行澄清（响应）造成的不利后果由供应商自行承担。供应商的澄清、说明或者补正不得超出响应文件的范围或者改变响应文件的实质性内容。</w:t>
      </w:r>
    </w:p>
    <w:p w14:paraId="33EB8742">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21.4 磋商小组不接受供应商主动提出的澄清、说明或补正。</w:t>
      </w:r>
    </w:p>
    <w:p w14:paraId="2634915F">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21.5 磋商小组对供应商提交的澄清、说明或补正有疑问的，可以要求供应商进一步澄清、说明或补。</w:t>
      </w:r>
    </w:p>
    <w:p w14:paraId="5B60C50D">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21.6 供应商的澄清文件是其响应文件的组成部分。</w:t>
      </w:r>
    </w:p>
    <w:p w14:paraId="16963BB7">
      <w:pPr>
        <w:pStyle w:val="4"/>
        <w:spacing w:before="100" w:line="360" w:lineRule="auto"/>
        <w:ind w:firstLine="480"/>
        <w:rPr>
          <w:rFonts w:ascii="宋体" w:hAnsi="宋体" w:eastAsia="宋体"/>
          <w:color w:val="auto"/>
          <w:sz w:val="24"/>
          <w:szCs w:val="24"/>
          <w:highlight w:val="none"/>
        </w:rPr>
      </w:pPr>
      <w:bookmarkStart w:id="243" w:name="_Toc502752783"/>
      <w:bookmarkStart w:id="244" w:name="_Toc503426804"/>
      <w:bookmarkStart w:id="245" w:name="_Toc534461085"/>
      <w:bookmarkStart w:id="246" w:name="_Toc513018370"/>
      <w:bookmarkStart w:id="247" w:name="_Toc67046877"/>
      <w:bookmarkStart w:id="248" w:name="_Toc6322261"/>
      <w:r>
        <w:rPr>
          <w:rFonts w:hint="eastAsia" w:ascii="宋体" w:hAnsi="宋体" w:eastAsia="宋体"/>
          <w:color w:val="auto"/>
          <w:sz w:val="24"/>
          <w:szCs w:val="24"/>
          <w:highlight w:val="none"/>
        </w:rPr>
        <w:t>2</w:t>
      </w:r>
      <w:r>
        <w:rPr>
          <w:rFonts w:ascii="宋体" w:hAnsi="宋体" w:eastAsia="宋体"/>
          <w:color w:val="auto"/>
          <w:sz w:val="24"/>
          <w:szCs w:val="24"/>
          <w:highlight w:val="none"/>
        </w:rPr>
        <w:t>2</w:t>
      </w:r>
      <w:r>
        <w:rPr>
          <w:rFonts w:hint="eastAsia" w:ascii="宋体" w:hAnsi="宋体" w:eastAsia="宋体"/>
          <w:color w:val="auto"/>
          <w:sz w:val="24"/>
          <w:szCs w:val="24"/>
          <w:highlight w:val="none"/>
        </w:rPr>
        <w:t>．评标</w:t>
      </w:r>
      <w:bookmarkEnd w:id="243"/>
      <w:bookmarkEnd w:id="244"/>
      <w:bookmarkEnd w:id="245"/>
      <w:bookmarkEnd w:id="246"/>
      <w:bookmarkEnd w:id="247"/>
      <w:bookmarkEnd w:id="248"/>
    </w:p>
    <w:p w14:paraId="22E8D66F">
      <w:pPr>
        <w:pStyle w:val="363"/>
        <w:ind w:firstLine="0" w:firstLineChars="0"/>
        <w:outlineLvl w:val="2"/>
        <w:rPr>
          <w:color w:val="auto"/>
          <w:sz w:val="21"/>
          <w:szCs w:val="21"/>
          <w:highlight w:val="none"/>
        </w:rPr>
      </w:pPr>
      <w:r>
        <w:rPr>
          <w:rFonts w:hint="eastAsia" w:ascii="宋体" w:hAnsi="宋体" w:cs="宋体"/>
          <w:color w:val="auto"/>
          <w:kern w:val="0"/>
          <w:sz w:val="21"/>
          <w:szCs w:val="21"/>
          <w:highlight w:val="none"/>
        </w:rPr>
        <w:t>2</w:t>
      </w:r>
      <w:r>
        <w:rPr>
          <w:rFonts w:ascii="宋体" w:hAnsi="宋体" w:cs="宋体"/>
          <w:color w:val="auto"/>
          <w:kern w:val="0"/>
          <w:sz w:val="21"/>
          <w:szCs w:val="21"/>
          <w:highlight w:val="none"/>
        </w:rPr>
        <w:t>2</w:t>
      </w:r>
      <w:r>
        <w:rPr>
          <w:rFonts w:hint="eastAsia" w:ascii="宋体" w:hAnsi="宋体" w:cs="宋体"/>
          <w:color w:val="auto"/>
          <w:kern w:val="0"/>
          <w:sz w:val="21"/>
          <w:szCs w:val="21"/>
          <w:highlight w:val="none"/>
        </w:rPr>
        <w:t xml:space="preserve">.1 </w:t>
      </w:r>
      <w:r>
        <w:rPr>
          <w:rFonts w:hint="eastAsia"/>
          <w:color w:val="auto"/>
          <w:sz w:val="21"/>
          <w:szCs w:val="21"/>
          <w:highlight w:val="none"/>
        </w:rPr>
        <w:t>评审程序</w:t>
      </w:r>
    </w:p>
    <w:p w14:paraId="391CE411">
      <w:pPr>
        <w:pStyle w:val="363"/>
        <w:ind w:firstLine="420"/>
        <w:rPr>
          <w:color w:val="auto"/>
          <w:sz w:val="21"/>
          <w:szCs w:val="21"/>
          <w:highlight w:val="none"/>
        </w:rPr>
      </w:pPr>
      <w:r>
        <w:rPr>
          <w:rFonts w:hint="eastAsia"/>
          <w:color w:val="auto"/>
          <w:sz w:val="21"/>
          <w:szCs w:val="21"/>
          <w:highlight w:val="none"/>
        </w:rPr>
        <w:t>分四阶段进行：第一阶段进行资格性和符合性审查；第二阶段与通过资格性和符合性审查的供应商进行磋商；第三阶段供应商提交最终报价和最终的响应文件（如有）；第四阶段进行商务技术及最终价格的详细评审。</w:t>
      </w:r>
    </w:p>
    <w:p w14:paraId="33E130D4">
      <w:pPr>
        <w:pStyle w:val="363"/>
        <w:ind w:firstLine="420"/>
        <w:rPr>
          <w:rFonts w:ascii="宋体" w:hAnsi="宋体" w:cs="宋体"/>
          <w:color w:val="auto"/>
          <w:sz w:val="21"/>
          <w:szCs w:val="21"/>
          <w:highlight w:val="none"/>
        </w:rPr>
      </w:pPr>
      <w:r>
        <w:rPr>
          <w:rFonts w:hint="eastAsia" w:ascii="宋体" w:hAnsi="宋体" w:cs="宋体"/>
          <w:color w:val="auto"/>
          <w:sz w:val="21"/>
          <w:szCs w:val="21"/>
          <w:highlight w:val="none"/>
        </w:rPr>
        <w:t>（1）磋商小组将以随机抽签或按照开标签到顺序的形式（选一）对在本须知规定的时间内递交响应文件的供应商进行磋商排序。磋商排序确定后，磋商小组首先阅读供应商的响应文件，磋商小组在对响应文件的有效性、完整性和响应程度进行审查时，可以要求供应商对响应文件中含义不明确、同类问题表述不一致或者有明显文字和计算错误的内容等作出必要的澄清、说明或者更正，准许其在规定时间内补足相应资料。如不能在规定时间内补足，该响应文件将会由于不符合磋商的基本要求而被拒绝。</w:t>
      </w:r>
    </w:p>
    <w:p w14:paraId="39F50E31">
      <w:pPr>
        <w:pStyle w:val="363"/>
        <w:ind w:firstLine="420"/>
        <w:rPr>
          <w:rFonts w:ascii="宋体" w:hAnsi="宋体" w:cs="宋体"/>
          <w:color w:val="auto"/>
          <w:sz w:val="21"/>
          <w:szCs w:val="21"/>
          <w:highlight w:val="none"/>
        </w:rPr>
      </w:pPr>
      <w:r>
        <w:rPr>
          <w:rFonts w:hint="eastAsia" w:ascii="宋体" w:hAnsi="宋体" w:cs="宋体"/>
          <w:color w:val="auto"/>
          <w:sz w:val="21"/>
          <w:szCs w:val="21"/>
          <w:highlight w:val="none"/>
        </w:rPr>
        <w:t>（2）审查响应文件是否对磋商文件作出实质性的响应。对未作出实质性响应的供应商，由磋商小组将集体意见现场告知该供应商，以让其核证、澄清事实。</w:t>
      </w:r>
    </w:p>
    <w:p w14:paraId="0688EB94">
      <w:pPr>
        <w:pStyle w:val="363"/>
        <w:ind w:firstLine="420"/>
        <w:rPr>
          <w:rFonts w:ascii="宋体" w:hAnsi="宋体" w:cs="宋体"/>
          <w:color w:val="auto"/>
          <w:sz w:val="21"/>
          <w:szCs w:val="21"/>
          <w:highlight w:val="none"/>
        </w:rPr>
      </w:pPr>
      <w:r>
        <w:rPr>
          <w:rFonts w:hint="eastAsia" w:ascii="宋体" w:hAnsi="宋体" w:cs="宋体"/>
          <w:color w:val="auto"/>
          <w:sz w:val="21"/>
          <w:szCs w:val="21"/>
          <w:highlight w:val="none"/>
        </w:rPr>
        <w:t>（3）磋商小组将按磋商排序的顺序逐一与供应商围绕技术、商务、合同条款等内容分别进行一轮或多轮的磋商，并形成磋商纪要文件。磋商目的在于澄清报价、优化需求，使所有供应商的响应具有可比性。在磋商过程中，磋商小组应当严格遵循保密原则，未经供应商同意不得向任何人透露当事人技术、价格和其他重要信息。</w:t>
      </w:r>
    </w:p>
    <w:p w14:paraId="066187A5">
      <w:pPr>
        <w:pStyle w:val="363"/>
        <w:ind w:firstLine="420"/>
        <w:rPr>
          <w:rFonts w:ascii="宋体" w:hAnsi="宋体" w:cs="宋体"/>
          <w:color w:val="auto"/>
          <w:sz w:val="21"/>
          <w:szCs w:val="21"/>
          <w:highlight w:val="none"/>
        </w:rPr>
      </w:pPr>
      <w:r>
        <w:rPr>
          <w:rFonts w:hint="eastAsia" w:ascii="宋体" w:hAnsi="宋体" w:cs="宋体"/>
          <w:color w:val="auto"/>
          <w:sz w:val="21"/>
          <w:szCs w:val="21"/>
          <w:highlight w:val="none"/>
        </w:rPr>
        <w:t>（4）磋商的内容包括但不限于：商务条件、技术要求、合同执行计划、相关服务、质量保证、采购人配合等内容，涉及实质性变动的内容，须经采购人代表确认。对磋商文件作出的实质性变动是磋商文件的有效组成部分，磋商小组应当及时以书面形式同时通知所有参加磋商的供应商。</w:t>
      </w:r>
    </w:p>
    <w:p w14:paraId="049A4D5B">
      <w:pPr>
        <w:pStyle w:val="363"/>
        <w:ind w:firstLine="420"/>
        <w:rPr>
          <w:rFonts w:ascii="宋体" w:hAnsi="宋体" w:cs="宋体"/>
          <w:color w:val="auto"/>
          <w:sz w:val="21"/>
          <w:szCs w:val="21"/>
          <w:highlight w:val="none"/>
        </w:rPr>
      </w:pPr>
      <w:r>
        <w:rPr>
          <w:rFonts w:hint="eastAsia" w:ascii="宋体" w:hAnsi="宋体" w:cs="宋体"/>
          <w:color w:val="auto"/>
          <w:sz w:val="21"/>
          <w:szCs w:val="21"/>
          <w:highlight w:val="none"/>
        </w:rPr>
        <w:t>（5）供应商应当磋商小组要求供应商澄清、说明或者更正的，或由于磋商文件的变动情况被磋商小组要求重新提交的响应文件，并由其法定代表人或授权代表签字或者加盖公章。由授权代表签字的，应当附法定代表人授权书。供应商为自然人的，应当由本人签字并附身份证明。</w:t>
      </w:r>
    </w:p>
    <w:p w14:paraId="480F36AC">
      <w:pPr>
        <w:pStyle w:val="363"/>
        <w:ind w:firstLine="420"/>
        <w:rPr>
          <w:rFonts w:ascii="宋体" w:hAnsi="宋体" w:cs="宋体"/>
          <w:color w:val="auto"/>
          <w:sz w:val="21"/>
          <w:szCs w:val="21"/>
          <w:highlight w:val="none"/>
        </w:rPr>
      </w:pPr>
      <w:r>
        <w:rPr>
          <w:rFonts w:hint="eastAsia" w:ascii="宋体" w:hAnsi="宋体" w:cs="宋体"/>
          <w:color w:val="auto"/>
          <w:sz w:val="21"/>
          <w:szCs w:val="21"/>
          <w:highlight w:val="none"/>
        </w:rPr>
        <w:t>（6）最后报价：磋商结束后，磋商小组应当要求所有实质性响应的供应商在规定时间内提交最后报价（最后报价时间视磋商进程由磋商小组决定）。磋商小组对供应商的响应文件、澄清文件、磋商承诺及最后报价等方面进行评审。除非在磋商中磋商小组调整或修改采购需求内容，否则采购人不接受高于前面轮次响应报价的最后报价。对成交供应商的价格出现明显低于或高于同业同期市场平均价的情形时，磋商小组应当在评审意见中详细说明推荐理由。</w:t>
      </w:r>
    </w:p>
    <w:p w14:paraId="41FD0B6A">
      <w:pPr>
        <w:pStyle w:val="25"/>
        <w:adjustRightInd w:val="0"/>
        <w:snapToGrid w:val="0"/>
        <w:spacing w:line="360" w:lineRule="auto"/>
        <w:ind w:left="520" w:leftChars="199" w:hanging="102" w:hangingChars="49"/>
        <w:rPr>
          <w:color w:val="auto"/>
          <w:highlight w:val="none"/>
        </w:rPr>
      </w:pPr>
      <w:r>
        <w:rPr>
          <w:rFonts w:hint="eastAsia" w:ascii="宋体" w:hAnsi="宋体" w:eastAsia="宋体" w:cs="宋体"/>
          <w:color w:val="auto"/>
          <w:highlight w:val="none"/>
        </w:rPr>
        <w:t>（7）详细评</w:t>
      </w:r>
      <w:r>
        <w:rPr>
          <w:rFonts w:hint="eastAsia"/>
          <w:color w:val="auto"/>
          <w:highlight w:val="none"/>
        </w:rPr>
        <w:t>审是对通过初步评审的响应文件进行商务、技术和价格的评审。</w:t>
      </w:r>
    </w:p>
    <w:p w14:paraId="135B0B83">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s="宋体"/>
          <w:color w:val="auto"/>
          <w:kern w:val="0"/>
          <w:szCs w:val="21"/>
          <w:highlight w:val="none"/>
        </w:rPr>
        <w:t>22.2汇总、排序</w:t>
      </w:r>
    </w:p>
    <w:p w14:paraId="3FE208F9">
      <w:pPr>
        <w:tabs>
          <w:tab w:val="left" w:pos="0"/>
          <w:tab w:val="left" w:pos="7740"/>
        </w:tabs>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评审结果按评审后总得分由高到低顺序排列。评审得分相同的，按最终报价由低到高顺序排列。得分且最终报价相同的，由磋商小组采取随机抽取的方式确定。排名第一的磋商供应商为第一成交候选人，排名第二的磋商供应商为第二成交候选人，以此类推。提供相同品牌产品（非单一产品采购，以核心产品为准。多个核心产品的，有一种产品品牌相同，即视为提供相同品牌产品），评审后得分最高的同品牌磋商供应商获得成交候选人推荐资格；评审得分相同的，由采购人或者采购人委托磋商小组采取随机抽取方式确定，其他同品牌磋商供应商不作为成交候选人。</w:t>
      </w:r>
    </w:p>
    <w:p w14:paraId="18E2A943">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22.3 磋商小组根据全体评标成员签字的原始评标记录和评标结果编写评标报告，按照《供应商须知前附表》所列数量推荐成交候选供应商名单。</w:t>
      </w:r>
    </w:p>
    <w:p w14:paraId="3779CBB1">
      <w:pPr>
        <w:pStyle w:val="4"/>
        <w:spacing w:before="100" w:line="360" w:lineRule="auto"/>
        <w:ind w:firstLine="480"/>
        <w:rPr>
          <w:rFonts w:ascii="宋体" w:hAnsi="宋体" w:eastAsia="宋体"/>
          <w:color w:val="auto"/>
          <w:sz w:val="24"/>
          <w:szCs w:val="24"/>
          <w:highlight w:val="none"/>
        </w:rPr>
      </w:pPr>
      <w:bookmarkStart w:id="249" w:name="_Toc6322262"/>
      <w:bookmarkStart w:id="250" w:name="_Toc513018371"/>
      <w:bookmarkStart w:id="251" w:name="_Toc503426805"/>
      <w:bookmarkStart w:id="252" w:name="_Toc534461086"/>
      <w:bookmarkStart w:id="253" w:name="_Toc502752784"/>
      <w:bookmarkStart w:id="254" w:name="_Toc67046878"/>
      <w:r>
        <w:rPr>
          <w:rFonts w:hint="eastAsia" w:ascii="宋体" w:hAnsi="宋体" w:eastAsia="宋体"/>
          <w:color w:val="auto"/>
          <w:sz w:val="24"/>
          <w:szCs w:val="24"/>
          <w:highlight w:val="none"/>
        </w:rPr>
        <w:t>2</w:t>
      </w:r>
      <w:r>
        <w:rPr>
          <w:rFonts w:ascii="宋体" w:hAnsi="宋体" w:eastAsia="宋体"/>
          <w:color w:val="auto"/>
          <w:sz w:val="24"/>
          <w:szCs w:val="24"/>
          <w:highlight w:val="none"/>
        </w:rPr>
        <w:t>3</w:t>
      </w:r>
      <w:r>
        <w:rPr>
          <w:rFonts w:hint="eastAsia" w:ascii="宋体" w:hAnsi="宋体" w:eastAsia="宋体"/>
          <w:color w:val="auto"/>
          <w:sz w:val="24"/>
          <w:szCs w:val="24"/>
          <w:highlight w:val="none"/>
        </w:rPr>
        <w:t>．评标注意事项</w:t>
      </w:r>
      <w:bookmarkEnd w:id="249"/>
      <w:bookmarkEnd w:id="250"/>
      <w:bookmarkEnd w:id="251"/>
      <w:bookmarkEnd w:id="252"/>
      <w:bookmarkEnd w:id="253"/>
      <w:bookmarkEnd w:id="254"/>
    </w:p>
    <w:p w14:paraId="46F8E788">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23.1 在评标过程中发现供应商有下述情形的，磋商小组应当认定其投标无效，并书面报告本级财政部门：供应商应当遵循公平竞争的原则，不得恶意串通、不得妨碍其他供应商的竞争行为，不得损害采购人或者其他供应商的合法利益。</w:t>
      </w:r>
    </w:p>
    <w:p w14:paraId="2C056C63">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23.2 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14:paraId="2145E148">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23.3 磋商小组除主动要求询标外，从开标后至发出《成交通知书》期间，任何供应商均不得就与其投标有关的任何问题与采购代理机构及磋商小组联系。</w:t>
      </w:r>
    </w:p>
    <w:p w14:paraId="663FC055">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23.4 为保证采购活动的公正性，除演示答辩或本须知22.1的规定外，在开标、评标过程中，磋商小组成员不得与供应商私下交换意见。在招标工作结束后，磋商小组成员和参与评标的有关工作人员不得泄漏对响应文件的评审和比较以及与评标有关的其他情况。</w:t>
      </w:r>
    </w:p>
    <w:p w14:paraId="20636678">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23.5 当采购文件规定的任一核心产品的投标品牌数量少于3个，应予废标。核心产品以采购文件第四部分约定为准（如是单一产品招标，则该产品即为核心产品），不同供应商提供任一核心产品为同一品牌的视为相同品牌产品参与同一合同项下投标。</w:t>
      </w:r>
    </w:p>
    <w:p w14:paraId="73893B5E">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23.5.1 采用最低评标价法的采购项目，提供相同品牌产品的不同供应商参加同一合同项下投标的，以其中通过资格审查、符合性审查且报价最低的参加评标；报价相同的，由采购人或者采购人委托磋商小组按照采购文件规定的方式确定一个参加评标的供应商，采购文件未规定的采取随机抽取方式确定，其他投标无效。</w:t>
      </w:r>
    </w:p>
    <w:p w14:paraId="595DA566">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23.5.2 采用综合评分法的采购项目，提供相同品牌产品且通过资格审查、符合性审查的不同供应商参加同一合同项下投标的，按一家供应商计算，评审后得分最高的同品牌供应商获得成交供应商推荐资格；评审得分相同的，由采购人或者采购人委托磋商小组按照采购文件规定的方式确定一个供应商获得成交供应商推荐资格，采购文件未规定的采取随机抽取方式确定，其他同品牌供应商不作为成交候选供应商。</w:t>
      </w:r>
    </w:p>
    <w:p w14:paraId="05994A2D">
      <w:pPr>
        <w:pStyle w:val="4"/>
        <w:spacing w:before="100" w:line="360" w:lineRule="auto"/>
        <w:ind w:firstLine="480"/>
        <w:rPr>
          <w:rFonts w:ascii="宋体" w:hAnsi="宋体" w:eastAsia="宋体"/>
          <w:color w:val="auto"/>
          <w:sz w:val="24"/>
          <w:szCs w:val="24"/>
          <w:highlight w:val="none"/>
        </w:rPr>
      </w:pPr>
      <w:bookmarkStart w:id="255" w:name="_Toc513018372"/>
      <w:bookmarkStart w:id="256" w:name="_Toc67046879"/>
      <w:bookmarkStart w:id="257" w:name="_Toc502752785"/>
      <w:bookmarkStart w:id="258" w:name="_Toc6322263"/>
      <w:bookmarkStart w:id="259" w:name="_Toc503426806"/>
      <w:bookmarkStart w:id="260" w:name="_Toc534461087"/>
      <w:r>
        <w:rPr>
          <w:rFonts w:hint="eastAsia" w:ascii="宋体" w:hAnsi="宋体" w:eastAsia="宋体"/>
          <w:color w:val="auto"/>
          <w:sz w:val="24"/>
          <w:szCs w:val="24"/>
          <w:highlight w:val="none"/>
        </w:rPr>
        <w:t>24．</w:t>
      </w:r>
      <w:r>
        <w:rPr>
          <w:color w:val="auto"/>
          <w:sz w:val="24"/>
          <w:highlight w:val="none"/>
        </w:rPr>
        <w:t>投标无效的情形</w:t>
      </w:r>
    </w:p>
    <w:p w14:paraId="606BF28A">
      <w:pPr>
        <w:autoSpaceDE w:val="0"/>
        <w:autoSpaceDN w:val="0"/>
        <w:adjustRightInd w:val="0"/>
        <w:snapToGrid w:val="0"/>
        <w:spacing w:line="360" w:lineRule="auto"/>
        <w:ind w:firstLine="420" w:firstLineChars="200"/>
        <w:rPr>
          <w:rFonts w:ascii="宋体" w:hAnsi="宋体"/>
          <w:color w:val="auto"/>
          <w:sz w:val="24"/>
          <w:highlight w:val="none"/>
        </w:rPr>
      </w:pPr>
      <w:r>
        <w:rPr>
          <w:color w:val="auto"/>
          <w:highlight w:val="none"/>
        </w:rPr>
        <w:t>详见资格性审查、符合性审查和</w:t>
      </w:r>
      <w:r>
        <w:rPr>
          <w:rFonts w:hint="eastAsia"/>
          <w:color w:val="auto"/>
          <w:highlight w:val="none"/>
        </w:rPr>
        <w:t>采购文件</w:t>
      </w:r>
      <w:r>
        <w:rPr>
          <w:color w:val="auto"/>
          <w:highlight w:val="none"/>
        </w:rPr>
        <w:t>其他投标无效条款</w:t>
      </w:r>
      <w:r>
        <w:rPr>
          <w:rFonts w:hint="eastAsia" w:ascii="宋体" w:hAnsi="宋体"/>
          <w:color w:val="auto"/>
          <w:kern w:val="0"/>
          <w:highlight w:val="none"/>
        </w:rPr>
        <w:t>。</w:t>
      </w:r>
    </w:p>
    <w:p w14:paraId="57C29BA0">
      <w:pPr>
        <w:pStyle w:val="4"/>
        <w:spacing w:before="100"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25．</w:t>
      </w:r>
      <w:r>
        <w:rPr>
          <w:color w:val="auto"/>
          <w:sz w:val="24"/>
          <w:highlight w:val="none"/>
        </w:rPr>
        <w:t>除</w:t>
      </w:r>
      <w:r>
        <w:rPr>
          <w:rFonts w:hint="eastAsia" w:eastAsia="宋体"/>
          <w:color w:val="auto"/>
          <w:sz w:val="24"/>
          <w:highlight w:val="none"/>
        </w:rPr>
        <w:t>采购文件</w:t>
      </w:r>
      <w:r>
        <w:rPr>
          <w:color w:val="auto"/>
          <w:sz w:val="24"/>
          <w:highlight w:val="none"/>
        </w:rPr>
        <w:t>另有规定外，有下列情形之一的，投标无效：</w:t>
      </w:r>
    </w:p>
    <w:p w14:paraId="4644B296">
      <w:pPr>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kern w:val="0"/>
          <w:highlight w:val="none"/>
        </w:rPr>
        <w:t>25.1响应文件未按照采购文件要求签署、盖章；</w:t>
      </w:r>
    </w:p>
    <w:p w14:paraId="6D15DACA">
      <w:pPr>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kern w:val="0"/>
          <w:highlight w:val="none"/>
        </w:rPr>
        <w:t>25.2不符合采购文件中规定的资格要求；</w:t>
      </w:r>
    </w:p>
    <w:p w14:paraId="27D2317F">
      <w:pPr>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kern w:val="0"/>
          <w:highlight w:val="none"/>
        </w:rPr>
        <w:t>25.3响应报价超过采购文件中规定的预算金额或最高限价；</w:t>
      </w:r>
    </w:p>
    <w:p w14:paraId="6ED76338">
      <w:pPr>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kern w:val="0"/>
          <w:highlight w:val="none"/>
        </w:rPr>
        <w:t>25.4响应文件含有采购人不能接受的附加条件；</w:t>
      </w:r>
    </w:p>
    <w:p w14:paraId="16AA6D69">
      <w:pPr>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kern w:val="0"/>
          <w:highlight w:val="none"/>
        </w:rPr>
        <w:t>25.5有关法律、法规和规章及采购文件规定的其他无效情形。</w:t>
      </w:r>
    </w:p>
    <w:p w14:paraId="72B0E3AF">
      <w:pPr>
        <w:pStyle w:val="4"/>
        <w:spacing w:before="100"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26．定标</w:t>
      </w:r>
      <w:bookmarkEnd w:id="255"/>
      <w:bookmarkEnd w:id="256"/>
      <w:bookmarkEnd w:id="257"/>
      <w:bookmarkEnd w:id="258"/>
      <w:bookmarkEnd w:id="259"/>
      <w:bookmarkEnd w:id="260"/>
    </w:p>
    <w:p w14:paraId="3675F928">
      <w:pPr>
        <w:tabs>
          <w:tab w:val="left" w:pos="0"/>
          <w:tab w:val="left" w:pos="7740"/>
        </w:tabs>
        <w:adjustRightInd w:val="0"/>
        <w:snapToGrid w:val="0"/>
        <w:spacing w:line="360" w:lineRule="auto"/>
        <w:ind w:left="523" w:hanging="522" w:hangingChars="249"/>
        <w:rPr>
          <w:rFonts w:ascii="宋体" w:hAnsi="宋体"/>
          <w:color w:val="auto"/>
          <w:szCs w:val="21"/>
          <w:highlight w:val="none"/>
        </w:rPr>
      </w:pPr>
      <w:r>
        <w:rPr>
          <w:rFonts w:hint="eastAsia" w:ascii="宋体" w:hAnsi="宋体"/>
          <w:color w:val="auto"/>
          <w:szCs w:val="21"/>
          <w:highlight w:val="none"/>
        </w:rPr>
        <w:t>26.1 定标程序。采购代理机构自评标结束之日起2个工作日内将评标报告送交采购人。采购人自收到评标报告之日起5个工作日内，</w:t>
      </w:r>
      <w:r>
        <w:rPr>
          <w:rFonts w:ascii="宋体" w:hAnsi="宋体"/>
          <w:color w:val="auto"/>
          <w:szCs w:val="21"/>
          <w:highlight w:val="none"/>
        </w:rPr>
        <w:t>在评标报告确定的</w:t>
      </w:r>
      <w:r>
        <w:rPr>
          <w:rFonts w:hint="eastAsia" w:ascii="宋体" w:hAnsi="宋体"/>
          <w:color w:val="auto"/>
          <w:szCs w:val="21"/>
          <w:highlight w:val="none"/>
        </w:rPr>
        <w:t>成交候选供应商</w:t>
      </w:r>
      <w:r>
        <w:rPr>
          <w:rFonts w:ascii="宋体" w:hAnsi="宋体"/>
          <w:color w:val="auto"/>
          <w:szCs w:val="21"/>
          <w:highlight w:val="none"/>
        </w:rPr>
        <w:t>名单中按顺序确定</w:t>
      </w:r>
      <w:r>
        <w:rPr>
          <w:rFonts w:hint="eastAsia" w:ascii="宋体" w:hAnsi="宋体"/>
          <w:color w:val="auto"/>
          <w:szCs w:val="21"/>
          <w:highlight w:val="none"/>
        </w:rPr>
        <w:t>成交供应商，具体见《供应商须知前附表》。成交候选供应商</w:t>
      </w:r>
      <w:r>
        <w:rPr>
          <w:rFonts w:ascii="宋体" w:hAnsi="宋体"/>
          <w:color w:val="auto"/>
          <w:szCs w:val="21"/>
          <w:highlight w:val="none"/>
        </w:rPr>
        <w:t>并列的，</w:t>
      </w:r>
      <w:r>
        <w:rPr>
          <w:rFonts w:hint="eastAsia" w:ascii="宋体" w:hAnsi="宋体"/>
          <w:color w:val="auto"/>
          <w:szCs w:val="21"/>
          <w:highlight w:val="none"/>
        </w:rPr>
        <w:t>则优先考虑在本项目使用列入国家最新一期“节能产品政府采购清单”内产品的供应商、技术标得分高的成交候选供应商</w:t>
      </w:r>
      <w:r>
        <w:rPr>
          <w:rFonts w:ascii="宋体" w:hAnsi="宋体"/>
          <w:color w:val="auto"/>
          <w:szCs w:val="21"/>
          <w:highlight w:val="none"/>
        </w:rPr>
        <w:t>。</w:t>
      </w:r>
    </w:p>
    <w:p w14:paraId="5EDED11C">
      <w:pPr>
        <w:autoSpaceDE w:val="0"/>
        <w:autoSpaceDN w:val="0"/>
        <w:adjustRightInd w:val="0"/>
        <w:snapToGrid w:val="0"/>
        <w:spacing w:line="360" w:lineRule="auto"/>
        <w:ind w:left="523" w:right="34" w:hanging="522" w:hangingChars="249"/>
        <w:rPr>
          <w:rFonts w:ascii="宋体" w:hAnsi="宋体"/>
          <w:color w:val="auto"/>
          <w:kern w:val="0"/>
          <w:szCs w:val="21"/>
          <w:highlight w:val="none"/>
        </w:rPr>
      </w:pPr>
      <w:r>
        <w:rPr>
          <w:rFonts w:hint="eastAsia" w:ascii="宋体" w:hAnsi="宋体"/>
          <w:color w:val="auto"/>
          <w:szCs w:val="21"/>
          <w:highlight w:val="none"/>
        </w:rPr>
        <w:t>26.2 采购人或者采购代理机构自成交供应商确定之日</w:t>
      </w:r>
      <w:r>
        <w:rPr>
          <w:rFonts w:ascii="宋体" w:hAnsi="宋体"/>
          <w:color w:val="auto"/>
          <w:szCs w:val="21"/>
          <w:highlight w:val="none"/>
        </w:rPr>
        <w:t>起</w:t>
      </w:r>
      <w:r>
        <w:rPr>
          <w:rFonts w:hint="eastAsia" w:ascii="宋体" w:hAnsi="宋体"/>
          <w:color w:val="auto"/>
          <w:szCs w:val="21"/>
          <w:highlight w:val="none"/>
        </w:rPr>
        <w:t>2个</w:t>
      </w:r>
      <w:r>
        <w:rPr>
          <w:rFonts w:ascii="宋体" w:hAnsi="宋体"/>
          <w:color w:val="auto"/>
          <w:szCs w:val="21"/>
          <w:highlight w:val="none"/>
        </w:rPr>
        <w:t>工作日内</w:t>
      </w:r>
      <w:r>
        <w:rPr>
          <w:rFonts w:hint="eastAsia" w:ascii="宋体" w:hAnsi="宋体"/>
          <w:color w:val="auto"/>
          <w:szCs w:val="21"/>
          <w:highlight w:val="none"/>
        </w:rPr>
        <w:t>，在政府采购监督管理部门指定的媒体上公告</w:t>
      </w:r>
      <w:r>
        <w:rPr>
          <w:rFonts w:hint="eastAsia"/>
          <w:color w:val="auto"/>
          <w:szCs w:val="21"/>
          <w:highlight w:val="none"/>
        </w:rPr>
        <w:t>成交公告</w:t>
      </w:r>
      <w:r>
        <w:rPr>
          <w:rFonts w:hint="eastAsia" w:ascii="宋体" w:hAnsi="宋体"/>
          <w:color w:val="auto"/>
          <w:szCs w:val="21"/>
          <w:highlight w:val="none"/>
        </w:rPr>
        <w:t>。</w:t>
      </w:r>
      <w:r>
        <w:rPr>
          <w:rFonts w:hint="eastAsia"/>
          <w:color w:val="auto"/>
          <w:szCs w:val="21"/>
          <w:highlight w:val="none"/>
        </w:rPr>
        <w:t>成交公告</w:t>
      </w:r>
      <w:r>
        <w:rPr>
          <w:color w:val="auto"/>
          <w:szCs w:val="21"/>
          <w:highlight w:val="none"/>
        </w:rPr>
        <w:t>的公告期限</w:t>
      </w:r>
      <w:r>
        <w:rPr>
          <w:rFonts w:hint="eastAsia" w:ascii="宋体" w:hAnsi="宋体"/>
          <w:color w:val="auto"/>
          <w:szCs w:val="21"/>
          <w:highlight w:val="none"/>
        </w:rPr>
        <w:t>为1个</w:t>
      </w:r>
      <w:r>
        <w:rPr>
          <w:color w:val="auto"/>
          <w:szCs w:val="21"/>
          <w:highlight w:val="none"/>
        </w:rPr>
        <w:t>工作日</w:t>
      </w:r>
      <w:r>
        <w:rPr>
          <w:rFonts w:hint="eastAsia"/>
          <w:color w:val="auto"/>
          <w:szCs w:val="21"/>
          <w:highlight w:val="none"/>
        </w:rPr>
        <w:t>，成交公告</w:t>
      </w:r>
      <w:r>
        <w:rPr>
          <w:color w:val="auto"/>
          <w:szCs w:val="21"/>
          <w:highlight w:val="none"/>
        </w:rPr>
        <w:t>同时作为采购代理机构通知除</w:t>
      </w:r>
      <w:r>
        <w:rPr>
          <w:rFonts w:hint="eastAsia"/>
          <w:color w:val="auto"/>
          <w:szCs w:val="21"/>
          <w:highlight w:val="none"/>
        </w:rPr>
        <w:t>成交供应商</w:t>
      </w:r>
      <w:r>
        <w:rPr>
          <w:color w:val="auto"/>
          <w:szCs w:val="21"/>
          <w:highlight w:val="none"/>
        </w:rPr>
        <w:t>外的其他</w:t>
      </w:r>
      <w:r>
        <w:rPr>
          <w:rFonts w:hint="eastAsia"/>
          <w:color w:val="auto"/>
          <w:szCs w:val="21"/>
          <w:highlight w:val="none"/>
        </w:rPr>
        <w:t>供应商没有成交的书面形式</w:t>
      </w:r>
      <w:r>
        <w:rPr>
          <w:color w:val="auto"/>
          <w:szCs w:val="21"/>
          <w:highlight w:val="none"/>
        </w:rPr>
        <w:t>，采购代理机构不再以其它方式另</w:t>
      </w:r>
      <w:r>
        <w:rPr>
          <w:rFonts w:hint="eastAsia"/>
          <w:color w:val="auto"/>
          <w:szCs w:val="21"/>
          <w:highlight w:val="none"/>
        </w:rPr>
        <w:t>行通知</w:t>
      </w:r>
      <w:r>
        <w:rPr>
          <w:rFonts w:hint="eastAsia" w:ascii="宋体" w:hAnsi="宋体"/>
          <w:color w:val="auto"/>
          <w:szCs w:val="21"/>
          <w:highlight w:val="none"/>
        </w:rPr>
        <w:t>。</w:t>
      </w:r>
    </w:p>
    <w:p w14:paraId="2D805B57">
      <w:pPr>
        <w:autoSpaceDE w:val="0"/>
        <w:autoSpaceDN w:val="0"/>
        <w:adjustRightInd w:val="0"/>
        <w:snapToGrid w:val="0"/>
        <w:spacing w:line="360" w:lineRule="auto"/>
        <w:ind w:left="523" w:right="34" w:hanging="522" w:hangingChars="249"/>
        <w:rPr>
          <w:rFonts w:ascii="宋体" w:hAnsi="宋体"/>
          <w:color w:val="auto"/>
          <w:kern w:val="0"/>
          <w:szCs w:val="21"/>
          <w:highlight w:val="none"/>
        </w:rPr>
      </w:pPr>
      <w:r>
        <w:rPr>
          <w:rFonts w:hint="eastAsia" w:ascii="宋体" w:hAnsi="宋体"/>
          <w:color w:val="auto"/>
          <w:kern w:val="0"/>
          <w:szCs w:val="21"/>
          <w:highlight w:val="none"/>
        </w:rPr>
        <w:t xml:space="preserve">26.3 </w:t>
      </w:r>
      <w:r>
        <w:rPr>
          <w:rFonts w:hint="eastAsia"/>
          <w:color w:val="auto"/>
          <w:szCs w:val="21"/>
          <w:highlight w:val="none"/>
        </w:rPr>
        <w:t>成交通知书在发布成交公告时，将给成交供应商发送《成交通知书》</w:t>
      </w:r>
      <w:r>
        <w:rPr>
          <w:rFonts w:hint="eastAsia" w:ascii="宋体" w:hAnsi="宋体"/>
          <w:color w:val="auto"/>
          <w:kern w:val="0"/>
          <w:szCs w:val="21"/>
          <w:highlight w:val="none"/>
        </w:rPr>
        <w:t>；对未通过资格审查的供应商，告知其未通过的原因；采用综合评分法评审的，告知未成交供应商本人的评审得分与排序。</w:t>
      </w:r>
    </w:p>
    <w:p w14:paraId="7444760A">
      <w:pPr>
        <w:autoSpaceDE w:val="0"/>
        <w:autoSpaceDN w:val="0"/>
        <w:adjustRightInd w:val="0"/>
        <w:snapToGrid w:val="0"/>
        <w:spacing w:line="360" w:lineRule="auto"/>
        <w:ind w:left="523" w:right="34" w:hanging="522" w:hangingChars="249"/>
        <w:rPr>
          <w:rFonts w:ascii="宋体" w:hAnsi="宋体"/>
          <w:color w:val="auto"/>
          <w:kern w:val="0"/>
          <w:szCs w:val="21"/>
          <w:highlight w:val="none"/>
        </w:rPr>
      </w:pPr>
      <w:r>
        <w:rPr>
          <w:rFonts w:hint="eastAsia" w:ascii="宋体" w:hAnsi="宋体"/>
          <w:color w:val="auto"/>
          <w:kern w:val="0"/>
          <w:szCs w:val="21"/>
          <w:highlight w:val="none"/>
        </w:rPr>
        <w:t>26.4 成交通知书对采购人和成交供应商均具有法律效力。成交通知书发出后，采购人不得违法改变中标结果，成交供应商无正当理由不得放弃中标，否则应当依法承担法律责任。</w:t>
      </w:r>
    </w:p>
    <w:p w14:paraId="4F908007">
      <w:pPr>
        <w:pStyle w:val="4"/>
        <w:spacing w:before="100" w:line="360" w:lineRule="auto"/>
        <w:ind w:firstLine="480"/>
        <w:rPr>
          <w:rFonts w:ascii="宋体" w:hAnsi="宋体" w:eastAsia="宋体"/>
          <w:color w:val="auto"/>
          <w:sz w:val="24"/>
          <w:szCs w:val="24"/>
          <w:highlight w:val="none"/>
        </w:rPr>
      </w:pPr>
      <w:bookmarkStart w:id="261" w:name="_Toc6322264"/>
      <w:bookmarkStart w:id="262" w:name="_Toc259090964"/>
      <w:bookmarkStart w:id="263" w:name="_Toc462677208"/>
      <w:bookmarkStart w:id="264" w:name="_Toc67046880"/>
      <w:r>
        <w:rPr>
          <w:rFonts w:hint="eastAsia" w:ascii="宋体" w:hAnsi="宋体" w:eastAsia="宋体"/>
          <w:color w:val="auto"/>
          <w:sz w:val="24"/>
          <w:szCs w:val="24"/>
          <w:highlight w:val="none"/>
        </w:rPr>
        <w:t>27．替补候选人的设定与使用</w:t>
      </w:r>
      <w:bookmarkEnd w:id="261"/>
      <w:bookmarkEnd w:id="262"/>
      <w:bookmarkEnd w:id="263"/>
      <w:bookmarkEnd w:id="264"/>
    </w:p>
    <w:p w14:paraId="597D2777">
      <w:pPr>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kern w:val="0"/>
          <w:highlight w:val="none"/>
        </w:rPr>
        <w:t>成交供应商因不可抗力或者自身原因不能履行政府采购合同的，采购</w:t>
      </w:r>
      <w:r>
        <w:rPr>
          <w:rFonts w:hint="eastAsia" w:ascii="宋体" w:hAnsi="宋体"/>
          <w:color w:val="auto"/>
          <w:highlight w:val="none"/>
        </w:rPr>
        <w:t>人可以与排位在成交供应商之后第一位的成交候选供应商签订政府</w:t>
      </w:r>
      <w:r>
        <w:rPr>
          <w:rFonts w:hint="eastAsia" w:ascii="宋体" w:hAnsi="宋体"/>
          <w:color w:val="auto"/>
          <w:kern w:val="0"/>
          <w:highlight w:val="none"/>
        </w:rPr>
        <w:t>采购合同</w:t>
      </w:r>
      <w:r>
        <w:rPr>
          <w:rFonts w:hint="eastAsia" w:ascii="宋体" w:hAnsi="宋体"/>
          <w:color w:val="auto"/>
          <w:highlight w:val="none"/>
        </w:rPr>
        <w:t>（以此类推，但中标资格只顺延给成交候选供应商），</w:t>
      </w:r>
      <w:r>
        <w:rPr>
          <w:rFonts w:hint="eastAsia" w:ascii="宋体" w:hAnsi="宋体"/>
          <w:color w:val="auto"/>
          <w:kern w:val="0"/>
          <w:highlight w:val="none"/>
        </w:rPr>
        <w:t>也可以直接重新组织竞争性磋商。</w:t>
      </w:r>
      <w:bookmarkStart w:id="265" w:name="_Toc462677210"/>
      <w:bookmarkStart w:id="266" w:name="_Toc67046881"/>
      <w:bookmarkStart w:id="267" w:name="_Toc6322265"/>
    </w:p>
    <w:p w14:paraId="14418447">
      <w:pPr>
        <w:pStyle w:val="4"/>
        <w:spacing w:before="100"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28．采购代理服务费</w:t>
      </w:r>
      <w:bookmarkEnd w:id="265"/>
      <w:bookmarkEnd w:id="266"/>
      <w:bookmarkEnd w:id="267"/>
    </w:p>
    <w:p w14:paraId="30BE7D66">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28.1成交供应商应按有关规定，向采购代理机构缴纳采购代理服务费。</w:t>
      </w:r>
    </w:p>
    <w:p w14:paraId="240BB7F2">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28.2 收费标准参照国家相关文件的规定执行，详见《供应商须知前附表》。</w:t>
      </w:r>
    </w:p>
    <w:p w14:paraId="6B41F702">
      <w:pPr>
        <w:pStyle w:val="5"/>
        <w:spacing w:before="40" w:after="40" w:line="360" w:lineRule="auto"/>
        <w:ind w:firstLine="560"/>
        <w:rPr>
          <w:rFonts w:ascii="宋体" w:hAnsi="宋体" w:eastAsia="宋体"/>
          <w:color w:val="auto"/>
          <w:sz w:val="28"/>
          <w:szCs w:val="28"/>
          <w:highlight w:val="none"/>
        </w:rPr>
      </w:pPr>
      <w:bookmarkStart w:id="268" w:name="_Toc70528444"/>
      <w:bookmarkStart w:id="269" w:name="_Toc68789519"/>
      <w:bookmarkStart w:id="270" w:name="_Toc462677211"/>
      <w:bookmarkStart w:id="271" w:name="_Toc29802"/>
      <w:bookmarkStart w:id="272" w:name="_Toc29749"/>
      <w:bookmarkStart w:id="273" w:name="_Toc67046882"/>
      <w:bookmarkStart w:id="274" w:name="_Toc2914"/>
      <w:bookmarkStart w:id="275" w:name="_Toc23018"/>
      <w:bookmarkStart w:id="276" w:name="_Toc17971"/>
      <w:bookmarkStart w:id="277" w:name="_Toc2490"/>
      <w:bookmarkStart w:id="278" w:name="_Toc259090966"/>
      <w:bookmarkStart w:id="279" w:name="_Toc19838"/>
      <w:bookmarkStart w:id="280" w:name="_Toc22141"/>
      <w:r>
        <w:rPr>
          <w:rFonts w:hint="eastAsia" w:ascii="宋体" w:hAnsi="宋体" w:eastAsia="宋体"/>
          <w:color w:val="auto"/>
          <w:sz w:val="28"/>
          <w:szCs w:val="28"/>
          <w:highlight w:val="none"/>
        </w:rPr>
        <w:t>六、合同的订立和履行</w:t>
      </w:r>
      <w:bookmarkEnd w:id="268"/>
      <w:bookmarkEnd w:id="269"/>
      <w:bookmarkEnd w:id="270"/>
      <w:bookmarkEnd w:id="271"/>
      <w:bookmarkEnd w:id="272"/>
      <w:bookmarkEnd w:id="273"/>
      <w:bookmarkEnd w:id="274"/>
      <w:bookmarkEnd w:id="275"/>
      <w:bookmarkEnd w:id="276"/>
      <w:bookmarkEnd w:id="277"/>
      <w:bookmarkEnd w:id="278"/>
      <w:bookmarkEnd w:id="279"/>
      <w:bookmarkEnd w:id="280"/>
    </w:p>
    <w:p w14:paraId="3B86B44E">
      <w:pPr>
        <w:pStyle w:val="4"/>
        <w:spacing w:before="100" w:line="360" w:lineRule="auto"/>
        <w:ind w:firstLine="480"/>
        <w:rPr>
          <w:rFonts w:ascii="宋体" w:hAnsi="宋体" w:eastAsia="宋体"/>
          <w:color w:val="auto"/>
          <w:sz w:val="24"/>
          <w:szCs w:val="24"/>
          <w:highlight w:val="none"/>
        </w:rPr>
      </w:pPr>
      <w:bookmarkStart w:id="281" w:name="_Toc67046883"/>
      <w:bookmarkStart w:id="282" w:name="_Toc259090967"/>
      <w:bookmarkStart w:id="283" w:name="_Toc6322267"/>
      <w:bookmarkStart w:id="284" w:name="_Toc462677212"/>
      <w:r>
        <w:rPr>
          <w:rFonts w:hint="eastAsia" w:ascii="宋体" w:hAnsi="宋体" w:eastAsia="宋体"/>
          <w:color w:val="auto"/>
          <w:sz w:val="24"/>
          <w:szCs w:val="24"/>
          <w:highlight w:val="none"/>
        </w:rPr>
        <w:t>29．合同的订立</w:t>
      </w:r>
      <w:bookmarkEnd w:id="281"/>
      <w:bookmarkEnd w:id="282"/>
      <w:bookmarkEnd w:id="283"/>
      <w:bookmarkEnd w:id="284"/>
    </w:p>
    <w:p w14:paraId="45DFB175">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kern w:val="0"/>
          <w:highlight w:val="none"/>
        </w:rPr>
        <w:t>29.1  采购人与成交供应商自成交通知书发出之日起三十日内，按采购文件要求和成交供应商响应文件承诺签订政府采购合同，但</w:t>
      </w:r>
      <w:r>
        <w:rPr>
          <w:rFonts w:hint="eastAsia" w:ascii="宋体" w:hAnsi="宋体"/>
          <w:color w:val="auto"/>
          <w:highlight w:val="none"/>
        </w:rPr>
        <w:t>不得超出采购文件和成交供应商响应文件的范围、也不得再行订立背离合同实质性内容的其他协议。</w:t>
      </w:r>
    </w:p>
    <w:p w14:paraId="22EEB437">
      <w:pPr>
        <w:autoSpaceDE w:val="0"/>
        <w:autoSpaceDN w:val="0"/>
        <w:adjustRightInd w:val="0"/>
        <w:snapToGrid w:val="0"/>
        <w:spacing w:line="360" w:lineRule="auto"/>
        <w:ind w:firstLine="420" w:firstLineChars="200"/>
        <w:rPr>
          <w:rFonts w:ascii="宋体" w:hAnsi="宋体"/>
          <w:color w:val="auto"/>
          <w:kern w:val="0"/>
          <w:highlight w:val="none"/>
        </w:rPr>
      </w:pPr>
      <w:r>
        <w:rPr>
          <w:rFonts w:hint="eastAsia" w:ascii="宋体" w:hAnsi="宋体"/>
          <w:color w:val="auto"/>
          <w:highlight w:val="none"/>
        </w:rPr>
        <w:t>29.2 签订政府采购合同后7个工作日内，供应商应将政府采购合同送采购代理机构见证，采购人应将经见证的政府采购合同副本报同级政府采购监督管理部门备案。</w:t>
      </w:r>
    </w:p>
    <w:p w14:paraId="34281544">
      <w:pPr>
        <w:pStyle w:val="4"/>
        <w:spacing w:before="100" w:line="360" w:lineRule="auto"/>
        <w:ind w:firstLine="480"/>
        <w:rPr>
          <w:rFonts w:ascii="宋体" w:hAnsi="宋体" w:eastAsia="宋体"/>
          <w:color w:val="auto"/>
          <w:sz w:val="24"/>
          <w:szCs w:val="24"/>
          <w:highlight w:val="none"/>
        </w:rPr>
      </w:pPr>
      <w:bookmarkStart w:id="285" w:name="_Toc259090968"/>
      <w:bookmarkStart w:id="286" w:name="_Toc6322268"/>
      <w:bookmarkStart w:id="287" w:name="_Toc462677213"/>
      <w:bookmarkStart w:id="288" w:name="_Toc67046884"/>
      <w:r>
        <w:rPr>
          <w:rFonts w:hint="eastAsia" w:ascii="宋体" w:hAnsi="宋体" w:eastAsia="宋体"/>
          <w:color w:val="auto"/>
          <w:sz w:val="24"/>
          <w:szCs w:val="24"/>
          <w:highlight w:val="none"/>
        </w:rPr>
        <w:t>30．合同的履行</w:t>
      </w:r>
      <w:bookmarkEnd w:id="285"/>
      <w:bookmarkEnd w:id="286"/>
      <w:bookmarkEnd w:id="287"/>
      <w:bookmarkEnd w:id="288"/>
    </w:p>
    <w:p w14:paraId="6D3B6832">
      <w:pPr>
        <w:spacing w:line="360" w:lineRule="auto"/>
        <w:ind w:firstLine="420" w:firstLineChars="200"/>
        <w:rPr>
          <w:rFonts w:ascii="宋体" w:hAnsi="宋体"/>
          <w:color w:val="auto"/>
          <w:highlight w:val="none"/>
        </w:rPr>
      </w:pPr>
      <w:r>
        <w:rPr>
          <w:rFonts w:hint="eastAsia" w:ascii="宋体" w:hAnsi="宋体"/>
          <w:color w:val="auto"/>
          <w:highlight w:val="none"/>
        </w:rPr>
        <w:t>30.1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3E94AEDB">
      <w:pPr>
        <w:spacing w:line="360" w:lineRule="auto"/>
        <w:ind w:firstLine="420" w:firstLineChars="200"/>
        <w:rPr>
          <w:rFonts w:ascii="宋体" w:hAnsi="宋体"/>
          <w:color w:val="auto"/>
          <w:highlight w:val="none"/>
        </w:rPr>
      </w:pPr>
      <w:r>
        <w:rPr>
          <w:rFonts w:hint="eastAsia" w:ascii="宋体" w:hAnsi="宋体"/>
          <w:color w:val="auto"/>
          <w:highlight w:val="none"/>
        </w:rPr>
        <w:t>30.2 政府采购合同履行中，采购人需追加与合同标的相同的货物、工程或者服务的，在不改变合同其他条款的前提下，可以与供应商签订补充合同，但所补充合同的采购金额不得超过原采购金额的百分之十。</w:t>
      </w:r>
    </w:p>
    <w:p w14:paraId="38C2F8A0">
      <w:pPr>
        <w:pStyle w:val="5"/>
        <w:spacing w:before="40" w:after="40" w:line="360" w:lineRule="auto"/>
        <w:ind w:firstLine="560"/>
        <w:rPr>
          <w:rFonts w:ascii="宋体" w:hAnsi="宋体" w:eastAsia="宋体"/>
          <w:color w:val="auto"/>
          <w:sz w:val="28"/>
          <w:szCs w:val="28"/>
          <w:highlight w:val="none"/>
        </w:rPr>
      </w:pPr>
      <w:bookmarkStart w:id="289" w:name="_Toc259090969"/>
      <w:bookmarkStart w:id="290" w:name="_Toc15074"/>
      <w:bookmarkStart w:id="291" w:name="_Toc67046885"/>
      <w:bookmarkStart w:id="292" w:name="_Toc28934"/>
      <w:bookmarkStart w:id="293" w:name="_Toc462677214"/>
      <w:bookmarkStart w:id="294" w:name="_Toc21635"/>
      <w:bookmarkStart w:id="295" w:name="_Toc70528445"/>
      <w:bookmarkStart w:id="296" w:name="_Toc9798"/>
      <w:bookmarkStart w:id="297" w:name="_Toc26054"/>
      <w:bookmarkStart w:id="298" w:name="_Toc15103"/>
      <w:bookmarkStart w:id="299" w:name="_Toc11497"/>
      <w:bookmarkStart w:id="300" w:name="_Toc68789520"/>
      <w:bookmarkStart w:id="301" w:name="_Toc32648"/>
      <w:r>
        <w:rPr>
          <w:rFonts w:hint="eastAsia" w:ascii="宋体" w:hAnsi="宋体" w:eastAsia="宋体"/>
          <w:color w:val="auto"/>
          <w:sz w:val="28"/>
          <w:szCs w:val="28"/>
          <w:highlight w:val="none"/>
        </w:rPr>
        <w:t>七、质疑</w:t>
      </w:r>
      <w:bookmarkEnd w:id="289"/>
      <w:r>
        <w:rPr>
          <w:rFonts w:hint="eastAsia" w:ascii="宋体" w:hAnsi="宋体" w:eastAsia="宋体"/>
          <w:color w:val="auto"/>
          <w:sz w:val="28"/>
          <w:szCs w:val="28"/>
          <w:highlight w:val="none"/>
        </w:rPr>
        <w:t>、投诉</w:t>
      </w:r>
      <w:bookmarkEnd w:id="290"/>
      <w:bookmarkEnd w:id="291"/>
      <w:bookmarkEnd w:id="292"/>
      <w:bookmarkEnd w:id="293"/>
      <w:bookmarkEnd w:id="294"/>
      <w:bookmarkEnd w:id="295"/>
      <w:bookmarkEnd w:id="296"/>
      <w:bookmarkEnd w:id="297"/>
      <w:bookmarkEnd w:id="298"/>
      <w:bookmarkEnd w:id="299"/>
      <w:bookmarkEnd w:id="300"/>
      <w:bookmarkEnd w:id="301"/>
    </w:p>
    <w:p w14:paraId="1DD003EF">
      <w:pPr>
        <w:pStyle w:val="4"/>
        <w:spacing w:before="100" w:line="360" w:lineRule="auto"/>
        <w:ind w:firstLine="480"/>
        <w:rPr>
          <w:rFonts w:ascii="宋体" w:hAnsi="宋体" w:eastAsia="宋体"/>
          <w:color w:val="auto"/>
          <w:sz w:val="24"/>
          <w:szCs w:val="24"/>
          <w:highlight w:val="none"/>
        </w:rPr>
      </w:pPr>
      <w:bookmarkStart w:id="302" w:name="_Toc67046886"/>
      <w:bookmarkStart w:id="303" w:name="_Toc462677215"/>
      <w:bookmarkStart w:id="304" w:name="_Toc6322270"/>
      <w:bookmarkStart w:id="305" w:name="_Toc259090970"/>
      <w:r>
        <w:rPr>
          <w:rFonts w:hint="eastAsia" w:ascii="宋体" w:hAnsi="宋体" w:eastAsia="宋体"/>
          <w:color w:val="auto"/>
          <w:sz w:val="24"/>
          <w:szCs w:val="24"/>
          <w:highlight w:val="none"/>
        </w:rPr>
        <w:t>31．质疑</w:t>
      </w:r>
      <w:bookmarkEnd w:id="302"/>
      <w:bookmarkEnd w:id="303"/>
      <w:bookmarkEnd w:id="304"/>
      <w:bookmarkEnd w:id="305"/>
    </w:p>
    <w:p w14:paraId="7C74DABF">
      <w:pPr>
        <w:tabs>
          <w:tab w:val="left" w:pos="0"/>
        </w:tabs>
        <w:adjustRightInd w:val="0"/>
        <w:snapToGrid w:val="0"/>
        <w:spacing w:line="360" w:lineRule="auto"/>
        <w:ind w:firstLine="420" w:firstLineChars="200"/>
        <w:rPr>
          <w:rFonts w:ascii="宋体" w:hAnsi="宋体" w:cs="Cambria Math"/>
          <w:color w:val="auto"/>
          <w:highlight w:val="none"/>
        </w:rPr>
      </w:pPr>
      <w:bookmarkStart w:id="306" w:name="_Toc6322271"/>
      <w:bookmarkStart w:id="307" w:name="_Toc462677216"/>
      <w:r>
        <w:rPr>
          <w:rFonts w:hint="eastAsia" w:ascii="宋体" w:hAnsi="宋体" w:cs="Cambria Math"/>
          <w:color w:val="auto"/>
          <w:highlight w:val="none"/>
        </w:rPr>
        <w:t>31.1 供应商对采购活动事项有疑问的，可以向采购人或者采购代理机构提出询问。采购人或者采购代理机构应当在7个工作日内对供应商依法提出的询问作出答复，但答复的内容不得涉及商业秘密。</w:t>
      </w:r>
    </w:p>
    <w:p w14:paraId="32A0170A">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31.2 供应商认为采购文件、采购过程和中标、成交结果使其权益受到损害的，可以在知道或者应知其权益受到损害之日起7个工作日内，（注：供应商购买采购文件之日早于采购文件公告期限届满之日的，则以供应商购买采购文件之日为质疑时效期间的起算日期；否则，以采购文件公告期限届满之日为质疑时效期间的起算日期），以书面形式向采购单位提出，并递交原件，质疑书应由法定代表人或其授权代表签字，授权代表签字的，应同时递交法定代表人对质疑事项的授权委托书，授权委托书应当载明代理人的姓名或者名称、代理事项、具体权限、期限和相关事项。以联合体形式参加采购活动的（采购文件允许联合体投标的），其投诉应当由组成联合体的所有供应商共同提出。</w:t>
      </w:r>
    </w:p>
    <w:p w14:paraId="22A3A2D0">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31.3供应商应在法定质疑期内一次性提出针对同一采购程序环节的质疑，质疑函应当包括下列内容：</w:t>
      </w:r>
    </w:p>
    <w:p w14:paraId="1A2CDF9F">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（一）供应商的姓名或者名称、地址、邮编、联系人及联系电话；</w:t>
      </w:r>
    </w:p>
    <w:p w14:paraId="5566DEEC">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（二）质疑项目的名称、编号；</w:t>
      </w:r>
    </w:p>
    <w:p w14:paraId="2B7F72A7">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（三）具体、明确的质疑事项和与质疑事项相关的请求；</w:t>
      </w:r>
    </w:p>
    <w:p w14:paraId="7B14AB77">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（四）事实依据；</w:t>
      </w:r>
    </w:p>
    <w:p w14:paraId="12C5621C">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（五）必要的法律依据；</w:t>
      </w:r>
    </w:p>
    <w:p w14:paraId="3B7C0097">
      <w:pPr>
        <w:tabs>
          <w:tab w:val="left" w:pos="0"/>
        </w:tabs>
        <w:adjustRightInd w:val="0"/>
        <w:snapToGrid w:val="0"/>
        <w:spacing w:line="360" w:lineRule="auto"/>
        <w:ind w:firstLine="420" w:firstLineChars="200"/>
        <w:rPr>
          <w:rFonts w:ascii="宋体" w:hAnsi="宋体" w:cs="Cambria Math"/>
          <w:color w:val="auto"/>
          <w:highlight w:val="none"/>
        </w:rPr>
      </w:pPr>
      <w:r>
        <w:rPr>
          <w:rFonts w:hint="eastAsia" w:ascii="宋体" w:hAnsi="宋体" w:cs="Cambria Math"/>
          <w:color w:val="auto"/>
          <w:highlight w:val="none"/>
        </w:rPr>
        <w:t>（六）提出质疑的日期。</w:t>
      </w:r>
    </w:p>
    <w:p w14:paraId="695A0680">
      <w:pPr>
        <w:pStyle w:val="4"/>
        <w:spacing w:before="100" w:line="360" w:lineRule="auto"/>
        <w:ind w:firstLine="480"/>
        <w:rPr>
          <w:rFonts w:ascii="宋体" w:hAnsi="宋体" w:eastAsia="宋体"/>
          <w:color w:val="auto"/>
          <w:sz w:val="24"/>
          <w:szCs w:val="24"/>
          <w:highlight w:val="none"/>
        </w:rPr>
      </w:pPr>
      <w:bookmarkStart w:id="308" w:name="_Toc67046887"/>
      <w:r>
        <w:rPr>
          <w:rFonts w:ascii="宋体" w:hAnsi="宋体" w:eastAsia="宋体"/>
          <w:color w:val="auto"/>
          <w:sz w:val="24"/>
          <w:szCs w:val="24"/>
          <w:highlight w:val="none"/>
        </w:rPr>
        <w:t>3</w:t>
      </w:r>
      <w:r>
        <w:rPr>
          <w:rFonts w:hint="eastAsia" w:ascii="宋体" w:hAnsi="宋体" w:eastAsia="宋体"/>
          <w:color w:val="auto"/>
          <w:sz w:val="24"/>
          <w:szCs w:val="24"/>
          <w:highlight w:val="none"/>
        </w:rPr>
        <w:t>2．投诉</w:t>
      </w:r>
      <w:bookmarkEnd w:id="306"/>
      <w:bookmarkEnd w:id="307"/>
      <w:bookmarkEnd w:id="308"/>
    </w:p>
    <w:p w14:paraId="35AF2C5C">
      <w:pPr>
        <w:tabs>
          <w:tab w:val="left" w:pos="0"/>
        </w:tabs>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32.1 质疑供应商对采购单位的质疑答复不满意，或者采购单位未在规定的时间内作出答复的，可以在答复期满后15个工作日向同级财政部门（政府采购监督管理部门）投诉。</w:t>
      </w:r>
    </w:p>
    <w:p w14:paraId="1C826867">
      <w:pPr>
        <w:tabs>
          <w:tab w:val="left" w:pos="0"/>
        </w:tabs>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32.2 供应商质疑、投诉应当有明确的请求和必要的证明材料。供应商投诉的事项不得超出已质疑事项的范围。</w:t>
      </w:r>
    </w:p>
    <w:p w14:paraId="2707A530">
      <w:pPr>
        <w:tabs>
          <w:tab w:val="left" w:pos="0"/>
        </w:tabs>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32.3 投诉人捏造事实、提供虚假材料或者以非法手段取得证明材料进行投诉的，财政部门应当予以驳回。</w:t>
      </w:r>
    </w:p>
    <w:p w14:paraId="696998DC">
      <w:pPr>
        <w:tabs>
          <w:tab w:val="left" w:pos="0"/>
        </w:tabs>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32.4 财政部门依据《政府采购供应商投诉处理办法》对投诉事项进行处理，作出的处理决定应当在政府采购监督管理部门指定的媒体上公告。</w:t>
      </w:r>
    </w:p>
    <w:p w14:paraId="293BAB80">
      <w:pPr>
        <w:pStyle w:val="5"/>
        <w:spacing w:before="40" w:after="40" w:line="360" w:lineRule="auto"/>
        <w:ind w:firstLine="560"/>
        <w:rPr>
          <w:rFonts w:ascii="宋体" w:hAnsi="宋体" w:eastAsia="宋体"/>
          <w:color w:val="auto"/>
          <w:sz w:val="28"/>
          <w:szCs w:val="28"/>
          <w:highlight w:val="none"/>
        </w:rPr>
      </w:pPr>
      <w:bookmarkStart w:id="309" w:name="_Toc259090971"/>
      <w:bookmarkStart w:id="310" w:name="_Toc21714"/>
      <w:bookmarkStart w:id="311" w:name="_Toc67046888"/>
      <w:bookmarkStart w:id="312" w:name="_Toc68789521"/>
      <w:bookmarkStart w:id="313" w:name="_Toc2591"/>
      <w:bookmarkStart w:id="314" w:name="_Toc241"/>
      <w:bookmarkStart w:id="315" w:name="_Toc15363"/>
      <w:bookmarkStart w:id="316" w:name="_Toc462677217"/>
      <w:bookmarkStart w:id="317" w:name="_Toc21849"/>
      <w:bookmarkStart w:id="318" w:name="_Toc3798"/>
      <w:bookmarkStart w:id="319" w:name="_Toc70528446"/>
      <w:bookmarkStart w:id="320" w:name="_Toc8237"/>
      <w:bookmarkStart w:id="321" w:name="_Toc17743"/>
      <w:r>
        <w:rPr>
          <w:rFonts w:hint="eastAsia" w:ascii="宋体" w:hAnsi="宋体" w:eastAsia="宋体"/>
          <w:color w:val="auto"/>
          <w:sz w:val="28"/>
          <w:szCs w:val="28"/>
          <w:highlight w:val="none"/>
        </w:rPr>
        <w:t>八、适用法律</w:t>
      </w:r>
      <w:bookmarkEnd w:id="309"/>
      <w:bookmarkEnd w:id="310"/>
      <w:bookmarkEnd w:id="311"/>
      <w:bookmarkEnd w:id="312"/>
      <w:bookmarkEnd w:id="313"/>
      <w:bookmarkEnd w:id="314"/>
      <w:bookmarkEnd w:id="315"/>
      <w:bookmarkEnd w:id="316"/>
      <w:bookmarkEnd w:id="317"/>
      <w:bookmarkEnd w:id="318"/>
      <w:bookmarkEnd w:id="319"/>
      <w:bookmarkEnd w:id="320"/>
      <w:bookmarkEnd w:id="321"/>
    </w:p>
    <w:p w14:paraId="37C63FF9">
      <w:pPr>
        <w:pStyle w:val="4"/>
        <w:spacing w:before="100" w:line="360" w:lineRule="auto"/>
        <w:ind w:firstLine="480"/>
        <w:rPr>
          <w:rFonts w:ascii="宋体" w:hAnsi="宋体" w:eastAsia="宋体"/>
          <w:color w:val="auto"/>
          <w:sz w:val="24"/>
          <w:szCs w:val="24"/>
          <w:highlight w:val="none"/>
        </w:rPr>
      </w:pPr>
      <w:bookmarkStart w:id="322" w:name="_Toc259090972"/>
      <w:bookmarkStart w:id="323" w:name="_Toc462677218"/>
      <w:bookmarkStart w:id="324" w:name="_Toc67046889"/>
      <w:bookmarkStart w:id="325" w:name="_Toc6322273"/>
      <w:r>
        <w:rPr>
          <w:rFonts w:hint="eastAsia" w:ascii="宋体" w:hAnsi="宋体" w:eastAsia="宋体"/>
          <w:color w:val="auto"/>
          <w:sz w:val="24"/>
          <w:szCs w:val="24"/>
          <w:highlight w:val="none"/>
        </w:rPr>
        <w:t>33．适用法律</w:t>
      </w:r>
      <w:bookmarkEnd w:id="322"/>
      <w:bookmarkEnd w:id="323"/>
      <w:bookmarkEnd w:id="324"/>
      <w:bookmarkEnd w:id="325"/>
    </w:p>
    <w:p w14:paraId="266F2F19">
      <w:pPr>
        <w:spacing w:line="360" w:lineRule="auto"/>
        <w:ind w:left="2" w:firstLine="472" w:firstLineChars="225"/>
        <w:rPr>
          <w:rFonts w:ascii="宋体" w:hAnsi="宋体"/>
          <w:color w:val="auto"/>
          <w:sz w:val="18"/>
          <w:highlight w:val="none"/>
        </w:rPr>
      </w:pPr>
      <w:r>
        <w:rPr>
          <w:rFonts w:hint="eastAsia" w:ascii="宋体" w:hAnsi="宋体"/>
          <w:color w:val="auto"/>
          <w:highlight w:val="none"/>
        </w:rPr>
        <w:t>采购人、政府采购代理机构及供应商的一切招标投标活动均适用《中华人民共和国政府采购法》《中华人民共和国政府采购法实施条例》《政府采购货物和服务招标投标管理办法》（财政部令87号）及其他配套的法规、规章、政策。</w:t>
      </w:r>
    </w:p>
    <w:p w14:paraId="31F67A83">
      <w:pPr>
        <w:keepNext/>
        <w:keepLines/>
        <w:spacing w:before="340" w:after="330"/>
        <w:jc w:val="center"/>
        <w:outlineLvl w:val="0"/>
        <w:rPr>
          <w:color w:val="auto"/>
          <w:szCs w:val="21"/>
          <w:highlight w:val="none"/>
        </w:rPr>
      </w:pPr>
      <w:r>
        <w:rPr>
          <w:rFonts w:ascii="宋体" w:hAnsi="宋体"/>
          <w:color w:val="auto"/>
          <w:highlight w:val="none"/>
        </w:rPr>
        <w:br w:type="page"/>
      </w:r>
      <w:bookmarkEnd w:id="97"/>
      <w:bookmarkEnd w:id="98"/>
      <w:bookmarkStart w:id="326" w:name="_Toc9647"/>
      <w:bookmarkStart w:id="327" w:name="_Toc6493"/>
      <w:bookmarkStart w:id="328" w:name="_Toc14326"/>
      <w:bookmarkStart w:id="329" w:name="_Toc1425"/>
      <w:bookmarkStart w:id="330" w:name="_Toc68789522"/>
      <w:bookmarkStart w:id="331" w:name="_Toc70528447"/>
      <w:bookmarkStart w:id="332" w:name="_Toc67046890"/>
      <w:bookmarkStart w:id="333" w:name="_Toc10551"/>
      <w:bookmarkStart w:id="334" w:name="_Toc12320"/>
      <w:bookmarkStart w:id="335" w:name="_Toc11897"/>
      <w:bookmarkStart w:id="336" w:name="_Toc12601"/>
      <w:bookmarkStart w:id="337" w:name="_Toc70528477"/>
      <w:bookmarkStart w:id="338" w:name="_Toc314746649"/>
      <w:bookmarkStart w:id="339" w:name="_Toc42923379"/>
      <w:bookmarkStart w:id="340" w:name="_Toc49508359"/>
      <w:r>
        <w:rPr>
          <w:rFonts w:hint="eastAsia" w:ascii="宋体" w:hAnsi="宋体"/>
          <w:b/>
          <w:bCs/>
          <w:color w:val="auto"/>
          <w:kern w:val="44"/>
          <w:sz w:val="36"/>
          <w:szCs w:val="36"/>
          <w:highlight w:val="none"/>
        </w:rPr>
        <w:t xml:space="preserve">第四部分 </w:t>
      </w:r>
      <w:bookmarkStart w:id="341" w:name="_Hlk67600056"/>
      <w:r>
        <w:rPr>
          <w:rFonts w:hint="eastAsia" w:ascii="宋体" w:hAnsi="宋体"/>
          <w:b/>
          <w:bCs/>
          <w:color w:val="auto"/>
          <w:kern w:val="44"/>
          <w:sz w:val="36"/>
          <w:szCs w:val="36"/>
          <w:highlight w:val="none"/>
        </w:rPr>
        <w:t>用户需求书</w:t>
      </w:r>
      <w:bookmarkEnd w:id="326"/>
      <w:bookmarkEnd w:id="327"/>
      <w:bookmarkEnd w:id="328"/>
      <w:bookmarkEnd w:id="329"/>
      <w:bookmarkEnd w:id="330"/>
      <w:bookmarkEnd w:id="331"/>
      <w:bookmarkEnd w:id="332"/>
      <w:bookmarkEnd w:id="333"/>
      <w:bookmarkEnd w:id="334"/>
      <w:bookmarkEnd w:id="335"/>
      <w:bookmarkEnd w:id="336"/>
      <w:bookmarkEnd w:id="337"/>
      <w:bookmarkEnd w:id="341"/>
      <w:bookmarkStart w:id="342" w:name="_Hlt25128125"/>
      <w:bookmarkEnd w:id="342"/>
    </w:p>
    <w:p w14:paraId="0843DB30">
      <w:pPr>
        <w:snapToGrid w:val="0"/>
        <w:spacing w:line="420" w:lineRule="exact"/>
        <w:rPr>
          <w:rFonts w:ascii="宋体" w:hAnsi="宋体" w:cs="ˎ̥"/>
          <w:b/>
          <w:bCs/>
          <w:color w:val="auto"/>
          <w:szCs w:val="21"/>
          <w:highlight w:val="none"/>
        </w:rPr>
      </w:pPr>
      <w:bookmarkStart w:id="343" w:name="_Hlk69916036"/>
      <w:r>
        <w:rPr>
          <w:rFonts w:hint="eastAsia" w:ascii="宋体" w:hAnsi="宋体" w:cs="ˎ̥"/>
          <w:b/>
          <w:bCs/>
          <w:color w:val="auto"/>
          <w:szCs w:val="21"/>
          <w:highlight w:val="none"/>
        </w:rPr>
        <w:t>说明：</w:t>
      </w:r>
    </w:p>
    <w:p w14:paraId="388E5496">
      <w:pPr>
        <w:spacing w:line="420" w:lineRule="exact"/>
        <w:ind w:firstLine="422" w:firstLineChars="200"/>
        <w:rPr>
          <w:rFonts w:ascii="宋体" w:hAnsi="宋体"/>
          <w:b/>
          <w:bCs/>
          <w:color w:val="auto"/>
          <w:szCs w:val="21"/>
          <w:highlight w:val="none"/>
        </w:rPr>
      </w:pPr>
      <w:r>
        <w:rPr>
          <w:rFonts w:hint="eastAsia" w:ascii="宋体" w:hAnsi="宋体"/>
          <w:b/>
          <w:bCs/>
          <w:color w:val="auto"/>
          <w:szCs w:val="21"/>
          <w:highlight w:val="none"/>
        </w:rPr>
        <w:t>1.供应商须对本项目的采购标的进行整体响应，任何只对本项目采购标的其中一部分内容或数量进行响应的，磋商小组有权将作无效响应处理。</w:t>
      </w:r>
    </w:p>
    <w:p w14:paraId="52DB5320">
      <w:pPr>
        <w:spacing w:line="420" w:lineRule="exact"/>
        <w:ind w:firstLine="422" w:firstLineChars="200"/>
        <w:rPr>
          <w:rFonts w:ascii="宋体" w:hAnsi="宋体"/>
          <w:b/>
          <w:bCs/>
          <w:color w:val="auto"/>
          <w:szCs w:val="21"/>
          <w:highlight w:val="none"/>
        </w:rPr>
      </w:pPr>
      <w:r>
        <w:rPr>
          <w:rFonts w:hint="eastAsia" w:ascii="宋体" w:hAnsi="宋体"/>
          <w:b/>
          <w:bCs/>
          <w:color w:val="auto"/>
          <w:szCs w:val="21"/>
          <w:highlight w:val="none"/>
        </w:rPr>
        <w:t>2.采购需求中标注“★”号条款为实质性条款，供应商须按要求对其进行逐条响应，当出现负偏离或未响应，将作无效响应处理；若要求提供证明材料，还须按要求提供证明材料，否则将作无效响应处理。</w:t>
      </w:r>
    </w:p>
    <w:p w14:paraId="74CF36F4">
      <w:pPr>
        <w:spacing w:line="420" w:lineRule="exact"/>
        <w:ind w:firstLine="422" w:firstLineChars="200"/>
        <w:rPr>
          <w:rFonts w:ascii="宋体" w:hAnsi="宋体"/>
          <w:b/>
          <w:bCs/>
          <w:color w:val="auto"/>
          <w:szCs w:val="21"/>
          <w:highlight w:val="none"/>
        </w:rPr>
      </w:pPr>
      <w:r>
        <w:rPr>
          <w:rFonts w:hint="eastAsia" w:ascii="宋体" w:hAnsi="宋体"/>
          <w:b/>
          <w:bCs/>
          <w:color w:val="auto"/>
          <w:szCs w:val="21"/>
          <w:highlight w:val="none"/>
        </w:rPr>
        <w:t>3.采购需求中标注“▲”号条款为重要技术条款，供应商须按要求对其进行逐条响应，当出现负偏离或未响应，对应项将不予以计分，不会作无效响应处理；若要求提供证明材料，还须按要求提供证明材料，否则不予计分。</w:t>
      </w:r>
    </w:p>
    <w:bookmarkEnd w:id="343"/>
    <w:p w14:paraId="5D069A04">
      <w:pPr>
        <w:ind w:firstLine="480"/>
        <w:jc w:val="left"/>
        <w:rPr>
          <w:rFonts w:ascii="宋体" w:hAnsi="宋体"/>
          <w:b/>
          <w:bCs/>
          <w:color w:val="auto"/>
          <w:sz w:val="24"/>
          <w:highlight w:val="none"/>
        </w:rPr>
      </w:pPr>
    </w:p>
    <w:p w14:paraId="0EA194E3">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一、项目概况</w:t>
      </w:r>
    </w:p>
    <w:tbl>
      <w:tblPr>
        <w:tblStyle w:val="49"/>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6"/>
        <w:gridCol w:w="2478"/>
        <w:gridCol w:w="3155"/>
      </w:tblGrid>
      <w:tr w14:paraId="654B0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3156" w:type="dxa"/>
            <w:vAlign w:val="center"/>
          </w:tcPr>
          <w:p w14:paraId="20ABA75C">
            <w:pPr>
              <w:jc w:val="center"/>
              <w:rPr>
                <w:rFonts w:ascii="宋体" w:hAnsi="宋体"/>
                <w:b/>
                <w:bCs/>
                <w:color w:val="auto"/>
                <w:szCs w:val="21"/>
                <w:highlight w:val="none"/>
              </w:rPr>
            </w:pPr>
            <w:r>
              <w:rPr>
                <w:rFonts w:hint="eastAsia" w:ascii="宋体" w:hAnsi="宋体"/>
                <w:b/>
                <w:bCs/>
                <w:color w:val="auto"/>
                <w:szCs w:val="21"/>
                <w:highlight w:val="none"/>
              </w:rPr>
              <w:t>标的名称</w:t>
            </w:r>
          </w:p>
        </w:tc>
        <w:tc>
          <w:tcPr>
            <w:tcW w:w="2478" w:type="dxa"/>
            <w:vAlign w:val="center"/>
          </w:tcPr>
          <w:p w14:paraId="34237FE5">
            <w:pPr>
              <w:jc w:val="center"/>
              <w:rPr>
                <w:rFonts w:ascii="宋体" w:hAnsi="宋体"/>
                <w:b/>
                <w:bCs/>
                <w:color w:val="auto"/>
                <w:szCs w:val="21"/>
                <w:highlight w:val="none"/>
              </w:rPr>
            </w:pPr>
            <w:r>
              <w:rPr>
                <w:rFonts w:hint="eastAsia" w:ascii="宋体" w:hAnsi="宋体"/>
                <w:b/>
                <w:bCs/>
                <w:color w:val="auto"/>
                <w:szCs w:val="21"/>
                <w:highlight w:val="none"/>
              </w:rPr>
              <w:t>最高限价（含税/元）</w:t>
            </w:r>
          </w:p>
        </w:tc>
        <w:tc>
          <w:tcPr>
            <w:tcW w:w="3155" w:type="dxa"/>
            <w:vAlign w:val="center"/>
          </w:tcPr>
          <w:p w14:paraId="52154D50">
            <w:pPr>
              <w:jc w:val="center"/>
              <w:rPr>
                <w:rFonts w:ascii="宋体" w:hAnsi="宋体"/>
                <w:b/>
                <w:bCs/>
                <w:color w:val="auto"/>
                <w:szCs w:val="21"/>
                <w:highlight w:val="none"/>
              </w:rPr>
            </w:pPr>
            <w:r>
              <w:rPr>
                <w:rFonts w:hint="eastAsia" w:ascii="宋体" w:hAnsi="宋体"/>
                <w:b/>
                <w:bCs/>
                <w:color w:val="auto"/>
                <w:szCs w:val="21"/>
                <w:highlight w:val="none"/>
              </w:rPr>
              <w:t>交货时间</w:t>
            </w:r>
          </w:p>
        </w:tc>
      </w:tr>
      <w:tr w14:paraId="3E519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3156" w:type="dxa"/>
            <w:vAlign w:val="center"/>
          </w:tcPr>
          <w:p w14:paraId="25A596E2">
            <w:pPr>
              <w:jc w:val="center"/>
              <w:rPr>
                <w:rFonts w:ascii="宋体" w:hAnsi="宋体"/>
                <w:color w:val="auto"/>
                <w:szCs w:val="21"/>
                <w:highlight w:val="none"/>
              </w:rPr>
            </w:pPr>
            <w:r>
              <w:rPr>
                <w:rFonts w:hint="eastAsia" w:ascii="宋体" w:hAnsi="宋体"/>
                <w:color w:val="auto"/>
                <w:szCs w:val="21"/>
                <w:highlight w:val="none"/>
              </w:rPr>
              <w:t>分析测试中心大型及贵重仪器共享平台建设-仪器租赁</w:t>
            </w:r>
          </w:p>
        </w:tc>
        <w:tc>
          <w:tcPr>
            <w:tcW w:w="2478" w:type="dxa"/>
            <w:vAlign w:val="center"/>
          </w:tcPr>
          <w:p w14:paraId="1EA99D7E">
            <w:pPr>
              <w:jc w:val="center"/>
              <w:rPr>
                <w:rFonts w:ascii="宋体" w:hAnsi="宋体"/>
                <w:color w:val="auto"/>
                <w:szCs w:val="21"/>
                <w:highlight w:val="none"/>
              </w:rPr>
            </w:pPr>
            <w:r>
              <w:rPr>
                <w:rFonts w:hint="eastAsia" w:ascii="宋体" w:hAnsi="宋体"/>
                <w:color w:val="auto"/>
                <w:szCs w:val="21"/>
                <w:highlight w:val="none"/>
              </w:rPr>
              <w:t>748000.00</w:t>
            </w:r>
          </w:p>
        </w:tc>
        <w:tc>
          <w:tcPr>
            <w:tcW w:w="3155" w:type="dxa"/>
            <w:vAlign w:val="center"/>
          </w:tcPr>
          <w:p w14:paraId="0ABD92B7">
            <w:pPr>
              <w:jc w:val="center"/>
              <w:rPr>
                <w:rFonts w:ascii="宋体" w:hAnsi="宋体"/>
                <w:color w:val="auto"/>
                <w:szCs w:val="21"/>
                <w:highlight w:val="none"/>
              </w:rPr>
            </w:pPr>
            <w:r>
              <w:rPr>
                <w:rFonts w:hint="eastAsia" w:ascii="宋体" w:hAnsi="宋体"/>
                <w:color w:val="auto"/>
                <w:szCs w:val="21"/>
                <w:highlight w:val="none"/>
              </w:rPr>
              <w:t>合同签订后30个工作日内完成租赁货物的供货、安装、调试、交付使用，并在合同生效后5年内提供租赁服务</w:t>
            </w:r>
          </w:p>
        </w:tc>
      </w:tr>
    </w:tbl>
    <w:p w14:paraId="2E076250">
      <w:pPr>
        <w:spacing w:line="360" w:lineRule="auto"/>
        <w:jc w:val="left"/>
        <w:rPr>
          <w:rFonts w:ascii="宋体" w:hAnsi="宋体"/>
          <w:color w:val="auto"/>
          <w:szCs w:val="21"/>
          <w:highlight w:val="none"/>
        </w:rPr>
      </w:pPr>
      <w:r>
        <w:rPr>
          <w:rFonts w:hint="eastAsia" w:ascii="宋体" w:hAnsi="宋体"/>
          <w:color w:val="auto"/>
          <w:szCs w:val="21"/>
          <w:highlight w:val="none"/>
        </w:rPr>
        <w:t>注：结算货币为人民币，以下同。</w:t>
      </w:r>
    </w:p>
    <w:p w14:paraId="690BF0EC">
      <w:pPr>
        <w:rPr>
          <w:color w:val="auto"/>
          <w:szCs w:val="21"/>
          <w:highlight w:val="none"/>
        </w:rPr>
      </w:pPr>
    </w:p>
    <w:p w14:paraId="1D884C5F">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二、所租赁货物的技术参数清单</w:t>
      </w:r>
    </w:p>
    <w:tbl>
      <w:tblPr>
        <w:tblStyle w:val="49"/>
        <w:tblW w:w="553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01"/>
        <w:gridCol w:w="765"/>
        <w:gridCol w:w="4246"/>
        <w:gridCol w:w="480"/>
        <w:gridCol w:w="795"/>
        <w:gridCol w:w="876"/>
        <w:gridCol w:w="976"/>
        <w:gridCol w:w="900"/>
      </w:tblGrid>
      <w:tr w14:paraId="61812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12" w:type="pct"/>
            <w:vAlign w:val="center"/>
          </w:tcPr>
          <w:p w14:paraId="4ADB07AC">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序号</w:t>
            </w:r>
          </w:p>
        </w:tc>
        <w:tc>
          <w:tcPr>
            <w:tcW w:w="405" w:type="pct"/>
            <w:vAlign w:val="center"/>
          </w:tcPr>
          <w:p w14:paraId="79CC44A3">
            <w:pPr>
              <w:jc w:val="center"/>
              <w:rPr>
                <w:rFonts w:ascii="宋体" w:hAnsi="宋体"/>
                <w:b/>
                <w:caps/>
                <w:color w:val="auto"/>
                <w:szCs w:val="21"/>
                <w:highlight w:val="none"/>
              </w:rPr>
            </w:pPr>
            <w:r>
              <w:rPr>
                <w:rFonts w:hint="eastAsia" w:ascii="宋体" w:hAnsi="宋体"/>
                <w:b/>
                <w:caps/>
                <w:color w:val="auto"/>
                <w:szCs w:val="21"/>
                <w:highlight w:val="none"/>
              </w:rPr>
              <w:t>货物名称</w:t>
            </w:r>
          </w:p>
        </w:tc>
        <w:tc>
          <w:tcPr>
            <w:tcW w:w="2248" w:type="pct"/>
            <w:vAlign w:val="center"/>
          </w:tcPr>
          <w:p w14:paraId="2035ABD5">
            <w:pPr>
              <w:jc w:val="center"/>
              <w:rPr>
                <w:rFonts w:ascii="宋体" w:hAnsi="宋体"/>
                <w:b/>
                <w:caps/>
                <w:color w:val="auto"/>
                <w:szCs w:val="21"/>
                <w:highlight w:val="none"/>
              </w:rPr>
            </w:pPr>
            <w:r>
              <w:rPr>
                <w:rFonts w:hint="eastAsia" w:hAnsi="宋体" w:cs="宋体"/>
                <w:b/>
                <w:bCs/>
                <w:color w:val="auto"/>
                <w:highlight w:val="none"/>
              </w:rPr>
              <w:t>配置／技术参数、功能要求及附件</w:t>
            </w:r>
          </w:p>
        </w:tc>
        <w:tc>
          <w:tcPr>
            <w:tcW w:w="254" w:type="pct"/>
            <w:vAlign w:val="center"/>
          </w:tcPr>
          <w:p w14:paraId="2A658D19">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单位</w:t>
            </w:r>
          </w:p>
        </w:tc>
        <w:tc>
          <w:tcPr>
            <w:tcW w:w="421" w:type="pct"/>
            <w:vAlign w:val="center"/>
          </w:tcPr>
          <w:p w14:paraId="1839AD44">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租赁数量（年）</w:t>
            </w:r>
          </w:p>
        </w:tc>
        <w:tc>
          <w:tcPr>
            <w:tcW w:w="464" w:type="pct"/>
            <w:vAlign w:val="center"/>
          </w:tcPr>
          <w:p w14:paraId="6051F3F8">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租赁</w:t>
            </w:r>
          </w:p>
          <w:p w14:paraId="65AF9831">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单价</w:t>
            </w:r>
            <w:r>
              <w:rPr>
                <w:rFonts w:ascii="宋体" w:hAnsi="宋体"/>
                <w:b/>
                <w:caps/>
                <w:color w:val="auto"/>
                <w:szCs w:val="21"/>
                <w:highlight w:val="none"/>
              </w:rPr>
              <w:t xml:space="preserve"> </w:t>
            </w:r>
            <w:r>
              <w:rPr>
                <w:rFonts w:hint="eastAsia" w:ascii="宋体" w:hAnsi="宋体"/>
                <w:b/>
                <w:caps/>
                <w:color w:val="auto"/>
                <w:szCs w:val="21"/>
                <w:highlight w:val="none"/>
              </w:rPr>
              <w:t>（元）</w:t>
            </w:r>
          </w:p>
        </w:tc>
        <w:tc>
          <w:tcPr>
            <w:tcW w:w="517" w:type="pct"/>
            <w:vAlign w:val="center"/>
          </w:tcPr>
          <w:p w14:paraId="640BCEE1">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租赁</w:t>
            </w:r>
          </w:p>
          <w:p w14:paraId="625508A7">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金额</w:t>
            </w:r>
            <w:r>
              <w:rPr>
                <w:rFonts w:ascii="宋体" w:hAnsi="宋体"/>
                <w:b/>
                <w:caps/>
                <w:color w:val="auto"/>
                <w:szCs w:val="21"/>
                <w:highlight w:val="none"/>
              </w:rPr>
              <w:t xml:space="preserve">   </w:t>
            </w:r>
            <w:r>
              <w:rPr>
                <w:rFonts w:hint="eastAsia" w:ascii="宋体" w:hAnsi="宋体"/>
                <w:b/>
                <w:caps/>
                <w:color w:val="auto"/>
                <w:szCs w:val="21"/>
                <w:highlight w:val="none"/>
              </w:rPr>
              <w:t>（元）</w:t>
            </w:r>
          </w:p>
        </w:tc>
        <w:tc>
          <w:tcPr>
            <w:tcW w:w="476" w:type="pct"/>
            <w:vAlign w:val="center"/>
          </w:tcPr>
          <w:p w14:paraId="56D4DBDC">
            <w:pPr>
              <w:jc w:val="center"/>
              <w:rPr>
                <w:rFonts w:ascii="宋体" w:hAnsi="宋体"/>
                <w:b/>
                <w:caps/>
                <w:color w:val="auto"/>
                <w:szCs w:val="21"/>
                <w:highlight w:val="none"/>
              </w:rPr>
            </w:pPr>
            <w:r>
              <w:rPr>
                <w:rFonts w:hint="eastAsia" w:ascii="宋体" w:hAnsi="宋体"/>
                <w:b/>
                <w:caps/>
                <w:color w:val="auto"/>
                <w:szCs w:val="21"/>
                <w:highlight w:val="none"/>
              </w:rPr>
              <w:t>租赁</w:t>
            </w:r>
          </w:p>
          <w:p w14:paraId="3CB2B040">
            <w:pPr>
              <w:jc w:val="center"/>
              <w:rPr>
                <w:rFonts w:ascii="宋体" w:hAnsi="宋体"/>
                <w:b/>
                <w:caps/>
                <w:color w:val="auto"/>
                <w:szCs w:val="21"/>
                <w:highlight w:val="none"/>
              </w:rPr>
            </w:pPr>
            <w:r>
              <w:rPr>
                <w:rFonts w:hint="eastAsia" w:ascii="宋体" w:hAnsi="宋体"/>
                <w:b/>
                <w:caps/>
                <w:color w:val="auto"/>
                <w:szCs w:val="21"/>
                <w:highlight w:val="none"/>
              </w:rPr>
              <w:t>时间</w:t>
            </w:r>
          </w:p>
        </w:tc>
      </w:tr>
      <w:tr w14:paraId="395D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44" w:hRule="atLeast"/>
          <w:jc w:val="center"/>
        </w:trPr>
        <w:tc>
          <w:tcPr>
            <w:tcW w:w="212" w:type="pct"/>
            <w:vMerge w:val="restart"/>
            <w:vAlign w:val="center"/>
          </w:tcPr>
          <w:p w14:paraId="01837E81">
            <w:pPr>
              <w:rPr>
                <w:rFonts w:ascii="宋体" w:hAnsi="宋体"/>
                <w:color w:val="auto"/>
                <w:szCs w:val="21"/>
                <w:highlight w:val="none"/>
              </w:rPr>
            </w:pPr>
            <w:bookmarkStart w:id="344" w:name="_Hlk484114543"/>
            <w:bookmarkStart w:id="345" w:name="OLE_LINK1" w:colFirst="6" w:colLast="9"/>
            <w:bookmarkStart w:id="346" w:name="_Hlk483833310"/>
            <w:bookmarkStart w:id="347" w:name="OLE_LINK2" w:colFirst="6" w:colLast="9"/>
            <w:r>
              <w:rPr>
                <w:rFonts w:ascii="宋体" w:hAnsi="宋体"/>
                <w:color w:val="auto"/>
                <w:szCs w:val="21"/>
                <w:highlight w:val="none"/>
              </w:rPr>
              <w:t>1</w:t>
            </w:r>
          </w:p>
        </w:tc>
        <w:tc>
          <w:tcPr>
            <w:tcW w:w="405" w:type="pct"/>
            <w:vMerge w:val="restart"/>
            <w:vAlign w:val="center"/>
          </w:tcPr>
          <w:p w14:paraId="456A0D94">
            <w:pPr>
              <w:widowControl/>
              <w:jc w:val="center"/>
              <w:rPr>
                <w:rFonts w:ascii="宋体" w:hAnsi="宋体"/>
                <w:color w:val="auto"/>
                <w:kern w:val="0"/>
                <w:szCs w:val="21"/>
                <w:highlight w:val="none"/>
              </w:rPr>
            </w:pPr>
            <w:r>
              <w:rPr>
                <w:rFonts w:hint="eastAsia" w:ascii="宋体" w:hAnsi="宋体"/>
                <w:bCs/>
                <w:color w:val="auto"/>
                <w:highlight w:val="none"/>
              </w:rPr>
              <w:t>流式细胞仪</w:t>
            </w:r>
          </w:p>
        </w:tc>
        <w:tc>
          <w:tcPr>
            <w:tcW w:w="2248" w:type="pct"/>
            <w:vMerge w:val="restart"/>
          </w:tcPr>
          <w:p w14:paraId="15117C57">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一、光学系统：</w:t>
            </w:r>
          </w:p>
          <w:p w14:paraId="1FF9EC90">
            <w:pPr>
              <w:autoSpaceDE w:val="0"/>
              <w:autoSpaceDN w:val="0"/>
              <w:adjustRightInd w:val="0"/>
              <w:rPr>
                <w:rFonts w:ascii="宋体" w:hAnsi="宋体" w:cs="Arial"/>
                <w:color w:val="auto"/>
                <w:kern w:val="0"/>
                <w:highlight w:val="none"/>
              </w:rPr>
            </w:pPr>
            <w:r>
              <w:rPr>
                <w:rFonts w:hint="eastAsia" w:ascii="宋体" w:hAnsi="宋体" w:cs="宋体"/>
                <w:color w:val="auto"/>
                <w:highlight w:val="none"/>
              </w:rPr>
              <w:t>★</w:t>
            </w:r>
            <w:r>
              <w:rPr>
                <w:rFonts w:ascii="宋体" w:hAnsi="宋体" w:cs="Arial"/>
                <w:color w:val="auto"/>
                <w:kern w:val="0"/>
                <w:highlight w:val="none"/>
              </w:rPr>
              <w:t>1.1</w:t>
            </w:r>
            <w:r>
              <w:rPr>
                <w:rFonts w:hint="eastAsia" w:ascii="宋体" w:hAnsi="宋体" w:cs="Arial"/>
                <w:color w:val="auto"/>
                <w:kern w:val="0"/>
                <w:highlight w:val="none"/>
              </w:rPr>
              <w:t xml:space="preserve"> </w:t>
            </w:r>
            <w:r>
              <w:rPr>
                <w:rFonts w:ascii="宋体" w:hAnsi="宋体" w:cs="Arial"/>
                <w:color w:val="auto"/>
                <w:kern w:val="0"/>
                <w:highlight w:val="none"/>
              </w:rPr>
              <w:t>配置固态平顶光斑激光器非高斯分布激光器，激发波长488nm(激光功率≥100mW)和637nm(激光功率≥140mW)，</w:t>
            </w:r>
            <w:r>
              <w:rPr>
                <w:rFonts w:hint="eastAsia" w:ascii="宋体" w:hAnsi="宋体" w:cs="Arial"/>
                <w:color w:val="auto"/>
                <w:kern w:val="0"/>
                <w:highlight w:val="none"/>
              </w:rPr>
              <w:t>预留激光的升级空间，后续可升级至4激光配置；</w:t>
            </w:r>
            <w:r>
              <w:rPr>
                <w:rFonts w:ascii="宋体" w:hAnsi="宋体" w:cs="Arial"/>
                <w:color w:val="auto"/>
                <w:kern w:val="0"/>
                <w:highlight w:val="none"/>
              </w:rPr>
              <w:t xml:space="preserve"> </w:t>
            </w:r>
          </w:p>
          <w:p w14:paraId="2750D742">
            <w:pPr>
              <w:autoSpaceDE w:val="0"/>
              <w:autoSpaceDN w:val="0"/>
              <w:adjustRightInd w:val="0"/>
              <w:rPr>
                <w:rFonts w:ascii="宋体" w:hAnsi="宋体" w:cs="Arial"/>
                <w:color w:val="auto"/>
                <w:kern w:val="0"/>
                <w:highlight w:val="none"/>
              </w:rPr>
            </w:pPr>
            <w:r>
              <w:rPr>
                <w:rFonts w:hint="eastAsia" w:ascii="宋体" w:hAnsi="宋体" w:cs="宋体"/>
                <w:color w:val="auto"/>
                <w:highlight w:val="none"/>
              </w:rPr>
              <w:t>★</w:t>
            </w:r>
            <w:r>
              <w:rPr>
                <w:rFonts w:ascii="宋体" w:hAnsi="宋体" w:cs="Arial"/>
                <w:color w:val="auto"/>
                <w:kern w:val="0"/>
                <w:highlight w:val="none"/>
              </w:rPr>
              <w:t>1.2</w:t>
            </w:r>
            <w:r>
              <w:rPr>
                <w:rFonts w:hint="eastAsia" w:ascii="宋体" w:hAnsi="宋体" w:cs="Arial"/>
                <w:color w:val="auto"/>
                <w:kern w:val="0"/>
                <w:highlight w:val="none"/>
              </w:rPr>
              <w:t xml:space="preserve"> </w:t>
            </w:r>
            <w:r>
              <w:rPr>
                <w:rFonts w:ascii="宋体" w:hAnsi="宋体" w:cs="Arial"/>
                <w:color w:val="auto"/>
                <w:kern w:val="0"/>
                <w:highlight w:val="none"/>
              </w:rPr>
              <w:t>配备至少</w:t>
            </w:r>
            <w:r>
              <w:rPr>
                <w:rFonts w:hint="eastAsia" w:ascii="宋体" w:hAnsi="宋体" w:cs="Arial"/>
                <w:color w:val="auto"/>
                <w:kern w:val="0"/>
                <w:highlight w:val="none"/>
              </w:rPr>
              <w:t>9</w:t>
            </w:r>
            <w:r>
              <w:rPr>
                <w:rFonts w:ascii="宋体" w:hAnsi="宋体" w:cs="Arial"/>
                <w:color w:val="auto"/>
                <w:kern w:val="0"/>
                <w:highlight w:val="none"/>
              </w:rPr>
              <w:t>个独立光学检测器：其中散射光检测器</w:t>
            </w:r>
            <w:r>
              <w:rPr>
                <w:rFonts w:hint="eastAsia" w:ascii="宋体" w:hAnsi="宋体" w:cs="Arial"/>
                <w:color w:val="auto"/>
                <w:kern w:val="0"/>
                <w:highlight w:val="none"/>
              </w:rPr>
              <w:t>至少</w:t>
            </w:r>
            <w:r>
              <w:rPr>
                <w:rFonts w:ascii="宋体" w:hAnsi="宋体" w:cs="Arial"/>
                <w:color w:val="auto"/>
                <w:kern w:val="0"/>
                <w:highlight w:val="none"/>
              </w:rPr>
              <w:t>2个，荧光检测器至少</w:t>
            </w:r>
            <w:r>
              <w:rPr>
                <w:rFonts w:hint="eastAsia" w:ascii="宋体" w:hAnsi="宋体" w:cs="Arial"/>
                <w:color w:val="auto"/>
                <w:kern w:val="0"/>
                <w:highlight w:val="none"/>
              </w:rPr>
              <w:t>7</w:t>
            </w:r>
            <w:r>
              <w:rPr>
                <w:rFonts w:ascii="宋体" w:hAnsi="宋体" w:cs="Arial"/>
                <w:color w:val="auto"/>
                <w:kern w:val="0"/>
                <w:highlight w:val="none"/>
              </w:rPr>
              <w:t>个，</w:t>
            </w:r>
            <w:r>
              <w:rPr>
                <w:rFonts w:hint="eastAsia" w:ascii="宋体" w:hAnsi="宋体" w:cs="Arial"/>
                <w:color w:val="auto"/>
                <w:kern w:val="0"/>
                <w:highlight w:val="none"/>
              </w:rPr>
              <w:t>至少</w:t>
            </w:r>
            <w:r>
              <w:rPr>
                <w:rFonts w:ascii="宋体" w:hAnsi="宋体" w:cs="Arial"/>
                <w:color w:val="auto"/>
                <w:kern w:val="0"/>
                <w:highlight w:val="none"/>
              </w:rPr>
              <w:t>配备488nmFSC、SSC通道</w:t>
            </w:r>
            <w:r>
              <w:rPr>
                <w:rFonts w:hint="eastAsia" w:ascii="宋体" w:hAnsi="宋体" w:cs="Arial"/>
                <w:color w:val="auto"/>
                <w:kern w:val="0"/>
                <w:highlight w:val="none"/>
              </w:rPr>
              <w:t>；</w:t>
            </w:r>
          </w:p>
          <w:p w14:paraId="3D19628D">
            <w:pPr>
              <w:autoSpaceDE w:val="0"/>
              <w:autoSpaceDN w:val="0"/>
              <w:adjustRightInd w:val="0"/>
              <w:rPr>
                <w:rFonts w:ascii="宋体" w:hAnsi="宋体" w:cs="Arial"/>
                <w:color w:val="auto"/>
                <w:kern w:val="0"/>
                <w:highlight w:val="none"/>
              </w:rPr>
            </w:pPr>
            <w:r>
              <w:rPr>
                <w:rFonts w:ascii="宋体" w:hAnsi="宋体" w:cs="Arial"/>
                <w:color w:val="auto"/>
                <w:kern w:val="0"/>
                <w:highlight w:val="none"/>
              </w:rPr>
              <w:t>1.3</w:t>
            </w:r>
            <w:r>
              <w:rPr>
                <w:rFonts w:hint="eastAsia" w:ascii="宋体" w:hAnsi="宋体" w:cs="Arial"/>
                <w:color w:val="auto"/>
                <w:kern w:val="0"/>
                <w:highlight w:val="none"/>
              </w:rPr>
              <w:t xml:space="preserve"> </w:t>
            </w:r>
            <w:r>
              <w:rPr>
                <w:rFonts w:ascii="宋体" w:hAnsi="宋体" w:cs="Arial"/>
                <w:color w:val="auto"/>
                <w:kern w:val="0"/>
                <w:highlight w:val="none"/>
              </w:rPr>
              <w:t>采用插拔式滤光片设计，使用者可根据实验需求定制、更换滤光片；</w:t>
            </w:r>
          </w:p>
          <w:p w14:paraId="0E7D2814">
            <w:pPr>
              <w:autoSpaceDE w:val="0"/>
              <w:autoSpaceDN w:val="0"/>
              <w:adjustRightInd w:val="0"/>
              <w:rPr>
                <w:rFonts w:ascii="宋体" w:hAnsi="宋体" w:cs="Arial"/>
                <w:color w:val="auto"/>
                <w:kern w:val="0"/>
                <w:highlight w:val="none"/>
              </w:rPr>
            </w:pPr>
            <w:r>
              <w:rPr>
                <w:rFonts w:hint="eastAsia" w:ascii="宋体" w:hAnsi="宋体" w:cs="宋体"/>
                <w:color w:val="auto"/>
                <w:highlight w:val="none"/>
              </w:rPr>
              <w:t>★</w:t>
            </w:r>
            <w:r>
              <w:rPr>
                <w:rFonts w:ascii="宋体" w:hAnsi="宋体" w:cs="Arial"/>
                <w:color w:val="auto"/>
                <w:kern w:val="0"/>
                <w:highlight w:val="none"/>
              </w:rPr>
              <w:t>1.4</w:t>
            </w:r>
            <w:r>
              <w:rPr>
                <w:rFonts w:hint="eastAsia" w:ascii="宋体" w:hAnsi="宋体" w:cs="Arial"/>
                <w:color w:val="auto"/>
                <w:kern w:val="0"/>
                <w:highlight w:val="none"/>
              </w:rPr>
              <w:t xml:space="preserve"> </w:t>
            </w:r>
            <w:r>
              <w:rPr>
                <w:rFonts w:ascii="宋体" w:hAnsi="宋体" w:cs="Arial"/>
                <w:color w:val="auto"/>
                <w:kern w:val="0"/>
                <w:highlight w:val="none"/>
              </w:rPr>
              <w:t>荧光信号收集须采用行业通用、性能稳定可靠的光电倍增管检测器（PMT）</w:t>
            </w:r>
            <w:r>
              <w:rPr>
                <w:rFonts w:hint="eastAsia" w:ascii="宋体" w:hAnsi="宋体" w:cs="Arial"/>
                <w:color w:val="auto"/>
                <w:kern w:val="0"/>
                <w:highlight w:val="none"/>
              </w:rPr>
              <w:t>；</w:t>
            </w:r>
          </w:p>
          <w:p w14:paraId="008B9C41">
            <w:pPr>
              <w:autoSpaceDE w:val="0"/>
              <w:autoSpaceDN w:val="0"/>
              <w:adjustRightInd w:val="0"/>
              <w:rPr>
                <w:rFonts w:ascii="宋体" w:hAnsi="宋体" w:cs="Arial"/>
                <w:color w:val="auto"/>
                <w:kern w:val="0"/>
                <w:highlight w:val="none"/>
              </w:rPr>
            </w:pPr>
            <w:r>
              <w:rPr>
                <w:rFonts w:ascii="宋体" w:hAnsi="宋体" w:cs="Arial"/>
                <w:color w:val="auto"/>
                <w:kern w:val="0"/>
                <w:highlight w:val="none"/>
              </w:rPr>
              <w:t>1.5</w:t>
            </w:r>
            <w:r>
              <w:rPr>
                <w:rFonts w:hint="eastAsia" w:ascii="宋体" w:hAnsi="宋体" w:cs="Arial"/>
                <w:color w:val="auto"/>
                <w:kern w:val="0"/>
                <w:highlight w:val="none"/>
              </w:rPr>
              <w:t xml:space="preserve"> </w:t>
            </w:r>
            <w:r>
              <w:rPr>
                <w:rFonts w:ascii="宋体" w:hAnsi="宋体" w:cs="Arial"/>
                <w:color w:val="auto"/>
                <w:kern w:val="0"/>
                <w:highlight w:val="none"/>
              </w:rPr>
              <w:t>激光器无预热延迟，具有自动关闭功能从而延长使用寿命；</w:t>
            </w:r>
          </w:p>
          <w:p w14:paraId="522326AC">
            <w:pPr>
              <w:autoSpaceDE w:val="0"/>
              <w:autoSpaceDN w:val="0"/>
              <w:adjustRightInd w:val="0"/>
              <w:rPr>
                <w:rFonts w:ascii="宋体" w:hAnsi="宋体" w:cs="Arial"/>
                <w:color w:val="auto"/>
                <w:kern w:val="0"/>
                <w:highlight w:val="none"/>
              </w:rPr>
            </w:pPr>
            <w:r>
              <w:rPr>
                <w:rFonts w:ascii="宋体" w:hAnsi="宋体" w:cs="Arial"/>
                <w:color w:val="auto"/>
                <w:kern w:val="0"/>
                <w:highlight w:val="none"/>
              </w:rPr>
              <w:t>1.6</w:t>
            </w:r>
            <w:r>
              <w:rPr>
                <w:rFonts w:hint="eastAsia" w:ascii="宋体" w:hAnsi="宋体" w:cs="Arial"/>
                <w:color w:val="auto"/>
                <w:kern w:val="0"/>
                <w:highlight w:val="none"/>
              </w:rPr>
              <w:t xml:space="preserve"> </w:t>
            </w:r>
            <w:r>
              <w:rPr>
                <w:rFonts w:ascii="宋体" w:hAnsi="宋体" w:cs="Arial"/>
                <w:color w:val="auto"/>
                <w:kern w:val="0"/>
                <w:highlight w:val="none"/>
              </w:rPr>
              <w:t>每个激光器都有聚焦透镜，通过光纤连接到激光器接口</w:t>
            </w:r>
            <w:r>
              <w:rPr>
                <w:rFonts w:hint="eastAsia" w:ascii="宋体" w:hAnsi="宋体" w:cs="Arial"/>
                <w:color w:val="auto"/>
                <w:kern w:val="0"/>
                <w:highlight w:val="none"/>
              </w:rPr>
              <w:t>；</w:t>
            </w:r>
          </w:p>
          <w:p w14:paraId="53DC9667">
            <w:pPr>
              <w:autoSpaceDE w:val="0"/>
              <w:autoSpaceDN w:val="0"/>
              <w:adjustRightInd w:val="0"/>
              <w:rPr>
                <w:rFonts w:ascii="宋体" w:hAnsi="宋体" w:cs="Arial"/>
                <w:color w:val="auto"/>
                <w:kern w:val="0"/>
                <w:highlight w:val="none"/>
              </w:rPr>
            </w:pPr>
            <w:r>
              <w:rPr>
                <w:rFonts w:ascii="宋体" w:hAnsi="宋体" w:cs="Arial"/>
                <w:color w:val="auto"/>
                <w:kern w:val="0"/>
                <w:highlight w:val="none"/>
              </w:rPr>
              <w:t>1.7</w:t>
            </w:r>
            <w:r>
              <w:rPr>
                <w:rFonts w:hint="eastAsia" w:ascii="宋体" w:hAnsi="宋体" w:cs="Arial"/>
                <w:color w:val="auto"/>
                <w:kern w:val="0"/>
                <w:highlight w:val="none"/>
              </w:rPr>
              <w:t xml:space="preserve"> </w:t>
            </w:r>
            <w:r>
              <w:rPr>
                <w:rFonts w:ascii="宋体" w:hAnsi="宋体" w:cs="Arial"/>
                <w:color w:val="auto"/>
                <w:kern w:val="0"/>
                <w:highlight w:val="none"/>
              </w:rPr>
              <w:t>免调电压，用户也可根据自己的样本调节电压</w:t>
            </w:r>
            <w:r>
              <w:rPr>
                <w:rFonts w:hint="eastAsia" w:ascii="宋体" w:hAnsi="宋体" w:cs="Arial"/>
                <w:color w:val="auto"/>
                <w:kern w:val="0"/>
                <w:highlight w:val="none"/>
              </w:rPr>
              <w:t>。</w:t>
            </w:r>
          </w:p>
          <w:p w14:paraId="3972DD23">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二、液流系统</w:t>
            </w:r>
          </w:p>
          <w:p w14:paraId="2C9A673C">
            <w:pPr>
              <w:autoSpaceDE w:val="0"/>
              <w:autoSpaceDN w:val="0"/>
              <w:adjustRightInd w:val="0"/>
              <w:rPr>
                <w:rFonts w:ascii="宋体" w:hAnsi="宋体" w:cs="Arial"/>
                <w:color w:val="auto"/>
                <w:kern w:val="0"/>
                <w:highlight w:val="none"/>
              </w:rPr>
            </w:pPr>
            <w:r>
              <w:rPr>
                <w:rFonts w:ascii="宋体" w:hAnsi="宋体" w:cs="Arial"/>
                <w:color w:val="auto"/>
                <w:kern w:val="0"/>
                <w:highlight w:val="none"/>
              </w:rPr>
              <w:t>2.1</w:t>
            </w:r>
            <w:r>
              <w:rPr>
                <w:rFonts w:hint="eastAsia" w:ascii="宋体" w:hAnsi="宋体" w:cs="Arial"/>
                <w:color w:val="auto"/>
                <w:kern w:val="0"/>
                <w:highlight w:val="none"/>
              </w:rPr>
              <w:t xml:space="preserve"> </w:t>
            </w:r>
            <w:r>
              <w:rPr>
                <w:rFonts w:ascii="宋体" w:hAnsi="宋体" w:cs="Arial"/>
                <w:color w:val="auto"/>
                <w:kern w:val="0"/>
                <w:highlight w:val="none"/>
              </w:rPr>
              <w:t>采用最新更精确的注射泵定量进样，无需辅助微球直接进行绝对计数；</w:t>
            </w:r>
          </w:p>
          <w:p w14:paraId="37CFA74C">
            <w:pPr>
              <w:autoSpaceDE w:val="0"/>
              <w:autoSpaceDN w:val="0"/>
              <w:adjustRightInd w:val="0"/>
              <w:rPr>
                <w:rFonts w:ascii="宋体" w:hAnsi="宋体" w:cs="Arial"/>
                <w:color w:val="auto"/>
                <w:kern w:val="0"/>
                <w:highlight w:val="none"/>
              </w:rPr>
            </w:pPr>
            <w:r>
              <w:rPr>
                <w:rFonts w:hint="eastAsia" w:ascii="宋体" w:hAnsi="宋体" w:cs="宋体"/>
                <w:color w:val="auto"/>
                <w:highlight w:val="none"/>
              </w:rPr>
              <w:t>★</w:t>
            </w:r>
            <w:r>
              <w:rPr>
                <w:rFonts w:ascii="宋体" w:hAnsi="宋体" w:cs="Arial"/>
                <w:color w:val="auto"/>
                <w:kern w:val="0"/>
                <w:highlight w:val="none"/>
              </w:rPr>
              <w:t>2.2</w:t>
            </w:r>
            <w:r>
              <w:rPr>
                <w:rFonts w:hint="eastAsia" w:ascii="宋体" w:hAnsi="宋体" w:cs="Arial"/>
                <w:color w:val="auto"/>
                <w:kern w:val="0"/>
                <w:highlight w:val="none"/>
              </w:rPr>
              <w:t xml:space="preserve"> </w:t>
            </w:r>
            <w:r>
              <w:rPr>
                <w:rFonts w:ascii="宋体" w:hAnsi="宋体" w:cs="Arial"/>
                <w:color w:val="auto"/>
                <w:kern w:val="0"/>
                <w:highlight w:val="none"/>
              </w:rPr>
              <w:t>样本流速：最小流速≤13微升/min</w:t>
            </w:r>
            <w:r>
              <w:rPr>
                <w:rFonts w:hint="eastAsia" w:ascii="宋体" w:hAnsi="宋体" w:cs="Arial"/>
                <w:color w:val="auto"/>
                <w:kern w:val="0"/>
                <w:highlight w:val="none"/>
              </w:rPr>
              <w:t>，</w:t>
            </w:r>
            <w:r>
              <w:rPr>
                <w:rFonts w:ascii="宋体" w:hAnsi="宋体" w:cs="Arial"/>
                <w:color w:val="auto"/>
                <w:kern w:val="0"/>
                <w:highlight w:val="none"/>
              </w:rPr>
              <w:t>最大流速≥1000微升/min</w:t>
            </w:r>
            <w:r>
              <w:rPr>
                <w:rFonts w:hint="eastAsia" w:ascii="宋体" w:hAnsi="宋体" w:cs="Arial"/>
                <w:color w:val="auto"/>
                <w:kern w:val="0"/>
                <w:highlight w:val="none"/>
              </w:rPr>
              <w:t>；</w:t>
            </w:r>
            <w:r>
              <w:rPr>
                <w:rFonts w:ascii="宋体" w:hAnsi="宋体" w:cs="Arial"/>
                <w:color w:val="auto"/>
                <w:kern w:val="0"/>
                <w:highlight w:val="none"/>
              </w:rPr>
              <w:t xml:space="preserve"> </w:t>
            </w:r>
          </w:p>
          <w:p w14:paraId="66E6A304">
            <w:pPr>
              <w:autoSpaceDE w:val="0"/>
              <w:autoSpaceDN w:val="0"/>
              <w:adjustRightInd w:val="0"/>
              <w:rPr>
                <w:rFonts w:ascii="宋体" w:hAnsi="宋体" w:cs="Arial"/>
                <w:color w:val="auto"/>
                <w:kern w:val="0"/>
                <w:highlight w:val="none"/>
              </w:rPr>
            </w:pPr>
            <w:r>
              <w:rPr>
                <w:rFonts w:ascii="宋体" w:hAnsi="宋体" w:cs="Arial"/>
                <w:color w:val="auto"/>
                <w:kern w:val="0"/>
                <w:highlight w:val="none"/>
              </w:rPr>
              <w:t>2.3</w:t>
            </w:r>
            <w:r>
              <w:rPr>
                <w:rFonts w:hint="eastAsia" w:ascii="宋体" w:hAnsi="宋体" w:cs="Arial"/>
                <w:color w:val="auto"/>
                <w:kern w:val="0"/>
                <w:highlight w:val="none"/>
              </w:rPr>
              <w:t xml:space="preserve"> </w:t>
            </w:r>
            <w:r>
              <w:rPr>
                <w:rFonts w:ascii="宋体" w:hAnsi="宋体" w:cs="Arial"/>
                <w:color w:val="auto"/>
                <w:kern w:val="0"/>
                <w:highlight w:val="none"/>
              </w:rPr>
              <w:t>进样方式：支持标准流式管以及1.5ml或2ml的EP管进样；</w:t>
            </w:r>
          </w:p>
          <w:p w14:paraId="757F0EAA">
            <w:pPr>
              <w:autoSpaceDE w:val="0"/>
              <w:autoSpaceDN w:val="0"/>
              <w:adjustRightInd w:val="0"/>
              <w:rPr>
                <w:rFonts w:ascii="宋体" w:hAnsi="宋体" w:cs="Arial"/>
                <w:color w:val="auto"/>
                <w:kern w:val="0"/>
                <w:highlight w:val="none"/>
              </w:rPr>
            </w:pPr>
            <w:r>
              <w:rPr>
                <w:rFonts w:ascii="宋体" w:hAnsi="宋体" w:cs="Arial"/>
                <w:color w:val="auto"/>
                <w:kern w:val="0"/>
                <w:highlight w:val="none"/>
              </w:rPr>
              <w:t>2.4</w:t>
            </w:r>
            <w:r>
              <w:rPr>
                <w:rFonts w:hint="eastAsia" w:ascii="宋体" w:hAnsi="宋体" w:cs="Arial"/>
                <w:color w:val="auto"/>
                <w:kern w:val="0"/>
                <w:highlight w:val="none"/>
              </w:rPr>
              <w:t xml:space="preserve"> </w:t>
            </w:r>
            <w:r>
              <w:rPr>
                <w:rFonts w:ascii="宋体" w:hAnsi="宋体" w:cs="Arial"/>
                <w:color w:val="auto"/>
                <w:kern w:val="0"/>
                <w:highlight w:val="none"/>
              </w:rPr>
              <w:t>支持无需裂解和洗脱红细胞的全血分析；</w:t>
            </w:r>
          </w:p>
          <w:p w14:paraId="65B8FB31">
            <w:pPr>
              <w:autoSpaceDE w:val="0"/>
              <w:autoSpaceDN w:val="0"/>
              <w:adjustRightInd w:val="0"/>
              <w:rPr>
                <w:rFonts w:ascii="宋体" w:hAnsi="宋体" w:cs="Arial"/>
                <w:color w:val="auto"/>
                <w:kern w:val="0"/>
                <w:highlight w:val="none"/>
              </w:rPr>
            </w:pPr>
            <w:r>
              <w:rPr>
                <w:rFonts w:hint="eastAsia" w:ascii="宋体" w:hAnsi="宋体" w:cs="宋体"/>
                <w:color w:val="auto"/>
                <w:highlight w:val="none"/>
              </w:rPr>
              <w:t>★</w:t>
            </w:r>
            <w:r>
              <w:rPr>
                <w:rFonts w:ascii="宋体" w:hAnsi="宋体" w:cs="Arial"/>
                <w:color w:val="auto"/>
                <w:kern w:val="0"/>
                <w:highlight w:val="none"/>
              </w:rPr>
              <w:t>2.5</w:t>
            </w:r>
            <w:r>
              <w:rPr>
                <w:rFonts w:hint="eastAsia" w:ascii="宋体" w:hAnsi="宋体" w:cs="Arial"/>
                <w:color w:val="auto"/>
                <w:kern w:val="0"/>
                <w:highlight w:val="none"/>
              </w:rPr>
              <w:t xml:space="preserve"> </w:t>
            </w:r>
            <w:r>
              <w:rPr>
                <w:rFonts w:ascii="宋体" w:hAnsi="宋体" w:cs="Arial"/>
                <w:color w:val="auto"/>
                <w:kern w:val="0"/>
                <w:highlight w:val="none"/>
              </w:rPr>
              <w:t>清洗液和关机液内置于机器内，一键式开关机，清洗消毒程序自动进行，仪器内储存溶液全部配置液位传感器，以监测液面位置。</w:t>
            </w:r>
          </w:p>
          <w:p w14:paraId="001AA69D">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三、性能检测指标</w:t>
            </w:r>
          </w:p>
          <w:p w14:paraId="0E0C8328">
            <w:pPr>
              <w:autoSpaceDE w:val="0"/>
              <w:autoSpaceDN w:val="0"/>
              <w:adjustRightInd w:val="0"/>
              <w:rPr>
                <w:rFonts w:ascii="宋体" w:hAnsi="宋体" w:cs="Arial"/>
                <w:color w:val="auto"/>
                <w:kern w:val="0"/>
                <w:highlight w:val="none"/>
              </w:rPr>
            </w:pPr>
            <w:r>
              <w:rPr>
                <w:rFonts w:ascii="宋体" w:hAnsi="宋体" w:cs="Arial"/>
                <w:color w:val="auto"/>
                <w:kern w:val="0"/>
                <w:highlight w:val="none"/>
              </w:rPr>
              <w:t>3.1</w:t>
            </w:r>
            <w:r>
              <w:rPr>
                <w:rFonts w:hint="eastAsia" w:ascii="宋体" w:hAnsi="宋体" w:cs="Arial"/>
                <w:color w:val="auto"/>
                <w:kern w:val="0"/>
                <w:highlight w:val="none"/>
              </w:rPr>
              <w:t xml:space="preserve"> </w:t>
            </w:r>
            <w:r>
              <w:rPr>
                <w:rFonts w:ascii="宋体" w:hAnsi="宋体" w:cs="Arial"/>
                <w:color w:val="auto"/>
                <w:kern w:val="0"/>
                <w:highlight w:val="none"/>
              </w:rPr>
              <w:t>荧光检测灵敏度：FITC ≤ 80 MESF, PE ≤ 30 MESF, APC ≤ 70 MESF；</w:t>
            </w:r>
          </w:p>
          <w:p w14:paraId="5B0CAD95">
            <w:pPr>
              <w:autoSpaceDE w:val="0"/>
              <w:autoSpaceDN w:val="0"/>
              <w:adjustRightInd w:val="0"/>
              <w:rPr>
                <w:rFonts w:ascii="宋体" w:hAnsi="宋体" w:cs="Arial"/>
                <w:color w:val="auto"/>
                <w:kern w:val="0"/>
                <w:highlight w:val="none"/>
              </w:rPr>
            </w:pPr>
            <w:r>
              <w:rPr>
                <w:rFonts w:ascii="宋体" w:hAnsi="宋体" w:cs="Arial"/>
                <w:color w:val="auto"/>
                <w:kern w:val="0"/>
                <w:highlight w:val="none"/>
              </w:rPr>
              <w:t>3.2</w:t>
            </w:r>
            <w:r>
              <w:rPr>
                <w:rFonts w:hint="eastAsia" w:ascii="宋体" w:hAnsi="宋体" w:cs="Arial"/>
                <w:color w:val="auto"/>
                <w:kern w:val="0"/>
                <w:highlight w:val="none"/>
              </w:rPr>
              <w:t xml:space="preserve"> </w:t>
            </w:r>
            <w:r>
              <w:rPr>
                <w:rFonts w:ascii="宋体" w:hAnsi="宋体" w:cs="Arial"/>
                <w:color w:val="auto"/>
                <w:kern w:val="0"/>
                <w:highlight w:val="none"/>
              </w:rPr>
              <w:t>数据获取速率：≥35,000 events/秒，最大电子速度≥65000个每秒</w:t>
            </w:r>
            <w:r>
              <w:rPr>
                <w:rFonts w:hint="eastAsia" w:ascii="宋体" w:hAnsi="宋体" w:cs="Arial"/>
                <w:color w:val="auto"/>
                <w:kern w:val="0"/>
                <w:highlight w:val="none"/>
              </w:rPr>
              <w:t>；</w:t>
            </w:r>
          </w:p>
          <w:p w14:paraId="13683FB0">
            <w:pPr>
              <w:autoSpaceDE w:val="0"/>
              <w:autoSpaceDN w:val="0"/>
              <w:adjustRightInd w:val="0"/>
              <w:rPr>
                <w:rFonts w:ascii="宋体" w:hAnsi="宋体" w:cs="Arial"/>
                <w:color w:val="auto"/>
                <w:kern w:val="0"/>
                <w:highlight w:val="none"/>
              </w:rPr>
            </w:pPr>
            <w:r>
              <w:rPr>
                <w:rFonts w:ascii="宋体" w:hAnsi="宋体" w:cs="Arial"/>
                <w:color w:val="auto"/>
                <w:kern w:val="0"/>
                <w:highlight w:val="none"/>
              </w:rPr>
              <w:t>3.3</w:t>
            </w:r>
            <w:r>
              <w:rPr>
                <w:rFonts w:hint="eastAsia" w:ascii="宋体" w:hAnsi="宋体" w:cs="Arial"/>
                <w:color w:val="auto"/>
                <w:kern w:val="0"/>
                <w:highlight w:val="none"/>
              </w:rPr>
              <w:t xml:space="preserve"> </w:t>
            </w:r>
            <w:r>
              <w:rPr>
                <w:rFonts w:ascii="宋体" w:hAnsi="宋体" w:cs="Arial"/>
                <w:color w:val="auto"/>
                <w:kern w:val="0"/>
                <w:highlight w:val="none"/>
              </w:rPr>
              <w:t>先进的聚焦技术，确保在高达500μL /min</w:t>
            </w:r>
            <w:r>
              <w:rPr>
                <w:rFonts w:hint="eastAsia" w:ascii="宋体" w:hAnsi="宋体" w:cs="Arial"/>
                <w:color w:val="auto"/>
                <w:kern w:val="0"/>
                <w:highlight w:val="none"/>
              </w:rPr>
              <w:t>或以上</w:t>
            </w:r>
            <w:r>
              <w:rPr>
                <w:rFonts w:ascii="宋体" w:hAnsi="宋体" w:cs="Arial"/>
                <w:color w:val="auto"/>
                <w:kern w:val="0"/>
                <w:highlight w:val="none"/>
              </w:rPr>
              <w:t>流速时，检测PI染色小鸡红细胞CV&lt; 3.0%</w:t>
            </w:r>
            <w:r>
              <w:rPr>
                <w:rFonts w:hint="eastAsia" w:ascii="宋体" w:hAnsi="宋体" w:cs="Arial"/>
                <w:color w:val="auto"/>
                <w:kern w:val="0"/>
                <w:highlight w:val="none"/>
              </w:rPr>
              <w:t>；</w:t>
            </w:r>
          </w:p>
          <w:p w14:paraId="61B34936">
            <w:pPr>
              <w:autoSpaceDE w:val="0"/>
              <w:autoSpaceDN w:val="0"/>
              <w:adjustRightInd w:val="0"/>
              <w:rPr>
                <w:rFonts w:ascii="宋体" w:hAnsi="宋体" w:cs="Arial"/>
                <w:color w:val="auto"/>
                <w:kern w:val="0"/>
                <w:highlight w:val="none"/>
              </w:rPr>
            </w:pPr>
            <w:r>
              <w:rPr>
                <w:rFonts w:ascii="宋体" w:hAnsi="宋体" w:cs="Arial"/>
                <w:color w:val="auto"/>
                <w:kern w:val="0"/>
                <w:highlight w:val="none"/>
              </w:rPr>
              <w:t>3.4</w:t>
            </w:r>
            <w:r>
              <w:rPr>
                <w:rFonts w:hint="eastAsia" w:ascii="宋体" w:hAnsi="宋体" w:cs="Arial"/>
                <w:color w:val="auto"/>
                <w:kern w:val="0"/>
                <w:highlight w:val="none"/>
              </w:rPr>
              <w:t xml:space="preserve"> </w:t>
            </w:r>
            <w:r>
              <w:rPr>
                <w:rFonts w:ascii="宋体" w:hAnsi="宋体" w:cs="Arial"/>
                <w:color w:val="auto"/>
                <w:kern w:val="0"/>
                <w:highlight w:val="none"/>
              </w:rPr>
              <w:t>具备散射光0.2um/0.3um/0.5um颗粒分群，并将颗粒样品与背景信号区分开的能力；</w:t>
            </w:r>
          </w:p>
          <w:p w14:paraId="0436C1E5">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四、电子软件系统</w:t>
            </w:r>
          </w:p>
          <w:p w14:paraId="5AF9C866">
            <w:pPr>
              <w:autoSpaceDE w:val="0"/>
              <w:autoSpaceDN w:val="0"/>
              <w:adjustRightInd w:val="0"/>
              <w:rPr>
                <w:rFonts w:ascii="宋体" w:hAnsi="宋体" w:cs="Arial"/>
                <w:color w:val="auto"/>
                <w:kern w:val="0"/>
                <w:highlight w:val="none"/>
              </w:rPr>
            </w:pPr>
            <w:r>
              <w:rPr>
                <w:rFonts w:ascii="宋体" w:hAnsi="宋体" w:cs="Arial"/>
                <w:color w:val="auto"/>
                <w:kern w:val="0"/>
                <w:highlight w:val="none"/>
              </w:rPr>
              <w:t>4.1</w:t>
            </w:r>
            <w:r>
              <w:rPr>
                <w:rFonts w:hint="eastAsia" w:ascii="宋体" w:hAnsi="宋体" w:cs="Arial"/>
                <w:color w:val="auto"/>
                <w:kern w:val="0"/>
                <w:highlight w:val="none"/>
              </w:rPr>
              <w:t xml:space="preserve"> </w:t>
            </w:r>
            <w:r>
              <w:rPr>
                <w:rFonts w:ascii="宋体" w:hAnsi="宋体" w:cs="Arial"/>
                <w:color w:val="auto"/>
                <w:kern w:val="0"/>
                <w:highlight w:val="none"/>
              </w:rPr>
              <w:t>最多收集事件：单个样本</w:t>
            </w:r>
            <w:r>
              <w:rPr>
                <w:rFonts w:hint="eastAsia" w:ascii="宋体" w:hAnsi="宋体" w:cs="Arial"/>
                <w:color w:val="auto"/>
                <w:kern w:val="0"/>
                <w:highlight w:val="none"/>
              </w:rPr>
              <w:t>至少</w:t>
            </w:r>
            <w:r>
              <w:rPr>
                <w:rFonts w:ascii="宋体" w:hAnsi="宋体" w:cs="Arial"/>
                <w:color w:val="auto"/>
                <w:kern w:val="0"/>
                <w:highlight w:val="none"/>
              </w:rPr>
              <w:t>两千万（2×107）个细胞或颗粒数据；</w:t>
            </w:r>
          </w:p>
          <w:p w14:paraId="115B7FA3">
            <w:pPr>
              <w:autoSpaceDE w:val="0"/>
              <w:autoSpaceDN w:val="0"/>
              <w:adjustRightInd w:val="0"/>
              <w:rPr>
                <w:rFonts w:ascii="宋体" w:hAnsi="宋体" w:cs="Arial"/>
                <w:color w:val="auto"/>
                <w:kern w:val="0"/>
                <w:highlight w:val="none"/>
              </w:rPr>
            </w:pPr>
            <w:r>
              <w:rPr>
                <w:rFonts w:ascii="宋体" w:hAnsi="宋体" w:cs="Arial"/>
                <w:color w:val="auto"/>
                <w:kern w:val="0"/>
                <w:highlight w:val="none"/>
              </w:rPr>
              <w:t>4.2</w:t>
            </w:r>
            <w:r>
              <w:rPr>
                <w:rFonts w:hint="eastAsia" w:ascii="宋体" w:hAnsi="宋体" w:cs="Arial"/>
                <w:color w:val="auto"/>
                <w:kern w:val="0"/>
                <w:highlight w:val="none"/>
              </w:rPr>
              <w:t xml:space="preserve"> </w:t>
            </w:r>
            <w:r>
              <w:rPr>
                <w:rFonts w:ascii="宋体" w:hAnsi="宋体" w:cs="Arial"/>
                <w:color w:val="auto"/>
                <w:kern w:val="0"/>
                <w:highlight w:val="none"/>
              </w:rPr>
              <w:t>每个参数可同时采集Area、Height和Width脉冲信号，可消除粘连细胞的干扰；</w:t>
            </w:r>
          </w:p>
          <w:p w14:paraId="0F9E1BED">
            <w:pPr>
              <w:autoSpaceDE w:val="0"/>
              <w:autoSpaceDN w:val="0"/>
              <w:adjustRightInd w:val="0"/>
              <w:rPr>
                <w:rFonts w:ascii="宋体" w:hAnsi="宋体" w:cs="Arial"/>
                <w:color w:val="auto"/>
                <w:kern w:val="0"/>
                <w:highlight w:val="none"/>
              </w:rPr>
            </w:pPr>
            <w:r>
              <w:rPr>
                <w:rFonts w:ascii="宋体" w:hAnsi="宋体" w:cs="Arial"/>
                <w:color w:val="auto"/>
                <w:kern w:val="0"/>
                <w:highlight w:val="none"/>
              </w:rPr>
              <w:t>4.3</w:t>
            </w:r>
            <w:r>
              <w:rPr>
                <w:rFonts w:hint="eastAsia" w:ascii="宋体" w:hAnsi="宋体" w:cs="Arial"/>
                <w:color w:val="auto"/>
                <w:kern w:val="0"/>
                <w:highlight w:val="none"/>
              </w:rPr>
              <w:t xml:space="preserve"> </w:t>
            </w:r>
            <w:r>
              <w:rPr>
                <w:rFonts w:ascii="宋体" w:hAnsi="宋体" w:cs="Arial"/>
                <w:color w:val="auto"/>
                <w:kern w:val="0"/>
                <w:highlight w:val="none"/>
              </w:rPr>
              <w:t>可同时设定</w:t>
            </w:r>
            <w:r>
              <w:rPr>
                <w:rFonts w:hint="eastAsia" w:ascii="宋体" w:hAnsi="宋体" w:cs="Arial"/>
                <w:color w:val="auto"/>
                <w:kern w:val="0"/>
                <w:highlight w:val="none"/>
              </w:rPr>
              <w:t>至少</w:t>
            </w:r>
            <w:r>
              <w:rPr>
                <w:rFonts w:ascii="宋体" w:hAnsi="宋体" w:cs="Arial"/>
                <w:color w:val="auto"/>
                <w:kern w:val="0"/>
                <w:highlight w:val="none"/>
              </w:rPr>
              <w:t>4个阈值，阈值能设置在任意参数上，可去除非目标信号的干扰；</w:t>
            </w:r>
          </w:p>
          <w:p w14:paraId="25B8F8AD">
            <w:pPr>
              <w:autoSpaceDE w:val="0"/>
              <w:autoSpaceDN w:val="0"/>
              <w:adjustRightInd w:val="0"/>
              <w:rPr>
                <w:rFonts w:ascii="宋体" w:hAnsi="宋体" w:cs="Arial"/>
                <w:color w:val="auto"/>
                <w:kern w:val="0"/>
                <w:highlight w:val="none"/>
              </w:rPr>
            </w:pPr>
            <w:r>
              <w:rPr>
                <w:rFonts w:ascii="宋体" w:hAnsi="宋体" w:cs="Arial"/>
                <w:color w:val="auto"/>
                <w:kern w:val="0"/>
                <w:highlight w:val="none"/>
              </w:rPr>
              <w:t>4.4</w:t>
            </w:r>
            <w:r>
              <w:rPr>
                <w:rFonts w:hint="eastAsia" w:ascii="宋体" w:hAnsi="宋体" w:cs="Arial"/>
                <w:color w:val="auto"/>
                <w:kern w:val="0"/>
                <w:highlight w:val="none"/>
              </w:rPr>
              <w:t xml:space="preserve"> </w:t>
            </w:r>
            <w:r>
              <w:rPr>
                <w:rFonts w:ascii="宋体" w:hAnsi="宋体" w:cs="Arial"/>
                <w:color w:val="auto"/>
                <w:kern w:val="0"/>
                <w:highlight w:val="none"/>
              </w:rPr>
              <w:t>全矩阵-全自动和手动模式，用于精细调整的曲线补偿工具；</w:t>
            </w:r>
          </w:p>
          <w:p w14:paraId="4E0AA1F8">
            <w:pPr>
              <w:autoSpaceDE w:val="0"/>
              <w:autoSpaceDN w:val="0"/>
              <w:adjustRightInd w:val="0"/>
              <w:rPr>
                <w:rFonts w:ascii="宋体" w:hAnsi="宋体" w:cs="Arial"/>
                <w:color w:val="auto"/>
                <w:kern w:val="0"/>
                <w:highlight w:val="none"/>
              </w:rPr>
            </w:pPr>
            <w:r>
              <w:rPr>
                <w:rFonts w:ascii="宋体" w:hAnsi="宋体" w:cs="Arial"/>
                <w:color w:val="auto"/>
                <w:kern w:val="0"/>
                <w:highlight w:val="none"/>
              </w:rPr>
              <w:t>4.5</w:t>
            </w:r>
            <w:r>
              <w:rPr>
                <w:rFonts w:hint="eastAsia" w:ascii="宋体" w:hAnsi="宋体" w:cs="Arial"/>
                <w:color w:val="auto"/>
                <w:kern w:val="0"/>
                <w:highlight w:val="none"/>
              </w:rPr>
              <w:t xml:space="preserve"> </w:t>
            </w:r>
            <w:r>
              <w:rPr>
                <w:rFonts w:ascii="宋体" w:hAnsi="宋体" w:cs="Arial"/>
                <w:color w:val="auto"/>
                <w:kern w:val="0"/>
                <w:highlight w:val="none"/>
              </w:rPr>
              <w:t>系统能够返回未获取的样品</w:t>
            </w:r>
            <w:r>
              <w:rPr>
                <w:rFonts w:hint="eastAsia" w:ascii="宋体" w:hAnsi="宋体" w:cs="Arial"/>
                <w:color w:val="auto"/>
                <w:kern w:val="0"/>
                <w:highlight w:val="none"/>
              </w:rPr>
              <w:t>；</w:t>
            </w:r>
          </w:p>
          <w:p w14:paraId="1E01FA5C">
            <w:pPr>
              <w:autoSpaceDE w:val="0"/>
              <w:autoSpaceDN w:val="0"/>
              <w:adjustRightInd w:val="0"/>
              <w:rPr>
                <w:rFonts w:ascii="宋体" w:hAnsi="宋体" w:cs="Arial"/>
                <w:color w:val="auto"/>
                <w:kern w:val="0"/>
                <w:highlight w:val="none"/>
              </w:rPr>
            </w:pPr>
            <w:r>
              <w:rPr>
                <w:rFonts w:ascii="宋体" w:hAnsi="宋体" w:cs="Arial"/>
                <w:color w:val="auto"/>
                <w:kern w:val="0"/>
                <w:highlight w:val="none"/>
              </w:rPr>
              <w:t>4.6</w:t>
            </w:r>
            <w:r>
              <w:rPr>
                <w:rFonts w:hint="eastAsia" w:ascii="宋体" w:hAnsi="宋体" w:cs="Arial"/>
                <w:color w:val="auto"/>
                <w:kern w:val="0"/>
                <w:highlight w:val="none"/>
              </w:rPr>
              <w:t xml:space="preserve"> </w:t>
            </w:r>
            <w:r>
              <w:rPr>
                <w:rFonts w:ascii="宋体" w:hAnsi="宋体" w:cs="Arial"/>
                <w:color w:val="auto"/>
                <w:kern w:val="0"/>
                <w:highlight w:val="none"/>
              </w:rPr>
              <w:t>无需使用计数微珠即可直接测量样本中的细胞浓度</w:t>
            </w:r>
            <w:r>
              <w:rPr>
                <w:rFonts w:hint="eastAsia" w:ascii="宋体" w:hAnsi="宋体" w:cs="Arial"/>
                <w:color w:val="auto"/>
                <w:kern w:val="0"/>
                <w:highlight w:val="none"/>
              </w:rPr>
              <w:t>；</w:t>
            </w:r>
          </w:p>
          <w:p w14:paraId="3213178A">
            <w:pPr>
              <w:autoSpaceDE w:val="0"/>
              <w:autoSpaceDN w:val="0"/>
              <w:adjustRightInd w:val="0"/>
              <w:rPr>
                <w:rFonts w:ascii="宋体" w:hAnsi="宋体" w:cs="Arial"/>
                <w:color w:val="auto"/>
                <w:kern w:val="0"/>
                <w:highlight w:val="none"/>
              </w:rPr>
            </w:pPr>
            <w:r>
              <w:rPr>
                <w:rFonts w:ascii="宋体" w:hAnsi="宋体" w:cs="Arial"/>
                <w:color w:val="auto"/>
                <w:kern w:val="0"/>
                <w:highlight w:val="none"/>
              </w:rPr>
              <w:t>4.7</w:t>
            </w:r>
            <w:r>
              <w:rPr>
                <w:rFonts w:hint="eastAsia" w:ascii="宋体" w:hAnsi="宋体" w:cs="Arial"/>
                <w:color w:val="auto"/>
                <w:kern w:val="0"/>
                <w:highlight w:val="none"/>
              </w:rPr>
              <w:t xml:space="preserve"> </w:t>
            </w:r>
            <w:r>
              <w:rPr>
                <w:rFonts w:ascii="宋体" w:hAnsi="宋体" w:cs="Arial"/>
                <w:color w:val="auto"/>
                <w:kern w:val="0"/>
                <w:highlight w:val="none"/>
              </w:rPr>
              <w:t>用户账户管理：用户账户管理创建，包括指定角色、高级权限设置、个人账户管理、用户时间追踪和样品计数</w:t>
            </w:r>
            <w:r>
              <w:rPr>
                <w:rFonts w:hint="eastAsia" w:ascii="宋体" w:hAnsi="宋体" w:cs="Arial"/>
                <w:color w:val="auto"/>
                <w:kern w:val="0"/>
                <w:highlight w:val="none"/>
              </w:rPr>
              <w:t>；</w:t>
            </w:r>
          </w:p>
          <w:p w14:paraId="0C863601">
            <w:pPr>
              <w:autoSpaceDE w:val="0"/>
              <w:autoSpaceDN w:val="0"/>
              <w:adjustRightInd w:val="0"/>
              <w:rPr>
                <w:rFonts w:ascii="宋体" w:hAnsi="宋体" w:cs="Arial"/>
                <w:color w:val="auto"/>
                <w:kern w:val="0"/>
                <w:highlight w:val="none"/>
              </w:rPr>
            </w:pPr>
            <w:r>
              <w:rPr>
                <w:rFonts w:ascii="宋体" w:hAnsi="宋体" w:cs="Arial"/>
                <w:color w:val="auto"/>
                <w:kern w:val="0"/>
                <w:highlight w:val="none"/>
              </w:rPr>
              <w:t>4.8</w:t>
            </w:r>
            <w:r>
              <w:rPr>
                <w:rFonts w:hint="eastAsia" w:ascii="宋体" w:hAnsi="宋体" w:cs="Arial"/>
                <w:color w:val="auto"/>
                <w:kern w:val="0"/>
                <w:highlight w:val="none"/>
              </w:rPr>
              <w:t xml:space="preserve"> </w:t>
            </w:r>
            <w:r>
              <w:rPr>
                <w:rFonts w:ascii="宋体" w:hAnsi="宋体" w:cs="Arial"/>
                <w:color w:val="auto"/>
                <w:kern w:val="0"/>
                <w:highlight w:val="none"/>
              </w:rPr>
              <w:t>一键开机，一键关机，实现无人值守</w:t>
            </w:r>
            <w:r>
              <w:rPr>
                <w:rFonts w:hint="eastAsia" w:ascii="宋体" w:hAnsi="宋体" w:cs="Arial"/>
                <w:color w:val="auto"/>
                <w:kern w:val="0"/>
                <w:highlight w:val="none"/>
              </w:rPr>
              <w:t>。</w:t>
            </w:r>
          </w:p>
          <w:p w14:paraId="5E10EF53">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五、配置清单：</w:t>
            </w:r>
          </w:p>
          <w:p w14:paraId="3597C385">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5.1 流式细胞仪主机（488nm、637nm）1台；</w:t>
            </w:r>
          </w:p>
          <w:p w14:paraId="0F541D81">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5.2 分析控制软件1套；</w:t>
            </w:r>
          </w:p>
          <w:p w14:paraId="2E7D0DD5">
            <w:pPr>
              <w:autoSpaceDE w:val="0"/>
              <w:autoSpaceDN w:val="0"/>
              <w:adjustRightInd w:val="0"/>
              <w:rPr>
                <w:rFonts w:ascii="宋体" w:hAnsi="宋体" w:cs="Arial"/>
                <w:color w:val="auto"/>
                <w:kern w:val="0"/>
                <w:highlight w:val="none"/>
              </w:rPr>
            </w:pPr>
            <w:r>
              <w:rPr>
                <w:rFonts w:hint="eastAsia" w:ascii="宋体" w:hAnsi="宋体" w:cs="Arial"/>
                <w:color w:val="auto"/>
                <w:kern w:val="0"/>
                <w:highlight w:val="none"/>
              </w:rPr>
              <w:t>5.3 工作站1套。</w:t>
            </w:r>
          </w:p>
          <w:p w14:paraId="21F24751">
            <w:pPr>
              <w:pStyle w:val="2"/>
              <w:spacing w:line="240" w:lineRule="auto"/>
              <w:rPr>
                <w:color w:val="auto"/>
                <w:highlight w:val="none"/>
              </w:rPr>
            </w:pPr>
            <w:r>
              <w:rPr>
                <w:rFonts w:hint="eastAsia" w:ascii="宋体" w:hAnsi="宋体"/>
                <w:b/>
                <w:bCs/>
                <w:color w:val="auto"/>
                <w:sz w:val="21"/>
                <w:highlight w:val="none"/>
              </w:rPr>
              <w:t>注：“★”号条款响应时必须提供响应参数的厂家技术证明材料原件，否则作无效响应。</w:t>
            </w:r>
          </w:p>
        </w:tc>
        <w:tc>
          <w:tcPr>
            <w:tcW w:w="254" w:type="pct"/>
            <w:vAlign w:val="center"/>
          </w:tcPr>
          <w:p w14:paraId="485834B7">
            <w:pPr>
              <w:widowControl/>
              <w:jc w:val="center"/>
              <w:rPr>
                <w:rFonts w:ascii="宋体" w:hAnsi="宋体"/>
                <w:color w:val="auto"/>
                <w:kern w:val="0"/>
                <w:szCs w:val="21"/>
                <w:highlight w:val="none"/>
              </w:rPr>
            </w:pPr>
            <w:r>
              <w:rPr>
                <w:rFonts w:hint="eastAsia" w:ascii="宋体" w:hAnsi="宋体"/>
                <w:color w:val="auto"/>
                <w:kern w:val="0"/>
                <w:szCs w:val="21"/>
                <w:highlight w:val="none"/>
              </w:rPr>
              <w:t>项</w:t>
            </w:r>
          </w:p>
        </w:tc>
        <w:tc>
          <w:tcPr>
            <w:tcW w:w="421" w:type="pct"/>
            <w:vAlign w:val="center"/>
          </w:tcPr>
          <w:p w14:paraId="46A7376B">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464" w:type="pct"/>
            <w:vAlign w:val="center"/>
          </w:tcPr>
          <w:p w14:paraId="73A6BE6D">
            <w:pPr>
              <w:widowControl/>
              <w:spacing w:before="100" w:beforeAutospacing="1" w:after="100" w:afterAutospacing="1"/>
              <w:jc w:val="center"/>
              <w:rPr>
                <w:rFonts w:ascii="宋体" w:hAnsi="宋体"/>
                <w:color w:val="auto"/>
                <w:kern w:val="0"/>
                <w:szCs w:val="21"/>
                <w:highlight w:val="none"/>
              </w:rPr>
            </w:pPr>
            <w:r>
              <w:rPr>
                <w:rFonts w:ascii="宋体" w:hAnsi="宋体"/>
                <w:color w:val="auto"/>
                <w:kern w:val="0"/>
                <w:szCs w:val="21"/>
                <w:highlight w:val="none"/>
              </w:rPr>
              <w:t>3</w:t>
            </w:r>
            <w:r>
              <w:rPr>
                <w:rFonts w:hint="eastAsia" w:ascii="宋体" w:hAnsi="宋体"/>
                <w:color w:val="auto"/>
                <w:kern w:val="0"/>
                <w:szCs w:val="21"/>
                <w:highlight w:val="none"/>
              </w:rPr>
              <w:t>06200</w:t>
            </w:r>
          </w:p>
        </w:tc>
        <w:tc>
          <w:tcPr>
            <w:tcW w:w="517" w:type="pct"/>
            <w:vAlign w:val="center"/>
          </w:tcPr>
          <w:p w14:paraId="550CEB6D">
            <w:pPr>
              <w:widowControl/>
              <w:spacing w:before="100" w:beforeAutospacing="1" w:after="100" w:afterAutospacing="1"/>
              <w:jc w:val="center"/>
              <w:rPr>
                <w:rFonts w:ascii="宋体" w:hAnsi="宋体"/>
                <w:color w:val="auto"/>
                <w:kern w:val="0"/>
                <w:szCs w:val="21"/>
                <w:highlight w:val="none"/>
              </w:rPr>
            </w:pPr>
            <w:r>
              <w:rPr>
                <w:rFonts w:ascii="宋体" w:hAnsi="宋体"/>
                <w:color w:val="auto"/>
                <w:kern w:val="0"/>
                <w:szCs w:val="21"/>
                <w:highlight w:val="none"/>
              </w:rPr>
              <w:t>3</w:t>
            </w:r>
            <w:r>
              <w:rPr>
                <w:rFonts w:hint="eastAsia" w:ascii="宋体" w:hAnsi="宋体"/>
                <w:color w:val="auto"/>
                <w:kern w:val="0"/>
                <w:szCs w:val="21"/>
                <w:highlight w:val="none"/>
              </w:rPr>
              <w:t>06200</w:t>
            </w:r>
          </w:p>
        </w:tc>
        <w:tc>
          <w:tcPr>
            <w:tcW w:w="476" w:type="pct"/>
            <w:vAlign w:val="center"/>
          </w:tcPr>
          <w:p w14:paraId="257A95F9">
            <w:pPr>
              <w:widowControl/>
              <w:rPr>
                <w:rFonts w:ascii="宋体" w:hAnsi="宋体"/>
                <w:color w:val="auto"/>
                <w:kern w:val="0"/>
                <w:szCs w:val="21"/>
                <w:highlight w:val="none"/>
              </w:rPr>
            </w:pPr>
            <w:r>
              <w:rPr>
                <w:rFonts w:hint="eastAsia" w:ascii="宋体" w:hAnsi="宋体"/>
                <w:color w:val="auto"/>
                <w:kern w:val="0"/>
                <w:szCs w:val="21"/>
                <w:highlight w:val="none"/>
              </w:rPr>
              <w:t>第一年租赁费</w:t>
            </w:r>
          </w:p>
        </w:tc>
      </w:tr>
      <w:bookmarkEnd w:id="344"/>
      <w:bookmarkEnd w:id="345"/>
      <w:bookmarkEnd w:id="346"/>
      <w:bookmarkEnd w:id="347"/>
      <w:tr w14:paraId="66AB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9" w:hRule="atLeast"/>
          <w:jc w:val="center"/>
        </w:trPr>
        <w:tc>
          <w:tcPr>
            <w:tcW w:w="212" w:type="pct"/>
            <w:vMerge w:val="continue"/>
            <w:vAlign w:val="center"/>
          </w:tcPr>
          <w:p w14:paraId="7D97F280">
            <w:pPr>
              <w:rPr>
                <w:rFonts w:ascii="宋体" w:hAnsi="宋体"/>
                <w:color w:val="auto"/>
                <w:szCs w:val="21"/>
                <w:highlight w:val="none"/>
              </w:rPr>
            </w:pPr>
          </w:p>
        </w:tc>
        <w:tc>
          <w:tcPr>
            <w:tcW w:w="405" w:type="pct"/>
            <w:vMerge w:val="continue"/>
            <w:vAlign w:val="center"/>
          </w:tcPr>
          <w:p w14:paraId="0D3D249F">
            <w:pPr>
              <w:widowControl/>
              <w:jc w:val="center"/>
              <w:rPr>
                <w:rFonts w:ascii="宋体" w:hAnsi="宋体"/>
                <w:bCs/>
                <w:color w:val="auto"/>
                <w:highlight w:val="none"/>
              </w:rPr>
            </w:pPr>
          </w:p>
        </w:tc>
        <w:tc>
          <w:tcPr>
            <w:tcW w:w="2248" w:type="pct"/>
            <w:vMerge w:val="continue"/>
            <w:vAlign w:val="center"/>
          </w:tcPr>
          <w:p w14:paraId="4879C620">
            <w:pPr>
              <w:rPr>
                <w:rFonts w:ascii="宋体" w:hAnsi="宋体"/>
                <w:color w:val="auto"/>
                <w:szCs w:val="21"/>
                <w:highlight w:val="none"/>
              </w:rPr>
            </w:pPr>
          </w:p>
        </w:tc>
        <w:tc>
          <w:tcPr>
            <w:tcW w:w="254" w:type="pct"/>
            <w:vAlign w:val="center"/>
          </w:tcPr>
          <w:p w14:paraId="38A7E7E1">
            <w:pPr>
              <w:widowControl/>
              <w:jc w:val="center"/>
              <w:rPr>
                <w:rFonts w:ascii="宋体" w:hAnsi="宋体"/>
                <w:color w:val="auto"/>
                <w:kern w:val="0"/>
                <w:szCs w:val="21"/>
                <w:highlight w:val="none"/>
              </w:rPr>
            </w:pPr>
            <w:r>
              <w:rPr>
                <w:rFonts w:hint="eastAsia" w:ascii="宋体" w:hAnsi="宋体"/>
                <w:color w:val="auto"/>
                <w:kern w:val="0"/>
                <w:szCs w:val="21"/>
                <w:highlight w:val="none"/>
              </w:rPr>
              <w:t>项</w:t>
            </w:r>
          </w:p>
        </w:tc>
        <w:tc>
          <w:tcPr>
            <w:tcW w:w="421" w:type="pct"/>
            <w:vAlign w:val="center"/>
          </w:tcPr>
          <w:p w14:paraId="3C2E49F8">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464" w:type="pct"/>
            <w:vAlign w:val="center"/>
          </w:tcPr>
          <w:p w14:paraId="32AFA28B">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95</w:t>
            </w:r>
            <w:r>
              <w:rPr>
                <w:rFonts w:ascii="宋体" w:hAnsi="宋体"/>
                <w:color w:val="auto"/>
                <w:kern w:val="0"/>
                <w:szCs w:val="21"/>
                <w:highlight w:val="none"/>
              </w:rPr>
              <w:t>000</w:t>
            </w:r>
          </w:p>
        </w:tc>
        <w:tc>
          <w:tcPr>
            <w:tcW w:w="517" w:type="pct"/>
            <w:vAlign w:val="center"/>
          </w:tcPr>
          <w:p w14:paraId="1DD38F62">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95</w:t>
            </w:r>
            <w:r>
              <w:rPr>
                <w:rFonts w:ascii="宋体" w:hAnsi="宋体"/>
                <w:color w:val="auto"/>
                <w:kern w:val="0"/>
                <w:szCs w:val="21"/>
                <w:highlight w:val="none"/>
              </w:rPr>
              <w:t>000</w:t>
            </w:r>
          </w:p>
        </w:tc>
        <w:tc>
          <w:tcPr>
            <w:tcW w:w="476" w:type="pct"/>
            <w:vAlign w:val="center"/>
          </w:tcPr>
          <w:p w14:paraId="4CDBDFA3">
            <w:pPr>
              <w:widowControl/>
              <w:rPr>
                <w:rFonts w:ascii="宋体" w:hAnsi="宋体"/>
                <w:color w:val="auto"/>
                <w:kern w:val="0"/>
                <w:szCs w:val="21"/>
                <w:highlight w:val="none"/>
              </w:rPr>
            </w:pPr>
            <w:r>
              <w:rPr>
                <w:rFonts w:hint="eastAsia" w:ascii="宋体" w:hAnsi="宋体"/>
                <w:color w:val="auto"/>
                <w:kern w:val="0"/>
                <w:szCs w:val="21"/>
                <w:highlight w:val="none"/>
              </w:rPr>
              <w:t>第二年租赁费</w:t>
            </w:r>
          </w:p>
        </w:tc>
      </w:tr>
      <w:tr w14:paraId="7C0D6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 w:hRule="atLeast"/>
          <w:jc w:val="center"/>
        </w:trPr>
        <w:tc>
          <w:tcPr>
            <w:tcW w:w="212" w:type="pct"/>
            <w:vMerge w:val="continue"/>
            <w:vAlign w:val="center"/>
          </w:tcPr>
          <w:p w14:paraId="635684BE">
            <w:pPr>
              <w:rPr>
                <w:rFonts w:ascii="宋体" w:hAnsi="宋体"/>
                <w:color w:val="auto"/>
                <w:szCs w:val="21"/>
                <w:highlight w:val="none"/>
              </w:rPr>
            </w:pPr>
          </w:p>
        </w:tc>
        <w:tc>
          <w:tcPr>
            <w:tcW w:w="405" w:type="pct"/>
            <w:vMerge w:val="continue"/>
            <w:vAlign w:val="center"/>
          </w:tcPr>
          <w:p w14:paraId="764D6C2E">
            <w:pPr>
              <w:widowControl/>
              <w:jc w:val="center"/>
              <w:rPr>
                <w:rFonts w:ascii="宋体" w:hAnsi="宋体"/>
                <w:bCs/>
                <w:color w:val="auto"/>
                <w:highlight w:val="none"/>
              </w:rPr>
            </w:pPr>
          </w:p>
        </w:tc>
        <w:tc>
          <w:tcPr>
            <w:tcW w:w="2248" w:type="pct"/>
            <w:vMerge w:val="continue"/>
            <w:vAlign w:val="center"/>
          </w:tcPr>
          <w:p w14:paraId="06BA2A8C">
            <w:pPr>
              <w:rPr>
                <w:rFonts w:ascii="宋体" w:hAnsi="宋体"/>
                <w:color w:val="auto"/>
                <w:szCs w:val="21"/>
                <w:highlight w:val="none"/>
              </w:rPr>
            </w:pPr>
          </w:p>
        </w:tc>
        <w:tc>
          <w:tcPr>
            <w:tcW w:w="254" w:type="pct"/>
            <w:vAlign w:val="center"/>
          </w:tcPr>
          <w:p w14:paraId="2E110D75">
            <w:pPr>
              <w:widowControl/>
              <w:jc w:val="center"/>
              <w:rPr>
                <w:rFonts w:ascii="宋体" w:hAnsi="宋体"/>
                <w:color w:val="auto"/>
                <w:kern w:val="0"/>
                <w:szCs w:val="21"/>
                <w:highlight w:val="none"/>
              </w:rPr>
            </w:pPr>
            <w:r>
              <w:rPr>
                <w:rFonts w:hint="eastAsia" w:ascii="宋体" w:hAnsi="宋体"/>
                <w:color w:val="auto"/>
                <w:kern w:val="0"/>
                <w:szCs w:val="21"/>
                <w:highlight w:val="none"/>
              </w:rPr>
              <w:t>项</w:t>
            </w:r>
          </w:p>
        </w:tc>
        <w:tc>
          <w:tcPr>
            <w:tcW w:w="421" w:type="pct"/>
            <w:vAlign w:val="center"/>
          </w:tcPr>
          <w:p w14:paraId="79EF6716">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464" w:type="pct"/>
            <w:vAlign w:val="center"/>
          </w:tcPr>
          <w:p w14:paraId="43A47C75">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70</w:t>
            </w:r>
            <w:r>
              <w:rPr>
                <w:rFonts w:ascii="宋体" w:hAnsi="宋体"/>
                <w:color w:val="auto"/>
                <w:kern w:val="0"/>
                <w:szCs w:val="21"/>
                <w:highlight w:val="none"/>
              </w:rPr>
              <w:t>000</w:t>
            </w:r>
          </w:p>
        </w:tc>
        <w:tc>
          <w:tcPr>
            <w:tcW w:w="517" w:type="pct"/>
            <w:vAlign w:val="center"/>
          </w:tcPr>
          <w:p w14:paraId="3CCD277C">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7</w:t>
            </w:r>
            <w:r>
              <w:rPr>
                <w:rFonts w:ascii="宋体" w:hAnsi="宋体"/>
                <w:color w:val="auto"/>
                <w:kern w:val="0"/>
                <w:szCs w:val="21"/>
                <w:highlight w:val="none"/>
              </w:rPr>
              <w:t>0000</w:t>
            </w:r>
          </w:p>
        </w:tc>
        <w:tc>
          <w:tcPr>
            <w:tcW w:w="476" w:type="pct"/>
            <w:vAlign w:val="center"/>
          </w:tcPr>
          <w:p w14:paraId="59BD6EE5">
            <w:pPr>
              <w:widowControl/>
              <w:rPr>
                <w:rFonts w:ascii="宋体" w:hAnsi="宋体"/>
                <w:color w:val="auto"/>
                <w:kern w:val="0"/>
                <w:szCs w:val="21"/>
                <w:highlight w:val="none"/>
              </w:rPr>
            </w:pPr>
            <w:r>
              <w:rPr>
                <w:rFonts w:hint="eastAsia" w:ascii="宋体" w:hAnsi="宋体"/>
                <w:color w:val="auto"/>
                <w:kern w:val="0"/>
                <w:szCs w:val="21"/>
                <w:highlight w:val="none"/>
              </w:rPr>
              <w:t>第三年租赁费</w:t>
            </w:r>
          </w:p>
        </w:tc>
      </w:tr>
      <w:tr w14:paraId="39221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84" w:hRule="atLeast"/>
          <w:jc w:val="center"/>
        </w:trPr>
        <w:tc>
          <w:tcPr>
            <w:tcW w:w="212" w:type="pct"/>
            <w:vMerge w:val="restart"/>
            <w:vAlign w:val="center"/>
          </w:tcPr>
          <w:p w14:paraId="20AAFCBC">
            <w:pPr>
              <w:rPr>
                <w:rFonts w:ascii="宋体" w:hAnsi="宋体"/>
                <w:color w:val="auto"/>
                <w:szCs w:val="21"/>
                <w:highlight w:val="none"/>
              </w:rPr>
            </w:pPr>
            <w:r>
              <w:rPr>
                <w:rFonts w:hint="eastAsia" w:ascii="宋体" w:hAnsi="宋体"/>
                <w:color w:val="auto"/>
                <w:szCs w:val="21"/>
                <w:highlight w:val="none"/>
              </w:rPr>
              <w:t>2</w:t>
            </w:r>
          </w:p>
        </w:tc>
        <w:tc>
          <w:tcPr>
            <w:tcW w:w="405" w:type="pct"/>
            <w:vMerge w:val="restart"/>
            <w:vAlign w:val="center"/>
          </w:tcPr>
          <w:p w14:paraId="49E605D8">
            <w:pPr>
              <w:widowControl/>
              <w:jc w:val="center"/>
              <w:rPr>
                <w:rFonts w:ascii="宋体" w:hAnsi="宋体"/>
                <w:color w:val="auto"/>
                <w:kern w:val="0"/>
                <w:szCs w:val="21"/>
                <w:highlight w:val="none"/>
              </w:rPr>
            </w:pPr>
            <w:r>
              <w:rPr>
                <w:rFonts w:hint="eastAsia" w:ascii="宋体" w:hAnsi="宋体"/>
                <w:bCs/>
                <w:color w:val="auto"/>
                <w:highlight w:val="none"/>
              </w:rPr>
              <w:t>多功能微孔板检测仪</w:t>
            </w:r>
          </w:p>
        </w:tc>
        <w:tc>
          <w:tcPr>
            <w:tcW w:w="2248" w:type="pct"/>
            <w:vMerge w:val="restart"/>
            <w:vAlign w:val="center"/>
          </w:tcPr>
          <w:p w14:paraId="78461C79">
            <w:pPr>
              <w:rPr>
                <w:rFonts w:ascii="宋体" w:hAnsi="宋体"/>
                <w:color w:val="auto"/>
                <w:highlight w:val="none"/>
              </w:rPr>
            </w:pPr>
            <w:r>
              <w:rPr>
                <w:rFonts w:hint="eastAsia" w:ascii="宋体" w:hAnsi="宋体"/>
                <w:color w:val="auto"/>
                <w:szCs w:val="21"/>
                <w:highlight w:val="none"/>
              </w:rPr>
              <w:t>★</w:t>
            </w:r>
            <w:r>
              <w:rPr>
                <w:rFonts w:hint="eastAsia" w:ascii="宋体" w:hAnsi="宋体"/>
                <w:color w:val="auto"/>
                <w:highlight w:val="none"/>
              </w:rPr>
              <w:t>1. 功能：支持全波长紫外-可见吸收光，顶部及底部荧光，时间分辨荧光，化学发光，梯度控温，三维振荡等；</w:t>
            </w:r>
          </w:p>
          <w:p w14:paraId="4576CCC5">
            <w:pPr>
              <w:rPr>
                <w:rFonts w:ascii="宋体" w:hAnsi="宋体"/>
                <w:color w:val="auto"/>
                <w:highlight w:val="none"/>
              </w:rPr>
            </w:pPr>
            <w:r>
              <w:rPr>
                <w:rFonts w:ascii="宋体" w:hAnsi="宋体"/>
                <w:color w:val="auto"/>
                <w:highlight w:val="none"/>
              </w:rPr>
              <w:t>2.</w:t>
            </w:r>
            <w:r>
              <w:rPr>
                <w:rFonts w:hint="eastAsia" w:ascii="宋体" w:hAnsi="宋体"/>
                <w:color w:val="auto"/>
                <w:highlight w:val="none"/>
              </w:rPr>
              <w:t xml:space="preserve">光路设计：高精度的四光栅光路，可本地直接升级拓展高效灵敏的滤光片-二相色镜光路，气体控制模块用于活细胞分析； </w:t>
            </w:r>
          </w:p>
          <w:p w14:paraId="57D29E74">
            <w:pPr>
              <w:rPr>
                <w:rFonts w:ascii="宋体" w:hAnsi="宋体"/>
                <w:color w:val="auto"/>
                <w:highlight w:val="none"/>
              </w:rPr>
            </w:pPr>
            <w:r>
              <w:rPr>
                <w:rFonts w:ascii="宋体" w:hAnsi="宋体"/>
                <w:color w:val="auto"/>
                <w:highlight w:val="none"/>
              </w:rPr>
              <w:t>3.</w:t>
            </w:r>
            <w:r>
              <w:rPr>
                <w:rFonts w:hint="eastAsia" w:ascii="宋体" w:hAnsi="宋体"/>
                <w:color w:val="auto"/>
                <w:highlight w:val="none"/>
              </w:rPr>
              <w:t>光源：高能氙灯，光源能量可根据样品信号强度进行调整，有低、中、高三种能量强度可选；</w:t>
            </w:r>
          </w:p>
          <w:p w14:paraId="57985EDC">
            <w:pPr>
              <w:rPr>
                <w:rFonts w:ascii="宋体" w:hAnsi="宋体"/>
                <w:color w:val="auto"/>
                <w:highlight w:val="none"/>
              </w:rPr>
            </w:pPr>
            <w:r>
              <w:rPr>
                <w:rFonts w:ascii="宋体" w:hAnsi="宋体"/>
                <w:color w:val="auto"/>
                <w:highlight w:val="none"/>
              </w:rPr>
              <w:t>4.</w:t>
            </w:r>
            <w:r>
              <w:rPr>
                <w:rFonts w:hint="eastAsia" w:ascii="宋体" w:hAnsi="宋体"/>
                <w:color w:val="auto"/>
                <w:highlight w:val="none"/>
              </w:rPr>
              <w:t>检测器：低噪音光电倍增管（PMT）；</w:t>
            </w:r>
          </w:p>
          <w:p w14:paraId="0CD69FFC">
            <w:pPr>
              <w:rPr>
                <w:rFonts w:ascii="宋体" w:hAnsi="宋体"/>
                <w:color w:val="auto"/>
                <w:highlight w:val="none"/>
              </w:rPr>
            </w:pPr>
            <w:r>
              <w:rPr>
                <w:rFonts w:hint="eastAsia" w:ascii="宋体" w:hAnsi="宋体"/>
                <w:color w:val="auto"/>
                <w:highlight w:val="none"/>
              </w:rPr>
              <w:t>5.全波长扫描功能：光吸收、荧光强度 (FI)、时间延迟扫描 (TRF)、化学发光；</w:t>
            </w:r>
          </w:p>
          <w:p w14:paraId="45F1F94F">
            <w:pPr>
              <w:rPr>
                <w:rFonts w:ascii="宋体" w:hAnsi="宋体"/>
                <w:color w:val="auto"/>
                <w:highlight w:val="none"/>
              </w:rPr>
            </w:pPr>
            <w:r>
              <w:rPr>
                <w:rFonts w:hint="eastAsia" w:ascii="宋体" w:hAnsi="宋体"/>
                <w:color w:val="auto"/>
                <w:highlight w:val="none"/>
              </w:rPr>
              <w:t>6.振荡功能：线性，轨道，双轨道；</w:t>
            </w:r>
          </w:p>
          <w:p w14:paraId="24F90F9C">
            <w:pPr>
              <w:rPr>
                <w:rFonts w:ascii="宋体" w:hAnsi="宋体"/>
                <w:color w:val="auto"/>
                <w:highlight w:val="none"/>
              </w:rPr>
            </w:pPr>
            <w:r>
              <w:rPr>
                <w:rFonts w:hint="eastAsia" w:ascii="宋体" w:hAnsi="宋体"/>
                <w:color w:val="auto"/>
                <w:highlight w:val="none"/>
              </w:rPr>
              <w:t>7.温控范围：室温+4℃至45℃，±0.</w:t>
            </w:r>
            <w:r>
              <w:rPr>
                <w:rFonts w:ascii="宋体" w:hAnsi="宋体"/>
                <w:color w:val="auto"/>
                <w:highlight w:val="none"/>
              </w:rPr>
              <w:t>5</w:t>
            </w:r>
            <w:r>
              <w:rPr>
                <w:rFonts w:hint="eastAsia" w:ascii="宋体" w:hAnsi="宋体"/>
                <w:color w:val="auto"/>
                <w:highlight w:val="none"/>
              </w:rPr>
              <w:t xml:space="preserve"> °C @ 37 °C；</w:t>
            </w:r>
          </w:p>
          <w:p w14:paraId="5BC78F6B">
            <w:pPr>
              <w:rPr>
                <w:rFonts w:ascii="宋体" w:hAnsi="宋体"/>
                <w:color w:val="auto"/>
                <w:highlight w:val="none"/>
              </w:rPr>
            </w:pPr>
            <w:r>
              <w:rPr>
                <w:rFonts w:hint="eastAsia" w:ascii="宋体" w:hAnsi="宋体"/>
                <w:color w:val="auto"/>
                <w:szCs w:val="21"/>
                <w:highlight w:val="none"/>
              </w:rPr>
              <w:t>★</w:t>
            </w:r>
            <w:r>
              <w:rPr>
                <w:rFonts w:hint="eastAsia" w:ascii="宋体" w:hAnsi="宋体"/>
                <w:color w:val="auto"/>
                <w:highlight w:val="none"/>
              </w:rPr>
              <w:t>8. 梯度温控： 可以对检测板上下设置差异温度，有效防止凝集现象产生；</w:t>
            </w:r>
          </w:p>
          <w:p w14:paraId="535A4422">
            <w:pPr>
              <w:rPr>
                <w:rFonts w:ascii="宋体" w:hAnsi="宋体"/>
                <w:color w:val="auto"/>
                <w:highlight w:val="none"/>
              </w:rPr>
            </w:pPr>
            <w:r>
              <w:rPr>
                <w:rFonts w:hint="eastAsia" w:ascii="宋体" w:hAnsi="宋体"/>
                <w:color w:val="auto"/>
                <w:highlight w:val="none"/>
              </w:rPr>
              <w:t>9.吸收光功能：230-999 nm, 1 nm 步进；OD分辨率：≤0.0001 OD；测量范围：0-4.0 OD；</w:t>
            </w:r>
          </w:p>
          <w:p w14:paraId="7386F78E">
            <w:pPr>
              <w:rPr>
                <w:rFonts w:ascii="宋体" w:hAnsi="宋体"/>
                <w:color w:val="auto"/>
                <w:highlight w:val="none"/>
              </w:rPr>
            </w:pPr>
            <w:r>
              <w:rPr>
                <w:rFonts w:hint="eastAsia" w:ascii="宋体" w:hAnsi="宋体"/>
                <w:color w:val="auto"/>
                <w:szCs w:val="21"/>
                <w:highlight w:val="none"/>
              </w:rPr>
              <w:t>★</w:t>
            </w:r>
            <w:r>
              <w:rPr>
                <w:rFonts w:ascii="宋体" w:hAnsi="宋体"/>
                <w:color w:val="auto"/>
                <w:highlight w:val="none"/>
              </w:rPr>
              <w:t>10</w:t>
            </w:r>
            <w:r>
              <w:rPr>
                <w:rFonts w:hint="eastAsia" w:ascii="宋体" w:hAnsi="宋体"/>
                <w:color w:val="auto"/>
                <w:highlight w:val="none"/>
              </w:rPr>
              <w:t>.</w:t>
            </w:r>
            <w:r>
              <w:rPr>
                <w:rFonts w:ascii="宋体" w:hAnsi="宋体"/>
                <w:color w:val="auto"/>
                <w:highlight w:val="none"/>
              </w:rPr>
              <w:t xml:space="preserve"> </w:t>
            </w:r>
            <w:r>
              <w:rPr>
                <w:rFonts w:hint="eastAsia" w:ascii="宋体" w:hAnsi="宋体"/>
                <w:color w:val="auto"/>
                <w:highlight w:val="none"/>
              </w:rPr>
              <w:t>检测速度：</w:t>
            </w:r>
            <w:r>
              <w:rPr>
                <w:rFonts w:ascii="宋体" w:hAnsi="宋体"/>
                <w:color w:val="auto"/>
                <w:highlight w:val="none"/>
              </w:rPr>
              <w:t>96孔板</w:t>
            </w:r>
            <w:r>
              <w:rPr>
                <w:rFonts w:hint="eastAsia" w:ascii="宋体" w:hAnsi="宋体"/>
                <w:color w:val="auto"/>
                <w:highlight w:val="none"/>
              </w:rPr>
              <w:t>≤</w:t>
            </w:r>
            <w:r>
              <w:rPr>
                <w:rFonts w:ascii="宋体" w:hAnsi="宋体"/>
                <w:color w:val="auto"/>
                <w:highlight w:val="none"/>
              </w:rPr>
              <w:t>11秒；384孔板</w:t>
            </w:r>
            <w:r>
              <w:rPr>
                <w:rFonts w:hint="eastAsia" w:ascii="宋体" w:hAnsi="宋体"/>
                <w:color w:val="auto"/>
                <w:highlight w:val="none"/>
              </w:rPr>
              <w:t>≤</w:t>
            </w:r>
            <w:r>
              <w:rPr>
                <w:rFonts w:ascii="宋体" w:hAnsi="宋体"/>
                <w:color w:val="auto"/>
                <w:highlight w:val="none"/>
              </w:rPr>
              <w:t>22秒</w:t>
            </w:r>
            <w:r>
              <w:rPr>
                <w:rFonts w:hint="eastAsia" w:ascii="宋体" w:hAnsi="宋体"/>
                <w:color w:val="auto"/>
                <w:highlight w:val="none"/>
              </w:rPr>
              <w:t>；</w:t>
            </w:r>
          </w:p>
          <w:p w14:paraId="65428810">
            <w:pPr>
              <w:rPr>
                <w:rFonts w:ascii="宋体" w:hAnsi="宋体"/>
                <w:color w:val="auto"/>
                <w:highlight w:val="none"/>
              </w:rPr>
            </w:pPr>
            <w:r>
              <w:rPr>
                <w:rFonts w:hint="eastAsia" w:ascii="宋体" w:hAnsi="宋体"/>
                <w:color w:val="auto"/>
                <w:highlight w:val="none"/>
              </w:rPr>
              <w:t>11.检测模式：终点法，动力学法，波长扫描和微孔孔域扫描；</w:t>
            </w:r>
          </w:p>
          <w:p w14:paraId="4FA1D7DB">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2</w:t>
            </w:r>
            <w:r>
              <w:rPr>
                <w:rFonts w:hint="eastAsia" w:ascii="宋体" w:hAnsi="宋体"/>
                <w:color w:val="auto"/>
                <w:highlight w:val="none"/>
              </w:rPr>
              <w:t>. OD准确性：≤1% @ 2.0 OD；OD重复性：≤0.5% @ 2.0 OD；</w:t>
            </w:r>
          </w:p>
          <w:p w14:paraId="3A65BD1D">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3</w:t>
            </w:r>
            <w:r>
              <w:rPr>
                <w:rFonts w:hint="eastAsia" w:ascii="宋体" w:hAnsi="宋体"/>
                <w:color w:val="auto"/>
                <w:highlight w:val="none"/>
              </w:rPr>
              <w:t>. 光路径校正：具备光路径长度校正功能，可将微孔板光路径长度转化为标准的1cm路径长度，校正误差，无须标准曲线即可准确定量；</w:t>
            </w:r>
          </w:p>
          <w:p w14:paraId="65F5A1FD">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4</w:t>
            </w:r>
            <w:r>
              <w:rPr>
                <w:rFonts w:hint="eastAsia" w:ascii="宋体" w:hAnsi="宋体"/>
                <w:color w:val="auto"/>
                <w:highlight w:val="none"/>
              </w:rPr>
              <w:t>.</w:t>
            </w:r>
            <w:r>
              <w:rPr>
                <w:rFonts w:ascii="宋体" w:hAnsi="宋体"/>
                <w:color w:val="auto"/>
                <w:highlight w:val="none"/>
              </w:rPr>
              <w:t xml:space="preserve"> </w:t>
            </w:r>
            <w:r>
              <w:rPr>
                <w:rFonts w:hint="eastAsia" w:ascii="宋体" w:hAnsi="宋体"/>
                <w:color w:val="auto"/>
                <w:highlight w:val="none"/>
              </w:rPr>
              <w:t>荧光波长选择：四光栅</w:t>
            </w:r>
            <w:r>
              <w:rPr>
                <w:rFonts w:ascii="宋体" w:hAnsi="宋体"/>
                <w:color w:val="auto"/>
                <w:highlight w:val="none"/>
              </w:rPr>
              <w:t xml:space="preserve"> (顶/底部)</w:t>
            </w:r>
            <w:r>
              <w:rPr>
                <w:rFonts w:hint="eastAsia" w:ascii="宋体" w:hAnsi="宋体"/>
                <w:color w:val="auto"/>
                <w:highlight w:val="none"/>
              </w:rPr>
              <w:t>；</w:t>
            </w:r>
          </w:p>
          <w:p w14:paraId="3EA64CD7">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5</w:t>
            </w:r>
            <w:r>
              <w:rPr>
                <w:rFonts w:hint="eastAsia" w:ascii="宋体" w:hAnsi="宋体"/>
                <w:color w:val="auto"/>
                <w:highlight w:val="none"/>
              </w:rPr>
              <w:t xml:space="preserve">. </w:t>
            </w:r>
            <w:r>
              <w:rPr>
                <w:rFonts w:ascii="宋体" w:hAnsi="宋体"/>
                <w:color w:val="auto"/>
                <w:highlight w:val="none"/>
              </w:rPr>
              <w:t>带宽</w:t>
            </w:r>
            <w:r>
              <w:rPr>
                <w:rFonts w:hint="eastAsia" w:ascii="宋体" w:hAnsi="宋体"/>
                <w:color w:val="auto"/>
                <w:highlight w:val="none"/>
              </w:rPr>
              <w:t>：激发</w:t>
            </w:r>
            <w:r>
              <w:rPr>
                <w:rFonts w:ascii="宋体" w:hAnsi="宋体" w:cs="Arial"/>
                <w:color w:val="auto"/>
                <w:kern w:val="0"/>
                <w:highlight w:val="none"/>
              </w:rPr>
              <w:t>≥</w:t>
            </w:r>
            <w:r>
              <w:rPr>
                <w:rFonts w:hint="eastAsia" w:ascii="宋体" w:hAnsi="宋体"/>
                <w:color w:val="auto"/>
                <w:highlight w:val="none"/>
              </w:rPr>
              <w:t>16nm，发射</w:t>
            </w:r>
            <w:r>
              <w:rPr>
                <w:rFonts w:ascii="宋体" w:hAnsi="宋体" w:cs="Arial"/>
                <w:color w:val="auto"/>
                <w:kern w:val="0"/>
                <w:highlight w:val="none"/>
              </w:rPr>
              <w:t>≥</w:t>
            </w:r>
            <w:r>
              <w:rPr>
                <w:rFonts w:hint="eastAsia" w:ascii="宋体" w:hAnsi="宋体"/>
                <w:color w:val="auto"/>
                <w:highlight w:val="none"/>
              </w:rPr>
              <w:t>16nm；</w:t>
            </w:r>
          </w:p>
          <w:p w14:paraId="381910ED">
            <w:pPr>
              <w:rPr>
                <w:rFonts w:ascii="宋体" w:hAnsi="宋体"/>
                <w:color w:val="auto"/>
                <w:highlight w:val="none"/>
              </w:rPr>
            </w:pPr>
            <w:r>
              <w:rPr>
                <w:rFonts w:hint="eastAsia" w:ascii="宋体" w:hAnsi="宋体"/>
                <w:color w:val="auto"/>
                <w:szCs w:val="21"/>
                <w:highlight w:val="none"/>
              </w:rPr>
              <w:t>★</w:t>
            </w:r>
            <w:r>
              <w:rPr>
                <w:rFonts w:hint="eastAsia" w:ascii="宋体" w:hAnsi="宋体"/>
                <w:color w:val="auto"/>
                <w:highlight w:val="none"/>
              </w:rPr>
              <w:t>1</w:t>
            </w:r>
            <w:r>
              <w:rPr>
                <w:rFonts w:ascii="宋体" w:hAnsi="宋体"/>
                <w:color w:val="auto"/>
                <w:highlight w:val="none"/>
              </w:rPr>
              <w:t>6</w:t>
            </w:r>
            <w:r>
              <w:rPr>
                <w:rFonts w:hint="eastAsia" w:ascii="宋体" w:hAnsi="宋体"/>
                <w:color w:val="auto"/>
                <w:highlight w:val="none"/>
              </w:rPr>
              <w:t>.荧光灵敏度：顶部≤</w:t>
            </w:r>
            <w:r>
              <w:rPr>
                <w:rFonts w:ascii="宋体" w:hAnsi="宋体"/>
                <w:color w:val="auto"/>
                <w:highlight w:val="none"/>
              </w:rPr>
              <w:t>0.2</w:t>
            </w:r>
            <w:r>
              <w:rPr>
                <w:rFonts w:hint="eastAsia" w:ascii="宋体" w:hAnsi="宋体"/>
                <w:color w:val="auto"/>
                <w:highlight w:val="none"/>
              </w:rPr>
              <w:t>5 pM 荧光素(0.</w:t>
            </w:r>
            <w:r>
              <w:rPr>
                <w:rFonts w:ascii="宋体" w:hAnsi="宋体"/>
                <w:color w:val="auto"/>
                <w:highlight w:val="none"/>
              </w:rPr>
              <w:t>0</w:t>
            </w:r>
            <w:r>
              <w:rPr>
                <w:rFonts w:hint="eastAsia" w:ascii="宋体" w:hAnsi="宋体"/>
                <w:color w:val="auto"/>
                <w:highlight w:val="none"/>
              </w:rPr>
              <w:t>25 fmol/孔 384孔板)，底部：≤</w:t>
            </w:r>
            <w:r>
              <w:rPr>
                <w:rFonts w:ascii="宋体" w:hAnsi="宋体"/>
                <w:color w:val="auto"/>
                <w:highlight w:val="none"/>
              </w:rPr>
              <w:t>4</w:t>
            </w:r>
            <w:r>
              <w:rPr>
                <w:rFonts w:hint="eastAsia" w:ascii="宋体" w:hAnsi="宋体"/>
                <w:color w:val="auto"/>
                <w:highlight w:val="none"/>
              </w:rPr>
              <w:t>pM 荧光素 (0.</w:t>
            </w:r>
            <w:r>
              <w:rPr>
                <w:rFonts w:ascii="宋体" w:hAnsi="宋体"/>
                <w:color w:val="auto"/>
                <w:highlight w:val="none"/>
              </w:rPr>
              <w:t>4</w:t>
            </w:r>
            <w:r>
              <w:rPr>
                <w:rFonts w:hint="eastAsia" w:ascii="宋体" w:hAnsi="宋体"/>
                <w:color w:val="auto"/>
                <w:highlight w:val="none"/>
              </w:rPr>
              <w:t>fmol/孔 384孔板)；</w:t>
            </w:r>
          </w:p>
          <w:p w14:paraId="7A1C6C4A">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7</w:t>
            </w:r>
            <w:r>
              <w:rPr>
                <w:rFonts w:hint="eastAsia" w:ascii="宋体" w:hAnsi="宋体"/>
                <w:color w:val="auto"/>
                <w:highlight w:val="none"/>
              </w:rPr>
              <w:t>.荧光检测范围：2</w:t>
            </w:r>
            <w:r>
              <w:rPr>
                <w:rFonts w:ascii="宋体" w:hAnsi="宋体"/>
                <w:color w:val="auto"/>
                <w:highlight w:val="none"/>
              </w:rPr>
              <w:t>5</w:t>
            </w:r>
            <w:r>
              <w:rPr>
                <w:rFonts w:hint="eastAsia" w:ascii="宋体" w:hAnsi="宋体"/>
                <w:color w:val="auto"/>
                <w:highlight w:val="none"/>
              </w:rPr>
              <w:t>0-</w:t>
            </w:r>
            <w:r>
              <w:rPr>
                <w:rFonts w:ascii="宋体" w:hAnsi="宋体"/>
                <w:color w:val="auto"/>
                <w:highlight w:val="none"/>
              </w:rPr>
              <w:t>70</w:t>
            </w:r>
            <w:r>
              <w:rPr>
                <w:rFonts w:hint="eastAsia" w:ascii="宋体" w:hAnsi="宋体"/>
                <w:color w:val="auto"/>
                <w:highlight w:val="none"/>
              </w:rPr>
              <w:t>0nm；</w:t>
            </w:r>
          </w:p>
          <w:p w14:paraId="176254A7">
            <w:pPr>
              <w:rPr>
                <w:rFonts w:ascii="宋体" w:hAnsi="宋体"/>
                <w:color w:val="auto"/>
                <w:highlight w:val="none"/>
              </w:rPr>
            </w:pPr>
            <w:r>
              <w:rPr>
                <w:rFonts w:ascii="宋体" w:hAnsi="宋体"/>
                <w:color w:val="auto"/>
                <w:highlight w:val="none"/>
              </w:rPr>
              <w:t>18.</w:t>
            </w:r>
            <w:r>
              <w:rPr>
                <w:rFonts w:hint="eastAsia" w:ascii="宋体" w:hAnsi="宋体"/>
                <w:color w:val="auto"/>
                <w:highlight w:val="none"/>
              </w:rPr>
              <w:t>荧光光谱扫描：可进行激发光及发射光扫描，1nm步进，绘制扫描曲线，确定荧光光谱特性；</w:t>
            </w:r>
          </w:p>
          <w:p w14:paraId="7067E16B">
            <w:pPr>
              <w:rPr>
                <w:rFonts w:ascii="宋体" w:hAnsi="宋体"/>
                <w:color w:val="auto"/>
                <w:highlight w:val="none"/>
              </w:rPr>
            </w:pPr>
            <w:r>
              <w:rPr>
                <w:rFonts w:ascii="宋体" w:hAnsi="宋体"/>
                <w:color w:val="auto"/>
                <w:highlight w:val="none"/>
              </w:rPr>
              <w:t>19.</w:t>
            </w:r>
            <w:r>
              <w:rPr>
                <w:rFonts w:hint="eastAsia" w:ascii="宋体" w:hAnsi="宋体"/>
                <w:color w:val="auto"/>
                <w:highlight w:val="none"/>
              </w:rPr>
              <w:t xml:space="preserve"> 时间分辨荧光</w:t>
            </w:r>
            <w:r>
              <w:rPr>
                <w:rFonts w:ascii="宋体" w:hAnsi="宋体"/>
                <w:color w:val="auto"/>
                <w:highlight w:val="none"/>
              </w:rPr>
              <w:t>灵敏度：</w:t>
            </w:r>
            <w:r>
              <w:rPr>
                <w:rFonts w:hint="eastAsia" w:ascii="宋体" w:hAnsi="宋体"/>
                <w:color w:val="auto"/>
                <w:highlight w:val="none"/>
              </w:rPr>
              <w:t>≤</w:t>
            </w:r>
            <w:r>
              <w:rPr>
                <w:rFonts w:ascii="宋体" w:hAnsi="宋体"/>
                <w:color w:val="auto"/>
                <w:highlight w:val="none"/>
              </w:rPr>
              <w:t xml:space="preserve">Eu </w:t>
            </w:r>
            <w:r>
              <w:rPr>
                <w:rFonts w:hint="eastAsia" w:ascii="宋体" w:hAnsi="宋体"/>
                <w:color w:val="auto"/>
                <w:highlight w:val="none"/>
              </w:rPr>
              <w:t>1.2</w:t>
            </w:r>
            <w:r>
              <w:rPr>
                <w:rFonts w:ascii="宋体" w:hAnsi="宋体"/>
                <w:color w:val="auto"/>
                <w:highlight w:val="none"/>
              </w:rPr>
              <w:t xml:space="preserve"> </w:t>
            </w:r>
            <w:r>
              <w:rPr>
                <w:rFonts w:hint="eastAsia" w:ascii="宋体" w:hAnsi="宋体"/>
                <w:color w:val="auto"/>
                <w:highlight w:val="none"/>
              </w:rPr>
              <w:t>p</w:t>
            </w:r>
            <w:r>
              <w:rPr>
                <w:rFonts w:ascii="宋体" w:hAnsi="宋体"/>
                <w:color w:val="auto"/>
                <w:highlight w:val="none"/>
              </w:rPr>
              <w:t>M(</w:t>
            </w:r>
            <w:r>
              <w:rPr>
                <w:rFonts w:hint="eastAsia" w:ascii="宋体" w:hAnsi="宋体"/>
                <w:color w:val="auto"/>
                <w:highlight w:val="none"/>
              </w:rPr>
              <w:t>120</w:t>
            </w:r>
            <w:r>
              <w:rPr>
                <w:rFonts w:ascii="宋体" w:hAnsi="宋体"/>
                <w:color w:val="auto"/>
                <w:highlight w:val="none"/>
              </w:rPr>
              <w:t>amol/孔384孔板 )</w:t>
            </w:r>
            <w:r>
              <w:rPr>
                <w:rFonts w:hint="eastAsia" w:ascii="宋体" w:hAnsi="宋体"/>
                <w:color w:val="auto"/>
                <w:highlight w:val="none"/>
              </w:rPr>
              <w:t>；</w:t>
            </w:r>
          </w:p>
          <w:p w14:paraId="737ED062">
            <w:pPr>
              <w:rPr>
                <w:rFonts w:ascii="宋体" w:hAnsi="宋体"/>
                <w:color w:val="auto"/>
                <w:highlight w:val="none"/>
              </w:rPr>
            </w:pPr>
            <w:r>
              <w:rPr>
                <w:rFonts w:ascii="宋体" w:hAnsi="宋体"/>
                <w:color w:val="auto"/>
                <w:highlight w:val="none"/>
              </w:rPr>
              <w:t>20</w:t>
            </w:r>
            <w:r>
              <w:rPr>
                <w:rFonts w:hint="eastAsia" w:ascii="宋体" w:hAnsi="宋体"/>
                <w:color w:val="auto"/>
                <w:highlight w:val="none"/>
              </w:rPr>
              <w:t>.数据收集延迟时间：1-16000</w:t>
            </w:r>
            <w:r>
              <w:rPr>
                <w:rFonts w:ascii="宋体" w:hAnsi="宋体"/>
                <w:color w:val="auto"/>
                <w:highlight w:val="none"/>
              </w:rPr>
              <w:t>μ</w:t>
            </w:r>
            <w:r>
              <w:rPr>
                <w:rFonts w:hint="eastAsia" w:ascii="宋体" w:hAnsi="宋体"/>
                <w:color w:val="auto"/>
                <w:highlight w:val="none"/>
              </w:rPr>
              <w:t>sec；数据采集时间：20-16000</w:t>
            </w:r>
            <w:r>
              <w:rPr>
                <w:rFonts w:ascii="宋体" w:hAnsi="宋体"/>
                <w:color w:val="auto"/>
                <w:highlight w:val="none"/>
              </w:rPr>
              <w:t>μ</w:t>
            </w:r>
            <w:r>
              <w:rPr>
                <w:rFonts w:hint="eastAsia" w:ascii="宋体" w:hAnsi="宋体"/>
                <w:color w:val="auto"/>
                <w:highlight w:val="none"/>
              </w:rPr>
              <w:t>sec；</w:t>
            </w:r>
          </w:p>
          <w:p w14:paraId="2F3330EF">
            <w:pPr>
              <w:rPr>
                <w:rFonts w:ascii="宋体" w:hAnsi="宋体"/>
                <w:color w:val="auto"/>
                <w:highlight w:val="none"/>
              </w:rPr>
            </w:pPr>
            <w:r>
              <w:rPr>
                <w:rFonts w:ascii="宋体" w:hAnsi="宋体"/>
                <w:color w:val="auto"/>
                <w:highlight w:val="none"/>
              </w:rPr>
              <w:t>21</w:t>
            </w:r>
            <w:r>
              <w:rPr>
                <w:rFonts w:hint="eastAsia" w:ascii="宋体" w:hAnsi="宋体"/>
                <w:color w:val="auto"/>
                <w:highlight w:val="none"/>
              </w:rPr>
              <w:t>.发光波长范围：</w:t>
            </w:r>
            <w:r>
              <w:rPr>
                <w:rFonts w:ascii="宋体" w:hAnsi="宋体"/>
                <w:color w:val="auto"/>
                <w:highlight w:val="none"/>
              </w:rPr>
              <w:t>300-700 nm</w:t>
            </w:r>
            <w:r>
              <w:rPr>
                <w:rFonts w:hint="eastAsia" w:ascii="宋体" w:hAnsi="宋体"/>
                <w:color w:val="auto"/>
                <w:highlight w:val="none"/>
              </w:rPr>
              <w:t>；</w:t>
            </w:r>
          </w:p>
          <w:p w14:paraId="65A54C61">
            <w:pPr>
              <w:rPr>
                <w:rFonts w:ascii="宋体" w:hAnsi="宋体"/>
                <w:color w:val="auto"/>
                <w:highlight w:val="none"/>
              </w:rPr>
            </w:pPr>
            <w:r>
              <w:rPr>
                <w:rFonts w:hint="eastAsia" w:ascii="宋体" w:hAnsi="宋体"/>
                <w:color w:val="auto"/>
                <w:szCs w:val="21"/>
                <w:highlight w:val="none"/>
              </w:rPr>
              <w:t>★</w:t>
            </w:r>
            <w:r>
              <w:rPr>
                <w:rFonts w:ascii="宋体" w:hAnsi="宋体"/>
                <w:color w:val="auto"/>
                <w:highlight w:val="none"/>
              </w:rPr>
              <w:t>22</w:t>
            </w:r>
            <w:r>
              <w:rPr>
                <w:rFonts w:hint="eastAsia" w:ascii="宋体" w:hAnsi="宋体"/>
                <w:color w:val="auto"/>
                <w:highlight w:val="none"/>
              </w:rPr>
              <w:t>.发光灵敏度：≤</w:t>
            </w:r>
            <w:r>
              <w:rPr>
                <w:rFonts w:ascii="宋体" w:hAnsi="宋体"/>
                <w:color w:val="auto"/>
                <w:highlight w:val="none"/>
              </w:rPr>
              <w:t>1</w:t>
            </w:r>
            <w:r>
              <w:rPr>
                <w:rFonts w:hint="eastAsia" w:ascii="宋体" w:hAnsi="宋体"/>
                <w:color w:val="auto"/>
                <w:highlight w:val="none"/>
              </w:rPr>
              <w:t>0 amol /孔 ATP闪光分析 ( 96孔 )；</w:t>
            </w:r>
          </w:p>
          <w:p w14:paraId="5239AB14">
            <w:pPr>
              <w:rPr>
                <w:rFonts w:ascii="宋体" w:hAnsi="宋体"/>
                <w:color w:val="auto"/>
                <w:highlight w:val="none"/>
              </w:rPr>
            </w:pPr>
            <w:r>
              <w:rPr>
                <w:rFonts w:ascii="宋体" w:hAnsi="宋体"/>
                <w:color w:val="auto"/>
                <w:highlight w:val="none"/>
              </w:rPr>
              <w:t>23</w:t>
            </w:r>
            <w:r>
              <w:rPr>
                <w:rFonts w:hint="eastAsia" w:ascii="宋体" w:hAnsi="宋体"/>
                <w:color w:val="auto"/>
                <w:highlight w:val="none"/>
              </w:rPr>
              <w:t>. 探头自动扫描：探头高度可在0-16mm范围内进行自动扫描，选择最佳检测探头高度；</w:t>
            </w:r>
          </w:p>
          <w:p w14:paraId="3595BE29">
            <w:pPr>
              <w:rPr>
                <w:rFonts w:ascii="宋体" w:hAnsi="宋体"/>
                <w:color w:val="auto"/>
                <w:highlight w:val="none"/>
              </w:rPr>
            </w:pPr>
            <w:r>
              <w:rPr>
                <w:rFonts w:ascii="宋体" w:hAnsi="宋体"/>
                <w:color w:val="auto"/>
                <w:highlight w:val="none"/>
              </w:rPr>
              <w:t>24</w:t>
            </w:r>
            <w:r>
              <w:rPr>
                <w:rFonts w:hint="eastAsia" w:ascii="宋体" w:hAnsi="宋体"/>
                <w:color w:val="auto"/>
                <w:highlight w:val="none"/>
              </w:rPr>
              <w:t>. 高精度孔域扫描：可选99×99点矩阵扫描，并可根据样品形状选择扫描区域大小；</w:t>
            </w:r>
          </w:p>
          <w:p w14:paraId="569D4349">
            <w:pPr>
              <w:rPr>
                <w:rFonts w:ascii="宋体" w:hAnsi="宋体"/>
                <w:color w:val="auto"/>
                <w:highlight w:val="none"/>
              </w:rPr>
            </w:pPr>
            <w:r>
              <w:rPr>
                <w:rFonts w:ascii="宋体" w:hAnsi="宋体"/>
                <w:color w:val="auto"/>
                <w:highlight w:val="none"/>
              </w:rPr>
              <w:t>25</w:t>
            </w:r>
            <w:r>
              <w:rPr>
                <w:rFonts w:hint="eastAsia" w:ascii="宋体" w:hAnsi="宋体"/>
                <w:color w:val="auto"/>
                <w:highlight w:val="none"/>
              </w:rPr>
              <w:t>. 兼容版型：6-384孔板，支持兼容1</w:t>
            </w:r>
            <w:r>
              <w:rPr>
                <w:rFonts w:ascii="宋体" w:hAnsi="宋体"/>
                <w:color w:val="auto"/>
                <w:highlight w:val="none"/>
              </w:rPr>
              <w:t>6</w:t>
            </w:r>
            <w:r>
              <w:rPr>
                <w:rFonts w:hint="eastAsia" w:ascii="宋体" w:hAnsi="宋体"/>
                <w:color w:val="auto"/>
                <w:highlight w:val="none"/>
              </w:rPr>
              <w:t>道和4</w:t>
            </w:r>
            <w:r>
              <w:rPr>
                <w:rFonts w:ascii="宋体" w:hAnsi="宋体"/>
                <w:color w:val="auto"/>
                <w:highlight w:val="none"/>
              </w:rPr>
              <w:t>8</w:t>
            </w:r>
            <w:r>
              <w:rPr>
                <w:rFonts w:hint="eastAsia" w:ascii="宋体" w:hAnsi="宋体"/>
                <w:color w:val="auto"/>
                <w:highlight w:val="none"/>
              </w:rPr>
              <w:t>道微量检测板，用于低至2ul核酸蛋白样品分析；</w:t>
            </w:r>
          </w:p>
          <w:p w14:paraId="0004A8AF">
            <w:pPr>
              <w:rPr>
                <w:rFonts w:ascii="宋体" w:hAnsi="宋体"/>
                <w:color w:val="auto"/>
                <w:highlight w:val="none"/>
              </w:rPr>
            </w:pPr>
            <w:r>
              <w:rPr>
                <w:rFonts w:ascii="宋体" w:hAnsi="宋体"/>
                <w:color w:val="auto"/>
                <w:highlight w:val="none"/>
              </w:rPr>
              <w:t>26</w:t>
            </w:r>
            <w:r>
              <w:rPr>
                <w:rFonts w:hint="eastAsia" w:ascii="宋体" w:hAnsi="宋体"/>
                <w:color w:val="auto"/>
                <w:highlight w:val="none"/>
              </w:rPr>
              <w:t>.</w:t>
            </w:r>
            <w:r>
              <w:rPr>
                <w:rFonts w:ascii="宋体" w:hAnsi="宋体"/>
                <w:color w:val="auto"/>
                <w:highlight w:val="none"/>
              </w:rPr>
              <w:t xml:space="preserve"> </w:t>
            </w:r>
            <w:r>
              <w:rPr>
                <w:rFonts w:hint="eastAsia" w:ascii="宋体" w:hAnsi="宋体"/>
                <w:color w:val="auto"/>
                <w:highlight w:val="none"/>
              </w:rPr>
              <w:t>软件：正版中英文仪器控制及数据分析软件,可对原始数据进行多重运算，自动背景扣除，可根据需要设定参照值，并根据标准曲线自动运算样品浓度，可运算动力学反应速率，给出最大、最小及平均反应速率，并可进行EC50、3D扫描和Z-Prime等统计学分析；</w:t>
            </w:r>
          </w:p>
          <w:p w14:paraId="27919F31">
            <w:pPr>
              <w:rPr>
                <w:rFonts w:ascii="宋体" w:hAnsi="宋体"/>
                <w:color w:val="auto"/>
                <w:highlight w:val="none"/>
              </w:rPr>
            </w:pPr>
            <w:r>
              <w:rPr>
                <w:rFonts w:ascii="宋体" w:hAnsi="宋体"/>
                <w:color w:val="auto"/>
                <w:highlight w:val="none"/>
              </w:rPr>
              <w:t>27</w:t>
            </w:r>
            <w:r>
              <w:rPr>
                <w:rFonts w:hint="eastAsia" w:ascii="宋体" w:hAnsi="宋体"/>
                <w:color w:val="auto"/>
                <w:highlight w:val="none"/>
              </w:rPr>
              <w:t>.</w:t>
            </w:r>
            <w:r>
              <w:rPr>
                <w:rFonts w:ascii="宋体" w:hAnsi="宋体"/>
                <w:color w:val="auto"/>
                <w:highlight w:val="none"/>
              </w:rPr>
              <w:t xml:space="preserve"> </w:t>
            </w:r>
            <w:r>
              <w:rPr>
                <w:rFonts w:hint="eastAsia" w:ascii="宋体" w:hAnsi="宋体"/>
                <w:color w:val="auto"/>
                <w:highlight w:val="none"/>
              </w:rPr>
              <w:t>高通量活细胞培养自动化兼容：可外接高通量活细胞培养装置，支持最多8块96或384孔微孔板同时进行活细胞培养及监测；</w:t>
            </w:r>
          </w:p>
          <w:p w14:paraId="52CD0459">
            <w:pPr>
              <w:rPr>
                <w:rFonts w:ascii="宋体" w:hAnsi="宋体"/>
                <w:color w:val="auto"/>
                <w:highlight w:val="none"/>
              </w:rPr>
            </w:pPr>
            <w:r>
              <w:rPr>
                <w:rFonts w:hint="eastAsia" w:ascii="宋体" w:hAnsi="宋体"/>
                <w:color w:val="auto"/>
                <w:highlight w:val="none"/>
              </w:rPr>
              <w:t>2</w:t>
            </w:r>
            <w:r>
              <w:rPr>
                <w:rFonts w:ascii="宋体" w:hAnsi="宋体"/>
                <w:color w:val="auto"/>
                <w:highlight w:val="none"/>
              </w:rPr>
              <w:t>8</w:t>
            </w:r>
            <w:r>
              <w:rPr>
                <w:rFonts w:hint="eastAsia" w:ascii="宋体" w:hAnsi="宋体"/>
                <w:color w:val="auto"/>
                <w:highlight w:val="none"/>
              </w:rPr>
              <w:t>.</w:t>
            </w:r>
            <w:r>
              <w:rPr>
                <w:rFonts w:ascii="宋体" w:hAnsi="宋体"/>
                <w:color w:val="auto"/>
                <w:highlight w:val="none"/>
              </w:rPr>
              <w:t xml:space="preserve"> </w:t>
            </w:r>
            <w:r>
              <w:rPr>
                <w:rFonts w:hint="eastAsia" w:ascii="宋体" w:hAnsi="宋体"/>
                <w:color w:val="auto"/>
                <w:highlight w:val="none"/>
              </w:rPr>
              <w:t>配置：1）多功能酶标仪主机（具有全波长吸收光，荧光顶读，荧光底读，发光，时间分辨荧光的检测功能，以及梯度控温，三维振荡孵育功能）1套；</w:t>
            </w:r>
          </w:p>
          <w:p w14:paraId="08071951">
            <w:pPr>
              <w:rPr>
                <w:rFonts w:ascii="宋体" w:hAnsi="宋体"/>
                <w:color w:val="auto"/>
                <w:highlight w:val="none"/>
              </w:rPr>
            </w:pPr>
            <w:r>
              <w:rPr>
                <w:rFonts w:ascii="宋体" w:hAnsi="宋体"/>
                <w:color w:val="auto"/>
                <w:highlight w:val="none"/>
              </w:rPr>
              <w:t>2</w:t>
            </w:r>
            <w:r>
              <w:rPr>
                <w:rFonts w:hint="eastAsia" w:ascii="宋体" w:hAnsi="宋体"/>
                <w:color w:val="auto"/>
                <w:highlight w:val="none"/>
              </w:rPr>
              <w:t>）中文仪器控制及数据分析软件1套；</w:t>
            </w:r>
          </w:p>
          <w:p w14:paraId="076F8BE6">
            <w:pP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）配套数据采集系统</w:t>
            </w:r>
            <w:r>
              <w:rPr>
                <w:rFonts w:hint="eastAsia" w:ascii="宋体" w:hAnsi="宋体"/>
                <w:color w:val="auto"/>
                <w:highlight w:val="none"/>
              </w:rPr>
              <w:t>（国内采购）</w:t>
            </w:r>
            <w:r>
              <w:rPr>
                <w:rFonts w:ascii="宋体" w:hAnsi="宋体"/>
                <w:color w:val="auto"/>
                <w:szCs w:val="21"/>
                <w:highlight w:val="none"/>
              </w:rPr>
              <w:t>1</w:t>
            </w:r>
            <w:r>
              <w:rPr>
                <w:rFonts w:hint="eastAsia" w:ascii="宋体" w:hAnsi="宋体"/>
                <w:color w:val="auto"/>
                <w:szCs w:val="21"/>
                <w:highlight w:val="none"/>
              </w:rPr>
              <w:t>套。</w:t>
            </w:r>
          </w:p>
          <w:p w14:paraId="7191B6D7">
            <w:pPr>
              <w:pStyle w:val="2"/>
              <w:spacing w:line="240" w:lineRule="auto"/>
              <w:rPr>
                <w:color w:val="auto"/>
                <w:highlight w:val="none"/>
              </w:rPr>
            </w:pPr>
            <w:r>
              <w:rPr>
                <w:rFonts w:hint="eastAsia" w:ascii="宋体" w:hAnsi="宋体"/>
                <w:b/>
                <w:bCs/>
                <w:color w:val="auto"/>
                <w:sz w:val="21"/>
                <w:highlight w:val="none"/>
              </w:rPr>
              <w:t>注：“★”号条款响应时必须提供响应参数的厂家技术证明材料原件，否则作无效响应。</w:t>
            </w:r>
          </w:p>
        </w:tc>
        <w:tc>
          <w:tcPr>
            <w:tcW w:w="254" w:type="pct"/>
            <w:vAlign w:val="center"/>
          </w:tcPr>
          <w:p w14:paraId="6FC87243">
            <w:pPr>
              <w:widowControl/>
              <w:jc w:val="center"/>
              <w:rPr>
                <w:rFonts w:ascii="宋体" w:hAnsi="宋体"/>
                <w:color w:val="auto"/>
                <w:kern w:val="0"/>
                <w:szCs w:val="21"/>
                <w:highlight w:val="none"/>
              </w:rPr>
            </w:pPr>
            <w:r>
              <w:rPr>
                <w:rFonts w:hint="eastAsia" w:ascii="宋体" w:hAnsi="宋体"/>
                <w:color w:val="auto"/>
                <w:kern w:val="0"/>
                <w:szCs w:val="21"/>
                <w:highlight w:val="none"/>
              </w:rPr>
              <w:t>项</w:t>
            </w:r>
          </w:p>
        </w:tc>
        <w:tc>
          <w:tcPr>
            <w:tcW w:w="421" w:type="pct"/>
            <w:vAlign w:val="center"/>
          </w:tcPr>
          <w:p w14:paraId="5F033C32">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464" w:type="pct"/>
            <w:vAlign w:val="center"/>
          </w:tcPr>
          <w:p w14:paraId="5592EAB7">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18</w:t>
            </w:r>
            <w:r>
              <w:rPr>
                <w:rFonts w:ascii="宋体" w:hAnsi="宋体"/>
                <w:color w:val="auto"/>
                <w:kern w:val="0"/>
                <w:szCs w:val="21"/>
                <w:highlight w:val="none"/>
              </w:rPr>
              <w:t>0000</w:t>
            </w:r>
          </w:p>
        </w:tc>
        <w:tc>
          <w:tcPr>
            <w:tcW w:w="517" w:type="pct"/>
            <w:vAlign w:val="center"/>
          </w:tcPr>
          <w:p w14:paraId="2781657F">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18</w:t>
            </w:r>
            <w:r>
              <w:rPr>
                <w:rFonts w:ascii="宋体" w:hAnsi="宋体"/>
                <w:color w:val="auto"/>
                <w:kern w:val="0"/>
                <w:szCs w:val="21"/>
                <w:highlight w:val="none"/>
              </w:rPr>
              <w:t>0000</w:t>
            </w:r>
          </w:p>
        </w:tc>
        <w:tc>
          <w:tcPr>
            <w:tcW w:w="476" w:type="pct"/>
            <w:vAlign w:val="center"/>
          </w:tcPr>
          <w:p w14:paraId="4515ED7A">
            <w:pPr>
              <w:widowControl/>
              <w:rPr>
                <w:rFonts w:ascii="宋体" w:hAnsi="宋体"/>
                <w:color w:val="auto"/>
                <w:kern w:val="0"/>
                <w:szCs w:val="21"/>
                <w:highlight w:val="none"/>
              </w:rPr>
            </w:pPr>
            <w:r>
              <w:rPr>
                <w:rFonts w:hint="eastAsia" w:ascii="宋体" w:hAnsi="宋体"/>
                <w:color w:val="auto"/>
                <w:kern w:val="0"/>
                <w:szCs w:val="21"/>
                <w:highlight w:val="none"/>
              </w:rPr>
              <w:t>第一年租赁费</w:t>
            </w:r>
          </w:p>
        </w:tc>
      </w:tr>
      <w:tr w14:paraId="64200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09" w:hRule="atLeast"/>
          <w:jc w:val="center"/>
        </w:trPr>
        <w:tc>
          <w:tcPr>
            <w:tcW w:w="212" w:type="pct"/>
            <w:vMerge w:val="continue"/>
            <w:vAlign w:val="center"/>
          </w:tcPr>
          <w:p w14:paraId="52E02D31">
            <w:pPr>
              <w:rPr>
                <w:rFonts w:ascii="宋体" w:hAnsi="宋体"/>
                <w:color w:val="auto"/>
                <w:szCs w:val="21"/>
                <w:highlight w:val="none"/>
              </w:rPr>
            </w:pPr>
          </w:p>
        </w:tc>
        <w:tc>
          <w:tcPr>
            <w:tcW w:w="405" w:type="pct"/>
            <w:vMerge w:val="continue"/>
            <w:vAlign w:val="center"/>
          </w:tcPr>
          <w:p w14:paraId="3C96ACBE">
            <w:pPr>
              <w:widowControl/>
              <w:jc w:val="center"/>
              <w:rPr>
                <w:rFonts w:ascii="宋体" w:hAnsi="宋体"/>
                <w:bCs/>
                <w:color w:val="auto"/>
                <w:highlight w:val="none"/>
              </w:rPr>
            </w:pPr>
          </w:p>
        </w:tc>
        <w:tc>
          <w:tcPr>
            <w:tcW w:w="2248" w:type="pct"/>
            <w:vMerge w:val="continue"/>
            <w:vAlign w:val="center"/>
          </w:tcPr>
          <w:p w14:paraId="1433DFF7">
            <w:pPr>
              <w:widowControl/>
              <w:rPr>
                <w:rFonts w:ascii="宋体" w:hAnsi="宋体"/>
                <w:color w:val="auto"/>
                <w:kern w:val="0"/>
                <w:szCs w:val="21"/>
                <w:highlight w:val="none"/>
              </w:rPr>
            </w:pPr>
          </w:p>
        </w:tc>
        <w:tc>
          <w:tcPr>
            <w:tcW w:w="254" w:type="pct"/>
            <w:vAlign w:val="center"/>
          </w:tcPr>
          <w:p w14:paraId="640C5E02">
            <w:pPr>
              <w:widowControl/>
              <w:jc w:val="center"/>
              <w:rPr>
                <w:rFonts w:ascii="宋体" w:hAnsi="宋体"/>
                <w:color w:val="auto"/>
                <w:kern w:val="0"/>
                <w:szCs w:val="21"/>
                <w:highlight w:val="none"/>
              </w:rPr>
            </w:pPr>
            <w:r>
              <w:rPr>
                <w:rFonts w:hint="eastAsia" w:ascii="宋体" w:hAnsi="宋体"/>
                <w:color w:val="auto"/>
                <w:kern w:val="0"/>
                <w:szCs w:val="21"/>
                <w:highlight w:val="none"/>
              </w:rPr>
              <w:t>项</w:t>
            </w:r>
          </w:p>
        </w:tc>
        <w:tc>
          <w:tcPr>
            <w:tcW w:w="421" w:type="pct"/>
            <w:vAlign w:val="center"/>
          </w:tcPr>
          <w:p w14:paraId="5F7F1D83">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464" w:type="pct"/>
            <w:vAlign w:val="center"/>
          </w:tcPr>
          <w:p w14:paraId="4C887E4D">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546</w:t>
            </w:r>
            <w:r>
              <w:rPr>
                <w:rFonts w:ascii="宋体" w:hAnsi="宋体"/>
                <w:color w:val="auto"/>
                <w:kern w:val="0"/>
                <w:szCs w:val="21"/>
                <w:highlight w:val="none"/>
              </w:rPr>
              <w:t>00</w:t>
            </w:r>
          </w:p>
        </w:tc>
        <w:tc>
          <w:tcPr>
            <w:tcW w:w="517" w:type="pct"/>
            <w:vAlign w:val="center"/>
          </w:tcPr>
          <w:p w14:paraId="28CA3445">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546</w:t>
            </w:r>
            <w:r>
              <w:rPr>
                <w:rFonts w:ascii="宋体" w:hAnsi="宋体"/>
                <w:color w:val="auto"/>
                <w:kern w:val="0"/>
                <w:szCs w:val="21"/>
                <w:highlight w:val="none"/>
              </w:rPr>
              <w:t>00</w:t>
            </w:r>
          </w:p>
        </w:tc>
        <w:tc>
          <w:tcPr>
            <w:tcW w:w="476" w:type="pct"/>
            <w:vAlign w:val="center"/>
          </w:tcPr>
          <w:p w14:paraId="33082767">
            <w:pPr>
              <w:widowControl/>
              <w:rPr>
                <w:rFonts w:ascii="宋体" w:hAnsi="宋体"/>
                <w:color w:val="auto"/>
                <w:kern w:val="0"/>
                <w:szCs w:val="21"/>
                <w:highlight w:val="none"/>
              </w:rPr>
            </w:pPr>
            <w:r>
              <w:rPr>
                <w:rFonts w:hint="eastAsia" w:ascii="宋体" w:hAnsi="宋体"/>
                <w:color w:val="auto"/>
                <w:kern w:val="0"/>
                <w:szCs w:val="21"/>
                <w:highlight w:val="none"/>
              </w:rPr>
              <w:t>第二年租赁费</w:t>
            </w:r>
          </w:p>
        </w:tc>
      </w:tr>
      <w:tr w14:paraId="338EF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 w:hRule="atLeast"/>
          <w:jc w:val="center"/>
        </w:trPr>
        <w:tc>
          <w:tcPr>
            <w:tcW w:w="212" w:type="pct"/>
            <w:vMerge w:val="continue"/>
            <w:vAlign w:val="center"/>
          </w:tcPr>
          <w:p w14:paraId="575EAEA4">
            <w:pPr>
              <w:rPr>
                <w:rFonts w:ascii="宋体" w:hAnsi="宋体"/>
                <w:color w:val="auto"/>
                <w:szCs w:val="21"/>
                <w:highlight w:val="none"/>
              </w:rPr>
            </w:pPr>
          </w:p>
        </w:tc>
        <w:tc>
          <w:tcPr>
            <w:tcW w:w="405" w:type="pct"/>
            <w:vMerge w:val="continue"/>
            <w:vAlign w:val="center"/>
          </w:tcPr>
          <w:p w14:paraId="4F34BE3B">
            <w:pPr>
              <w:widowControl/>
              <w:jc w:val="center"/>
              <w:rPr>
                <w:rFonts w:ascii="宋体" w:hAnsi="宋体"/>
                <w:bCs/>
                <w:color w:val="auto"/>
                <w:highlight w:val="none"/>
              </w:rPr>
            </w:pPr>
          </w:p>
        </w:tc>
        <w:tc>
          <w:tcPr>
            <w:tcW w:w="2248" w:type="pct"/>
            <w:vMerge w:val="continue"/>
            <w:vAlign w:val="center"/>
          </w:tcPr>
          <w:p w14:paraId="6D543DFE">
            <w:pPr>
              <w:widowControl/>
              <w:rPr>
                <w:rFonts w:ascii="宋体" w:hAnsi="宋体"/>
                <w:color w:val="auto"/>
                <w:kern w:val="0"/>
                <w:szCs w:val="21"/>
                <w:highlight w:val="none"/>
              </w:rPr>
            </w:pPr>
          </w:p>
        </w:tc>
        <w:tc>
          <w:tcPr>
            <w:tcW w:w="254" w:type="pct"/>
            <w:vAlign w:val="center"/>
          </w:tcPr>
          <w:p w14:paraId="02AB2969">
            <w:pPr>
              <w:widowControl/>
              <w:jc w:val="center"/>
              <w:rPr>
                <w:rFonts w:ascii="宋体" w:hAnsi="宋体"/>
                <w:color w:val="auto"/>
                <w:kern w:val="0"/>
                <w:szCs w:val="21"/>
                <w:highlight w:val="none"/>
              </w:rPr>
            </w:pPr>
            <w:r>
              <w:rPr>
                <w:rFonts w:hint="eastAsia" w:ascii="宋体" w:hAnsi="宋体"/>
                <w:color w:val="auto"/>
                <w:kern w:val="0"/>
                <w:szCs w:val="21"/>
                <w:highlight w:val="none"/>
              </w:rPr>
              <w:t>项</w:t>
            </w:r>
          </w:p>
        </w:tc>
        <w:tc>
          <w:tcPr>
            <w:tcW w:w="421" w:type="pct"/>
            <w:tcBorders>
              <w:right w:val="single" w:color="auto" w:sz="4" w:space="0"/>
            </w:tcBorders>
            <w:vAlign w:val="center"/>
          </w:tcPr>
          <w:p w14:paraId="23F7A7F4">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464" w:type="pct"/>
            <w:tcBorders>
              <w:left w:val="single" w:color="auto" w:sz="4" w:space="0"/>
            </w:tcBorders>
            <w:vAlign w:val="center"/>
          </w:tcPr>
          <w:p w14:paraId="59DFE5FB">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422</w:t>
            </w:r>
            <w:r>
              <w:rPr>
                <w:rFonts w:ascii="宋体" w:hAnsi="宋体"/>
                <w:color w:val="auto"/>
                <w:kern w:val="0"/>
                <w:szCs w:val="21"/>
                <w:highlight w:val="none"/>
              </w:rPr>
              <w:t>00</w:t>
            </w:r>
          </w:p>
        </w:tc>
        <w:tc>
          <w:tcPr>
            <w:tcW w:w="517" w:type="pct"/>
            <w:vAlign w:val="center"/>
          </w:tcPr>
          <w:p w14:paraId="60871CE8">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422</w:t>
            </w:r>
            <w:r>
              <w:rPr>
                <w:rFonts w:ascii="宋体" w:hAnsi="宋体"/>
                <w:color w:val="auto"/>
                <w:kern w:val="0"/>
                <w:szCs w:val="21"/>
                <w:highlight w:val="none"/>
              </w:rPr>
              <w:t>00</w:t>
            </w:r>
          </w:p>
        </w:tc>
        <w:tc>
          <w:tcPr>
            <w:tcW w:w="476" w:type="pct"/>
            <w:vAlign w:val="center"/>
          </w:tcPr>
          <w:p w14:paraId="017FAC07">
            <w:pPr>
              <w:widowControl/>
              <w:rPr>
                <w:rFonts w:ascii="宋体" w:hAnsi="宋体"/>
                <w:color w:val="auto"/>
                <w:kern w:val="0"/>
                <w:szCs w:val="21"/>
                <w:highlight w:val="none"/>
              </w:rPr>
            </w:pPr>
            <w:r>
              <w:rPr>
                <w:rFonts w:hint="eastAsia" w:ascii="宋体" w:hAnsi="宋体"/>
                <w:color w:val="auto"/>
                <w:kern w:val="0"/>
                <w:szCs w:val="21"/>
                <w:highlight w:val="none"/>
              </w:rPr>
              <w:t>第三年租赁费</w:t>
            </w:r>
          </w:p>
        </w:tc>
      </w:tr>
      <w:tr w14:paraId="006B7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7" w:hRule="atLeast"/>
          <w:jc w:val="center"/>
        </w:trPr>
        <w:tc>
          <w:tcPr>
            <w:tcW w:w="2866" w:type="pct"/>
            <w:gridSpan w:val="3"/>
            <w:vAlign w:val="center"/>
          </w:tcPr>
          <w:p w14:paraId="2E2C075E">
            <w:pPr>
              <w:jc w:val="center"/>
              <w:rPr>
                <w:rFonts w:ascii="宋体" w:hAnsi="宋体"/>
                <w:b/>
                <w:bCs/>
                <w:color w:val="auto"/>
                <w:highlight w:val="none"/>
              </w:rPr>
            </w:pPr>
            <w:r>
              <w:rPr>
                <w:rFonts w:hint="eastAsia" w:ascii="宋体" w:hAnsi="宋体"/>
                <w:b/>
                <w:bCs/>
                <w:color w:val="auto"/>
                <w:highlight w:val="none"/>
              </w:rPr>
              <w:t>合计（元）</w:t>
            </w:r>
          </w:p>
        </w:tc>
        <w:tc>
          <w:tcPr>
            <w:tcW w:w="2133" w:type="pct"/>
            <w:gridSpan w:val="5"/>
            <w:vAlign w:val="center"/>
          </w:tcPr>
          <w:p w14:paraId="4D0526CD">
            <w:pPr>
              <w:jc w:val="center"/>
              <w:rPr>
                <w:rFonts w:ascii="宋体" w:hAnsi="宋体"/>
                <w:b/>
                <w:bCs/>
                <w:color w:val="auto"/>
                <w:highlight w:val="none"/>
              </w:rPr>
            </w:pPr>
            <w:r>
              <w:rPr>
                <w:rFonts w:hint="eastAsia" w:ascii="宋体" w:hAnsi="宋体"/>
                <w:b/>
                <w:bCs/>
                <w:color w:val="auto"/>
                <w:highlight w:val="none"/>
              </w:rPr>
              <w:t>748000.00</w:t>
            </w:r>
          </w:p>
        </w:tc>
      </w:tr>
    </w:tbl>
    <w:p w14:paraId="3FC3CB66">
      <w:pPr>
        <w:spacing w:line="360" w:lineRule="auto"/>
        <w:jc w:val="left"/>
        <w:rPr>
          <w:rFonts w:ascii="宋体" w:hAnsi="宋体"/>
          <w:color w:val="auto"/>
          <w:szCs w:val="21"/>
          <w:highlight w:val="none"/>
        </w:rPr>
      </w:pPr>
      <w:r>
        <w:rPr>
          <w:rFonts w:hint="eastAsia" w:ascii="宋体" w:hAnsi="宋体"/>
          <w:color w:val="auto"/>
          <w:szCs w:val="21"/>
          <w:highlight w:val="none"/>
        </w:rPr>
        <w:t>注：1、供应商须对本项目所有的采购内容进行报价，不允许只对部分内容进行报价。</w:t>
      </w:r>
    </w:p>
    <w:p w14:paraId="56000FCB">
      <w:pPr>
        <w:spacing w:line="360" w:lineRule="auto"/>
        <w:jc w:val="left"/>
        <w:rPr>
          <w:rFonts w:ascii="宋体" w:hAnsi="宋体"/>
          <w:color w:val="auto"/>
          <w:szCs w:val="21"/>
          <w:highlight w:val="none"/>
        </w:rPr>
      </w:pPr>
      <w:r>
        <w:rPr>
          <w:rFonts w:hint="eastAsia" w:ascii="宋体" w:hAnsi="宋体"/>
          <w:color w:val="auto"/>
          <w:szCs w:val="21"/>
          <w:highlight w:val="none"/>
        </w:rPr>
        <w:t>2、</w:t>
      </w:r>
      <w:r>
        <w:rPr>
          <w:rFonts w:hint="eastAsia" w:ascii="宋体"/>
          <w:color w:val="auto"/>
          <w:szCs w:val="21"/>
          <w:highlight w:val="none"/>
        </w:rPr>
        <w:t>若要求提供证明材料的，须提供相应的证明材料，加盖投标人公章。</w:t>
      </w:r>
    </w:p>
    <w:p w14:paraId="4760DD63">
      <w:pPr>
        <w:spacing w:line="360" w:lineRule="auto"/>
        <w:jc w:val="left"/>
        <w:rPr>
          <w:rFonts w:ascii="宋体" w:hAnsi="宋体"/>
          <w:color w:val="auto"/>
          <w:szCs w:val="21"/>
          <w:highlight w:val="none"/>
        </w:rPr>
      </w:pPr>
      <w:r>
        <w:rPr>
          <w:rFonts w:hint="eastAsia" w:ascii="宋体" w:hAnsi="宋体"/>
          <w:color w:val="auto"/>
          <w:szCs w:val="21"/>
          <w:highlight w:val="none"/>
        </w:rPr>
        <w:t>3、投标（响应）报价包括：仓储、包装、运输及保险、安装及安装辅料，不收取额外费用装卸、调试、培训、随机附件、标配工具、货物正常使用所需的配件、质保期服务、一切技术服务和售后服务费用及合同实施执行过程中的不可预见费用等所有的含税费用。所有价格均应以人民币报价，金额单位为元。</w:t>
      </w:r>
    </w:p>
    <w:p w14:paraId="762CC33C">
      <w:pPr>
        <w:spacing w:line="360" w:lineRule="auto"/>
        <w:jc w:val="left"/>
        <w:rPr>
          <w:rFonts w:ascii="宋体" w:hAnsi="宋体"/>
          <w:color w:val="auto"/>
          <w:szCs w:val="21"/>
          <w:highlight w:val="none"/>
        </w:rPr>
      </w:pPr>
      <w:r>
        <w:rPr>
          <w:rFonts w:hint="eastAsia" w:ascii="宋体" w:hAnsi="宋体"/>
          <w:color w:val="auto"/>
          <w:szCs w:val="21"/>
          <w:highlight w:val="none"/>
        </w:rPr>
        <w:t>4、供应商总报价不能超过项目最高限价，否则均作无效投标处理。</w:t>
      </w:r>
    </w:p>
    <w:p w14:paraId="782D459A">
      <w:pPr>
        <w:spacing w:line="360" w:lineRule="auto"/>
        <w:jc w:val="left"/>
        <w:rPr>
          <w:rFonts w:ascii="宋体" w:hAnsi="宋体"/>
          <w:color w:val="auto"/>
          <w:szCs w:val="21"/>
          <w:highlight w:val="none"/>
        </w:rPr>
      </w:pPr>
      <w:r>
        <w:rPr>
          <w:rFonts w:hint="eastAsia" w:ascii="宋体" w:hAnsi="宋体"/>
          <w:color w:val="auto"/>
          <w:szCs w:val="21"/>
          <w:highlight w:val="none"/>
        </w:rPr>
        <w:t>5、供应商在响应“配置／技术参数、功能要求及附件”的过程中，应对其所有的内容要求进行响应；如有技术差异，则详细说明差异的内容。</w:t>
      </w:r>
    </w:p>
    <w:p w14:paraId="0423A5A0">
      <w:pPr>
        <w:spacing w:line="360" w:lineRule="auto"/>
        <w:ind w:firstLine="480"/>
        <w:jc w:val="left"/>
        <w:rPr>
          <w:rFonts w:ascii="宋体" w:hAnsi="宋体"/>
          <w:b/>
          <w:bCs/>
          <w:color w:val="auto"/>
          <w:sz w:val="24"/>
          <w:highlight w:val="none"/>
        </w:rPr>
      </w:pPr>
    </w:p>
    <w:p w14:paraId="48F05437">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三、技术要求</w:t>
      </w:r>
    </w:p>
    <w:p w14:paraId="0E99A02B">
      <w:pPr>
        <w:spacing w:line="420" w:lineRule="exact"/>
        <w:ind w:firstLine="422" w:firstLineChars="200"/>
        <w:rPr>
          <w:rFonts w:ascii="宋体" w:hAnsi="宋体"/>
          <w:color w:val="auto"/>
          <w:szCs w:val="21"/>
          <w:highlight w:val="none"/>
        </w:rPr>
      </w:pPr>
      <w:r>
        <w:rPr>
          <w:rFonts w:hint="eastAsia" w:ascii="宋体" w:hAnsi="宋体"/>
          <w:b/>
          <w:bCs/>
          <w:color w:val="auto"/>
          <w:szCs w:val="21"/>
          <w:highlight w:val="none"/>
        </w:rPr>
        <w:t>★1</w:t>
      </w:r>
      <w:r>
        <w:rPr>
          <w:rFonts w:ascii="宋体" w:hAnsi="宋体"/>
          <w:b/>
          <w:bCs/>
          <w:color w:val="auto"/>
          <w:szCs w:val="21"/>
          <w:highlight w:val="none"/>
        </w:rPr>
        <w:t>.</w:t>
      </w:r>
      <w:r>
        <w:rPr>
          <w:rFonts w:hint="eastAsia" w:ascii="宋体" w:hAnsi="宋体"/>
          <w:b/>
          <w:bCs/>
          <w:color w:val="auto"/>
          <w:szCs w:val="21"/>
          <w:highlight w:val="none"/>
        </w:rPr>
        <w:t>如提供的货物为国内生产的国外品牌产品，需提供厂家对于本项目的投标授权书原件及售后服务承诺书原件。</w:t>
      </w:r>
    </w:p>
    <w:p w14:paraId="4AC8971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2.本项目租赁费用为含税人民币报价，报价应包括租赁费、卸货运输费、安装调试费、人员培训费、售后服务等费用及税费。</w:t>
      </w:r>
    </w:p>
    <w:p w14:paraId="65E0AB8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rPr>
        <w:t>所租赁的</w:t>
      </w:r>
      <w:r>
        <w:rPr>
          <w:rFonts w:ascii="宋体" w:hAnsi="宋体"/>
          <w:color w:val="auto"/>
          <w:szCs w:val="21"/>
          <w:highlight w:val="none"/>
        </w:rPr>
        <w:t>设备及材料是原厂原装、</w:t>
      </w:r>
      <w:r>
        <w:rPr>
          <w:rFonts w:ascii="宋体" w:hAnsi="宋体"/>
          <w:b/>
          <w:color w:val="auto"/>
          <w:szCs w:val="21"/>
          <w:highlight w:val="none"/>
          <w:u w:val="single"/>
        </w:rPr>
        <w:t>全新的产品</w:t>
      </w:r>
      <w:r>
        <w:rPr>
          <w:rFonts w:ascii="宋体" w:hAnsi="宋体"/>
          <w:color w:val="auto"/>
          <w:szCs w:val="21"/>
          <w:highlight w:val="none"/>
        </w:rPr>
        <w:t>，并符合下列要求：国家标准、行业标准以及该产品的出厂标准</w:t>
      </w:r>
      <w:r>
        <w:rPr>
          <w:rFonts w:hint="eastAsia" w:ascii="宋体" w:hAnsi="宋体"/>
          <w:color w:val="auto"/>
          <w:szCs w:val="21"/>
          <w:highlight w:val="none"/>
        </w:rPr>
        <w:t>。</w:t>
      </w:r>
    </w:p>
    <w:p w14:paraId="6D4B966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4.服务要求</w:t>
      </w:r>
    </w:p>
    <w:p w14:paraId="7733A0D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（1）供应商应在所租赁的设备调试安装好后组织采购人使用人员进行使用及日常维护等的培训。  </w:t>
      </w:r>
    </w:p>
    <w:p w14:paraId="3E0B7ED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（2）供应商应指派专人负责与采购人联系售后服务事宜。 </w:t>
      </w:r>
    </w:p>
    <w:p w14:paraId="57624AB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（3）培训及维修服务：安装调试与人员培训，供应商应及时安装调试设备，安装调试期间采购人的使用人员协助配合；安装调试完毕，供应商需组织采购人使用人员进行使用及日常维护等的培训； </w:t>
      </w:r>
    </w:p>
    <w:p w14:paraId="3E65216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（4）租赁期内，供应商必须在本校有售后服务点，有专人负责与用户联系售后服务事宜。无论设备因何种原因发生何种故障，供应商在接到维修通知后，须在2小时内响应，4小时内到达现场，8小时解决问题，若 </w:t>
      </w:r>
      <w:r>
        <w:rPr>
          <w:rFonts w:ascii="宋体" w:hAnsi="宋体"/>
          <w:color w:val="auto"/>
          <w:szCs w:val="21"/>
          <w:highlight w:val="none"/>
        </w:rPr>
        <w:t>48</w:t>
      </w:r>
      <w:r>
        <w:rPr>
          <w:rFonts w:hint="eastAsia" w:ascii="宋体" w:hAnsi="宋体"/>
          <w:color w:val="auto"/>
          <w:szCs w:val="21"/>
          <w:highlight w:val="none"/>
        </w:rPr>
        <w:t>小时内无法解决问题，则供应商应提供不低于同档次的产品供采购人使用。</w:t>
      </w:r>
    </w:p>
    <w:p w14:paraId="3A2F314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5.验收要求</w:t>
      </w:r>
    </w:p>
    <w:p w14:paraId="7F2B9B64">
      <w:pPr>
        <w:spacing w:line="360" w:lineRule="auto"/>
        <w:ind w:firstLine="420" w:firstLineChars="200"/>
        <w:rPr>
          <w:color w:val="auto"/>
          <w:highlight w:val="none"/>
        </w:rPr>
      </w:pPr>
      <w:r>
        <w:rPr>
          <w:rFonts w:hint="eastAsia"/>
          <w:color w:val="auto"/>
          <w:highlight w:val="none"/>
        </w:rPr>
        <w:t>（1）</w:t>
      </w:r>
      <w:r>
        <w:rPr>
          <w:color w:val="auto"/>
          <w:highlight w:val="none"/>
        </w:rPr>
        <w:t xml:space="preserve">货物应为原制造商制造的全新产品，整体无污染，无侵权行为、表面无划损、无任何缺陷隐患，在中国境内可依常规安全合法使用。        </w:t>
      </w:r>
    </w:p>
    <w:p w14:paraId="07FE6FDF">
      <w:pPr>
        <w:spacing w:line="360" w:lineRule="auto"/>
        <w:ind w:firstLine="420" w:firstLineChars="200"/>
        <w:rPr>
          <w:color w:val="auto"/>
          <w:highlight w:val="none"/>
        </w:rPr>
      </w:pPr>
      <w:r>
        <w:rPr>
          <w:rFonts w:hint="eastAsia"/>
          <w:color w:val="auto"/>
          <w:highlight w:val="none"/>
        </w:rPr>
        <w:t>（2）</w:t>
      </w:r>
      <w:r>
        <w:rPr>
          <w:color w:val="auto"/>
          <w:highlight w:val="none"/>
        </w:rPr>
        <w:t xml:space="preserve">货物应为原厂商未启封全新包装，具出厂合格证，序列号、包装箱号与出厂批号一致，并可追索查阅。所有随货物的附件必须齐全。 </w:t>
      </w:r>
    </w:p>
    <w:p w14:paraId="47D43950">
      <w:pPr>
        <w:spacing w:line="360" w:lineRule="auto"/>
        <w:ind w:firstLine="420" w:firstLineChars="200"/>
        <w:rPr>
          <w:color w:val="auto"/>
          <w:highlight w:val="none"/>
        </w:rPr>
      </w:pPr>
      <w:r>
        <w:rPr>
          <w:rFonts w:hint="eastAsia"/>
          <w:color w:val="auto"/>
          <w:highlight w:val="none"/>
        </w:rPr>
        <w:t>（3）</w:t>
      </w:r>
      <w:r>
        <w:rPr>
          <w:color w:val="auto"/>
          <w:highlight w:val="none"/>
        </w:rPr>
        <w:t xml:space="preserve">供应商应将关键货物的使用手册、保修手册、有关单证资料及配备件、随机工具等交付给采购人，使用操作及安全须知等重要资料应附有中文说明。 </w:t>
      </w:r>
    </w:p>
    <w:p w14:paraId="730E9351">
      <w:pPr>
        <w:spacing w:line="360" w:lineRule="auto"/>
        <w:ind w:firstLine="420" w:firstLineChars="200"/>
        <w:rPr>
          <w:rFonts w:ascii="宋体" w:hAnsi="宋体"/>
          <w:color w:val="auto"/>
          <w:szCs w:val="21"/>
          <w:highlight w:val="none"/>
        </w:rPr>
      </w:pPr>
      <w:r>
        <w:rPr>
          <w:rFonts w:hint="eastAsia"/>
          <w:color w:val="auto"/>
          <w:highlight w:val="none"/>
        </w:rPr>
        <w:t>（4）</w:t>
      </w:r>
      <w:r>
        <w:rPr>
          <w:color w:val="auto"/>
          <w:highlight w:val="none"/>
        </w:rPr>
        <w:t xml:space="preserve">采购人 10 个工作日内组成验收小组，按国家有关规定规范进行验收，若无国家标准按行业标准验收，必要时邀请相关专业人员或机构参与验收。因货物质量问题发生争议时，由采购人当地质量技术监督部门鉴定。货物符合质量技术标准的，鉴定费由采购人承担；否则鉴定费由供应商承担。 </w:t>
      </w:r>
    </w:p>
    <w:p w14:paraId="134FE43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其他要求</w:t>
      </w:r>
    </w:p>
    <w:p w14:paraId="7C7D1F4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1）供应商与采购人双方确定仪器租赁关系之日起，双方应对设备的质量共同确认，供应商为采购人提供设备操作培训和技术咨询，指导采购人工作人员按规范操作设备，租赁期间由供应商负责正常的维修保养及普通故障的排除。 </w:t>
      </w:r>
    </w:p>
    <w:p w14:paraId="553789D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（2）供应商租赁服务提供的仪器必须是原厂原装的新设备。 </w:t>
      </w:r>
    </w:p>
    <w:p w14:paraId="498E5B4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3）租赁设备期间，设备所有权为供应商所有，供应商须定期到采购人现场对设备进行维护保养或指导用户人员进行维护保养。如果采购人自己使用不当或人为因素损坏，导致租赁期间出现故障或受损无法使用时，采购人不得自行拆机维修，应返回供应商维修，费用由采购人承担。非人为因素损坏情况下，将由供应商免费提供设备维修，维修时间超过一周后，供应商应提供替代设备供采购人使用；每年维修时间超过 5个工作日后，用户单位有权从租金中扣除相应的费用。 </w:t>
      </w:r>
    </w:p>
    <w:p w14:paraId="696E190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（4）仪器租赁期间，用户单位享有仪器的全部使用权，但不得转让或作为财产抵押，未经供应商同意亦不得拆卸仪器，供应商未经用户单位同意，不得将设备收回或转租第三方。 </w:t>
      </w:r>
    </w:p>
    <w:p w14:paraId="5E1CFF2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（5）采购人保证不侵犯供应商在其产品上的专利权、商标权、专有技术及产品相关资料的版权。 </w:t>
      </w:r>
    </w:p>
    <w:p w14:paraId="20B7C7B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（6）租赁期结束之日起，供应商10个工作日内自行至采购人处取回设备，逾期视为同意采购人有权自行处置相关设备。</w:t>
      </w:r>
    </w:p>
    <w:p w14:paraId="411B5E4F">
      <w:pPr>
        <w:spacing w:line="360" w:lineRule="auto"/>
        <w:rPr>
          <w:rFonts w:ascii="宋体" w:hAnsi="宋体"/>
          <w:color w:val="auto"/>
          <w:szCs w:val="21"/>
          <w:highlight w:val="none"/>
        </w:rPr>
      </w:pPr>
    </w:p>
    <w:p w14:paraId="206E7B0E">
      <w:pPr>
        <w:spacing w:line="360" w:lineRule="auto"/>
        <w:ind w:firstLine="482"/>
        <w:jc w:val="left"/>
        <w:rPr>
          <w:rFonts w:ascii="宋体" w:hAnsi="宋体"/>
          <w:b/>
          <w:bCs/>
          <w:color w:val="auto"/>
          <w:sz w:val="24"/>
          <w:highlight w:val="none"/>
        </w:rPr>
      </w:pPr>
      <w:r>
        <w:rPr>
          <w:rFonts w:hint="eastAsia" w:ascii="宋体" w:hAnsi="宋体"/>
          <w:b/>
          <w:bCs/>
          <w:color w:val="auto"/>
          <w:sz w:val="24"/>
          <w:highlight w:val="none"/>
        </w:rPr>
        <w:t>四、商务要求</w:t>
      </w:r>
    </w:p>
    <w:p w14:paraId="0AB82F4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1.质量保证</w:t>
      </w:r>
    </w:p>
    <w:p w14:paraId="5036842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（1）供应商应保证提供的服务质量指标达到相应的国家标准，行业标准及供应商在本招标活动中提交并确定遵照的有关标准及技术要求。 </w:t>
      </w:r>
    </w:p>
    <w:p w14:paraId="08D8D92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（2）供应商应保证所供服务没有质量或工艺上的缺陷。 </w:t>
      </w:r>
    </w:p>
    <w:p w14:paraId="55E514F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（3）供应商应保证提供的服务不侵犯任何第三方的专利、商标或版权。否则，供应商承担对第三方的专利或版权的侵权责任并承担因此而发生的所有费用。</w:t>
      </w:r>
    </w:p>
    <w:p w14:paraId="5A90B8D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2.服务时间及要求 </w:t>
      </w:r>
    </w:p>
    <w:p w14:paraId="34679DB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（1）服务时间：合同签订后30个工作日内完成租赁货物的供货、安装、调试、交付使用，并在合同生效后5年内提供租赁服务。 </w:t>
      </w:r>
    </w:p>
    <w:p w14:paraId="091C923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（2）服务地点：广东海洋大学校内采购人指定地点。</w:t>
      </w:r>
    </w:p>
    <w:p w14:paraId="0BFDA01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3.付款方式 </w:t>
      </w:r>
    </w:p>
    <w:p w14:paraId="37C61C5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本项目仪器到位、安装、调试完毕，并经采购人组织相关专业技术人员与职能部门验收合格后10个工作日内，采购人向成交供应商支付第一年租赁费用；设备租用满一年后10个工作日内采购人向成交供应商支付第二年租赁费用；设备租用满二年后10个工作日内采购人向成交供应商支付第三年租赁费用。</w:t>
      </w:r>
    </w:p>
    <w:p w14:paraId="6909DBB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（2）每笔款项支付前，供应商需向采购人提供相应金额的发票。 </w:t>
      </w:r>
    </w:p>
    <w:p w14:paraId="32DCC45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若因采购人使用的是财政资金，前款规定的付款时间为采购人向政府采购支付部门提出办理财政支付申请手续的时间（不含政府财政支付部门审核的时间），采购人在规定时间内提出支付申请手续后即视为采购人已经按期支付。</w:t>
      </w:r>
    </w:p>
    <w:p w14:paraId="43FBC341">
      <w:pPr>
        <w:ind w:firstLine="420" w:firstLineChars="200"/>
        <w:rPr>
          <w:rFonts w:ascii="宋体" w:hAnsi="宋体"/>
          <w:color w:val="auto"/>
          <w:szCs w:val="21"/>
          <w:highlight w:val="none"/>
        </w:rPr>
      </w:pPr>
    </w:p>
    <w:p w14:paraId="4642D19F">
      <w:pPr>
        <w:ind w:firstLine="420" w:firstLineChars="200"/>
        <w:rPr>
          <w:rFonts w:ascii="宋体" w:hAnsi="宋体"/>
          <w:color w:val="auto"/>
          <w:szCs w:val="21"/>
          <w:highlight w:val="none"/>
        </w:rPr>
      </w:pPr>
    </w:p>
    <w:p w14:paraId="41206205">
      <w:pPr>
        <w:ind w:firstLine="420" w:firstLineChars="200"/>
        <w:rPr>
          <w:rFonts w:ascii="宋体" w:hAnsi="宋体"/>
          <w:color w:val="auto"/>
          <w:szCs w:val="21"/>
          <w:highlight w:val="none"/>
        </w:rPr>
      </w:pPr>
    </w:p>
    <w:p w14:paraId="0E43D3D6">
      <w:pPr>
        <w:ind w:firstLine="420" w:firstLineChars="200"/>
        <w:rPr>
          <w:rFonts w:ascii="宋体" w:hAnsi="宋体"/>
          <w:color w:val="auto"/>
          <w:szCs w:val="21"/>
          <w:highlight w:val="none"/>
        </w:rPr>
      </w:pPr>
    </w:p>
    <w:p w14:paraId="78ECDFB9">
      <w:pPr>
        <w:ind w:firstLine="420" w:firstLineChars="200"/>
        <w:rPr>
          <w:rFonts w:ascii="宋体" w:hAnsi="宋体"/>
          <w:color w:val="auto"/>
          <w:szCs w:val="21"/>
          <w:highlight w:val="none"/>
        </w:rPr>
      </w:pPr>
    </w:p>
    <w:p w14:paraId="32E9E10A">
      <w:pPr>
        <w:ind w:firstLine="420" w:firstLineChars="200"/>
        <w:rPr>
          <w:rFonts w:ascii="宋体" w:hAnsi="宋体"/>
          <w:color w:val="auto"/>
          <w:szCs w:val="21"/>
          <w:highlight w:val="none"/>
        </w:rPr>
      </w:pPr>
    </w:p>
    <w:p w14:paraId="638B9C8C">
      <w:pPr>
        <w:spacing w:line="360" w:lineRule="auto"/>
        <w:ind w:firstLine="420" w:firstLineChars="200"/>
        <w:rPr>
          <w:rFonts w:ascii="宋体" w:hAnsi="宋体"/>
          <w:color w:val="auto"/>
          <w:szCs w:val="21"/>
          <w:highlight w:val="none"/>
        </w:rPr>
      </w:pPr>
    </w:p>
    <w:p w14:paraId="25BA0522">
      <w:pPr>
        <w:pStyle w:val="47"/>
        <w:ind w:firstLine="210"/>
        <w:rPr>
          <w:color w:val="auto"/>
          <w:szCs w:val="21"/>
          <w:highlight w:val="none"/>
        </w:rPr>
      </w:pPr>
      <w:r>
        <w:rPr>
          <w:color w:val="auto"/>
          <w:szCs w:val="21"/>
          <w:highlight w:val="none"/>
        </w:rPr>
        <w:br w:type="page"/>
      </w:r>
    </w:p>
    <w:p w14:paraId="49E35CB8">
      <w:pPr>
        <w:pStyle w:val="47"/>
        <w:ind w:firstLine="210"/>
        <w:rPr>
          <w:color w:val="auto"/>
          <w:szCs w:val="21"/>
          <w:highlight w:val="none"/>
        </w:rPr>
      </w:pPr>
    </w:p>
    <w:p w14:paraId="3521288D">
      <w:pPr>
        <w:pStyle w:val="47"/>
        <w:ind w:firstLine="210"/>
        <w:rPr>
          <w:color w:val="auto"/>
          <w:szCs w:val="21"/>
          <w:highlight w:val="none"/>
        </w:rPr>
      </w:pPr>
    </w:p>
    <w:p w14:paraId="6C02174D">
      <w:pPr>
        <w:pStyle w:val="47"/>
        <w:ind w:firstLine="210"/>
        <w:rPr>
          <w:color w:val="auto"/>
          <w:szCs w:val="21"/>
          <w:highlight w:val="none"/>
        </w:rPr>
      </w:pPr>
    </w:p>
    <w:p w14:paraId="75BA32FB">
      <w:pPr>
        <w:pStyle w:val="47"/>
        <w:ind w:firstLine="210"/>
        <w:rPr>
          <w:color w:val="auto"/>
          <w:szCs w:val="21"/>
          <w:highlight w:val="none"/>
        </w:rPr>
      </w:pPr>
    </w:p>
    <w:p w14:paraId="414374C0">
      <w:pPr>
        <w:pStyle w:val="47"/>
        <w:ind w:firstLine="210"/>
        <w:rPr>
          <w:color w:val="auto"/>
          <w:szCs w:val="21"/>
          <w:highlight w:val="none"/>
        </w:rPr>
      </w:pPr>
    </w:p>
    <w:p w14:paraId="4F012766">
      <w:pPr>
        <w:pStyle w:val="47"/>
        <w:ind w:firstLine="210"/>
        <w:rPr>
          <w:color w:val="auto"/>
          <w:szCs w:val="21"/>
          <w:highlight w:val="none"/>
        </w:rPr>
      </w:pPr>
    </w:p>
    <w:p w14:paraId="06F3AD3B">
      <w:pPr>
        <w:pStyle w:val="47"/>
        <w:ind w:firstLine="210"/>
        <w:rPr>
          <w:color w:val="auto"/>
          <w:szCs w:val="21"/>
          <w:highlight w:val="none"/>
        </w:rPr>
      </w:pPr>
    </w:p>
    <w:p w14:paraId="51B04F43">
      <w:pPr>
        <w:pStyle w:val="47"/>
        <w:ind w:firstLine="210"/>
        <w:rPr>
          <w:color w:val="auto"/>
          <w:szCs w:val="21"/>
          <w:highlight w:val="none"/>
        </w:rPr>
      </w:pPr>
    </w:p>
    <w:p w14:paraId="1CD1BA12">
      <w:pPr>
        <w:pStyle w:val="47"/>
        <w:ind w:firstLine="210"/>
        <w:rPr>
          <w:color w:val="auto"/>
          <w:szCs w:val="21"/>
          <w:highlight w:val="none"/>
        </w:rPr>
      </w:pPr>
    </w:p>
    <w:p w14:paraId="01B0EB03">
      <w:pPr>
        <w:pStyle w:val="47"/>
        <w:ind w:firstLine="210"/>
        <w:rPr>
          <w:color w:val="auto"/>
          <w:szCs w:val="21"/>
          <w:highlight w:val="none"/>
        </w:rPr>
      </w:pPr>
    </w:p>
    <w:p w14:paraId="52848329">
      <w:pPr>
        <w:pStyle w:val="47"/>
        <w:ind w:firstLine="210"/>
        <w:rPr>
          <w:color w:val="auto"/>
          <w:szCs w:val="21"/>
          <w:highlight w:val="none"/>
        </w:rPr>
      </w:pPr>
    </w:p>
    <w:bookmarkEnd w:id="338"/>
    <w:p w14:paraId="6DFFCCC2">
      <w:pPr>
        <w:pStyle w:val="3"/>
        <w:ind w:firstLine="1044"/>
        <w:rPr>
          <w:rFonts w:ascii="宋体" w:hAnsi="宋体" w:eastAsia="宋体"/>
          <w:color w:val="auto"/>
          <w:highlight w:val="none"/>
        </w:rPr>
      </w:pPr>
      <w:bookmarkStart w:id="348" w:name="_Toc70528451"/>
      <w:bookmarkStart w:id="349" w:name="_Toc694"/>
      <w:bookmarkStart w:id="350" w:name="_Toc24835"/>
      <w:bookmarkStart w:id="351" w:name="_Toc23565"/>
      <w:bookmarkStart w:id="352" w:name="_Toc276645576"/>
      <w:bookmarkStart w:id="353" w:name="_Toc9295"/>
      <w:bookmarkStart w:id="354" w:name="_Toc70528478"/>
      <w:bookmarkStart w:id="355" w:name="_Toc67046891"/>
      <w:bookmarkStart w:id="356" w:name="_Toc10217"/>
      <w:bookmarkStart w:id="357" w:name="_Toc68789524"/>
      <w:bookmarkStart w:id="358" w:name="_Toc30607"/>
      <w:bookmarkStart w:id="359" w:name="_Toc8587"/>
      <w:bookmarkStart w:id="360" w:name="_Toc31498"/>
      <w:bookmarkStart w:id="361" w:name="_Hlk67928741"/>
      <w:r>
        <w:rPr>
          <w:rFonts w:hint="eastAsia" w:ascii="宋体" w:hAnsi="宋体" w:eastAsia="宋体"/>
          <w:color w:val="auto"/>
          <w:highlight w:val="none"/>
        </w:rPr>
        <w:t>第五部分 格式文件</w:t>
      </w:r>
      <w:bookmarkEnd w:id="348"/>
      <w:bookmarkEnd w:id="349"/>
      <w:bookmarkEnd w:id="350"/>
      <w:bookmarkEnd w:id="351"/>
      <w:bookmarkEnd w:id="352"/>
      <w:bookmarkEnd w:id="353"/>
      <w:bookmarkEnd w:id="354"/>
      <w:bookmarkEnd w:id="355"/>
      <w:bookmarkEnd w:id="356"/>
      <w:bookmarkEnd w:id="357"/>
      <w:bookmarkEnd w:id="358"/>
      <w:bookmarkEnd w:id="359"/>
      <w:bookmarkEnd w:id="360"/>
    </w:p>
    <w:p w14:paraId="2C562D8D">
      <w:pPr>
        <w:jc w:val="center"/>
        <w:rPr>
          <w:color w:val="auto"/>
          <w:highlight w:val="none"/>
        </w:rPr>
      </w:pPr>
      <w:r>
        <w:rPr>
          <w:color w:val="auto"/>
          <w:highlight w:val="none"/>
        </w:rPr>
        <w:br w:type="page"/>
      </w:r>
      <w:bookmarkStart w:id="362" w:name="_Toc27987"/>
      <w:bookmarkStart w:id="363" w:name="_Toc2804"/>
      <w:bookmarkStart w:id="364" w:name="_Toc20708"/>
      <w:bookmarkStart w:id="365" w:name="_Toc70528452"/>
      <w:bookmarkStart w:id="366" w:name="_Toc222"/>
      <w:bookmarkStart w:id="367" w:name="_Toc28589"/>
      <w:bookmarkStart w:id="368" w:name="_Toc219"/>
      <w:bookmarkStart w:id="369" w:name="_Toc24167"/>
      <w:bookmarkStart w:id="370" w:name="_Toc23131"/>
    </w:p>
    <w:p w14:paraId="6B13ECD4">
      <w:pPr>
        <w:jc w:val="center"/>
        <w:rPr>
          <w:color w:val="auto"/>
          <w:highlight w:val="none"/>
        </w:rPr>
      </w:pPr>
    </w:p>
    <w:p w14:paraId="3E9FE5A4">
      <w:pPr>
        <w:pStyle w:val="5"/>
        <w:ind w:firstLine="640"/>
        <w:jc w:val="center"/>
        <w:rPr>
          <w:rFonts w:ascii="宋体" w:hAnsi="宋体" w:eastAsia="宋体"/>
          <w:color w:val="auto"/>
          <w:highlight w:val="none"/>
        </w:rPr>
      </w:pPr>
      <w:r>
        <w:rPr>
          <w:rFonts w:hint="eastAsia" w:ascii="宋体" w:hAnsi="宋体" w:eastAsia="宋体"/>
          <w:color w:val="auto"/>
          <w:highlight w:val="none"/>
        </w:rPr>
        <w:t>第一节  合同书格式</w:t>
      </w:r>
      <w:bookmarkEnd w:id="362"/>
      <w:bookmarkEnd w:id="363"/>
      <w:bookmarkEnd w:id="364"/>
      <w:bookmarkEnd w:id="365"/>
      <w:bookmarkEnd w:id="366"/>
      <w:bookmarkEnd w:id="367"/>
      <w:bookmarkEnd w:id="368"/>
      <w:bookmarkEnd w:id="369"/>
      <w:bookmarkEnd w:id="370"/>
    </w:p>
    <w:bookmarkEnd w:id="339"/>
    <w:bookmarkEnd w:id="340"/>
    <w:bookmarkEnd w:id="361"/>
    <w:p w14:paraId="1710859D">
      <w:pPr>
        <w:spacing w:before="12"/>
        <w:ind w:firstLine="480"/>
        <w:rPr>
          <w:b/>
          <w:bCs/>
          <w:color w:val="auto"/>
          <w:sz w:val="24"/>
          <w:highlight w:val="none"/>
        </w:rPr>
      </w:pPr>
      <w:bookmarkStart w:id="371" w:name="_Toc68789539"/>
      <w:bookmarkStart w:id="372" w:name="_Toc276645578"/>
      <w:bookmarkStart w:id="373" w:name="_Toc67046893"/>
      <w:bookmarkStart w:id="374" w:name="_Toc70528467"/>
      <w:bookmarkStart w:id="375" w:name="_Toc199652098"/>
      <w:bookmarkStart w:id="376" w:name="_Toc201977165"/>
    </w:p>
    <w:p w14:paraId="3D6822FC">
      <w:pPr>
        <w:ind w:firstLine="480"/>
        <w:rPr>
          <w:b/>
          <w:bCs/>
          <w:color w:val="auto"/>
          <w:sz w:val="24"/>
          <w:highlight w:val="none"/>
        </w:rPr>
      </w:pPr>
    </w:p>
    <w:p w14:paraId="3FED08ED">
      <w:pPr>
        <w:wordWrap w:val="0"/>
        <w:ind w:firstLine="562"/>
        <w:jc w:val="right"/>
        <w:rPr>
          <w:color w:val="auto"/>
          <w:sz w:val="32"/>
          <w:szCs w:val="32"/>
          <w:highlight w:val="none"/>
          <w:u w:val="single"/>
        </w:rPr>
      </w:pPr>
      <w:r>
        <w:rPr>
          <w:rFonts w:hint="eastAsia"/>
          <w:color w:val="auto"/>
          <w:sz w:val="28"/>
          <w:szCs w:val="28"/>
          <w:highlight w:val="none"/>
        </w:rPr>
        <w:t xml:space="preserve">  合同编号：</w:t>
      </w:r>
      <w:r>
        <w:rPr>
          <w:rFonts w:hint="eastAsia" w:ascii="宋体" w:hAnsi="宋体" w:cs="宋体"/>
          <w:bCs/>
          <w:color w:val="auto"/>
          <w:sz w:val="28"/>
          <w:szCs w:val="28"/>
          <w:highlight w:val="none"/>
          <w:u w:val="single"/>
        </w:rPr>
        <w:t xml:space="preserve">            </w:t>
      </w:r>
    </w:p>
    <w:p w14:paraId="3C54B636">
      <w:pPr>
        <w:ind w:firstLine="643"/>
        <w:jc w:val="right"/>
        <w:rPr>
          <w:color w:val="auto"/>
          <w:sz w:val="32"/>
          <w:szCs w:val="32"/>
          <w:highlight w:val="none"/>
          <w:u w:val="single"/>
        </w:rPr>
      </w:pPr>
    </w:p>
    <w:p w14:paraId="2E5A9F5C">
      <w:pPr>
        <w:ind w:firstLine="643"/>
        <w:jc w:val="right"/>
        <w:rPr>
          <w:color w:val="auto"/>
          <w:sz w:val="32"/>
          <w:szCs w:val="32"/>
          <w:highlight w:val="none"/>
          <w:u w:val="single"/>
        </w:rPr>
      </w:pPr>
    </w:p>
    <w:p w14:paraId="58D50B62">
      <w:pPr>
        <w:ind w:firstLine="643"/>
        <w:rPr>
          <w:color w:val="auto"/>
          <w:sz w:val="32"/>
          <w:szCs w:val="32"/>
          <w:highlight w:val="none"/>
          <w:u w:val="single"/>
        </w:rPr>
      </w:pPr>
    </w:p>
    <w:p w14:paraId="246404B2">
      <w:pPr>
        <w:ind w:firstLine="1044"/>
        <w:jc w:val="center"/>
        <w:rPr>
          <w:color w:val="auto"/>
          <w:sz w:val="52"/>
          <w:szCs w:val="52"/>
          <w:highlight w:val="none"/>
        </w:rPr>
      </w:pPr>
      <w:r>
        <w:rPr>
          <w:rFonts w:hint="eastAsia"/>
          <w:color w:val="auto"/>
          <w:sz w:val="52"/>
          <w:szCs w:val="52"/>
          <w:highlight w:val="none"/>
        </w:rPr>
        <w:t>广东海洋大学</w:t>
      </w:r>
    </w:p>
    <w:p w14:paraId="7E805686">
      <w:pPr>
        <w:ind w:firstLine="1044"/>
        <w:jc w:val="center"/>
        <w:rPr>
          <w:color w:val="auto"/>
          <w:sz w:val="84"/>
          <w:szCs w:val="84"/>
          <w:highlight w:val="none"/>
        </w:rPr>
      </w:pPr>
      <w:r>
        <w:rPr>
          <w:rFonts w:hint="eastAsia"/>
          <w:color w:val="auto"/>
          <w:sz w:val="52"/>
          <w:szCs w:val="52"/>
          <w:highlight w:val="none"/>
        </w:rPr>
        <w:t>校内采购合同</w:t>
      </w:r>
    </w:p>
    <w:p w14:paraId="11D00908">
      <w:pPr>
        <w:rPr>
          <w:color w:val="auto"/>
          <w:highlight w:val="none"/>
        </w:rPr>
      </w:pPr>
    </w:p>
    <w:p w14:paraId="1BDEFA5D">
      <w:pPr>
        <w:rPr>
          <w:color w:val="auto"/>
          <w:highlight w:val="none"/>
        </w:rPr>
      </w:pPr>
    </w:p>
    <w:p w14:paraId="02B92852">
      <w:pPr>
        <w:rPr>
          <w:color w:val="auto"/>
          <w:highlight w:val="none"/>
        </w:rPr>
      </w:pPr>
    </w:p>
    <w:p w14:paraId="61054DDF">
      <w:pPr>
        <w:ind w:firstLine="643" w:firstLineChars="200"/>
        <w:rPr>
          <w:rFonts w:ascii="宋体" w:hAnsi="宋体" w:cs="宋体"/>
          <w:b/>
          <w:color w:val="auto"/>
          <w:sz w:val="32"/>
          <w:szCs w:val="32"/>
          <w:highlight w:val="none"/>
          <w:u w:val="single"/>
        </w:rPr>
      </w:pPr>
    </w:p>
    <w:p w14:paraId="2B18E8DE">
      <w:pPr>
        <w:ind w:firstLine="640"/>
        <w:rPr>
          <w:rFonts w:ascii="宋体" w:hAnsi="宋体" w:cs="宋体"/>
          <w:b/>
          <w:color w:val="auto"/>
          <w:sz w:val="32"/>
          <w:szCs w:val="32"/>
          <w:highlight w:val="none"/>
        </w:rPr>
      </w:pPr>
    </w:p>
    <w:p w14:paraId="416E47BA">
      <w:pPr>
        <w:ind w:left="2043" w:leftChars="304" w:right="210" w:rightChars="100" w:hanging="1405" w:hangingChars="500"/>
        <w:rPr>
          <w:rFonts w:ascii="宋体" w:hAnsi="宋体" w:cs="宋体"/>
          <w:bCs/>
          <w:color w:val="auto"/>
          <w:sz w:val="28"/>
          <w:szCs w:val="28"/>
          <w:highlight w:val="none"/>
          <w:u w:val="single"/>
        </w:rPr>
      </w:pPr>
      <w:r>
        <w:rPr>
          <w:rFonts w:hint="eastAsia" w:ascii="宋体" w:hAnsi="宋体" w:cs="宋体"/>
          <w:b/>
          <w:color w:val="auto"/>
          <w:sz w:val="28"/>
          <w:szCs w:val="28"/>
          <w:highlight w:val="none"/>
        </w:rPr>
        <w:t>项目名称：</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p>
    <w:p w14:paraId="0A4F27A8">
      <w:pPr>
        <w:ind w:left="2043" w:leftChars="304" w:right="210" w:rightChars="100" w:hanging="1405" w:hangingChars="500"/>
        <w:rPr>
          <w:rFonts w:ascii="宋体" w:hAnsi="宋体" w:cs="宋体"/>
          <w:b/>
          <w:color w:val="auto"/>
          <w:sz w:val="28"/>
          <w:szCs w:val="28"/>
          <w:highlight w:val="none"/>
        </w:rPr>
      </w:pPr>
      <w:r>
        <w:rPr>
          <w:rFonts w:hint="eastAsia" w:ascii="宋体" w:hAnsi="宋体" w:cs="宋体"/>
          <w:b/>
          <w:color w:val="auto"/>
          <w:sz w:val="28"/>
          <w:szCs w:val="28"/>
          <w:highlight w:val="none"/>
        </w:rPr>
        <w:t>项目编号：</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rPr>
        <w:t xml:space="preserve"> </w:t>
      </w:r>
    </w:p>
    <w:p w14:paraId="4C461D79">
      <w:pPr>
        <w:ind w:left="2043" w:leftChars="304" w:right="210" w:rightChars="100" w:hanging="1405" w:hangingChars="500"/>
        <w:rPr>
          <w:rFonts w:ascii="宋体" w:hAnsi="宋体" w:cs="宋体"/>
          <w:bCs/>
          <w:color w:val="auto"/>
          <w:sz w:val="28"/>
          <w:szCs w:val="28"/>
          <w:highlight w:val="none"/>
          <w:u w:val="single"/>
        </w:rPr>
      </w:pPr>
      <w:r>
        <w:rPr>
          <w:rFonts w:hint="eastAsia" w:ascii="宋体" w:hAnsi="宋体" w:cs="宋体"/>
          <w:b/>
          <w:color w:val="auto"/>
          <w:sz w:val="28"/>
          <w:szCs w:val="28"/>
          <w:highlight w:val="none"/>
        </w:rPr>
        <w:t>采购方式：</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p>
    <w:p w14:paraId="5CCE3005">
      <w:pPr>
        <w:ind w:left="2043" w:leftChars="304" w:right="210" w:rightChars="100" w:hanging="1405" w:hangingChars="500"/>
        <w:rPr>
          <w:rFonts w:ascii="宋体" w:hAnsi="宋体" w:cs="宋体"/>
          <w:bCs/>
          <w:color w:val="auto"/>
          <w:sz w:val="28"/>
          <w:szCs w:val="28"/>
          <w:highlight w:val="none"/>
          <w:u w:val="single"/>
        </w:rPr>
      </w:pPr>
      <w:r>
        <w:rPr>
          <w:rFonts w:hint="eastAsia" w:ascii="宋体" w:hAnsi="宋体" w:cs="宋体"/>
          <w:b/>
          <w:color w:val="auto"/>
          <w:sz w:val="28"/>
          <w:szCs w:val="28"/>
          <w:highlight w:val="none"/>
        </w:rPr>
        <w:t>使用部门：</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p>
    <w:p w14:paraId="58F66362">
      <w:pPr>
        <w:ind w:right="210" w:rightChars="100" w:firstLine="562"/>
        <w:rPr>
          <w:color w:val="auto"/>
          <w:sz w:val="28"/>
          <w:szCs w:val="28"/>
          <w:highlight w:val="none"/>
        </w:rPr>
      </w:pPr>
      <w:r>
        <w:rPr>
          <w:rFonts w:hint="eastAsia" w:ascii="宋体" w:hAnsi="宋体" w:cs="宋体"/>
          <w:b/>
          <w:color w:val="auto"/>
          <w:sz w:val="28"/>
          <w:szCs w:val="28"/>
          <w:highlight w:val="none"/>
        </w:rPr>
        <w:t xml:space="preserve">  </w:t>
      </w:r>
    </w:p>
    <w:p w14:paraId="0B0B0973">
      <w:pPr>
        <w:ind w:right="210" w:rightChars="100" w:firstLine="562" w:firstLineChars="200"/>
        <w:rPr>
          <w:rFonts w:ascii="宋体" w:hAnsi="宋体" w:cs="宋体"/>
          <w:b/>
          <w:color w:val="auto"/>
          <w:sz w:val="28"/>
          <w:szCs w:val="28"/>
          <w:highlight w:val="none"/>
          <w:u w:val="single"/>
        </w:rPr>
      </w:pPr>
      <w:r>
        <w:rPr>
          <w:rFonts w:hint="eastAsia" w:ascii="宋体" w:hAnsi="宋体" w:cs="宋体"/>
          <w:b/>
          <w:color w:val="auto"/>
          <w:sz w:val="28"/>
          <w:szCs w:val="28"/>
          <w:highlight w:val="none"/>
        </w:rPr>
        <w:t>甲    方：</w:t>
      </w:r>
      <w:r>
        <w:rPr>
          <w:rFonts w:hint="eastAsia" w:ascii="宋体" w:hAnsi="宋体" w:cs="宋体"/>
          <w:bCs/>
          <w:color w:val="auto"/>
          <w:sz w:val="28"/>
          <w:szCs w:val="28"/>
          <w:highlight w:val="none"/>
          <w:u w:val="single"/>
        </w:rPr>
        <w:t>广东海洋大学</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
          <w:color w:val="auto"/>
          <w:sz w:val="28"/>
          <w:szCs w:val="28"/>
          <w:highlight w:val="none"/>
          <w:u w:val="single"/>
        </w:rPr>
        <w:t xml:space="preserve"> </w:t>
      </w:r>
    </w:p>
    <w:p w14:paraId="27387D43">
      <w:pPr>
        <w:ind w:right="210" w:rightChars="100" w:firstLine="562" w:firstLineChars="200"/>
        <w:rPr>
          <w:rFonts w:ascii="Arial" w:hAnsi="Arial" w:eastAsia="黑体"/>
          <w:color w:val="auto"/>
          <w:sz w:val="28"/>
          <w:szCs w:val="28"/>
          <w:highlight w:val="none"/>
        </w:rPr>
      </w:pPr>
      <w:r>
        <w:rPr>
          <w:rFonts w:hint="eastAsia" w:ascii="宋体" w:hAnsi="宋体" w:cs="宋体"/>
          <w:b/>
          <w:color w:val="auto"/>
          <w:sz w:val="28"/>
          <w:szCs w:val="28"/>
          <w:highlight w:val="none"/>
        </w:rPr>
        <w:t>乙    方：</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p>
    <w:p w14:paraId="681724AB">
      <w:pPr>
        <w:spacing w:line="360" w:lineRule="auto"/>
        <w:ind w:firstLine="562" w:firstLineChars="200"/>
        <w:rPr>
          <w:rFonts w:ascii="Arial" w:hAnsi="Arial" w:eastAsia="黑体"/>
          <w:color w:val="auto"/>
          <w:sz w:val="28"/>
          <w:szCs w:val="28"/>
          <w:highlight w:val="none"/>
        </w:rPr>
        <w:sectPr>
          <w:footerReference r:id="rId11"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b/>
          <w:color w:val="auto"/>
          <w:sz w:val="28"/>
          <w:szCs w:val="28"/>
          <w:highlight w:val="none"/>
        </w:rPr>
        <w:t>日    期：</w:t>
      </w:r>
      <w:r>
        <w:rPr>
          <w:rFonts w:hint="eastAsia" w:ascii="宋体" w:hAnsi="宋体" w:eastAsia="宋体" w:cs="宋体"/>
          <w:bCs/>
          <w:color w:val="auto"/>
          <w:kern w:val="0"/>
          <w:sz w:val="32"/>
          <w:szCs w:val="32"/>
          <w:highlight w:val="none"/>
          <w:u w:val="single"/>
        </w:rPr>
        <w:t>2024</w:t>
      </w:r>
      <w:r>
        <w:rPr>
          <w:rFonts w:hint="eastAsia" w:ascii="宋体" w:hAnsi="宋体" w:eastAsia="宋体" w:cs="宋体"/>
          <w:bCs/>
          <w:color w:val="auto"/>
          <w:kern w:val="0"/>
          <w:sz w:val="32"/>
          <w:szCs w:val="32"/>
          <w:highlight w:val="none"/>
        </w:rPr>
        <w:t>年</w:t>
      </w:r>
      <w:r>
        <w:rPr>
          <w:rFonts w:hint="eastAsia" w:ascii="宋体" w:hAnsi="宋体" w:eastAsia="宋体" w:cs="宋体"/>
          <w:bCs/>
          <w:color w:val="auto"/>
          <w:kern w:val="0"/>
          <w:sz w:val="32"/>
          <w:szCs w:val="32"/>
          <w:highlight w:val="none"/>
          <w:u w:val="single"/>
        </w:rPr>
        <w:t xml:space="preserve">     </w:t>
      </w:r>
      <w:r>
        <w:rPr>
          <w:rFonts w:hint="eastAsia" w:ascii="宋体" w:hAnsi="宋体" w:eastAsia="宋体" w:cs="宋体"/>
          <w:bCs/>
          <w:color w:val="auto"/>
          <w:kern w:val="0"/>
          <w:sz w:val="32"/>
          <w:szCs w:val="32"/>
          <w:highlight w:val="none"/>
        </w:rPr>
        <w:t>月</w:t>
      </w:r>
      <w:r>
        <w:rPr>
          <w:rFonts w:hint="eastAsia" w:ascii="宋体" w:hAnsi="宋体" w:eastAsia="宋体" w:cs="宋体"/>
          <w:bCs/>
          <w:color w:val="auto"/>
          <w:kern w:val="0"/>
          <w:sz w:val="32"/>
          <w:szCs w:val="32"/>
          <w:highlight w:val="none"/>
          <w:u w:val="single"/>
        </w:rPr>
        <w:t xml:space="preserve">     </w:t>
      </w:r>
      <w:r>
        <w:rPr>
          <w:rFonts w:hint="eastAsia" w:ascii="宋体" w:hAnsi="宋体" w:cs="宋体"/>
          <w:bCs/>
          <w:color w:val="auto"/>
          <w:kern w:val="0"/>
          <w:sz w:val="32"/>
          <w:szCs w:val="32"/>
          <w:highlight w:val="none"/>
        </w:rPr>
        <w:t>日</w:t>
      </w:r>
    </w:p>
    <w:p w14:paraId="146118D8">
      <w:pPr>
        <w:spacing w:line="440" w:lineRule="exact"/>
        <w:ind w:firstLine="643"/>
        <w:jc w:val="center"/>
        <w:rPr>
          <w:rFonts w:ascii="Arial" w:hAnsi="Arial" w:eastAsia="黑体"/>
          <w:b/>
          <w:color w:val="auto"/>
          <w:sz w:val="32"/>
          <w:szCs w:val="32"/>
          <w:highlight w:val="none"/>
        </w:rPr>
      </w:pPr>
      <w:bookmarkStart w:id="377" w:name="_Toc30353"/>
      <w:bookmarkStart w:id="378" w:name="_Toc20845"/>
      <w:bookmarkStart w:id="379" w:name="_Toc12183"/>
      <w:bookmarkStart w:id="380" w:name="_Hlk68010709"/>
      <w:r>
        <w:rPr>
          <w:rFonts w:ascii="宋体" w:hAnsi="宋体"/>
          <w:b/>
          <w:color w:val="auto"/>
          <w:sz w:val="32"/>
          <w:szCs w:val="32"/>
          <w:highlight w:val="none"/>
        </w:rPr>
        <w:t>分析测试中心大型及贵重仪器共享平台建设-仪器租赁服务采购项目合同</w:t>
      </w:r>
    </w:p>
    <w:p w14:paraId="64C6DECD">
      <w:pPr>
        <w:spacing w:line="440" w:lineRule="exact"/>
        <w:jc w:val="center"/>
        <w:rPr>
          <w:color w:val="auto"/>
          <w:szCs w:val="21"/>
          <w:highlight w:val="none"/>
        </w:rPr>
      </w:pPr>
      <w:r>
        <w:rPr>
          <w:rFonts w:hint="eastAsia"/>
          <w:color w:val="auto"/>
          <w:szCs w:val="21"/>
          <w:highlight w:val="none"/>
        </w:rPr>
        <w:t>[ 合同编号：</w:t>
      </w:r>
      <w:r>
        <w:rPr>
          <w:color w:val="auto"/>
          <w:sz w:val="24"/>
          <w:highlight w:val="none"/>
        </w:rPr>
        <w:t xml:space="preserve"> </w:t>
      </w:r>
      <w:r>
        <w:rPr>
          <w:color w:val="auto"/>
          <w:szCs w:val="21"/>
          <w:highlight w:val="none"/>
        </w:rPr>
        <w:t>****</w:t>
      </w:r>
      <w:r>
        <w:rPr>
          <w:rFonts w:hint="eastAsia"/>
          <w:color w:val="auto"/>
          <w:szCs w:val="21"/>
          <w:highlight w:val="none"/>
        </w:rPr>
        <w:t xml:space="preserve"> ]</w:t>
      </w:r>
    </w:p>
    <w:p w14:paraId="3B228B76">
      <w:pPr>
        <w:adjustRightInd w:val="0"/>
        <w:snapToGrid w:val="0"/>
        <w:spacing w:line="360" w:lineRule="auto"/>
        <w:rPr>
          <w:rFonts w:ascii="宋体" w:hAnsi="宋体" w:cs="宋体"/>
          <w:color w:val="auto"/>
          <w:kern w:val="0"/>
          <w:szCs w:val="21"/>
          <w:highlight w:val="none"/>
        </w:rPr>
      </w:pPr>
    </w:p>
    <w:p w14:paraId="2C6E703B">
      <w:pPr>
        <w:adjustRightInd w:val="0"/>
        <w:snapToGrid w:val="0"/>
        <w:spacing w:line="360" w:lineRule="auto"/>
        <w:rPr>
          <w:rFonts w:ascii="宋体" w:hAnsi="宋体"/>
          <w:color w:val="auto"/>
          <w:kern w:val="0"/>
          <w:szCs w:val="21"/>
          <w:highlight w:val="none"/>
        </w:rPr>
      </w:pPr>
      <w:r>
        <w:rPr>
          <w:rFonts w:hint="eastAsia" w:ascii="宋体" w:hAnsi="宋体" w:cs="宋体"/>
          <w:b/>
          <w:bCs/>
          <w:color w:val="auto"/>
          <w:kern w:val="0"/>
          <w:szCs w:val="21"/>
          <w:highlight w:val="none"/>
        </w:rPr>
        <w:t>甲</w:t>
      </w:r>
      <w:r>
        <w:rPr>
          <w:rFonts w:ascii="宋体" w:hAnsi="宋体" w:cs="宋体"/>
          <w:b/>
          <w:bCs/>
          <w:color w:val="auto"/>
          <w:kern w:val="0"/>
          <w:szCs w:val="21"/>
          <w:highlight w:val="none"/>
        </w:rPr>
        <w:t xml:space="preserve">  </w:t>
      </w:r>
      <w:r>
        <w:rPr>
          <w:rFonts w:hint="eastAsia" w:ascii="宋体" w:hAnsi="宋体" w:cs="宋体"/>
          <w:b/>
          <w:bCs/>
          <w:color w:val="auto"/>
          <w:kern w:val="0"/>
          <w:szCs w:val="21"/>
          <w:highlight w:val="none"/>
        </w:rPr>
        <w:t>方：</w:t>
      </w:r>
      <w:r>
        <w:rPr>
          <w:rFonts w:hint="eastAsia" w:ascii="宋体" w:hAnsi="宋体" w:cs="宋体"/>
          <w:color w:val="auto"/>
          <w:kern w:val="0"/>
          <w:szCs w:val="21"/>
          <w:highlight w:val="none"/>
          <w:u w:val="single"/>
        </w:rPr>
        <w:t xml:space="preserve">广东海洋大学         </w:t>
      </w:r>
    </w:p>
    <w:p w14:paraId="46807069">
      <w:pPr>
        <w:widowControl/>
        <w:adjustRightInd w:val="0"/>
        <w:snapToGrid w:val="0"/>
        <w:spacing w:line="360" w:lineRule="auto"/>
        <w:rPr>
          <w:rFonts w:ascii="宋体" w:hAnsi="宋体"/>
          <w:color w:val="auto"/>
          <w:kern w:val="0"/>
          <w:szCs w:val="21"/>
          <w:highlight w:val="none"/>
        </w:rPr>
      </w:pPr>
      <w:r>
        <w:rPr>
          <w:rFonts w:hint="eastAsia" w:ascii="宋体" w:hAnsi="宋体" w:cs="宋体"/>
          <w:b/>
          <w:bCs/>
          <w:color w:val="auto"/>
          <w:kern w:val="0"/>
          <w:szCs w:val="21"/>
          <w:highlight w:val="none"/>
        </w:rPr>
        <w:t>乙</w:t>
      </w:r>
      <w:r>
        <w:rPr>
          <w:rFonts w:ascii="宋体" w:hAnsi="宋体" w:cs="宋体"/>
          <w:b/>
          <w:bCs/>
          <w:color w:val="auto"/>
          <w:kern w:val="0"/>
          <w:szCs w:val="21"/>
          <w:highlight w:val="none"/>
        </w:rPr>
        <w:t xml:space="preserve">  </w:t>
      </w:r>
      <w:r>
        <w:rPr>
          <w:rFonts w:hint="eastAsia" w:ascii="宋体" w:hAnsi="宋体" w:cs="宋体"/>
          <w:b/>
          <w:bCs/>
          <w:color w:val="auto"/>
          <w:kern w:val="0"/>
          <w:szCs w:val="21"/>
          <w:highlight w:val="none"/>
        </w:rPr>
        <w:t>方：</w:t>
      </w:r>
      <w:r>
        <w:rPr>
          <w:rFonts w:hint="eastAsia" w:ascii="宋体" w:hAnsi="宋体" w:cs="宋体"/>
          <w:b/>
          <w:bCs/>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7EA9417D">
      <w:pPr>
        <w:adjustRightInd w:val="0"/>
        <w:snapToGrid w:val="0"/>
        <w:spacing w:line="360" w:lineRule="auto"/>
        <w:ind w:firstLine="420" w:firstLineChars="200"/>
        <w:rPr>
          <w:rFonts w:hAnsi="宋体"/>
          <w:bCs/>
          <w:color w:val="auto"/>
          <w:szCs w:val="21"/>
          <w:highlight w:val="none"/>
        </w:rPr>
      </w:pPr>
    </w:p>
    <w:p w14:paraId="029AB560">
      <w:pPr>
        <w:adjustRightInd w:val="0"/>
        <w:snapToGrid w:val="0"/>
        <w:spacing w:line="360" w:lineRule="auto"/>
        <w:ind w:firstLine="420" w:firstLineChars="200"/>
        <w:rPr>
          <w:rFonts w:hAnsi="宋体"/>
          <w:bCs/>
          <w:color w:val="auto"/>
          <w:szCs w:val="21"/>
          <w:highlight w:val="none"/>
        </w:rPr>
      </w:pPr>
      <w:r>
        <w:rPr>
          <w:rFonts w:hint="eastAsia" w:hAnsi="宋体"/>
          <w:bCs/>
          <w:color w:val="auto"/>
          <w:szCs w:val="21"/>
          <w:highlight w:val="none"/>
        </w:rPr>
        <w:t>根据</w:t>
      </w:r>
      <w:r>
        <w:rPr>
          <w:rFonts w:hint="eastAsia" w:hAnsi="宋体"/>
          <w:bCs/>
          <w:color w:val="auto"/>
          <w:szCs w:val="21"/>
          <w:highlight w:val="none"/>
          <w:u w:val="single"/>
        </w:rPr>
        <w:t xml:space="preserve">               </w:t>
      </w:r>
      <w:r>
        <w:rPr>
          <w:rFonts w:hint="eastAsia" w:hAnsi="宋体"/>
          <w:bCs/>
          <w:color w:val="auto"/>
          <w:szCs w:val="21"/>
          <w:highlight w:val="none"/>
        </w:rPr>
        <w:t>公司</w:t>
      </w:r>
      <w:r>
        <w:rPr>
          <w:rFonts w:hint="eastAsia" w:hAnsi="宋体"/>
          <w:bCs/>
          <w:color w:val="auto"/>
          <w:szCs w:val="21"/>
          <w:highlight w:val="none"/>
          <w:u w:val="single"/>
        </w:rPr>
        <w:t xml:space="preserve">      </w:t>
      </w:r>
      <w:r>
        <w:rPr>
          <w:rFonts w:hint="eastAsia" w:hAnsi="宋体"/>
          <w:bCs/>
          <w:color w:val="auto"/>
          <w:szCs w:val="21"/>
          <w:highlight w:val="none"/>
        </w:rPr>
        <w:t>年</w:t>
      </w:r>
      <w:r>
        <w:rPr>
          <w:rFonts w:hint="eastAsia" w:hAnsi="宋体"/>
          <w:bCs/>
          <w:color w:val="auto"/>
          <w:szCs w:val="21"/>
          <w:highlight w:val="none"/>
          <w:u w:val="single"/>
        </w:rPr>
        <w:t xml:space="preserve">    </w:t>
      </w:r>
      <w:r>
        <w:rPr>
          <w:rFonts w:hint="eastAsia" w:hAnsi="宋体"/>
          <w:bCs/>
          <w:color w:val="auto"/>
          <w:szCs w:val="21"/>
          <w:highlight w:val="none"/>
        </w:rPr>
        <w:t>月</w:t>
      </w:r>
      <w:r>
        <w:rPr>
          <w:rFonts w:hint="eastAsia" w:hAnsi="宋体"/>
          <w:bCs/>
          <w:color w:val="auto"/>
          <w:szCs w:val="21"/>
          <w:highlight w:val="none"/>
          <w:u w:val="single"/>
        </w:rPr>
        <w:t xml:space="preserve">    </w:t>
      </w:r>
      <w:r>
        <w:rPr>
          <w:rFonts w:hint="eastAsia" w:hAnsi="宋体"/>
          <w:bCs/>
          <w:color w:val="auto"/>
          <w:szCs w:val="21"/>
          <w:highlight w:val="none"/>
        </w:rPr>
        <w:t>日的《</w:t>
      </w:r>
      <w:r>
        <w:rPr>
          <w:rFonts w:hint="eastAsia" w:hAnsi="宋体"/>
          <w:bCs/>
          <w:color w:val="auto"/>
          <w:szCs w:val="21"/>
          <w:highlight w:val="none"/>
          <w:u w:val="single"/>
        </w:rPr>
        <w:t xml:space="preserve">                          </w:t>
      </w:r>
      <w:r>
        <w:rPr>
          <w:rFonts w:hint="eastAsia" w:hAnsi="宋体"/>
          <w:bCs/>
          <w:color w:val="auto"/>
          <w:szCs w:val="21"/>
          <w:highlight w:val="none"/>
        </w:rPr>
        <w:t>项目（项目编号：</w:t>
      </w:r>
      <w:r>
        <w:rPr>
          <w:rFonts w:hint="eastAsia" w:hAnsi="宋体"/>
          <w:bCs/>
          <w:color w:val="auto"/>
          <w:szCs w:val="21"/>
          <w:highlight w:val="none"/>
          <w:u w:val="single"/>
        </w:rPr>
        <w:t xml:space="preserve">               </w:t>
      </w:r>
      <w:r>
        <w:rPr>
          <w:rFonts w:hint="eastAsia" w:hAnsi="宋体"/>
          <w:bCs/>
          <w:color w:val="auto"/>
          <w:szCs w:val="21"/>
          <w:highlight w:val="none"/>
        </w:rPr>
        <w:t xml:space="preserve"> ）》采购结果和投标（响应）文件、招标（谈判）文件的内容，按照《中华人民共和国民法典》的规定，甲方向乙方订购以下</w:t>
      </w:r>
      <w:r>
        <w:rPr>
          <w:rFonts w:hint="eastAsia" w:hAnsi="宋体"/>
          <w:bCs/>
          <w:color w:val="auto"/>
          <w:szCs w:val="21"/>
          <w:highlight w:val="none"/>
        </w:rPr>
        <w:t>货物租赁服务</w:t>
      </w:r>
      <w:r>
        <w:rPr>
          <w:rFonts w:hint="eastAsia" w:hAnsi="宋体"/>
          <w:bCs/>
          <w:color w:val="auto"/>
          <w:szCs w:val="21"/>
          <w:highlight w:val="none"/>
        </w:rPr>
        <w:t>。为明确双方责任和权利，甲、乙双方经协商确定，特签订本合同，共同遵守。具体条款如下：</w:t>
      </w:r>
    </w:p>
    <w:p w14:paraId="34BF1784">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一、合同</w:t>
      </w:r>
      <w:r>
        <w:rPr>
          <w:rFonts w:hint="eastAsia" w:ascii="宋体" w:hAnsi="宋体" w:cs="宋体"/>
          <w:b/>
          <w:bCs/>
          <w:color w:val="auto"/>
          <w:szCs w:val="21"/>
          <w:highlight w:val="none"/>
        </w:rPr>
        <w:t>租赁</w:t>
      </w:r>
      <w:r>
        <w:rPr>
          <w:rFonts w:hint="eastAsia" w:ascii="宋体" w:hAnsi="宋体" w:cs="宋体"/>
          <w:b/>
          <w:bCs/>
          <w:color w:val="auto"/>
          <w:szCs w:val="21"/>
          <w:highlight w:val="none"/>
        </w:rPr>
        <w:t>货物、合同金额</w:t>
      </w:r>
    </w:p>
    <w:p w14:paraId="41C19F85">
      <w:pPr>
        <w:adjustRightInd w:val="0"/>
        <w:snapToGrid w:val="0"/>
        <w:spacing w:line="360" w:lineRule="auto"/>
        <w:ind w:firstLine="420" w:firstLineChars="200"/>
        <w:rPr>
          <w:rFonts w:hAnsi="宋体"/>
          <w:bCs/>
          <w:color w:val="auto"/>
          <w:szCs w:val="21"/>
          <w:highlight w:val="none"/>
        </w:rPr>
      </w:pPr>
      <w:r>
        <w:rPr>
          <w:rFonts w:hint="eastAsia" w:hAnsi="宋体"/>
          <w:bCs/>
          <w:color w:val="auto"/>
          <w:szCs w:val="21"/>
          <w:highlight w:val="none"/>
        </w:rPr>
        <w:t>1.1境内供货的</w:t>
      </w:r>
      <w:r>
        <w:rPr>
          <w:rFonts w:hint="eastAsia" w:hAnsi="宋体"/>
          <w:bCs/>
          <w:color w:val="auto"/>
          <w:szCs w:val="21"/>
          <w:highlight w:val="none"/>
        </w:rPr>
        <w:t>租赁</w:t>
      </w:r>
      <w:r>
        <w:rPr>
          <w:rFonts w:hint="eastAsia" w:hAnsi="宋体"/>
          <w:bCs/>
          <w:color w:val="auto"/>
          <w:szCs w:val="21"/>
          <w:highlight w:val="none"/>
        </w:rPr>
        <w:t>货物</w:t>
      </w:r>
    </w:p>
    <w:tbl>
      <w:tblPr>
        <w:tblStyle w:val="49"/>
        <w:tblW w:w="945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6"/>
        <w:gridCol w:w="1516"/>
        <w:gridCol w:w="1586"/>
        <w:gridCol w:w="1414"/>
        <w:gridCol w:w="1072"/>
        <w:gridCol w:w="1088"/>
        <w:gridCol w:w="1072"/>
        <w:gridCol w:w="1106"/>
      </w:tblGrid>
      <w:tr w14:paraId="28B18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596" w:type="dxa"/>
            <w:tcMar>
              <w:top w:w="0" w:type="dxa"/>
              <w:left w:w="105" w:type="dxa"/>
              <w:bottom w:w="0" w:type="dxa"/>
              <w:right w:w="105" w:type="dxa"/>
            </w:tcMar>
            <w:vAlign w:val="center"/>
          </w:tcPr>
          <w:p w14:paraId="37122551">
            <w:pPr>
              <w:pStyle w:val="364"/>
              <w:jc w:val="center"/>
              <w:rPr>
                <w:rFonts w:hint="default" w:ascii="宋体" w:hAnsi="宋体" w:eastAsia="宋体"/>
                <w:b/>
                <w:color w:val="auto"/>
                <w:sz w:val="21"/>
                <w:szCs w:val="21"/>
                <w:highlight w:val="none"/>
              </w:rPr>
            </w:pPr>
            <w:r>
              <w:rPr>
                <w:rFonts w:ascii="宋体" w:hAnsi="宋体" w:eastAsia="宋体"/>
                <w:b/>
                <w:color w:val="auto"/>
                <w:sz w:val="21"/>
                <w:szCs w:val="21"/>
                <w:highlight w:val="none"/>
              </w:rPr>
              <w:t>序号</w:t>
            </w:r>
          </w:p>
        </w:tc>
        <w:tc>
          <w:tcPr>
            <w:tcW w:w="1516" w:type="dxa"/>
            <w:tcMar>
              <w:top w:w="0" w:type="dxa"/>
              <w:left w:w="105" w:type="dxa"/>
              <w:bottom w:w="0" w:type="dxa"/>
              <w:right w:w="105" w:type="dxa"/>
            </w:tcMar>
            <w:vAlign w:val="center"/>
          </w:tcPr>
          <w:p w14:paraId="63562299">
            <w:pPr>
              <w:pStyle w:val="364"/>
              <w:jc w:val="center"/>
              <w:rPr>
                <w:rFonts w:hint="default" w:ascii="宋体" w:hAnsi="宋体" w:eastAsia="宋体"/>
                <w:b/>
                <w:color w:val="auto"/>
                <w:sz w:val="21"/>
                <w:szCs w:val="21"/>
                <w:highlight w:val="none"/>
              </w:rPr>
            </w:pPr>
            <w:r>
              <w:rPr>
                <w:rFonts w:ascii="宋体" w:hAnsi="宋体" w:eastAsia="宋体"/>
                <w:b/>
                <w:color w:val="auto"/>
                <w:sz w:val="21"/>
                <w:szCs w:val="21"/>
                <w:highlight w:val="none"/>
              </w:rPr>
              <w:t>名称</w:t>
            </w:r>
          </w:p>
        </w:tc>
        <w:tc>
          <w:tcPr>
            <w:tcW w:w="1586" w:type="dxa"/>
            <w:tcMar>
              <w:top w:w="0" w:type="dxa"/>
              <w:left w:w="105" w:type="dxa"/>
              <w:bottom w:w="0" w:type="dxa"/>
              <w:right w:w="105" w:type="dxa"/>
            </w:tcMar>
            <w:vAlign w:val="center"/>
          </w:tcPr>
          <w:p w14:paraId="49D062AB">
            <w:pPr>
              <w:pStyle w:val="364"/>
              <w:jc w:val="center"/>
              <w:rPr>
                <w:rFonts w:hint="default" w:ascii="宋体" w:hAnsi="宋体" w:eastAsia="宋体"/>
                <w:b/>
                <w:color w:val="auto"/>
                <w:sz w:val="21"/>
                <w:szCs w:val="21"/>
                <w:highlight w:val="none"/>
              </w:rPr>
            </w:pPr>
            <w:r>
              <w:rPr>
                <w:rFonts w:ascii="宋体" w:hAnsi="宋体" w:eastAsia="宋体"/>
                <w:b/>
                <w:color w:val="auto"/>
                <w:sz w:val="21"/>
                <w:szCs w:val="21"/>
                <w:highlight w:val="none"/>
              </w:rPr>
              <w:t>品牌、规格型号</w:t>
            </w:r>
          </w:p>
        </w:tc>
        <w:tc>
          <w:tcPr>
            <w:tcW w:w="1414" w:type="dxa"/>
            <w:tcMar>
              <w:top w:w="0" w:type="dxa"/>
              <w:left w:w="105" w:type="dxa"/>
              <w:bottom w:w="0" w:type="dxa"/>
              <w:right w:w="105" w:type="dxa"/>
            </w:tcMar>
            <w:vAlign w:val="center"/>
          </w:tcPr>
          <w:p w14:paraId="79F5BD07">
            <w:pPr>
              <w:pStyle w:val="364"/>
              <w:jc w:val="center"/>
              <w:rPr>
                <w:rFonts w:hint="default" w:ascii="宋体" w:hAnsi="宋体" w:eastAsia="宋体"/>
                <w:b/>
                <w:color w:val="auto"/>
                <w:sz w:val="21"/>
                <w:szCs w:val="21"/>
                <w:highlight w:val="none"/>
              </w:rPr>
            </w:pPr>
            <w:r>
              <w:rPr>
                <w:rFonts w:ascii="宋体" w:hAnsi="宋体" w:eastAsia="宋体"/>
                <w:b/>
                <w:color w:val="auto"/>
                <w:sz w:val="21"/>
                <w:szCs w:val="21"/>
                <w:highlight w:val="none"/>
              </w:rPr>
              <w:t>制造商/厂家</w:t>
            </w:r>
          </w:p>
        </w:tc>
        <w:tc>
          <w:tcPr>
            <w:tcW w:w="1072" w:type="dxa"/>
            <w:tcMar>
              <w:top w:w="0" w:type="dxa"/>
              <w:left w:w="105" w:type="dxa"/>
              <w:bottom w:w="0" w:type="dxa"/>
              <w:right w:w="105" w:type="dxa"/>
            </w:tcMar>
            <w:vAlign w:val="center"/>
          </w:tcPr>
          <w:p w14:paraId="26474D0C">
            <w:pPr>
              <w:pStyle w:val="364"/>
              <w:jc w:val="center"/>
              <w:rPr>
                <w:rFonts w:hint="default" w:ascii="宋体" w:hAnsi="宋体" w:eastAsia="宋体"/>
                <w:b/>
                <w:color w:val="auto"/>
                <w:sz w:val="21"/>
                <w:szCs w:val="21"/>
                <w:highlight w:val="none"/>
              </w:rPr>
            </w:pPr>
            <w:r>
              <w:rPr>
                <w:rFonts w:ascii="宋体" w:hAnsi="宋体"/>
                <w:b/>
                <w:caps/>
                <w:color w:val="auto"/>
                <w:sz w:val="21"/>
                <w:szCs w:val="21"/>
                <w:highlight w:val="none"/>
              </w:rPr>
              <w:t>租赁数量（年）</w:t>
            </w:r>
          </w:p>
        </w:tc>
        <w:tc>
          <w:tcPr>
            <w:tcW w:w="1088" w:type="dxa"/>
            <w:tcMar>
              <w:top w:w="0" w:type="dxa"/>
              <w:left w:w="105" w:type="dxa"/>
              <w:bottom w:w="0" w:type="dxa"/>
              <w:right w:w="105" w:type="dxa"/>
            </w:tcMar>
            <w:vAlign w:val="center"/>
          </w:tcPr>
          <w:p w14:paraId="2594AD70">
            <w:pPr>
              <w:pStyle w:val="364"/>
              <w:jc w:val="center"/>
              <w:rPr>
                <w:rFonts w:hint="default" w:ascii="宋体" w:hAnsi="宋体" w:eastAsia="宋体"/>
                <w:b/>
                <w:color w:val="auto"/>
                <w:sz w:val="21"/>
                <w:szCs w:val="21"/>
                <w:highlight w:val="none"/>
              </w:rPr>
            </w:pPr>
            <w:r>
              <w:rPr>
                <w:rFonts w:ascii="宋体" w:hAnsi="宋体" w:eastAsia="宋体"/>
                <w:b/>
                <w:color w:val="auto"/>
                <w:sz w:val="21"/>
                <w:szCs w:val="21"/>
                <w:highlight w:val="none"/>
              </w:rPr>
              <w:t>租赁单价(元)</w:t>
            </w:r>
          </w:p>
        </w:tc>
        <w:tc>
          <w:tcPr>
            <w:tcW w:w="1072" w:type="dxa"/>
            <w:tcBorders>
              <w:right w:val="single" w:color="auto" w:sz="4" w:space="0"/>
            </w:tcBorders>
            <w:tcMar>
              <w:top w:w="0" w:type="dxa"/>
              <w:left w:w="105" w:type="dxa"/>
              <w:bottom w:w="0" w:type="dxa"/>
              <w:right w:w="105" w:type="dxa"/>
            </w:tcMar>
            <w:vAlign w:val="center"/>
          </w:tcPr>
          <w:p w14:paraId="428C2A30">
            <w:pPr>
              <w:pStyle w:val="364"/>
              <w:jc w:val="center"/>
              <w:rPr>
                <w:rFonts w:hint="default" w:ascii="宋体" w:hAnsi="宋体" w:eastAsia="宋体"/>
                <w:b/>
                <w:color w:val="auto"/>
                <w:sz w:val="21"/>
                <w:szCs w:val="21"/>
                <w:highlight w:val="none"/>
              </w:rPr>
            </w:pPr>
            <w:r>
              <w:rPr>
                <w:rFonts w:ascii="宋体" w:hAnsi="宋体" w:eastAsia="宋体"/>
                <w:b/>
                <w:color w:val="auto"/>
                <w:sz w:val="21"/>
                <w:szCs w:val="21"/>
                <w:highlight w:val="none"/>
              </w:rPr>
              <w:t>租赁</w:t>
            </w:r>
            <w:r>
              <w:rPr>
                <w:rFonts w:ascii="宋体" w:hAnsi="宋体" w:eastAsia="宋体"/>
                <w:b/>
                <w:color w:val="auto"/>
                <w:sz w:val="21"/>
                <w:szCs w:val="21"/>
                <w:highlight w:val="none"/>
                <w:lang w:eastAsia="zh-CN"/>
              </w:rPr>
              <w:t>金额小计</w:t>
            </w:r>
            <w:r>
              <w:rPr>
                <w:rFonts w:ascii="宋体" w:hAnsi="宋体" w:eastAsia="宋体"/>
                <w:b/>
                <w:color w:val="auto"/>
                <w:sz w:val="21"/>
                <w:szCs w:val="21"/>
                <w:highlight w:val="none"/>
              </w:rPr>
              <w:t>(元)</w:t>
            </w:r>
          </w:p>
        </w:tc>
        <w:tc>
          <w:tcPr>
            <w:tcW w:w="1106" w:type="dxa"/>
            <w:tcBorders>
              <w:left w:val="single" w:color="auto" w:sz="4" w:space="0"/>
            </w:tcBorders>
            <w:vAlign w:val="center"/>
          </w:tcPr>
          <w:p w14:paraId="2445583D">
            <w:pPr>
              <w:pStyle w:val="364"/>
              <w:jc w:val="center"/>
              <w:rPr>
                <w:rFonts w:hint="default" w:ascii="宋体" w:hAnsi="宋体" w:eastAsia="宋体"/>
                <w:b/>
                <w:color w:val="auto"/>
                <w:sz w:val="21"/>
                <w:szCs w:val="21"/>
                <w:highlight w:val="none"/>
              </w:rPr>
            </w:pPr>
            <w:r>
              <w:rPr>
                <w:rFonts w:hint="default" w:ascii="宋体" w:hAnsi="宋体" w:eastAsia="宋体"/>
                <w:b/>
                <w:color w:val="auto"/>
                <w:sz w:val="21"/>
                <w:szCs w:val="21"/>
                <w:highlight w:val="none"/>
              </w:rPr>
              <w:t>租赁时间</w:t>
            </w:r>
          </w:p>
        </w:tc>
      </w:tr>
      <w:tr w14:paraId="02658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6" w:type="dxa"/>
            <w:vMerge w:val="restart"/>
            <w:tcMar>
              <w:top w:w="0" w:type="dxa"/>
              <w:left w:w="105" w:type="dxa"/>
              <w:bottom w:w="0" w:type="dxa"/>
              <w:right w:w="105" w:type="dxa"/>
            </w:tcMar>
            <w:vAlign w:val="center"/>
          </w:tcPr>
          <w:p w14:paraId="586C1E07">
            <w:pPr>
              <w:jc w:val="center"/>
              <w:rPr>
                <w:rFonts w:ascii="宋体" w:hAnsi="宋体"/>
                <w:color w:val="auto"/>
                <w:szCs w:val="21"/>
                <w:highlight w:val="none"/>
              </w:rPr>
            </w:pPr>
            <w:r>
              <w:rPr>
                <w:rFonts w:hint="eastAsia" w:ascii="宋体" w:hAnsi="宋体"/>
                <w:color w:val="auto"/>
                <w:szCs w:val="21"/>
                <w:highlight w:val="none"/>
              </w:rPr>
              <w:t>1</w:t>
            </w:r>
          </w:p>
        </w:tc>
        <w:tc>
          <w:tcPr>
            <w:tcW w:w="1516" w:type="dxa"/>
            <w:vMerge w:val="restart"/>
            <w:tcMar>
              <w:top w:w="0" w:type="dxa"/>
              <w:left w:w="105" w:type="dxa"/>
              <w:bottom w:w="0" w:type="dxa"/>
              <w:right w:w="105" w:type="dxa"/>
            </w:tcMar>
            <w:vAlign w:val="center"/>
          </w:tcPr>
          <w:p w14:paraId="56F155BE">
            <w:pPr>
              <w:jc w:val="center"/>
              <w:rPr>
                <w:rFonts w:ascii="宋体" w:hAnsi="宋体"/>
                <w:color w:val="auto"/>
                <w:szCs w:val="21"/>
                <w:highlight w:val="none"/>
              </w:rPr>
            </w:pPr>
            <w:r>
              <w:rPr>
                <w:rFonts w:hint="eastAsia" w:ascii="宋体" w:hAnsi="宋体"/>
                <w:bCs/>
                <w:color w:val="auto"/>
                <w:szCs w:val="21"/>
                <w:highlight w:val="none"/>
              </w:rPr>
              <w:t>流式细胞仪</w:t>
            </w:r>
          </w:p>
        </w:tc>
        <w:tc>
          <w:tcPr>
            <w:tcW w:w="1586" w:type="dxa"/>
            <w:vMerge w:val="restart"/>
            <w:tcMar>
              <w:top w:w="0" w:type="dxa"/>
              <w:left w:w="105" w:type="dxa"/>
              <w:bottom w:w="0" w:type="dxa"/>
              <w:right w:w="105" w:type="dxa"/>
            </w:tcMar>
            <w:vAlign w:val="center"/>
          </w:tcPr>
          <w:p w14:paraId="450CB3E3">
            <w:pPr>
              <w:rPr>
                <w:rFonts w:ascii="宋体" w:hAnsi="宋体"/>
                <w:color w:val="auto"/>
                <w:szCs w:val="21"/>
                <w:highlight w:val="none"/>
              </w:rPr>
            </w:pPr>
          </w:p>
        </w:tc>
        <w:tc>
          <w:tcPr>
            <w:tcW w:w="1414" w:type="dxa"/>
            <w:vMerge w:val="restart"/>
            <w:tcMar>
              <w:top w:w="0" w:type="dxa"/>
              <w:left w:w="105" w:type="dxa"/>
              <w:bottom w:w="0" w:type="dxa"/>
              <w:right w:w="105" w:type="dxa"/>
            </w:tcMar>
            <w:vAlign w:val="center"/>
          </w:tcPr>
          <w:p w14:paraId="24E4D46D">
            <w:pPr>
              <w:rPr>
                <w:rFonts w:ascii="宋体" w:hAnsi="宋体"/>
                <w:color w:val="auto"/>
                <w:szCs w:val="21"/>
                <w:highlight w:val="none"/>
              </w:rPr>
            </w:pPr>
          </w:p>
        </w:tc>
        <w:tc>
          <w:tcPr>
            <w:tcW w:w="1072" w:type="dxa"/>
            <w:tcMar>
              <w:top w:w="0" w:type="dxa"/>
              <w:left w:w="105" w:type="dxa"/>
              <w:bottom w:w="0" w:type="dxa"/>
              <w:right w:w="105" w:type="dxa"/>
            </w:tcMar>
            <w:vAlign w:val="center"/>
          </w:tcPr>
          <w:p w14:paraId="78A9CE55">
            <w:pPr>
              <w:jc w:val="center"/>
              <w:rPr>
                <w:rFonts w:ascii="宋体" w:hAnsi="宋体"/>
                <w:color w:val="auto"/>
                <w:szCs w:val="21"/>
                <w:highlight w:val="none"/>
              </w:rPr>
            </w:pPr>
            <w:r>
              <w:rPr>
                <w:rFonts w:ascii="宋体" w:hAnsi="宋体"/>
                <w:color w:val="auto"/>
                <w:szCs w:val="21"/>
                <w:highlight w:val="none"/>
              </w:rPr>
              <w:t>1</w:t>
            </w:r>
          </w:p>
        </w:tc>
        <w:tc>
          <w:tcPr>
            <w:tcW w:w="1088" w:type="dxa"/>
            <w:tcMar>
              <w:top w:w="0" w:type="dxa"/>
              <w:left w:w="105" w:type="dxa"/>
              <w:bottom w:w="0" w:type="dxa"/>
              <w:right w:w="105" w:type="dxa"/>
            </w:tcMar>
            <w:vAlign w:val="center"/>
          </w:tcPr>
          <w:p w14:paraId="0E116FE8">
            <w:pPr>
              <w:jc w:val="center"/>
              <w:rPr>
                <w:rFonts w:ascii="宋体" w:hAnsi="宋体"/>
                <w:color w:val="auto"/>
                <w:szCs w:val="21"/>
                <w:highlight w:val="none"/>
              </w:rPr>
            </w:pPr>
          </w:p>
        </w:tc>
        <w:tc>
          <w:tcPr>
            <w:tcW w:w="1072" w:type="dxa"/>
            <w:tcBorders>
              <w:right w:val="single" w:color="auto" w:sz="4" w:space="0"/>
            </w:tcBorders>
            <w:tcMar>
              <w:top w:w="0" w:type="dxa"/>
              <w:left w:w="105" w:type="dxa"/>
              <w:bottom w:w="0" w:type="dxa"/>
              <w:right w:w="105" w:type="dxa"/>
            </w:tcMar>
            <w:vAlign w:val="center"/>
          </w:tcPr>
          <w:p w14:paraId="3908DE44">
            <w:pPr>
              <w:jc w:val="center"/>
              <w:rPr>
                <w:rFonts w:ascii="宋体" w:hAnsi="宋体"/>
                <w:color w:val="auto"/>
                <w:szCs w:val="21"/>
                <w:highlight w:val="none"/>
              </w:rPr>
            </w:pPr>
          </w:p>
        </w:tc>
        <w:tc>
          <w:tcPr>
            <w:tcW w:w="1106" w:type="dxa"/>
            <w:tcBorders>
              <w:left w:val="single" w:color="auto" w:sz="4" w:space="0"/>
            </w:tcBorders>
            <w:vAlign w:val="center"/>
          </w:tcPr>
          <w:p w14:paraId="73425921">
            <w:pPr>
              <w:jc w:val="center"/>
              <w:rPr>
                <w:rFonts w:ascii="宋体" w:hAnsi="宋体"/>
                <w:color w:val="auto"/>
                <w:szCs w:val="21"/>
                <w:highlight w:val="none"/>
              </w:rPr>
            </w:pPr>
            <w:r>
              <w:rPr>
                <w:rFonts w:ascii="宋体" w:hAnsi="宋体"/>
                <w:color w:val="auto"/>
                <w:szCs w:val="21"/>
                <w:highlight w:val="none"/>
              </w:rPr>
              <w:t>第一年</w:t>
            </w:r>
          </w:p>
        </w:tc>
      </w:tr>
      <w:tr w14:paraId="7F836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6" w:type="dxa"/>
            <w:vMerge w:val="continue"/>
            <w:tcMar>
              <w:top w:w="0" w:type="dxa"/>
              <w:left w:w="105" w:type="dxa"/>
              <w:bottom w:w="0" w:type="dxa"/>
              <w:right w:w="105" w:type="dxa"/>
            </w:tcMar>
            <w:vAlign w:val="center"/>
          </w:tcPr>
          <w:p w14:paraId="3F0BD384">
            <w:pPr>
              <w:jc w:val="center"/>
              <w:rPr>
                <w:rFonts w:ascii="宋体" w:hAnsi="宋体"/>
                <w:color w:val="auto"/>
                <w:szCs w:val="21"/>
                <w:highlight w:val="none"/>
              </w:rPr>
            </w:pPr>
          </w:p>
        </w:tc>
        <w:tc>
          <w:tcPr>
            <w:tcW w:w="1516" w:type="dxa"/>
            <w:vMerge w:val="continue"/>
            <w:tcMar>
              <w:top w:w="0" w:type="dxa"/>
              <w:left w:w="105" w:type="dxa"/>
              <w:bottom w:w="0" w:type="dxa"/>
              <w:right w:w="105" w:type="dxa"/>
            </w:tcMar>
            <w:vAlign w:val="center"/>
          </w:tcPr>
          <w:p w14:paraId="065E3D42">
            <w:pPr>
              <w:jc w:val="center"/>
              <w:rPr>
                <w:rFonts w:ascii="宋体" w:hAnsi="宋体"/>
                <w:bCs/>
                <w:color w:val="auto"/>
                <w:szCs w:val="21"/>
                <w:highlight w:val="none"/>
              </w:rPr>
            </w:pPr>
          </w:p>
        </w:tc>
        <w:tc>
          <w:tcPr>
            <w:tcW w:w="1586" w:type="dxa"/>
            <w:vMerge w:val="continue"/>
            <w:tcMar>
              <w:top w:w="0" w:type="dxa"/>
              <w:left w:w="105" w:type="dxa"/>
              <w:bottom w:w="0" w:type="dxa"/>
              <w:right w:w="105" w:type="dxa"/>
            </w:tcMar>
            <w:vAlign w:val="center"/>
          </w:tcPr>
          <w:p w14:paraId="28BF1CBD">
            <w:pPr>
              <w:rPr>
                <w:rFonts w:ascii="宋体" w:hAnsi="宋体"/>
                <w:color w:val="auto"/>
                <w:szCs w:val="21"/>
                <w:highlight w:val="none"/>
              </w:rPr>
            </w:pPr>
          </w:p>
        </w:tc>
        <w:tc>
          <w:tcPr>
            <w:tcW w:w="1414" w:type="dxa"/>
            <w:vMerge w:val="continue"/>
            <w:tcMar>
              <w:top w:w="0" w:type="dxa"/>
              <w:left w:w="105" w:type="dxa"/>
              <w:bottom w:w="0" w:type="dxa"/>
              <w:right w:w="105" w:type="dxa"/>
            </w:tcMar>
            <w:vAlign w:val="center"/>
          </w:tcPr>
          <w:p w14:paraId="6F5D07C1">
            <w:pPr>
              <w:rPr>
                <w:rFonts w:ascii="宋体" w:hAnsi="宋体"/>
                <w:color w:val="auto"/>
                <w:szCs w:val="21"/>
                <w:highlight w:val="none"/>
              </w:rPr>
            </w:pPr>
          </w:p>
        </w:tc>
        <w:tc>
          <w:tcPr>
            <w:tcW w:w="1072" w:type="dxa"/>
            <w:tcMar>
              <w:top w:w="0" w:type="dxa"/>
              <w:left w:w="105" w:type="dxa"/>
              <w:bottom w:w="0" w:type="dxa"/>
              <w:right w:w="105" w:type="dxa"/>
            </w:tcMar>
            <w:vAlign w:val="center"/>
          </w:tcPr>
          <w:p w14:paraId="53FEDF29">
            <w:pPr>
              <w:jc w:val="center"/>
              <w:rPr>
                <w:rFonts w:ascii="宋体" w:hAnsi="宋体"/>
                <w:color w:val="auto"/>
                <w:szCs w:val="21"/>
                <w:highlight w:val="none"/>
              </w:rPr>
            </w:pPr>
            <w:r>
              <w:rPr>
                <w:rFonts w:ascii="宋体" w:hAnsi="宋体"/>
                <w:color w:val="auto"/>
                <w:szCs w:val="21"/>
                <w:highlight w:val="none"/>
              </w:rPr>
              <w:t>1</w:t>
            </w:r>
          </w:p>
        </w:tc>
        <w:tc>
          <w:tcPr>
            <w:tcW w:w="1088" w:type="dxa"/>
            <w:tcMar>
              <w:top w:w="0" w:type="dxa"/>
              <w:left w:w="105" w:type="dxa"/>
              <w:bottom w:w="0" w:type="dxa"/>
              <w:right w:w="105" w:type="dxa"/>
            </w:tcMar>
            <w:vAlign w:val="center"/>
          </w:tcPr>
          <w:p w14:paraId="22406AFE">
            <w:pPr>
              <w:jc w:val="center"/>
              <w:rPr>
                <w:rFonts w:ascii="宋体" w:hAnsi="宋体"/>
                <w:color w:val="auto"/>
                <w:szCs w:val="21"/>
                <w:highlight w:val="none"/>
              </w:rPr>
            </w:pPr>
          </w:p>
        </w:tc>
        <w:tc>
          <w:tcPr>
            <w:tcW w:w="1072" w:type="dxa"/>
            <w:tcBorders>
              <w:right w:val="single" w:color="auto" w:sz="4" w:space="0"/>
            </w:tcBorders>
            <w:tcMar>
              <w:top w:w="0" w:type="dxa"/>
              <w:left w:w="105" w:type="dxa"/>
              <w:bottom w:w="0" w:type="dxa"/>
              <w:right w:w="105" w:type="dxa"/>
            </w:tcMar>
            <w:vAlign w:val="center"/>
          </w:tcPr>
          <w:p w14:paraId="06A839CB">
            <w:pPr>
              <w:jc w:val="center"/>
              <w:rPr>
                <w:rFonts w:ascii="宋体" w:hAnsi="宋体"/>
                <w:color w:val="auto"/>
                <w:szCs w:val="21"/>
                <w:highlight w:val="none"/>
              </w:rPr>
            </w:pPr>
          </w:p>
        </w:tc>
        <w:tc>
          <w:tcPr>
            <w:tcW w:w="1106" w:type="dxa"/>
            <w:tcBorders>
              <w:left w:val="single" w:color="auto" w:sz="4" w:space="0"/>
            </w:tcBorders>
            <w:vAlign w:val="center"/>
          </w:tcPr>
          <w:p w14:paraId="576BB363">
            <w:pPr>
              <w:jc w:val="center"/>
              <w:rPr>
                <w:rFonts w:ascii="宋体" w:hAnsi="宋体"/>
                <w:color w:val="auto"/>
                <w:szCs w:val="21"/>
                <w:highlight w:val="none"/>
              </w:rPr>
            </w:pPr>
            <w:r>
              <w:rPr>
                <w:rFonts w:ascii="宋体" w:hAnsi="宋体"/>
                <w:color w:val="auto"/>
                <w:szCs w:val="21"/>
                <w:highlight w:val="none"/>
              </w:rPr>
              <w:t>第二年</w:t>
            </w:r>
          </w:p>
        </w:tc>
      </w:tr>
      <w:tr w14:paraId="557EF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6" w:type="dxa"/>
            <w:vMerge w:val="continue"/>
            <w:tcMar>
              <w:top w:w="0" w:type="dxa"/>
              <w:left w:w="105" w:type="dxa"/>
              <w:bottom w:w="0" w:type="dxa"/>
              <w:right w:w="105" w:type="dxa"/>
            </w:tcMar>
            <w:vAlign w:val="center"/>
          </w:tcPr>
          <w:p w14:paraId="7B16EA77">
            <w:pPr>
              <w:jc w:val="center"/>
              <w:rPr>
                <w:rFonts w:ascii="宋体" w:hAnsi="宋体"/>
                <w:color w:val="auto"/>
                <w:szCs w:val="21"/>
                <w:highlight w:val="none"/>
              </w:rPr>
            </w:pPr>
          </w:p>
        </w:tc>
        <w:tc>
          <w:tcPr>
            <w:tcW w:w="1516" w:type="dxa"/>
            <w:vMerge w:val="continue"/>
            <w:tcMar>
              <w:top w:w="0" w:type="dxa"/>
              <w:left w:w="105" w:type="dxa"/>
              <w:bottom w:w="0" w:type="dxa"/>
              <w:right w:w="105" w:type="dxa"/>
            </w:tcMar>
            <w:vAlign w:val="center"/>
          </w:tcPr>
          <w:p w14:paraId="7CE3EA4E">
            <w:pPr>
              <w:jc w:val="center"/>
              <w:rPr>
                <w:rFonts w:ascii="宋体" w:hAnsi="宋体"/>
                <w:bCs/>
                <w:color w:val="auto"/>
                <w:szCs w:val="21"/>
                <w:highlight w:val="none"/>
              </w:rPr>
            </w:pPr>
          </w:p>
        </w:tc>
        <w:tc>
          <w:tcPr>
            <w:tcW w:w="1586" w:type="dxa"/>
            <w:vMerge w:val="continue"/>
            <w:tcMar>
              <w:top w:w="0" w:type="dxa"/>
              <w:left w:w="105" w:type="dxa"/>
              <w:bottom w:w="0" w:type="dxa"/>
              <w:right w:w="105" w:type="dxa"/>
            </w:tcMar>
            <w:vAlign w:val="center"/>
          </w:tcPr>
          <w:p w14:paraId="2FB3F911">
            <w:pPr>
              <w:rPr>
                <w:rFonts w:ascii="宋体" w:hAnsi="宋体"/>
                <w:color w:val="auto"/>
                <w:szCs w:val="21"/>
                <w:highlight w:val="none"/>
              </w:rPr>
            </w:pPr>
          </w:p>
        </w:tc>
        <w:tc>
          <w:tcPr>
            <w:tcW w:w="1414" w:type="dxa"/>
            <w:vMerge w:val="continue"/>
            <w:tcMar>
              <w:top w:w="0" w:type="dxa"/>
              <w:left w:w="105" w:type="dxa"/>
              <w:bottom w:w="0" w:type="dxa"/>
              <w:right w:w="105" w:type="dxa"/>
            </w:tcMar>
            <w:vAlign w:val="center"/>
          </w:tcPr>
          <w:p w14:paraId="5890EFF1">
            <w:pPr>
              <w:rPr>
                <w:rFonts w:ascii="宋体" w:hAnsi="宋体"/>
                <w:color w:val="auto"/>
                <w:szCs w:val="21"/>
                <w:highlight w:val="none"/>
              </w:rPr>
            </w:pPr>
          </w:p>
        </w:tc>
        <w:tc>
          <w:tcPr>
            <w:tcW w:w="1072" w:type="dxa"/>
            <w:tcMar>
              <w:top w:w="0" w:type="dxa"/>
              <w:left w:w="105" w:type="dxa"/>
              <w:bottom w:w="0" w:type="dxa"/>
              <w:right w:w="105" w:type="dxa"/>
            </w:tcMar>
            <w:vAlign w:val="center"/>
          </w:tcPr>
          <w:p w14:paraId="30EDB043">
            <w:pPr>
              <w:jc w:val="center"/>
              <w:rPr>
                <w:rFonts w:ascii="宋体" w:hAnsi="宋体"/>
                <w:color w:val="auto"/>
                <w:szCs w:val="21"/>
                <w:highlight w:val="none"/>
              </w:rPr>
            </w:pPr>
            <w:r>
              <w:rPr>
                <w:rFonts w:ascii="宋体" w:hAnsi="宋体"/>
                <w:color w:val="auto"/>
                <w:szCs w:val="21"/>
                <w:highlight w:val="none"/>
              </w:rPr>
              <w:t>1</w:t>
            </w:r>
          </w:p>
        </w:tc>
        <w:tc>
          <w:tcPr>
            <w:tcW w:w="1088" w:type="dxa"/>
            <w:tcMar>
              <w:top w:w="0" w:type="dxa"/>
              <w:left w:w="105" w:type="dxa"/>
              <w:bottom w:w="0" w:type="dxa"/>
              <w:right w:w="105" w:type="dxa"/>
            </w:tcMar>
            <w:vAlign w:val="center"/>
          </w:tcPr>
          <w:p w14:paraId="163E9AE1">
            <w:pPr>
              <w:jc w:val="center"/>
              <w:rPr>
                <w:rFonts w:ascii="宋体" w:hAnsi="宋体"/>
                <w:color w:val="auto"/>
                <w:szCs w:val="21"/>
                <w:highlight w:val="none"/>
              </w:rPr>
            </w:pPr>
          </w:p>
        </w:tc>
        <w:tc>
          <w:tcPr>
            <w:tcW w:w="1072" w:type="dxa"/>
            <w:tcBorders>
              <w:right w:val="single" w:color="auto" w:sz="4" w:space="0"/>
            </w:tcBorders>
            <w:tcMar>
              <w:top w:w="0" w:type="dxa"/>
              <w:left w:w="105" w:type="dxa"/>
              <w:bottom w:w="0" w:type="dxa"/>
              <w:right w:w="105" w:type="dxa"/>
            </w:tcMar>
            <w:vAlign w:val="center"/>
          </w:tcPr>
          <w:p w14:paraId="0885021C">
            <w:pPr>
              <w:jc w:val="center"/>
              <w:rPr>
                <w:rFonts w:ascii="宋体" w:hAnsi="宋体"/>
                <w:color w:val="auto"/>
                <w:szCs w:val="21"/>
                <w:highlight w:val="none"/>
              </w:rPr>
            </w:pPr>
          </w:p>
        </w:tc>
        <w:tc>
          <w:tcPr>
            <w:tcW w:w="1106" w:type="dxa"/>
            <w:tcBorders>
              <w:left w:val="single" w:color="auto" w:sz="4" w:space="0"/>
            </w:tcBorders>
            <w:vAlign w:val="center"/>
          </w:tcPr>
          <w:p w14:paraId="68281CDB">
            <w:pPr>
              <w:jc w:val="center"/>
              <w:rPr>
                <w:rFonts w:ascii="宋体" w:hAnsi="宋体"/>
                <w:color w:val="auto"/>
                <w:szCs w:val="21"/>
                <w:highlight w:val="none"/>
              </w:rPr>
            </w:pPr>
            <w:r>
              <w:rPr>
                <w:rFonts w:ascii="宋体" w:hAnsi="宋体"/>
                <w:color w:val="auto"/>
                <w:szCs w:val="21"/>
                <w:highlight w:val="none"/>
              </w:rPr>
              <w:t>第三年</w:t>
            </w:r>
          </w:p>
        </w:tc>
      </w:tr>
      <w:tr w14:paraId="14BBC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6" w:type="dxa"/>
            <w:vMerge w:val="restart"/>
            <w:tcMar>
              <w:top w:w="0" w:type="dxa"/>
              <w:left w:w="105" w:type="dxa"/>
              <w:bottom w:w="0" w:type="dxa"/>
              <w:right w:w="105" w:type="dxa"/>
            </w:tcMar>
            <w:vAlign w:val="center"/>
          </w:tcPr>
          <w:p w14:paraId="2D98E552">
            <w:pPr>
              <w:jc w:val="center"/>
              <w:rPr>
                <w:rFonts w:ascii="宋体" w:hAnsi="宋体"/>
                <w:color w:val="auto"/>
                <w:szCs w:val="21"/>
                <w:highlight w:val="none"/>
              </w:rPr>
            </w:pPr>
            <w:r>
              <w:rPr>
                <w:rFonts w:hint="eastAsia" w:ascii="宋体" w:hAnsi="宋体"/>
                <w:color w:val="auto"/>
                <w:szCs w:val="21"/>
                <w:highlight w:val="none"/>
              </w:rPr>
              <w:t>2</w:t>
            </w:r>
          </w:p>
        </w:tc>
        <w:tc>
          <w:tcPr>
            <w:tcW w:w="1516" w:type="dxa"/>
            <w:vMerge w:val="restart"/>
            <w:tcMar>
              <w:top w:w="0" w:type="dxa"/>
              <w:left w:w="105" w:type="dxa"/>
              <w:bottom w:w="0" w:type="dxa"/>
              <w:right w:w="105" w:type="dxa"/>
            </w:tcMar>
            <w:vAlign w:val="center"/>
          </w:tcPr>
          <w:p w14:paraId="5C71DDCA">
            <w:pPr>
              <w:jc w:val="center"/>
              <w:rPr>
                <w:rFonts w:ascii="宋体" w:hAnsi="宋体"/>
                <w:color w:val="auto"/>
                <w:szCs w:val="21"/>
                <w:highlight w:val="none"/>
              </w:rPr>
            </w:pPr>
            <w:r>
              <w:rPr>
                <w:rFonts w:hint="eastAsia" w:ascii="宋体" w:hAnsi="宋体"/>
                <w:bCs/>
                <w:color w:val="auto"/>
                <w:szCs w:val="21"/>
                <w:highlight w:val="none"/>
              </w:rPr>
              <w:t>多功能微孔板检测仪</w:t>
            </w:r>
          </w:p>
        </w:tc>
        <w:tc>
          <w:tcPr>
            <w:tcW w:w="1586" w:type="dxa"/>
            <w:vMerge w:val="restart"/>
            <w:tcMar>
              <w:top w:w="0" w:type="dxa"/>
              <w:left w:w="105" w:type="dxa"/>
              <w:bottom w:w="0" w:type="dxa"/>
              <w:right w:w="105" w:type="dxa"/>
            </w:tcMar>
            <w:vAlign w:val="center"/>
          </w:tcPr>
          <w:p w14:paraId="6B0406DF">
            <w:pPr>
              <w:rPr>
                <w:rFonts w:ascii="宋体" w:hAnsi="宋体"/>
                <w:color w:val="auto"/>
                <w:szCs w:val="21"/>
                <w:highlight w:val="none"/>
              </w:rPr>
            </w:pPr>
          </w:p>
        </w:tc>
        <w:tc>
          <w:tcPr>
            <w:tcW w:w="1414" w:type="dxa"/>
            <w:vMerge w:val="restart"/>
            <w:tcMar>
              <w:top w:w="0" w:type="dxa"/>
              <w:left w:w="105" w:type="dxa"/>
              <w:bottom w:w="0" w:type="dxa"/>
              <w:right w:w="105" w:type="dxa"/>
            </w:tcMar>
            <w:vAlign w:val="center"/>
          </w:tcPr>
          <w:p w14:paraId="46412006">
            <w:pPr>
              <w:rPr>
                <w:rFonts w:ascii="宋体" w:hAnsi="宋体"/>
                <w:color w:val="auto"/>
                <w:szCs w:val="21"/>
                <w:highlight w:val="none"/>
              </w:rPr>
            </w:pPr>
          </w:p>
        </w:tc>
        <w:tc>
          <w:tcPr>
            <w:tcW w:w="1072" w:type="dxa"/>
            <w:tcMar>
              <w:top w:w="0" w:type="dxa"/>
              <w:left w:w="105" w:type="dxa"/>
              <w:bottom w:w="0" w:type="dxa"/>
              <w:right w:w="105" w:type="dxa"/>
            </w:tcMar>
            <w:vAlign w:val="center"/>
          </w:tcPr>
          <w:p w14:paraId="1A940852">
            <w:pPr>
              <w:jc w:val="center"/>
              <w:rPr>
                <w:rFonts w:ascii="宋体" w:hAnsi="宋体"/>
                <w:color w:val="auto"/>
                <w:szCs w:val="21"/>
                <w:highlight w:val="none"/>
              </w:rPr>
            </w:pPr>
            <w:r>
              <w:rPr>
                <w:rFonts w:ascii="宋体" w:hAnsi="宋体"/>
                <w:color w:val="auto"/>
                <w:szCs w:val="21"/>
                <w:highlight w:val="none"/>
              </w:rPr>
              <w:t>1</w:t>
            </w:r>
          </w:p>
        </w:tc>
        <w:tc>
          <w:tcPr>
            <w:tcW w:w="1088" w:type="dxa"/>
            <w:tcMar>
              <w:top w:w="0" w:type="dxa"/>
              <w:left w:w="105" w:type="dxa"/>
              <w:bottom w:w="0" w:type="dxa"/>
              <w:right w:w="105" w:type="dxa"/>
            </w:tcMar>
            <w:vAlign w:val="center"/>
          </w:tcPr>
          <w:p w14:paraId="01C6AAD8">
            <w:pPr>
              <w:jc w:val="center"/>
              <w:rPr>
                <w:rFonts w:ascii="宋体" w:hAnsi="宋体"/>
                <w:color w:val="auto"/>
                <w:szCs w:val="21"/>
                <w:highlight w:val="none"/>
              </w:rPr>
            </w:pPr>
          </w:p>
        </w:tc>
        <w:tc>
          <w:tcPr>
            <w:tcW w:w="1072" w:type="dxa"/>
            <w:tcBorders>
              <w:right w:val="single" w:color="auto" w:sz="4" w:space="0"/>
            </w:tcBorders>
            <w:tcMar>
              <w:top w:w="0" w:type="dxa"/>
              <w:left w:w="105" w:type="dxa"/>
              <w:bottom w:w="0" w:type="dxa"/>
              <w:right w:w="105" w:type="dxa"/>
            </w:tcMar>
            <w:vAlign w:val="center"/>
          </w:tcPr>
          <w:p w14:paraId="47450A6F">
            <w:pPr>
              <w:jc w:val="center"/>
              <w:rPr>
                <w:rFonts w:ascii="宋体" w:hAnsi="宋体"/>
                <w:color w:val="auto"/>
                <w:szCs w:val="21"/>
                <w:highlight w:val="none"/>
              </w:rPr>
            </w:pPr>
          </w:p>
        </w:tc>
        <w:tc>
          <w:tcPr>
            <w:tcW w:w="1106" w:type="dxa"/>
            <w:tcBorders>
              <w:left w:val="single" w:color="auto" w:sz="4" w:space="0"/>
            </w:tcBorders>
            <w:vAlign w:val="center"/>
          </w:tcPr>
          <w:p w14:paraId="0E47E93C">
            <w:pPr>
              <w:jc w:val="center"/>
              <w:rPr>
                <w:rFonts w:ascii="宋体" w:hAnsi="宋体"/>
                <w:color w:val="auto"/>
                <w:szCs w:val="21"/>
                <w:highlight w:val="none"/>
              </w:rPr>
            </w:pPr>
            <w:r>
              <w:rPr>
                <w:rFonts w:ascii="宋体" w:hAnsi="宋体"/>
                <w:color w:val="auto"/>
                <w:szCs w:val="21"/>
                <w:highlight w:val="none"/>
              </w:rPr>
              <w:t>第一年</w:t>
            </w:r>
          </w:p>
        </w:tc>
      </w:tr>
      <w:tr w14:paraId="66BDF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6" w:type="dxa"/>
            <w:vMerge w:val="continue"/>
            <w:tcMar>
              <w:top w:w="0" w:type="dxa"/>
              <w:left w:w="105" w:type="dxa"/>
              <w:bottom w:w="0" w:type="dxa"/>
              <w:right w:w="105" w:type="dxa"/>
            </w:tcMar>
            <w:vAlign w:val="center"/>
          </w:tcPr>
          <w:p w14:paraId="0C0A813C">
            <w:pPr>
              <w:rPr>
                <w:rFonts w:ascii="宋体" w:hAnsi="宋体"/>
                <w:color w:val="auto"/>
                <w:szCs w:val="21"/>
                <w:highlight w:val="none"/>
              </w:rPr>
            </w:pPr>
          </w:p>
        </w:tc>
        <w:tc>
          <w:tcPr>
            <w:tcW w:w="1516" w:type="dxa"/>
            <w:vMerge w:val="continue"/>
            <w:tcMar>
              <w:top w:w="0" w:type="dxa"/>
              <w:left w:w="105" w:type="dxa"/>
              <w:bottom w:w="0" w:type="dxa"/>
              <w:right w:w="105" w:type="dxa"/>
            </w:tcMar>
            <w:vAlign w:val="center"/>
          </w:tcPr>
          <w:p w14:paraId="4ACA9F6F">
            <w:pPr>
              <w:rPr>
                <w:rFonts w:ascii="宋体" w:hAnsi="宋体"/>
                <w:bCs/>
                <w:color w:val="auto"/>
                <w:szCs w:val="21"/>
                <w:highlight w:val="none"/>
              </w:rPr>
            </w:pPr>
          </w:p>
        </w:tc>
        <w:tc>
          <w:tcPr>
            <w:tcW w:w="1586" w:type="dxa"/>
            <w:vMerge w:val="continue"/>
            <w:tcMar>
              <w:top w:w="0" w:type="dxa"/>
              <w:left w:w="105" w:type="dxa"/>
              <w:bottom w:w="0" w:type="dxa"/>
              <w:right w:w="105" w:type="dxa"/>
            </w:tcMar>
            <w:vAlign w:val="center"/>
          </w:tcPr>
          <w:p w14:paraId="2283317D">
            <w:pPr>
              <w:rPr>
                <w:rFonts w:ascii="宋体" w:hAnsi="宋体"/>
                <w:color w:val="auto"/>
                <w:szCs w:val="21"/>
                <w:highlight w:val="none"/>
              </w:rPr>
            </w:pPr>
          </w:p>
        </w:tc>
        <w:tc>
          <w:tcPr>
            <w:tcW w:w="1414" w:type="dxa"/>
            <w:vMerge w:val="continue"/>
            <w:tcMar>
              <w:top w:w="0" w:type="dxa"/>
              <w:left w:w="105" w:type="dxa"/>
              <w:bottom w:w="0" w:type="dxa"/>
              <w:right w:w="105" w:type="dxa"/>
            </w:tcMar>
            <w:vAlign w:val="center"/>
          </w:tcPr>
          <w:p w14:paraId="0AABC211">
            <w:pPr>
              <w:rPr>
                <w:rFonts w:ascii="宋体" w:hAnsi="宋体"/>
                <w:color w:val="auto"/>
                <w:szCs w:val="21"/>
                <w:highlight w:val="none"/>
              </w:rPr>
            </w:pPr>
          </w:p>
        </w:tc>
        <w:tc>
          <w:tcPr>
            <w:tcW w:w="1072" w:type="dxa"/>
            <w:tcMar>
              <w:top w:w="0" w:type="dxa"/>
              <w:left w:w="105" w:type="dxa"/>
              <w:bottom w:w="0" w:type="dxa"/>
              <w:right w:w="105" w:type="dxa"/>
            </w:tcMar>
            <w:vAlign w:val="center"/>
          </w:tcPr>
          <w:p w14:paraId="06DFA417">
            <w:pPr>
              <w:jc w:val="center"/>
              <w:rPr>
                <w:rFonts w:ascii="宋体" w:hAnsi="宋体"/>
                <w:color w:val="auto"/>
                <w:szCs w:val="21"/>
                <w:highlight w:val="none"/>
              </w:rPr>
            </w:pPr>
            <w:r>
              <w:rPr>
                <w:rFonts w:ascii="宋体" w:hAnsi="宋体"/>
                <w:color w:val="auto"/>
                <w:szCs w:val="21"/>
                <w:highlight w:val="none"/>
              </w:rPr>
              <w:t>1</w:t>
            </w:r>
          </w:p>
        </w:tc>
        <w:tc>
          <w:tcPr>
            <w:tcW w:w="1088" w:type="dxa"/>
            <w:tcMar>
              <w:top w:w="0" w:type="dxa"/>
              <w:left w:w="105" w:type="dxa"/>
              <w:bottom w:w="0" w:type="dxa"/>
              <w:right w:w="105" w:type="dxa"/>
            </w:tcMar>
            <w:vAlign w:val="center"/>
          </w:tcPr>
          <w:p w14:paraId="7FA11322">
            <w:pPr>
              <w:jc w:val="center"/>
              <w:rPr>
                <w:rFonts w:ascii="宋体" w:hAnsi="宋体"/>
                <w:color w:val="auto"/>
                <w:szCs w:val="21"/>
                <w:highlight w:val="none"/>
              </w:rPr>
            </w:pPr>
          </w:p>
        </w:tc>
        <w:tc>
          <w:tcPr>
            <w:tcW w:w="1072" w:type="dxa"/>
            <w:tcBorders>
              <w:right w:val="single" w:color="auto" w:sz="4" w:space="0"/>
            </w:tcBorders>
            <w:tcMar>
              <w:top w:w="0" w:type="dxa"/>
              <w:left w:w="105" w:type="dxa"/>
              <w:bottom w:w="0" w:type="dxa"/>
              <w:right w:w="105" w:type="dxa"/>
            </w:tcMar>
            <w:vAlign w:val="center"/>
          </w:tcPr>
          <w:p w14:paraId="0700C35D">
            <w:pPr>
              <w:jc w:val="center"/>
              <w:rPr>
                <w:rFonts w:ascii="宋体" w:hAnsi="宋体"/>
                <w:color w:val="auto"/>
                <w:szCs w:val="21"/>
                <w:highlight w:val="none"/>
              </w:rPr>
            </w:pPr>
          </w:p>
        </w:tc>
        <w:tc>
          <w:tcPr>
            <w:tcW w:w="1106" w:type="dxa"/>
            <w:tcBorders>
              <w:left w:val="single" w:color="auto" w:sz="4" w:space="0"/>
            </w:tcBorders>
            <w:vAlign w:val="center"/>
          </w:tcPr>
          <w:p w14:paraId="0ACFB3E3">
            <w:pPr>
              <w:jc w:val="center"/>
              <w:rPr>
                <w:rFonts w:ascii="宋体" w:hAnsi="宋体"/>
                <w:color w:val="auto"/>
                <w:szCs w:val="21"/>
                <w:highlight w:val="none"/>
              </w:rPr>
            </w:pPr>
            <w:r>
              <w:rPr>
                <w:rFonts w:ascii="宋体" w:hAnsi="宋体"/>
                <w:color w:val="auto"/>
                <w:szCs w:val="21"/>
                <w:highlight w:val="none"/>
              </w:rPr>
              <w:t>第二年</w:t>
            </w:r>
          </w:p>
        </w:tc>
      </w:tr>
      <w:tr w14:paraId="1C348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96" w:type="dxa"/>
            <w:vMerge w:val="continue"/>
            <w:tcMar>
              <w:top w:w="0" w:type="dxa"/>
              <w:left w:w="105" w:type="dxa"/>
              <w:bottom w:w="0" w:type="dxa"/>
              <w:right w:w="105" w:type="dxa"/>
            </w:tcMar>
            <w:vAlign w:val="center"/>
          </w:tcPr>
          <w:p w14:paraId="06D834B7">
            <w:pPr>
              <w:rPr>
                <w:rFonts w:ascii="宋体" w:hAnsi="宋体"/>
                <w:color w:val="auto"/>
                <w:szCs w:val="21"/>
                <w:highlight w:val="none"/>
              </w:rPr>
            </w:pPr>
          </w:p>
        </w:tc>
        <w:tc>
          <w:tcPr>
            <w:tcW w:w="1516" w:type="dxa"/>
            <w:vMerge w:val="continue"/>
            <w:tcMar>
              <w:top w:w="0" w:type="dxa"/>
              <w:left w:w="105" w:type="dxa"/>
              <w:bottom w:w="0" w:type="dxa"/>
              <w:right w:w="105" w:type="dxa"/>
            </w:tcMar>
            <w:vAlign w:val="center"/>
          </w:tcPr>
          <w:p w14:paraId="1F12CB06">
            <w:pPr>
              <w:rPr>
                <w:rFonts w:ascii="宋体" w:hAnsi="宋体"/>
                <w:bCs/>
                <w:color w:val="auto"/>
                <w:szCs w:val="21"/>
                <w:highlight w:val="none"/>
              </w:rPr>
            </w:pPr>
          </w:p>
        </w:tc>
        <w:tc>
          <w:tcPr>
            <w:tcW w:w="1586" w:type="dxa"/>
            <w:vMerge w:val="continue"/>
            <w:tcMar>
              <w:top w:w="0" w:type="dxa"/>
              <w:left w:w="105" w:type="dxa"/>
              <w:bottom w:w="0" w:type="dxa"/>
              <w:right w:w="105" w:type="dxa"/>
            </w:tcMar>
            <w:vAlign w:val="center"/>
          </w:tcPr>
          <w:p w14:paraId="11F057C7">
            <w:pPr>
              <w:rPr>
                <w:rFonts w:ascii="宋体" w:hAnsi="宋体"/>
                <w:color w:val="auto"/>
                <w:szCs w:val="21"/>
                <w:highlight w:val="none"/>
              </w:rPr>
            </w:pPr>
          </w:p>
        </w:tc>
        <w:tc>
          <w:tcPr>
            <w:tcW w:w="1414" w:type="dxa"/>
            <w:vMerge w:val="continue"/>
            <w:tcMar>
              <w:top w:w="0" w:type="dxa"/>
              <w:left w:w="105" w:type="dxa"/>
              <w:bottom w:w="0" w:type="dxa"/>
              <w:right w:w="105" w:type="dxa"/>
            </w:tcMar>
            <w:vAlign w:val="center"/>
          </w:tcPr>
          <w:p w14:paraId="42DF175C">
            <w:pPr>
              <w:rPr>
                <w:rFonts w:ascii="宋体" w:hAnsi="宋体"/>
                <w:color w:val="auto"/>
                <w:szCs w:val="21"/>
                <w:highlight w:val="none"/>
              </w:rPr>
            </w:pPr>
          </w:p>
        </w:tc>
        <w:tc>
          <w:tcPr>
            <w:tcW w:w="1072" w:type="dxa"/>
            <w:tcMar>
              <w:top w:w="0" w:type="dxa"/>
              <w:left w:w="105" w:type="dxa"/>
              <w:bottom w:w="0" w:type="dxa"/>
              <w:right w:w="105" w:type="dxa"/>
            </w:tcMar>
            <w:vAlign w:val="center"/>
          </w:tcPr>
          <w:p w14:paraId="1C35F18A">
            <w:pPr>
              <w:jc w:val="center"/>
              <w:rPr>
                <w:rFonts w:ascii="宋体" w:hAnsi="宋体"/>
                <w:color w:val="auto"/>
                <w:szCs w:val="21"/>
                <w:highlight w:val="none"/>
              </w:rPr>
            </w:pPr>
            <w:r>
              <w:rPr>
                <w:rFonts w:ascii="宋体" w:hAnsi="宋体"/>
                <w:color w:val="auto"/>
                <w:szCs w:val="21"/>
                <w:highlight w:val="none"/>
              </w:rPr>
              <w:t>1</w:t>
            </w:r>
          </w:p>
        </w:tc>
        <w:tc>
          <w:tcPr>
            <w:tcW w:w="1088" w:type="dxa"/>
            <w:tcMar>
              <w:top w:w="0" w:type="dxa"/>
              <w:left w:w="105" w:type="dxa"/>
              <w:bottom w:w="0" w:type="dxa"/>
              <w:right w:w="105" w:type="dxa"/>
            </w:tcMar>
            <w:vAlign w:val="center"/>
          </w:tcPr>
          <w:p w14:paraId="7517E390">
            <w:pPr>
              <w:jc w:val="center"/>
              <w:rPr>
                <w:rFonts w:ascii="宋体" w:hAnsi="宋体"/>
                <w:color w:val="auto"/>
                <w:szCs w:val="21"/>
                <w:highlight w:val="none"/>
              </w:rPr>
            </w:pPr>
          </w:p>
        </w:tc>
        <w:tc>
          <w:tcPr>
            <w:tcW w:w="1072" w:type="dxa"/>
            <w:tcBorders>
              <w:right w:val="single" w:color="auto" w:sz="4" w:space="0"/>
            </w:tcBorders>
            <w:tcMar>
              <w:top w:w="0" w:type="dxa"/>
              <w:left w:w="105" w:type="dxa"/>
              <w:bottom w:w="0" w:type="dxa"/>
              <w:right w:w="105" w:type="dxa"/>
            </w:tcMar>
            <w:vAlign w:val="center"/>
          </w:tcPr>
          <w:p w14:paraId="3D015BC3">
            <w:pPr>
              <w:jc w:val="center"/>
              <w:rPr>
                <w:rFonts w:ascii="宋体" w:hAnsi="宋体"/>
                <w:color w:val="auto"/>
                <w:szCs w:val="21"/>
                <w:highlight w:val="none"/>
              </w:rPr>
            </w:pPr>
          </w:p>
        </w:tc>
        <w:tc>
          <w:tcPr>
            <w:tcW w:w="1106" w:type="dxa"/>
            <w:tcBorders>
              <w:left w:val="single" w:color="auto" w:sz="4" w:space="0"/>
            </w:tcBorders>
            <w:vAlign w:val="center"/>
          </w:tcPr>
          <w:p w14:paraId="38398E93">
            <w:pPr>
              <w:jc w:val="center"/>
              <w:rPr>
                <w:rFonts w:ascii="宋体" w:hAnsi="宋体"/>
                <w:color w:val="auto"/>
                <w:szCs w:val="21"/>
                <w:highlight w:val="none"/>
              </w:rPr>
            </w:pPr>
            <w:r>
              <w:rPr>
                <w:rFonts w:ascii="宋体" w:hAnsi="宋体"/>
                <w:color w:val="auto"/>
                <w:szCs w:val="21"/>
                <w:highlight w:val="none"/>
              </w:rPr>
              <w:t>第三年</w:t>
            </w:r>
          </w:p>
        </w:tc>
      </w:tr>
      <w:tr w14:paraId="514BF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9450" w:type="dxa"/>
            <w:gridSpan w:val="8"/>
            <w:tcMar>
              <w:top w:w="0" w:type="dxa"/>
              <w:left w:w="105" w:type="dxa"/>
              <w:bottom w:w="0" w:type="dxa"/>
              <w:right w:w="105" w:type="dxa"/>
            </w:tcMar>
            <w:vAlign w:val="center"/>
          </w:tcPr>
          <w:p w14:paraId="1D966AA8">
            <w:pPr>
              <w:pStyle w:val="364"/>
              <w:rPr>
                <w:rFonts w:hint="default" w:ascii="宋体" w:hAnsi="宋体" w:eastAsia="宋体"/>
                <w:b/>
                <w:color w:val="auto"/>
                <w:sz w:val="21"/>
                <w:szCs w:val="21"/>
                <w:highlight w:val="none"/>
              </w:rPr>
            </w:pPr>
            <w:r>
              <w:rPr>
                <w:rFonts w:ascii="宋体" w:hAnsi="宋体" w:eastAsia="宋体"/>
                <w:b/>
                <w:color w:val="auto"/>
                <w:sz w:val="24"/>
                <w:szCs w:val="21"/>
                <w:highlight w:val="none"/>
              </w:rPr>
              <w:t>总金额（人民币）：</w:t>
            </w:r>
            <w:r>
              <w:rPr>
                <w:rFonts w:hint="default" w:ascii="宋体" w:hAnsi="宋体" w:eastAsia="宋体"/>
                <w:b/>
                <w:color w:val="auto"/>
                <w:sz w:val="21"/>
                <w:szCs w:val="21"/>
                <w:highlight w:val="none"/>
              </w:rPr>
              <w:t xml:space="preserve"> </w:t>
            </w:r>
          </w:p>
        </w:tc>
      </w:tr>
    </w:tbl>
    <w:p w14:paraId="2628555B">
      <w:pPr>
        <w:adjustRightInd w:val="0"/>
        <w:snapToGrid w:val="0"/>
        <w:spacing w:line="360" w:lineRule="auto"/>
        <w:ind w:firstLine="420"/>
        <w:rPr>
          <w:rFonts w:hAnsi="宋体"/>
          <w:b/>
          <w:color w:val="auto"/>
          <w:szCs w:val="21"/>
          <w:highlight w:val="none"/>
        </w:rPr>
      </w:pPr>
    </w:p>
    <w:p w14:paraId="2AE72600">
      <w:pPr>
        <w:widowControl/>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注：详细技术参数及配置清单见附件。</w:t>
      </w:r>
    </w:p>
    <w:p w14:paraId="0BC65284">
      <w:pPr>
        <w:adjustRightInd w:val="0"/>
        <w:snapToGrid w:val="0"/>
        <w:spacing w:line="360" w:lineRule="auto"/>
        <w:ind w:firstLine="420" w:firstLineChars="200"/>
        <w:rPr>
          <w:rFonts w:hAnsi="宋体"/>
          <w:bCs/>
          <w:color w:val="auto"/>
          <w:szCs w:val="21"/>
          <w:highlight w:val="none"/>
        </w:rPr>
      </w:pPr>
      <w:r>
        <w:rPr>
          <w:rFonts w:hint="eastAsia" w:hAnsi="宋体"/>
          <w:bCs/>
          <w:color w:val="auto"/>
          <w:szCs w:val="21"/>
          <w:highlight w:val="none"/>
        </w:rPr>
        <w:t>1.2合同金额</w:t>
      </w:r>
    </w:p>
    <w:p w14:paraId="56D2DEBA">
      <w:pPr>
        <w:adjustRightInd w:val="0"/>
        <w:snapToGrid w:val="0"/>
        <w:spacing w:line="360" w:lineRule="auto"/>
        <w:ind w:firstLine="420" w:firstLineChars="200"/>
        <w:rPr>
          <w:rFonts w:hint="eastAsia"/>
          <w:color w:val="auto"/>
          <w:highlight w:val="none"/>
        </w:rPr>
      </w:pPr>
      <w:r>
        <w:rPr>
          <w:rFonts w:hint="eastAsia" w:ascii="宋体" w:hAnsi="宋体"/>
          <w:color w:val="auto"/>
          <w:szCs w:val="21"/>
          <w:highlight w:val="none"/>
        </w:rPr>
        <w:t>境内供货的</w:t>
      </w:r>
      <w:r>
        <w:rPr>
          <w:rFonts w:hint="eastAsia" w:ascii="宋体" w:hAnsi="宋体"/>
          <w:color w:val="auto"/>
          <w:szCs w:val="21"/>
          <w:highlight w:val="none"/>
        </w:rPr>
        <w:t>租赁费用</w:t>
      </w:r>
      <w:r>
        <w:rPr>
          <w:rFonts w:hint="eastAsia" w:ascii="宋体" w:hAnsi="宋体"/>
          <w:color w:val="auto"/>
          <w:szCs w:val="21"/>
          <w:highlight w:val="none"/>
        </w:rPr>
        <w:t>总金额为：</w:t>
      </w:r>
      <w:r>
        <w:rPr>
          <w:rFonts w:hint="eastAsia" w:ascii="宋体" w:hAnsi="宋体"/>
          <w:color w:val="auto"/>
          <w:szCs w:val="21"/>
          <w:highlight w:val="none"/>
          <w:u w:val="single"/>
        </w:rPr>
        <w:t xml:space="preserve">          （￥        ）</w:t>
      </w:r>
      <w:r>
        <w:rPr>
          <w:rFonts w:hint="eastAsia" w:ascii="宋体" w:hAnsi="宋体"/>
          <w:color w:val="auto"/>
          <w:szCs w:val="21"/>
          <w:highlight w:val="none"/>
        </w:rPr>
        <w:t>，该总金额包括货物设计、制造、仓储、包装、运输及保险、安装及安装辅料、装卸、调试、培训、随机附件、标配工具、货物正常使用所需的配件、质保期服务、一切技术服务和售后服务费用及合同实施执行过程中的不可预见费用等所有的含税费用。</w:t>
      </w:r>
    </w:p>
    <w:p w14:paraId="3CDC6A9D">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租赁总价不得超过仪器设备原值。</w:t>
      </w:r>
    </w:p>
    <w:p w14:paraId="66969EFE">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二、合同组成</w:t>
      </w:r>
    </w:p>
    <w:p w14:paraId="2BE1925C">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详细价格、技术说明及其它有关合同货物的特定信息及本项目的投标（响应）文件、招标（谈判）文件等均为本合同不可分割的一部分。</w:t>
      </w:r>
    </w:p>
    <w:p w14:paraId="76BD8237">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三、合同货物技术要求、质量保证及使用合法性</w:t>
      </w:r>
    </w:p>
    <w:p w14:paraId="7BBC5269">
      <w:pPr>
        <w:adjustRightInd w:val="0"/>
        <w:snapToGrid w:val="0"/>
        <w:spacing w:line="360" w:lineRule="auto"/>
        <w:ind w:firstLine="420" w:firstLineChars="200"/>
        <w:rPr>
          <w:rFonts w:hAnsi="宋体"/>
          <w:bCs/>
          <w:color w:val="auto"/>
          <w:szCs w:val="21"/>
          <w:highlight w:val="none"/>
        </w:rPr>
      </w:pPr>
      <w:r>
        <w:rPr>
          <w:rFonts w:hint="eastAsia" w:hAnsi="宋体"/>
          <w:bCs/>
          <w:color w:val="auto"/>
          <w:szCs w:val="21"/>
          <w:highlight w:val="none"/>
        </w:rPr>
        <w:t>3.1乙方所提供的货物须符合国家有关规范、标准，并满足本合同技术要求。</w:t>
      </w:r>
    </w:p>
    <w:p w14:paraId="056A44C7">
      <w:pPr>
        <w:adjustRightInd w:val="0"/>
        <w:snapToGrid w:val="0"/>
        <w:spacing w:line="360" w:lineRule="auto"/>
        <w:ind w:firstLine="420" w:firstLineChars="200"/>
        <w:rPr>
          <w:color w:val="auto"/>
          <w:highlight w:val="none"/>
        </w:rPr>
      </w:pPr>
      <w:r>
        <w:rPr>
          <w:rFonts w:hint="eastAsia" w:hAnsi="宋体"/>
          <w:bCs/>
          <w:color w:val="auto"/>
          <w:szCs w:val="21"/>
          <w:highlight w:val="none"/>
        </w:rPr>
        <w:t>3.2乙方</w:t>
      </w:r>
      <w:r>
        <w:rPr>
          <w:rFonts w:hint="eastAsia" w:ascii="宋体" w:hAnsi="宋体"/>
          <w:color w:val="auto"/>
          <w:szCs w:val="21"/>
          <w:highlight w:val="none"/>
        </w:rPr>
        <w:t>保证</w:t>
      </w:r>
      <w:r>
        <w:rPr>
          <w:rFonts w:hint="eastAsia"/>
          <w:bCs/>
          <w:color w:val="auto"/>
          <w:szCs w:val="21"/>
          <w:highlight w:val="none"/>
        </w:rPr>
        <w:t>所提供的货物</w:t>
      </w:r>
      <w:r>
        <w:rPr>
          <w:rFonts w:hint="eastAsia" w:ascii="宋体" w:hAnsi="宋体"/>
          <w:color w:val="auto"/>
          <w:szCs w:val="21"/>
          <w:highlight w:val="none"/>
        </w:rPr>
        <w:t>是全新、未曾使用过的。</w:t>
      </w:r>
    </w:p>
    <w:p w14:paraId="17996438">
      <w:pPr>
        <w:adjustRightInd w:val="0"/>
        <w:snapToGrid w:val="0"/>
        <w:spacing w:line="360" w:lineRule="auto"/>
        <w:ind w:firstLine="420" w:firstLineChars="200"/>
        <w:rPr>
          <w:rFonts w:hAnsi="宋体"/>
          <w:bCs/>
          <w:color w:val="auto"/>
          <w:szCs w:val="21"/>
          <w:highlight w:val="none"/>
        </w:rPr>
      </w:pPr>
      <w:r>
        <w:rPr>
          <w:rFonts w:hint="eastAsia" w:hAnsi="宋体"/>
          <w:bCs/>
          <w:color w:val="auto"/>
          <w:szCs w:val="21"/>
          <w:highlight w:val="none"/>
        </w:rPr>
        <w:t>3.3乙方保证合同项下提供的货物不侵犯任何第三方的专利、商标或版权，在中国境内可依常规安全、合法使用。否则，乙方须承担对第三方的专利或版权的侵权责任并承担因此给甲方造成的损失（包括但不限于相关的诉讼费、律师费、违约金等费用）。</w:t>
      </w:r>
    </w:p>
    <w:p w14:paraId="372E6856">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四、合同货物的包装、交货、安装及验收</w:t>
      </w:r>
    </w:p>
    <w:p w14:paraId="694F81D1">
      <w:pPr>
        <w:adjustRightInd w:val="0"/>
        <w:snapToGrid w:val="0"/>
        <w:spacing w:line="360" w:lineRule="auto"/>
        <w:ind w:firstLine="420" w:firstLineChars="200"/>
        <w:rPr>
          <w:color w:val="auto"/>
          <w:szCs w:val="21"/>
          <w:highlight w:val="none"/>
        </w:rPr>
      </w:pPr>
      <w:r>
        <w:rPr>
          <w:rFonts w:hint="eastAsia" w:hAnsi="宋体"/>
          <w:bCs/>
          <w:color w:val="auto"/>
          <w:szCs w:val="21"/>
          <w:highlight w:val="none"/>
        </w:rPr>
        <w:t>4.1合</w:t>
      </w:r>
      <w:r>
        <w:rPr>
          <w:color w:val="auto"/>
          <w:szCs w:val="21"/>
          <w:highlight w:val="none"/>
        </w:rPr>
        <w:t>同</w:t>
      </w:r>
      <w:r>
        <w:rPr>
          <w:rFonts w:hint="eastAsia"/>
          <w:color w:val="auto"/>
          <w:szCs w:val="21"/>
          <w:highlight w:val="none"/>
        </w:rPr>
        <w:t>货物</w:t>
      </w:r>
      <w:r>
        <w:rPr>
          <w:color w:val="auto"/>
          <w:szCs w:val="21"/>
          <w:highlight w:val="none"/>
        </w:rPr>
        <w:t>的包装</w:t>
      </w:r>
      <w:r>
        <w:rPr>
          <w:rFonts w:hint="eastAsia"/>
          <w:color w:val="auto"/>
          <w:szCs w:val="21"/>
          <w:highlight w:val="none"/>
        </w:rPr>
        <w:t>：</w:t>
      </w:r>
    </w:p>
    <w:p w14:paraId="6E97A7E7">
      <w:pPr>
        <w:adjustRightInd w:val="0"/>
        <w:snapToGrid w:val="0"/>
        <w:spacing w:line="360" w:lineRule="auto"/>
        <w:ind w:firstLine="420" w:firstLineChars="200"/>
        <w:rPr>
          <w:color w:val="auto"/>
          <w:szCs w:val="21"/>
          <w:highlight w:val="none"/>
        </w:rPr>
      </w:pPr>
      <w:r>
        <w:rPr>
          <w:color w:val="auto"/>
          <w:szCs w:val="21"/>
          <w:highlight w:val="none"/>
        </w:rPr>
        <w:t xml:space="preserve">货物的包装均应有良好的防湿、防锈、防潮、防雨、防腐及防碰撞的措施。凡由于包装不良造成的损失和由此产生的费用均由乙方承担。   </w:t>
      </w:r>
    </w:p>
    <w:p w14:paraId="2E83C7B1">
      <w:pPr>
        <w:adjustRightInd w:val="0"/>
        <w:snapToGrid w:val="0"/>
        <w:spacing w:line="360" w:lineRule="auto"/>
        <w:ind w:firstLine="420" w:firstLineChars="200"/>
        <w:rPr>
          <w:color w:val="auto"/>
          <w:szCs w:val="21"/>
          <w:highlight w:val="none"/>
        </w:rPr>
      </w:pPr>
      <w:r>
        <w:rPr>
          <w:rFonts w:hint="eastAsia"/>
          <w:color w:val="auto"/>
          <w:szCs w:val="21"/>
          <w:highlight w:val="none"/>
        </w:rPr>
        <w:t>4</w:t>
      </w:r>
      <w:r>
        <w:rPr>
          <w:color w:val="auto"/>
          <w:szCs w:val="21"/>
          <w:highlight w:val="none"/>
        </w:rPr>
        <w:t>.2合同</w:t>
      </w:r>
      <w:r>
        <w:rPr>
          <w:rFonts w:hint="eastAsia"/>
          <w:color w:val="auto"/>
          <w:szCs w:val="21"/>
          <w:highlight w:val="none"/>
        </w:rPr>
        <w:t>货物</w:t>
      </w:r>
      <w:r>
        <w:rPr>
          <w:color w:val="auto"/>
          <w:szCs w:val="21"/>
          <w:highlight w:val="none"/>
        </w:rPr>
        <w:t>的交货</w:t>
      </w:r>
      <w:r>
        <w:rPr>
          <w:rFonts w:hint="eastAsia"/>
          <w:color w:val="auto"/>
          <w:szCs w:val="21"/>
          <w:highlight w:val="none"/>
        </w:rPr>
        <w:t>：</w:t>
      </w:r>
    </w:p>
    <w:p w14:paraId="53B33C08">
      <w:pPr>
        <w:adjustRightInd w:val="0"/>
        <w:snapToGrid w:val="0"/>
        <w:spacing w:line="360" w:lineRule="auto"/>
        <w:ind w:firstLine="420" w:firstLineChars="200"/>
        <w:rPr>
          <w:rFonts w:hAnsi="宋体"/>
          <w:color w:val="auto"/>
          <w:szCs w:val="21"/>
          <w:highlight w:val="none"/>
        </w:rPr>
      </w:pPr>
      <w:r>
        <w:rPr>
          <w:rFonts w:hint="eastAsia"/>
          <w:color w:val="auto"/>
          <w:szCs w:val="21"/>
          <w:highlight w:val="none"/>
        </w:rPr>
        <w:t>4</w:t>
      </w:r>
      <w:r>
        <w:rPr>
          <w:color w:val="auto"/>
          <w:szCs w:val="21"/>
          <w:highlight w:val="none"/>
        </w:rPr>
        <w:t>.2.1乙方交货时间：</w:t>
      </w:r>
      <w:r>
        <w:rPr>
          <w:rFonts w:hint="eastAsia" w:hAnsi="宋体"/>
          <w:color w:val="auto"/>
          <w:szCs w:val="21"/>
          <w:highlight w:val="none"/>
        </w:rPr>
        <w:t>合同签订后30个工作日内完成租赁货物的供货、安装、调试、交付使用，并在合同生效后5年内提供租赁服务</w:t>
      </w:r>
      <w:r>
        <w:rPr>
          <w:rFonts w:hAnsi="宋体"/>
          <w:color w:val="auto"/>
          <w:szCs w:val="21"/>
          <w:highlight w:val="none"/>
        </w:rPr>
        <w:t>。</w:t>
      </w:r>
    </w:p>
    <w:p w14:paraId="58C3CD20">
      <w:pPr>
        <w:adjustRightInd w:val="0"/>
        <w:snapToGrid w:val="0"/>
        <w:spacing w:line="360" w:lineRule="auto"/>
        <w:ind w:firstLine="420" w:firstLineChars="200"/>
        <w:rPr>
          <w:color w:val="auto"/>
          <w:szCs w:val="21"/>
          <w:highlight w:val="none"/>
        </w:rPr>
      </w:pPr>
      <w:r>
        <w:rPr>
          <w:rFonts w:hint="eastAsia"/>
          <w:color w:val="auto"/>
          <w:szCs w:val="21"/>
          <w:highlight w:val="none"/>
        </w:rPr>
        <w:t>4</w:t>
      </w:r>
      <w:r>
        <w:rPr>
          <w:color w:val="auto"/>
          <w:szCs w:val="21"/>
          <w:highlight w:val="none"/>
        </w:rPr>
        <w:t>.2.2乙方交货地点：</w:t>
      </w:r>
      <w:r>
        <w:rPr>
          <w:rFonts w:hint="eastAsia"/>
          <w:color w:val="auto"/>
          <w:szCs w:val="21"/>
          <w:highlight w:val="none"/>
        </w:rPr>
        <w:t>送货至广东海洋大学指定地点，安装及调试完毕。</w:t>
      </w:r>
    </w:p>
    <w:p w14:paraId="0596EC08">
      <w:pPr>
        <w:adjustRightInd w:val="0"/>
        <w:snapToGrid w:val="0"/>
        <w:spacing w:line="360" w:lineRule="auto"/>
        <w:ind w:firstLine="420" w:firstLineChars="200"/>
        <w:rPr>
          <w:color w:val="auto"/>
          <w:szCs w:val="21"/>
          <w:highlight w:val="none"/>
        </w:rPr>
      </w:pPr>
      <w:r>
        <w:rPr>
          <w:rFonts w:hint="eastAsia"/>
          <w:color w:val="auto"/>
          <w:szCs w:val="21"/>
          <w:highlight w:val="none"/>
        </w:rPr>
        <w:t>4</w:t>
      </w:r>
      <w:r>
        <w:rPr>
          <w:color w:val="auto"/>
          <w:szCs w:val="21"/>
          <w:highlight w:val="none"/>
        </w:rPr>
        <w:t>.</w:t>
      </w:r>
      <w:r>
        <w:rPr>
          <w:rFonts w:hint="eastAsia"/>
          <w:color w:val="auto"/>
          <w:szCs w:val="21"/>
          <w:highlight w:val="none"/>
        </w:rPr>
        <w:t>2.3</w:t>
      </w:r>
      <w:r>
        <w:rPr>
          <w:rFonts w:hint="eastAsia" w:ascii="宋体" w:hAnsi="宋体" w:cs="宋体"/>
          <w:color w:val="auto"/>
          <w:szCs w:val="21"/>
          <w:highlight w:val="none"/>
        </w:rPr>
        <w:t>乙方应保证所提供的货物须为原厂商未启封全新包装且为</w:t>
      </w:r>
      <w:r>
        <w:rPr>
          <w:rFonts w:hint="eastAsia" w:ascii="宋体" w:hAnsi="宋体" w:cs="宋体"/>
          <w:color w:val="auto"/>
          <w:szCs w:val="21"/>
          <w:highlight w:val="none"/>
          <w:u w:val="single"/>
        </w:rPr>
        <w:t>2024年1月1</w:t>
      </w:r>
      <w:r>
        <w:rPr>
          <w:rFonts w:hint="eastAsia" w:ascii="宋体" w:hAnsi="宋体" w:cs="宋体"/>
          <w:color w:val="auto"/>
          <w:szCs w:val="21"/>
          <w:highlight w:val="none"/>
        </w:rPr>
        <w:t>日</w:t>
      </w:r>
      <w:r>
        <w:rPr>
          <w:rFonts w:hint="eastAsia" w:ascii="宋体" w:hAnsi="宋体" w:cs="宋体"/>
          <w:color w:val="auto"/>
          <w:szCs w:val="21"/>
          <w:highlight w:val="none"/>
        </w:rPr>
        <w:t>之后生产，同时应将所供货物的用户手册、使用说明书等有关资料与货物一同交付给甲方。</w:t>
      </w:r>
    </w:p>
    <w:p w14:paraId="5E853CD6">
      <w:pPr>
        <w:widowControl/>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乙方应保证所提供货物的技术性能达到合同的各项技术要求，否则将被看作性能不合格，甲方有权拒收并要求赔偿。</w:t>
      </w:r>
    </w:p>
    <w:p w14:paraId="22F68256">
      <w:pPr>
        <w:widowControl/>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乙方应保证所提供的产品规格、型号、技术参数、产地须与合同、招响应文件规定一致，若出现不符，甲方有权拒收，乙方须及时办理退换货并负担全部费用及由此给甲方造成的全部损失。</w:t>
      </w:r>
    </w:p>
    <w:p w14:paraId="4931739E">
      <w:pPr>
        <w:adjustRightInd w:val="0"/>
        <w:snapToGrid w:val="0"/>
        <w:spacing w:line="360" w:lineRule="auto"/>
        <w:ind w:firstLine="420" w:firstLineChars="200"/>
        <w:rPr>
          <w:rFonts w:hAnsi="宋体"/>
          <w:color w:val="auto"/>
          <w:szCs w:val="21"/>
          <w:highlight w:val="none"/>
        </w:rPr>
      </w:pPr>
      <w:r>
        <w:rPr>
          <w:rFonts w:hint="eastAsia" w:hAnsi="宋体"/>
          <w:color w:val="auto"/>
          <w:szCs w:val="21"/>
          <w:highlight w:val="none"/>
        </w:rPr>
        <w:t>4</w:t>
      </w:r>
      <w:r>
        <w:rPr>
          <w:rFonts w:hAnsi="宋体"/>
          <w:color w:val="auto"/>
          <w:szCs w:val="21"/>
          <w:highlight w:val="none"/>
        </w:rPr>
        <w:t>.</w:t>
      </w:r>
      <w:r>
        <w:rPr>
          <w:rFonts w:hint="eastAsia" w:hAnsi="宋体"/>
          <w:color w:val="auto"/>
          <w:szCs w:val="21"/>
          <w:highlight w:val="none"/>
        </w:rPr>
        <w:t>2.4货物升级换代：</w:t>
      </w:r>
    </w:p>
    <w:p w14:paraId="5DC79974">
      <w:pPr>
        <w:adjustRightInd w:val="0"/>
        <w:snapToGrid w:val="0"/>
        <w:spacing w:line="360" w:lineRule="auto"/>
        <w:ind w:firstLine="420" w:firstLineChars="200"/>
        <w:rPr>
          <w:rFonts w:hAnsi="宋体"/>
          <w:color w:val="auto"/>
          <w:szCs w:val="21"/>
          <w:highlight w:val="none"/>
        </w:rPr>
      </w:pPr>
      <w:r>
        <w:rPr>
          <w:rFonts w:hAnsi="宋体"/>
          <w:color w:val="auto"/>
          <w:szCs w:val="21"/>
          <w:highlight w:val="none"/>
        </w:rPr>
        <w:t>若合同</w:t>
      </w:r>
      <w:r>
        <w:rPr>
          <w:rFonts w:hint="eastAsia" w:hAnsi="宋体"/>
          <w:color w:val="auto"/>
          <w:szCs w:val="21"/>
          <w:highlight w:val="none"/>
        </w:rPr>
        <w:t>个别产品</w:t>
      </w:r>
      <w:r>
        <w:rPr>
          <w:rFonts w:hAnsi="宋体"/>
          <w:color w:val="auto"/>
          <w:szCs w:val="21"/>
          <w:highlight w:val="none"/>
        </w:rPr>
        <w:t>因升级换代，乙方</w:t>
      </w:r>
      <w:r>
        <w:rPr>
          <w:rFonts w:hint="eastAsia" w:hAnsi="宋体"/>
          <w:color w:val="auto"/>
          <w:szCs w:val="21"/>
          <w:highlight w:val="none"/>
        </w:rPr>
        <w:t>所提供的升级换代产品在技术参数和功能上应优于原产品并且完全满足甲方使用单位的使用要求，同时其市场价不低于原产品的市场价，但</w:t>
      </w:r>
      <w:r>
        <w:rPr>
          <w:rFonts w:hAnsi="宋体"/>
          <w:color w:val="auto"/>
          <w:szCs w:val="21"/>
          <w:highlight w:val="none"/>
        </w:rPr>
        <w:t>乙方</w:t>
      </w:r>
      <w:r>
        <w:rPr>
          <w:rFonts w:hint="eastAsia" w:hAnsi="宋体"/>
          <w:color w:val="auto"/>
          <w:szCs w:val="21"/>
          <w:highlight w:val="none"/>
        </w:rPr>
        <w:t>须出具相关证明材料并且取得甲方确认。</w:t>
      </w:r>
    </w:p>
    <w:p w14:paraId="6310EB2C">
      <w:pPr>
        <w:adjustRightInd w:val="0"/>
        <w:snapToGrid w:val="0"/>
        <w:spacing w:line="360" w:lineRule="auto"/>
        <w:ind w:firstLine="420" w:firstLineChars="200"/>
        <w:rPr>
          <w:color w:val="auto"/>
          <w:szCs w:val="21"/>
          <w:highlight w:val="none"/>
        </w:rPr>
      </w:pPr>
      <w:r>
        <w:rPr>
          <w:rFonts w:hint="eastAsia"/>
          <w:color w:val="auto"/>
          <w:szCs w:val="21"/>
          <w:highlight w:val="none"/>
        </w:rPr>
        <w:t>4</w:t>
      </w:r>
      <w:r>
        <w:rPr>
          <w:color w:val="auto"/>
          <w:szCs w:val="21"/>
          <w:highlight w:val="none"/>
        </w:rPr>
        <w:t>.</w:t>
      </w:r>
      <w:r>
        <w:rPr>
          <w:rFonts w:hint="eastAsia"/>
          <w:color w:val="auto"/>
          <w:szCs w:val="21"/>
          <w:highlight w:val="none"/>
        </w:rPr>
        <w:t>3合同货物的安装、调试</w:t>
      </w:r>
      <w:r>
        <w:rPr>
          <w:rFonts w:hint="eastAsia" w:hAnsi="宋体"/>
          <w:color w:val="auto"/>
          <w:szCs w:val="21"/>
          <w:highlight w:val="none"/>
        </w:rPr>
        <w:t>：</w:t>
      </w:r>
    </w:p>
    <w:p w14:paraId="644F5AFF">
      <w:pPr>
        <w:adjustRightInd w:val="0"/>
        <w:snapToGrid w:val="0"/>
        <w:spacing w:line="360" w:lineRule="auto"/>
        <w:ind w:firstLine="420" w:firstLineChars="200"/>
        <w:rPr>
          <w:color w:val="auto"/>
          <w:szCs w:val="21"/>
          <w:highlight w:val="none"/>
        </w:rPr>
      </w:pPr>
      <w:r>
        <w:rPr>
          <w:rFonts w:hint="eastAsia"/>
          <w:color w:val="auto"/>
          <w:szCs w:val="21"/>
          <w:highlight w:val="none"/>
        </w:rPr>
        <w:t>4</w:t>
      </w:r>
      <w:r>
        <w:rPr>
          <w:color w:val="auto"/>
          <w:szCs w:val="21"/>
          <w:highlight w:val="none"/>
        </w:rPr>
        <w:t>.</w:t>
      </w:r>
      <w:r>
        <w:rPr>
          <w:rFonts w:hint="eastAsia"/>
          <w:color w:val="auto"/>
          <w:szCs w:val="21"/>
          <w:highlight w:val="none"/>
        </w:rPr>
        <w:t>3</w:t>
      </w:r>
      <w:r>
        <w:rPr>
          <w:color w:val="auto"/>
          <w:szCs w:val="21"/>
          <w:highlight w:val="none"/>
        </w:rPr>
        <w:t>.</w:t>
      </w:r>
      <w:r>
        <w:rPr>
          <w:rFonts w:hint="eastAsia"/>
          <w:color w:val="auto"/>
          <w:szCs w:val="21"/>
          <w:highlight w:val="none"/>
        </w:rPr>
        <w:t>1乙方负责合同项下货物的安装、调试，一切费用由乙方负责。</w:t>
      </w:r>
    </w:p>
    <w:p w14:paraId="0B6853CA">
      <w:pPr>
        <w:adjustRightInd w:val="0"/>
        <w:snapToGrid w:val="0"/>
        <w:spacing w:line="360" w:lineRule="auto"/>
        <w:ind w:firstLine="420" w:firstLineChars="200"/>
        <w:rPr>
          <w:color w:val="auto"/>
          <w:highlight w:val="none"/>
        </w:rPr>
      </w:pPr>
      <w:r>
        <w:rPr>
          <w:rFonts w:hint="eastAsia"/>
          <w:color w:val="auto"/>
          <w:szCs w:val="21"/>
          <w:highlight w:val="none"/>
        </w:rPr>
        <w:t>如果合同货物运输和调试过程中因事故造成货物短缺、损坏，乙方应及时安排换装，以保证合同货物安装、调试的成功完成。换货的相关费用由乙方承担。</w:t>
      </w:r>
    </w:p>
    <w:p w14:paraId="5E62A883">
      <w:pPr>
        <w:adjustRightInd w:val="0"/>
        <w:snapToGrid w:val="0"/>
        <w:spacing w:line="360" w:lineRule="auto"/>
        <w:ind w:firstLine="420" w:firstLineChars="200"/>
        <w:rPr>
          <w:color w:val="auto"/>
          <w:szCs w:val="21"/>
          <w:highlight w:val="none"/>
        </w:rPr>
      </w:pPr>
      <w:r>
        <w:rPr>
          <w:rFonts w:hint="eastAsia"/>
          <w:color w:val="auto"/>
          <w:szCs w:val="21"/>
          <w:highlight w:val="none"/>
        </w:rPr>
        <w:t>4.3.2货物到达甲方指定地点后，乙方应派有资质的技术人员到甲方指定地完成安装、调试工作。</w:t>
      </w:r>
    </w:p>
    <w:p w14:paraId="52A05514">
      <w:pPr>
        <w:adjustRightInd w:val="0"/>
        <w:snapToGrid w:val="0"/>
        <w:spacing w:line="360" w:lineRule="auto"/>
        <w:ind w:firstLine="420" w:firstLineChars="200"/>
        <w:rPr>
          <w:color w:val="auto"/>
          <w:szCs w:val="21"/>
          <w:highlight w:val="none"/>
        </w:rPr>
      </w:pPr>
      <w:r>
        <w:rPr>
          <w:rFonts w:hint="eastAsia"/>
          <w:color w:val="auto"/>
          <w:szCs w:val="21"/>
          <w:highlight w:val="none"/>
        </w:rPr>
        <w:t>4.3.3货物安装、调试过程中，乙方技术人员应负责对甲方人员进行使用、维护保养及相关培训。</w:t>
      </w:r>
    </w:p>
    <w:p w14:paraId="23451FC8">
      <w:pPr>
        <w:adjustRightInd w:val="0"/>
        <w:snapToGrid w:val="0"/>
        <w:spacing w:line="360" w:lineRule="auto"/>
        <w:ind w:firstLine="420" w:firstLineChars="200"/>
        <w:rPr>
          <w:color w:val="auto"/>
          <w:szCs w:val="21"/>
          <w:highlight w:val="none"/>
        </w:rPr>
      </w:pPr>
      <w:r>
        <w:rPr>
          <w:rFonts w:hint="eastAsia"/>
          <w:color w:val="auto"/>
          <w:szCs w:val="21"/>
          <w:highlight w:val="none"/>
        </w:rPr>
        <w:t>4.3.4乙方负责其技术人员在甲方现场进行安装、调试期间所产生的费用（包括但不限于人工费、交通费、人身损害赔偿费等）；如因乙方责任造成的延期，所有因安装、调试延期而产生的费用由乙方负责。</w:t>
      </w:r>
    </w:p>
    <w:p w14:paraId="6E35F4CB">
      <w:pPr>
        <w:adjustRightInd w:val="0"/>
        <w:snapToGrid w:val="0"/>
        <w:spacing w:line="360" w:lineRule="auto"/>
        <w:ind w:firstLine="420" w:firstLineChars="200"/>
        <w:rPr>
          <w:color w:val="auto"/>
          <w:szCs w:val="21"/>
          <w:highlight w:val="none"/>
        </w:rPr>
      </w:pPr>
      <w:r>
        <w:rPr>
          <w:rFonts w:hint="eastAsia"/>
          <w:color w:val="auto"/>
          <w:szCs w:val="21"/>
          <w:highlight w:val="none"/>
        </w:rPr>
        <w:t>4</w:t>
      </w:r>
      <w:r>
        <w:rPr>
          <w:color w:val="auto"/>
          <w:szCs w:val="21"/>
          <w:highlight w:val="none"/>
        </w:rPr>
        <w:t>.</w:t>
      </w:r>
      <w:r>
        <w:rPr>
          <w:rFonts w:hint="eastAsia"/>
          <w:color w:val="auto"/>
          <w:szCs w:val="21"/>
          <w:highlight w:val="none"/>
        </w:rPr>
        <w:t>3</w:t>
      </w:r>
      <w:r>
        <w:rPr>
          <w:color w:val="auto"/>
          <w:szCs w:val="21"/>
          <w:highlight w:val="none"/>
        </w:rPr>
        <w:t>.</w:t>
      </w:r>
      <w:r>
        <w:rPr>
          <w:rFonts w:hint="eastAsia"/>
          <w:color w:val="auto"/>
          <w:szCs w:val="21"/>
          <w:highlight w:val="none"/>
        </w:rPr>
        <w:t>5乙方须将货物、系统安装并调试至正常运行的最佳状态。</w:t>
      </w:r>
    </w:p>
    <w:p w14:paraId="0BB999BF">
      <w:pPr>
        <w:adjustRightInd w:val="0"/>
        <w:snapToGrid w:val="0"/>
        <w:spacing w:line="360" w:lineRule="auto"/>
        <w:ind w:firstLine="420" w:firstLineChars="200"/>
        <w:rPr>
          <w:color w:val="auto"/>
          <w:szCs w:val="21"/>
          <w:highlight w:val="none"/>
        </w:rPr>
      </w:pPr>
      <w:r>
        <w:rPr>
          <w:rFonts w:hint="eastAsia"/>
          <w:color w:val="auto"/>
          <w:szCs w:val="21"/>
          <w:highlight w:val="none"/>
        </w:rPr>
        <w:t>4.3.6乙方进行安装、调试时须对各调试场地内的其他货物、设施有良好保护措施。</w:t>
      </w:r>
    </w:p>
    <w:p w14:paraId="1D0E2BE0">
      <w:pPr>
        <w:adjustRightInd w:val="0"/>
        <w:snapToGrid w:val="0"/>
        <w:spacing w:line="360" w:lineRule="auto"/>
        <w:ind w:firstLine="420" w:firstLineChars="200"/>
        <w:rPr>
          <w:color w:val="auto"/>
          <w:szCs w:val="21"/>
          <w:highlight w:val="none"/>
        </w:rPr>
      </w:pPr>
      <w:r>
        <w:rPr>
          <w:rFonts w:hint="eastAsia"/>
          <w:color w:val="auto"/>
          <w:szCs w:val="21"/>
          <w:highlight w:val="none"/>
        </w:rPr>
        <w:t>4.3.7乙方安装、调试期间需做到安全文明施工，不损坏甲方的设备设施，否则原价赔偿。</w:t>
      </w:r>
    </w:p>
    <w:p w14:paraId="47131C5B">
      <w:pPr>
        <w:adjustRightInd w:val="0"/>
        <w:snapToGrid w:val="0"/>
        <w:spacing w:line="360" w:lineRule="auto"/>
        <w:ind w:firstLine="420" w:firstLineChars="200"/>
        <w:rPr>
          <w:color w:val="auto"/>
          <w:szCs w:val="21"/>
          <w:highlight w:val="none"/>
        </w:rPr>
      </w:pPr>
      <w:r>
        <w:rPr>
          <w:rFonts w:hint="eastAsia"/>
          <w:color w:val="auto"/>
          <w:szCs w:val="21"/>
          <w:highlight w:val="none"/>
        </w:rPr>
        <w:t>4</w:t>
      </w:r>
      <w:r>
        <w:rPr>
          <w:color w:val="auto"/>
          <w:szCs w:val="21"/>
          <w:highlight w:val="none"/>
        </w:rPr>
        <w:t>.</w:t>
      </w:r>
      <w:r>
        <w:rPr>
          <w:rFonts w:hint="eastAsia"/>
          <w:color w:val="auto"/>
          <w:szCs w:val="21"/>
          <w:highlight w:val="none"/>
        </w:rPr>
        <w:t>4货物的验收</w:t>
      </w:r>
      <w:r>
        <w:rPr>
          <w:rFonts w:hint="eastAsia" w:hAnsi="宋体"/>
          <w:color w:val="auto"/>
          <w:szCs w:val="21"/>
          <w:highlight w:val="none"/>
        </w:rPr>
        <w:t>：</w:t>
      </w:r>
    </w:p>
    <w:p w14:paraId="6BEAB961">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4.4.1</w:t>
      </w:r>
      <w:r>
        <w:rPr>
          <w:rFonts w:hint="eastAsia" w:ascii="宋体" w:hAnsi="宋体"/>
          <w:color w:val="auto"/>
          <w:szCs w:val="21"/>
          <w:highlight w:val="none"/>
        </w:rPr>
        <w:t>乙方对合同货物安装、调试和培训完成后，认为达到使用要求的，应向甲方提出书面验收申请，甲方无异议的，</w:t>
      </w:r>
      <w:r>
        <w:rPr>
          <w:rFonts w:hint="eastAsia" w:ascii="宋体" w:hAnsi="宋体"/>
          <w:color w:val="auto"/>
          <w:szCs w:val="21"/>
          <w:highlight w:val="none"/>
        </w:rPr>
        <w:t>10个工作日内组织验收</w:t>
      </w:r>
      <w:r>
        <w:rPr>
          <w:rFonts w:hint="eastAsia" w:ascii="宋体" w:hAnsi="宋体"/>
          <w:color w:val="auto"/>
          <w:szCs w:val="21"/>
          <w:highlight w:val="none"/>
        </w:rPr>
        <w:t>，验收应在甲乙双方共同参加下进行。</w:t>
      </w:r>
    </w:p>
    <w:p w14:paraId="5A3CDCDD">
      <w:pPr>
        <w:adjustRightInd w:val="0"/>
        <w:snapToGrid w:val="0"/>
        <w:spacing w:line="360" w:lineRule="auto"/>
        <w:ind w:firstLine="420" w:firstLineChars="200"/>
        <w:rPr>
          <w:color w:val="auto"/>
          <w:szCs w:val="21"/>
          <w:highlight w:val="none"/>
        </w:rPr>
      </w:pPr>
      <w:r>
        <w:rPr>
          <w:rFonts w:hint="eastAsia"/>
          <w:color w:val="auto"/>
          <w:szCs w:val="21"/>
          <w:highlight w:val="none"/>
        </w:rPr>
        <w:t>4.4.2货物的验收按合同规定的技术要求和</w:t>
      </w:r>
      <w:r>
        <w:rPr>
          <w:rFonts w:hint="eastAsia" w:ascii="宋体" w:hAnsi="宋体"/>
          <w:color w:val="auto"/>
          <w:szCs w:val="21"/>
          <w:highlight w:val="none"/>
        </w:rPr>
        <w:t>国家有关的规定、规范</w:t>
      </w:r>
      <w:r>
        <w:rPr>
          <w:rFonts w:hint="eastAsia"/>
          <w:color w:val="auto"/>
          <w:szCs w:val="21"/>
          <w:highlight w:val="none"/>
        </w:rPr>
        <w:t>进行，质量需符合国家对相关产品的质量标准。</w:t>
      </w:r>
    </w:p>
    <w:p w14:paraId="5BC4669E">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验收时如发现所交付的货物有短装、次品、损坏或其它不符合本合同规定的，甲方应作出详尽的现场记录，并交由乙方签字确认，或由甲乙双方签署备忘录。此现场记录或备忘录可用作补充、缺失和更换损坏部件的有效证据。由此产生的有关费用由乙方承担。</w:t>
      </w:r>
    </w:p>
    <w:p w14:paraId="778448BA">
      <w:pPr>
        <w:adjustRightInd w:val="0"/>
        <w:snapToGrid w:val="0"/>
        <w:spacing w:line="360" w:lineRule="auto"/>
        <w:ind w:firstLine="420" w:firstLineChars="200"/>
        <w:rPr>
          <w:color w:val="auto"/>
          <w:szCs w:val="21"/>
          <w:highlight w:val="none"/>
        </w:rPr>
      </w:pPr>
      <w:r>
        <w:rPr>
          <w:rFonts w:hint="eastAsia"/>
          <w:color w:val="auto"/>
          <w:szCs w:val="21"/>
          <w:highlight w:val="none"/>
        </w:rPr>
        <w:t>4.4.3因货物质量问题发生较大争议时，由广东省质检部门鉴定或双方共同委托有资质的机构进行鉴定。货物符合合同技术要求的，鉴定费由甲方承担；否则鉴定费由乙方承担。对验收或鉴定确认不合格的货物，乙方应在5个工作日内整改完毕并按合同约定的质量标准交货，否则甲方有权拒收。</w:t>
      </w:r>
    </w:p>
    <w:p w14:paraId="725E4463">
      <w:pPr>
        <w:widowControl/>
        <w:adjustRightInd w:val="0"/>
        <w:snapToGrid w:val="0"/>
        <w:spacing w:line="360" w:lineRule="auto"/>
        <w:ind w:firstLine="422" w:firstLineChars="200"/>
        <w:rPr>
          <w:rFonts w:ascii="宋体" w:hAnsi="宋体" w:cs="宋体"/>
          <w:color w:val="auto"/>
          <w:highlight w:val="none"/>
        </w:rPr>
      </w:pPr>
      <w:r>
        <w:rPr>
          <w:rFonts w:hint="eastAsia" w:ascii="宋体" w:hAnsi="宋体" w:cs="宋体"/>
          <w:b/>
          <w:bCs/>
          <w:color w:val="auto"/>
          <w:szCs w:val="21"/>
          <w:highlight w:val="none"/>
        </w:rPr>
        <w:t>五、质保期及售后服务</w:t>
      </w:r>
    </w:p>
    <w:p w14:paraId="44FD8CF2">
      <w:pPr>
        <w:widowControl/>
        <w:adjustRightInd w:val="0"/>
        <w:snapToGrid w:val="0"/>
        <w:spacing w:line="360" w:lineRule="auto"/>
        <w:ind w:firstLine="420" w:firstLineChars="200"/>
        <w:rPr>
          <w:rFonts w:ascii="宋体" w:hAnsi="宋体"/>
          <w:color w:val="auto"/>
          <w:highlight w:val="none"/>
        </w:rPr>
      </w:pPr>
      <w:r>
        <w:rPr>
          <w:rFonts w:hint="eastAsia"/>
          <w:color w:val="auto"/>
          <w:szCs w:val="21"/>
          <w:highlight w:val="none"/>
        </w:rPr>
        <w:t>5.1</w:t>
      </w:r>
      <w:r>
        <w:rPr>
          <w:rFonts w:hint="eastAsia" w:ascii="宋体" w:hAnsi="宋体"/>
          <w:color w:val="auto"/>
          <w:szCs w:val="21"/>
          <w:highlight w:val="none"/>
        </w:rPr>
        <w:t>在租赁期内</w:t>
      </w:r>
      <w:r>
        <w:rPr>
          <w:rFonts w:hint="eastAsia"/>
          <w:color w:val="auto"/>
          <w:szCs w:val="21"/>
          <w:highlight w:val="none"/>
        </w:rPr>
        <w:t>：</w:t>
      </w:r>
      <w:r>
        <w:rPr>
          <w:rFonts w:hint="eastAsia" w:ascii="宋体" w:hAnsi="宋体"/>
          <w:color w:val="auto"/>
          <w:szCs w:val="21"/>
          <w:highlight w:val="none"/>
        </w:rPr>
        <w:t>乙方负责质</w:t>
      </w:r>
      <w:r>
        <w:rPr>
          <w:rFonts w:hint="eastAsia" w:ascii="宋体" w:hAnsi="宋体" w:cs="宋体"/>
          <w:color w:val="auto"/>
          <w:highlight w:val="none"/>
        </w:rPr>
        <w:t>量保证和免费上门保修服务</w:t>
      </w:r>
      <w:r>
        <w:rPr>
          <w:rFonts w:hint="eastAsia" w:ascii="宋体" w:hAnsi="宋体"/>
          <w:color w:val="auto"/>
          <w:szCs w:val="21"/>
          <w:highlight w:val="none"/>
        </w:rPr>
        <w:t>。</w:t>
      </w:r>
    </w:p>
    <w:p w14:paraId="1DFD0DAF">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5.2乙方应指派专人负责与甲方联系售后服务事宜。在质保期内货物质量出现问题，无论设备因何种原因发生何种故障，乙方须在接到通知后2小时内有专人回复。若维修工程电话不能解决故障，乙方须保证在24小时内派人到现场进行处理，同时负责三包（包修、包退、包换），如在甲方规定时间内不能解决问题的，应在48小时内无偿提供等同档次的货物给甲方代用，并保证满足甲方工作需求，直到原货物修复。质保期内发生的所有费用由乙方负责，需要重新更换货物的，乙方应承担更换货物所产生的一切费用</w:t>
      </w:r>
      <w:r>
        <w:rPr>
          <w:rFonts w:hint="eastAsia" w:ascii="宋体" w:hAnsi="宋体"/>
          <w:color w:val="auto"/>
          <w:szCs w:val="21"/>
          <w:highlight w:val="none"/>
        </w:rPr>
        <w:t>。</w:t>
      </w:r>
    </w:p>
    <w:p w14:paraId="22845C8B">
      <w:pPr>
        <w:adjustRightInd w:val="0"/>
        <w:snapToGrid w:val="0"/>
        <w:spacing w:line="360" w:lineRule="auto"/>
        <w:ind w:firstLine="420" w:firstLineChars="200"/>
        <w:rPr>
          <w:color w:val="auto"/>
          <w:szCs w:val="21"/>
          <w:highlight w:val="none"/>
        </w:rPr>
      </w:pPr>
      <w:r>
        <w:rPr>
          <w:rFonts w:hint="eastAsia"/>
          <w:color w:val="auto"/>
          <w:szCs w:val="21"/>
          <w:highlight w:val="none"/>
        </w:rPr>
        <w:t>5.3下列情况乙方不负责免费保修：</w:t>
      </w:r>
    </w:p>
    <w:p w14:paraId="766C7E27">
      <w:pPr>
        <w:adjustRightInd w:val="0"/>
        <w:snapToGrid w:val="0"/>
        <w:spacing w:line="360" w:lineRule="auto"/>
        <w:ind w:firstLine="420" w:firstLineChars="200"/>
        <w:rPr>
          <w:color w:val="auto"/>
          <w:szCs w:val="21"/>
          <w:highlight w:val="none"/>
        </w:rPr>
      </w:pPr>
      <w:r>
        <w:rPr>
          <w:rFonts w:hint="eastAsia"/>
          <w:color w:val="auto"/>
          <w:szCs w:val="21"/>
          <w:highlight w:val="none"/>
        </w:rPr>
        <w:t>（1）不按照货物使用说明书提供的方法使用而引致系统或货物故障损坏；</w:t>
      </w:r>
    </w:p>
    <w:p w14:paraId="1CBE6BA4">
      <w:pPr>
        <w:adjustRightInd w:val="0"/>
        <w:snapToGrid w:val="0"/>
        <w:spacing w:line="360" w:lineRule="auto"/>
        <w:ind w:firstLine="420" w:firstLineChars="200"/>
        <w:rPr>
          <w:color w:val="auto"/>
          <w:szCs w:val="21"/>
          <w:highlight w:val="none"/>
        </w:rPr>
      </w:pPr>
      <w:r>
        <w:rPr>
          <w:rFonts w:hint="eastAsia"/>
          <w:color w:val="auto"/>
          <w:szCs w:val="21"/>
          <w:highlight w:val="none"/>
        </w:rPr>
        <w:t>（2）擅自修改系统或改装货物；</w:t>
      </w:r>
    </w:p>
    <w:p w14:paraId="092A9F81">
      <w:pPr>
        <w:adjustRightInd w:val="0"/>
        <w:snapToGrid w:val="0"/>
        <w:spacing w:line="360" w:lineRule="auto"/>
        <w:ind w:firstLine="420" w:firstLineChars="200"/>
        <w:rPr>
          <w:color w:val="auto"/>
          <w:szCs w:val="21"/>
          <w:highlight w:val="none"/>
        </w:rPr>
      </w:pPr>
      <w:r>
        <w:rPr>
          <w:rFonts w:hint="eastAsia"/>
          <w:color w:val="auto"/>
          <w:szCs w:val="21"/>
          <w:highlight w:val="none"/>
        </w:rPr>
        <w:t>（3）各种天灾等外来因素造成的损坏</w:t>
      </w:r>
      <w:r>
        <w:rPr>
          <w:rFonts w:hint="eastAsia" w:ascii="宋体" w:hAnsi="宋体"/>
          <w:color w:val="auto"/>
          <w:szCs w:val="21"/>
          <w:highlight w:val="none"/>
        </w:rPr>
        <w:t>。</w:t>
      </w:r>
    </w:p>
    <w:p w14:paraId="43715D9F">
      <w:pPr>
        <w:adjustRightInd w:val="0"/>
        <w:snapToGrid w:val="0"/>
        <w:spacing w:line="360" w:lineRule="auto"/>
        <w:ind w:firstLine="420" w:firstLineChars="200"/>
        <w:rPr>
          <w:color w:val="auto"/>
          <w:szCs w:val="21"/>
          <w:highlight w:val="none"/>
        </w:rPr>
      </w:pPr>
      <w:r>
        <w:rPr>
          <w:rFonts w:hint="eastAsia"/>
          <w:color w:val="auto"/>
          <w:szCs w:val="21"/>
          <w:highlight w:val="none"/>
        </w:rPr>
        <w:t>5.4</w:t>
      </w:r>
      <w:r>
        <w:rPr>
          <w:rFonts w:hint="eastAsia" w:ascii="宋体" w:hAnsi="宋体" w:cs="宋体"/>
          <w:color w:val="auto"/>
          <w:szCs w:val="21"/>
          <w:highlight w:val="none"/>
        </w:rPr>
        <w:t>安装调试完毕，乙方须组织甲方使用人员进行使用及日常维护等的培训，主要内容为货物的基本结构、性能、主要部件/模块的构造及维护、日常使用与管理、常见故障的排除、紧急情况的处理等</w:t>
      </w:r>
      <w:r>
        <w:rPr>
          <w:rFonts w:hint="eastAsia"/>
          <w:color w:val="auto"/>
          <w:szCs w:val="21"/>
          <w:highlight w:val="none"/>
        </w:rPr>
        <w:t>。</w:t>
      </w:r>
    </w:p>
    <w:p w14:paraId="3C155138">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5.5</w:t>
      </w:r>
      <w:r>
        <w:rPr>
          <w:rFonts w:hint="eastAsia" w:ascii="宋体" w:hAnsi="宋体" w:cs="宋体"/>
          <w:color w:val="auto"/>
          <w:szCs w:val="21"/>
          <w:highlight w:val="none"/>
        </w:rPr>
        <w:t>租赁服务未尽事宜，以乙方投标文件中的租赁期内产品质量保证服务承诺作为补充，租赁服务承诺优于合同约定的，以乙方承诺为准</w:t>
      </w:r>
      <w:r>
        <w:rPr>
          <w:rFonts w:hint="eastAsia" w:ascii="宋体" w:hAnsi="宋体"/>
          <w:color w:val="auto"/>
          <w:szCs w:val="21"/>
          <w:highlight w:val="none"/>
        </w:rPr>
        <w:t>。</w:t>
      </w:r>
    </w:p>
    <w:p w14:paraId="42CB3F3C">
      <w:pPr>
        <w:adjustRightInd w:val="0"/>
        <w:snapToGrid w:val="0"/>
        <w:spacing w:line="360" w:lineRule="auto"/>
        <w:ind w:firstLine="420" w:firstLineChars="200"/>
        <w:rPr>
          <w:color w:val="auto"/>
          <w:szCs w:val="21"/>
          <w:highlight w:val="none"/>
        </w:rPr>
      </w:pPr>
      <w:r>
        <w:rPr>
          <w:rFonts w:hint="eastAsia"/>
          <w:color w:val="auto"/>
          <w:szCs w:val="21"/>
          <w:highlight w:val="none"/>
        </w:rPr>
        <w:t>5.6</w:t>
      </w:r>
      <w:r>
        <w:rPr>
          <w:rFonts w:hint="eastAsia" w:ascii="宋体" w:hAnsi="宋体"/>
          <w:color w:val="auto"/>
          <w:szCs w:val="21"/>
          <w:highlight w:val="none"/>
        </w:rPr>
        <w:t>负责维修的单位信息</w:t>
      </w:r>
    </w:p>
    <w:tbl>
      <w:tblPr>
        <w:tblStyle w:val="4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2"/>
        <w:gridCol w:w="2134"/>
      </w:tblGrid>
      <w:tr w14:paraId="61983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nil"/>
              <w:left w:val="nil"/>
              <w:bottom w:val="nil"/>
              <w:right w:val="nil"/>
            </w:tcBorders>
            <w:vAlign w:val="center"/>
          </w:tcPr>
          <w:p w14:paraId="50FF97CD">
            <w:pPr>
              <w:adjustRightInd w:val="0"/>
              <w:snapToGrid w:val="0"/>
              <w:spacing w:line="360" w:lineRule="auto"/>
              <w:ind w:firstLine="840" w:firstLineChars="400"/>
              <w:rPr>
                <w:color w:val="auto"/>
                <w:szCs w:val="21"/>
                <w:highlight w:val="none"/>
              </w:rPr>
            </w:pPr>
            <w:r>
              <w:rPr>
                <w:rFonts w:hint="eastAsia" w:ascii="宋体" w:hAnsi="宋体"/>
                <w:color w:val="auto"/>
                <w:szCs w:val="21"/>
                <w:highlight w:val="none"/>
              </w:rPr>
              <w:t>名称：</w:t>
            </w:r>
          </w:p>
        </w:tc>
        <w:tc>
          <w:tcPr>
            <w:tcW w:w="3750" w:type="pct"/>
            <w:gridSpan w:val="3"/>
            <w:tcBorders>
              <w:top w:val="nil"/>
              <w:left w:val="nil"/>
              <w:bottom w:val="nil"/>
              <w:right w:val="nil"/>
            </w:tcBorders>
            <w:vAlign w:val="center"/>
          </w:tcPr>
          <w:p w14:paraId="1261BD3B">
            <w:pPr>
              <w:adjustRightInd w:val="0"/>
              <w:snapToGrid w:val="0"/>
              <w:spacing w:line="360" w:lineRule="auto"/>
              <w:rPr>
                <w:color w:val="auto"/>
                <w:szCs w:val="21"/>
                <w:highlight w:val="none"/>
                <w:u w:val="single"/>
              </w:rPr>
            </w:pPr>
            <w:r>
              <w:rPr>
                <w:rFonts w:hint="eastAsia"/>
                <w:color w:val="auto"/>
                <w:szCs w:val="21"/>
                <w:highlight w:val="none"/>
                <w:u w:val="single"/>
              </w:rPr>
              <w:t xml:space="preserve">                  </w:t>
            </w:r>
          </w:p>
        </w:tc>
      </w:tr>
      <w:tr w14:paraId="2D2BF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nil"/>
              <w:left w:val="nil"/>
              <w:bottom w:val="nil"/>
              <w:right w:val="nil"/>
            </w:tcBorders>
            <w:vAlign w:val="center"/>
          </w:tcPr>
          <w:p w14:paraId="31B2B6A7">
            <w:pPr>
              <w:adjustRightInd w:val="0"/>
              <w:snapToGrid w:val="0"/>
              <w:spacing w:line="360" w:lineRule="auto"/>
              <w:jc w:val="center"/>
              <w:rPr>
                <w:color w:val="auto"/>
                <w:szCs w:val="21"/>
                <w:highlight w:val="none"/>
              </w:rPr>
            </w:pPr>
            <w:r>
              <w:rPr>
                <w:rFonts w:hint="eastAsia" w:ascii="宋体" w:hAnsi="宋体"/>
                <w:color w:val="auto"/>
                <w:szCs w:val="21"/>
                <w:highlight w:val="none"/>
              </w:rPr>
              <w:t xml:space="preserve">    地址：</w:t>
            </w:r>
          </w:p>
        </w:tc>
        <w:tc>
          <w:tcPr>
            <w:tcW w:w="3750" w:type="pct"/>
            <w:gridSpan w:val="3"/>
            <w:tcBorders>
              <w:top w:val="nil"/>
              <w:left w:val="nil"/>
              <w:bottom w:val="nil"/>
              <w:right w:val="nil"/>
            </w:tcBorders>
            <w:vAlign w:val="center"/>
          </w:tcPr>
          <w:p w14:paraId="735C71AE">
            <w:pPr>
              <w:adjustRightInd w:val="0"/>
              <w:snapToGrid w:val="0"/>
              <w:spacing w:line="360" w:lineRule="auto"/>
              <w:rPr>
                <w:color w:val="auto"/>
                <w:szCs w:val="21"/>
                <w:highlight w:val="none"/>
                <w:u w:val="single"/>
              </w:rPr>
            </w:pPr>
            <w:r>
              <w:rPr>
                <w:rFonts w:hint="eastAsia"/>
                <w:color w:val="auto"/>
                <w:szCs w:val="21"/>
                <w:highlight w:val="none"/>
                <w:u w:val="single"/>
              </w:rPr>
              <w:t xml:space="preserve">                  </w:t>
            </w:r>
          </w:p>
        </w:tc>
      </w:tr>
      <w:tr w14:paraId="4A7F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nil"/>
              <w:left w:val="nil"/>
              <w:bottom w:val="nil"/>
              <w:right w:val="nil"/>
            </w:tcBorders>
            <w:vAlign w:val="center"/>
          </w:tcPr>
          <w:p w14:paraId="04FE80D6">
            <w:pPr>
              <w:adjustRightInd w:val="0"/>
              <w:snapToGrid w:val="0"/>
              <w:spacing w:line="360" w:lineRule="auto"/>
              <w:jc w:val="right"/>
              <w:rPr>
                <w:color w:val="auto"/>
                <w:szCs w:val="21"/>
                <w:highlight w:val="none"/>
              </w:rPr>
            </w:pPr>
            <w:r>
              <w:rPr>
                <w:rFonts w:hint="eastAsia" w:ascii="宋体" w:hAnsi="宋体"/>
                <w:color w:val="auto"/>
                <w:szCs w:val="21"/>
                <w:highlight w:val="none"/>
              </w:rPr>
              <w:t>联 系 人：</w:t>
            </w:r>
          </w:p>
        </w:tc>
        <w:tc>
          <w:tcPr>
            <w:tcW w:w="1249" w:type="pct"/>
            <w:tcBorders>
              <w:top w:val="nil"/>
              <w:left w:val="nil"/>
              <w:bottom w:val="nil"/>
              <w:right w:val="nil"/>
            </w:tcBorders>
            <w:vAlign w:val="center"/>
          </w:tcPr>
          <w:p w14:paraId="0E17B0F1">
            <w:pPr>
              <w:adjustRightInd w:val="0"/>
              <w:snapToGrid w:val="0"/>
              <w:spacing w:line="360" w:lineRule="auto"/>
              <w:rPr>
                <w:color w:val="auto"/>
                <w:szCs w:val="21"/>
                <w:highlight w:val="none"/>
                <w:u w:val="single"/>
              </w:rPr>
            </w:pPr>
            <w:r>
              <w:rPr>
                <w:rFonts w:hint="eastAsia"/>
                <w:color w:val="auto"/>
                <w:szCs w:val="21"/>
                <w:highlight w:val="none"/>
                <w:u w:val="single"/>
              </w:rPr>
              <w:t xml:space="preserve">                      </w:t>
            </w:r>
          </w:p>
        </w:tc>
        <w:tc>
          <w:tcPr>
            <w:tcW w:w="1250" w:type="pct"/>
            <w:tcBorders>
              <w:top w:val="nil"/>
              <w:left w:val="nil"/>
              <w:bottom w:val="nil"/>
              <w:right w:val="nil"/>
            </w:tcBorders>
            <w:vAlign w:val="center"/>
          </w:tcPr>
          <w:p w14:paraId="1FCE8412">
            <w:pPr>
              <w:adjustRightInd w:val="0"/>
              <w:snapToGrid w:val="0"/>
              <w:spacing w:line="360" w:lineRule="auto"/>
              <w:jc w:val="right"/>
              <w:rPr>
                <w:color w:val="auto"/>
                <w:szCs w:val="21"/>
                <w:highlight w:val="none"/>
              </w:rPr>
            </w:pPr>
            <w:r>
              <w:rPr>
                <w:rFonts w:hint="eastAsia" w:ascii="宋体" w:hAnsi="宋体"/>
                <w:color w:val="auto"/>
                <w:szCs w:val="21"/>
                <w:highlight w:val="none"/>
              </w:rPr>
              <w:t>电话：</w:t>
            </w:r>
          </w:p>
        </w:tc>
        <w:tc>
          <w:tcPr>
            <w:tcW w:w="1250" w:type="pct"/>
            <w:tcBorders>
              <w:top w:val="nil"/>
              <w:left w:val="nil"/>
              <w:bottom w:val="nil"/>
              <w:right w:val="nil"/>
            </w:tcBorders>
            <w:vAlign w:val="center"/>
          </w:tcPr>
          <w:p w14:paraId="3E60B8AA">
            <w:pPr>
              <w:adjustRightInd w:val="0"/>
              <w:snapToGrid w:val="0"/>
              <w:spacing w:line="360" w:lineRule="auto"/>
              <w:jc w:val="left"/>
              <w:rPr>
                <w:color w:val="auto"/>
                <w:szCs w:val="21"/>
                <w:highlight w:val="none"/>
              </w:rPr>
            </w:pPr>
            <w:r>
              <w:rPr>
                <w:rFonts w:hint="eastAsia"/>
                <w:color w:val="auto"/>
                <w:szCs w:val="21"/>
                <w:highlight w:val="none"/>
                <w:u w:val="single"/>
              </w:rPr>
              <w:t xml:space="preserve">                 </w:t>
            </w:r>
          </w:p>
        </w:tc>
      </w:tr>
      <w:tr w14:paraId="5FB1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nil"/>
              <w:left w:val="nil"/>
              <w:bottom w:val="nil"/>
              <w:right w:val="nil"/>
            </w:tcBorders>
            <w:vAlign w:val="center"/>
          </w:tcPr>
          <w:p w14:paraId="67DAD25E">
            <w:pPr>
              <w:adjustRightInd w:val="0"/>
              <w:snapToGrid w:val="0"/>
              <w:spacing w:line="360" w:lineRule="auto"/>
              <w:jc w:val="center"/>
              <w:rPr>
                <w:color w:val="auto"/>
                <w:szCs w:val="21"/>
                <w:highlight w:val="none"/>
              </w:rPr>
            </w:pPr>
            <w:r>
              <w:rPr>
                <w:rFonts w:hint="eastAsia" w:ascii="宋体" w:hAnsi="宋体"/>
                <w:color w:val="auto"/>
                <w:szCs w:val="21"/>
                <w:highlight w:val="none"/>
              </w:rPr>
              <w:t xml:space="preserve">    手机：</w:t>
            </w:r>
          </w:p>
        </w:tc>
        <w:tc>
          <w:tcPr>
            <w:tcW w:w="1249" w:type="pct"/>
            <w:tcBorders>
              <w:top w:val="nil"/>
              <w:left w:val="nil"/>
              <w:bottom w:val="nil"/>
              <w:right w:val="nil"/>
            </w:tcBorders>
            <w:vAlign w:val="center"/>
          </w:tcPr>
          <w:p w14:paraId="76153570">
            <w:pPr>
              <w:adjustRightInd w:val="0"/>
              <w:snapToGrid w:val="0"/>
              <w:spacing w:line="360" w:lineRule="auto"/>
              <w:rPr>
                <w:color w:val="auto"/>
                <w:szCs w:val="21"/>
                <w:highlight w:val="none"/>
              </w:rPr>
            </w:pPr>
            <w:r>
              <w:rPr>
                <w:rFonts w:hint="eastAsia"/>
                <w:color w:val="auto"/>
                <w:szCs w:val="21"/>
                <w:highlight w:val="none"/>
                <w:u w:val="single"/>
              </w:rPr>
              <w:t xml:space="preserve">                         </w:t>
            </w:r>
          </w:p>
        </w:tc>
        <w:tc>
          <w:tcPr>
            <w:tcW w:w="1250" w:type="pct"/>
            <w:tcBorders>
              <w:top w:val="nil"/>
              <w:left w:val="nil"/>
              <w:bottom w:val="nil"/>
              <w:right w:val="nil"/>
            </w:tcBorders>
            <w:vAlign w:val="center"/>
          </w:tcPr>
          <w:p w14:paraId="1794A57F">
            <w:pPr>
              <w:adjustRightInd w:val="0"/>
              <w:snapToGrid w:val="0"/>
              <w:spacing w:line="360" w:lineRule="auto"/>
              <w:jc w:val="right"/>
              <w:rPr>
                <w:color w:val="auto"/>
                <w:szCs w:val="21"/>
                <w:highlight w:val="none"/>
              </w:rPr>
            </w:pPr>
            <w:r>
              <w:rPr>
                <w:rFonts w:hint="eastAsia"/>
                <w:color w:val="auto"/>
                <w:szCs w:val="21"/>
                <w:highlight w:val="none"/>
              </w:rPr>
              <w:t>邮箱：</w:t>
            </w:r>
          </w:p>
        </w:tc>
        <w:tc>
          <w:tcPr>
            <w:tcW w:w="1250" w:type="pct"/>
            <w:tcBorders>
              <w:top w:val="nil"/>
              <w:left w:val="nil"/>
              <w:bottom w:val="nil"/>
              <w:right w:val="nil"/>
            </w:tcBorders>
            <w:vAlign w:val="center"/>
          </w:tcPr>
          <w:p w14:paraId="31C63BF4">
            <w:pPr>
              <w:adjustRightInd w:val="0"/>
              <w:snapToGrid w:val="0"/>
              <w:spacing w:line="360" w:lineRule="auto"/>
              <w:rPr>
                <w:color w:val="auto"/>
                <w:szCs w:val="21"/>
                <w:highlight w:val="none"/>
              </w:rPr>
            </w:pPr>
            <w:r>
              <w:rPr>
                <w:rFonts w:hint="eastAsia"/>
                <w:color w:val="auto"/>
                <w:szCs w:val="21"/>
                <w:highlight w:val="none"/>
                <w:u w:val="single"/>
              </w:rPr>
              <w:t xml:space="preserve">                 </w:t>
            </w:r>
          </w:p>
        </w:tc>
      </w:tr>
    </w:tbl>
    <w:p w14:paraId="19907389">
      <w:pPr>
        <w:adjustRightInd w:val="0"/>
        <w:snapToGrid w:val="0"/>
        <w:spacing w:line="360" w:lineRule="auto"/>
        <w:rPr>
          <w:color w:val="auto"/>
          <w:highlight w:val="none"/>
        </w:rPr>
      </w:pPr>
    </w:p>
    <w:p w14:paraId="57F00B3B">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六、付款条款的约定</w:t>
      </w:r>
    </w:p>
    <w:p w14:paraId="6F931FAD">
      <w:pPr>
        <w:adjustRightInd w:val="0"/>
        <w:snapToGrid w:val="0"/>
        <w:spacing w:line="360" w:lineRule="auto"/>
        <w:ind w:firstLine="420" w:firstLineChars="200"/>
        <w:rPr>
          <w:color w:val="auto"/>
          <w:szCs w:val="21"/>
          <w:highlight w:val="none"/>
        </w:rPr>
      </w:pPr>
      <w:r>
        <w:rPr>
          <w:rFonts w:hint="eastAsia"/>
          <w:color w:val="auto"/>
          <w:szCs w:val="21"/>
          <w:highlight w:val="none"/>
        </w:rPr>
        <w:t>6.1</w:t>
      </w:r>
      <w:r>
        <w:rPr>
          <w:color w:val="auto"/>
          <w:szCs w:val="21"/>
          <w:highlight w:val="none"/>
        </w:rPr>
        <w:t>付款办法</w:t>
      </w:r>
    </w:p>
    <w:p w14:paraId="3ED7340C">
      <w:pPr>
        <w:adjustRightInd w:val="0"/>
        <w:snapToGrid w:val="0"/>
        <w:spacing w:line="360" w:lineRule="auto"/>
        <w:ind w:firstLine="420" w:firstLineChars="200"/>
        <w:rPr>
          <w:color w:val="auto"/>
          <w:szCs w:val="21"/>
          <w:highlight w:val="none"/>
        </w:rPr>
      </w:pPr>
      <w:r>
        <w:rPr>
          <w:rFonts w:ascii="宋体" w:hAnsi="宋体"/>
          <w:color w:val="auto"/>
          <w:szCs w:val="21"/>
          <w:highlight w:val="none"/>
        </w:rPr>
        <w:t>本项目仪器到位、安装、调试完毕，并经采购人组织相关专业技术人员与职能部门验收合格后10个工作日内，采购人向供应商支付</w:t>
      </w:r>
      <w:r>
        <w:rPr>
          <w:rFonts w:hint="eastAsia" w:ascii="宋体" w:hAnsi="宋体"/>
          <w:color w:val="auto"/>
          <w:szCs w:val="21"/>
          <w:highlight w:val="none"/>
          <w:u w:val="single"/>
        </w:rPr>
        <w:t xml:space="preserve">       万元</w:t>
      </w:r>
      <w:r>
        <w:rPr>
          <w:rFonts w:hint="eastAsia" w:ascii="宋体" w:hAnsi="宋体"/>
          <w:color w:val="auto"/>
          <w:szCs w:val="21"/>
          <w:highlight w:val="none"/>
        </w:rPr>
        <w:t>作为</w:t>
      </w:r>
      <w:r>
        <w:rPr>
          <w:rFonts w:ascii="宋体" w:hAnsi="宋体"/>
          <w:color w:val="auto"/>
          <w:szCs w:val="21"/>
          <w:highlight w:val="none"/>
        </w:rPr>
        <w:t>第一年租赁费用；设备租用满一年后10个工作日内用户单位向供应商支付</w:t>
      </w:r>
      <w:r>
        <w:rPr>
          <w:rFonts w:hint="eastAsia" w:ascii="宋体" w:hAnsi="宋体"/>
          <w:color w:val="auto"/>
          <w:szCs w:val="21"/>
          <w:highlight w:val="none"/>
          <w:u w:val="single"/>
        </w:rPr>
        <w:t xml:space="preserve">       万元</w:t>
      </w:r>
      <w:r>
        <w:rPr>
          <w:rFonts w:hint="eastAsia" w:ascii="宋体" w:hAnsi="宋体"/>
          <w:color w:val="auto"/>
          <w:szCs w:val="21"/>
          <w:highlight w:val="none"/>
        </w:rPr>
        <w:t>作为</w:t>
      </w:r>
      <w:r>
        <w:rPr>
          <w:rFonts w:ascii="宋体" w:hAnsi="宋体"/>
          <w:color w:val="auto"/>
          <w:szCs w:val="21"/>
          <w:highlight w:val="none"/>
        </w:rPr>
        <w:t>第二年租赁费用；设备租用满二年后10个工作日内用户单位向供应商支付</w:t>
      </w:r>
      <w:r>
        <w:rPr>
          <w:rFonts w:hint="eastAsia" w:ascii="宋体" w:hAnsi="宋体"/>
          <w:color w:val="auto"/>
          <w:szCs w:val="21"/>
          <w:highlight w:val="none"/>
          <w:u w:val="single"/>
        </w:rPr>
        <w:t xml:space="preserve">       万元</w:t>
      </w:r>
      <w:r>
        <w:rPr>
          <w:rFonts w:hint="eastAsia" w:ascii="宋体" w:hAnsi="宋体"/>
          <w:color w:val="auto"/>
          <w:szCs w:val="21"/>
          <w:highlight w:val="none"/>
        </w:rPr>
        <w:t>作为</w:t>
      </w:r>
      <w:r>
        <w:rPr>
          <w:rFonts w:ascii="宋体" w:hAnsi="宋体"/>
          <w:color w:val="auto"/>
          <w:szCs w:val="21"/>
          <w:highlight w:val="none"/>
        </w:rPr>
        <w:t>第三年租赁费用</w:t>
      </w:r>
      <w:r>
        <w:rPr>
          <w:rFonts w:hint="eastAsia"/>
          <w:color w:val="auto"/>
          <w:szCs w:val="21"/>
          <w:highlight w:val="none"/>
        </w:rPr>
        <w:t>。</w:t>
      </w:r>
    </w:p>
    <w:p w14:paraId="7B51FACD">
      <w:pPr>
        <w:adjustRightInd w:val="0"/>
        <w:snapToGrid w:val="0"/>
        <w:spacing w:line="360" w:lineRule="auto"/>
        <w:ind w:firstLine="420" w:firstLineChars="200"/>
        <w:rPr>
          <w:color w:val="auto"/>
          <w:szCs w:val="21"/>
          <w:highlight w:val="none"/>
        </w:rPr>
      </w:pPr>
      <w:r>
        <w:rPr>
          <w:rFonts w:hint="eastAsia"/>
          <w:color w:val="auto"/>
          <w:szCs w:val="21"/>
          <w:highlight w:val="none"/>
        </w:rPr>
        <w:t xml:space="preserve">6.2乙方凭以下有效文件与甲方结算： </w:t>
      </w:r>
    </w:p>
    <w:p w14:paraId="27FC84C4">
      <w:pPr>
        <w:adjustRightInd w:val="0"/>
        <w:snapToGrid w:val="0"/>
        <w:spacing w:line="360" w:lineRule="auto"/>
        <w:ind w:firstLine="420" w:firstLineChars="200"/>
        <w:rPr>
          <w:color w:val="auto"/>
          <w:szCs w:val="21"/>
          <w:highlight w:val="none"/>
        </w:rPr>
      </w:pPr>
      <w:r>
        <w:rPr>
          <w:rFonts w:hint="eastAsia"/>
          <w:color w:val="auto"/>
          <w:szCs w:val="21"/>
          <w:highlight w:val="none"/>
        </w:rPr>
        <w:t>（1）合同；</w:t>
      </w:r>
    </w:p>
    <w:p w14:paraId="0D61C319">
      <w:pPr>
        <w:adjustRightInd w:val="0"/>
        <w:snapToGrid w:val="0"/>
        <w:spacing w:line="360" w:lineRule="auto"/>
        <w:ind w:firstLine="420" w:firstLineChars="200"/>
        <w:rPr>
          <w:color w:val="auto"/>
          <w:szCs w:val="21"/>
          <w:highlight w:val="none"/>
        </w:rPr>
      </w:pPr>
      <w:r>
        <w:rPr>
          <w:rFonts w:hint="eastAsia"/>
          <w:color w:val="auto"/>
          <w:szCs w:val="21"/>
          <w:highlight w:val="none"/>
        </w:rPr>
        <w:t>（2）乙方开具的正式增值税专用发票。</w:t>
      </w:r>
    </w:p>
    <w:p w14:paraId="2CCECEBF">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七、技术服务</w:t>
      </w:r>
    </w:p>
    <w:p w14:paraId="616B29D5">
      <w:pPr>
        <w:adjustRightInd w:val="0"/>
        <w:snapToGrid w:val="0"/>
        <w:spacing w:line="360" w:lineRule="auto"/>
        <w:ind w:firstLine="420" w:firstLineChars="200"/>
        <w:rPr>
          <w:color w:val="auto"/>
          <w:szCs w:val="21"/>
          <w:highlight w:val="none"/>
        </w:rPr>
      </w:pPr>
      <w:r>
        <w:rPr>
          <w:rFonts w:hint="eastAsia"/>
          <w:color w:val="auto"/>
          <w:szCs w:val="21"/>
          <w:highlight w:val="none"/>
        </w:rPr>
        <w:t>7.1乙方应派员到甲方指定地点配合工作。</w:t>
      </w:r>
    </w:p>
    <w:p w14:paraId="0ECA3105">
      <w:pPr>
        <w:adjustRightInd w:val="0"/>
        <w:snapToGrid w:val="0"/>
        <w:spacing w:line="360" w:lineRule="auto"/>
        <w:ind w:firstLine="420" w:firstLineChars="200"/>
        <w:rPr>
          <w:color w:val="auto"/>
          <w:szCs w:val="21"/>
          <w:highlight w:val="none"/>
        </w:rPr>
      </w:pPr>
      <w:r>
        <w:rPr>
          <w:rFonts w:hint="eastAsia"/>
          <w:color w:val="auto"/>
          <w:szCs w:val="21"/>
          <w:highlight w:val="none"/>
        </w:rPr>
        <w:t>7.2乙方按甲方提供的合同执行进度计划，并配合甲方及相关部门做好合同执行进度上的工作。</w:t>
      </w:r>
    </w:p>
    <w:p w14:paraId="5EB8E25D">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八、不可抗力</w:t>
      </w:r>
    </w:p>
    <w:p w14:paraId="67FB341F">
      <w:pPr>
        <w:adjustRightInd w:val="0"/>
        <w:snapToGrid w:val="0"/>
        <w:spacing w:line="360" w:lineRule="auto"/>
        <w:ind w:firstLine="420" w:firstLineChars="200"/>
        <w:rPr>
          <w:color w:val="auto"/>
          <w:szCs w:val="21"/>
          <w:highlight w:val="none"/>
        </w:rPr>
      </w:pPr>
      <w:r>
        <w:rPr>
          <w:rFonts w:hint="eastAsia"/>
          <w:color w:val="auto"/>
          <w:szCs w:val="21"/>
          <w:highlight w:val="none"/>
        </w:rPr>
        <w:t>8.1不可抗力指战争、严重火灾、洪水、台风、地震等法律规定的不可抗力事件。</w:t>
      </w:r>
    </w:p>
    <w:p w14:paraId="7922B1B7">
      <w:pPr>
        <w:adjustRightInd w:val="0"/>
        <w:snapToGrid w:val="0"/>
        <w:spacing w:line="360" w:lineRule="auto"/>
        <w:ind w:firstLine="420" w:firstLineChars="200"/>
        <w:rPr>
          <w:color w:val="auto"/>
          <w:szCs w:val="21"/>
          <w:highlight w:val="none"/>
        </w:rPr>
      </w:pPr>
      <w:r>
        <w:rPr>
          <w:rFonts w:hint="eastAsia"/>
          <w:color w:val="auto"/>
          <w:szCs w:val="21"/>
          <w:highlight w:val="none"/>
        </w:rPr>
        <w:t>8.2签约双方中任何一方由于不可抗力影响合同执行时，发生不可抗力一方应尽快将事故通知另一方。在此情况下，乙方仍然有责任采取必要的措施加速供货，双方应通过友好协商尽快解决本合同的执行问题。</w:t>
      </w:r>
    </w:p>
    <w:p w14:paraId="630410E0">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九、索赔</w:t>
      </w:r>
    </w:p>
    <w:p w14:paraId="2D0BA3DF">
      <w:pPr>
        <w:adjustRightInd w:val="0"/>
        <w:snapToGrid w:val="0"/>
        <w:spacing w:line="360" w:lineRule="auto"/>
        <w:ind w:firstLine="420" w:firstLineChars="200"/>
        <w:rPr>
          <w:color w:val="auto"/>
          <w:szCs w:val="21"/>
          <w:highlight w:val="none"/>
        </w:rPr>
      </w:pPr>
      <w:r>
        <w:rPr>
          <w:rFonts w:hint="eastAsia"/>
          <w:color w:val="auto"/>
          <w:szCs w:val="21"/>
          <w:highlight w:val="none"/>
        </w:rPr>
        <w:t>9.1如有异议，甲方有权根据有关政府部门或有资质的检验机构的检验结果向乙方提出索赔。</w:t>
      </w:r>
    </w:p>
    <w:p w14:paraId="55CA6AD7">
      <w:pPr>
        <w:adjustRightInd w:val="0"/>
        <w:snapToGrid w:val="0"/>
        <w:spacing w:line="360" w:lineRule="auto"/>
        <w:ind w:firstLine="420" w:firstLineChars="200"/>
        <w:rPr>
          <w:color w:val="auto"/>
          <w:szCs w:val="21"/>
          <w:highlight w:val="none"/>
        </w:rPr>
      </w:pPr>
      <w:r>
        <w:rPr>
          <w:rFonts w:hint="eastAsia"/>
          <w:color w:val="auto"/>
          <w:szCs w:val="21"/>
          <w:highlight w:val="none"/>
        </w:rPr>
        <w:t>9.2在合同执行期间，乙方应按照甲方同意的下列一种或多种方式解决索赔事宜：</w:t>
      </w:r>
    </w:p>
    <w:p w14:paraId="0BCD3B96">
      <w:pPr>
        <w:adjustRightInd w:val="0"/>
        <w:snapToGrid w:val="0"/>
        <w:spacing w:line="360" w:lineRule="auto"/>
        <w:ind w:firstLine="420" w:firstLineChars="200"/>
        <w:rPr>
          <w:color w:val="auto"/>
          <w:szCs w:val="21"/>
          <w:highlight w:val="none"/>
        </w:rPr>
      </w:pPr>
      <w:r>
        <w:rPr>
          <w:rFonts w:hint="eastAsia"/>
          <w:color w:val="auto"/>
          <w:szCs w:val="21"/>
          <w:highlight w:val="none"/>
        </w:rPr>
        <w:t>（1） 乙方同意退货，应在3日内将货款全额退还给甲方，并承担由此发生的一切费用和赔偿甲方所遭受的损失。</w:t>
      </w:r>
    </w:p>
    <w:p w14:paraId="1B8F398E">
      <w:pPr>
        <w:adjustRightInd w:val="0"/>
        <w:snapToGrid w:val="0"/>
        <w:spacing w:line="360" w:lineRule="auto"/>
        <w:ind w:firstLine="420" w:firstLineChars="200"/>
        <w:rPr>
          <w:color w:val="auto"/>
          <w:szCs w:val="21"/>
          <w:highlight w:val="none"/>
        </w:rPr>
      </w:pPr>
      <w:r>
        <w:rPr>
          <w:rFonts w:hint="eastAsia"/>
          <w:color w:val="auto"/>
          <w:szCs w:val="21"/>
          <w:highlight w:val="none"/>
        </w:rPr>
        <w:t>（2） 用符合规格、质量和性能要求的新零件、部件或货物来更换有缺陷的部分或修补缺陷的部分，乙方应承担一切费用和风险并赔偿甲方所遭受的损失。同时，相应延长免费质保期。</w:t>
      </w:r>
    </w:p>
    <w:p w14:paraId="1D743BEA">
      <w:pPr>
        <w:adjustRightInd w:val="0"/>
        <w:snapToGrid w:val="0"/>
        <w:spacing w:line="360" w:lineRule="auto"/>
        <w:ind w:firstLine="420" w:firstLineChars="200"/>
        <w:rPr>
          <w:color w:val="auto"/>
          <w:szCs w:val="21"/>
          <w:highlight w:val="none"/>
        </w:rPr>
      </w:pPr>
      <w:r>
        <w:rPr>
          <w:rFonts w:hint="eastAsia"/>
          <w:color w:val="auto"/>
          <w:szCs w:val="21"/>
          <w:highlight w:val="none"/>
        </w:rPr>
        <w:t>9.3如果在甲方发出索赔通知后30天内，乙方未作答复，上述索赔应视为已被乙方接受。甲方将从合同款项中扣回索赔金额。如果这些金额不足以抵扣，甲方有权继续向乙方追偿。</w:t>
      </w:r>
    </w:p>
    <w:p w14:paraId="77C6A384">
      <w:pPr>
        <w:pStyle w:val="364"/>
        <w:spacing w:line="360" w:lineRule="auto"/>
        <w:ind w:firstLine="420"/>
        <w:rPr>
          <w:rFonts w:hint="default" w:ascii="宋体" w:hAnsi="宋体" w:eastAsia="宋体" w:cs="宋体"/>
          <w:b/>
          <w:color w:val="auto"/>
          <w:sz w:val="21"/>
          <w:szCs w:val="21"/>
          <w:highlight w:val="none"/>
          <w:lang w:eastAsia="zh-CN"/>
        </w:rPr>
      </w:pPr>
      <w:r>
        <w:rPr>
          <w:rFonts w:ascii="宋体" w:hAnsi="宋体" w:eastAsia="宋体" w:cs="宋体"/>
          <w:b/>
          <w:bCs/>
          <w:color w:val="auto"/>
          <w:kern w:val="2"/>
          <w:sz w:val="21"/>
          <w:szCs w:val="21"/>
          <w:highlight w:val="none"/>
          <w:lang w:eastAsia="zh-CN"/>
        </w:rPr>
        <w:t>十、租赁期货物甲乙双方责任约定</w:t>
      </w:r>
    </w:p>
    <w:p w14:paraId="0D57A0EA">
      <w:pPr>
        <w:adjustRightInd w:val="0"/>
        <w:snapToGrid w:val="0"/>
        <w:spacing w:line="360" w:lineRule="auto"/>
        <w:ind w:firstLine="420" w:firstLineChars="200"/>
        <w:rPr>
          <w:color w:val="auto"/>
          <w:szCs w:val="21"/>
          <w:highlight w:val="none"/>
        </w:rPr>
      </w:pPr>
      <w:r>
        <w:rPr>
          <w:rFonts w:hint="eastAsia"/>
          <w:color w:val="auto"/>
          <w:szCs w:val="21"/>
          <w:highlight w:val="none"/>
        </w:rPr>
        <w:t xml:space="preserve">10.1供应商与采购人双方确定仪器租赁关系之日起，双方应对设备的质量共同确认。 </w:t>
      </w:r>
    </w:p>
    <w:p w14:paraId="1CE12E24">
      <w:pPr>
        <w:adjustRightInd w:val="0"/>
        <w:snapToGrid w:val="0"/>
        <w:spacing w:line="360" w:lineRule="auto"/>
        <w:ind w:firstLine="420" w:firstLineChars="200"/>
        <w:rPr>
          <w:color w:val="auto"/>
          <w:szCs w:val="21"/>
          <w:highlight w:val="none"/>
        </w:rPr>
      </w:pPr>
      <w:r>
        <w:rPr>
          <w:rFonts w:hint="eastAsia"/>
          <w:color w:val="auto"/>
          <w:szCs w:val="21"/>
          <w:highlight w:val="none"/>
        </w:rPr>
        <w:t xml:space="preserve">10.2租赁设备期间，设备所有权为供应商所有。 </w:t>
      </w:r>
    </w:p>
    <w:p w14:paraId="5E8D1084">
      <w:pPr>
        <w:adjustRightInd w:val="0"/>
        <w:snapToGrid w:val="0"/>
        <w:spacing w:line="360" w:lineRule="auto"/>
        <w:ind w:firstLine="420" w:firstLineChars="200"/>
        <w:rPr>
          <w:color w:val="auto"/>
          <w:szCs w:val="21"/>
          <w:highlight w:val="none"/>
        </w:rPr>
      </w:pPr>
      <w:r>
        <w:rPr>
          <w:rFonts w:hint="eastAsia"/>
          <w:color w:val="auto"/>
          <w:szCs w:val="21"/>
          <w:highlight w:val="none"/>
        </w:rPr>
        <w:t xml:space="preserve">10.3仪器租赁期间，用户单位享有仪器的全部使用权，但不得转让或作为财产抵押，未经供应商同意亦不得拆卸仪器，供应商未经用户单位同意，不得将设备收回或转租第三方。 </w:t>
      </w:r>
    </w:p>
    <w:p w14:paraId="3A72DDED">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10.4采购人保证不侵犯供应商在其产品上的专利权、商标权、专有技术及产品相关资料的版权。</w:t>
      </w:r>
      <w:r>
        <w:rPr>
          <w:rFonts w:ascii="宋体" w:hAnsi="宋体"/>
          <w:color w:val="auto"/>
          <w:szCs w:val="21"/>
          <w:highlight w:val="none"/>
        </w:rPr>
        <w:t xml:space="preserve"> </w:t>
      </w:r>
    </w:p>
    <w:p w14:paraId="3D8FBF27">
      <w:pPr>
        <w:tabs>
          <w:tab w:val="left" w:pos="630"/>
        </w:tabs>
        <w:adjustRightInd w:val="0"/>
        <w:snapToGrid w:val="0"/>
        <w:spacing w:line="360" w:lineRule="auto"/>
        <w:ind w:firstLine="420" w:firstLineChars="200"/>
        <w:rPr>
          <w:rFonts w:ascii="宋体" w:hAnsi="宋体" w:cs="宋体"/>
          <w:b/>
          <w:bCs/>
          <w:color w:val="auto"/>
          <w:szCs w:val="21"/>
          <w:highlight w:val="none"/>
        </w:rPr>
      </w:pPr>
      <w:r>
        <w:rPr>
          <w:rFonts w:ascii="宋体" w:hAnsi="宋体"/>
          <w:color w:val="auto"/>
          <w:szCs w:val="21"/>
          <w:highlight w:val="none"/>
        </w:rPr>
        <w:t>10.5租赁期结束之日起，供应商10个工作日内自行至采购人处取回设备，逾期视为同意采购人有权自行处置相关设备</w:t>
      </w:r>
      <w:r>
        <w:rPr>
          <w:rFonts w:hint="eastAsia" w:ascii="宋体" w:hAnsi="宋体"/>
          <w:color w:val="auto"/>
          <w:szCs w:val="21"/>
          <w:highlight w:val="none"/>
        </w:rPr>
        <w:t>。</w:t>
      </w:r>
    </w:p>
    <w:p w14:paraId="79ACDF1C">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十一、违约与处罚</w:t>
      </w:r>
    </w:p>
    <w:p w14:paraId="6A439A70">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11.1</w:t>
      </w:r>
      <w:r>
        <w:rPr>
          <w:rFonts w:hint="eastAsia" w:ascii="宋体" w:hAnsi="宋体"/>
          <w:color w:val="auto"/>
          <w:szCs w:val="21"/>
          <w:highlight w:val="none"/>
        </w:rPr>
        <w:t>甲方应依合同规定的时间内，向乙方支付租赁款，每拖延一天乙方可向甲方加收拖欠货款金额的0.5%的违约金</w:t>
      </w:r>
      <w:r>
        <w:rPr>
          <w:rFonts w:hint="eastAsia" w:ascii="宋体" w:hAnsi="宋体"/>
          <w:color w:val="auto"/>
          <w:highlight w:val="none"/>
        </w:rPr>
        <w:t>。</w:t>
      </w:r>
    </w:p>
    <w:p w14:paraId="5530ADA9">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11.2</w:t>
      </w:r>
      <w:r>
        <w:rPr>
          <w:rFonts w:hint="eastAsia" w:ascii="宋体" w:hAnsi="宋体"/>
          <w:color w:val="auto"/>
          <w:szCs w:val="21"/>
          <w:highlight w:val="none"/>
        </w:rPr>
        <w:t>乙方未能按时全部交货的，每拖延1天，须向甲方支付合同金额的0.5%的违约金。逾期15天以上的，甲方有权单方直接终止合同，乙方按合同金额的5%向甲方支付违约金，若乙方的违约行为造成甲方的损失高于违约金的，甲方有权向乙方追加赔偿。</w:t>
      </w:r>
    </w:p>
    <w:p w14:paraId="3ED91455">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11.3</w:t>
      </w:r>
      <w:r>
        <w:rPr>
          <w:rFonts w:hint="eastAsia" w:ascii="宋体" w:hAnsi="宋体"/>
          <w:color w:val="auto"/>
          <w:szCs w:val="21"/>
          <w:highlight w:val="none"/>
        </w:rPr>
        <w:t>乙方交付的货物不符合合同规定的，甲方有权拒收，乙方还应按合同金额的5%向甲方支付违约金。</w:t>
      </w:r>
    </w:p>
    <w:p w14:paraId="3E070737">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11.4</w:t>
      </w:r>
      <w:r>
        <w:rPr>
          <w:rFonts w:hint="eastAsia" w:ascii="宋体" w:hAnsi="宋体"/>
          <w:color w:val="auto"/>
          <w:szCs w:val="21"/>
          <w:highlight w:val="none"/>
        </w:rPr>
        <w:t>甲方无正当理由拒收货物的，甲方应按合同金额的5%向乙方支付违约金。</w:t>
      </w:r>
    </w:p>
    <w:p w14:paraId="28C3D4E2">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11.5</w:t>
      </w:r>
      <w:r>
        <w:rPr>
          <w:rFonts w:hint="eastAsia" w:ascii="宋体" w:hAnsi="宋体"/>
          <w:color w:val="auto"/>
          <w:szCs w:val="21"/>
          <w:highlight w:val="none"/>
        </w:rPr>
        <w:t>在租赁期内，乙方违反合同租赁期内产品质量保证服务条款约定，或者拒不提供租赁期内产品质量保证服务的，或租赁期内产品质量保证服务不符合约定的，乙方须向甲方支付本合同金额5%的违约金。造成甲方损失的，还应承担赔偿责任。</w:t>
      </w:r>
    </w:p>
    <w:p w14:paraId="7D5B9D22">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11.6</w:t>
      </w:r>
      <w:r>
        <w:rPr>
          <w:rFonts w:hint="eastAsia" w:ascii="宋体" w:hAnsi="宋体"/>
          <w:color w:val="auto"/>
          <w:szCs w:val="21"/>
          <w:highlight w:val="none"/>
        </w:rPr>
        <w:t>其它违约责任按《中华人民共和国民法典》处理。</w:t>
      </w:r>
    </w:p>
    <w:p w14:paraId="2CC6EF60">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十二、合同终止</w:t>
      </w:r>
    </w:p>
    <w:p w14:paraId="37C1E578">
      <w:pPr>
        <w:adjustRightInd w:val="0"/>
        <w:snapToGrid w:val="0"/>
        <w:spacing w:line="360" w:lineRule="auto"/>
        <w:ind w:firstLine="420" w:firstLineChars="200"/>
        <w:rPr>
          <w:color w:val="auto"/>
          <w:szCs w:val="21"/>
          <w:highlight w:val="none"/>
        </w:rPr>
      </w:pPr>
      <w:r>
        <w:rPr>
          <w:rFonts w:hint="eastAsia"/>
          <w:color w:val="auto"/>
          <w:szCs w:val="21"/>
          <w:highlight w:val="none"/>
        </w:rPr>
        <w:t>如果一方严重违反合同，另一方可立即终止本合同。</w:t>
      </w:r>
    </w:p>
    <w:p w14:paraId="35B2681F">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十三、法律诉讼</w:t>
      </w:r>
    </w:p>
    <w:p w14:paraId="5E86F6DB">
      <w:pPr>
        <w:adjustRightInd w:val="0"/>
        <w:snapToGrid w:val="0"/>
        <w:spacing w:line="360" w:lineRule="auto"/>
        <w:ind w:firstLine="420" w:firstLineChars="200"/>
        <w:rPr>
          <w:color w:val="auto"/>
          <w:szCs w:val="21"/>
          <w:highlight w:val="none"/>
        </w:rPr>
      </w:pPr>
      <w:r>
        <w:rPr>
          <w:rFonts w:hint="eastAsia" w:ascii="宋体" w:hAnsi="宋体" w:cs="宋体"/>
          <w:color w:val="auto"/>
          <w:szCs w:val="21"/>
          <w:highlight w:val="none"/>
        </w:rPr>
        <w:t>签约双方在履约中发生争执和分歧，双方应通过友好协商解决，若经协商不能达成协议时，则向合同签订所在地人民法院提起诉讼。受理期间，双方应继续执行合同其余部分</w:t>
      </w:r>
      <w:r>
        <w:rPr>
          <w:rFonts w:hint="eastAsia"/>
          <w:color w:val="auto"/>
          <w:szCs w:val="21"/>
          <w:highlight w:val="none"/>
        </w:rPr>
        <w:t>。</w:t>
      </w:r>
    </w:p>
    <w:p w14:paraId="28C01D44">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十四、廉政条约</w:t>
      </w:r>
    </w:p>
    <w:p w14:paraId="482514E6">
      <w:pPr>
        <w:adjustRightInd w:val="0"/>
        <w:snapToGrid w:val="0"/>
        <w:spacing w:line="360" w:lineRule="auto"/>
        <w:ind w:firstLine="420" w:firstLineChars="200"/>
        <w:rPr>
          <w:color w:val="auto"/>
          <w:szCs w:val="21"/>
          <w:highlight w:val="none"/>
        </w:rPr>
      </w:pPr>
      <w:r>
        <w:rPr>
          <w:rFonts w:hint="eastAsia"/>
          <w:color w:val="auto"/>
          <w:szCs w:val="21"/>
          <w:highlight w:val="none"/>
        </w:rPr>
        <w:t>甲、乙双方所有人员严格遵守国家廉政方面的规定。</w:t>
      </w:r>
    </w:p>
    <w:p w14:paraId="4477897D">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十五、其他</w:t>
      </w:r>
      <w:r>
        <w:rPr>
          <w:rFonts w:hint="eastAsia" w:ascii="宋体" w:hAnsi="宋体" w:cs="宋体"/>
          <w:b/>
          <w:bCs/>
          <w:color w:val="auto"/>
          <w:szCs w:val="21"/>
          <w:highlight w:val="none"/>
        </w:rPr>
        <w:tab/>
      </w:r>
    </w:p>
    <w:p w14:paraId="336C1B47">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15.1</w:t>
      </w:r>
      <w:r>
        <w:rPr>
          <w:rFonts w:hint="eastAsia" w:ascii="宋体" w:hAnsi="宋体"/>
          <w:color w:val="auto"/>
          <w:szCs w:val="21"/>
          <w:highlight w:val="none"/>
        </w:rPr>
        <w:t>本合同一式</w:t>
      </w:r>
      <w:r>
        <w:rPr>
          <w:rFonts w:hint="eastAsia" w:ascii="宋体" w:hAnsi="宋体"/>
          <w:color w:val="auto"/>
          <w:szCs w:val="21"/>
          <w:highlight w:val="none"/>
          <w:u w:val="single"/>
        </w:rPr>
        <w:t>陆</w:t>
      </w:r>
      <w:r>
        <w:rPr>
          <w:rFonts w:hint="eastAsia" w:ascii="宋体" w:hAnsi="宋体"/>
          <w:color w:val="auto"/>
          <w:szCs w:val="21"/>
          <w:highlight w:val="none"/>
        </w:rPr>
        <w:t>份，具有同等法律效力，甲方执</w:t>
      </w:r>
      <w:r>
        <w:rPr>
          <w:rFonts w:hint="eastAsia" w:ascii="宋体" w:hAnsi="宋体"/>
          <w:color w:val="auto"/>
          <w:szCs w:val="21"/>
          <w:highlight w:val="none"/>
          <w:u w:val="single"/>
        </w:rPr>
        <w:t>肆</w:t>
      </w:r>
      <w:r>
        <w:rPr>
          <w:rFonts w:hint="eastAsia" w:ascii="宋体" w:hAnsi="宋体"/>
          <w:color w:val="auto"/>
          <w:szCs w:val="21"/>
          <w:highlight w:val="none"/>
        </w:rPr>
        <w:t>份、乙方执</w:t>
      </w:r>
      <w:r>
        <w:rPr>
          <w:rFonts w:hint="eastAsia" w:ascii="宋体" w:hAnsi="宋体"/>
          <w:color w:val="auto"/>
          <w:szCs w:val="21"/>
          <w:highlight w:val="none"/>
          <w:u w:val="single"/>
        </w:rPr>
        <w:t>贰</w:t>
      </w:r>
      <w:r>
        <w:rPr>
          <w:rFonts w:hint="eastAsia" w:ascii="宋体" w:hAnsi="宋体"/>
          <w:color w:val="auto"/>
          <w:szCs w:val="21"/>
          <w:highlight w:val="none"/>
        </w:rPr>
        <w:t>份。本合同在甲乙双方法人代表或其授权代表签字盖章后生效，如双方签字的日期不一致时以最后一个日期为准；如合同有一方未填写日期，即以另一方日期为准。</w:t>
      </w:r>
    </w:p>
    <w:p w14:paraId="48A00BD3">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15.2</w:t>
      </w:r>
      <w:r>
        <w:rPr>
          <w:rFonts w:hint="eastAsia" w:ascii="宋体" w:hAnsi="宋体"/>
          <w:color w:val="auto"/>
          <w:szCs w:val="21"/>
          <w:highlight w:val="none"/>
        </w:rPr>
        <w:t>下列文件是本合同的一部分，并与本合同一起阅读和解释：</w:t>
      </w:r>
    </w:p>
    <w:p w14:paraId="58632A06">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w:t>
      </w:r>
      <w:r>
        <w:rPr>
          <w:rFonts w:hint="eastAsia" w:ascii="宋体" w:hAnsi="宋体"/>
          <w:color w:val="auto"/>
          <w:szCs w:val="21"/>
          <w:highlight w:val="none"/>
        </w:rPr>
        <w:t>成交通知书（采购评审结果通知）；</w:t>
      </w:r>
    </w:p>
    <w:p w14:paraId="3C3FC75D">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（2）</w:t>
      </w:r>
      <w:r>
        <w:rPr>
          <w:rFonts w:hint="eastAsia" w:ascii="宋体" w:hAnsi="宋体"/>
          <w:color w:val="auto"/>
          <w:szCs w:val="21"/>
          <w:highlight w:val="none"/>
        </w:rPr>
        <w:t>乙方提交的投标（响应）文件；</w:t>
      </w:r>
    </w:p>
    <w:p w14:paraId="44662584">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（3）招标（谈判）文件。</w:t>
      </w:r>
    </w:p>
    <w:p w14:paraId="32C111C8">
      <w:pPr>
        <w:adjustRightInd w:val="0"/>
        <w:snapToGrid w:val="0"/>
        <w:spacing w:line="360" w:lineRule="auto"/>
        <w:ind w:firstLine="420" w:firstLineChars="200"/>
        <w:rPr>
          <w:color w:val="auto"/>
          <w:szCs w:val="21"/>
          <w:highlight w:val="none"/>
        </w:rPr>
      </w:pPr>
      <w:r>
        <w:rPr>
          <w:rFonts w:hint="eastAsia"/>
          <w:color w:val="auto"/>
          <w:szCs w:val="21"/>
          <w:highlight w:val="none"/>
        </w:rPr>
        <w:t>15.3本合同末尽事宜，以招响应文件为准，并由双方协商处理。</w:t>
      </w:r>
    </w:p>
    <w:p w14:paraId="5E9E1C38">
      <w:pPr>
        <w:adjustRightInd w:val="0"/>
        <w:snapToGrid w:val="0"/>
        <w:spacing w:line="360" w:lineRule="auto"/>
        <w:ind w:firstLine="420" w:firstLineChars="200"/>
        <w:rPr>
          <w:rFonts w:ascii="宋体" w:hAnsi="宋体"/>
          <w:color w:val="auto"/>
          <w:szCs w:val="21"/>
          <w:highlight w:val="none"/>
        </w:rPr>
      </w:pPr>
      <w:r>
        <w:rPr>
          <w:rFonts w:hint="eastAsia"/>
          <w:color w:val="auto"/>
          <w:szCs w:val="21"/>
          <w:highlight w:val="none"/>
        </w:rPr>
        <w:t>15.4如一方地址、电话、传真号码、银行账号有变更，应在变更当日内书面通知对方，否则，应承担相应责任。</w:t>
      </w:r>
      <w:r>
        <w:rPr>
          <w:rFonts w:hint="eastAsia" w:ascii="宋体" w:hAnsi="宋体"/>
          <w:color w:val="auto"/>
          <w:szCs w:val="21"/>
          <w:highlight w:val="none"/>
        </w:rPr>
        <w:t xml:space="preserve"> </w:t>
      </w:r>
    </w:p>
    <w:p w14:paraId="06B805E6">
      <w:pPr>
        <w:tabs>
          <w:tab w:val="left" w:pos="630"/>
        </w:tabs>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十六、合同签订地点：</w:t>
      </w:r>
      <w:r>
        <w:rPr>
          <w:rFonts w:hint="eastAsia"/>
          <w:b/>
          <w:bCs/>
          <w:color w:val="auto"/>
          <w:szCs w:val="21"/>
          <w:highlight w:val="none"/>
        </w:rPr>
        <w:t>广东省湛江市麻章区海大路1号</w:t>
      </w:r>
      <w:r>
        <w:rPr>
          <w:rFonts w:hint="eastAsia" w:ascii="宋体" w:hAnsi="宋体" w:cs="宋体"/>
          <w:b/>
          <w:bCs/>
          <w:color w:val="auto"/>
          <w:szCs w:val="21"/>
          <w:highlight w:val="none"/>
        </w:rPr>
        <w:t>广东海洋大学湖光校区。</w:t>
      </w:r>
    </w:p>
    <w:p w14:paraId="3CC639D4">
      <w:pPr>
        <w:pStyle w:val="64"/>
        <w:ind w:firstLine="422"/>
        <w:rPr>
          <w:color w:val="auto"/>
          <w:highlight w:val="none"/>
        </w:rPr>
      </w:pPr>
    </w:p>
    <w:tbl>
      <w:tblPr>
        <w:tblStyle w:val="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4"/>
        <w:gridCol w:w="2860"/>
        <w:gridCol w:w="1406"/>
        <w:gridCol w:w="2858"/>
      </w:tblGrid>
      <w:tr w14:paraId="1EAC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5DBE3758">
            <w:pPr>
              <w:spacing w:line="360" w:lineRule="auto"/>
              <w:jc w:val="right"/>
              <w:rPr>
                <w:b/>
                <w:bCs/>
                <w:color w:val="auto"/>
                <w:highlight w:val="none"/>
              </w:rPr>
            </w:pPr>
            <w:r>
              <w:rPr>
                <w:rFonts w:hint="eastAsia" w:ascii="宋体" w:hAnsi="宋体"/>
                <w:b/>
                <w:bCs/>
                <w:color w:val="auto"/>
                <w:szCs w:val="21"/>
                <w:highlight w:val="none"/>
              </w:rPr>
              <w:t>甲方（盖章）：</w:t>
            </w:r>
          </w:p>
        </w:tc>
        <w:tc>
          <w:tcPr>
            <w:tcW w:w="1676" w:type="pct"/>
            <w:tcBorders>
              <w:top w:val="dotted" w:color="auto" w:sz="4" w:space="0"/>
              <w:left w:val="dotted" w:color="auto" w:sz="4" w:space="0"/>
              <w:bottom w:val="dotted" w:color="auto" w:sz="4" w:space="0"/>
              <w:right w:val="double" w:color="auto" w:sz="4" w:space="0"/>
            </w:tcBorders>
          </w:tcPr>
          <w:p w14:paraId="57C73FCC">
            <w:pPr>
              <w:spacing w:line="360" w:lineRule="auto"/>
              <w:rPr>
                <w:rFonts w:ascii="宋体" w:hAnsi="宋体"/>
                <w:b/>
                <w:bCs/>
                <w:color w:val="auto"/>
                <w:szCs w:val="21"/>
                <w:highlight w:val="none"/>
              </w:rPr>
            </w:pPr>
            <w:r>
              <w:rPr>
                <w:rFonts w:hint="eastAsia" w:ascii="宋体" w:hAnsi="宋体"/>
                <w:b/>
                <w:bCs/>
                <w:color w:val="auto"/>
                <w:szCs w:val="21"/>
                <w:highlight w:val="none"/>
              </w:rPr>
              <w:t>广东海洋大学</w:t>
            </w:r>
          </w:p>
        </w:tc>
        <w:tc>
          <w:tcPr>
            <w:tcW w:w="824" w:type="pct"/>
            <w:tcBorders>
              <w:top w:val="dotted" w:color="auto" w:sz="4" w:space="0"/>
              <w:left w:val="double" w:color="auto" w:sz="4" w:space="0"/>
              <w:bottom w:val="dotted" w:color="auto" w:sz="4" w:space="0"/>
              <w:right w:val="dotted" w:color="auto" w:sz="4" w:space="0"/>
            </w:tcBorders>
          </w:tcPr>
          <w:p w14:paraId="14E0DF11">
            <w:pPr>
              <w:spacing w:line="360" w:lineRule="auto"/>
              <w:jc w:val="right"/>
              <w:rPr>
                <w:rFonts w:ascii="宋体" w:hAnsi="宋体"/>
                <w:b/>
                <w:bCs/>
                <w:color w:val="auto"/>
                <w:szCs w:val="21"/>
                <w:highlight w:val="none"/>
              </w:rPr>
            </w:pPr>
            <w:r>
              <w:rPr>
                <w:rFonts w:hint="eastAsia" w:ascii="宋体" w:hAnsi="宋体"/>
                <w:b/>
                <w:bCs/>
                <w:color w:val="auto"/>
                <w:highlight w:val="none"/>
              </w:rPr>
              <w:t>乙方</w:t>
            </w:r>
            <w:r>
              <w:rPr>
                <w:rFonts w:hint="eastAsia" w:ascii="宋体" w:hAnsi="宋体"/>
                <w:b/>
                <w:bCs/>
                <w:color w:val="auto"/>
                <w:szCs w:val="21"/>
                <w:highlight w:val="none"/>
              </w:rPr>
              <w:t>（盖章）</w:t>
            </w:r>
            <w:r>
              <w:rPr>
                <w:rFonts w:hint="eastAsia" w:ascii="宋体" w:hAnsi="宋体"/>
                <w:b/>
                <w:bCs/>
                <w:color w:val="auto"/>
                <w:highlight w:val="none"/>
              </w:rPr>
              <w:t>：</w:t>
            </w:r>
          </w:p>
        </w:tc>
        <w:tc>
          <w:tcPr>
            <w:tcW w:w="1675" w:type="pct"/>
            <w:tcBorders>
              <w:top w:val="dotted" w:color="auto" w:sz="4" w:space="0"/>
              <w:left w:val="dotted" w:color="auto" w:sz="4" w:space="0"/>
              <w:bottom w:val="dotted" w:color="auto" w:sz="4" w:space="0"/>
              <w:right w:val="dotted" w:color="auto" w:sz="4" w:space="0"/>
            </w:tcBorders>
          </w:tcPr>
          <w:p w14:paraId="4C8B3B61">
            <w:pPr>
              <w:spacing w:line="360" w:lineRule="auto"/>
              <w:ind w:firstLine="420"/>
              <w:rPr>
                <w:b/>
                <w:bCs/>
                <w:color w:val="auto"/>
                <w:highlight w:val="none"/>
              </w:rPr>
            </w:pPr>
          </w:p>
        </w:tc>
      </w:tr>
      <w:tr w14:paraId="6CD09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357D386D">
            <w:pPr>
              <w:spacing w:line="360" w:lineRule="auto"/>
              <w:jc w:val="right"/>
              <w:rPr>
                <w:color w:val="auto"/>
                <w:highlight w:val="none"/>
              </w:rPr>
            </w:pPr>
            <w:r>
              <w:rPr>
                <w:rFonts w:hint="eastAsia" w:ascii="宋体" w:hAnsi="宋体"/>
                <w:color w:val="auto"/>
                <w:szCs w:val="21"/>
                <w:highlight w:val="none"/>
              </w:rPr>
              <w:t>法定代表人：</w:t>
            </w:r>
          </w:p>
        </w:tc>
        <w:tc>
          <w:tcPr>
            <w:tcW w:w="1676" w:type="pct"/>
            <w:tcBorders>
              <w:top w:val="dotted" w:color="auto" w:sz="4" w:space="0"/>
              <w:left w:val="dotted" w:color="auto" w:sz="4" w:space="0"/>
              <w:bottom w:val="dotted" w:color="auto" w:sz="4" w:space="0"/>
              <w:right w:val="double" w:color="auto" w:sz="4" w:space="0"/>
            </w:tcBorders>
          </w:tcPr>
          <w:p w14:paraId="60095AA7">
            <w:pPr>
              <w:spacing w:line="360" w:lineRule="auto"/>
              <w:rPr>
                <w:rFonts w:ascii="宋体" w:hAnsi="宋体"/>
                <w:color w:val="auto"/>
                <w:szCs w:val="21"/>
                <w:highlight w:val="none"/>
                <w:u w:val="single"/>
              </w:rPr>
            </w:pPr>
          </w:p>
        </w:tc>
        <w:tc>
          <w:tcPr>
            <w:tcW w:w="824" w:type="pct"/>
            <w:tcBorders>
              <w:top w:val="dotted" w:color="auto" w:sz="4" w:space="0"/>
              <w:left w:val="double" w:color="auto" w:sz="4" w:space="0"/>
              <w:bottom w:val="dotted" w:color="auto" w:sz="4" w:space="0"/>
              <w:right w:val="dotted" w:color="auto" w:sz="4" w:space="0"/>
            </w:tcBorders>
          </w:tcPr>
          <w:p w14:paraId="774258E3">
            <w:pPr>
              <w:spacing w:line="360" w:lineRule="auto"/>
              <w:jc w:val="righ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rPr>
              <w:t>：</w:t>
            </w:r>
          </w:p>
        </w:tc>
        <w:tc>
          <w:tcPr>
            <w:tcW w:w="1675" w:type="pct"/>
            <w:tcBorders>
              <w:top w:val="dotted" w:color="auto" w:sz="4" w:space="0"/>
              <w:left w:val="dotted" w:color="auto" w:sz="4" w:space="0"/>
              <w:bottom w:val="dotted" w:color="auto" w:sz="4" w:space="0"/>
              <w:right w:val="dotted" w:color="auto" w:sz="4" w:space="0"/>
            </w:tcBorders>
          </w:tcPr>
          <w:p w14:paraId="551D9F49">
            <w:pPr>
              <w:spacing w:line="360" w:lineRule="auto"/>
              <w:rPr>
                <w:color w:val="auto"/>
                <w:highlight w:val="none"/>
              </w:rPr>
            </w:pPr>
          </w:p>
        </w:tc>
      </w:tr>
      <w:tr w14:paraId="675A6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44FAC541">
            <w:pPr>
              <w:spacing w:line="360" w:lineRule="auto"/>
              <w:jc w:val="right"/>
              <w:rPr>
                <w:rFonts w:ascii="宋体" w:hAnsi="宋体"/>
                <w:color w:val="auto"/>
                <w:szCs w:val="21"/>
                <w:highlight w:val="none"/>
              </w:rPr>
            </w:pPr>
            <w:r>
              <w:rPr>
                <w:rFonts w:hint="eastAsia" w:ascii="宋体" w:hAnsi="宋体"/>
                <w:color w:val="auto"/>
                <w:szCs w:val="21"/>
                <w:highlight w:val="none"/>
              </w:rPr>
              <w:t>签约代表：</w:t>
            </w:r>
          </w:p>
        </w:tc>
        <w:tc>
          <w:tcPr>
            <w:tcW w:w="1676" w:type="pct"/>
            <w:tcBorders>
              <w:top w:val="dotted" w:color="auto" w:sz="4" w:space="0"/>
              <w:left w:val="dotted" w:color="auto" w:sz="4" w:space="0"/>
              <w:bottom w:val="dotted" w:color="auto" w:sz="4" w:space="0"/>
              <w:right w:val="double" w:color="auto" w:sz="4" w:space="0"/>
            </w:tcBorders>
          </w:tcPr>
          <w:p w14:paraId="73882989">
            <w:pPr>
              <w:spacing w:line="360" w:lineRule="auto"/>
              <w:rPr>
                <w:rFonts w:ascii="宋体" w:hAnsi="宋体"/>
                <w:color w:val="auto"/>
                <w:szCs w:val="21"/>
                <w:highlight w:val="none"/>
              </w:rPr>
            </w:pPr>
          </w:p>
        </w:tc>
        <w:tc>
          <w:tcPr>
            <w:tcW w:w="824" w:type="pct"/>
            <w:tcBorders>
              <w:top w:val="dotted" w:color="auto" w:sz="4" w:space="0"/>
              <w:left w:val="double" w:color="auto" w:sz="4" w:space="0"/>
              <w:bottom w:val="dotted" w:color="auto" w:sz="4" w:space="0"/>
              <w:right w:val="dotted" w:color="auto" w:sz="4" w:space="0"/>
            </w:tcBorders>
          </w:tcPr>
          <w:p w14:paraId="6A172F98">
            <w:pPr>
              <w:spacing w:line="360" w:lineRule="auto"/>
              <w:jc w:val="right"/>
              <w:rPr>
                <w:rFonts w:ascii="宋体" w:hAnsi="宋体"/>
                <w:color w:val="auto"/>
                <w:szCs w:val="21"/>
                <w:highlight w:val="none"/>
              </w:rPr>
            </w:pPr>
            <w:r>
              <w:rPr>
                <w:rFonts w:hint="eastAsia" w:ascii="宋体" w:hAnsi="宋体"/>
                <w:color w:val="auto"/>
                <w:szCs w:val="21"/>
                <w:highlight w:val="none"/>
              </w:rPr>
              <w:t>签约代表：</w:t>
            </w:r>
          </w:p>
        </w:tc>
        <w:tc>
          <w:tcPr>
            <w:tcW w:w="1675" w:type="pct"/>
            <w:tcBorders>
              <w:top w:val="dotted" w:color="auto" w:sz="4" w:space="0"/>
              <w:left w:val="dotted" w:color="auto" w:sz="4" w:space="0"/>
              <w:bottom w:val="dotted" w:color="auto" w:sz="4" w:space="0"/>
              <w:right w:val="dotted" w:color="auto" w:sz="4" w:space="0"/>
            </w:tcBorders>
          </w:tcPr>
          <w:p w14:paraId="37310B14">
            <w:pPr>
              <w:spacing w:line="360" w:lineRule="auto"/>
              <w:rPr>
                <w:color w:val="auto"/>
                <w:highlight w:val="none"/>
              </w:rPr>
            </w:pPr>
          </w:p>
        </w:tc>
      </w:tr>
      <w:tr w14:paraId="150F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3" w:type="pct"/>
            <w:tcBorders>
              <w:top w:val="dotted" w:color="auto" w:sz="4" w:space="0"/>
              <w:left w:val="dotted" w:color="auto" w:sz="4" w:space="0"/>
              <w:bottom w:val="dotted" w:color="auto" w:sz="4" w:space="0"/>
              <w:right w:val="dotted" w:color="auto" w:sz="4" w:space="0"/>
            </w:tcBorders>
          </w:tcPr>
          <w:p w14:paraId="28114779">
            <w:pPr>
              <w:spacing w:line="360" w:lineRule="auto"/>
              <w:jc w:val="right"/>
              <w:rPr>
                <w:color w:val="auto"/>
                <w:highlight w:val="none"/>
              </w:rPr>
            </w:pPr>
            <w:r>
              <w:rPr>
                <w:rFonts w:hint="eastAsia" w:ascii="宋体" w:hAnsi="宋体"/>
                <w:color w:val="auto"/>
                <w:szCs w:val="21"/>
                <w:highlight w:val="none"/>
              </w:rPr>
              <w:t>地址：</w:t>
            </w:r>
          </w:p>
        </w:tc>
        <w:tc>
          <w:tcPr>
            <w:tcW w:w="1676" w:type="pct"/>
            <w:tcBorders>
              <w:top w:val="dotted" w:color="auto" w:sz="4" w:space="0"/>
              <w:left w:val="dotted" w:color="auto" w:sz="4" w:space="0"/>
              <w:bottom w:val="dotted" w:color="auto" w:sz="4" w:space="0"/>
              <w:right w:val="double" w:color="auto" w:sz="4" w:space="0"/>
            </w:tcBorders>
          </w:tcPr>
          <w:p w14:paraId="2E87186E">
            <w:pPr>
              <w:spacing w:line="360" w:lineRule="auto"/>
              <w:rPr>
                <w:color w:val="auto"/>
                <w:highlight w:val="none"/>
              </w:rPr>
            </w:pPr>
            <w:r>
              <w:rPr>
                <w:rFonts w:hint="eastAsia" w:ascii="宋体" w:hAnsi="宋体"/>
                <w:color w:val="auto"/>
                <w:szCs w:val="21"/>
                <w:highlight w:val="none"/>
              </w:rPr>
              <w:t>广东省湛江市麻章区海大路</w:t>
            </w:r>
            <w:r>
              <w:rPr>
                <w:rFonts w:ascii="宋体" w:hAnsi="宋体"/>
                <w:color w:val="auto"/>
                <w:szCs w:val="21"/>
                <w:highlight w:val="none"/>
              </w:rPr>
              <w:t>1</w:t>
            </w:r>
            <w:r>
              <w:rPr>
                <w:rFonts w:hint="eastAsia" w:ascii="宋体" w:hAnsi="宋体"/>
                <w:color w:val="auto"/>
                <w:szCs w:val="21"/>
                <w:highlight w:val="none"/>
              </w:rPr>
              <w:t>号</w:t>
            </w:r>
          </w:p>
        </w:tc>
        <w:tc>
          <w:tcPr>
            <w:tcW w:w="824" w:type="pct"/>
            <w:tcBorders>
              <w:top w:val="dotted" w:color="auto" w:sz="4" w:space="0"/>
              <w:left w:val="double" w:color="auto" w:sz="4" w:space="0"/>
              <w:bottom w:val="dotted" w:color="auto" w:sz="4" w:space="0"/>
              <w:right w:val="dotted" w:color="auto" w:sz="4" w:space="0"/>
            </w:tcBorders>
          </w:tcPr>
          <w:p w14:paraId="0E47F937">
            <w:pPr>
              <w:spacing w:line="360" w:lineRule="auto"/>
              <w:jc w:val="right"/>
              <w:rPr>
                <w:color w:val="auto"/>
                <w:highlight w:val="none"/>
              </w:rPr>
            </w:pPr>
            <w:r>
              <w:rPr>
                <w:rFonts w:hint="eastAsia" w:ascii="宋体" w:hAnsi="宋体"/>
                <w:color w:val="auto"/>
                <w:highlight w:val="none"/>
              </w:rPr>
              <w:t>地址：</w:t>
            </w:r>
          </w:p>
        </w:tc>
        <w:tc>
          <w:tcPr>
            <w:tcW w:w="1675" w:type="pct"/>
            <w:tcBorders>
              <w:top w:val="dotted" w:color="auto" w:sz="4" w:space="0"/>
              <w:left w:val="dotted" w:color="auto" w:sz="4" w:space="0"/>
              <w:bottom w:val="dotted" w:color="auto" w:sz="4" w:space="0"/>
              <w:right w:val="dotted" w:color="auto" w:sz="4" w:space="0"/>
            </w:tcBorders>
          </w:tcPr>
          <w:p w14:paraId="72C0AB4F">
            <w:pPr>
              <w:spacing w:line="360" w:lineRule="auto"/>
              <w:rPr>
                <w:color w:val="auto"/>
                <w:highlight w:val="none"/>
              </w:rPr>
            </w:pPr>
          </w:p>
          <w:p w14:paraId="0D27CF72">
            <w:pPr>
              <w:rPr>
                <w:rFonts w:asciiTheme="minorHAnsi" w:hAnsiTheme="minorHAnsi" w:eastAsiaTheme="minorEastAsia" w:cstheme="minorBidi"/>
                <w:color w:val="auto"/>
                <w:highlight w:val="none"/>
              </w:rPr>
            </w:pPr>
          </w:p>
          <w:p w14:paraId="018FD423">
            <w:pPr>
              <w:rPr>
                <w:color w:val="auto"/>
                <w:highlight w:val="none"/>
              </w:rPr>
            </w:pPr>
          </w:p>
        </w:tc>
      </w:tr>
      <w:tr w14:paraId="145C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21BA03CC">
            <w:pPr>
              <w:spacing w:line="360" w:lineRule="auto"/>
              <w:jc w:val="right"/>
              <w:rPr>
                <w:color w:val="auto"/>
                <w:highlight w:val="none"/>
              </w:rPr>
            </w:pPr>
            <w:r>
              <w:rPr>
                <w:rFonts w:hint="eastAsia" w:ascii="宋体" w:hAnsi="宋体"/>
                <w:color w:val="auto"/>
                <w:szCs w:val="21"/>
                <w:highlight w:val="none"/>
              </w:rPr>
              <w:t>纳税人识别号：</w:t>
            </w:r>
          </w:p>
        </w:tc>
        <w:tc>
          <w:tcPr>
            <w:tcW w:w="1676" w:type="pct"/>
            <w:tcBorders>
              <w:top w:val="dotted" w:color="auto" w:sz="4" w:space="0"/>
              <w:left w:val="dotted" w:color="auto" w:sz="4" w:space="0"/>
              <w:bottom w:val="dotted" w:color="auto" w:sz="4" w:space="0"/>
              <w:right w:val="double" w:color="auto" w:sz="4" w:space="0"/>
            </w:tcBorders>
          </w:tcPr>
          <w:p w14:paraId="55B2FAF8">
            <w:pPr>
              <w:spacing w:line="360" w:lineRule="auto"/>
              <w:rPr>
                <w:color w:val="auto"/>
                <w:highlight w:val="none"/>
              </w:rPr>
            </w:pPr>
            <w:r>
              <w:rPr>
                <w:rFonts w:hint="eastAsia" w:ascii="宋体" w:hAnsi="宋体"/>
                <w:color w:val="auto"/>
                <w:szCs w:val="21"/>
                <w:highlight w:val="none"/>
              </w:rPr>
              <w:t>1244000045625261X8</w:t>
            </w:r>
          </w:p>
        </w:tc>
        <w:tc>
          <w:tcPr>
            <w:tcW w:w="824" w:type="pct"/>
            <w:tcBorders>
              <w:top w:val="dotted" w:color="auto" w:sz="4" w:space="0"/>
              <w:left w:val="double" w:color="auto" w:sz="4" w:space="0"/>
              <w:bottom w:val="dotted" w:color="auto" w:sz="4" w:space="0"/>
              <w:right w:val="dotted" w:color="auto" w:sz="4" w:space="0"/>
            </w:tcBorders>
          </w:tcPr>
          <w:p w14:paraId="6A0593AE">
            <w:pPr>
              <w:spacing w:line="360" w:lineRule="auto"/>
              <w:jc w:val="right"/>
              <w:rPr>
                <w:color w:val="auto"/>
                <w:highlight w:val="none"/>
              </w:rPr>
            </w:pPr>
            <w:r>
              <w:rPr>
                <w:rFonts w:hint="eastAsia" w:ascii="宋体" w:hAnsi="宋体" w:cs="宋体"/>
                <w:color w:val="auto"/>
                <w:szCs w:val="21"/>
                <w:highlight w:val="none"/>
              </w:rPr>
              <w:t>统一社会信用代码：</w:t>
            </w:r>
          </w:p>
        </w:tc>
        <w:tc>
          <w:tcPr>
            <w:tcW w:w="1675" w:type="pct"/>
            <w:tcBorders>
              <w:top w:val="dotted" w:color="auto" w:sz="4" w:space="0"/>
              <w:left w:val="dotted" w:color="auto" w:sz="4" w:space="0"/>
              <w:bottom w:val="dotted" w:color="auto" w:sz="4" w:space="0"/>
              <w:right w:val="dotted" w:color="auto" w:sz="4" w:space="0"/>
            </w:tcBorders>
          </w:tcPr>
          <w:p w14:paraId="19C00A69">
            <w:pPr>
              <w:spacing w:line="360" w:lineRule="auto"/>
              <w:rPr>
                <w:color w:val="auto"/>
                <w:highlight w:val="none"/>
              </w:rPr>
            </w:pPr>
          </w:p>
        </w:tc>
      </w:tr>
      <w:tr w14:paraId="05A8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35D00619">
            <w:pPr>
              <w:spacing w:line="360" w:lineRule="auto"/>
              <w:jc w:val="right"/>
              <w:rPr>
                <w:color w:val="auto"/>
                <w:highlight w:val="none"/>
              </w:rPr>
            </w:pPr>
            <w:r>
              <w:rPr>
                <w:rFonts w:hint="eastAsia" w:ascii="宋体" w:hAnsi="宋体"/>
                <w:color w:val="auto"/>
                <w:szCs w:val="21"/>
                <w:highlight w:val="none"/>
              </w:rPr>
              <w:t>开户行</w:t>
            </w:r>
            <w:r>
              <w:rPr>
                <w:rFonts w:hint="eastAsia" w:ascii="宋体" w:hAnsi="宋体"/>
                <w:color w:val="auto"/>
                <w:highlight w:val="none"/>
              </w:rPr>
              <w:t>：</w:t>
            </w:r>
          </w:p>
        </w:tc>
        <w:tc>
          <w:tcPr>
            <w:tcW w:w="1676" w:type="pct"/>
            <w:tcBorders>
              <w:top w:val="dotted" w:color="auto" w:sz="4" w:space="0"/>
              <w:left w:val="dotted" w:color="auto" w:sz="4" w:space="0"/>
              <w:bottom w:val="dotted" w:color="auto" w:sz="4" w:space="0"/>
              <w:right w:val="double" w:color="auto" w:sz="4" w:space="0"/>
            </w:tcBorders>
          </w:tcPr>
          <w:p w14:paraId="3E571A40">
            <w:pPr>
              <w:spacing w:line="360" w:lineRule="auto"/>
              <w:rPr>
                <w:color w:val="auto"/>
                <w:highlight w:val="none"/>
              </w:rPr>
            </w:pPr>
            <w:r>
              <w:rPr>
                <w:rFonts w:hint="eastAsia" w:ascii="宋体" w:hAnsi="宋体"/>
                <w:color w:val="auto"/>
                <w:szCs w:val="21"/>
                <w:highlight w:val="none"/>
              </w:rPr>
              <w:t>中国银行股份有限公司湛江霞山支行</w:t>
            </w:r>
          </w:p>
        </w:tc>
        <w:tc>
          <w:tcPr>
            <w:tcW w:w="824" w:type="pct"/>
            <w:tcBorders>
              <w:top w:val="dotted" w:color="auto" w:sz="4" w:space="0"/>
              <w:left w:val="double" w:color="auto" w:sz="4" w:space="0"/>
              <w:bottom w:val="dotted" w:color="auto" w:sz="4" w:space="0"/>
              <w:right w:val="dotted" w:color="auto" w:sz="4" w:space="0"/>
            </w:tcBorders>
          </w:tcPr>
          <w:p w14:paraId="17E2F0E0">
            <w:pPr>
              <w:spacing w:line="360" w:lineRule="auto"/>
              <w:jc w:val="right"/>
              <w:rPr>
                <w:color w:val="auto"/>
                <w:highlight w:val="none"/>
              </w:rPr>
            </w:pPr>
            <w:r>
              <w:rPr>
                <w:rFonts w:hint="eastAsia" w:ascii="宋体" w:hAnsi="宋体"/>
                <w:color w:val="auto"/>
                <w:szCs w:val="21"/>
                <w:highlight w:val="none"/>
              </w:rPr>
              <w:t>开户行</w:t>
            </w:r>
            <w:r>
              <w:rPr>
                <w:rFonts w:hint="eastAsia" w:ascii="宋体" w:hAnsi="宋体"/>
                <w:color w:val="auto"/>
                <w:highlight w:val="none"/>
              </w:rPr>
              <w:t>：</w:t>
            </w:r>
          </w:p>
        </w:tc>
        <w:tc>
          <w:tcPr>
            <w:tcW w:w="1675" w:type="pct"/>
            <w:tcBorders>
              <w:top w:val="dotted" w:color="auto" w:sz="4" w:space="0"/>
              <w:left w:val="dotted" w:color="auto" w:sz="4" w:space="0"/>
              <w:bottom w:val="dotted" w:color="auto" w:sz="4" w:space="0"/>
              <w:right w:val="dotted" w:color="auto" w:sz="4" w:space="0"/>
            </w:tcBorders>
          </w:tcPr>
          <w:p w14:paraId="0996C7DD">
            <w:pPr>
              <w:spacing w:line="360" w:lineRule="auto"/>
              <w:rPr>
                <w:color w:val="auto"/>
                <w:highlight w:val="none"/>
              </w:rPr>
            </w:pPr>
          </w:p>
        </w:tc>
      </w:tr>
      <w:tr w14:paraId="1D40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5CF3360B">
            <w:pPr>
              <w:spacing w:line="360" w:lineRule="auto"/>
              <w:jc w:val="right"/>
              <w:rPr>
                <w:color w:val="auto"/>
                <w:highlight w:val="none"/>
              </w:rPr>
            </w:pPr>
            <w:r>
              <w:rPr>
                <w:rFonts w:hint="eastAsia" w:ascii="宋体" w:hAnsi="宋体"/>
                <w:color w:val="auto"/>
                <w:highlight w:val="none"/>
              </w:rPr>
              <w:t>银行账号：</w:t>
            </w:r>
          </w:p>
        </w:tc>
        <w:tc>
          <w:tcPr>
            <w:tcW w:w="1676" w:type="pct"/>
            <w:tcBorders>
              <w:top w:val="dotted" w:color="auto" w:sz="4" w:space="0"/>
              <w:left w:val="dotted" w:color="auto" w:sz="4" w:space="0"/>
              <w:bottom w:val="dotted" w:color="auto" w:sz="4" w:space="0"/>
              <w:right w:val="double" w:color="auto" w:sz="4" w:space="0"/>
            </w:tcBorders>
          </w:tcPr>
          <w:p w14:paraId="654BE990">
            <w:pPr>
              <w:spacing w:line="360" w:lineRule="auto"/>
              <w:rPr>
                <w:color w:val="auto"/>
                <w:highlight w:val="none"/>
              </w:rPr>
            </w:pPr>
            <w:r>
              <w:rPr>
                <w:rFonts w:hint="eastAsia" w:ascii="宋体" w:hAnsi="宋体"/>
                <w:color w:val="auto"/>
                <w:szCs w:val="21"/>
                <w:highlight w:val="none"/>
              </w:rPr>
              <w:t>679557760592</w:t>
            </w:r>
          </w:p>
        </w:tc>
        <w:tc>
          <w:tcPr>
            <w:tcW w:w="824" w:type="pct"/>
            <w:tcBorders>
              <w:top w:val="dotted" w:color="auto" w:sz="4" w:space="0"/>
              <w:left w:val="double" w:color="auto" w:sz="4" w:space="0"/>
              <w:bottom w:val="dotted" w:color="auto" w:sz="4" w:space="0"/>
              <w:right w:val="dotted" w:color="auto" w:sz="4" w:space="0"/>
            </w:tcBorders>
          </w:tcPr>
          <w:p w14:paraId="2279A2DD">
            <w:pPr>
              <w:spacing w:line="360" w:lineRule="auto"/>
              <w:jc w:val="right"/>
              <w:rPr>
                <w:color w:val="auto"/>
                <w:highlight w:val="none"/>
              </w:rPr>
            </w:pPr>
            <w:r>
              <w:rPr>
                <w:rFonts w:hint="eastAsia" w:ascii="宋体" w:hAnsi="宋体"/>
                <w:color w:val="auto"/>
                <w:highlight w:val="none"/>
              </w:rPr>
              <w:t>银行账号：</w:t>
            </w:r>
          </w:p>
        </w:tc>
        <w:tc>
          <w:tcPr>
            <w:tcW w:w="1675" w:type="pct"/>
            <w:tcBorders>
              <w:top w:val="dotted" w:color="auto" w:sz="4" w:space="0"/>
              <w:left w:val="dotted" w:color="auto" w:sz="4" w:space="0"/>
              <w:bottom w:val="dotted" w:color="auto" w:sz="4" w:space="0"/>
              <w:right w:val="dotted" w:color="auto" w:sz="4" w:space="0"/>
            </w:tcBorders>
          </w:tcPr>
          <w:p w14:paraId="0EBE7C34">
            <w:pPr>
              <w:spacing w:line="360" w:lineRule="auto"/>
              <w:rPr>
                <w:color w:val="auto"/>
                <w:highlight w:val="none"/>
              </w:rPr>
            </w:pPr>
          </w:p>
        </w:tc>
      </w:tr>
      <w:tr w14:paraId="2C64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0F26C3CB">
            <w:pPr>
              <w:spacing w:line="360" w:lineRule="auto"/>
              <w:jc w:val="right"/>
              <w:rPr>
                <w:rFonts w:ascii="宋体" w:hAnsi="宋体"/>
                <w:color w:val="auto"/>
                <w:highlight w:val="none"/>
              </w:rPr>
            </w:pPr>
            <w:r>
              <w:rPr>
                <w:rFonts w:hint="eastAsia" w:ascii="宋体" w:hAnsi="宋体"/>
                <w:color w:val="auto"/>
                <w:szCs w:val="21"/>
                <w:highlight w:val="none"/>
              </w:rPr>
              <w:t>电话：</w:t>
            </w:r>
          </w:p>
        </w:tc>
        <w:tc>
          <w:tcPr>
            <w:tcW w:w="1676" w:type="pct"/>
            <w:tcBorders>
              <w:top w:val="dotted" w:color="auto" w:sz="4" w:space="0"/>
              <w:left w:val="dotted" w:color="auto" w:sz="4" w:space="0"/>
              <w:bottom w:val="dotted" w:color="auto" w:sz="4" w:space="0"/>
              <w:right w:val="double" w:color="auto" w:sz="4" w:space="0"/>
            </w:tcBorders>
          </w:tcPr>
          <w:p w14:paraId="641592D4">
            <w:pPr>
              <w:spacing w:line="360" w:lineRule="auto"/>
              <w:rPr>
                <w:rFonts w:eastAsiaTheme="minorEastAsia"/>
                <w:color w:val="auto"/>
                <w:highlight w:val="none"/>
              </w:rPr>
            </w:pPr>
            <w:r>
              <w:rPr>
                <w:rFonts w:hint="eastAsia" w:ascii="宋体" w:hAnsi="宋体"/>
                <w:color w:val="auto"/>
                <w:highlight w:val="none"/>
              </w:rPr>
              <w:t>0759-2396211</w:t>
            </w:r>
          </w:p>
        </w:tc>
        <w:tc>
          <w:tcPr>
            <w:tcW w:w="824" w:type="pct"/>
            <w:tcBorders>
              <w:top w:val="dotted" w:color="auto" w:sz="4" w:space="0"/>
              <w:left w:val="double" w:color="auto" w:sz="4" w:space="0"/>
              <w:bottom w:val="dotted" w:color="auto" w:sz="4" w:space="0"/>
              <w:right w:val="dotted" w:color="auto" w:sz="4" w:space="0"/>
            </w:tcBorders>
          </w:tcPr>
          <w:p w14:paraId="5C7394EF">
            <w:pPr>
              <w:spacing w:line="360" w:lineRule="auto"/>
              <w:jc w:val="right"/>
              <w:rPr>
                <w:color w:val="auto"/>
                <w:highlight w:val="none"/>
              </w:rPr>
            </w:pPr>
            <w:r>
              <w:rPr>
                <w:rFonts w:hint="eastAsia" w:ascii="宋体" w:hAnsi="宋体"/>
                <w:color w:val="auto"/>
                <w:szCs w:val="21"/>
                <w:highlight w:val="none"/>
              </w:rPr>
              <w:t>电话：</w:t>
            </w:r>
          </w:p>
        </w:tc>
        <w:tc>
          <w:tcPr>
            <w:tcW w:w="1675" w:type="pct"/>
            <w:tcBorders>
              <w:top w:val="dotted" w:color="auto" w:sz="4" w:space="0"/>
              <w:left w:val="dotted" w:color="auto" w:sz="4" w:space="0"/>
              <w:bottom w:val="dotted" w:color="auto" w:sz="4" w:space="0"/>
              <w:right w:val="dotted" w:color="auto" w:sz="4" w:space="0"/>
            </w:tcBorders>
          </w:tcPr>
          <w:p w14:paraId="6E20C44F">
            <w:pPr>
              <w:spacing w:line="360" w:lineRule="auto"/>
              <w:rPr>
                <w:color w:val="auto"/>
                <w:highlight w:val="none"/>
              </w:rPr>
            </w:pPr>
          </w:p>
        </w:tc>
      </w:tr>
      <w:tr w14:paraId="70E7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32CF811B">
            <w:pPr>
              <w:spacing w:line="360" w:lineRule="auto"/>
              <w:jc w:val="right"/>
              <w:rPr>
                <w:rFonts w:ascii="宋体" w:hAnsi="宋体"/>
                <w:color w:val="auto"/>
                <w:szCs w:val="21"/>
                <w:highlight w:val="none"/>
              </w:rPr>
            </w:pPr>
            <w:r>
              <w:rPr>
                <w:rFonts w:hint="eastAsia" w:ascii="宋体" w:hAnsi="宋体"/>
                <w:color w:val="auto"/>
                <w:szCs w:val="21"/>
                <w:highlight w:val="none"/>
              </w:rPr>
              <w:t>传真：</w:t>
            </w:r>
          </w:p>
        </w:tc>
        <w:tc>
          <w:tcPr>
            <w:tcW w:w="1676" w:type="pct"/>
            <w:tcBorders>
              <w:top w:val="dotted" w:color="auto" w:sz="4" w:space="0"/>
              <w:left w:val="dotted" w:color="auto" w:sz="4" w:space="0"/>
              <w:bottom w:val="dotted" w:color="auto" w:sz="4" w:space="0"/>
              <w:right w:val="double" w:color="auto" w:sz="4" w:space="0"/>
            </w:tcBorders>
          </w:tcPr>
          <w:p w14:paraId="00ED905C">
            <w:pPr>
              <w:spacing w:line="360" w:lineRule="auto"/>
              <w:rPr>
                <w:rFonts w:eastAsiaTheme="minorEastAsia"/>
                <w:color w:val="auto"/>
                <w:highlight w:val="none"/>
              </w:rPr>
            </w:pPr>
            <w:r>
              <w:rPr>
                <w:rFonts w:hint="eastAsia" w:ascii="宋体" w:hAnsi="宋体"/>
                <w:color w:val="auto"/>
                <w:highlight w:val="none"/>
              </w:rPr>
              <w:t>0759-2383282</w:t>
            </w:r>
          </w:p>
        </w:tc>
        <w:tc>
          <w:tcPr>
            <w:tcW w:w="824" w:type="pct"/>
            <w:tcBorders>
              <w:top w:val="dotted" w:color="auto" w:sz="4" w:space="0"/>
              <w:left w:val="double" w:color="auto" w:sz="4" w:space="0"/>
              <w:bottom w:val="dotted" w:color="auto" w:sz="4" w:space="0"/>
              <w:right w:val="dotted" w:color="auto" w:sz="4" w:space="0"/>
            </w:tcBorders>
          </w:tcPr>
          <w:p w14:paraId="47ED6169">
            <w:pPr>
              <w:spacing w:line="360" w:lineRule="auto"/>
              <w:jc w:val="right"/>
              <w:rPr>
                <w:color w:val="auto"/>
                <w:highlight w:val="none"/>
              </w:rPr>
            </w:pPr>
            <w:r>
              <w:rPr>
                <w:rFonts w:hint="eastAsia" w:ascii="宋体" w:hAnsi="宋体"/>
                <w:color w:val="auto"/>
                <w:szCs w:val="21"/>
                <w:highlight w:val="none"/>
              </w:rPr>
              <w:t>传真：</w:t>
            </w:r>
          </w:p>
        </w:tc>
        <w:tc>
          <w:tcPr>
            <w:tcW w:w="1675" w:type="pct"/>
            <w:tcBorders>
              <w:top w:val="dotted" w:color="auto" w:sz="4" w:space="0"/>
              <w:left w:val="dotted" w:color="auto" w:sz="4" w:space="0"/>
              <w:bottom w:val="dotted" w:color="auto" w:sz="4" w:space="0"/>
              <w:right w:val="dotted" w:color="auto" w:sz="4" w:space="0"/>
            </w:tcBorders>
          </w:tcPr>
          <w:p w14:paraId="52A0ABBA">
            <w:pPr>
              <w:spacing w:line="360" w:lineRule="auto"/>
              <w:rPr>
                <w:color w:val="auto"/>
                <w:highlight w:val="none"/>
              </w:rPr>
            </w:pPr>
          </w:p>
        </w:tc>
      </w:tr>
      <w:tr w14:paraId="5BF3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Borders>
              <w:top w:val="dotted" w:color="auto" w:sz="4" w:space="0"/>
              <w:left w:val="dotted" w:color="auto" w:sz="4" w:space="0"/>
              <w:bottom w:val="dotted" w:color="auto" w:sz="4" w:space="0"/>
              <w:right w:val="dotted" w:color="auto" w:sz="4" w:space="0"/>
            </w:tcBorders>
          </w:tcPr>
          <w:p w14:paraId="162425AF">
            <w:pPr>
              <w:spacing w:line="360" w:lineRule="auto"/>
              <w:jc w:val="right"/>
              <w:rPr>
                <w:rFonts w:ascii="宋体" w:hAnsi="宋体"/>
                <w:color w:val="auto"/>
                <w:szCs w:val="21"/>
                <w:highlight w:val="none"/>
              </w:rPr>
            </w:pPr>
            <w:r>
              <w:rPr>
                <w:rFonts w:hint="eastAsia" w:ascii="宋体" w:hAnsi="宋体"/>
                <w:color w:val="auto"/>
                <w:szCs w:val="21"/>
                <w:highlight w:val="none"/>
              </w:rPr>
              <w:t>签约日期：</w:t>
            </w:r>
          </w:p>
        </w:tc>
        <w:tc>
          <w:tcPr>
            <w:tcW w:w="1676" w:type="pct"/>
            <w:tcBorders>
              <w:top w:val="dotted" w:color="auto" w:sz="4" w:space="0"/>
              <w:left w:val="dotted" w:color="auto" w:sz="4" w:space="0"/>
              <w:bottom w:val="dotted" w:color="auto" w:sz="4" w:space="0"/>
              <w:right w:val="double" w:color="auto" w:sz="4" w:space="0"/>
            </w:tcBorders>
          </w:tcPr>
          <w:p w14:paraId="312E07D2">
            <w:pPr>
              <w:spacing w:line="360" w:lineRule="auto"/>
              <w:rPr>
                <w:color w:val="auto"/>
                <w:highlight w:val="none"/>
              </w:rPr>
            </w:pPr>
            <w:r>
              <w:rPr>
                <w:rFonts w:hint="eastAsia" w:ascii="宋体" w:hAnsi="宋体"/>
                <w:color w:val="auto"/>
                <w:szCs w:val="21"/>
                <w:highlight w:val="none"/>
                <w:u w:val="single"/>
              </w:rPr>
              <w:t>2024</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tc>
        <w:tc>
          <w:tcPr>
            <w:tcW w:w="824" w:type="pct"/>
            <w:tcBorders>
              <w:top w:val="dotted" w:color="auto" w:sz="4" w:space="0"/>
              <w:left w:val="double" w:color="auto" w:sz="4" w:space="0"/>
              <w:bottom w:val="dotted" w:color="auto" w:sz="4" w:space="0"/>
              <w:right w:val="dotted" w:color="auto" w:sz="4" w:space="0"/>
            </w:tcBorders>
          </w:tcPr>
          <w:p w14:paraId="7C995B57">
            <w:pPr>
              <w:spacing w:line="360" w:lineRule="auto"/>
              <w:jc w:val="right"/>
              <w:rPr>
                <w:color w:val="auto"/>
                <w:highlight w:val="none"/>
              </w:rPr>
            </w:pPr>
            <w:r>
              <w:rPr>
                <w:rFonts w:hint="eastAsia" w:ascii="宋体" w:hAnsi="宋体"/>
                <w:color w:val="auto"/>
                <w:szCs w:val="21"/>
                <w:highlight w:val="none"/>
              </w:rPr>
              <w:t>签约日期：</w:t>
            </w:r>
          </w:p>
        </w:tc>
        <w:tc>
          <w:tcPr>
            <w:tcW w:w="1675" w:type="pct"/>
            <w:tcBorders>
              <w:top w:val="dotted" w:color="auto" w:sz="4" w:space="0"/>
              <w:left w:val="dotted" w:color="auto" w:sz="4" w:space="0"/>
              <w:bottom w:val="dotted" w:color="auto" w:sz="4" w:space="0"/>
              <w:right w:val="dotted" w:color="auto" w:sz="4" w:space="0"/>
            </w:tcBorders>
          </w:tcPr>
          <w:p w14:paraId="0DEF0FC5">
            <w:pPr>
              <w:spacing w:line="360" w:lineRule="auto"/>
              <w:rPr>
                <w:color w:val="auto"/>
                <w:highlight w:val="none"/>
              </w:rPr>
            </w:pPr>
            <w:r>
              <w:rPr>
                <w:rFonts w:hint="eastAsia" w:ascii="宋体" w:hAnsi="宋体"/>
                <w:color w:val="auto"/>
                <w:szCs w:val="21"/>
                <w:highlight w:val="none"/>
                <w:u w:val="single"/>
              </w:rPr>
              <w:t>2024</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tc>
      </w:tr>
      <w:bookmarkEnd w:id="377"/>
      <w:bookmarkEnd w:id="378"/>
      <w:bookmarkEnd w:id="379"/>
    </w:tbl>
    <w:p w14:paraId="6FAFFCFF">
      <w:pPr>
        <w:rPr>
          <w:color w:val="auto"/>
          <w:highlight w:val="none"/>
        </w:rPr>
      </w:pPr>
    </w:p>
    <w:bookmarkEnd w:id="380"/>
    <w:p w14:paraId="794121DD">
      <w:pPr>
        <w:ind w:firstLine="420"/>
        <w:rPr>
          <w:rFonts w:cs="微软雅黑"/>
          <w:b/>
          <w:color w:val="auto"/>
          <w:szCs w:val="21"/>
          <w:highlight w:val="none"/>
        </w:rPr>
      </w:pPr>
    </w:p>
    <w:p w14:paraId="6BB7B4CF">
      <w:pPr>
        <w:ind w:firstLine="420"/>
        <w:rPr>
          <w:rFonts w:cs="微软雅黑"/>
          <w:b/>
          <w:color w:val="auto"/>
          <w:szCs w:val="21"/>
          <w:highlight w:val="none"/>
        </w:rPr>
      </w:pPr>
    </w:p>
    <w:p w14:paraId="66932616">
      <w:pPr>
        <w:spacing w:line="360" w:lineRule="auto"/>
        <w:rPr>
          <w:color w:val="auto"/>
          <w:highlight w:val="none"/>
        </w:rPr>
      </w:pPr>
      <w:r>
        <w:rPr>
          <w:rFonts w:hint="eastAsia" w:cs="微软雅黑"/>
          <w:b/>
          <w:color w:val="auto"/>
          <w:szCs w:val="21"/>
          <w:highlight w:val="none"/>
        </w:rPr>
        <w:t>注：本合同样本仅供参考，具体条款内容由采购人和成交供应商协商确定，但不得对采购文件和响应文件的实质性条款作出变更，且必须包括采购人与成交供应商的名称和住所、标的、数量、质量、价款或者报酬、履行期限及地址和方式、验收要求、违约责任、解决争议的方法等内容。</w:t>
      </w:r>
    </w:p>
    <w:p w14:paraId="23EB0885">
      <w:pPr>
        <w:pStyle w:val="5"/>
        <w:ind w:firstLine="640"/>
        <w:jc w:val="center"/>
        <w:rPr>
          <w:rFonts w:ascii="宋体" w:hAnsi="宋体" w:eastAsia="宋体"/>
          <w:bCs w:val="0"/>
          <w:color w:val="auto"/>
          <w:sz w:val="28"/>
          <w:szCs w:val="28"/>
          <w:highlight w:val="none"/>
        </w:rPr>
      </w:pPr>
      <w:r>
        <w:rPr>
          <w:rFonts w:hint="eastAsia" w:ascii="宋体" w:hAnsi="宋体" w:eastAsia="宋体"/>
          <w:color w:val="auto"/>
          <w:highlight w:val="none"/>
        </w:rPr>
        <w:br w:type="page"/>
      </w:r>
      <w:bookmarkStart w:id="381" w:name="_Toc12308"/>
      <w:bookmarkStart w:id="382" w:name="_Toc10945"/>
      <w:bookmarkStart w:id="383" w:name="_Toc22014"/>
      <w:bookmarkStart w:id="384" w:name="_Toc12822"/>
      <w:bookmarkStart w:id="385" w:name="_Toc4994"/>
      <w:bookmarkStart w:id="386" w:name="_Toc32266"/>
      <w:bookmarkStart w:id="387" w:name="_Toc28145"/>
      <w:bookmarkStart w:id="388" w:name="_Toc22264"/>
      <w:r>
        <w:rPr>
          <w:rFonts w:hint="eastAsia" w:ascii="宋体" w:hAnsi="宋体" w:eastAsia="宋体"/>
          <w:color w:val="auto"/>
          <w:highlight w:val="none"/>
        </w:rPr>
        <w:t>第二节  响应文件格式</w:t>
      </w:r>
      <w:bookmarkEnd w:id="371"/>
      <w:bookmarkEnd w:id="372"/>
      <w:bookmarkEnd w:id="373"/>
      <w:bookmarkEnd w:id="374"/>
      <w:bookmarkEnd w:id="381"/>
      <w:bookmarkEnd w:id="382"/>
      <w:bookmarkEnd w:id="383"/>
      <w:bookmarkEnd w:id="384"/>
      <w:bookmarkEnd w:id="385"/>
      <w:bookmarkEnd w:id="386"/>
      <w:bookmarkEnd w:id="387"/>
      <w:bookmarkEnd w:id="388"/>
      <w:bookmarkStart w:id="389" w:name="_Toc67046895"/>
      <w:bookmarkStart w:id="390" w:name="_Toc462677235"/>
      <w:bookmarkStart w:id="391" w:name="_Toc259090983"/>
      <w:bookmarkStart w:id="392" w:name="_Toc276645580"/>
      <w:bookmarkStart w:id="393" w:name="_Toc6322297"/>
      <w:bookmarkStart w:id="394" w:name="_Toc32977098"/>
      <w:bookmarkStart w:id="395" w:name="_Toc6727973"/>
      <w:bookmarkStart w:id="396" w:name="_Toc6397152"/>
    </w:p>
    <w:p w14:paraId="2F416930">
      <w:pPr>
        <w:pStyle w:val="5"/>
        <w:adjustRightInd w:val="0"/>
        <w:snapToGrid w:val="0"/>
        <w:spacing w:line="360" w:lineRule="auto"/>
        <w:ind w:firstLine="560"/>
        <w:jc w:val="center"/>
        <w:rPr>
          <w:rFonts w:ascii="宋体" w:hAnsi="宋体" w:eastAsia="宋体" w:cs="宋体"/>
          <w:color w:val="auto"/>
          <w:highlight w:val="none"/>
        </w:rPr>
      </w:pPr>
      <w:r>
        <w:rPr>
          <w:rFonts w:hint="eastAsia" w:ascii="宋体" w:hAnsi="宋体" w:cs="宋体"/>
          <w:color w:val="auto"/>
          <w:sz w:val="28"/>
          <w:szCs w:val="28"/>
          <w:highlight w:val="none"/>
        </w:rPr>
        <w:t>响应文件目录表</w:t>
      </w:r>
    </w:p>
    <w:tbl>
      <w:tblPr>
        <w:tblStyle w:val="49"/>
        <w:tblW w:w="9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4151"/>
        <w:gridCol w:w="1702"/>
        <w:gridCol w:w="2685"/>
      </w:tblGrid>
      <w:tr w14:paraId="575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907" w:type="dxa"/>
            <w:vAlign w:val="center"/>
          </w:tcPr>
          <w:p w14:paraId="2D8273CD">
            <w:pPr>
              <w:pStyle w:val="41"/>
              <w:tabs>
                <w:tab w:val="right" w:leader="dot" w:pos="8722"/>
              </w:tabs>
              <w:jc w:val="both"/>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序号</w:t>
            </w:r>
          </w:p>
        </w:tc>
        <w:tc>
          <w:tcPr>
            <w:tcW w:w="4151" w:type="dxa"/>
            <w:vAlign w:val="center"/>
          </w:tcPr>
          <w:p w14:paraId="3FEF9656">
            <w:pPr>
              <w:pStyle w:val="41"/>
              <w:tabs>
                <w:tab w:val="right" w:leader="dot" w:pos="8722"/>
              </w:tabs>
              <w:ind w:firstLine="426"/>
              <w:jc w:val="center"/>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文件名称</w:t>
            </w:r>
          </w:p>
        </w:tc>
        <w:tc>
          <w:tcPr>
            <w:tcW w:w="1702" w:type="dxa"/>
            <w:vAlign w:val="center"/>
          </w:tcPr>
          <w:p w14:paraId="10B2636D">
            <w:pPr>
              <w:pStyle w:val="41"/>
              <w:tabs>
                <w:tab w:val="right" w:leader="dot" w:pos="8722"/>
              </w:tabs>
              <w:ind w:left="0" w:firstLine="426"/>
              <w:jc w:val="center"/>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是否提交</w:t>
            </w:r>
          </w:p>
        </w:tc>
        <w:tc>
          <w:tcPr>
            <w:tcW w:w="2685" w:type="dxa"/>
            <w:vAlign w:val="center"/>
          </w:tcPr>
          <w:p w14:paraId="6A5EC157">
            <w:pPr>
              <w:pStyle w:val="41"/>
              <w:tabs>
                <w:tab w:val="right" w:leader="dot" w:pos="8722"/>
              </w:tabs>
              <w:ind w:left="0" w:firstLine="426"/>
              <w:jc w:val="both"/>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证明材料页码</w:t>
            </w:r>
            <w:r>
              <w:rPr>
                <w:rFonts w:hint="eastAsia" w:ascii="宋体" w:hAnsi="宋体" w:eastAsia="宋体" w:cs="宋体"/>
                <w:b/>
                <w:bCs/>
                <w:color w:val="auto"/>
                <w:spacing w:val="1"/>
                <w:sz w:val="21"/>
                <w:szCs w:val="21"/>
                <w:highlight w:val="none"/>
                <w:lang w:eastAsia="en-US"/>
              </w:rPr>
              <w:t>范围</w:t>
            </w:r>
          </w:p>
        </w:tc>
      </w:tr>
      <w:tr w14:paraId="537F1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07" w:type="dxa"/>
            <w:vAlign w:val="center"/>
          </w:tcPr>
          <w:p w14:paraId="632DA2BE">
            <w:pPr>
              <w:pStyle w:val="41"/>
              <w:tabs>
                <w:tab w:val="right" w:leader="dot" w:pos="8722"/>
              </w:tabs>
              <w:spacing w:line="360" w:lineRule="exact"/>
              <w:jc w:val="both"/>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一</w:t>
            </w:r>
          </w:p>
        </w:tc>
        <w:tc>
          <w:tcPr>
            <w:tcW w:w="4151" w:type="dxa"/>
            <w:vAlign w:val="center"/>
          </w:tcPr>
          <w:p w14:paraId="3EC3CA07">
            <w:pPr>
              <w:pStyle w:val="41"/>
              <w:tabs>
                <w:tab w:val="right" w:leader="dot" w:pos="8722"/>
              </w:tabs>
              <w:spacing w:line="360" w:lineRule="exact"/>
              <w:ind w:left="0"/>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资格性文件</w:t>
            </w:r>
          </w:p>
        </w:tc>
        <w:tc>
          <w:tcPr>
            <w:tcW w:w="1702" w:type="dxa"/>
            <w:vAlign w:val="center"/>
          </w:tcPr>
          <w:p w14:paraId="140BE113">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11FAD035">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p>
        </w:tc>
      </w:tr>
      <w:tr w14:paraId="2C9F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07" w:type="dxa"/>
            <w:vAlign w:val="center"/>
          </w:tcPr>
          <w:p w14:paraId="57B82152">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1.1</w:t>
            </w:r>
          </w:p>
        </w:tc>
        <w:tc>
          <w:tcPr>
            <w:tcW w:w="4151" w:type="dxa"/>
            <w:vAlign w:val="center"/>
          </w:tcPr>
          <w:p w14:paraId="01893262">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资格性/符合性审查自查表</w:t>
            </w:r>
          </w:p>
        </w:tc>
        <w:tc>
          <w:tcPr>
            <w:tcW w:w="1702" w:type="dxa"/>
            <w:vAlign w:val="center"/>
          </w:tcPr>
          <w:p w14:paraId="441DF71E">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7A28E34F">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4BD0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07" w:type="dxa"/>
            <w:vAlign w:val="center"/>
          </w:tcPr>
          <w:p w14:paraId="575C75AF">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1.2</w:t>
            </w:r>
          </w:p>
        </w:tc>
        <w:tc>
          <w:tcPr>
            <w:tcW w:w="4151" w:type="dxa"/>
            <w:vAlign w:val="center"/>
          </w:tcPr>
          <w:p w14:paraId="3B54F637">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响应函</w:t>
            </w:r>
          </w:p>
        </w:tc>
        <w:tc>
          <w:tcPr>
            <w:tcW w:w="1702" w:type="dxa"/>
            <w:vAlign w:val="center"/>
          </w:tcPr>
          <w:p w14:paraId="6499D01E">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46316DAC">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6E16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07" w:type="dxa"/>
            <w:vAlign w:val="center"/>
          </w:tcPr>
          <w:p w14:paraId="56F64B6B">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1.2</w:t>
            </w:r>
          </w:p>
        </w:tc>
        <w:tc>
          <w:tcPr>
            <w:tcW w:w="4151" w:type="dxa"/>
            <w:vAlign w:val="center"/>
          </w:tcPr>
          <w:p w14:paraId="16BBE201">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（1）法定代表人/单位负责人资格证明书</w:t>
            </w:r>
          </w:p>
        </w:tc>
        <w:tc>
          <w:tcPr>
            <w:tcW w:w="1702" w:type="dxa"/>
            <w:vAlign w:val="center"/>
          </w:tcPr>
          <w:p w14:paraId="59B045C5">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5EBA61C7">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5A9E2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07" w:type="dxa"/>
            <w:vAlign w:val="center"/>
          </w:tcPr>
          <w:p w14:paraId="0694E3BE">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1.3</w:t>
            </w:r>
          </w:p>
        </w:tc>
        <w:tc>
          <w:tcPr>
            <w:tcW w:w="4151" w:type="dxa"/>
            <w:vAlign w:val="center"/>
          </w:tcPr>
          <w:p w14:paraId="1F639FEA">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（2）法定代表人/单位负责人授权委托书</w:t>
            </w:r>
          </w:p>
        </w:tc>
        <w:tc>
          <w:tcPr>
            <w:tcW w:w="1702" w:type="dxa"/>
            <w:vAlign w:val="center"/>
          </w:tcPr>
          <w:p w14:paraId="1DC0CC77">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6AA341C3">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05167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907" w:type="dxa"/>
            <w:vAlign w:val="center"/>
          </w:tcPr>
          <w:p w14:paraId="61559E2C">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1.4</w:t>
            </w:r>
          </w:p>
        </w:tc>
        <w:tc>
          <w:tcPr>
            <w:tcW w:w="4151" w:type="dxa"/>
            <w:vAlign w:val="center"/>
          </w:tcPr>
          <w:p w14:paraId="34CBC088">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资格声明函</w:t>
            </w:r>
          </w:p>
        </w:tc>
        <w:tc>
          <w:tcPr>
            <w:tcW w:w="1702" w:type="dxa"/>
            <w:vAlign w:val="center"/>
          </w:tcPr>
          <w:p w14:paraId="1D5A84F0">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25BA8A3E">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73DE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07" w:type="dxa"/>
            <w:vAlign w:val="center"/>
          </w:tcPr>
          <w:p w14:paraId="7F19DA84">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1.5</w:t>
            </w:r>
          </w:p>
        </w:tc>
        <w:tc>
          <w:tcPr>
            <w:tcW w:w="4151" w:type="dxa"/>
            <w:vAlign w:val="center"/>
          </w:tcPr>
          <w:p w14:paraId="0C92DB70">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GB"/>
              </w:rPr>
              <w:t>资格审查证明材料</w:t>
            </w:r>
          </w:p>
        </w:tc>
        <w:tc>
          <w:tcPr>
            <w:tcW w:w="1702" w:type="dxa"/>
            <w:vAlign w:val="center"/>
          </w:tcPr>
          <w:p w14:paraId="75AE44C0">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36CFBD2A">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37FF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07" w:type="dxa"/>
            <w:vAlign w:val="center"/>
          </w:tcPr>
          <w:p w14:paraId="4B8F1B04">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1.6</w:t>
            </w:r>
          </w:p>
        </w:tc>
        <w:tc>
          <w:tcPr>
            <w:tcW w:w="4151" w:type="dxa"/>
            <w:vAlign w:val="center"/>
          </w:tcPr>
          <w:p w14:paraId="0A1F2BA0">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中小企业声明函（如有）</w:t>
            </w:r>
          </w:p>
        </w:tc>
        <w:tc>
          <w:tcPr>
            <w:tcW w:w="1702" w:type="dxa"/>
            <w:vAlign w:val="center"/>
          </w:tcPr>
          <w:p w14:paraId="2DA13C0D">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09A99777">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5A88B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907" w:type="dxa"/>
            <w:vAlign w:val="center"/>
          </w:tcPr>
          <w:p w14:paraId="1BD63B3C">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1.7</w:t>
            </w:r>
          </w:p>
        </w:tc>
        <w:tc>
          <w:tcPr>
            <w:tcW w:w="4151" w:type="dxa"/>
            <w:vAlign w:val="center"/>
          </w:tcPr>
          <w:p w14:paraId="231571E9">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监狱企业的证明文件（如有）</w:t>
            </w:r>
          </w:p>
        </w:tc>
        <w:tc>
          <w:tcPr>
            <w:tcW w:w="1702" w:type="dxa"/>
            <w:vAlign w:val="center"/>
          </w:tcPr>
          <w:p w14:paraId="3CF6F816">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0C43AAC2">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480A2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vAlign w:val="center"/>
          </w:tcPr>
          <w:p w14:paraId="4344117A">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1.8</w:t>
            </w:r>
          </w:p>
        </w:tc>
        <w:tc>
          <w:tcPr>
            <w:tcW w:w="4151" w:type="dxa"/>
            <w:vAlign w:val="center"/>
          </w:tcPr>
          <w:p w14:paraId="3083FF59">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残疾人福利性单位声明函（如有）</w:t>
            </w:r>
          </w:p>
        </w:tc>
        <w:tc>
          <w:tcPr>
            <w:tcW w:w="1702" w:type="dxa"/>
            <w:vAlign w:val="center"/>
          </w:tcPr>
          <w:p w14:paraId="6CA0A6C4">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60016202">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0739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07" w:type="dxa"/>
            <w:vAlign w:val="center"/>
          </w:tcPr>
          <w:p w14:paraId="77157237">
            <w:pPr>
              <w:pStyle w:val="41"/>
              <w:tabs>
                <w:tab w:val="right" w:leader="dot" w:pos="8722"/>
              </w:tabs>
              <w:spacing w:line="360" w:lineRule="exact"/>
              <w:jc w:val="both"/>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二</w:t>
            </w:r>
          </w:p>
        </w:tc>
        <w:tc>
          <w:tcPr>
            <w:tcW w:w="4151" w:type="dxa"/>
            <w:vAlign w:val="center"/>
          </w:tcPr>
          <w:p w14:paraId="52BDFAF2">
            <w:pPr>
              <w:pStyle w:val="41"/>
              <w:tabs>
                <w:tab w:val="right" w:leader="dot" w:pos="8722"/>
              </w:tabs>
              <w:spacing w:line="360" w:lineRule="exact"/>
              <w:ind w:left="0"/>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商务文件</w:t>
            </w:r>
          </w:p>
        </w:tc>
        <w:tc>
          <w:tcPr>
            <w:tcW w:w="1702" w:type="dxa"/>
            <w:vAlign w:val="center"/>
          </w:tcPr>
          <w:p w14:paraId="16D5E1CC">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0DEA64A6">
            <w:pPr>
              <w:pStyle w:val="41"/>
              <w:tabs>
                <w:tab w:val="right" w:leader="dot" w:pos="8722"/>
              </w:tabs>
              <w:spacing w:line="360" w:lineRule="exact"/>
              <w:ind w:left="158" w:firstLine="426"/>
              <w:jc w:val="both"/>
              <w:rPr>
                <w:rFonts w:ascii="宋体" w:hAnsi="宋体" w:eastAsia="宋体" w:cs="宋体"/>
                <w:color w:val="auto"/>
                <w:spacing w:val="1"/>
                <w:sz w:val="21"/>
                <w:szCs w:val="21"/>
                <w:highlight w:val="none"/>
              </w:rPr>
            </w:pPr>
          </w:p>
        </w:tc>
      </w:tr>
      <w:tr w14:paraId="67C75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907" w:type="dxa"/>
            <w:vAlign w:val="center"/>
          </w:tcPr>
          <w:p w14:paraId="5066C4EB">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2.1</w:t>
            </w:r>
          </w:p>
        </w:tc>
        <w:tc>
          <w:tcPr>
            <w:tcW w:w="4151" w:type="dxa"/>
            <w:vAlign w:val="center"/>
          </w:tcPr>
          <w:p w14:paraId="66046A68">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供应商综合概况</w:t>
            </w:r>
          </w:p>
        </w:tc>
        <w:tc>
          <w:tcPr>
            <w:tcW w:w="1702" w:type="dxa"/>
            <w:vAlign w:val="center"/>
          </w:tcPr>
          <w:p w14:paraId="796E7609">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28331327">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06E4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07" w:type="dxa"/>
            <w:vAlign w:val="center"/>
          </w:tcPr>
          <w:p w14:paraId="32223A23">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2.2</w:t>
            </w:r>
          </w:p>
        </w:tc>
        <w:tc>
          <w:tcPr>
            <w:tcW w:w="4151" w:type="dxa"/>
            <w:vAlign w:val="center"/>
          </w:tcPr>
          <w:p w14:paraId="294E2775">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同类项目业绩</w:t>
            </w:r>
          </w:p>
        </w:tc>
        <w:tc>
          <w:tcPr>
            <w:tcW w:w="1702" w:type="dxa"/>
            <w:vAlign w:val="center"/>
          </w:tcPr>
          <w:p w14:paraId="70BF01CC">
            <w:pPr>
              <w:spacing w:line="360" w:lineRule="exact"/>
              <w:ind w:firstLine="426"/>
              <w:rPr>
                <w:rFonts w:ascii="宋体" w:hAnsi="宋体" w:cs="宋体"/>
                <w:smallCaps/>
                <w:color w:val="auto"/>
                <w:spacing w:val="1"/>
                <w:szCs w:val="21"/>
                <w:highlight w:val="none"/>
              </w:rPr>
            </w:pPr>
          </w:p>
        </w:tc>
        <w:tc>
          <w:tcPr>
            <w:tcW w:w="2685" w:type="dxa"/>
            <w:vAlign w:val="center"/>
          </w:tcPr>
          <w:p w14:paraId="3D502C99">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5A187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07" w:type="dxa"/>
            <w:vAlign w:val="center"/>
          </w:tcPr>
          <w:p w14:paraId="2663AC9D">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2.3</w:t>
            </w:r>
          </w:p>
        </w:tc>
        <w:tc>
          <w:tcPr>
            <w:tcW w:w="4151" w:type="dxa"/>
            <w:vAlign w:val="center"/>
          </w:tcPr>
          <w:p w14:paraId="65999C68">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实质性条款响应表</w:t>
            </w:r>
          </w:p>
        </w:tc>
        <w:tc>
          <w:tcPr>
            <w:tcW w:w="1702" w:type="dxa"/>
            <w:vAlign w:val="center"/>
          </w:tcPr>
          <w:p w14:paraId="7EA82F34">
            <w:pPr>
              <w:spacing w:line="360" w:lineRule="exact"/>
              <w:ind w:firstLine="426"/>
              <w:rPr>
                <w:rFonts w:ascii="宋体" w:hAnsi="宋体" w:cs="宋体"/>
                <w:smallCaps/>
                <w:color w:val="auto"/>
                <w:spacing w:val="1"/>
                <w:szCs w:val="21"/>
                <w:highlight w:val="none"/>
              </w:rPr>
            </w:pPr>
          </w:p>
        </w:tc>
        <w:tc>
          <w:tcPr>
            <w:tcW w:w="2685" w:type="dxa"/>
            <w:vAlign w:val="center"/>
          </w:tcPr>
          <w:p w14:paraId="659D49D4">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1B002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07" w:type="dxa"/>
            <w:vAlign w:val="center"/>
          </w:tcPr>
          <w:p w14:paraId="00A1782B">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2.4</w:t>
            </w:r>
          </w:p>
        </w:tc>
        <w:tc>
          <w:tcPr>
            <w:tcW w:w="4151" w:type="dxa"/>
            <w:vAlign w:val="center"/>
          </w:tcPr>
          <w:p w14:paraId="70991B1E">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用户需求条款响应表</w:t>
            </w:r>
          </w:p>
        </w:tc>
        <w:tc>
          <w:tcPr>
            <w:tcW w:w="1702" w:type="dxa"/>
            <w:vAlign w:val="center"/>
          </w:tcPr>
          <w:p w14:paraId="724A4732">
            <w:pPr>
              <w:spacing w:line="360" w:lineRule="exact"/>
              <w:ind w:firstLine="426"/>
              <w:rPr>
                <w:rFonts w:ascii="宋体" w:hAnsi="宋体" w:cs="宋体"/>
                <w:smallCaps/>
                <w:color w:val="auto"/>
                <w:spacing w:val="1"/>
                <w:szCs w:val="21"/>
                <w:highlight w:val="none"/>
              </w:rPr>
            </w:pPr>
          </w:p>
        </w:tc>
        <w:tc>
          <w:tcPr>
            <w:tcW w:w="2685" w:type="dxa"/>
            <w:vAlign w:val="center"/>
          </w:tcPr>
          <w:p w14:paraId="4D9F4253">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1682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907" w:type="dxa"/>
            <w:vAlign w:val="center"/>
          </w:tcPr>
          <w:p w14:paraId="146DDADA">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2.5</w:t>
            </w:r>
          </w:p>
        </w:tc>
        <w:tc>
          <w:tcPr>
            <w:tcW w:w="4151" w:type="dxa"/>
            <w:vAlign w:val="center"/>
          </w:tcPr>
          <w:p w14:paraId="6B119177">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合同条款响应表</w:t>
            </w:r>
          </w:p>
        </w:tc>
        <w:tc>
          <w:tcPr>
            <w:tcW w:w="1702" w:type="dxa"/>
            <w:vAlign w:val="center"/>
          </w:tcPr>
          <w:p w14:paraId="11F64924">
            <w:pPr>
              <w:spacing w:line="360" w:lineRule="exact"/>
              <w:ind w:firstLine="426"/>
              <w:rPr>
                <w:rFonts w:ascii="宋体" w:hAnsi="宋体" w:cs="宋体"/>
                <w:smallCaps/>
                <w:color w:val="auto"/>
                <w:spacing w:val="1"/>
                <w:szCs w:val="21"/>
                <w:highlight w:val="none"/>
              </w:rPr>
            </w:pPr>
          </w:p>
        </w:tc>
        <w:tc>
          <w:tcPr>
            <w:tcW w:w="2685" w:type="dxa"/>
            <w:vAlign w:val="center"/>
          </w:tcPr>
          <w:p w14:paraId="7971D1E6">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76026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907" w:type="dxa"/>
            <w:vAlign w:val="center"/>
          </w:tcPr>
          <w:p w14:paraId="19BC24F1">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2.6</w:t>
            </w:r>
          </w:p>
        </w:tc>
        <w:tc>
          <w:tcPr>
            <w:tcW w:w="4151" w:type="dxa"/>
            <w:vAlign w:val="center"/>
          </w:tcPr>
          <w:p w14:paraId="384B7212">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其他商务资料</w:t>
            </w:r>
          </w:p>
        </w:tc>
        <w:tc>
          <w:tcPr>
            <w:tcW w:w="1702" w:type="dxa"/>
            <w:vAlign w:val="center"/>
          </w:tcPr>
          <w:p w14:paraId="5793783A">
            <w:pPr>
              <w:spacing w:line="360" w:lineRule="exact"/>
              <w:ind w:firstLine="426"/>
              <w:rPr>
                <w:rFonts w:ascii="宋体" w:hAnsi="宋体" w:cs="宋体"/>
                <w:smallCaps/>
                <w:color w:val="auto"/>
                <w:spacing w:val="1"/>
                <w:szCs w:val="21"/>
                <w:highlight w:val="none"/>
              </w:rPr>
            </w:pPr>
          </w:p>
        </w:tc>
        <w:tc>
          <w:tcPr>
            <w:tcW w:w="2685" w:type="dxa"/>
            <w:vAlign w:val="center"/>
          </w:tcPr>
          <w:p w14:paraId="1B1446B6">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1F26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907" w:type="dxa"/>
            <w:vAlign w:val="center"/>
          </w:tcPr>
          <w:p w14:paraId="503B654E">
            <w:pPr>
              <w:pStyle w:val="41"/>
              <w:tabs>
                <w:tab w:val="right" w:leader="dot" w:pos="8722"/>
              </w:tabs>
              <w:spacing w:line="360" w:lineRule="exact"/>
              <w:jc w:val="both"/>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三</w:t>
            </w:r>
          </w:p>
        </w:tc>
        <w:tc>
          <w:tcPr>
            <w:tcW w:w="4151" w:type="dxa"/>
            <w:vAlign w:val="center"/>
          </w:tcPr>
          <w:p w14:paraId="7A0DA755">
            <w:pPr>
              <w:pStyle w:val="41"/>
              <w:tabs>
                <w:tab w:val="right" w:leader="dot" w:pos="8722"/>
              </w:tabs>
              <w:spacing w:line="360" w:lineRule="exact"/>
              <w:ind w:left="0"/>
              <w:rPr>
                <w:rFonts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技术文件</w:t>
            </w:r>
          </w:p>
        </w:tc>
        <w:tc>
          <w:tcPr>
            <w:tcW w:w="1702" w:type="dxa"/>
            <w:vAlign w:val="center"/>
          </w:tcPr>
          <w:p w14:paraId="669B102A">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2FE0D958">
            <w:pPr>
              <w:pStyle w:val="41"/>
              <w:tabs>
                <w:tab w:val="right" w:leader="dot" w:pos="8722"/>
              </w:tabs>
              <w:spacing w:line="360" w:lineRule="exact"/>
              <w:ind w:left="158" w:firstLine="426"/>
              <w:jc w:val="both"/>
              <w:rPr>
                <w:rFonts w:ascii="宋体" w:hAnsi="宋体" w:eastAsia="宋体" w:cs="宋体"/>
                <w:color w:val="auto"/>
                <w:spacing w:val="1"/>
                <w:sz w:val="21"/>
                <w:szCs w:val="21"/>
                <w:highlight w:val="none"/>
              </w:rPr>
            </w:pPr>
          </w:p>
        </w:tc>
      </w:tr>
      <w:tr w14:paraId="6A603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907" w:type="dxa"/>
            <w:vAlign w:val="center"/>
          </w:tcPr>
          <w:p w14:paraId="49312288">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3.1</w:t>
            </w:r>
          </w:p>
        </w:tc>
        <w:tc>
          <w:tcPr>
            <w:tcW w:w="4151" w:type="dxa"/>
            <w:vAlign w:val="center"/>
          </w:tcPr>
          <w:p w14:paraId="495D040D">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技术实施方案</w:t>
            </w:r>
          </w:p>
        </w:tc>
        <w:tc>
          <w:tcPr>
            <w:tcW w:w="1702" w:type="dxa"/>
            <w:vAlign w:val="center"/>
          </w:tcPr>
          <w:p w14:paraId="7D6A0E9B">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2969D1D0">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5C93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907" w:type="dxa"/>
            <w:vAlign w:val="center"/>
          </w:tcPr>
          <w:p w14:paraId="17F2CCBD">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b/>
                <w:bCs/>
                <w:color w:val="auto"/>
                <w:spacing w:val="1"/>
                <w:sz w:val="21"/>
                <w:szCs w:val="21"/>
                <w:highlight w:val="none"/>
              </w:rPr>
              <w:t>四</w:t>
            </w:r>
          </w:p>
        </w:tc>
        <w:tc>
          <w:tcPr>
            <w:tcW w:w="4151" w:type="dxa"/>
            <w:vAlign w:val="center"/>
          </w:tcPr>
          <w:p w14:paraId="42C72736">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b/>
                <w:bCs/>
                <w:color w:val="auto"/>
                <w:spacing w:val="1"/>
                <w:sz w:val="21"/>
                <w:szCs w:val="21"/>
                <w:highlight w:val="none"/>
              </w:rPr>
              <w:t>价格文件</w:t>
            </w:r>
          </w:p>
        </w:tc>
        <w:tc>
          <w:tcPr>
            <w:tcW w:w="1702" w:type="dxa"/>
            <w:vAlign w:val="center"/>
          </w:tcPr>
          <w:p w14:paraId="4E8719C4">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44C6E014">
            <w:pPr>
              <w:pStyle w:val="41"/>
              <w:tabs>
                <w:tab w:val="right" w:leader="dot" w:pos="8722"/>
              </w:tabs>
              <w:spacing w:line="360" w:lineRule="exact"/>
              <w:ind w:left="158" w:firstLine="426"/>
              <w:jc w:val="both"/>
              <w:rPr>
                <w:rFonts w:ascii="宋体" w:hAnsi="宋体" w:eastAsia="宋体" w:cs="宋体"/>
                <w:color w:val="auto"/>
                <w:spacing w:val="1"/>
                <w:sz w:val="21"/>
                <w:szCs w:val="21"/>
                <w:highlight w:val="none"/>
              </w:rPr>
            </w:pPr>
          </w:p>
        </w:tc>
      </w:tr>
      <w:tr w14:paraId="64594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07" w:type="dxa"/>
            <w:vAlign w:val="center"/>
          </w:tcPr>
          <w:p w14:paraId="07AD9CFB">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4.1</w:t>
            </w:r>
          </w:p>
        </w:tc>
        <w:tc>
          <w:tcPr>
            <w:tcW w:w="4151" w:type="dxa"/>
            <w:vAlign w:val="center"/>
          </w:tcPr>
          <w:p w14:paraId="0C748D62">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首轮报价表</w:t>
            </w:r>
          </w:p>
        </w:tc>
        <w:tc>
          <w:tcPr>
            <w:tcW w:w="1702" w:type="dxa"/>
            <w:vAlign w:val="center"/>
          </w:tcPr>
          <w:p w14:paraId="685628C9">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4FA51FA6">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49084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07" w:type="dxa"/>
            <w:vAlign w:val="center"/>
          </w:tcPr>
          <w:p w14:paraId="5491DA2F">
            <w:pPr>
              <w:pStyle w:val="41"/>
              <w:tabs>
                <w:tab w:val="right" w:leader="dot" w:pos="8722"/>
              </w:tabs>
              <w:spacing w:line="360" w:lineRule="exact"/>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4.2</w:t>
            </w:r>
          </w:p>
        </w:tc>
        <w:tc>
          <w:tcPr>
            <w:tcW w:w="4151" w:type="dxa"/>
            <w:vAlign w:val="center"/>
          </w:tcPr>
          <w:p w14:paraId="345E2447">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分项报价表</w:t>
            </w:r>
          </w:p>
        </w:tc>
        <w:tc>
          <w:tcPr>
            <w:tcW w:w="1702" w:type="dxa"/>
            <w:vAlign w:val="center"/>
          </w:tcPr>
          <w:p w14:paraId="78BC8109">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119D3BA3">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r w14:paraId="592F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907" w:type="dxa"/>
            <w:vAlign w:val="center"/>
          </w:tcPr>
          <w:p w14:paraId="6B34B955">
            <w:pPr>
              <w:spacing w:line="360" w:lineRule="exact"/>
              <w:jc w:val="center"/>
              <w:rPr>
                <w:rFonts w:ascii="宋体" w:hAnsi="宋体" w:cs="宋体"/>
                <w:color w:val="auto"/>
                <w:spacing w:val="1"/>
                <w:szCs w:val="21"/>
                <w:highlight w:val="none"/>
              </w:rPr>
            </w:pPr>
            <w:r>
              <w:rPr>
                <w:rFonts w:hint="eastAsia" w:ascii="宋体" w:hAnsi="宋体" w:cs="宋体"/>
                <w:b/>
                <w:bCs/>
                <w:color w:val="auto"/>
                <w:spacing w:val="1"/>
                <w:szCs w:val="21"/>
                <w:highlight w:val="none"/>
              </w:rPr>
              <w:t>五</w:t>
            </w:r>
          </w:p>
        </w:tc>
        <w:tc>
          <w:tcPr>
            <w:tcW w:w="4151" w:type="dxa"/>
            <w:vAlign w:val="center"/>
          </w:tcPr>
          <w:p w14:paraId="0D48674A">
            <w:pPr>
              <w:pStyle w:val="41"/>
              <w:tabs>
                <w:tab w:val="right" w:leader="dot" w:pos="8722"/>
              </w:tabs>
              <w:spacing w:line="360" w:lineRule="exact"/>
              <w:ind w:left="0"/>
              <w:rPr>
                <w:rFonts w:ascii="宋体" w:hAnsi="宋体" w:eastAsia="宋体" w:cs="宋体"/>
                <w:color w:val="auto"/>
                <w:spacing w:val="1"/>
                <w:sz w:val="21"/>
                <w:szCs w:val="21"/>
                <w:highlight w:val="none"/>
              </w:rPr>
            </w:pPr>
            <w:r>
              <w:rPr>
                <w:rFonts w:hint="eastAsia" w:ascii="宋体" w:hAnsi="宋体" w:eastAsia="宋体" w:cs="宋体"/>
                <w:b/>
                <w:bCs/>
                <w:color w:val="auto"/>
                <w:spacing w:val="1"/>
                <w:sz w:val="21"/>
                <w:szCs w:val="21"/>
                <w:highlight w:val="none"/>
              </w:rPr>
              <w:t>采购代理服务费支付同意函</w:t>
            </w:r>
          </w:p>
        </w:tc>
        <w:tc>
          <w:tcPr>
            <w:tcW w:w="1702" w:type="dxa"/>
            <w:vAlign w:val="center"/>
          </w:tcPr>
          <w:p w14:paraId="0202BBFE">
            <w:pPr>
              <w:pStyle w:val="41"/>
              <w:tabs>
                <w:tab w:val="right" w:leader="dot" w:pos="8722"/>
              </w:tabs>
              <w:spacing w:line="360" w:lineRule="exact"/>
              <w:ind w:left="158" w:firstLine="426"/>
              <w:jc w:val="center"/>
              <w:rPr>
                <w:rFonts w:ascii="宋体" w:hAnsi="宋体" w:eastAsia="宋体" w:cs="宋体"/>
                <w:color w:val="auto"/>
                <w:spacing w:val="1"/>
                <w:sz w:val="21"/>
                <w:szCs w:val="21"/>
                <w:highlight w:val="none"/>
              </w:rPr>
            </w:pPr>
          </w:p>
        </w:tc>
        <w:tc>
          <w:tcPr>
            <w:tcW w:w="2685" w:type="dxa"/>
            <w:vAlign w:val="center"/>
          </w:tcPr>
          <w:p w14:paraId="31A61463">
            <w:pPr>
              <w:pStyle w:val="41"/>
              <w:tabs>
                <w:tab w:val="right" w:leader="dot" w:pos="8722"/>
              </w:tabs>
              <w:spacing w:line="360" w:lineRule="exact"/>
              <w:ind w:left="0" w:firstLine="426"/>
              <w:jc w:val="both"/>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见响应文件第（）页</w:t>
            </w:r>
          </w:p>
        </w:tc>
      </w:tr>
    </w:tbl>
    <w:p w14:paraId="672A6951">
      <w:pPr>
        <w:pStyle w:val="64"/>
        <w:rPr>
          <w:rFonts w:ascii="宋体" w:hAnsi="宋体" w:cs="宋体"/>
          <w:b/>
          <w:bCs/>
          <w:color w:val="auto"/>
          <w:highlight w:val="none"/>
        </w:rPr>
      </w:pPr>
    </w:p>
    <w:p w14:paraId="2403EB9F">
      <w:pPr>
        <w:ind w:firstLine="420"/>
        <w:rPr>
          <w:rFonts w:ascii="宋体" w:hAnsi="宋体" w:cs="宋体"/>
          <w:b/>
          <w:bCs/>
          <w:color w:val="auto"/>
          <w:highlight w:val="none"/>
        </w:rPr>
      </w:pPr>
    </w:p>
    <w:p w14:paraId="42755C2C">
      <w:pPr>
        <w:ind w:firstLine="420"/>
        <w:rPr>
          <w:rFonts w:ascii="宋体" w:hAnsi="宋体" w:cs="宋体"/>
          <w:b/>
          <w:bCs/>
          <w:color w:val="auto"/>
          <w:highlight w:val="none"/>
        </w:rPr>
      </w:pPr>
    </w:p>
    <w:p w14:paraId="1F9D9DCB">
      <w:pPr>
        <w:ind w:firstLine="420"/>
        <w:rPr>
          <w:rFonts w:ascii="宋体" w:hAnsi="宋体" w:cs="宋体"/>
          <w:b/>
          <w:bCs/>
          <w:color w:val="auto"/>
          <w:highlight w:val="none"/>
        </w:rPr>
      </w:pPr>
    </w:p>
    <w:p w14:paraId="406A7F58">
      <w:pPr>
        <w:ind w:firstLine="420"/>
        <w:rPr>
          <w:rFonts w:ascii="宋体" w:hAnsi="宋体" w:cs="宋体"/>
          <w:b/>
          <w:bCs/>
          <w:color w:val="auto"/>
          <w:highlight w:val="none"/>
        </w:rPr>
      </w:pPr>
    </w:p>
    <w:p w14:paraId="46001D45">
      <w:pPr>
        <w:ind w:firstLine="420"/>
        <w:rPr>
          <w:rFonts w:ascii="宋体" w:hAnsi="宋体" w:cs="宋体"/>
          <w:b/>
          <w:bCs/>
          <w:color w:val="auto"/>
          <w:highlight w:val="none"/>
        </w:rPr>
      </w:pPr>
    </w:p>
    <w:p w14:paraId="710ECB7C">
      <w:pPr>
        <w:ind w:firstLine="420"/>
        <w:rPr>
          <w:rFonts w:ascii="宋体" w:hAnsi="宋体" w:cs="宋体"/>
          <w:b/>
          <w:bCs/>
          <w:color w:val="auto"/>
          <w:highlight w:val="none"/>
        </w:rPr>
      </w:pPr>
    </w:p>
    <w:p w14:paraId="4127263C">
      <w:pPr>
        <w:ind w:firstLine="420"/>
        <w:rPr>
          <w:rFonts w:ascii="宋体" w:hAnsi="宋体" w:cs="宋体"/>
          <w:b/>
          <w:bCs/>
          <w:color w:val="auto"/>
          <w:highlight w:val="none"/>
        </w:rPr>
      </w:pPr>
    </w:p>
    <w:p w14:paraId="5E741353">
      <w:pPr>
        <w:pStyle w:val="2"/>
        <w:ind w:firstLine="562"/>
        <w:rPr>
          <w:color w:val="auto"/>
          <w:highlight w:val="none"/>
        </w:rPr>
      </w:pPr>
    </w:p>
    <w:p w14:paraId="3DF44C2C">
      <w:pPr>
        <w:ind w:firstLine="420"/>
        <w:rPr>
          <w:rFonts w:ascii="宋体" w:hAnsi="宋体" w:cs="宋体"/>
          <w:b/>
          <w:bCs/>
          <w:color w:val="auto"/>
          <w:highlight w:val="none"/>
        </w:rPr>
      </w:pPr>
    </w:p>
    <w:p w14:paraId="04346D3C">
      <w:pPr>
        <w:pStyle w:val="64"/>
        <w:ind w:firstLine="422"/>
        <w:rPr>
          <w:color w:val="auto"/>
          <w:highlight w:val="none"/>
        </w:rPr>
      </w:pPr>
    </w:p>
    <w:p w14:paraId="3A981252">
      <w:pPr>
        <w:pStyle w:val="4"/>
        <w:spacing w:line="360" w:lineRule="auto"/>
        <w:ind w:firstLine="560"/>
        <w:rPr>
          <w:rFonts w:ascii="宋体" w:hAnsi="宋体" w:eastAsia="宋体"/>
          <w:color w:val="auto"/>
          <w:sz w:val="24"/>
          <w:szCs w:val="24"/>
          <w:highlight w:val="none"/>
        </w:rPr>
      </w:pPr>
      <w:bookmarkStart w:id="397" w:name="_Toc202254105"/>
      <w:bookmarkStart w:id="398" w:name="_Toc462677234"/>
      <w:bookmarkStart w:id="399" w:name="_Toc276645579"/>
      <w:bookmarkStart w:id="400" w:name="_Toc202251075"/>
      <w:bookmarkStart w:id="401" w:name="_Toc26127"/>
      <w:bookmarkStart w:id="402" w:name="_Toc202816996"/>
      <w:bookmarkStart w:id="403" w:name="_Toc13851"/>
      <w:bookmarkStart w:id="404" w:name="_Toc202820351"/>
      <w:bookmarkStart w:id="405" w:name="_Toc29311"/>
      <w:bookmarkStart w:id="406" w:name="_Toc27368"/>
      <w:bookmarkStart w:id="407" w:name="_Toc67046894"/>
      <w:bookmarkStart w:id="408" w:name="_Toc23822"/>
      <w:bookmarkStart w:id="409" w:name="_Toc202819878"/>
      <w:bookmarkStart w:id="410" w:name="_Toc202251700"/>
      <w:bookmarkStart w:id="411" w:name="_Toc70528468"/>
      <w:bookmarkStart w:id="412" w:name="_Hlk24380506"/>
      <w:bookmarkStart w:id="413" w:name="_Toc11644"/>
      <w:bookmarkStart w:id="414" w:name="_Toc259090982"/>
      <w:bookmarkStart w:id="415" w:name="_Toc10253"/>
      <w:bookmarkStart w:id="416" w:name="_Toc30835"/>
      <w:bookmarkStart w:id="417" w:name="_Toc202252034"/>
      <w:bookmarkStart w:id="418" w:name="_Toc68789540"/>
      <w:r>
        <w:rPr>
          <w:rFonts w:hint="eastAsia" w:ascii="宋体" w:hAnsi="宋体" w:eastAsia="宋体"/>
          <w:bCs w:val="0"/>
          <w:color w:val="auto"/>
          <w:sz w:val="28"/>
          <w:szCs w:val="28"/>
          <w:highlight w:val="none"/>
        </w:rPr>
        <w:t>一、资格性文件</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638B7C86">
      <w:pPr>
        <w:ind w:firstLine="420"/>
        <w:rPr>
          <w:rFonts w:ascii="宋体" w:hAnsi="宋体" w:cs="宋体"/>
          <w:b/>
          <w:color w:val="auto"/>
          <w:highlight w:val="none"/>
        </w:rPr>
      </w:pPr>
    </w:p>
    <w:p w14:paraId="1487969A">
      <w:pPr>
        <w:outlineLvl w:val="2"/>
        <w:rPr>
          <w:rFonts w:ascii="宋体"/>
          <w:b/>
          <w:color w:val="auto"/>
          <w:sz w:val="30"/>
          <w:highlight w:val="none"/>
        </w:rPr>
      </w:pPr>
      <w:r>
        <w:rPr>
          <w:rFonts w:hint="eastAsia" w:ascii="宋体" w:hAnsi="宋体" w:cs="宋体"/>
          <w:b/>
          <w:color w:val="auto"/>
          <w:highlight w:val="none"/>
        </w:rPr>
        <w:t>1.1资格性/符合性审查自查</w:t>
      </w:r>
    </w:p>
    <w:p w14:paraId="0DBE50A5">
      <w:pPr>
        <w:ind w:firstLine="600"/>
        <w:jc w:val="center"/>
        <w:rPr>
          <w:rFonts w:ascii="宋体"/>
          <w:b/>
          <w:color w:val="auto"/>
          <w:sz w:val="30"/>
          <w:highlight w:val="none"/>
        </w:rPr>
      </w:pPr>
    </w:p>
    <w:p w14:paraId="6AA01AA7">
      <w:pPr>
        <w:ind w:firstLine="602"/>
        <w:jc w:val="center"/>
        <w:rPr>
          <w:color w:val="auto"/>
          <w:sz w:val="24"/>
          <w:highlight w:val="none"/>
        </w:rPr>
      </w:pPr>
      <w:r>
        <w:rPr>
          <w:rFonts w:ascii="宋体"/>
          <w:b/>
          <w:color w:val="auto"/>
          <w:sz w:val="30"/>
          <w:highlight w:val="none"/>
        </w:rPr>
        <w:t>资格性/符合性</w:t>
      </w:r>
      <w:r>
        <w:rPr>
          <w:rFonts w:hint="eastAsia" w:ascii="宋体"/>
          <w:b/>
          <w:color w:val="auto"/>
          <w:sz w:val="30"/>
          <w:highlight w:val="none"/>
        </w:rPr>
        <w:t>审查</w:t>
      </w:r>
      <w:r>
        <w:rPr>
          <w:rFonts w:ascii="宋体"/>
          <w:b/>
          <w:color w:val="auto"/>
          <w:sz w:val="30"/>
          <w:highlight w:val="none"/>
        </w:rPr>
        <w:t>自查表</w:t>
      </w:r>
    </w:p>
    <w:tbl>
      <w:tblPr>
        <w:tblStyle w:val="49"/>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0"/>
        <w:gridCol w:w="1388"/>
        <w:gridCol w:w="5215"/>
        <w:gridCol w:w="1155"/>
        <w:gridCol w:w="1178"/>
      </w:tblGrid>
      <w:tr w14:paraId="64CC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1" w:hRule="atLeast"/>
          <w:jc w:val="center"/>
        </w:trPr>
        <w:tc>
          <w:tcPr>
            <w:tcW w:w="2128" w:type="dxa"/>
            <w:gridSpan w:val="2"/>
            <w:vAlign w:val="center"/>
          </w:tcPr>
          <w:p w14:paraId="0DFA26BF">
            <w:pPr>
              <w:spacing w:line="320" w:lineRule="atLeast"/>
              <w:ind w:left="-171"/>
              <w:jc w:val="center"/>
              <w:rPr>
                <w:rFonts w:ascii="宋体"/>
                <w:b/>
                <w:color w:val="auto"/>
                <w:szCs w:val="21"/>
                <w:highlight w:val="none"/>
              </w:rPr>
            </w:pPr>
            <w:r>
              <w:rPr>
                <w:rFonts w:ascii="宋体"/>
                <w:b/>
                <w:color w:val="auto"/>
                <w:szCs w:val="21"/>
                <w:highlight w:val="none"/>
              </w:rPr>
              <w:t>评审内容</w:t>
            </w:r>
          </w:p>
        </w:tc>
        <w:tc>
          <w:tcPr>
            <w:tcW w:w="5215" w:type="dxa"/>
            <w:vAlign w:val="center"/>
          </w:tcPr>
          <w:p w14:paraId="2A090839">
            <w:pPr>
              <w:spacing w:line="320" w:lineRule="atLeast"/>
              <w:ind w:left="-171"/>
              <w:jc w:val="center"/>
              <w:rPr>
                <w:rFonts w:ascii="宋体"/>
                <w:b/>
                <w:color w:val="auto"/>
                <w:szCs w:val="21"/>
                <w:highlight w:val="none"/>
              </w:rPr>
            </w:pPr>
            <w:r>
              <w:rPr>
                <w:rFonts w:hint="eastAsia" w:ascii="宋体"/>
                <w:b/>
                <w:color w:val="auto"/>
                <w:szCs w:val="21"/>
                <w:highlight w:val="none"/>
              </w:rPr>
              <w:t>采购文件</w:t>
            </w:r>
            <w:r>
              <w:rPr>
                <w:rFonts w:ascii="宋体"/>
                <w:b/>
                <w:color w:val="auto"/>
                <w:szCs w:val="21"/>
                <w:highlight w:val="none"/>
              </w:rPr>
              <w:t>要求</w:t>
            </w:r>
          </w:p>
        </w:tc>
        <w:tc>
          <w:tcPr>
            <w:tcW w:w="1155" w:type="dxa"/>
            <w:vAlign w:val="center"/>
          </w:tcPr>
          <w:p w14:paraId="3925297A">
            <w:pPr>
              <w:spacing w:line="320" w:lineRule="atLeast"/>
              <w:ind w:left="-171"/>
              <w:jc w:val="center"/>
              <w:rPr>
                <w:rFonts w:ascii="宋体"/>
                <w:b/>
                <w:color w:val="auto"/>
                <w:szCs w:val="21"/>
                <w:highlight w:val="none"/>
              </w:rPr>
            </w:pPr>
            <w:r>
              <w:rPr>
                <w:rFonts w:ascii="宋体"/>
                <w:b/>
                <w:color w:val="auto"/>
                <w:szCs w:val="21"/>
                <w:highlight w:val="none"/>
              </w:rPr>
              <w:t>自查结论</w:t>
            </w:r>
          </w:p>
        </w:tc>
        <w:tc>
          <w:tcPr>
            <w:tcW w:w="1178" w:type="dxa"/>
            <w:vAlign w:val="center"/>
          </w:tcPr>
          <w:p w14:paraId="37BEE529">
            <w:pPr>
              <w:spacing w:line="320" w:lineRule="atLeast"/>
              <w:ind w:left="-171"/>
              <w:jc w:val="center"/>
              <w:rPr>
                <w:rFonts w:ascii="宋体"/>
                <w:b/>
                <w:color w:val="auto"/>
                <w:szCs w:val="21"/>
                <w:highlight w:val="none"/>
              </w:rPr>
            </w:pPr>
            <w:r>
              <w:rPr>
                <w:rFonts w:ascii="宋体"/>
                <w:b/>
                <w:color w:val="auto"/>
                <w:szCs w:val="21"/>
                <w:highlight w:val="none"/>
              </w:rPr>
              <w:t>证明资料</w:t>
            </w:r>
          </w:p>
        </w:tc>
      </w:tr>
      <w:tr w14:paraId="231E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restart"/>
            <w:vAlign w:val="center"/>
          </w:tcPr>
          <w:p w14:paraId="38FF3C97">
            <w:pPr>
              <w:spacing w:line="320" w:lineRule="atLeast"/>
              <w:jc w:val="center"/>
              <w:rPr>
                <w:rFonts w:ascii="宋体"/>
                <w:color w:val="auto"/>
                <w:szCs w:val="21"/>
                <w:highlight w:val="none"/>
              </w:rPr>
            </w:pPr>
            <w:r>
              <w:rPr>
                <w:rFonts w:ascii="宋体"/>
                <w:color w:val="auto"/>
                <w:szCs w:val="21"/>
                <w:highlight w:val="none"/>
              </w:rPr>
              <w:t>资格性</w:t>
            </w:r>
            <w:r>
              <w:rPr>
                <w:rFonts w:hint="eastAsia" w:ascii="宋体"/>
                <w:color w:val="auto"/>
                <w:szCs w:val="21"/>
                <w:highlight w:val="none"/>
              </w:rPr>
              <w:t>审</w:t>
            </w:r>
            <w:r>
              <w:rPr>
                <w:rFonts w:ascii="宋体"/>
                <w:color w:val="auto"/>
                <w:szCs w:val="21"/>
                <w:highlight w:val="none"/>
              </w:rPr>
              <w:t>查</w:t>
            </w:r>
          </w:p>
        </w:tc>
        <w:tc>
          <w:tcPr>
            <w:tcW w:w="1388" w:type="dxa"/>
            <w:vAlign w:val="center"/>
          </w:tcPr>
          <w:p w14:paraId="4F3D49CC">
            <w:pPr>
              <w:pStyle w:val="334"/>
              <w:spacing w:line="400" w:lineRule="exact"/>
              <w:ind w:left="102"/>
              <w:jc w:val="center"/>
              <w:rPr>
                <w:color w:val="auto"/>
                <w:sz w:val="21"/>
                <w:szCs w:val="21"/>
                <w:highlight w:val="none"/>
              </w:rPr>
            </w:pPr>
            <w:r>
              <w:rPr>
                <w:rFonts w:hint="eastAsia"/>
                <w:color w:val="auto"/>
                <w:sz w:val="21"/>
                <w:szCs w:val="21"/>
                <w:highlight w:val="none"/>
              </w:rPr>
              <w:t>具有独立承担民事责任的能力</w:t>
            </w:r>
          </w:p>
        </w:tc>
        <w:tc>
          <w:tcPr>
            <w:tcW w:w="5215" w:type="dxa"/>
            <w:vAlign w:val="center"/>
          </w:tcPr>
          <w:p w14:paraId="548EBC3E">
            <w:pPr>
              <w:pStyle w:val="334"/>
              <w:spacing w:line="400" w:lineRule="exact"/>
              <w:ind w:left="102"/>
              <w:rPr>
                <w:rFonts w:ascii="宋体"/>
                <w:color w:val="auto"/>
                <w:sz w:val="21"/>
                <w:szCs w:val="21"/>
                <w:highlight w:val="none"/>
                <w:lang w:val="zh-CN"/>
              </w:rPr>
            </w:pPr>
            <w:r>
              <w:rPr>
                <w:rFonts w:hint="eastAsia"/>
                <w:color w:val="auto"/>
                <w:sz w:val="21"/>
                <w:szCs w:val="21"/>
                <w:highlight w:val="none"/>
              </w:rPr>
              <w:t>在中华人民共和国境内注册的法人或其他组织或自然人，投标时提交有效的营业执照（或事业法人登记证或社会团体法人登记证或身份证等相关证明）复印件。分支机构投标的，须提供总公司和分公司营业执照副本复印件，总公司出具给分支机构的授权书；</w:t>
            </w:r>
          </w:p>
        </w:tc>
        <w:tc>
          <w:tcPr>
            <w:tcW w:w="1155" w:type="dxa"/>
            <w:vAlign w:val="center"/>
          </w:tcPr>
          <w:p w14:paraId="477DD7F5">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6C1B45F6">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6A671AD6">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7BD6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1432D35E">
            <w:pPr>
              <w:spacing w:line="320" w:lineRule="atLeast"/>
              <w:jc w:val="center"/>
              <w:rPr>
                <w:rFonts w:ascii="宋体"/>
                <w:color w:val="auto"/>
                <w:szCs w:val="21"/>
                <w:highlight w:val="none"/>
              </w:rPr>
            </w:pPr>
          </w:p>
        </w:tc>
        <w:tc>
          <w:tcPr>
            <w:tcW w:w="1388" w:type="dxa"/>
            <w:vAlign w:val="center"/>
          </w:tcPr>
          <w:p w14:paraId="07339E27">
            <w:pPr>
              <w:pStyle w:val="334"/>
              <w:spacing w:line="400" w:lineRule="exact"/>
              <w:ind w:left="102"/>
              <w:jc w:val="center"/>
              <w:rPr>
                <w:color w:val="auto"/>
                <w:sz w:val="21"/>
                <w:szCs w:val="21"/>
                <w:highlight w:val="none"/>
              </w:rPr>
            </w:pPr>
            <w:r>
              <w:rPr>
                <w:rFonts w:hint="eastAsia"/>
                <w:color w:val="auto"/>
                <w:sz w:val="21"/>
                <w:szCs w:val="21"/>
                <w:highlight w:val="none"/>
              </w:rPr>
              <w:t>具有良好的商业信誉和健全的财务会计制度</w:t>
            </w:r>
          </w:p>
        </w:tc>
        <w:tc>
          <w:tcPr>
            <w:tcW w:w="5215" w:type="dxa"/>
            <w:vAlign w:val="center"/>
          </w:tcPr>
          <w:p w14:paraId="05A9350C">
            <w:pPr>
              <w:pStyle w:val="334"/>
              <w:spacing w:line="400" w:lineRule="exact"/>
              <w:ind w:left="102"/>
              <w:rPr>
                <w:rFonts w:ascii="宋体"/>
                <w:color w:val="auto"/>
                <w:sz w:val="21"/>
                <w:szCs w:val="21"/>
                <w:highlight w:val="none"/>
                <w:lang w:val="zh-CN"/>
              </w:rPr>
            </w:pPr>
            <w:r>
              <w:rPr>
                <w:rFonts w:hint="eastAsia"/>
                <w:color w:val="auto"/>
                <w:sz w:val="21"/>
                <w:szCs w:val="21"/>
                <w:highlight w:val="none"/>
              </w:rPr>
              <w:t>经第三方机构出具的2022年或2023年度财务审计报告，或2024年1月至今任意1个月的财务报表，或银行出具的资信证明材料复印件；</w:t>
            </w:r>
          </w:p>
        </w:tc>
        <w:tc>
          <w:tcPr>
            <w:tcW w:w="1155" w:type="dxa"/>
            <w:vAlign w:val="center"/>
          </w:tcPr>
          <w:p w14:paraId="31298CC2">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42863CC0">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38782C97">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0FCA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23279E54">
            <w:pPr>
              <w:spacing w:line="320" w:lineRule="atLeast"/>
              <w:jc w:val="center"/>
              <w:rPr>
                <w:rFonts w:ascii="宋体"/>
                <w:color w:val="auto"/>
                <w:szCs w:val="21"/>
                <w:highlight w:val="none"/>
              </w:rPr>
            </w:pPr>
          </w:p>
        </w:tc>
        <w:tc>
          <w:tcPr>
            <w:tcW w:w="1388" w:type="dxa"/>
            <w:vAlign w:val="center"/>
          </w:tcPr>
          <w:p w14:paraId="58D8A87A">
            <w:pPr>
              <w:pStyle w:val="334"/>
              <w:spacing w:line="400" w:lineRule="exact"/>
              <w:ind w:left="102"/>
              <w:jc w:val="center"/>
              <w:rPr>
                <w:color w:val="auto"/>
                <w:sz w:val="21"/>
                <w:szCs w:val="21"/>
                <w:highlight w:val="none"/>
              </w:rPr>
            </w:pPr>
            <w:r>
              <w:rPr>
                <w:rFonts w:hint="eastAsia"/>
                <w:color w:val="auto"/>
                <w:sz w:val="21"/>
                <w:szCs w:val="21"/>
                <w:highlight w:val="none"/>
              </w:rPr>
              <w:t>履行合同所必须的设备和专业技术能力</w:t>
            </w:r>
          </w:p>
        </w:tc>
        <w:tc>
          <w:tcPr>
            <w:tcW w:w="5215" w:type="dxa"/>
            <w:vAlign w:val="center"/>
          </w:tcPr>
          <w:p w14:paraId="0B5ACE15">
            <w:pPr>
              <w:pStyle w:val="334"/>
              <w:spacing w:line="400" w:lineRule="exact"/>
              <w:ind w:left="102"/>
              <w:rPr>
                <w:rFonts w:ascii="宋体"/>
                <w:color w:val="auto"/>
                <w:sz w:val="21"/>
                <w:szCs w:val="21"/>
                <w:highlight w:val="none"/>
                <w:lang w:val="zh-CN"/>
              </w:rPr>
            </w:pPr>
            <w:r>
              <w:rPr>
                <w:rFonts w:hint="eastAsia"/>
                <w:color w:val="auto"/>
                <w:sz w:val="21"/>
                <w:szCs w:val="21"/>
                <w:highlight w:val="none"/>
              </w:rPr>
              <w:t>参照《资格声明函》相关承诺格式内容，进行相关申明；</w:t>
            </w:r>
          </w:p>
        </w:tc>
        <w:tc>
          <w:tcPr>
            <w:tcW w:w="1155" w:type="dxa"/>
            <w:vAlign w:val="center"/>
          </w:tcPr>
          <w:p w14:paraId="24C26604">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34ACB1EE">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59D4A771">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0F56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3739105A">
            <w:pPr>
              <w:spacing w:line="320" w:lineRule="atLeast"/>
              <w:jc w:val="center"/>
              <w:rPr>
                <w:rFonts w:ascii="宋体"/>
                <w:color w:val="auto"/>
                <w:szCs w:val="21"/>
                <w:highlight w:val="none"/>
              </w:rPr>
            </w:pPr>
          </w:p>
        </w:tc>
        <w:tc>
          <w:tcPr>
            <w:tcW w:w="1388" w:type="dxa"/>
            <w:vAlign w:val="center"/>
          </w:tcPr>
          <w:p w14:paraId="57AFF275">
            <w:pPr>
              <w:pStyle w:val="334"/>
              <w:spacing w:line="400" w:lineRule="exact"/>
              <w:ind w:left="102"/>
              <w:jc w:val="center"/>
              <w:rPr>
                <w:color w:val="auto"/>
                <w:sz w:val="21"/>
                <w:szCs w:val="21"/>
                <w:highlight w:val="none"/>
              </w:rPr>
            </w:pPr>
            <w:r>
              <w:rPr>
                <w:rFonts w:hint="eastAsia"/>
                <w:color w:val="auto"/>
                <w:sz w:val="21"/>
                <w:szCs w:val="21"/>
                <w:highlight w:val="none"/>
              </w:rPr>
              <w:t>有依法缴纳税收和社会保障资金的良好记录</w:t>
            </w:r>
          </w:p>
        </w:tc>
        <w:tc>
          <w:tcPr>
            <w:tcW w:w="5215" w:type="dxa"/>
            <w:vAlign w:val="center"/>
          </w:tcPr>
          <w:p w14:paraId="54CA1054">
            <w:pPr>
              <w:pStyle w:val="334"/>
              <w:spacing w:line="400" w:lineRule="exact"/>
              <w:ind w:left="102"/>
              <w:rPr>
                <w:rFonts w:ascii="宋体"/>
                <w:color w:val="auto"/>
                <w:sz w:val="21"/>
                <w:szCs w:val="21"/>
                <w:highlight w:val="none"/>
                <w:lang w:val="zh-CN"/>
              </w:rPr>
            </w:pPr>
            <w:r>
              <w:rPr>
                <w:rFonts w:hint="eastAsia"/>
                <w:color w:val="auto"/>
                <w:sz w:val="21"/>
                <w:szCs w:val="21"/>
                <w:highlight w:val="none"/>
              </w:rPr>
              <w:t>提供2024年1月至今任意1个月依法缴纳税收证明及社会保障资金的缴纳记录相关证明材料。如依法免税的，应提供相应文件证明其依法免税；如依法不需要缴纳社会保障资金的，应提供相应文件证明其依法不需要缴纳社会保障资金；</w:t>
            </w:r>
          </w:p>
        </w:tc>
        <w:tc>
          <w:tcPr>
            <w:tcW w:w="1155" w:type="dxa"/>
            <w:vAlign w:val="center"/>
          </w:tcPr>
          <w:p w14:paraId="5ADDC34F">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7BB07EE5">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28F202BD">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13C17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03CB4458">
            <w:pPr>
              <w:spacing w:line="320" w:lineRule="atLeast"/>
              <w:jc w:val="center"/>
              <w:rPr>
                <w:rFonts w:ascii="宋体"/>
                <w:color w:val="auto"/>
                <w:szCs w:val="21"/>
                <w:highlight w:val="none"/>
              </w:rPr>
            </w:pPr>
          </w:p>
        </w:tc>
        <w:tc>
          <w:tcPr>
            <w:tcW w:w="1388" w:type="dxa"/>
            <w:vAlign w:val="center"/>
          </w:tcPr>
          <w:p w14:paraId="5AAA33F1">
            <w:pPr>
              <w:pStyle w:val="334"/>
              <w:spacing w:line="400" w:lineRule="exact"/>
              <w:ind w:left="102"/>
              <w:jc w:val="center"/>
              <w:rPr>
                <w:color w:val="auto"/>
                <w:sz w:val="21"/>
                <w:szCs w:val="21"/>
                <w:highlight w:val="none"/>
              </w:rPr>
            </w:pPr>
            <w:r>
              <w:rPr>
                <w:rFonts w:hint="eastAsia"/>
                <w:color w:val="auto"/>
                <w:sz w:val="21"/>
                <w:szCs w:val="21"/>
                <w:highlight w:val="none"/>
              </w:rPr>
              <w:t>参加采购活动前3年内，在经营活动中没有重大违法记录</w:t>
            </w:r>
          </w:p>
        </w:tc>
        <w:tc>
          <w:tcPr>
            <w:tcW w:w="5215" w:type="dxa"/>
            <w:vAlign w:val="center"/>
          </w:tcPr>
          <w:p w14:paraId="3540F6E1">
            <w:pPr>
              <w:pStyle w:val="334"/>
              <w:spacing w:line="400" w:lineRule="exact"/>
              <w:ind w:left="102"/>
              <w:rPr>
                <w:rFonts w:ascii="宋体"/>
                <w:color w:val="auto"/>
                <w:sz w:val="21"/>
                <w:szCs w:val="21"/>
                <w:highlight w:val="none"/>
                <w:lang w:val="zh-CN"/>
              </w:rPr>
            </w:pPr>
            <w:r>
              <w:rPr>
                <w:rFonts w:hint="eastAsia"/>
                <w:color w:val="auto"/>
                <w:sz w:val="21"/>
                <w:szCs w:val="21"/>
                <w:highlight w:val="none"/>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参照《资格声明函》相关承诺格式内容，进行相关申明；</w:t>
            </w:r>
          </w:p>
        </w:tc>
        <w:tc>
          <w:tcPr>
            <w:tcW w:w="1155" w:type="dxa"/>
            <w:vAlign w:val="center"/>
          </w:tcPr>
          <w:p w14:paraId="2919DC9F">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38B640D4">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684D88EC">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2D42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592C9DCD">
            <w:pPr>
              <w:spacing w:line="320" w:lineRule="atLeast"/>
              <w:jc w:val="center"/>
              <w:rPr>
                <w:rFonts w:ascii="宋体"/>
                <w:color w:val="auto"/>
                <w:szCs w:val="21"/>
                <w:highlight w:val="none"/>
              </w:rPr>
            </w:pPr>
          </w:p>
        </w:tc>
        <w:tc>
          <w:tcPr>
            <w:tcW w:w="1388" w:type="dxa"/>
            <w:vAlign w:val="center"/>
          </w:tcPr>
          <w:p w14:paraId="43831ED6">
            <w:pPr>
              <w:pStyle w:val="334"/>
              <w:ind w:left="102"/>
              <w:jc w:val="center"/>
              <w:rPr>
                <w:color w:val="auto"/>
                <w:sz w:val="21"/>
                <w:szCs w:val="21"/>
                <w:highlight w:val="none"/>
              </w:rPr>
            </w:pPr>
            <w:r>
              <w:rPr>
                <w:rFonts w:hint="eastAsia"/>
                <w:color w:val="auto"/>
                <w:sz w:val="21"/>
                <w:szCs w:val="21"/>
                <w:highlight w:val="none"/>
              </w:rPr>
              <w:t>法律、行政法规规定的其他条件</w:t>
            </w:r>
          </w:p>
        </w:tc>
        <w:tc>
          <w:tcPr>
            <w:tcW w:w="5215" w:type="dxa"/>
            <w:vAlign w:val="center"/>
          </w:tcPr>
          <w:p w14:paraId="635F6A06">
            <w:pPr>
              <w:pStyle w:val="334"/>
              <w:spacing w:line="400" w:lineRule="exact"/>
              <w:ind w:left="102"/>
              <w:rPr>
                <w:rFonts w:ascii="宋体"/>
                <w:color w:val="auto"/>
                <w:sz w:val="21"/>
                <w:szCs w:val="21"/>
                <w:highlight w:val="none"/>
                <w:lang w:val="zh-CN"/>
              </w:rPr>
            </w:pPr>
            <w:r>
              <w:rPr>
                <w:rFonts w:hint="eastAsia"/>
                <w:color w:val="auto"/>
                <w:sz w:val="21"/>
                <w:szCs w:val="21"/>
                <w:highlight w:val="none"/>
              </w:rPr>
              <w:t>参照《资格声明函》相关承诺格式内容，进行相关申明；</w:t>
            </w:r>
          </w:p>
        </w:tc>
        <w:tc>
          <w:tcPr>
            <w:tcW w:w="1155" w:type="dxa"/>
            <w:vAlign w:val="center"/>
          </w:tcPr>
          <w:p w14:paraId="5659AD39">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3A1765F7">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1CEBEF1C">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20E95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6AD4ED9E">
            <w:pPr>
              <w:spacing w:line="320" w:lineRule="atLeast"/>
              <w:jc w:val="center"/>
              <w:rPr>
                <w:rFonts w:ascii="宋体"/>
                <w:color w:val="auto"/>
                <w:szCs w:val="21"/>
                <w:highlight w:val="none"/>
              </w:rPr>
            </w:pPr>
          </w:p>
        </w:tc>
        <w:tc>
          <w:tcPr>
            <w:tcW w:w="1388" w:type="dxa"/>
            <w:vAlign w:val="center"/>
          </w:tcPr>
          <w:p w14:paraId="48EAC8C2">
            <w:pPr>
              <w:pStyle w:val="334"/>
              <w:ind w:left="102"/>
              <w:jc w:val="center"/>
              <w:rPr>
                <w:color w:val="auto"/>
                <w:sz w:val="21"/>
                <w:szCs w:val="21"/>
                <w:highlight w:val="none"/>
              </w:rPr>
            </w:pPr>
            <w:r>
              <w:rPr>
                <w:rFonts w:hint="eastAsia"/>
                <w:color w:val="auto"/>
                <w:sz w:val="21"/>
                <w:szCs w:val="21"/>
                <w:highlight w:val="none"/>
              </w:rPr>
              <w:t>落实政府采购政策需满足的资格要求</w:t>
            </w:r>
          </w:p>
        </w:tc>
        <w:tc>
          <w:tcPr>
            <w:tcW w:w="5215" w:type="dxa"/>
            <w:vAlign w:val="center"/>
          </w:tcPr>
          <w:p w14:paraId="2143FB79">
            <w:pPr>
              <w:pStyle w:val="334"/>
              <w:spacing w:line="400" w:lineRule="exact"/>
              <w:ind w:left="102"/>
              <w:rPr>
                <w:rFonts w:ascii="宋体"/>
                <w:color w:val="auto"/>
                <w:sz w:val="21"/>
                <w:szCs w:val="21"/>
                <w:highlight w:val="none"/>
                <w:lang w:val="zh-CN"/>
              </w:rPr>
            </w:pPr>
            <w:r>
              <w:rPr>
                <w:rFonts w:hint="eastAsia"/>
                <w:color w:val="auto"/>
                <w:sz w:val="21"/>
                <w:szCs w:val="21"/>
                <w:highlight w:val="none"/>
              </w:rPr>
              <w:t>本项目不属于专门面向中小企业采购的项目；</w:t>
            </w:r>
          </w:p>
        </w:tc>
        <w:tc>
          <w:tcPr>
            <w:tcW w:w="1155" w:type="dxa"/>
            <w:vAlign w:val="center"/>
          </w:tcPr>
          <w:p w14:paraId="3D6BB3BC">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13390FBD">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66735C50">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144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172CBC4D">
            <w:pPr>
              <w:spacing w:line="320" w:lineRule="atLeast"/>
              <w:jc w:val="center"/>
              <w:rPr>
                <w:rFonts w:ascii="宋体"/>
                <w:color w:val="auto"/>
                <w:szCs w:val="21"/>
                <w:highlight w:val="none"/>
              </w:rPr>
            </w:pPr>
          </w:p>
        </w:tc>
        <w:tc>
          <w:tcPr>
            <w:tcW w:w="1388" w:type="dxa"/>
            <w:vAlign w:val="center"/>
          </w:tcPr>
          <w:p w14:paraId="3C522AEB">
            <w:pPr>
              <w:pStyle w:val="334"/>
              <w:spacing w:line="400" w:lineRule="exact"/>
              <w:ind w:left="102"/>
              <w:jc w:val="center"/>
              <w:rPr>
                <w:color w:val="auto"/>
                <w:sz w:val="21"/>
                <w:szCs w:val="21"/>
                <w:highlight w:val="none"/>
              </w:rPr>
            </w:pPr>
            <w:r>
              <w:rPr>
                <w:rFonts w:hint="eastAsia"/>
                <w:color w:val="auto"/>
                <w:sz w:val="21"/>
                <w:szCs w:val="21"/>
                <w:highlight w:val="none"/>
              </w:rPr>
              <w:t>符合法律、行政法规规定的其他条件</w:t>
            </w:r>
          </w:p>
        </w:tc>
        <w:tc>
          <w:tcPr>
            <w:tcW w:w="5215" w:type="dxa"/>
            <w:vAlign w:val="center"/>
          </w:tcPr>
          <w:p w14:paraId="53ED80A3">
            <w:pPr>
              <w:pStyle w:val="334"/>
              <w:spacing w:line="400" w:lineRule="exact"/>
              <w:ind w:left="102"/>
              <w:rPr>
                <w:rFonts w:ascii="宋体"/>
                <w:color w:val="auto"/>
                <w:sz w:val="21"/>
                <w:szCs w:val="21"/>
                <w:highlight w:val="none"/>
                <w:lang w:val="zh-CN"/>
              </w:rPr>
            </w:pPr>
            <w:r>
              <w:rPr>
                <w:color w:val="auto"/>
                <w:sz w:val="21"/>
                <w:szCs w:val="21"/>
                <w:highlight w:val="none"/>
              </w:rPr>
              <w:t>单位负责人为同一人或者存在直接控股、管理关系的不同供应商，不得同时参加本采购项目（或采购包</w:t>
            </w:r>
            <w:r>
              <w:rPr>
                <w:rFonts w:hint="eastAsia"/>
                <w:color w:val="auto"/>
                <w:sz w:val="21"/>
                <w:szCs w:val="21"/>
                <w:highlight w:val="none"/>
              </w:rPr>
              <w:t>）</w:t>
            </w:r>
            <w:r>
              <w:rPr>
                <w:color w:val="auto"/>
                <w:sz w:val="21"/>
                <w:szCs w:val="21"/>
                <w:highlight w:val="none"/>
              </w:rPr>
              <w:t>投标。为本项目提供整体设计、规范编制或者项目管理、 监理、 检测等服务的供应商，不得再参与本项目投标</w:t>
            </w:r>
            <w:r>
              <w:rPr>
                <w:rFonts w:hint="eastAsia"/>
                <w:color w:val="auto"/>
                <w:sz w:val="21"/>
                <w:szCs w:val="21"/>
                <w:highlight w:val="none"/>
              </w:rPr>
              <w:t>；（</w:t>
            </w:r>
            <w:r>
              <w:rPr>
                <w:color w:val="auto"/>
                <w:sz w:val="21"/>
                <w:szCs w:val="21"/>
                <w:highlight w:val="none"/>
              </w:rPr>
              <w:t>提供《</w:t>
            </w:r>
            <w:r>
              <w:rPr>
                <w:rFonts w:hint="eastAsia"/>
                <w:color w:val="auto"/>
                <w:sz w:val="21"/>
                <w:szCs w:val="21"/>
                <w:highlight w:val="none"/>
              </w:rPr>
              <w:t>资格声明函</w:t>
            </w:r>
            <w:r>
              <w:rPr>
                <w:color w:val="auto"/>
                <w:sz w:val="21"/>
                <w:szCs w:val="21"/>
                <w:highlight w:val="none"/>
              </w:rPr>
              <w:t>》</w:t>
            </w:r>
            <w:r>
              <w:rPr>
                <w:rFonts w:hint="eastAsia"/>
                <w:color w:val="auto"/>
                <w:sz w:val="21"/>
                <w:szCs w:val="21"/>
                <w:highlight w:val="none"/>
              </w:rPr>
              <w:t>进行相关申明）</w:t>
            </w:r>
          </w:p>
        </w:tc>
        <w:tc>
          <w:tcPr>
            <w:tcW w:w="1155" w:type="dxa"/>
            <w:vAlign w:val="center"/>
          </w:tcPr>
          <w:p w14:paraId="68286C13">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7FE430E1">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73920738">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1BF0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0" w:hRule="atLeast"/>
          <w:jc w:val="center"/>
        </w:trPr>
        <w:tc>
          <w:tcPr>
            <w:tcW w:w="740" w:type="dxa"/>
            <w:vMerge w:val="continue"/>
            <w:vAlign w:val="center"/>
          </w:tcPr>
          <w:p w14:paraId="5E228E64">
            <w:pPr>
              <w:spacing w:line="320" w:lineRule="atLeast"/>
              <w:jc w:val="center"/>
              <w:rPr>
                <w:rFonts w:ascii="宋体"/>
                <w:color w:val="auto"/>
                <w:szCs w:val="21"/>
                <w:highlight w:val="none"/>
              </w:rPr>
            </w:pPr>
          </w:p>
        </w:tc>
        <w:tc>
          <w:tcPr>
            <w:tcW w:w="1388" w:type="dxa"/>
            <w:vAlign w:val="center"/>
          </w:tcPr>
          <w:p w14:paraId="4F863B03">
            <w:pPr>
              <w:pStyle w:val="334"/>
              <w:spacing w:line="400" w:lineRule="exact"/>
              <w:ind w:left="102"/>
              <w:jc w:val="center"/>
              <w:rPr>
                <w:color w:val="auto"/>
                <w:sz w:val="21"/>
                <w:szCs w:val="21"/>
                <w:highlight w:val="none"/>
              </w:rPr>
            </w:pPr>
            <w:r>
              <w:rPr>
                <w:rFonts w:hint="eastAsia"/>
                <w:color w:val="auto"/>
                <w:sz w:val="21"/>
                <w:szCs w:val="21"/>
                <w:highlight w:val="none"/>
              </w:rPr>
              <w:t>信用记录</w:t>
            </w:r>
          </w:p>
        </w:tc>
        <w:tc>
          <w:tcPr>
            <w:tcW w:w="5215" w:type="dxa"/>
            <w:vAlign w:val="center"/>
          </w:tcPr>
          <w:p w14:paraId="42199C0D">
            <w:pPr>
              <w:pStyle w:val="334"/>
              <w:spacing w:line="400" w:lineRule="exact"/>
              <w:ind w:left="102"/>
              <w:rPr>
                <w:rFonts w:ascii="宋体"/>
                <w:color w:val="auto"/>
                <w:sz w:val="21"/>
                <w:szCs w:val="21"/>
                <w:highlight w:val="none"/>
                <w:lang w:val="zh-CN"/>
              </w:rPr>
            </w:pPr>
            <w:r>
              <w:rPr>
                <w:rFonts w:hint="eastAsia"/>
                <w:color w:val="auto"/>
                <w:sz w:val="21"/>
                <w:szCs w:val="21"/>
                <w:highlight w:val="none"/>
              </w:rPr>
              <w:t>供应商未被列入“信用中国”网站（www.creditchina.gov.cn）以下任意名单之一：“失信被执行人”或“政府采购严重违法失信行为记录名单”或“重大税收违法失信主体”。同时，不处于中国政府采购网（www.ccgp.gov.cn）“政府采购严重违法失信行为信息记录”中的禁止参加政府采购活动期间。（以采购代理机构于评审当天在上述网站查询结果为准，如在上述网站查询结果均显示没有相关记录，视为没有上述不良信用记录，同时对信用信息查询记录和证据截图存档；如相关失信记录已失效，供应商须提供相关证明资料）</w:t>
            </w:r>
          </w:p>
        </w:tc>
        <w:tc>
          <w:tcPr>
            <w:tcW w:w="1155" w:type="dxa"/>
            <w:vAlign w:val="center"/>
          </w:tcPr>
          <w:p w14:paraId="077E3294">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7FA7DA89">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55E41D14">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0872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0BDE39A7">
            <w:pPr>
              <w:spacing w:line="320" w:lineRule="atLeast"/>
              <w:jc w:val="center"/>
              <w:rPr>
                <w:rFonts w:ascii="宋体"/>
                <w:color w:val="auto"/>
                <w:szCs w:val="21"/>
                <w:highlight w:val="none"/>
              </w:rPr>
            </w:pPr>
          </w:p>
        </w:tc>
        <w:tc>
          <w:tcPr>
            <w:tcW w:w="1388" w:type="dxa"/>
            <w:vAlign w:val="center"/>
          </w:tcPr>
          <w:p w14:paraId="6C4CE7ED">
            <w:pPr>
              <w:pStyle w:val="334"/>
              <w:spacing w:line="400" w:lineRule="exact"/>
              <w:ind w:left="102"/>
              <w:jc w:val="center"/>
              <w:rPr>
                <w:color w:val="auto"/>
                <w:sz w:val="21"/>
                <w:szCs w:val="21"/>
                <w:highlight w:val="none"/>
              </w:rPr>
            </w:pPr>
            <w:r>
              <w:rPr>
                <w:rFonts w:hint="eastAsia"/>
                <w:color w:val="auto"/>
                <w:sz w:val="21"/>
                <w:szCs w:val="21"/>
                <w:highlight w:val="none"/>
              </w:rPr>
              <w:t>联合体</w:t>
            </w:r>
          </w:p>
        </w:tc>
        <w:tc>
          <w:tcPr>
            <w:tcW w:w="5215" w:type="dxa"/>
            <w:vAlign w:val="center"/>
          </w:tcPr>
          <w:p w14:paraId="73EE9838">
            <w:pPr>
              <w:pStyle w:val="334"/>
              <w:spacing w:line="400" w:lineRule="exact"/>
              <w:ind w:left="102"/>
              <w:rPr>
                <w:rFonts w:ascii="宋体"/>
                <w:color w:val="auto"/>
                <w:sz w:val="21"/>
                <w:szCs w:val="21"/>
                <w:highlight w:val="none"/>
              </w:rPr>
            </w:pPr>
            <w:r>
              <w:rPr>
                <w:rFonts w:hint="eastAsia"/>
                <w:color w:val="auto"/>
                <w:sz w:val="21"/>
                <w:szCs w:val="21"/>
                <w:highlight w:val="none"/>
              </w:rPr>
              <w:t>本项目不接受联合体投标。</w:t>
            </w:r>
          </w:p>
        </w:tc>
        <w:tc>
          <w:tcPr>
            <w:tcW w:w="1155" w:type="dxa"/>
            <w:vAlign w:val="center"/>
          </w:tcPr>
          <w:p w14:paraId="4E0AC7AC">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20630F02">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42C0E57D">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61881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restart"/>
            <w:vAlign w:val="center"/>
          </w:tcPr>
          <w:p w14:paraId="4CA033E1">
            <w:pPr>
              <w:spacing w:line="320" w:lineRule="atLeast"/>
              <w:jc w:val="center"/>
              <w:rPr>
                <w:rFonts w:ascii="宋体"/>
                <w:color w:val="auto"/>
                <w:szCs w:val="21"/>
                <w:highlight w:val="none"/>
              </w:rPr>
            </w:pPr>
            <w:r>
              <w:rPr>
                <w:rFonts w:ascii="宋体"/>
                <w:color w:val="auto"/>
                <w:szCs w:val="21"/>
                <w:highlight w:val="none"/>
              </w:rPr>
              <w:t>符合性审查</w:t>
            </w:r>
          </w:p>
        </w:tc>
        <w:tc>
          <w:tcPr>
            <w:tcW w:w="1388" w:type="dxa"/>
            <w:vAlign w:val="center"/>
          </w:tcPr>
          <w:p w14:paraId="68AA76E4">
            <w:pPr>
              <w:pStyle w:val="334"/>
              <w:spacing w:line="400" w:lineRule="exact"/>
              <w:ind w:left="102"/>
              <w:jc w:val="center"/>
              <w:rPr>
                <w:color w:val="auto"/>
                <w:sz w:val="21"/>
                <w:szCs w:val="21"/>
                <w:highlight w:val="none"/>
              </w:rPr>
            </w:pPr>
            <w:r>
              <w:rPr>
                <w:rFonts w:hint="eastAsia"/>
                <w:color w:val="auto"/>
                <w:sz w:val="21"/>
                <w:szCs w:val="21"/>
                <w:highlight w:val="none"/>
              </w:rPr>
              <w:t>响应函</w:t>
            </w:r>
          </w:p>
        </w:tc>
        <w:tc>
          <w:tcPr>
            <w:tcW w:w="5215" w:type="dxa"/>
            <w:vAlign w:val="center"/>
          </w:tcPr>
          <w:p w14:paraId="6054B25D">
            <w:pPr>
              <w:pStyle w:val="334"/>
              <w:spacing w:line="400" w:lineRule="exact"/>
              <w:ind w:left="102"/>
              <w:rPr>
                <w:rFonts w:ascii="宋体"/>
                <w:color w:val="auto"/>
                <w:kern w:val="2"/>
                <w:sz w:val="21"/>
                <w:szCs w:val="21"/>
                <w:highlight w:val="none"/>
              </w:rPr>
            </w:pPr>
            <w:r>
              <w:rPr>
                <w:rFonts w:hint="eastAsia"/>
                <w:color w:val="auto"/>
                <w:sz w:val="21"/>
                <w:szCs w:val="21"/>
                <w:highlight w:val="none"/>
              </w:rPr>
              <w:t>按采购文件要求提交响应函，内容完整，无重大错漏，按对应格式文件签署和盖章。</w:t>
            </w:r>
          </w:p>
        </w:tc>
        <w:tc>
          <w:tcPr>
            <w:tcW w:w="1155" w:type="dxa"/>
            <w:vAlign w:val="center"/>
          </w:tcPr>
          <w:p w14:paraId="0FDC2743">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7B024B6E">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52E1C07F">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0A227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25" w:hRule="atLeast"/>
          <w:jc w:val="center"/>
        </w:trPr>
        <w:tc>
          <w:tcPr>
            <w:tcW w:w="740" w:type="dxa"/>
            <w:vMerge w:val="continue"/>
            <w:vAlign w:val="center"/>
          </w:tcPr>
          <w:p w14:paraId="64352750">
            <w:pPr>
              <w:spacing w:line="320" w:lineRule="atLeast"/>
              <w:jc w:val="center"/>
              <w:rPr>
                <w:rFonts w:ascii="宋体"/>
                <w:color w:val="auto"/>
                <w:szCs w:val="21"/>
                <w:highlight w:val="none"/>
              </w:rPr>
            </w:pPr>
          </w:p>
        </w:tc>
        <w:tc>
          <w:tcPr>
            <w:tcW w:w="1388" w:type="dxa"/>
            <w:vAlign w:val="center"/>
          </w:tcPr>
          <w:p w14:paraId="385CF75E">
            <w:pPr>
              <w:pStyle w:val="334"/>
              <w:spacing w:line="400" w:lineRule="exact"/>
              <w:ind w:left="102"/>
              <w:jc w:val="center"/>
              <w:rPr>
                <w:color w:val="auto"/>
                <w:sz w:val="21"/>
                <w:szCs w:val="21"/>
                <w:highlight w:val="none"/>
              </w:rPr>
            </w:pPr>
            <w:r>
              <w:rPr>
                <w:rFonts w:hint="eastAsia"/>
                <w:color w:val="auto"/>
                <w:sz w:val="21"/>
                <w:szCs w:val="21"/>
                <w:highlight w:val="none"/>
              </w:rPr>
              <w:t>响应有效期</w:t>
            </w:r>
          </w:p>
        </w:tc>
        <w:tc>
          <w:tcPr>
            <w:tcW w:w="5215" w:type="dxa"/>
            <w:vAlign w:val="center"/>
          </w:tcPr>
          <w:p w14:paraId="0AC557C4">
            <w:pPr>
              <w:pStyle w:val="334"/>
              <w:spacing w:line="400" w:lineRule="exact"/>
              <w:ind w:left="102"/>
              <w:rPr>
                <w:rFonts w:ascii="宋体"/>
                <w:color w:val="auto"/>
                <w:kern w:val="2"/>
                <w:sz w:val="21"/>
                <w:szCs w:val="21"/>
                <w:highlight w:val="none"/>
              </w:rPr>
            </w:pPr>
            <w:r>
              <w:rPr>
                <w:rFonts w:hint="eastAsia"/>
                <w:color w:val="auto"/>
                <w:sz w:val="21"/>
                <w:szCs w:val="21"/>
                <w:highlight w:val="none"/>
              </w:rPr>
              <w:t>响应有效期不少于采购文件中载明的有效期。</w:t>
            </w:r>
          </w:p>
        </w:tc>
        <w:tc>
          <w:tcPr>
            <w:tcW w:w="1155" w:type="dxa"/>
            <w:vAlign w:val="center"/>
          </w:tcPr>
          <w:p w14:paraId="4DA882EA">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2A39909E">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53743822">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314D7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740" w:type="dxa"/>
            <w:vMerge w:val="continue"/>
            <w:vAlign w:val="center"/>
          </w:tcPr>
          <w:p w14:paraId="3288B4B4">
            <w:pPr>
              <w:spacing w:line="320" w:lineRule="atLeast"/>
              <w:jc w:val="center"/>
              <w:rPr>
                <w:rFonts w:ascii="宋体"/>
                <w:color w:val="auto"/>
                <w:szCs w:val="21"/>
                <w:highlight w:val="none"/>
              </w:rPr>
            </w:pPr>
          </w:p>
        </w:tc>
        <w:tc>
          <w:tcPr>
            <w:tcW w:w="1388" w:type="dxa"/>
            <w:vAlign w:val="center"/>
          </w:tcPr>
          <w:p w14:paraId="2E3F001F">
            <w:pPr>
              <w:pStyle w:val="334"/>
              <w:spacing w:line="400" w:lineRule="exact"/>
              <w:ind w:left="102"/>
              <w:jc w:val="center"/>
              <w:rPr>
                <w:color w:val="auto"/>
                <w:sz w:val="21"/>
                <w:szCs w:val="21"/>
                <w:highlight w:val="none"/>
              </w:rPr>
            </w:pPr>
            <w:r>
              <w:rPr>
                <w:rFonts w:hint="eastAsia"/>
                <w:color w:val="auto"/>
                <w:sz w:val="21"/>
                <w:szCs w:val="21"/>
                <w:highlight w:val="none"/>
              </w:rPr>
              <w:t>响应报价</w:t>
            </w:r>
          </w:p>
        </w:tc>
        <w:tc>
          <w:tcPr>
            <w:tcW w:w="5215" w:type="dxa"/>
            <w:vAlign w:val="center"/>
          </w:tcPr>
          <w:p w14:paraId="72CB5ED9">
            <w:pPr>
              <w:pStyle w:val="334"/>
              <w:spacing w:line="400" w:lineRule="exact"/>
              <w:ind w:left="102"/>
              <w:rPr>
                <w:rFonts w:ascii="宋体"/>
                <w:color w:val="auto"/>
                <w:kern w:val="2"/>
                <w:sz w:val="21"/>
                <w:szCs w:val="21"/>
                <w:highlight w:val="none"/>
              </w:rPr>
            </w:pPr>
            <w:r>
              <w:rPr>
                <w:rFonts w:hint="eastAsia"/>
                <w:color w:val="auto"/>
                <w:sz w:val="21"/>
                <w:szCs w:val="21"/>
                <w:highlight w:val="none"/>
              </w:rPr>
              <w:t>响应报价是固定价且是唯一的，未超过项目预算总金额或最高限价的。</w:t>
            </w:r>
          </w:p>
        </w:tc>
        <w:tc>
          <w:tcPr>
            <w:tcW w:w="1155" w:type="dxa"/>
            <w:vAlign w:val="center"/>
          </w:tcPr>
          <w:p w14:paraId="3AC5188D">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2CE7A8E9">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6B1FB85E">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69705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740" w:type="dxa"/>
            <w:vMerge w:val="continue"/>
            <w:vAlign w:val="center"/>
          </w:tcPr>
          <w:p w14:paraId="2C350B9C">
            <w:pPr>
              <w:spacing w:line="320" w:lineRule="atLeast"/>
              <w:jc w:val="center"/>
              <w:rPr>
                <w:rFonts w:ascii="宋体"/>
                <w:color w:val="auto"/>
                <w:szCs w:val="21"/>
                <w:highlight w:val="none"/>
              </w:rPr>
            </w:pPr>
          </w:p>
        </w:tc>
        <w:tc>
          <w:tcPr>
            <w:tcW w:w="1388" w:type="dxa"/>
            <w:vAlign w:val="center"/>
          </w:tcPr>
          <w:p w14:paraId="10C790A7">
            <w:pPr>
              <w:pStyle w:val="334"/>
              <w:spacing w:line="400" w:lineRule="exact"/>
              <w:ind w:left="102"/>
              <w:jc w:val="center"/>
              <w:rPr>
                <w:color w:val="auto"/>
                <w:sz w:val="21"/>
                <w:szCs w:val="21"/>
                <w:highlight w:val="none"/>
              </w:rPr>
            </w:pPr>
            <w:r>
              <w:rPr>
                <w:rFonts w:hint="eastAsia"/>
                <w:color w:val="auto"/>
                <w:sz w:val="21"/>
                <w:szCs w:val="21"/>
                <w:highlight w:val="none"/>
              </w:rPr>
              <w:t>投标保证金（如有）</w:t>
            </w:r>
          </w:p>
        </w:tc>
        <w:tc>
          <w:tcPr>
            <w:tcW w:w="5215" w:type="dxa"/>
            <w:vAlign w:val="center"/>
          </w:tcPr>
          <w:p w14:paraId="6D45AA5A">
            <w:pPr>
              <w:pStyle w:val="334"/>
              <w:spacing w:line="400" w:lineRule="exact"/>
              <w:ind w:left="102"/>
              <w:rPr>
                <w:rFonts w:ascii="宋体"/>
                <w:color w:val="auto"/>
                <w:kern w:val="2"/>
                <w:sz w:val="21"/>
                <w:szCs w:val="21"/>
                <w:highlight w:val="none"/>
              </w:rPr>
            </w:pPr>
            <w:r>
              <w:rPr>
                <w:rFonts w:hint="eastAsia"/>
                <w:color w:val="auto"/>
                <w:sz w:val="21"/>
                <w:szCs w:val="21"/>
                <w:highlight w:val="none"/>
              </w:rPr>
              <w:t>已按文件的规定递交投标保证金。</w:t>
            </w:r>
          </w:p>
        </w:tc>
        <w:tc>
          <w:tcPr>
            <w:tcW w:w="1155" w:type="dxa"/>
            <w:vAlign w:val="center"/>
          </w:tcPr>
          <w:p w14:paraId="190E6862">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199A1113">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4A3A6B7A">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7F419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740" w:type="dxa"/>
            <w:vMerge w:val="continue"/>
            <w:vAlign w:val="center"/>
          </w:tcPr>
          <w:p w14:paraId="36008FCC">
            <w:pPr>
              <w:spacing w:line="320" w:lineRule="atLeast"/>
              <w:jc w:val="center"/>
              <w:rPr>
                <w:rFonts w:ascii="宋体"/>
                <w:color w:val="auto"/>
                <w:szCs w:val="21"/>
                <w:highlight w:val="none"/>
              </w:rPr>
            </w:pPr>
          </w:p>
        </w:tc>
        <w:tc>
          <w:tcPr>
            <w:tcW w:w="1388" w:type="dxa"/>
            <w:vAlign w:val="center"/>
          </w:tcPr>
          <w:p w14:paraId="598B888D">
            <w:pPr>
              <w:pStyle w:val="334"/>
              <w:spacing w:line="400" w:lineRule="exact"/>
              <w:ind w:left="102"/>
              <w:jc w:val="center"/>
              <w:rPr>
                <w:color w:val="auto"/>
                <w:sz w:val="21"/>
                <w:szCs w:val="21"/>
                <w:highlight w:val="none"/>
              </w:rPr>
            </w:pPr>
            <w:r>
              <w:rPr>
                <w:rFonts w:hint="eastAsia"/>
                <w:color w:val="auto"/>
                <w:sz w:val="21"/>
                <w:szCs w:val="21"/>
                <w:highlight w:val="none"/>
              </w:rPr>
              <w:t>法定代表人证明书和法定代表人授权书</w:t>
            </w:r>
          </w:p>
        </w:tc>
        <w:tc>
          <w:tcPr>
            <w:tcW w:w="5215" w:type="dxa"/>
            <w:vAlign w:val="center"/>
          </w:tcPr>
          <w:p w14:paraId="11BD029D">
            <w:pPr>
              <w:pStyle w:val="334"/>
              <w:spacing w:line="400" w:lineRule="exact"/>
              <w:ind w:left="102"/>
              <w:rPr>
                <w:rFonts w:ascii="宋体"/>
                <w:color w:val="auto"/>
                <w:kern w:val="2"/>
                <w:sz w:val="21"/>
                <w:szCs w:val="21"/>
                <w:highlight w:val="none"/>
              </w:rPr>
            </w:pPr>
            <w:r>
              <w:rPr>
                <w:rFonts w:hint="eastAsia"/>
                <w:color w:val="auto"/>
                <w:sz w:val="21"/>
                <w:szCs w:val="21"/>
                <w:highlight w:val="none"/>
              </w:rPr>
              <w:t>供应商提供的法定代表人证明书及法定代表人授权书原件，按格式要求签署并盖章；若法定代表人作为响应代表参加投标，则只需提供法定代表人证明书。</w:t>
            </w:r>
          </w:p>
        </w:tc>
        <w:tc>
          <w:tcPr>
            <w:tcW w:w="1155" w:type="dxa"/>
            <w:vAlign w:val="center"/>
          </w:tcPr>
          <w:p w14:paraId="5F2838E2">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1A463ADF">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668F9B71">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7917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740" w:type="dxa"/>
            <w:vMerge w:val="continue"/>
            <w:vAlign w:val="center"/>
          </w:tcPr>
          <w:p w14:paraId="41670F04">
            <w:pPr>
              <w:spacing w:line="320" w:lineRule="atLeast"/>
              <w:jc w:val="center"/>
              <w:rPr>
                <w:rFonts w:ascii="宋体"/>
                <w:color w:val="auto"/>
                <w:szCs w:val="21"/>
                <w:highlight w:val="none"/>
              </w:rPr>
            </w:pPr>
          </w:p>
        </w:tc>
        <w:tc>
          <w:tcPr>
            <w:tcW w:w="1388" w:type="dxa"/>
            <w:vAlign w:val="center"/>
          </w:tcPr>
          <w:p w14:paraId="10E59056">
            <w:pPr>
              <w:pStyle w:val="334"/>
              <w:spacing w:line="400" w:lineRule="exact"/>
              <w:ind w:left="102"/>
              <w:jc w:val="center"/>
              <w:rPr>
                <w:color w:val="auto"/>
                <w:sz w:val="21"/>
                <w:szCs w:val="21"/>
                <w:highlight w:val="none"/>
              </w:rPr>
            </w:pPr>
            <w:r>
              <w:rPr>
                <w:rFonts w:hint="eastAsia"/>
                <w:color w:val="auto"/>
                <w:sz w:val="21"/>
                <w:szCs w:val="21"/>
                <w:highlight w:val="none"/>
              </w:rPr>
              <w:t>附加条件</w:t>
            </w:r>
          </w:p>
        </w:tc>
        <w:tc>
          <w:tcPr>
            <w:tcW w:w="5215" w:type="dxa"/>
            <w:vAlign w:val="center"/>
          </w:tcPr>
          <w:p w14:paraId="24A852F7">
            <w:pPr>
              <w:pStyle w:val="334"/>
              <w:spacing w:line="400" w:lineRule="exact"/>
              <w:ind w:left="102"/>
              <w:rPr>
                <w:rFonts w:ascii="宋体"/>
                <w:color w:val="auto"/>
                <w:kern w:val="2"/>
                <w:sz w:val="21"/>
                <w:szCs w:val="21"/>
                <w:highlight w:val="none"/>
              </w:rPr>
            </w:pPr>
            <w:r>
              <w:rPr>
                <w:rFonts w:hint="eastAsia"/>
                <w:color w:val="auto"/>
                <w:sz w:val="21"/>
                <w:szCs w:val="21"/>
                <w:highlight w:val="none"/>
              </w:rPr>
              <w:t>响应文件中未含有采购人不能接受的附加条件。</w:t>
            </w:r>
          </w:p>
        </w:tc>
        <w:tc>
          <w:tcPr>
            <w:tcW w:w="1155" w:type="dxa"/>
            <w:vAlign w:val="center"/>
          </w:tcPr>
          <w:p w14:paraId="5A43FEB0">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1599CB28">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7DDFD093">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4443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740" w:type="dxa"/>
            <w:vMerge w:val="continue"/>
            <w:vAlign w:val="center"/>
          </w:tcPr>
          <w:p w14:paraId="350751FC">
            <w:pPr>
              <w:spacing w:line="320" w:lineRule="atLeast"/>
              <w:jc w:val="center"/>
              <w:rPr>
                <w:rFonts w:ascii="宋体"/>
                <w:color w:val="auto"/>
                <w:szCs w:val="21"/>
                <w:highlight w:val="none"/>
              </w:rPr>
            </w:pPr>
          </w:p>
        </w:tc>
        <w:tc>
          <w:tcPr>
            <w:tcW w:w="1388" w:type="dxa"/>
            <w:vAlign w:val="center"/>
          </w:tcPr>
          <w:p w14:paraId="5891F341">
            <w:pPr>
              <w:pStyle w:val="334"/>
              <w:spacing w:line="400" w:lineRule="exact"/>
              <w:ind w:left="102"/>
              <w:jc w:val="center"/>
              <w:rPr>
                <w:color w:val="auto"/>
                <w:sz w:val="21"/>
                <w:szCs w:val="21"/>
                <w:highlight w:val="none"/>
              </w:rPr>
            </w:pPr>
            <w:r>
              <w:rPr>
                <w:rFonts w:hint="eastAsia"/>
                <w:color w:val="auto"/>
                <w:sz w:val="21"/>
                <w:szCs w:val="21"/>
                <w:highlight w:val="none"/>
              </w:rPr>
              <w:t>“★”号条款要求（如有）</w:t>
            </w:r>
          </w:p>
        </w:tc>
        <w:tc>
          <w:tcPr>
            <w:tcW w:w="5215" w:type="dxa"/>
            <w:vAlign w:val="center"/>
          </w:tcPr>
          <w:p w14:paraId="63D1C202">
            <w:pPr>
              <w:pStyle w:val="334"/>
              <w:spacing w:line="400" w:lineRule="exact"/>
              <w:ind w:left="102"/>
              <w:rPr>
                <w:rFonts w:ascii="宋体" w:hAnsi="宋体" w:cs="宋体"/>
                <w:color w:val="auto"/>
                <w:highlight w:val="none"/>
              </w:rPr>
            </w:pPr>
            <w:r>
              <w:rPr>
                <w:rFonts w:hint="eastAsia"/>
                <w:color w:val="auto"/>
                <w:sz w:val="21"/>
                <w:szCs w:val="21"/>
                <w:highlight w:val="none"/>
              </w:rPr>
              <w:t>满足采购文件要求成交注“★”号条款的要求，且不存在负偏离或不满足的情况。</w:t>
            </w:r>
          </w:p>
        </w:tc>
        <w:tc>
          <w:tcPr>
            <w:tcW w:w="1155" w:type="dxa"/>
            <w:vAlign w:val="center"/>
          </w:tcPr>
          <w:p w14:paraId="50DF7F3F">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4E5BE741">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4BD8A454">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5E4A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740" w:type="dxa"/>
            <w:vMerge w:val="continue"/>
            <w:vAlign w:val="center"/>
          </w:tcPr>
          <w:p w14:paraId="10F361B4">
            <w:pPr>
              <w:spacing w:line="320" w:lineRule="atLeast"/>
              <w:jc w:val="center"/>
              <w:rPr>
                <w:rFonts w:ascii="宋体"/>
                <w:color w:val="auto"/>
                <w:szCs w:val="21"/>
                <w:highlight w:val="none"/>
              </w:rPr>
            </w:pPr>
          </w:p>
        </w:tc>
        <w:tc>
          <w:tcPr>
            <w:tcW w:w="1388" w:type="dxa"/>
            <w:vAlign w:val="center"/>
          </w:tcPr>
          <w:p w14:paraId="2E31AEBC">
            <w:pPr>
              <w:pStyle w:val="334"/>
              <w:spacing w:line="400" w:lineRule="exact"/>
              <w:ind w:left="102"/>
              <w:jc w:val="center"/>
              <w:rPr>
                <w:color w:val="auto"/>
                <w:sz w:val="21"/>
                <w:szCs w:val="21"/>
                <w:highlight w:val="none"/>
              </w:rPr>
            </w:pPr>
            <w:r>
              <w:rPr>
                <w:rFonts w:hint="eastAsia"/>
                <w:color w:val="auto"/>
                <w:sz w:val="21"/>
                <w:szCs w:val="21"/>
                <w:highlight w:val="none"/>
              </w:rPr>
              <w:t>响应文件签署、盖章要求</w:t>
            </w:r>
          </w:p>
        </w:tc>
        <w:tc>
          <w:tcPr>
            <w:tcW w:w="5215" w:type="dxa"/>
            <w:vAlign w:val="center"/>
          </w:tcPr>
          <w:p w14:paraId="406417F7">
            <w:pPr>
              <w:pStyle w:val="334"/>
              <w:spacing w:line="400" w:lineRule="exact"/>
              <w:ind w:left="102"/>
              <w:rPr>
                <w:rFonts w:ascii="宋体" w:cs="宋体"/>
                <w:color w:val="auto"/>
                <w:kern w:val="2"/>
                <w:sz w:val="21"/>
                <w:szCs w:val="21"/>
                <w:highlight w:val="none"/>
              </w:rPr>
            </w:pPr>
            <w:r>
              <w:rPr>
                <w:rFonts w:hint="eastAsia"/>
                <w:color w:val="auto"/>
                <w:sz w:val="21"/>
                <w:szCs w:val="21"/>
                <w:highlight w:val="none"/>
              </w:rPr>
              <w:t>响应文件按照采购文件要求签署、盖章。</w:t>
            </w:r>
          </w:p>
        </w:tc>
        <w:tc>
          <w:tcPr>
            <w:tcW w:w="1155" w:type="dxa"/>
            <w:vAlign w:val="center"/>
          </w:tcPr>
          <w:p w14:paraId="703B235D">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7D75BF0F">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04AD34CA">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r w14:paraId="58AA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740" w:type="dxa"/>
            <w:vMerge w:val="continue"/>
            <w:vAlign w:val="center"/>
          </w:tcPr>
          <w:p w14:paraId="4B96ECCB">
            <w:pPr>
              <w:spacing w:line="320" w:lineRule="atLeast"/>
              <w:jc w:val="center"/>
              <w:rPr>
                <w:rFonts w:ascii="宋体"/>
                <w:color w:val="auto"/>
                <w:szCs w:val="21"/>
                <w:highlight w:val="none"/>
              </w:rPr>
            </w:pPr>
          </w:p>
        </w:tc>
        <w:tc>
          <w:tcPr>
            <w:tcW w:w="1388" w:type="dxa"/>
            <w:vAlign w:val="center"/>
          </w:tcPr>
          <w:p w14:paraId="1B2E7F00">
            <w:pPr>
              <w:pStyle w:val="334"/>
              <w:spacing w:line="400" w:lineRule="exact"/>
              <w:ind w:left="102"/>
              <w:jc w:val="center"/>
              <w:rPr>
                <w:color w:val="auto"/>
                <w:sz w:val="21"/>
                <w:szCs w:val="21"/>
                <w:highlight w:val="none"/>
              </w:rPr>
            </w:pPr>
            <w:r>
              <w:rPr>
                <w:rFonts w:hint="eastAsia"/>
                <w:color w:val="auto"/>
                <w:sz w:val="21"/>
                <w:szCs w:val="21"/>
                <w:highlight w:val="none"/>
              </w:rPr>
              <w:t>其他无效情形</w:t>
            </w:r>
          </w:p>
        </w:tc>
        <w:tc>
          <w:tcPr>
            <w:tcW w:w="5215" w:type="dxa"/>
            <w:vAlign w:val="center"/>
          </w:tcPr>
          <w:p w14:paraId="1D4EAE2C">
            <w:pPr>
              <w:pStyle w:val="334"/>
              <w:spacing w:line="400" w:lineRule="exact"/>
              <w:ind w:left="102"/>
              <w:rPr>
                <w:rFonts w:ascii="宋体" w:cs="宋体"/>
                <w:color w:val="auto"/>
                <w:kern w:val="2"/>
                <w:sz w:val="21"/>
                <w:szCs w:val="21"/>
                <w:highlight w:val="none"/>
              </w:rPr>
            </w:pPr>
            <w:r>
              <w:rPr>
                <w:rFonts w:hint="eastAsia"/>
                <w:color w:val="auto"/>
                <w:sz w:val="21"/>
                <w:szCs w:val="21"/>
                <w:highlight w:val="none"/>
              </w:rPr>
              <w:t>响应文件中不存在有关法律、法规和规章及采购文件规定的其他无效情形。</w:t>
            </w:r>
          </w:p>
        </w:tc>
        <w:tc>
          <w:tcPr>
            <w:tcW w:w="1155" w:type="dxa"/>
            <w:vAlign w:val="center"/>
          </w:tcPr>
          <w:p w14:paraId="6C2870EF">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 xml:space="preserve">通过  </w:t>
            </w:r>
            <w:r>
              <w:rPr>
                <w:rFonts w:hint="eastAsia" w:ascii="宋体"/>
                <w:color w:val="auto"/>
                <w:szCs w:val="21"/>
                <w:highlight w:val="none"/>
              </w:rPr>
              <w:t xml:space="preserve">    </w:t>
            </w:r>
          </w:p>
          <w:p w14:paraId="044AB7A9">
            <w:pPr>
              <w:spacing w:line="320" w:lineRule="atLeast"/>
              <w:ind w:left="57" w:leftChars="27"/>
              <w:jc w:val="left"/>
              <w:rPr>
                <w:rFonts w:ascii="宋体"/>
                <w:color w:val="auto"/>
                <w:szCs w:val="21"/>
                <w:highlight w:val="none"/>
              </w:rPr>
            </w:pPr>
            <w:r>
              <w:rPr>
                <w:rFonts w:hint="eastAsia" w:ascii="宋体"/>
                <w:color w:val="auto"/>
                <w:szCs w:val="21"/>
                <w:highlight w:val="none"/>
              </w:rPr>
              <w:t>□</w:t>
            </w:r>
            <w:r>
              <w:rPr>
                <w:rFonts w:ascii="宋体"/>
                <w:color w:val="auto"/>
                <w:szCs w:val="21"/>
                <w:highlight w:val="none"/>
              </w:rPr>
              <w:t>不通过</w:t>
            </w:r>
          </w:p>
        </w:tc>
        <w:tc>
          <w:tcPr>
            <w:tcW w:w="1178" w:type="dxa"/>
            <w:vAlign w:val="center"/>
          </w:tcPr>
          <w:p w14:paraId="59B4EB15">
            <w:pPr>
              <w:spacing w:line="320" w:lineRule="atLeast"/>
              <w:jc w:val="center"/>
              <w:rPr>
                <w:rFonts w:ascii="宋体"/>
                <w:color w:val="auto"/>
                <w:szCs w:val="21"/>
                <w:highlight w:val="none"/>
              </w:rPr>
            </w:pPr>
            <w:r>
              <w:rPr>
                <w:rFonts w:ascii="宋体"/>
                <w:color w:val="auto"/>
                <w:szCs w:val="21"/>
                <w:highlight w:val="none"/>
              </w:rPr>
              <w:t>见</w:t>
            </w:r>
            <w:r>
              <w:rPr>
                <w:rFonts w:hint="eastAsia" w:ascii="宋体"/>
                <w:color w:val="auto"/>
                <w:szCs w:val="21"/>
                <w:highlight w:val="none"/>
              </w:rPr>
              <w:t xml:space="preserve">响应文件 </w:t>
            </w:r>
            <w:r>
              <w:rPr>
                <w:rFonts w:ascii="宋体"/>
                <w:color w:val="auto"/>
                <w:szCs w:val="21"/>
                <w:highlight w:val="none"/>
              </w:rPr>
              <w:t>第（）页</w:t>
            </w:r>
          </w:p>
        </w:tc>
      </w:tr>
    </w:tbl>
    <w:p w14:paraId="1936C678">
      <w:pPr>
        <w:autoSpaceDE w:val="0"/>
        <w:autoSpaceDN w:val="0"/>
        <w:adjustRightInd w:val="0"/>
        <w:spacing w:line="360" w:lineRule="auto"/>
        <w:ind w:right="-26" w:firstLine="420"/>
        <w:rPr>
          <w:rFonts w:ascii="宋体" w:cs="宋体"/>
          <w:b/>
          <w:color w:val="auto"/>
          <w:kern w:val="0"/>
          <w:szCs w:val="21"/>
          <w:highlight w:val="none"/>
          <w:lang w:val="zh-CN"/>
        </w:rPr>
      </w:pPr>
    </w:p>
    <w:p w14:paraId="0906ED77">
      <w:pPr>
        <w:autoSpaceDE w:val="0"/>
        <w:autoSpaceDN w:val="0"/>
        <w:adjustRightInd w:val="0"/>
        <w:spacing w:line="360" w:lineRule="auto"/>
        <w:ind w:right="-26"/>
        <w:rPr>
          <w:rFonts w:ascii="宋体" w:cs="宋体"/>
          <w:b/>
          <w:color w:val="auto"/>
          <w:kern w:val="0"/>
          <w:szCs w:val="21"/>
          <w:highlight w:val="none"/>
          <w:lang w:val="zh-CN"/>
        </w:rPr>
      </w:pPr>
      <w:r>
        <w:rPr>
          <w:rFonts w:hint="eastAsia" w:ascii="宋体" w:cs="宋体"/>
          <w:b/>
          <w:color w:val="auto"/>
          <w:kern w:val="0"/>
          <w:szCs w:val="21"/>
          <w:highlight w:val="none"/>
          <w:lang w:val="zh-CN"/>
        </w:rPr>
        <w:t>注：以上材料将作为供应商资格性符合性审核的重要内容之一，供应商必须严格按照其内容及序列要求在响应文件中对应如实提供，对缺漏和不符合项将会导致无效投标！在对应的□打</w:t>
      </w:r>
      <w:r>
        <w:rPr>
          <w:rFonts w:ascii="宋体" w:cs="宋体"/>
          <w:b/>
          <w:color w:val="auto"/>
          <w:kern w:val="0"/>
          <w:szCs w:val="21"/>
          <w:highlight w:val="none"/>
          <w:lang w:val="zh-CN"/>
        </w:rPr>
        <w:t>“</w:t>
      </w:r>
      <w:r>
        <w:rPr>
          <w:rFonts w:hint="eastAsia" w:ascii="宋体" w:cs="宋体"/>
          <w:b/>
          <w:color w:val="auto"/>
          <w:kern w:val="0"/>
          <w:szCs w:val="21"/>
          <w:highlight w:val="none"/>
          <w:lang w:val="zh-CN"/>
        </w:rPr>
        <w:t>√</w:t>
      </w:r>
      <w:r>
        <w:rPr>
          <w:rFonts w:ascii="宋体" w:cs="宋体"/>
          <w:b/>
          <w:color w:val="auto"/>
          <w:kern w:val="0"/>
          <w:szCs w:val="21"/>
          <w:highlight w:val="none"/>
          <w:lang w:val="zh-CN"/>
        </w:rPr>
        <w:t>”</w:t>
      </w:r>
      <w:r>
        <w:rPr>
          <w:rFonts w:hint="eastAsia" w:ascii="宋体" w:cs="宋体"/>
          <w:b/>
          <w:color w:val="auto"/>
          <w:kern w:val="0"/>
          <w:szCs w:val="21"/>
          <w:highlight w:val="none"/>
          <w:lang w:val="zh-CN"/>
        </w:rPr>
        <w:t>。</w:t>
      </w:r>
    </w:p>
    <w:p w14:paraId="4C4ADD9E">
      <w:pPr>
        <w:adjustRightInd w:val="0"/>
        <w:snapToGrid w:val="0"/>
        <w:spacing w:line="360" w:lineRule="auto"/>
        <w:ind w:right="840"/>
        <w:jc w:val="left"/>
        <w:rPr>
          <w:rFonts w:ascii="宋体" w:hAnsi="宋体"/>
          <w:color w:val="auto"/>
          <w:szCs w:val="21"/>
          <w:highlight w:val="none"/>
        </w:rPr>
      </w:pPr>
    </w:p>
    <w:p w14:paraId="45EFC1AC">
      <w:pPr>
        <w:adjustRightInd w:val="0"/>
        <w:snapToGrid w:val="0"/>
        <w:spacing w:line="360" w:lineRule="auto"/>
        <w:ind w:right="840"/>
        <w:jc w:val="left"/>
        <w:rPr>
          <w:rFonts w:ascii="宋体" w:hAnsi="宋体"/>
          <w:color w:val="auto"/>
          <w:szCs w:val="21"/>
          <w:highlight w:val="none"/>
        </w:rPr>
      </w:pPr>
    </w:p>
    <w:p w14:paraId="7944D70D">
      <w:pPr>
        <w:adjustRightInd w:val="0"/>
        <w:snapToGrid w:val="0"/>
        <w:spacing w:line="360" w:lineRule="auto"/>
        <w:ind w:right="840"/>
        <w:jc w:val="left"/>
        <w:rPr>
          <w:rFonts w:ascii="宋体" w:hAnsi="宋体"/>
          <w:color w:val="auto"/>
          <w:szCs w:val="21"/>
          <w:highlight w:val="none"/>
        </w:rPr>
      </w:pPr>
    </w:p>
    <w:p w14:paraId="620236B3">
      <w:pPr>
        <w:adjustRightInd w:val="0"/>
        <w:snapToGrid w:val="0"/>
        <w:spacing w:line="360" w:lineRule="auto"/>
        <w:ind w:right="840"/>
        <w:jc w:val="left"/>
        <w:rPr>
          <w:rFonts w:ascii="宋体" w:hAnsi="宋体"/>
          <w:color w:val="auto"/>
          <w:szCs w:val="21"/>
          <w:highlight w:val="none"/>
        </w:rPr>
      </w:pPr>
    </w:p>
    <w:p w14:paraId="06F595D6">
      <w:pPr>
        <w:adjustRightInd w:val="0"/>
        <w:snapToGrid w:val="0"/>
        <w:spacing w:line="360" w:lineRule="auto"/>
        <w:ind w:right="840"/>
        <w:jc w:val="left"/>
        <w:rPr>
          <w:rFonts w:ascii="宋体" w:hAnsi="宋体"/>
          <w:color w:val="auto"/>
          <w:szCs w:val="21"/>
          <w:highlight w:val="none"/>
        </w:rPr>
      </w:pPr>
      <w:r>
        <w:rPr>
          <w:rFonts w:hint="eastAsia" w:ascii="宋体" w:hAnsi="宋体"/>
          <w:color w:val="auto"/>
          <w:szCs w:val="21"/>
          <w:highlight w:val="none"/>
        </w:rPr>
        <w:t>供应商法定代表人/授权代表（签字或盖私章）：</w:t>
      </w:r>
      <w:r>
        <w:rPr>
          <w:rFonts w:hint="eastAsia" w:ascii="宋体" w:hAnsi="宋体"/>
          <w:color w:val="auto"/>
          <w:szCs w:val="21"/>
          <w:highlight w:val="none"/>
          <w:u w:val="single"/>
        </w:rPr>
        <w:t xml:space="preserve">                   </w:t>
      </w:r>
    </w:p>
    <w:p w14:paraId="35270946">
      <w:pPr>
        <w:adjustRightInd w:val="0"/>
        <w:snapToGrid w:val="0"/>
        <w:spacing w:line="360" w:lineRule="auto"/>
        <w:ind w:right="840"/>
        <w:jc w:val="left"/>
        <w:rPr>
          <w:rFonts w:ascii="宋体" w:hAnsi="宋体"/>
          <w:color w:val="auto"/>
          <w:szCs w:val="21"/>
          <w:highlight w:val="none"/>
          <w:u w:val="single"/>
        </w:rPr>
      </w:pPr>
      <w:r>
        <w:rPr>
          <w:rFonts w:hint="eastAsia" w:ascii="宋体" w:hAnsi="宋体"/>
          <w:color w:val="auto"/>
          <w:szCs w:val="21"/>
          <w:highlight w:val="none"/>
        </w:rPr>
        <w:t>供应商名称（加盖公章）：</w:t>
      </w:r>
      <w:r>
        <w:rPr>
          <w:rFonts w:hint="eastAsia" w:ascii="宋体" w:hAnsi="宋体"/>
          <w:color w:val="auto"/>
          <w:szCs w:val="21"/>
          <w:highlight w:val="none"/>
          <w:u w:val="single"/>
        </w:rPr>
        <w:t xml:space="preserve">                        </w:t>
      </w:r>
    </w:p>
    <w:p w14:paraId="0F519044">
      <w:pPr>
        <w:adjustRightInd w:val="0"/>
        <w:snapToGrid w:val="0"/>
        <w:spacing w:line="360" w:lineRule="auto"/>
        <w:ind w:right="840"/>
        <w:jc w:val="left"/>
        <w:rPr>
          <w:rFonts w:ascii="宋体" w:hAnsi="宋体"/>
          <w:b/>
          <w:bCs/>
          <w:color w:val="auto"/>
          <w:sz w:val="24"/>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3C0D5DD">
      <w:pPr>
        <w:spacing w:line="360" w:lineRule="auto"/>
        <w:ind w:firstLine="480"/>
        <w:rPr>
          <w:rFonts w:ascii="宋体" w:hAnsi="宋体"/>
          <w:b/>
          <w:bCs/>
          <w:color w:val="auto"/>
          <w:sz w:val="24"/>
          <w:highlight w:val="none"/>
        </w:rPr>
      </w:pPr>
    </w:p>
    <w:p w14:paraId="1714F57F">
      <w:pPr>
        <w:rPr>
          <w:color w:val="auto"/>
          <w:highlight w:val="none"/>
        </w:rPr>
      </w:pPr>
    </w:p>
    <w:p w14:paraId="705F57F5">
      <w:pPr>
        <w:spacing w:line="360" w:lineRule="auto"/>
        <w:ind w:firstLine="480"/>
        <w:rPr>
          <w:rFonts w:ascii="宋体" w:hAnsi="宋体"/>
          <w:b/>
          <w:bCs/>
          <w:color w:val="auto"/>
          <w:sz w:val="24"/>
          <w:highlight w:val="none"/>
        </w:rPr>
      </w:pPr>
    </w:p>
    <w:p w14:paraId="7B8F0088">
      <w:pPr>
        <w:ind w:firstLine="480"/>
        <w:rPr>
          <w:rFonts w:ascii="宋体" w:hAnsi="宋体"/>
          <w:b/>
          <w:bCs/>
          <w:color w:val="auto"/>
          <w:sz w:val="24"/>
          <w:highlight w:val="none"/>
        </w:rPr>
      </w:pPr>
    </w:p>
    <w:p w14:paraId="7A012E38">
      <w:pPr>
        <w:ind w:firstLine="480"/>
        <w:rPr>
          <w:rFonts w:ascii="宋体" w:hAnsi="宋体"/>
          <w:b/>
          <w:bCs/>
          <w:color w:val="auto"/>
          <w:sz w:val="24"/>
          <w:highlight w:val="none"/>
        </w:rPr>
      </w:pPr>
    </w:p>
    <w:p w14:paraId="38201C0F">
      <w:pPr>
        <w:ind w:firstLine="480"/>
        <w:rPr>
          <w:rFonts w:ascii="宋体" w:hAnsi="宋体"/>
          <w:b/>
          <w:bCs/>
          <w:color w:val="auto"/>
          <w:sz w:val="24"/>
          <w:highlight w:val="none"/>
        </w:rPr>
      </w:pPr>
    </w:p>
    <w:p w14:paraId="718BE283">
      <w:pPr>
        <w:ind w:firstLine="480"/>
        <w:rPr>
          <w:rFonts w:ascii="宋体" w:hAnsi="宋体"/>
          <w:b/>
          <w:bCs/>
          <w:color w:val="auto"/>
          <w:sz w:val="24"/>
          <w:highlight w:val="none"/>
        </w:rPr>
      </w:pPr>
    </w:p>
    <w:p w14:paraId="7C6F5838">
      <w:pPr>
        <w:ind w:firstLine="480"/>
        <w:rPr>
          <w:rFonts w:ascii="宋体" w:hAnsi="宋体"/>
          <w:b/>
          <w:bCs/>
          <w:color w:val="auto"/>
          <w:sz w:val="24"/>
          <w:highlight w:val="none"/>
        </w:rPr>
      </w:pPr>
    </w:p>
    <w:p w14:paraId="4AFBCDB9">
      <w:pPr>
        <w:ind w:firstLine="480"/>
        <w:rPr>
          <w:rFonts w:ascii="宋体" w:hAnsi="宋体"/>
          <w:b/>
          <w:bCs/>
          <w:color w:val="auto"/>
          <w:sz w:val="24"/>
          <w:highlight w:val="none"/>
        </w:rPr>
      </w:pPr>
    </w:p>
    <w:p w14:paraId="2BF6057F">
      <w:pPr>
        <w:ind w:firstLine="480"/>
        <w:rPr>
          <w:rFonts w:ascii="宋体" w:hAnsi="宋体"/>
          <w:b/>
          <w:bCs/>
          <w:color w:val="auto"/>
          <w:sz w:val="24"/>
          <w:highlight w:val="none"/>
        </w:rPr>
      </w:pPr>
    </w:p>
    <w:p w14:paraId="448F8FB9">
      <w:pPr>
        <w:ind w:firstLine="480"/>
        <w:rPr>
          <w:rFonts w:ascii="宋体" w:hAnsi="宋体"/>
          <w:b/>
          <w:bCs/>
          <w:color w:val="auto"/>
          <w:sz w:val="24"/>
          <w:highlight w:val="none"/>
        </w:rPr>
      </w:pPr>
    </w:p>
    <w:p w14:paraId="1DA01A53">
      <w:pPr>
        <w:ind w:firstLine="480"/>
        <w:rPr>
          <w:rFonts w:ascii="宋体" w:hAnsi="宋体"/>
          <w:b/>
          <w:bCs/>
          <w:color w:val="auto"/>
          <w:sz w:val="24"/>
          <w:highlight w:val="none"/>
        </w:rPr>
      </w:pPr>
    </w:p>
    <w:p w14:paraId="082ADE5E">
      <w:pPr>
        <w:ind w:firstLine="480"/>
        <w:rPr>
          <w:rFonts w:ascii="宋体" w:hAnsi="宋体"/>
          <w:b/>
          <w:bCs/>
          <w:color w:val="auto"/>
          <w:sz w:val="24"/>
          <w:highlight w:val="none"/>
        </w:rPr>
      </w:pPr>
    </w:p>
    <w:p w14:paraId="7D1D9D98">
      <w:pPr>
        <w:ind w:firstLine="480"/>
        <w:rPr>
          <w:rFonts w:ascii="宋体" w:hAnsi="宋体"/>
          <w:b/>
          <w:bCs/>
          <w:color w:val="auto"/>
          <w:sz w:val="24"/>
          <w:highlight w:val="none"/>
        </w:rPr>
      </w:pPr>
    </w:p>
    <w:p w14:paraId="5B5B3631">
      <w:pPr>
        <w:ind w:firstLine="480"/>
        <w:rPr>
          <w:rFonts w:ascii="宋体" w:hAnsi="宋体"/>
          <w:b/>
          <w:bCs/>
          <w:color w:val="auto"/>
          <w:sz w:val="24"/>
          <w:highlight w:val="none"/>
        </w:rPr>
      </w:pPr>
    </w:p>
    <w:p w14:paraId="744225EE">
      <w:pPr>
        <w:ind w:firstLine="480"/>
        <w:rPr>
          <w:rFonts w:ascii="宋体" w:hAnsi="宋体"/>
          <w:b/>
          <w:bCs/>
          <w:color w:val="auto"/>
          <w:sz w:val="24"/>
          <w:highlight w:val="none"/>
        </w:rPr>
      </w:pPr>
    </w:p>
    <w:p w14:paraId="2F201C1A">
      <w:pPr>
        <w:ind w:firstLine="480"/>
        <w:rPr>
          <w:rFonts w:ascii="宋体" w:hAnsi="宋体"/>
          <w:b/>
          <w:bCs/>
          <w:color w:val="auto"/>
          <w:sz w:val="24"/>
          <w:highlight w:val="none"/>
        </w:rPr>
      </w:pPr>
    </w:p>
    <w:p w14:paraId="2DF885C1">
      <w:pPr>
        <w:ind w:firstLine="480"/>
        <w:rPr>
          <w:rFonts w:ascii="宋体" w:hAnsi="宋体"/>
          <w:b/>
          <w:bCs/>
          <w:color w:val="auto"/>
          <w:sz w:val="24"/>
          <w:highlight w:val="none"/>
        </w:rPr>
      </w:pPr>
    </w:p>
    <w:p w14:paraId="75FC52EA">
      <w:pPr>
        <w:ind w:firstLine="480"/>
        <w:rPr>
          <w:rFonts w:ascii="宋体" w:hAnsi="宋体"/>
          <w:b/>
          <w:bCs/>
          <w:color w:val="auto"/>
          <w:sz w:val="24"/>
          <w:highlight w:val="none"/>
        </w:rPr>
      </w:pPr>
    </w:p>
    <w:p w14:paraId="38C56201">
      <w:pPr>
        <w:pStyle w:val="4"/>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1.2</w:t>
      </w:r>
      <w:bookmarkEnd w:id="389"/>
      <w:bookmarkEnd w:id="390"/>
      <w:bookmarkEnd w:id="391"/>
      <w:bookmarkEnd w:id="392"/>
      <w:bookmarkEnd w:id="393"/>
      <w:r>
        <w:rPr>
          <w:rFonts w:hint="eastAsia" w:ascii="宋体" w:hAnsi="宋体" w:eastAsia="宋体"/>
          <w:color w:val="auto"/>
          <w:sz w:val="24"/>
          <w:szCs w:val="24"/>
          <w:highlight w:val="none"/>
        </w:rPr>
        <w:t>响应函</w:t>
      </w:r>
    </w:p>
    <w:p w14:paraId="059AE6AA">
      <w:pPr>
        <w:snapToGrid w:val="0"/>
        <w:spacing w:line="360" w:lineRule="auto"/>
        <w:ind w:firstLine="643"/>
        <w:jc w:val="center"/>
        <w:rPr>
          <w:rFonts w:ascii="宋体" w:hAnsi="宋体" w:cs="宋体"/>
          <w:bCs/>
          <w:color w:val="auto"/>
          <w:highlight w:val="none"/>
        </w:rPr>
      </w:pPr>
      <w:r>
        <w:rPr>
          <w:rFonts w:hint="eastAsia" w:ascii="宋体" w:hAnsi="宋体" w:cs="宋体"/>
          <w:b/>
          <w:color w:val="auto"/>
          <w:kern w:val="0"/>
          <w:sz w:val="32"/>
          <w:szCs w:val="32"/>
          <w:highlight w:val="none"/>
        </w:rPr>
        <w:t>响 应 函</w:t>
      </w:r>
    </w:p>
    <w:p w14:paraId="1D2A4BDA">
      <w:pPr>
        <w:snapToGrid w:val="0"/>
        <w:spacing w:line="360" w:lineRule="auto"/>
        <w:rPr>
          <w:rFonts w:ascii="宋体" w:hAnsi="宋体" w:cs="宋体"/>
          <w:bCs/>
          <w:color w:val="auto"/>
          <w:highlight w:val="none"/>
          <w:u w:val="single"/>
        </w:rPr>
      </w:pPr>
      <w:r>
        <w:rPr>
          <w:rFonts w:hint="eastAsia" w:ascii="宋体" w:hAnsi="宋体" w:cs="宋体"/>
          <w:bCs/>
          <w:color w:val="auto"/>
          <w:highlight w:val="none"/>
        </w:rPr>
        <w:t>致：</w:t>
      </w:r>
      <w:r>
        <w:rPr>
          <w:rFonts w:hint="eastAsia" w:ascii="宋体" w:hAnsi="宋体" w:cs="宋体"/>
          <w:bCs/>
          <w:color w:val="auto"/>
          <w:highlight w:val="none"/>
          <w:u w:val="single"/>
        </w:rPr>
        <w:t xml:space="preserve">     （采购人名称） </w:t>
      </w:r>
    </w:p>
    <w:p w14:paraId="73C75A45">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贵方</w:t>
      </w:r>
      <w:r>
        <w:rPr>
          <w:rFonts w:hint="eastAsia" w:ascii="宋体" w:hAnsi="宋体" w:cs="宋体"/>
          <w:bCs/>
          <w:color w:val="auto"/>
          <w:highlight w:val="none"/>
          <w:u w:val="single"/>
        </w:rPr>
        <w:t xml:space="preserve">          （项目名称）       </w:t>
      </w:r>
      <w:r>
        <w:rPr>
          <w:rFonts w:hint="eastAsia" w:ascii="宋体" w:hAnsi="宋体" w:cs="宋体"/>
          <w:bCs/>
          <w:color w:val="auto"/>
          <w:highlight w:val="none"/>
        </w:rPr>
        <w:t>的采购文件</w:t>
      </w:r>
      <w:r>
        <w:rPr>
          <w:rFonts w:hint="eastAsia" w:ascii="宋体" w:hAnsi="宋体" w:cs="宋体"/>
          <w:bCs/>
          <w:color w:val="auto"/>
          <w:highlight w:val="none"/>
          <w:u w:val="single"/>
        </w:rPr>
        <w:t>（项目编号：        ）</w:t>
      </w:r>
      <w:r>
        <w:rPr>
          <w:rFonts w:hint="eastAsia" w:ascii="宋体" w:hAnsi="宋体" w:cs="宋体"/>
          <w:bCs/>
          <w:color w:val="auto"/>
          <w:highlight w:val="none"/>
        </w:rPr>
        <w:t>的采购邀请，我方</w:t>
      </w:r>
      <w:r>
        <w:rPr>
          <w:rFonts w:hint="eastAsia" w:ascii="宋体" w:hAnsi="宋体" w:cs="宋体"/>
          <w:bCs/>
          <w:color w:val="auto"/>
          <w:highlight w:val="none"/>
          <w:u w:val="single"/>
        </w:rPr>
        <w:t xml:space="preserve"> （供应商名称） </w:t>
      </w:r>
      <w:r>
        <w:rPr>
          <w:rFonts w:hint="eastAsia" w:ascii="宋体" w:hAnsi="宋体" w:cs="宋体"/>
          <w:bCs/>
          <w:color w:val="auto"/>
          <w:highlight w:val="none"/>
        </w:rPr>
        <w:t>作为供应商已正式授权</w:t>
      </w:r>
      <w:r>
        <w:rPr>
          <w:rFonts w:hint="eastAsia" w:ascii="宋体" w:hAnsi="宋体" w:cs="宋体"/>
          <w:bCs/>
          <w:color w:val="auto"/>
          <w:highlight w:val="none"/>
          <w:u w:val="single"/>
        </w:rPr>
        <w:t xml:space="preserve"> （被供应商授权代表全名、职务）</w:t>
      </w:r>
      <w:r>
        <w:rPr>
          <w:rFonts w:hint="eastAsia" w:ascii="宋体" w:hAnsi="宋体" w:cs="宋体"/>
          <w:bCs/>
          <w:color w:val="auto"/>
          <w:highlight w:val="none"/>
        </w:rPr>
        <w:t>为我方签名代表，</w:t>
      </w:r>
      <w:r>
        <w:rPr>
          <w:rFonts w:hint="eastAsia" w:ascii="宋体" w:hAnsi="宋体" w:cs="宋体"/>
          <w:bCs/>
          <w:color w:val="auto"/>
          <w:highlight w:val="none"/>
          <w:lang w:val="zh-CN"/>
        </w:rPr>
        <w:t>代表我方提交下述文件正本</w:t>
      </w:r>
      <w:r>
        <w:rPr>
          <w:rFonts w:hint="eastAsia" w:ascii="宋体" w:hAnsi="宋体" w:cs="宋体"/>
          <w:bCs/>
          <w:color w:val="auto"/>
          <w:highlight w:val="none"/>
          <w:u w:val="single"/>
          <w:lang w:val="zh-CN"/>
        </w:rPr>
        <w:t xml:space="preserve">    </w:t>
      </w:r>
      <w:r>
        <w:rPr>
          <w:rFonts w:hint="eastAsia" w:ascii="宋体" w:hAnsi="宋体" w:cs="宋体"/>
          <w:bCs/>
          <w:color w:val="auto"/>
          <w:highlight w:val="none"/>
          <w:lang w:val="zh-CN"/>
        </w:rPr>
        <w:t>份，副本</w:t>
      </w:r>
      <w:r>
        <w:rPr>
          <w:rFonts w:hint="eastAsia" w:ascii="宋体" w:hAnsi="宋体" w:cs="宋体"/>
          <w:bCs/>
          <w:color w:val="auto"/>
          <w:highlight w:val="none"/>
          <w:u w:val="single"/>
          <w:lang w:val="zh-CN"/>
        </w:rPr>
        <w:t xml:space="preserve">    </w:t>
      </w:r>
      <w:r>
        <w:rPr>
          <w:rFonts w:hint="eastAsia" w:ascii="宋体" w:hAnsi="宋体" w:cs="宋体"/>
          <w:bCs/>
          <w:color w:val="auto"/>
          <w:highlight w:val="none"/>
          <w:lang w:val="zh-CN"/>
        </w:rPr>
        <w:t>份，电子文件</w:t>
      </w:r>
      <w:r>
        <w:rPr>
          <w:rFonts w:hint="eastAsia" w:ascii="宋体" w:hAnsi="宋体" w:cs="宋体"/>
          <w:bCs/>
          <w:color w:val="auto"/>
          <w:highlight w:val="none"/>
          <w:u w:val="single"/>
        </w:rPr>
        <w:t xml:space="preserve">    </w:t>
      </w:r>
      <w:r>
        <w:rPr>
          <w:rFonts w:hint="eastAsia" w:ascii="宋体" w:hAnsi="宋体" w:cs="宋体"/>
          <w:bCs/>
          <w:color w:val="auto"/>
          <w:highlight w:val="none"/>
        </w:rPr>
        <w:t>份，</w:t>
      </w:r>
      <w:r>
        <w:rPr>
          <w:rFonts w:hint="eastAsia" w:ascii="宋体" w:hAnsi="宋体" w:cs="宋体"/>
          <w:bCs/>
          <w:color w:val="auto"/>
          <w:highlight w:val="none"/>
          <w:lang w:val="zh-CN"/>
        </w:rPr>
        <w:t>并保证所提交的资料是真实的、准确的。</w:t>
      </w:r>
      <w:r>
        <w:rPr>
          <w:rFonts w:hint="eastAsia" w:ascii="宋体" w:hAnsi="宋体" w:cs="宋体"/>
          <w:bCs/>
          <w:color w:val="auto"/>
          <w:highlight w:val="none"/>
        </w:rPr>
        <w:t>签名代表在此声明并同意：</w:t>
      </w:r>
    </w:p>
    <w:p w14:paraId="665CDF47">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1、我们愿意遵守采购代理机构采购文件的各项规定，自愿参加投标，并已清楚采购文件的要求及有关文件规定，并严格按照采购文件的规定履行全部责任和义务。</w:t>
      </w:r>
    </w:p>
    <w:p w14:paraId="06B7F9CC">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2、我们同意本响应文件的响应有效期从提交响应文件的截止之日起</w:t>
      </w:r>
      <w:r>
        <w:rPr>
          <w:rFonts w:hint="eastAsia" w:ascii="宋体" w:hAnsi="宋体" w:cs="宋体"/>
          <w:bCs/>
          <w:color w:val="auto"/>
          <w:highlight w:val="none"/>
          <w:u w:val="single"/>
        </w:rPr>
        <w:t xml:space="preserve"> 90 </w:t>
      </w:r>
      <w:r>
        <w:rPr>
          <w:rFonts w:hint="eastAsia" w:ascii="宋体" w:hAnsi="宋体" w:cs="宋体"/>
          <w:bCs/>
          <w:color w:val="auto"/>
          <w:highlight w:val="none"/>
        </w:rPr>
        <w:t>日历天有效。如果我们的投标被接受，则直至合同生效时止，本响应始终有效并不撤回已递交的响应文件。</w:t>
      </w:r>
    </w:p>
    <w:p w14:paraId="475435EB">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3、我们已经详细地阅读并完全明白了全部采购文件及附件，包括澄清（如有）及参考文件，我们完全理解本采购文件的要求，我们同意放弃对采购文件提出不明或误解的一切权力。</w:t>
      </w:r>
    </w:p>
    <w:p w14:paraId="767B4708">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4、我们同意提供</w:t>
      </w:r>
      <w:r>
        <w:rPr>
          <w:rFonts w:hint="eastAsia" w:ascii="宋体" w:hAnsi="宋体" w:cs="宋体"/>
          <w:bCs/>
          <w:color w:val="auto"/>
          <w:szCs w:val="21"/>
          <w:highlight w:val="none"/>
        </w:rPr>
        <w:t>采购人或者采购代理机构</w:t>
      </w:r>
      <w:r>
        <w:rPr>
          <w:rFonts w:hint="eastAsia" w:ascii="宋体" w:hAnsi="宋体" w:cs="宋体"/>
          <w:bCs/>
          <w:color w:val="auto"/>
          <w:highlight w:val="none"/>
        </w:rPr>
        <w:t>与磋商小组要求的有关投标的一切数据或资料。</w:t>
      </w:r>
    </w:p>
    <w:p w14:paraId="616B866F">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5、我们理解</w:t>
      </w:r>
      <w:r>
        <w:rPr>
          <w:rFonts w:hint="eastAsia" w:ascii="宋体" w:hAnsi="宋体" w:cs="宋体"/>
          <w:bCs/>
          <w:color w:val="auto"/>
          <w:szCs w:val="21"/>
          <w:highlight w:val="none"/>
        </w:rPr>
        <w:t>采购人或者采购代理机构</w:t>
      </w:r>
      <w:r>
        <w:rPr>
          <w:rFonts w:hint="eastAsia" w:ascii="宋体" w:hAnsi="宋体" w:cs="宋体"/>
          <w:bCs/>
          <w:color w:val="auto"/>
          <w:highlight w:val="none"/>
        </w:rPr>
        <w:t>与磋商小组并无义务必须接受最低报价的响应或其它任何响应，完全理解采购代理机构拒绝迟到的任何响应和最低响应报价不是被授予成交的唯一条件。</w:t>
      </w:r>
    </w:p>
    <w:p w14:paraId="3E95A599">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 xml:space="preserve">6、如果我们未对采购文件全部要求作出实质性响应，则完全同意并接受按无效投标处理。 </w:t>
      </w:r>
    </w:p>
    <w:p w14:paraId="1CD497DB">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7、我们证明提交的一切文件，无论是原件还是复印件均为准确、真实、有效、完整的，绝无任何虚假、伪造或者夸大。我们在此郑重承诺：在本次采购活动中，如有违法、违规、弄虚作假行为，所造成的损失、不良后果及法律责任，一律由我公司（企业）承担。</w:t>
      </w:r>
    </w:p>
    <w:p w14:paraId="309093C1">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8、如果我们提供的声明或承诺不真实，则完全同意认定为我司提供虚假材料，并同意作相应处理。</w:t>
      </w:r>
    </w:p>
    <w:p w14:paraId="51857419">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9、</w:t>
      </w:r>
      <w:r>
        <w:rPr>
          <w:rFonts w:hint="eastAsia" w:ascii="宋体" w:hAnsi="宋体" w:cs="宋体"/>
          <w:bCs/>
          <w:color w:val="auto"/>
          <w:highlight w:val="none"/>
        </w:rPr>
        <w:t>我们是依法注册的法人，在法律、财务及运作上完全独立于本项目采购人、用户单位（如有）和采购代理机构</w:t>
      </w:r>
      <w:r>
        <w:rPr>
          <w:rFonts w:hint="eastAsia" w:ascii="宋体" w:hAnsi="宋体"/>
          <w:color w:val="auto"/>
          <w:szCs w:val="21"/>
          <w:highlight w:val="none"/>
        </w:rPr>
        <w:t>。</w:t>
      </w:r>
    </w:p>
    <w:p w14:paraId="75CD1BDD">
      <w:pPr>
        <w:snapToGrid w:val="0"/>
        <w:spacing w:line="360" w:lineRule="auto"/>
        <w:ind w:firstLine="420" w:firstLineChars="200"/>
        <w:rPr>
          <w:rFonts w:ascii="宋体" w:hAnsi="宋体" w:cs="宋体"/>
          <w:bCs/>
          <w:color w:val="auto"/>
          <w:highlight w:val="none"/>
        </w:rPr>
      </w:pPr>
      <w:r>
        <w:rPr>
          <w:rFonts w:hint="eastAsia" w:ascii="宋体" w:hAnsi="宋体" w:cs="宋体"/>
          <w:bCs/>
          <w:color w:val="auto"/>
          <w:highlight w:val="none"/>
        </w:rPr>
        <w:t>10、所有有关本次响应的函电请寄：</w:t>
      </w:r>
      <w:r>
        <w:rPr>
          <w:rFonts w:hint="eastAsia" w:ascii="宋体" w:hAnsi="宋体" w:cs="宋体"/>
          <w:bCs/>
          <w:color w:val="auto"/>
          <w:highlight w:val="none"/>
          <w:u w:val="single"/>
        </w:rPr>
        <w:t xml:space="preserve">  （供应商地址）   </w:t>
      </w:r>
    </w:p>
    <w:p w14:paraId="583E647D">
      <w:pPr>
        <w:autoSpaceDE w:val="0"/>
        <w:autoSpaceDN w:val="0"/>
        <w:adjustRightInd w:val="0"/>
        <w:spacing w:line="360" w:lineRule="auto"/>
        <w:ind w:firstLine="420" w:firstLineChars="200"/>
        <w:rPr>
          <w:rFonts w:ascii="宋体" w:hAnsi="宋体" w:cs="宋体"/>
          <w:color w:val="auto"/>
          <w:highlight w:val="none"/>
        </w:rPr>
      </w:pPr>
      <w:r>
        <w:rPr>
          <w:rFonts w:hint="eastAsia" w:ascii="宋体" w:hAnsi="宋体" w:cs="宋体"/>
          <w:bCs/>
          <w:color w:val="auto"/>
          <w:highlight w:val="none"/>
        </w:rPr>
        <w:t>注：</w:t>
      </w:r>
      <w:r>
        <w:rPr>
          <w:rFonts w:hint="eastAsia" w:ascii="宋体" w:hAnsi="宋体" w:cs="宋体"/>
          <w:color w:val="auto"/>
          <w:kern w:val="1"/>
          <w:szCs w:val="22"/>
          <w:highlight w:val="none"/>
        </w:rPr>
        <w:t>（1）</w:t>
      </w:r>
      <w:r>
        <w:rPr>
          <w:rFonts w:hint="eastAsia" w:ascii="宋体" w:hAnsi="宋体" w:cs="宋体"/>
          <w:color w:val="auto"/>
          <w:highlight w:val="none"/>
        </w:rPr>
        <w:t>《响应函》中承诺的响应有效期应当不少于采购文件中载明的响应有效期，否则视为无效</w:t>
      </w:r>
      <w:r>
        <w:rPr>
          <w:rFonts w:hint="eastAsia" w:ascii="宋体" w:hAnsi="宋体" w:cs="宋体"/>
          <w:bCs/>
          <w:color w:val="auto"/>
          <w:highlight w:val="none"/>
        </w:rPr>
        <w:t>响应</w:t>
      </w:r>
      <w:r>
        <w:rPr>
          <w:rFonts w:hint="eastAsia" w:ascii="宋体" w:hAnsi="宋体" w:cs="宋体"/>
          <w:color w:val="auto"/>
          <w:highlight w:val="none"/>
        </w:rPr>
        <w:t>。</w:t>
      </w:r>
    </w:p>
    <w:p w14:paraId="01B9B256">
      <w:pPr>
        <w:spacing w:line="360" w:lineRule="auto"/>
        <w:ind w:firstLine="420" w:firstLineChars="200"/>
        <w:rPr>
          <w:rFonts w:ascii="宋体" w:hAnsi="宋体"/>
          <w:color w:val="auto"/>
          <w:kern w:val="0"/>
          <w:highlight w:val="none"/>
        </w:rPr>
      </w:pPr>
      <w:r>
        <w:rPr>
          <w:rFonts w:hint="eastAsia" w:ascii="宋体" w:hAnsi="宋体" w:cs="宋体"/>
          <w:color w:val="auto"/>
          <w:highlight w:val="none"/>
        </w:rPr>
        <w:t>（2）除响应有效期承诺的时间外，本响应函内容不得擅自删改，否则视为无效</w:t>
      </w:r>
      <w:r>
        <w:rPr>
          <w:rFonts w:hint="eastAsia" w:ascii="宋体" w:hAnsi="宋体" w:cs="宋体"/>
          <w:bCs/>
          <w:color w:val="auto"/>
          <w:highlight w:val="none"/>
        </w:rPr>
        <w:t>响应</w:t>
      </w:r>
      <w:r>
        <w:rPr>
          <w:rFonts w:hint="eastAsia" w:ascii="宋体" w:hAnsi="宋体"/>
          <w:color w:val="auto"/>
          <w:kern w:val="0"/>
          <w:highlight w:val="none"/>
        </w:rPr>
        <w:t>。</w:t>
      </w:r>
    </w:p>
    <w:p w14:paraId="4EE8A571">
      <w:pPr>
        <w:autoSpaceDE w:val="0"/>
        <w:autoSpaceDN w:val="0"/>
        <w:adjustRightInd w:val="0"/>
        <w:spacing w:line="360" w:lineRule="auto"/>
        <w:ind w:right="246"/>
        <w:rPr>
          <w:rFonts w:ascii="宋体" w:hAnsi="宋体"/>
          <w:color w:val="auto"/>
          <w:kern w:val="0"/>
          <w:highlight w:val="none"/>
        </w:rPr>
      </w:pPr>
    </w:p>
    <w:p w14:paraId="31C7EDC7">
      <w:pPr>
        <w:autoSpaceDE w:val="0"/>
        <w:autoSpaceDN w:val="0"/>
        <w:adjustRightInd w:val="0"/>
        <w:spacing w:line="360" w:lineRule="auto"/>
        <w:ind w:right="246"/>
        <w:rPr>
          <w:rFonts w:ascii="宋体" w:hAnsi="宋体"/>
          <w:color w:val="auto"/>
          <w:kern w:val="0"/>
          <w:highlight w:val="none"/>
        </w:rPr>
      </w:pPr>
    </w:p>
    <w:p w14:paraId="0FDC3664">
      <w:pPr>
        <w:autoSpaceDE w:val="0"/>
        <w:autoSpaceDN w:val="0"/>
        <w:adjustRightInd w:val="0"/>
        <w:spacing w:line="360" w:lineRule="auto"/>
        <w:ind w:right="246"/>
        <w:rPr>
          <w:rFonts w:ascii="宋体" w:hAnsi="宋体"/>
          <w:color w:val="auto"/>
          <w:kern w:val="0"/>
          <w:highlight w:val="none"/>
        </w:rPr>
      </w:pPr>
      <w:r>
        <w:rPr>
          <w:rFonts w:hint="eastAsia" w:ascii="宋体" w:hAnsi="宋体"/>
          <w:color w:val="auto"/>
          <w:kern w:val="0"/>
          <w:highlight w:val="none"/>
        </w:rPr>
        <w:t>地址：</w:t>
      </w:r>
      <w:r>
        <w:rPr>
          <w:rFonts w:hint="eastAsia" w:ascii="宋体" w:hAnsi="宋体"/>
          <w:color w:val="auto"/>
          <w:kern w:val="0"/>
          <w:highlight w:val="none"/>
          <w:u w:val="single"/>
        </w:rPr>
        <w:t xml:space="preserve">                                </w:t>
      </w:r>
      <w:r>
        <w:rPr>
          <w:rFonts w:hint="eastAsia" w:ascii="宋体" w:hAnsi="宋体"/>
          <w:color w:val="auto"/>
          <w:kern w:val="0"/>
          <w:highlight w:val="none"/>
        </w:rPr>
        <w:t xml:space="preserve">    </w:t>
      </w:r>
    </w:p>
    <w:p w14:paraId="509340D1">
      <w:pPr>
        <w:autoSpaceDE w:val="0"/>
        <w:autoSpaceDN w:val="0"/>
        <w:adjustRightInd w:val="0"/>
        <w:spacing w:line="360" w:lineRule="auto"/>
        <w:ind w:right="33"/>
        <w:rPr>
          <w:rFonts w:ascii="宋体" w:hAnsi="宋体"/>
          <w:color w:val="auto"/>
          <w:kern w:val="0"/>
          <w:highlight w:val="none"/>
        </w:rPr>
      </w:pPr>
      <w:r>
        <w:rPr>
          <w:rFonts w:hint="eastAsia" w:ascii="宋体" w:hAnsi="宋体"/>
          <w:color w:val="auto"/>
          <w:kern w:val="0"/>
          <w:highlight w:val="none"/>
        </w:rPr>
        <w:t>电话：</w:t>
      </w:r>
      <w:r>
        <w:rPr>
          <w:rFonts w:hint="eastAsia" w:ascii="宋体" w:hAnsi="宋体"/>
          <w:color w:val="auto"/>
          <w:kern w:val="0"/>
          <w:highlight w:val="none"/>
          <w:u w:val="single"/>
        </w:rPr>
        <w:t xml:space="preserve">                                </w:t>
      </w:r>
    </w:p>
    <w:p w14:paraId="490AD5DF">
      <w:pPr>
        <w:autoSpaceDE w:val="0"/>
        <w:autoSpaceDN w:val="0"/>
        <w:adjustRightInd w:val="0"/>
        <w:spacing w:line="360" w:lineRule="auto"/>
        <w:ind w:right="246"/>
        <w:rPr>
          <w:rFonts w:ascii="宋体" w:hAnsi="宋体"/>
          <w:color w:val="auto"/>
          <w:kern w:val="0"/>
          <w:highlight w:val="none"/>
        </w:rPr>
      </w:pPr>
      <w:r>
        <w:rPr>
          <w:rFonts w:hint="eastAsia" w:ascii="宋体" w:hAnsi="宋体"/>
          <w:color w:val="auto"/>
          <w:kern w:val="0"/>
          <w:highlight w:val="none"/>
        </w:rPr>
        <w:t>电子邮件：</w:t>
      </w:r>
      <w:r>
        <w:rPr>
          <w:rFonts w:hint="eastAsia" w:ascii="宋体" w:hAnsi="宋体"/>
          <w:color w:val="auto"/>
          <w:kern w:val="0"/>
          <w:highlight w:val="none"/>
          <w:u w:val="single"/>
        </w:rPr>
        <w:t xml:space="preserve">                            </w:t>
      </w:r>
    </w:p>
    <w:p w14:paraId="409F076D">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2D1C8B87">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45EFE618">
      <w:pPr>
        <w:spacing w:line="360" w:lineRule="auto"/>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3B619B84">
      <w:pPr>
        <w:rPr>
          <w:rFonts w:ascii="宋体" w:hAnsi="宋体"/>
          <w:color w:val="auto"/>
          <w:highlight w:val="none"/>
        </w:rPr>
      </w:pPr>
      <w:r>
        <w:rPr>
          <w:rFonts w:ascii="宋体" w:hAnsi="宋体"/>
          <w:color w:val="auto"/>
          <w:highlight w:val="none"/>
        </w:rPr>
        <w:br w:type="page"/>
      </w:r>
    </w:p>
    <w:p w14:paraId="5B7DAE35">
      <w:pPr>
        <w:pStyle w:val="4"/>
        <w:spacing w:line="360" w:lineRule="auto"/>
        <w:ind w:firstLine="480"/>
        <w:rPr>
          <w:rFonts w:ascii="宋体" w:hAnsi="宋体" w:eastAsia="宋体"/>
          <w:color w:val="auto"/>
          <w:sz w:val="24"/>
          <w:szCs w:val="24"/>
          <w:highlight w:val="none"/>
        </w:rPr>
      </w:pPr>
      <w:bookmarkStart w:id="419" w:name="_Toc6322298"/>
      <w:bookmarkStart w:id="420" w:name="_Toc462677236"/>
      <w:bookmarkStart w:id="421" w:name="_Toc67046896"/>
      <w:bookmarkStart w:id="422" w:name="_Toc259090984"/>
      <w:bookmarkStart w:id="423" w:name="_Toc276645581"/>
      <w:r>
        <w:rPr>
          <w:rFonts w:hint="eastAsia" w:ascii="宋体" w:hAnsi="宋体" w:eastAsia="宋体"/>
          <w:color w:val="auto"/>
          <w:sz w:val="24"/>
          <w:szCs w:val="24"/>
          <w:highlight w:val="none"/>
        </w:rPr>
        <w:t>1.3法定代表人/单位负责人证明书及授权委托书</w:t>
      </w:r>
      <w:bookmarkEnd w:id="419"/>
      <w:bookmarkEnd w:id="420"/>
      <w:bookmarkEnd w:id="421"/>
      <w:bookmarkEnd w:id="422"/>
      <w:bookmarkEnd w:id="423"/>
    </w:p>
    <w:p w14:paraId="2933FA44">
      <w:pPr>
        <w:spacing w:line="480" w:lineRule="exact"/>
        <w:ind w:firstLine="560"/>
        <w:jc w:val="center"/>
        <w:rPr>
          <w:rFonts w:ascii="宋体" w:hAnsi="宋体"/>
          <w:b/>
          <w:color w:val="auto"/>
          <w:sz w:val="28"/>
          <w:szCs w:val="28"/>
          <w:highlight w:val="none"/>
        </w:rPr>
      </w:pPr>
    </w:p>
    <w:p w14:paraId="001BF0A2">
      <w:pPr>
        <w:spacing w:line="480" w:lineRule="exact"/>
        <w:ind w:firstLine="562"/>
        <w:jc w:val="center"/>
        <w:rPr>
          <w:rFonts w:ascii="宋体" w:hAnsi="宋体"/>
          <w:b/>
          <w:color w:val="auto"/>
          <w:sz w:val="28"/>
          <w:szCs w:val="28"/>
          <w:highlight w:val="none"/>
        </w:rPr>
      </w:pPr>
      <w:r>
        <w:rPr>
          <w:rFonts w:hint="eastAsia" w:ascii="宋体" w:hAnsi="宋体"/>
          <w:b/>
          <w:color w:val="auto"/>
          <w:sz w:val="28"/>
          <w:szCs w:val="28"/>
          <w:highlight w:val="none"/>
        </w:rPr>
        <w:t>（1）法定代表人/单位负责人资格证明书</w:t>
      </w:r>
    </w:p>
    <w:p w14:paraId="412F54EF">
      <w:pPr>
        <w:ind w:firstLine="361"/>
        <w:rPr>
          <w:rFonts w:ascii="宋体" w:hAnsi="宋体"/>
          <w:color w:val="auto"/>
          <w:sz w:val="18"/>
          <w:highlight w:val="none"/>
        </w:rPr>
      </w:pPr>
    </w:p>
    <w:p w14:paraId="4CA920B9">
      <w:pPr>
        <w:spacing w:line="360" w:lineRule="auto"/>
        <w:rPr>
          <w:rFonts w:ascii="宋体" w:hAnsi="宋体"/>
          <w:color w:val="auto"/>
          <w:highlight w:val="none"/>
        </w:rPr>
      </w:pPr>
      <w:r>
        <w:rPr>
          <w:rFonts w:hint="eastAsia" w:ascii="宋体" w:hAnsi="宋体"/>
          <w:color w:val="auto"/>
          <w:highlight w:val="none"/>
        </w:rPr>
        <w:t>致：</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i/>
          <w:iCs/>
          <w:color w:val="auto"/>
          <w:highlight w:val="none"/>
          <w:u w:val="single"/>
        </w:rPr>
        <w:t>（采购人名称）</w:t>
      </w:r>
    </w:p>
    <w:p w14:paraId="635F5AA7">
      <w:pPr>
        <w:ind w:firstLine="361"/>
        <w:rPr>
          <w:rFonts w:ascii="宋体" w:hAnsi="宋体"/>
          <w:color w:val="auto"/>
          <w:sz w:val="18"/>
          <w:highlight w:val="none"/>
        </w:rPr>
      </w:pPr>
    </w:p>
    <w:p w14:paraId="017C3F13">
      <w:pPr>
        <w:spacing w:line="480" w:lineRule="auto"/>
        <w:ind w:firstLine="422"/>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同志，现任我单位</w:t>
      </w:r>
      <w:r>
        <w:rPr>
          <w:rFonts w:hint="eastAsia" w:ascii="宋体" w:hAnsi="宋体"/>
          <w:color w:val="auto"/>
          <w:highlight w:val="none"/>
          <w:u w:val="single"/>
        </w:rPr>
        <w:t xml:space="preserve">          </w:t>
      </w:r>
      <w:r>
        <w:rPr>
          <w:rFonts w:hint="eastAsia" w:ascii="宋体" w:hAnsi="宋体"/>
          <w:color w:val="auto"/>
          <w:highlight w:val="none"/>
        </w:rPr>
        <w:t>职务，为法定代表人/单位负责人，特此证明。</w:t>
      </w:r>
    </w:p>
    <w:p w14:paraId="16CE14F8">
      <w:pPr>
        <w:spacing w:line="360" w:lineRule="auto"/>
        <w:ind w:firstLine="210" w:firstLineChars="100"/>
        <w:rPr>
          <w:rFonts w:ascii="宋体" w:hAnsi="宋体"/>
          <w:color w:val="auto"/>
          <w:highlight w:val="none"/>
        </w:rPr>
      </w:pPr>
    </w:p>
    <w:p w14:paraId="64E774E6">
      <w:pPr>
        <w:spacing w:line="360" w:lineRule="auto"/>
        <w:ind w:firstLine="210" w:firstLineChars="100"/>
        <w:rPr>
          <w:rFonts w:ascii="宋体" w:hAnsi="宋体"/>
          <w:color w:val="auto"/>
          <w:highlight w:val="none"/>
        </w:rPr>
      </w:pPr>
      <w:r>
        <w:rPr>
          <w:rFonts w:hint="eastAsia" w:ascii="宋体" w:hAnsi="宋体"/>
          <w:color w:val="auto"/>
          <w:highlight w:val="none"/>
        </w:rPr>
        <w:t>签发日期：           单位（盖公章）：</w:t>
      </w:r>
    </w:p>
    <w:p w14:paraId="796F5DDA">
      <w:pPr>
        <w:spacing w:line="360" w:lineRule="auto"/>
        <w:ind w:firstLine="210" w:firstLineChars="100"/>
        <w:rPr>
          <w:rFonts w:ascii="宋体" w:hAnsi="宋体"/>
          <w:color w:val="auto"/>
          <w:highlight w:val="none"/>
        </w:rPr>
      </w:pPr>
      <w:r>
        <w:rPr>
          <w:rFonts w:hint="eastAsia" w:ascii="宋体" w:hAnsi="宋体"/>
          <w:color w:val="auto"/>
          <w:highlight w:val="none"/>
        </w:rPr>
        <w:t xml:space="preserve">代表人性别：      </w:t>
      </w:r>
      <w:r>
        <w:rPr>
          <w:rFonts w:ascii="宋体" w:hAnsi="宋体"/>
          <w:color w:val="auto"/>
          <w:highlight w:val="none"/>
        </w:rPr>
        <w:t xml:space="preserve">  </w:t>
      </w:r>
      <w:r>
        <w:rPr>
          <w:rFonts w:hint="eastAsia" w:ascii="宋体" w:hAnsi="宋体"/>
          <w:color w:val="auto"/>
          <w:highlight w:val="none"/>
        </w:rPr>
        <w:t xml:space="preserve"> 年龄：             身份证号码：</w:t>
      </w:r>
    </w:p>
    <w:p w14:paraId="31D820A2">
      <w:pPr>
        <w:spacing w:line="360" w:lineRule="auto"/>
        <w:ind w:firstLine="210" w:firstLineChars="100"/>
        <w:rPr>
          <w:rFonts w:ascii="宋体" w:hAnsi="宋体"/>
          <w:color w:val="auto"/>
          <w:highlight w:val="none"/>
        </w:rPr>
      </w:pPr>
      <w:r>
        <w:rPr>
          <w:rFonts w:hint="eastAsia" w:ascii="宋体" w:hAnsi="宋体"/>
          <w:color w:val="auto"/>
          <w:highlight w:val="none"/>
        </w:rPr>
        <w:t>联系电话：</w:t>
      </w:r>
    </w:p>
    <w:p w14:paraId="4756EC88">
      <w:pPr>
        <w:spacing w:line="360" w:lineRule="auto"/>
        <w:ind w:firstLine="482"/>
        <w:rPr>
          <w:rFonts w:ascii="宋体" w:hAnsi="宋体"/>
          <w:color w:val="auto"/>
          <w:sz w:val="24"/>
          <w:highlight w:val="none"/>
        </w:rPr>
      </w:pPr>
    </w:p>
    <w:p w14:paraId="56F99EC5">
      <w:pPr>
        <w:spacing w:line="360" w:lineRule="auto"/>
        <w:ind w:firstLine="482"/>
        <w:rPr>
          <w:rFonts w:ascii="宋体" w:hAnsi="宋体"/>
          <w:color w:val="auto"/>
          <w:sz w:val="24"/>
          <w:highlight w:val="none"/>
        </w:rPr>
      </w:pPr>
    </w:p>
    <w:p w14:paraId="18BF648B">
      <w:pPr>
        <w:spacing w:line="360" w:lineRule="auto"/>
        <w:rPr>
          <w:rFonts w:ascii="宋体" w:hAnsi="宋体"/>
          <w:b/>
          <w:color w:val="auto"/>
          <w:szCs w:val="21"/>
          <w:highlight w:val="none"/>
        </w:rPr>
      </w:pPr>
      <w:r>
        <w:rPr>
          <w:rFonts w:hint="eastAsia" w:ascii="宋体" w:hAnsi="宋体"/>
          <w:b/>
          <w:color w:val="auto"/>
          <w:szCs w:val="21"/>
          <w:highlight w:val="none"/>
        </w:rPr>
        <w:t xml:space="preserve">说明：供应商应提供法定代表人/单位负责人身份证复印件。 </w:t>
      </w:r>
    </w:p>
    <w:p w14:paraId="176E92C6">
      <w:pPr>
        <w:rPr>
          <w:color w:val="auto"/>
          <w:highlight w:val="none"/>
        </w:rPr>
      </w:pPr>
      <w:r>
        <w:rPr>
          <w:rFonts w:hint="eastAsia" w:ascii="宋体" w:hAnsi="宋体" w:cs="宋体"/>
          <w:color w:val="auto"/>
          <w:highlight w:val="none"/>
        </w:rPr>
        <mc:AlternateContent>
          <mc:Choice Requires="wpg">
            <w:drawing>
              <wp:anchor distT="0" distB="0" distL="114300" distR="114300" simplePos="0" relativeHeight="251664384" behindDoc="0" locked="0" layoutInCell="1" allowOverlap="1">
                <wp:simplePos x="0" y="0"/>
                <wp:positionH relativeFrom="column">
                  <wp:posOffset>1504950</wp:posOffset>
                </wp:positionH>
                <wp:positionV relativeFrom="paragraph">
                  <wp:posOffset>7386320</wp:posOffset>
                </wp:positionV>
                <wp:extent cx="5584190" cy="1487805"/>
                <wp:effectExtent l="4445" t="4445" r="12065" b="12700"/>
                <wp:wrapNone/>
                <wp:docPr id="19" name="组合 19"/>
                <wp:cNvGraphicFramePr/>
                <a:graphic xmlns:a="http://schemas.openxmlformats.org/drawingml/2006/main">
                  <a:graphicData uri="http://schemas.microsoft.com/office/word/2010/wordprocessingGroup">
                    <wpg:wgp>
                      <wpg:cNvGrpSpPr/>
                      <wpg:grpSpPr>
                        <a:xfrm>
                          <a:off x="0" y="0"/>
                          <a:ext cx="5584190" cy="1487805"/>
                          <a:chOff x="0" y="0"/>
                          <a:chExt cx="8794" cy="2343"/>
                        </a:xfrm>
                      </wpg:grpSpPr>
                      <wps:wsp>
                        <wps:cNvPr id="17" name="矩形 17"/>
                        <wps:cNvSpPr/>
                        <wps:spPr>
                          <a:xfrm>
                            <a:off x="0"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EE8B39">
                              <w:pPr>
                                <w:jc w:val="center"/>
                                <w:rPr>
                                  <w:rFonts w:ascii="宋体" w:hAnsi="宋体" w:cs="宋体"/>
                                </w:rPr>
                              </w:pPr>
                              <w:r>
                                <w:rPr>
                                  <w:rFonts w:hint="eastAsia" w:ascii="宋体" w:hAnsi="宋体" w:cs="宋体"/>
                                </w:rPr>
                                <w:t>被授权人（授权代表）</w:t>
                              </w:r>
                            </w:p>
                            <w:p w14:paraId="74AD73B8">
                              <w:pPr>
                                <w:jc w:val="center"/>
                                <w:rPr>
                                  <w:rFonts w:ascii="宋体" w:hAnsi="宋体" w:cs="宋体"/>
                                </w:rPr>
                              </w:pPr>
                              <w:r>
                                <w:rPr>
                                  <w:rFonts w:hint="eastAsia" w:ascii="宋体" w:hAnsi="宋体" w:cs="宋体"/>
                                </w:rPr>
                                <w:t>居民身份证复印件粘贴处</w:t>
                              </w:r>
                            </w:p>
                            <w:p w14:paraId="5796749D">
                              <w:pPr>
                                <w:ind w:firstLine="1050" w:firstLineChars="500"/>
                                <w:rPr>
                                  <w:rFonts w:ascii="宋体" w:hAnsi="宋体" w:cs="宋体"/>
                                </w:rPr>
                              </w:pPr>
                            </w:p>
                            <w:p w14:paraId="6338FC3E">
                              <w:pPr>
                                <w:jc w:val="center"/>
                                <w:rPr>
                                  <w:rFonts w:ascii="宋体" w:hAnsi="宋体" w:cs="宋体"/>
                                </w:rPr>
                              </w:pPr>
                              <w:r>
                                <w:rPr>
                                  <w:rFonts w:hint="eastAsia" w:ascii="宋体" w:hAnsi="宋体" w:cs="宋体"/>
                                </w:rPr>
                                <w:t>（正面）</w:t>
                              </w:r>
                            </w:p>
                            <w:p w14:paraId="4BAA1C1C"/>
                          </w:txbxContent>
                        </wps:txbx>
                        <wps:bodyPr upright="1"/>
                      </wps:wsp>
                      <wps:wsp>
                        <wps:cNvPr id="18" name="矩形 18"/>
                        <wps:cNvSpPr/>
                        <wps:spPr>
                          <a:xfrm>
                            <a:off x="4457"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F4AB7D">
                              <w:pPr>
                                <w:jc w:val="center"/>
                                <w:rPr>
                                  <w:rFonts w:ascii="宋体" w:hAnsi="宋体" w:cs="宋体"/>
                                </w:rPr>
                              </w:pPr>
                              <w:r>
                                <w:rPr>
                                  <w:rFonts w:hint="eastAsia" w:ascii="宋体" w:hAnsi="宋体" w:cs="宋体"/>
                                </w:rPr>
                                <w:t>被授权人（授权代表）</w:t>
                              </w:r>
                            </w:p>
                            <w:p w14:paraId="5A275946">
                              <w:pPr>
                                <w:jc w:val="center"/>
                                <w:rPr>
                                  <w:rFonts w:ascii="宋体" w:hAnsi="宋体" w:cs="宋体"/>
                                </w:rPr>
                              </w:pPr>
                              <w:r>
                                <w:rPr>
                                  <w:rFonts w:hint="eastAsia" w:ascii="宋体" w:hAnsi="宋体" w:cs="宋体"/>
                                </w:rPr>
                                <w:t>居民身份证复印件粘贴处</w:t>
                              </w:r>
                            </w:p>
                            <w:p w14:paraId="2487632D">
                              <w:pPr>
                                <w:ind w:firstLine="1050" w:firstLineChars="500"/>
                                <w:rPr>
                                  <w:rFonts w:ascii="宋体" w:hAnsi="宋体" w:cs="宋体"/>
                                </w:rPr>
                              </w:pPr>
                            </w:p>
                            <w:p w14:paraId="13D6D047">
                              <w:pPr>
                                <w:jc w:val="center"/>
                                <w:rPr>
                                  <w:rFonts w:ascii="宋体" w:hAnsi="宋体" w:cs="宋体"/>
                                </w:rPr>
                              </w:pPr>
                              <w:r>
                                <w:rPr>
                                  <w:rFonts w:hint="eastAsia" w:ascii="宋体" w:hAnsi="宋体" w:cs="宋体"/>
                                </w:rPr>
                                <w:t>（反面）</w:t>
                              </w:r>
                            </w:p>
                            <w:p w14:paraId="03A23E71"/>
                          </w:txbxContent>
                        </wps:txbx>
                        <wps:bodyPr upright="1"/>
                      </wps:wsp>
                    </wpg:wgp>
                  </a:graphicData>
                </a:graphic>
              </wp:anchor>
            </w:drawing>
          </mc:Choice>
          <mc:Fallback>
            <w:pict>
              <v:group id="_x0000_s1026" o:spid="_x0000_s1026" o:spt="203" style="position:absolute;left:0pt;margin-left:118.5pt;margin-top:581.6pt;height:117.15pt;width:439.7pt;z-index:251664384;mso-width-relative:page;mso-height-relative:page;" coordsize="8794,2343" o:gfxdata="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sU4drt0A&#10;AAAOAQAADwAAAAAAAAABACAAAAAiAAAAZHJzL2Rvd25yZXYueG1sUEsBAhQAFAAAAAgAh07iQOVb&#10;Hc2MAgAAngcAAA4AAAAAAAAAAQAgAAAALAEAAGRycy9lMm9Eb2MueG1sUEsFBgAAAAAGAAYAWQEA&#10;ACoGAAAAAA==&#10;">
                <o:lock v:ext="edit" aspectratio="f"/>
                <v:rect id="_x0000_s1026" o:spid="_x0000_s1026" o:spt="1" style="position:absolute;left:0;top:0;height:2343;width:4337;"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43EE8B39">
                        <w:pPr>
                          <w:jc w:val="center"/>
                          <w:rPr>
                            <w:rFonts w:ascii="宋体" w:hAnsi="宋体" w:cs="宋体"/>
                          </w:rPr>
                        </w:pPr>
                        <w:r>
                          <w:rPr>
                            <w:rFonts w:hint="eastAsia" w:ascii="宋体" w:hAnsi="宋体" w:cs="宋体"/>
                          </w:rPr>
                          <w:t>被授权人（授权代表）</w:t>
                        </w:r>
                      </w:p>
                      <w:p w14:paraId="74AD73B8">
                        <w:pPr>
                          <w:jc w:val="center"/>
                          <w:rPr>
                            <w:rFonts w:ascii="宋体" w:hAnsi="宋体" w:cs="宋体"/>
                          </w:rPr>
                        </w:pPr>
                        <w:r>
                          <w:rPr>
                            <w:rFonts w:hint="eastAsia" w:ascii="宋体" w:hAnsi="宋体" w:cs="宋体"/>
                          </w:rPr>
                          <w:t>居民身份证复印件粘贴处</w:t>
                        </w:r>
                      </w:p>
                      <w:p w14:paraId="5796749D">
                        <w:pPr>
                          <w:ind w:firstLine="1050" w:firstLineChars="500"/>
                          <w:rPr>
                            <w:rFonts w:ascii="宋体" w:hAnsi="宋体" w:cs="宋体"/>
                          </w:rPr>
                        </w:pPr>
                      </w:p>
                      <w:p w14:paraId="6338FC3E">
                        <w:pPr>
                          <w:jc w:val="center"/>
                          <w:rPr>
                            <w:rFonts w:ascii="宋体" w:hAnsi="宋体" w:cs="宋体"/>
                          </w:rPr>
                        </w:pPr>
                        <w:r>
                          <w:rPr>
                            <w:rFonts w:hint="eastAsia" w:ascii="宋体" w:hAnsi="宋体" w:cs="宋体"/>
                          </w:rPr>
                          <w:t>（正面）</w:t>
                        </w:r>
                      </w:p>
                      <w:p w14:paraId="4BAA1C1C"/>
                    </w:txbxContent>
                  </v:textbox>
                </v:rect>
                <v:rect id="_x0000_s1026" o:spid="_x0000_s1026" o:spt="1" style="position:absolute;left:4457;top:0;height:2343;width:4337;"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03F4AB7D">
                        <w:pPr>
                          <w:jc w:val="center"/>
                          <w:rPr>
                            <w:rFonts w:ascii="宋体" w:hAnsi="宋体" w:cs="宋体"/>
                          </w:rPr>
                        </w:pPr>
                        <w:r>
                          <w:rPr>
                            <w:rFonts w:hint="eastAsia" w:ascii="宋体" w:hAnsi="宋体" w:cs="宋体"/>
                          </w:rPr>
                          <w:t>被授权人（授权代表）</w:t>
                        </w:r>
                      </w:p>
                      <w:p w14:paraId="5A275946">
                        <w:pPr>
                          <w:jc w:val="center"/>
                          <w:rPr>
                            <w:rFonts w:ascii="宋体" w:hAnsi="宋体" w:cs="宋体"/>
                          </w:rPr>
                        </w:pPr>
                        <w:r>
                          <w:rPr>
                            <w:rFonts w:hint="eastAsia" w:ascii="宋体" w:hAnsi="宋体" w:cs="宋体"/>
                          </w:rPr>
                          <w:t>居民身份证复印件粘贴处</w:t>
                        </w:r>
                      </w:p>
                      <w:p w14:paraId="2487632D">
                        <w:pPr>
                          <w:ind w:firstLine="1050" w:firstLineChars="500"/>
                          <w:rPr>
                            <w:rFonts w:ascii="宋体" w:hAnsi="宋体" w:cs="宋体"/>
                          </w:rPr>
                        </w:pPr>
                      </w:p>
                      <w:p w14:paraId="13D6D047">
                        <w:pPr>
                          <w:jc w:val="center"/>
                          <w:rPr>
                            <w:rFonts w:ascii="宋体" w:hAnsi="宋体" w:cs="宋体"/>
                          </w:rPr>
                        </w:pPr>
                        <w:r>
                          <w:rPr>
                            <w:rFonts w:hint="eastAsia" w:ascii="宋体" w:hAnsi="宋体" w:cs="宋体"/>
                          </w:rPr>
                          <w:t>（反面）</w:t>
                        </w:r>
                      </w:p>
                      <w:p w14:paraId="03A23E71"/>
                    </w:txbxContent>
                  </v:textbox>
                </v:rect>
              </v:group>
            </w:pict>
          </mc:Fallback>
        </mc:AlternateContent>
      </w:r>
      <w:r>
        <w:rPr>
          <w:rFonts w:hint="eastAsia" w:ascii="宋体" w:hAnsi="宋体" w:cs="宋体"/>
          <w:color w:val="auto"/>
          <w:highlight w:val="none"/>
        </w:rPr>
        <mc:AlternateContent>
          <mc:Choice Requires="wpg">
            <w:drawing>
              <wp:anchor distT="0" distB="0" distL="114300" distR="114300" simplePos="0" relativeHeight="251663360" behindDoc="0" locked="0" layoutInCell="1" allowOverlap="1">
                <wp:simplePos x="0" y="0"/>
                <wp:positionH relativeFrom="column">
                  <wp:posOffset>1352550</wp:posOffset>
                </wp:positionH>
                <wp:positionV relativeFrom="paragraph">
                  <wp:posOffset>7233920</wp:posOffset>
                </wp:positionV>
                <wp:extent cx="5584190" cy="1487805"/>
                <wp:effectExtent l="4445" t="4445" r="12065" b="12700"/>
                <wp:wrapNone/>
                <wp:docPr id="16" name="组合 16"/>
                <wp:cNvGraphicFramePr/>
                <a:graphic xmlns:a="http://schemas.openxmlformats.org/drawingml/2006/main">
                  <a:graphicData uri="http://schemas.microsoft.com/office/word/2010/wordprocessingGroup">
                    <wpg:wgp>
                      <wpg:cNvGrpSpPr/>
                      <wpg:grpSpPr>
                        <a:xfrm>
                          <a:off x="0" y="0"/>
                          <a:ext cx="5584190" cy="1487805"/>
                          <a:chOff x="0" y="0"/>
                          <a:chExt cx="8794" cy="2343"/>
                        </a:xfrm>
                      </wpg:grpSpPr>
                      <wps:wsp>
                        <wps:cNvPr id="14" name="矩形 14"/>
                        <wps:cNvSpPr/>
                        <wps:spPr>
                          <a:xfrm>
                            <a:off x="0"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9C4E3F9">
                              <w:pPr>
                                <w:jc w:val="center"/>
                                <w:rPr>
                                  <w:rFonts w:ascii="宋体" w:hAnsi="宋体" w:cs="宋体"/>
                                </w:rPr>
                              </w:pPr>
                              <w:r>
                                <w:rPr>
                                  <w:rFonts w:hint="eastAsia" w:ascii="宋体" w:hAnsi="宋体" w:cs="宋体"/>
                                </w:rPr>
                                <w:t>被授权人（授权代表）</w:t>
                              </w:r>
                            </w:p>
                            <w:p w14:paraId="0BD8EBEF">
                              <w:pPr>
                                <w:jc w:val="center"/>
                                <w:rPr>
                                  <w:rFonts w:ascii="宋体" w:hAnsi="宋体" w:cs="宋体"/>
                                </w:rPr>
                              </w:pPr>
                              <w:r>
                                <w:rPr>
                                  <w:rFonts w:hint="eastAsia" w:ascii="宋体" w:hAnsi="宋体" w:cs="宋体"/>
                                </w:rPr>
                                <w:t>居民身份证复印件粘贴处</w:t>
                              </w:r>
                            </w:p>
                            <w:p w14:paraId="4D420568">
                              <w:pPr>
                                <w:ind w:firstLine="1050" w:firstLineChars="500"/>
                                <w:rPr>
                                  <w:rFonts w:ascii="宋体" w:hAnsi="宋体" w:cs="宋体"/>
                                </w:rPr>
                              </w:pPr>
                            </w:p>
                            <w:p w14:paraId="1750A566">
                              <w:pPr>
                                <w:jc w:val="center"/>
                                <w:rPr>
                                  <w:rFonts w:ascii="宋体" w:hAnsi="宋体" w:cs="宋体"/>
                                </w:rPr>
                              </w:pPr>
                              <w:r>
                                <w:rPr>
                                  <w:rFonts w:hint="eastAsia" w:ascii="宋体" w:hAnsi="宋体" w:cs="宋体"/>
                                </w:rPr>
                                <w:t>（正面）</w:t>
                              </w:r>
                            </w:p>
                            <w:p w14:paraId="59EE26A2"/>
                          </w:txbxContent>
                        </wps:txbx>
                        <wps:bodyPr upright="1"/>
                      </wps:wsp>
                      <wps:wsp>
                        <wps:cNvPr id="15" name="矩形 15"/>
                        <wps:cNvSpPr/>
                        <wps:spPr>
                          <a:xfrm>
                            <a:off x="4457"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2889A9E">
                              <w:pPr>
                                <w:jc w:val="center"/>
                                <w:rPr>
                                  <w:rFonts w:ascii="宋体" w:hAnsi="宋体" w:cs="宋体"/>
                                </w:rPr>
                              </w:pPr>
                              <w:r>
                                <w:rPr>
                                  <w:rFonts w:hint="eastAsia" w:ascii="宋体" w:hAnsi="宋体" w:cs="宋体"/>
                                </w:rPr>
                                <w:t>被授权人（授权代表）</w:t>
                              </w:r>
                            </w:p>
                            <w:p w14:paraId="478B4A30">
                              <w:pPr>
                                <w:jc w:val="center"/>
                                <w:rPr>
                                  <w:rFonts w:ascii="宋体" w:hAnsi="宋体" w:cs="宋体"/>
                                </w:rPr>
                              </w:pPr>
                              <w:r>
                                <w:rPr>
                                  <w:rFonts w:hint="eastAsia" w:ascii="宋体" w:hAnsi="宋体" w:cs="宋体"/>
                                </w:rPr>
                                <w:t>居民身份证复印件粘贴处</w:t>
                              </w:r>
                            </w:p>
                            <w:p w14:paraId="367D9DF2">
                              <w:pPr>
                                <w:ind w:firstLine="1050" w:firstLineChars="500"/>
                                <w:rPr>
                                  <w:rFonts w:ascii="宋体" w:hAnsi="宋体" w:cs="宋体"/>
                                </w:rPr>
                              </w:pPr>
                            </w:p>
                            <w:p w14:paraId="576C6277">
                              <w:pPr>
                                <w:jc w:val="center"/>
                                <w:rPr>
                                  <w:rFonts w:ascii="宋体" w:hAnsi="宋体" w:cs="宋体"/>
                                </w:rPr>
                              </w:pPr>
                              <w:r>
                                <w:rPr>
                                  <w:rFonts w:hint="eastAsia" w:ascii="宋体" w:hAnsi="宋体" w:cs="宋体"/>
                                </w:rPr>
                                <w:t>（反面）</w:t>
                              </w:r>
                            </w:p>
                            <w:p w14:paraId="2AC0E192"/>
                          </w:txbxContent>
                        </wps:txbx>
                        <wps:bodyPr upright="1"/>
                      </wps:wsp>
                    </wpg:wgp>
                  </a:graphicData>
                </a:graphic>
              </wp:anchor>
            </w:drawing>
          </mc:Choice>
          <mc:Fallback>
            <w:pict>
              <v:group id="_x0000_s1026" o:spid="_x0000_s1026" o:spt="203" style="position:absolute;left:0pt;margin-left:106.5pt;margin-top:569.6pt;height:117.15pt;width:439.7pt;z-index:251663360;mso-width-relative:page;mso-height-relative:page;" coordsize="8794,2343" o:gfxdata="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tlyJ33QAAAA4B&#10;AAAPAAAAAAAAAAEAIAAAACIAAABkcnMvZG93bnJldi54bWxQSwECFAAUAAAACACHTuJA0aO2z4gC&#10;AACeBwAADgAAAAAAAAABACAAAAAsAQAAZHJzL2Uyb0RvYy54bWxQSwUGAAAAAAYABgBZAQAAJgYA&#10;AAAA&#10;">
                <o:lock v:ext="edit" aspectratio="f"/>
                <v:rect id="_x0000_s1026" o:spid="_x0000_s1026" o:spt="1" style="position:absolute;left:0;top:0;height:2343;width:4337;" fillcolor="#FFFFFF" filled="t" stroked="t" coordsize="21600,21600" o:gfxdata="UEsDBAoAAAAAAIdO4kAAAAAAAAAAAAAAAAAEAAAAZHJzL1BLAwQUAAAACACHTuJA+qcYkroAAADb&#10;AAAADwAAAGRycy9kb3ducmV2LnhtbEVPPW/CMBDdK/EfrENiKza0Qh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6pxiS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9C4E3F9">
                        <w:pPr>
                          <w:jc w:val="center"/>
                          <w:rPr>
                            <w:rFonts w:ascii="宋体" w:hAnsi="宋体" w:cs="宋体"/>
                          </w:rPr>
                        </w:pPr>
                        <w:r>
                          <w:rPr>
                            <w:rFonts w:hint="eastAsia" w:ascii="宋体" w:hAnsi="宋体" w:cs="宋体"/>
                          </w:rPr>
                          <w:t>被授权人（授权代表）</w:t>
                        </w:r>
                      </w:p>
                      <w:p w14:paraId="0BD8EBEF">
                        <w:pPr>
                          <w:jc w:val="center"/>
                          <w:rPr>
                            <w:rFonts w:ascii="宋体" w:hAnsi="宋体" w:cs="宋体"/>
                          </w:rPr>
                        </w:pPr>
                        <w:r>
                          <w:rPr>
                            <w:rFonts w:hint="eastAsia" w:ascii="宋体" w:hAnsi="宋体" w:cs="宋体"/>
                          </w:rPr>
                          <w:t>居民身份证复印件粘贴处</w:t>
                        </w:r>
                      </w:p>
                      <w:p w14:paraId="4D420568">
                        <w:pPr>
                          <w:ind w:firstLine="1050" w:firstLineChars="500"/>
                          <w:rPr>
                            <w:rFonts w:ascii="宋体" w:hAnsi="宋体" w:cs="宋体"/>
                          </w:rPr>
                        </w:pPr>
                      </w:p>
                      <w:p w14:paraId="1750A566">
                        <w:pPr>
                          <w:jc w:val="center"/>
                          <w:rPr>
                            <w:rFonts w:ascii="宋体" w:hAnsi="宋体" w:cs="宋体"/>
                          </w:rPr>
                        </w:pPr>
                        <w:r>
                          <w:rPr>
                            <w:rFonts w:hint="eastAsia" w:ascii="宋体" w:hAnsi="宋体" w:cs="宋体"/>
                          </w:rPr>
                          <w:t>（正面）</w:t>
                        </w:r>
                      </w:p>
                      <w:p w14:paraId="59EE26A2"/>
                    </w:txbxContent>
                  </v:textbox>
                </v:rect>
                <v:rect id="_x0000_s1026" o:spid="_x0000_s1026" o:spt="1" style="position:absolute;left:4457;top:0;height:2343;width:4337;"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02889A9E">
                        <w:pPr>
                          <w:jc w:val="center"/>
                          <w:rPr>
                            <w:rFonts w:ascii="宋体" w:hAnsi="宋体" w:cs="宋体"/>
                          </w:rPr>
                        </w:pPr>
                        <w:r>
                          <w:rPr>
                            <w:rFonts w:hint="eastAsia" w:ascii="宋体" w:hAnsi="宋体" w:cs="宋体"/>
                          </w:rPr>
                          <w:t>被授权人（授权代表）</w:t>
                        </w:r>
                      </w:p>
                      <w:p w14:paraId="478B4A30">
                        <w:pPr>
                          <w:jc w:val="center"/>
                          <w:rPr>
                            <w:rFonts w:ascii="宋体" w:hAnsi="宋体" w:cs="宋体"/>
                          </w:rPr>
                        </w:pPr>
                        <w:r>
                          <w:rPr>
                            <w:rFonts w:hint="eastAsia" w:ascii="宋体" w:hAnsi="宋体" w:cs="宋体"/>
                          </w:rPr>
                          <w:t>居民身份证复印件粘贴处</w:t>
                        </w:r>
                      </w:p>
                      <w:p w14:paraId="367D9DF2">
                        <w:pPr>
                          <w:ind w:firstLine="1050" w:firstLineChars="500"/>
                          <w:rPr>
                            <w:rFonts w:ascii="宋体" w:hAnsi="宋体" w:cs="宋体"/>
                          </w:rPr>
                        </w:pPr>
                      </w:p>
                      <w:p w14:paraId="576C6277">
                        <w:pPr>
                          <w:jc w:val="center"/>
                          <w:rPr>
                            <w:rFonts w:ascii="宋体" w:hAnsi="宋体" w:cs="宋体"/>
                          </w:rPr>
                        </w:pPr>
                        <w:r>
                          <w:rPr>
                            <w:rFonts w:hint="eastAsia" w:ascii="宋体" w:hAnsi="宋体" w:cs="宋体"/>
                          </w:rPr>
                          <w:t>（反面）</w:t>
                        </w:r>
                      </w:p>
                      <w:p w14:paraId="2AC0E192"/>
                    </w:txbxContent>
                  </v:textbox>
                </v:rect>
              </v:group>
            </w:pict>
          </mc:Fallback>
        </mc:AlternateContent>
      </w:r>
      <w:r>
        <w:rPr>
          <w:rFonts w:hint="eastAsia" w:ascii="宋体" w:hAnsi="宋体" w:cs="宋体"/>
          <w:color w:val="auto"/>
          <w:highlight w:val="none"/>
        </w:rPr>
        <mc:AlternateContent>
          <mc:Choice Requires="wpg">
            <w:drawing>
              <wp:anchor distT="0" distB="0" distL="114300" distR="114300" simplePos="0" relativeHeight="251662336" behindDoc="0" locked="0" layoutInCell="1" allowOverlap="1">
                <wp:simplePos x="0" y="0"/>
                <wp:positionH relativeFrom="column">
                  <wp:posOffset>1200150</wp:posOffset>
                </wp:positionH>
                <wp:positionV relativeFrom="paragraph">
                  <wp:posOffset>7081520</wp:posOffset>
                </wp:positionV>
                <wp:extent cx="5584190" cy="1487805"/>
                <wp:effectExtent l="4445" t="4445" r="12065" b="12700"/>
                <wp:wrapNone/>
                <wp:docPr id="13" name="组合 13"/>
                <wp:cNvGraphicFramePr/>
                <a:graphic xmlns:a="http://schemas.openxmlformats.org/drawingml/2006/main">
                  <a:graphicData uri="http://schemas.microsoft.com/office/word/2010/wordprocessingGroup">
                    <wpg:wgp>
                      <wpg:cNvGrpSpPr/>
                      <wpg:grpSpPr>
                        <a:xfrm>
                          <a:off x="0" y="0"/>
                          <a:ext cx="5584190" cy="1487805"/>
                          <a:chOff x="0" y="0"/>
                          <a:chExt cx="8794" cy="2343"/>
                        </a:xfrm>
                      </wpg:grpSpPr>
                      <wps:wsp>
                        <wps:cNvPr id="11" name="矩形 11"/>
                        <wps:cNvSpPr/>
                        <wps:spPr>
                          <a:xfrm>
                            <a:off x="0"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A080AC1">
                              <w:pPr>
                                <w:jc w:val="center"/>
                                <w:rPr>
                                  <w:rFonts w:ascii="宋体" w:hAnsi="宋体" w:cs="宋体"/>
                                </w:rPr>
                              </w:pPr>
                              <w:r>
                                <w:rPr>
                                  <w:rFonts w:hint="eastAsia" w:ascii="宋体" w:hAnsi="宋体" w:cs="宋体"/>
                                </w:rPr>
                                <w:t>被授权人（授权代表）</w:t>
                              </w:r>
                            </w:p>
                            <w:p w14:paraId="44A31B01">
                              <w:pPr>
                                <w:jc w:val="center"/>
                                <w:rPr>
                                  <w:rFonts w:ascii="宋体" w:hAnsi="宋体" w:cs="宋体"/>
                                </w:rPr>
                              </w:pPr>
                              <w:r>
                                <w:rPr>
                                  <w:rFonts w:hint="eastAsia" w:ascii="宋体" w:hAnsi="宋体" w:cs="宋体"/>
                                </w:rPr>
                                <w:t>居民身份证复印件粘贴处</w:t>
                              </w:r>
                            </w:p>
                            <w:p w14:paraId="23D5FE7B">
                              <w:pPr>
                                <w:ind w:firstLine="1050" w:firstLineChars="500"/>
                                <w:rPr>
                                  <w:rFonts w:ascii="宋体" w:hAnsi="宋体" w:cs="宋体"/>
                                </w:rPr>
                              </w:pPr>
                            </w:p>
                            <w:p w14:paraId="01274D3A">
                              <w:pPr>
                                <w:jc w:val="center"/>
                                <w:rPr>
                                  <w:rFonts w:ascii="宋体" w:hAnsi="宋体" w:cs="宋体"/>
                                </w:rPr>
                              </w:pPr>
                              <w:r>
                                <w:rPr>
                                  <w:rFonts w:hint="eastAsia" w:ascii="宋体" w:hAnsi="宋体" w:cs="宋体"/>
                                </w:rPr>
                                <w:t>（正面）</w:t>
                              </w:r>
                            </w:p>
                            <w:p w14:paraId="3D27A619"/>
                          </w:txbxContent>
                        </wps:txbx>
                        <wps:bodyPr upright="1"/>
                      </wps:wsp>
                      <wps:wsp>
                        <wps:cNvPr id="12" name="矩形 12"/>
                        <wps:cNvSpPr/>
                        <wps:spPr>
                          <a:xfrm>
                            <a:off x="4457"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1A74570">
                              <w:pPr>
                                <w:jc w:val="center"/>
                                <w:rPr>
                                  <w:rFonts w:ascii="宋体" w:hAnsi="宋体" w:cs="宋体"/>
                                </w:rPr>
                              </w:pPr>
                              <w:r>
                                <w:rPr>
                                  <w:rFonts w:hint="eastAsia" w:ascii="宋体" w:hAnsi="宋体" w:cs="宋体"/>
                                </w:rPr>
                                <w:t>被授权人（授权代表）</w:t>
                              </w:r>
                            </w:p>
                            <w:p w14:paraId="3F213044">
                              <w:pPr>
                                <w:jc w:val="center"/>
                                <w:rPr>
                                  <w:rFonts w:ascii="宋体" w:hAnsi="宋体" w:cs="宋体"/>
                                </w:rPr>
                              </w:pPr>
                              <w:r>
                                <w:rPr>
                                  <w:rFonts w:hint="eastAsia" w:ascii="宋体" w:hAnsi="宋体" w:cs="宋体"/>
                                </w:rPr>
                                <w:t>居民身份证复印件粘贴处</w:t>
                              </w:r>
                            </w:p>
                            <w:p w14:paraId="193C4C97">
                              <w:pPr>
                                <w:ind w:firstLine="1050" w:firstLineChars="500"/>
                                <w:rPr>
                                  <w:rFonts w:ascii="宋体" w:hAnsi="宋体" w:cs="宋体"/>
                                </w:rPr>
                              </w:pPr>
                            </w:p>
                            <w:p w14:paraId="1B84ABD8">
                              <w:pPr>
                                <w:jc w:val="center"/>
                                <w:rPr>
                                  <w:rFonts w:ascii="宋体" w:hAnsi="宋体" w:cs="宋体"/>
                                </w:rPr>
                              </w:pPr>
                              <w:r>
                                <w:rPr>
                                  <w:rFonts w:hint="eastAsia" w:ascii="宋体" w:hAnsi="宋体" w:cs="宋体"/>
                                </w:rPr>
                                <w:t>（反面）</w:t>
                              </w:r>
                            </w:p>
                            <w:p w14:paraId="5E89E2BB"/>
                          </w:txbxContent>
                        </wps:txbx>
                        <wps:bodyPr upright="1"/>
                      </wps:wsp>
                    </wpg:wgp>
                  </a:graphicData>
                </a:graphic>
              </wp:anchor>
            </w:drawing>
          </mc:Choice>
          <mc:Fallback>
            <w:pict>
              <v:group id="_x0000_s1026" o:spid="_x0000_s1026" o:spt="203" style="position:absolute;left:0pt;margin-left:94.5pt;margin-top:557.6pt;height:117.15pt;width:439.7pt;z-index:251662336;mso-width-relative:page;mso-height-relative:page;" coordsize="8794,2343" o:gfxdata="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Jzy5b3AAAAA4B&#10;AAAPAAAAAAAAAAEAIAAAACIAAABkcnMvZG93bnJldi54bWxQSwECFAAUAAAACACHTuJA2kiROIkC&#10;AACeBwAADgAAAAAAAAABACAAAAArAQAAZHJzL2Uyb0RvYy54bWxQSwUGAAAAAAYABgBZAQAAJgYA&#10;AAAA&#10;">
                <o:lock v:ext="edit" aspectratio="f"/>
                <v:rect id="_x0000_s1026" o:spid="_x0000_s1026" o:spt="1" style="position:absolute;left:0;top:0;height:2343;width:4337;" fillcolor="#FFFFFF" filled="t" stroked="t" coordsize="21600,21600" o:gfxdata="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tC7C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A080AC1">
                        <w:pPr>
                          <w:jc w:val="center"/>
                          <w:rPr>
                            <w:rFonts w:ascii="宋体" w:hAnsi="宋体" w:cs="宋体"/>
                          </w:rPr>
                        </w:pPr>
                        <w:r>
                          <w:rPr>
                            <w:rFonts w:hint="eastAsia" w:ascii="宋体" w:hAnsi="宋体" w:cs="宋体"/>
                          </w:rPr>
                          <w:t>被授权人（授权代表）</w:t>
                        </w:r>
                      </w:p>
                      <w:p w14:paraId="44A31B01">
                        <w:pPr>
                          <w:jc w:val="center"/>
                          <w:rPr>
                            <w:rFonts w:ascii="宋体" w:hAnsi="宋体" w:cs="宋体"/>
                          </w:rPr>
                        </w:pPr>
                        <w:r>
                          <w:rPr>
                            <w:rFonts w:hint="eastAsia" w:ascii="宋体" w:hAnsi="宋体" w:cs="宋体"/>
                          </w:rPr>
                          <w:t>居民身份证复印件粘贴处</w:t>
                        </w:r>
                      </w:p>
                      <w:p w14:paraId="23D5FE7B">
                        <w:pPr>
                          <w:ind w:firstLine="1050" w:firstLineChars="500"/>
                          <w:rPr>
                            <w:rFonts w:ascii="宋体" w:hAnsi="宋体" w:cs="宋体"/>
                          </w:rPr>
                        </w:pPr>
                      </w:p>
                      <w:p w14:paraId="01274D3A">
                        <w:pPr>
                          <w:jc w:val="center"/>
                          <w:rPr>
                            <w:rFonts w:ascii="宋体" w:hAnsi="宋体" w:cs="宋体"/>
                          </w:rPr>
                        </w:pPr>
                        <w:r>
                          <w:rPr>
                            <w:rFonts w:hint="eastAsia" w:ascii="宋体" w:hAnsi="宋体" w:cs="宋体"/>
                          </w:rPr>
                          <w:t>（正面）</w:t>
                        </w:r>
                      </w:p>
                      <w:p w14:paraId="3D27A619"/>
                    </w:txbxContent>
                  </v:textbox>
                </v:rect>
                <v:rect id="_x0000_s1026" o:spid="_x0000_s1026" o:spt="1" style="position:absolute;left:4457;top:0;height:2343;width:4337;" fillcolor="#FFFFFF" filled="t" stroked="t" coordsize="21600,21600" o:gfxdata="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gIlf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31A74570">
                        <w:pPr>
                          <w:jc w:val="center"/>
                          <w:rPr>
                            <w:rFonts w:ascii="宋体" w:hAnsi="宋体" w:cs="宋体"/>
                          </w:rPr>
                        </w:pPr>
                        <w:r>
                          <w:rPr>
                            <w:rFonts w:hint="eastAsia" w:ascii="宋体" w:hAnsi="宋体" w:cs="宋体"/>
                          </w:rPr>
                          <w:t>被授权人（授权代表）</w:t>
                        </w:r>
                      </w:p>
                      <w:p w14:paraId="3F213044">
                        <w:pPr>
                          <w:jc w:val="center"/>
                          <w:rPr>
                            <w:rFonts w:ascii="宋体" w:hAnsi="宋体" w:cs="宋体"/>
                          </w:rPr>
                        </w:pPr>
                        <w:r>
                          <w:rPr>
                            <w:rFonts w:hint="eastAsia" w:ascii="宋体" w:hAnsi="宋体" w:cs="宋体"/>
                          </w:rPr>
                          <w:t>居民身份证复印件粘贴处</w:t>
                        </w:r>
                      </w:p>
                      <w:p w14:paraId="193C4C97">
                        <w:pPr>
                          <w:ind w:firstLine="1050" w:firstLineChars="500"/>
                          <w:rPr>
                            <w:rFonts w:ascii="宋体" w:hAnsi="宋体" w:cs="宋体"/>
                          </w:rPr>
                        </w:pPr>
                      </w:p>
                      <w:p w14:paraId="1B84ABD8">
                        <w:pPr>
                          <w:jc w:val="center"/>
                          <w:rPr>
                            <w:rFonts w:ascii="宋体" w:hAnsi="宋体" w:cs="宋体"/>
                          </w:rPr>
                        </w:pPr>
                        <w:r>
                          <w:rPr>
                            <w:rFonts w:hint="eastAsia" w:ascii="宋体" w:hAnsi="宋体" w:cs="宋体"/>
                          </w:rPr>
                          <w:t>（反面）</w:t>
                        </w:r>
                      </w:p>
                      <w:p w14:paraId="5E89E2BB"/>
                    </w:txbxContent>
                  </v:textbox>
                </v:rect>
              </v:group>
            </w:pict>
          </mc:Fallback>
        </mc:AlternateContent>
      </w:r>
      <w:r>
        <w:rPr>
          <w:rFonts w:hint="eastAsia" w:ascii="宋体" w:hAnsi="宋体" w:cs="宋体"/>
          <w:color w:val="auto"/>
          <w:highlight w:val="none"/>
        </w:rPr>
        <mc:AlternateContent>
          <mc:Choice Requires="wpg">
            <w:drawing>
              <wp:anchor distT="0" distB="0" distL="114300" distR="114300" simplePos="0" relativeHeight="251661312" behindDoc="0" locked="0" layoutInCell="1" allowOverlap="1">
                <wp:simplePos x="0" y="0"/>
                <wp:positionH relativeFrom="column">
                  <wp:posOffset>1047750</wp:posOffset>
                </wp:positionH>
                <wp:positionV relativeFrom="paragraph">
                  <wp:posOffset>6929120</wp:posOffset>
                </wp:positionV>
                <wp:extent cx="5584190" cy="1487805"/>
                <wp:effectExtent l="4445" t="4445" r="12065" b="12700"/>
                <wp:wrapNone/>
                <wp:docPr id="10" name="组合 10"/>
                <wp:cNvGraphicFramePr/>
                <a:graphic xmlns:a="http://schemas.openxmlformats.org/drawingml/2006/main">
                  <a:graphicData uri="http://schemas.microsoft.com/office/word/2010/wordprocessingGroup">
                    <wpg:wgp>
                      <wpg:cNvGrpSpPr/>
                      <wpg:grpSpPr>
                        <a:xfrm>
                          <a:off x="0" y="0"/>
                          <a:ext cx="5584190" cy="1487805"/>
                          <a:chOff x="0" y="0"/>
                          <a:chExt cx="8794" cy="2343"/>
                        </a:xfrm>
                      </wpg:grpSpPr>
                      <wps:wsp>
                        <wps:cNvPr id="8" name="矩形 8"/>
                        <wps:cNvSpPr/>
                        <wps:spPr>
                          <a:xfrm>
                            <a:off x="0"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84046F">
                              <w:pPr>
                                <w:jc w:val="center"/>
                                <w:rPr>
                                  <w:rFonts w:ascii="宋体" w:hAnsi="宋体" w:cs="宋体"/>
                                </w:rPr>
                              </w:pPr>
                              <w:r>
                                <w:rPr>
                                  <w:rFonts w:hint="eastAsia" w:ascii="宋体" w:hAnsi="宋体" w:cs="宋体"/>
                                </w:rPr>
                                <w:t>被授权人（授权代表）</w:t>
                              </w:r>
                            </w:p>
                            <w:p w14:paraId="403062CD">
                              <w:pPr>
                                <w:jc w:val="center"/>
                                <w:rPr>
                                  <w:rFonts w:ascii="宋体" w:hAnsi="宋体" w:cs="宋体"/>
                                </w:rPr>
                              </w:pPr>
                              <w:r>
                                <w:rPr>
                                  <w:rFonts w:hint="eastAsia" w:ascii="宋体" w:hAnsi="宋体" w:cs="宋体"/>
                                </w:rPr>
                                <w:t>居民身份证复印件粘贴处</w:t>
                              </w:r>
                            </w:p>
                            <w:p w14:paraId="07B67B8A">
                              <w:pPr>
                                <w:ind w:firstLine="1050" w:firstLineChars="500"/>
                                <w:rPr>
                                  <w:rFonts w:ascii="宋体" w:hAnsi="宋体" w:cs="宋体"/>
                                </w:rPr>
                              </w:pPr>
                            </w:p>
                            <w:p w14:paraId="406519C1">
                              <w:pPr>
                                <w:jc w:val="center"/>
                                <w:rPr>
                                  <w:rFonts w:ascii="宋体" w:hAnsi="宋体" w:cs="宋体"/>
                                </w:rPr>
                              </w:pPr>
                              <w:r>
                                <w:rPr>
                                  <w:rFonts w:hint="eastAsia" w:ascii="宋体" w:hAnsi="宋体" w:cs="宋体"/>
                                </w:rPr>
                                <w:t>（正面）</w:t>
                              </w:r>
                            </w:p>
                            <w:p w14:paraId="6051708C"/>
                          </w:txbxContent>
                        </wps:txbx>
                        <wps:bodyPr upright="1"/>
                      </wps:wsp>
                      <wps:wsp>
                        <wps:cNvPr id="9" name="矩形 9"/>
                        <wps:cNvSpPr/>
                        <wps:spPr>
                          <a:xfrm>
                            <a:off x="4457"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5A9910B">
                              <w:pPr>
                                <w:jc w:val="center"/>
                                <w:rPr>
                                  <w:rFonts w:ascii="宋体" w:hAnsi="宋体" w:cs="宋体"/>
                                </w:rPr>
                              </w:pPr>
                              <w:r>
                                <w:rPr>
                                  <w:rFonts w:hint="eastAsia" w:ascii="宋体" w:hAnsi="宋体" w:cs="宋体"/>
                                </w:rPr>
                                <w:t>被授权人（授权代表）</w:t>
                              </w:r>
                            </w:p>
                            <w:p w14:paraId="39E7EB6B">
                              <w:pPr>
                                <w:jc w:val="center"/>
                                <w:rPr>
                                  <w:rFonts w:ascii="宋体" w:hAnsi="宋体" w:cs="宋体"/>
                                </w:rPr>
                              </w:pPr>
                              <w:r>
                                <w:rPr>
                                  <w:rFonts w:hint="eastAsia" w:ascii="宋体" w:hAnsi="宋体" w:cs="宋体"/>
                                </w:rPr>
                                <w:t>居民身份证复印件粘贴处</w:t>
                              </w:r>
                            </w:p>
                            <w:p w14:paraId="2C8EDCE5">
                              <w:pPr>
                                <w:ind w:firstLine="1050" w:firstLineChars="500"/>
                                <w:rPr>
                                  <w:rFonts w:ascii="宋体" w:hAnsi="宋体" w:cs="宋体"/>
                                </w:rPr>
                              </w:pPr>
                            </w:p>
                            <w:p w14:paraId="4AF688AA">
                              <w:pPr>
                                <w:jc w:val="center"/>
                                <w:rPr>
                                  <w:rFonts w:ascii="宋体" w:hAnsi="宋体" w:cs="宋体"/>
                                </w:rPr>
                              </w:pPr>
                              <w:r>
                                <w:rPr>
                                  <w:rFonts w:hint="eastAsia" w:ascii="宋体" w:hAnsi="宋体" w:cs="宋体"/>
                                </w:rPr>
                                <w:t>（反面）</w:t>
                              </w:r>
                            </w:p>
                            <w:p w14:paraId="6343F8CF"/>
                          </w:txbxContent>
                        </wps:txbx>
                        <wps:bodyPr upright="1"/>
                      </wps:wsp>
                    </wpg:wgp>
                  </a:graphicData>
                </a:graphic>
              </wp:anchor>
            </w:drawing>
          </mc:Choice>
          <mc:Fallback>
            <w:pict>
              <v:group id="_x0000_s1026" o:spid="_x0000_s1026" o:spt="203" style="position:absolute;left:0pt;margin-left:82.5pt;margin-top:545.6pt;height:117.15pt;width:439.7pt;z-index:251661312;mso-width-relative:page;mso-height-relative:page;" coordsize="8794,2343" o:gfxdata="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n+HFH3AAAAA4BAAAP&#10;AAAAAAAAAAEAIAAAACIAAABkcnMvZG93bnJldi54bWxQSwECFAAUAAAACACHTuJAvfmqfYYCAACa&#10;BwAADgAAAAAAAAABACAAAAArAQAAZHJzL2Uyb0RvYy54bWxQSwUGAAAAAAYABgBZAQAAIwYAAAAA&#10;">
                <o:lock v:ext="edit" aspectratio="f"/>
                <v:rect id="_x0000_s1026" o:spid="_x0000_s1026" o:spt="1" style="position:absolute;left:0;top:0;height:2343;width:4337;"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6884046F">
                        <w:pPr>
                          <w:jc w:val="center"/>
                          <w:rPr>
                            <w:rFonts w:ascii="宋体" w:hAnsi="宋体" w:cs="宋体"/>
                          </w:rPr>
                        </w:pPr>
                        <w:r>
                          <w:rPr>
                            <w:rFonts w:hint="eastAsia" w:ascii="宋体" w:hAnsi="宋体" w:cs="宋体"/>
                          </w:rPr>
                          <w:t>被授权人（授权代表）</w:t>
                        </w:r>
                      </w:p>
                      <w:p w14:paraId="403062CD">
                        <w:pPr>
                          <w:jc w:val="center"/>
                          <w:rPr>
                            <w:rFonts w:ascii="宋体" w:hAnsi="宋体" w:cs="宋体"/>
                          </w:rPr>
                        </w:pPr>
                        <w:r>
                          <w:rPr>
                            <w:rFonts w:hint="eastAsia" w:ascii="宋体" w:hAnsi="宋体" w:cs="宋体"/>
                          </w:rPr>
                          <w:t>居民身份证复印件粘贴处</w:t>
                        </w:r>
                      </w:p>
                      <w:p w14:paraId="07B67B8A">
                        <w:pPr>
                          <w:ind w:firstLine="1050" w:firstLineChars="500"/>
                          <w:rPr>
                            <w:rFonts w:ascii="宋体" w:hAnsi="宋体" w:cs="宋体"/>
                          </w:rPr>
                        </w:pPr>
                      </w:p>
                      <w:p w14:paraId="406519C1">
                        <w:pPr>
                          <w:jc w:val="center"/>
                          <w:rPr>
                            <w:rFonts w:ascii="宋体" w:hAnsi="宋体" w:cs="宋体"/>
                          </w:rPr>
                        </w:pPr>
                        <w:r>
                          <w:rPr>
                            <w:rFonts w:hint="eastAsia" w:ascii="宋体" w:hAnsi="宋体" w:cs="宋体"/>
                          </w:rPr>
                          <w:t>（正面）</w:t>
                        </w:r>
                      </w:p>
                      <w:p w14:paraId="6051708C"/>
                    </w:txbxContent>
                  </v:textbox>
                </v:rect>
                <v:rect id="_x0000_s1026" o:spid="_x0000_s1026" o:spt="1" style="position:absolute;left:4457;top:0;height:2343;width:4337;"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55A9910B">
                        <w:pPr>
                          <w:jc w:val="center"/>
                          <w:rPr>
                            <w:rFonts w:ascii="宋体" w:hAnsi="宋体" w:cs="宋体"/>
                          </w:rPr>
                        </w:pPr>
                        <w:r>
                          <w:rPr>
                            <w:rFonts w:hint="eastAsia" w:ascii="宋体" w:hAnsi="宋体" w:cs="宋体"/>
                          </w:rPr>
                          <w:t>被授权人（授权代表）</w:t>
                        </w:r>
                      </w:p>
                      <w:p w14:paraId="39E7EB6B">
                        <w:pPr>
                          <w:jc w:val="center"/>
                          <w:rPr>
                            <w:rFonts w:ascii="宋体" w:hAnsi="宋体" w:cs="宋体"/>
                          </w:rPr>
                        </w:pPr>
                        <w:r>
                          <w:rPr>
                            <w:rFonts w:hint="eastAsia" w:ascii="宋体" w:hAnsi="宋体" w:cs="宋体"/>
                          </w:rPr>
                          <w:t>居民身份证复印件粘贴处</w:t>
                        </w:r>
                      </w:p>
                      <w:p w14:paraId="2C8EDCE5">
                        <w:pPr>
                          <w:ind w:firstLine="1050" w:firstLineChars="500"/>
                          <w:rPr>
                            <w:rFonts w:ascii="宋体" w:hAnsi="宋体" w:cs="宋体"/>
                          </w:rPr>
                        </w:pPr>
                      </w:p>
                      <w:p w14:paraId="4AF688AA">
                        <w:pPr>
                          <w:jc w:val="center"/>
                          <w:rPr>
                            <w:rFonts w:ascii="宋体" w:hAnsi="宋体" w:cs="宋体"/>
                          </w:rPr>
                        </w:pPr>
                        <w:r>
                          <w:rPr>
                            <w:rFonts w:hint="eastAsia" w:ascii="宋体" w:hAnsi="宋体" w:cs="宋体"/>
                          </w:rPr>
                          <w:t>（反面）</w:t>
                        </w:r>
                      </w:p>
                      <w:p w14:paraId="6343F8CF"/>
                    </w:txbxContent>
                  </v:textbox>
                </v:rect>
              </v:group>
            </w:pict>
          </mc:Fallback>
        </mc:AlternateContent>
      </w:r>
      <w:r>
        <w:rPr>
          <w:rFonts w:hint="eastAsia" w:ascii="宋体" w:hAnsi="宋体" w:cs="宋体"/>
          <w:color w:val="auto"/>
          <w:highlight w:val="none"/>
        </w:rPr>
        <mc:AlternateContent>
          <mc:Choice Requires="wpg">
            <w:drawing>
              <wp:anchor distT="0" distB="0" distL="114300" distR="114300" simplePos="0" relativeHeight="251660288" behindDoc="0" locked="0" layoutInCell="1" allowOverlap="1">
                <wp:simplePos x="0" y="0"/>
                <wp:positionH relativeFrom="column">
                  <wp:posOffset>895350</wp:posOffset>
                </wp:positionH>
                <wp:positionV relativeFrom="paragraph">
                  <wp:posOffset>6776720</wp:posOffset>
                </wp:positionV>
                <wp:extent cx="5584190" cy="1487805"/>
                <wp:effectExtent l="4445" t="4445" r="12065" b="12700"/>
                <wp:wrapNone/>
                <wp:docPr id="7" name="组合 7"/>
                <wp:cNvGraphicFramePr/>
                <a:graphic xmlns:a="http://schemas.openxmlformats.org/drawingml/2006/main">
                  <a:graphicData uri="http://schemas.microsoft.com/office/word/2010/wordprocessingGroup">
                    <wpg:wgp>
                      <wpg:cNvGrpSpPr/>
                      <wpg:grpSpPr>
                        <a:xfrm>
                          <a:off x="0" y="0"/>
                          <a:ext cx="5584190" cy="1487805"/>
                          <a:chOff x="0" y="0"/>
                          <a:chExt cx="8794" cy="2343"/>
                        </a:xfrm>
                      </wpg:grpSpPr>
                      <wps:wsp>
                        <wps:cNvPr id="5" name="矩形 5"/>
                        <wps:cNvSpPr/>
                        <wps:spPr>
                          <a:xfrm>
                            <a:off x="0"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86D7736">
                              <w:pPr>
                                <w:jc w:val="center"/>
                                <w:rPr>
                                  <w:rFonts w:ascii="宋体" w:hAnsi="宋体" w:cs="宋体"/>
                                </w:rPr>
                              </w:pPr>
                              <w:r>
                                <w:rPr>
                                  <w:rFonts w:hint="eastAsia" w:ascii="宋体" w:hAnsi="宋体" w:cs="宋体"/>
                                </w:rPr>
                                <w:t>被授权人（授权代表）</w:t>
                              </w:r>
                            </w:p>
                            <w:p w14:paraId="59718EB4">
                              <w:pPr>
                                <w:jc w:val="center"/>
                                <w:rPr>
                                  <w:rFonts w:ascii="宋体" w:hAnsi="宋体" w:cs="宋体"/>
                                </w:rPr>
                              </w:pPr>
                              <w:r>
                                <w:rPr>
                                  <w:rFonts w:hint="eastAsia" w:ascii="宋体" w:hAnsi="宋体" w:cs="宋体"/>
                                </w:rPr>
                                <w:t>居民身份证复印件粘贴处</w:t>
                              </w:r>
                            </w:p>
                            <w:p w14:paraId="71CA8D3A">
                              <w:pPr>
                                <w:ind w:firstLine="1050" w:firstLineChars="500"/>
                                <w:rPr>
                                  <w:rFonts w:ascii="宋体" w:hAnsi="宋体" w:cs="宋体"/>
                                </w:rPr>
                              </w:pPr>
                            </w:p>
                            <w:p w14:paraId="4F3CB532">
                              <w:pPr>
                                <w:jc w:val="center"/>
                                <w:rPr>
                                  <w:rFonts w:ascii="宋体" w:hAnsi="宋体" w:cs="宋体"/>
                                </w:rPr>
                              </w:pPr>
                              <w:r>
                                <w:rPr>
                                  <w:rFonts w:hint="eastAsia" w:ascii="宋体" w:hAnsi="宋体" w:cs="宋体"/>
                                </w:rPr>
                                <w:t>（正面）</w:t>
                              </w:r>
                            </w:p>
                            <w:p w14:paraId="457DB3AD"/>
                          </w:txbxContent>
                        </wps:txbx>
                        <wps:bodyPr upright="1"/>
                      </wps:wsp>
                      <wps:wsp>
                        <wps:cNvPr id="6" name="矩形 6"/>
                        <wps:cNvSpPr/>
                        <wps:spPr>
                          <a:xfrm>
                            <a:off x="4457" y="0"/>
                            <a:ext cx="4337" cy="2343"/>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E5ECFA">
                              <w:pPr>
                                <w:jc w:val="center"/>
                                <w:rPr>
                                  <w:rFonts w:ascii="宋体" w:hAnsi="宋体" w:cs="宋体"/>
                                </w:rPr>
                              </w:pPr>
                              <w:r>
                                <w:rPr>
                                  <w:rFonts w:hint="eastAsia" w:ascii="宋体" w:hAnsi="宋体" w:cs="宋体"/>
                                </w:rPr>
                                <w:t>被授权人（授权代表）</w:t>
                              </w:r>
                            </w:p>
                            <w:p w14:paraId="7B61CB27">
                              <w:pPr>
                                <w:jc w:val="center"/>
                                <w:rPr>
                                  <w:rFonts w:ascii="宋体" w:hAnsi="宋体" w:cs="宋体"/>
                                </w:rPr>
                              </w:pPr>
                              <w:r>
                                <w:rPr>
                                  <w:rFonts w:hint="eastAsia" w:ascii="宋体" w:hAnsi="宋体" w:cs="宋体"/>
                                </w:rPr>
                                <w:t>居民身份证复印件粘贴处</w:t>
                              </w:r>
                            </w:p>
                            <w:p w14:paraId="4BD8D321">
                              <w:pPr>
                                <w:ind w:firstLine="1050" w:firstLineChars="500"/>
                                <w:rPr>
                                  <w:rFonts w:ascii="宋体" w:hAnsi="宋体" w:cs="宋体"/>
                                </w:rPr>
                              </w:pPr>
                            </w:p>
                            <w:p w14:paraId="6C449C48">
                              <w:pPr>
                                <w:jc w:val="center"/>
                                <w:rPr>
                                  <w:rFonts w:ascii="宋体" w:hAnsi="宋体" w:cs="宋体"/>
                                </w:rPr>
                              </w:pPr>
                              <w:r>
                                <w:rPr>
                                  <w:rFonts w:hint="eastAsia" w:ascii="宋体" w:hAnsi="宋体" w:cs="宋体"/>
                                </w:rPr>
                                <w:t>（反面）</w:t>
                              </w:r>
                            </w:p>
                            <w:p w14:paraId="733E56CD"/>
                          </w:txbxContent>
                        </wps:txbx>
                        <wps:bodyPr upright="1"/>
                      </wps:wsp>
                    </wpg:wgp>
                  </a:graphicData>
                </a:graphic>
              </wp:anchor>
            </w:drawing>
          </mc:Choice>
          <mc:Fallback>
            <w:pict>
              <v:group id="_x0000_s1026" o:spid="_x0000_s1026" o:spt="203" style="position:absolute;left:0pt;margin-left:70.5pt;margin-top:533.6pt;height:117.15pt;width:439.7pt;z-index:251660288;mso-width-relative:page;mso-height-relative:page;" coordsize="8794,2343" o:gfxdata="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N1kJIXcAAAADgEA&#10;AA8AAAAAAAAAAQAgAAAAIgAAAGRycy9kb3ducmV2LnhtbFBLAQIUABQAAAAIAIdO4kDT7ekSiAIA&#10;AJgHAAAOAAAAAAAAAAEAIAAAACsBAABkcnMvZTJvRG9jLnhtbFBLBQYAAAAABgAGAFkBAAAlBgAA&#10;AAA=&#10;">
                <o:lock v:ext="edit" aspectratio="f"/>
                <v:rect id="_x0000_s1026" o:spid="_x0000_s1026" o:spt="1" style="position:absolute;left:0;top:0;height:2343;width:4337;"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386D7736">
                        <w:pPr>
                          <w:jc w:val="center"/>
                          <w:rPr>
                            <w:rFonts w:ascii="宋体" w:hAnsi="宋体" w:cs="宋体"/>
                          </w:rPr>
                        </w:pPr>
                        <w:r>
                          <w:rPr>
                            <w:rFonts w:hint="eastAsia" w:ascii="宋体" w:hAnsi="宋体" w:cs="宋体"/>
                          </w:rPr>
                          <w:t>被授权人（授权代表）</w:t>
                        </w:r>
                      </w:p>
                      <w:p w14:paraId="59718EB4">
                        <w:pPr>
                          <w:jc w:val="center"/>
                          <w:rPr>
                            <w:rFonts w:ascii="宋体" w:hAnsi="宋体" w:cs="宋体"/>
                          </w:rPr>
                        </w:pPr>
                        <w:r>
                          <w:rPr>
                            <w:rFonts w:hint="eastAsia" w:ascii="宋体" w:hAnsi="宋体" w:cs="宋体"/>
                          </w:rPr>
                          <w:t>居民身份证复印件粘贴处</w:t>
                        </w:r>
                      </w:p>
                      <w:p w14:paraId="71CA8D3A">
                        <w:pPr>
                          <w:ind w:firstLine="1050" w:firstLineChars="500"/>
                          <w:rPr>
                            <w:rFonts w:ascii="宋体" w:hAnsi="宋体" w:cs="宋体"/>
                          </w:rPr>
                        </w:pPr>
                      </w:p>
                      <w:p w14:paraId="4F3CB532">
                        <w:pPr>
                          <w:jc w:val="center"/>
                          <w:rPr>
                            <w:rFonts w:ascii="宋体" w:hAnsi="宋体" w:cs="宋体"/>
                          </w:rPr>
                        </w:pPr>
                        <w:r>
                          <w:rPr>
                            <w:rFonts w:hint="eastAsia" w:ascii="宋体" w:hAnsi="宋体" w:cs="宋体"/>
                          </w:rPr>
                          <w:t>（正面）</w:t>
                        </w:r>
                      </w:p>
                      <w:p w14:paraId="457DB3AD"/>
                    </w:txbxContent>
                  </v:textbox>
                </v:rect>
                <v:rect id="_x0000_s1026" o:spid="_x0000_s1026" o:spt="1" style="position:absolute;left:4457;top:0;height:2343;width:4337;"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6AE5ECFA">
                        <w:pPr>
                          <w:jc w:val="center"/>
                          <w:rPr>
                            <w:rFonts w:ascii="宋体" w:hAnsi="宋体" w:cs="宋体"/>
                          </w:rPr>
                        </w:pPr>
                        <w:r>
                          <w:rPr>
                            <w:rFonts w:hint="eastAsia" w:ascii="宋体" w:hAnsi="宋体" w:cs="宋体"/>
                          </w:rPr>
                          <w:t>被授权人（授权代表）</w:t>
                        </w:r>
                      </w:p>
                      <w:p w14:paraId="7B61CB27">
                        <w:pPr>
                          <w:jc w:val="center"/>
                          <w:rPr>
                            <w:rFonts w:ascii="宋体" w:hAnsi="宋体" w:cs="宋体"/>
                          </w:rPr>
                        </w:pPr>
                        <w:r>
                          <w:rPr>
                            <w:rFonts w:hint="eastAsia" w:ascii="宋体" w:hAnsi="宋体" w:cs="宋体"/>
                          </w:rPr>
                          <w:t>居民身份证复印件粘贴处</w:t>
                        </w:r>
                      </w:p>
                      <w:p w14:paraId="4BD8D321">
                        <w:pPr>
                          <w:ind w:firstLine="1050" w:firstLineChars="500"/>
                          <w:rPr>
                            <w:rFonts w:ascii="宋体" w:hAnsi="宋体" w:cs="宋体"/>
                          </w:rPr>
                        </w:pPr>
                      </w:p>
                      <w:p w14:paraId="6C449C48">
                        <w:pPr>
                          <w:jc w:val="center"/>
                          <w:rPr>
                            <w:rFonts w:ascii="宋体" w:hAnsi="宋体" w:cs="宋体"/>
                          </w:rPr>
                        </w:pPr>
                        <w:r>
                          <w:rPr>
                            <w:rFonts w:hint="eastAsia" w:ascii="宋体" w:hAnsi="宋体" w:cs="宋体"/>
                          </w:rPr>
                          <w:t>（反面）</w:t>
                        </w:r>
                      </w:p>
                      <w:p w14:paraId="733E56CD"/>
                    </w:txbxContent>
                  </v:textbox>
                </v:rect>
              </v:group>
            </w:pict>
          </mc:Fallback>
        </mc:AlternateContent>
      </w:r>
    </w:p>
    <w:tbl>
      <w:tblPr>
        <w:tblStyle w:val="49"/>
        <w:tblpPr w:leftFromText="180" w:rightFromText="180" w:vertAnchor="text" w:horzAnchor="margin" w:tblpY="4"/>
        <w:tblOverlap w:val="never"/>
        <w:tblW w:w="80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8"/>
        <w:gridCol w:w="3960"/>
      </w:tblGrid>
      <w:tr w14:paraId="4C06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3" w:hRule="exact"/>
        </w:trPr>
        <w:tc>
          <w:tcPr>
            <w:tcW w:w="4068" w:type="dxa"/>
            <w:vAlign w:val="center"/>
          </w:tcPr>
          <w:p w14:paraId="752E5DE4">
            <w:pPr>
              <w:jc w:val="center"/>
              <w:rPr>
                <w:rFonts w:ascii="宋体" w:hAnsi="宋体" w:cs="宋体"/>
                <w:color w:val="auto"/>
                <w:highlight w:val="none"/>
              </w:rPr>
            </w:pPr>
            <w:r>
              <w:rPr>
                <w:rFonts w:hint="eastAsia" w:ascii="宋体" w:hAnsi="宋体" w:cs="宋体"/>
                <w:color w:val="auto"/>
                <w:highlight w:val="none"/>
              </w:rPr>
              <w:t>法定代表人</w:t>
            </w:r>
          </w:p>
          <w:p w14:paraId="53C3B4AD">
            <w:pPr>
              <w:jc w:val="center"/>
              <w:rPr>
                <w:rFonts w:ascii="宋体" w:hAnsi="宋体" w:cs="宋体"/>
                <w:color w:val="auto"/>
                <w:highlight w:val="none"/>
              </w:rPr>
            </w:pPr>
            <w:r>
              <w:rPr>
                <w:rFonts w:hint="eastAsia" w:ascii="宋体" w:hAnsi="宋体" w:cs="宋体"/>
                <w:color w:val="auto"/>
                <w:highlight w:val="none"/>
              </w:rPr>
              <w:t>居民身份证复印件粘贴处</w:t>
            </w:r>
          </w:p>
          <w:p w14:paraId="16B2E6E8">
            <w:pPr>
              <w:ind w:firstLine="1050" w:firstLineChars="500"/>
              <w:rPr>
                <w:rFonts w:ascii="宋体" w:hAnsi="宋体" w:cs="宋体"/>
                <w:color w:val="auto"/>
                <w:highlight w:val="none"/>
              </w:rPr>
            </w:pPr>
          </w:p>
          <w:p w14:paraId="4C62F58E">
            <w:pPr>
              <w:jc w:val="center"/>
              <w:rPr>
                <w:rFonts w:ascii="宋体" w:hAnsi="宋体" w:cs="宋体"/>
                <w:color w:val="auto"/>
                <w:highlight w:val="none"/>
              </w:rPr>
            </w:pPr>
            <w:r>
              <w:rPr>
                <w:rFonts w:hint="eastAsia" w:ascii="宋体" w:hAnsi="宋体" w:cs="宋体"/>
                <w:color w:val="auto"/>
                <w:highlight w:val="none"/>
              </w:rPr>
              <w:t>（正面）</w:t>
            </w:r>
          </w:p>
          <w:p w14:paraId="693F6555">
            <w:pPr>
              <w:jc w:val="center"/>
              <w:rPr>
                <w:rFonts w:ascii="宋体" w:hAnsi="宋体" w:cs="宋体"/>
                <w:color w:val="auto"/>
                <w:highlight w:val="none"/>
              </w:rPr>
            </w:pPr>
          </w:p>
          <w:p w14:paraId="54155918">
            <w:pPr>
              <w:jc w:val="center"/>
              <w:rPr>
                <w:rFonts w:ascii="宋体" w:hAnsi="宋体"/>
                <w:color w:val="auto"/>
                <w:highlight w:val="none"/>
              </w:rPr>
            </w:pPr>
          </w:p>
        </w:tc>
        <w:tc>
          <w:tcPr>
            <w:tcW w:w="3960" w:type="dxa"/>
            <w:vAlign w:val="center"/>
          </w:tcPr>
          <w:p w14:paraId="3B71CAE9">
            <w:pPr>
              <w:jc w:val="center"/>
              <w:rPr>
                <w:rFonts w:ascii="宋体" w:hAnsi="宋体" w:cs="宋体"/>
                <w:color w:val="auto"/>
                <w:highlight w:val="none"/>
              </w:rPr>
            </w:pPr>
            <w:r>
              <w:rPr>
                <w:rFonts w:hint="eastAsia" w:ascii="宋体" w:hAnsi="宋体" w:cs="宋体"/>
                <w:color w:val="auto"/>
                <w:highlight w:val="none"/>
              </w:rPr>
              <w:t>法定代表人</w:t>
            </w:r>
          </w:p>
          <w:p w14:paraId="13479177">
            <w:pPr>
              <w:jc w:val="center"/>
              <w:rPr>
                <w:rFonts w:ascii="宋体" w:hAnsi="宋体" w:cs="宋体"/>
                <w:color w:val="auto"/>
                <w:highlight w:val="none"/>
              </w:rPr>
            </w:pPr>
            <w:r>
              <w:rPr>
                <w:rFonts w:hint="eastAsia" w:ascii="宋体" w:hAnsi="宋体" w:cs="宋体"/>
                <w:color w:val="auto"/>
                <w:highlight w:val="none"/>
              </w:rPr>
              <w:t>居民身份证复印件粘贴处</w:t>
            </w:r>
          </w:p>
          <w:p w14:paraId="3F0D4CE3">
            <w:pPr>
              <w:ind w:firstLine="1050" w:firstLineChars="500"/>
              <w:rPr>
                <w:rFonts w:ascii="宋体" w:hAnsi="宋体" w:cs="宋体"/>
                <w:color w:val="auto"/>
                <w:highlight w:val="none"/>
              </w:rPr>
            </w:pPr>
          </w:p>
          <w:p w14:paraId="1F71649C">
            <w:pPr>
              <w:jc w:val="center"/>
              <w:rPr>
                <w:rFonts w:ascii="宋体" w:hAnsi="宋体" w:cs="宋体"/>
                <w:color w:val="auto"/>
                <w:highlight w:val="none"/>
              </w:rPr>
            </w:pPr>
            <w:r>
              <w:rPr>
                <w:rFonts w:hint="eastAsia" w:ascii="宋体" w:hAnsi="宋体" w:cs="宋体"/>
                <w:color w:val="auto"/>
                <w:highlight w:val="none"/>
              </w:rPr>
              <w:t>（反面）</w:t>
            </w:r>
          </w:p>
          <w:p w14:paraId="36D8B132">
            <w:pPr>
              <w:jc w:val="center"/>
              <w:rPr>
                <w:rFonts w:ascii="宋体" w:hAnsi="宋体" w:cs="宋体"/>
                <w:color w:val="auto"/>
                <w:highlight w:val="none"/>
              </w:rPr>
            </w:pPr>
          </w:p>
          <w:p w14:paraId="0E7BAB88">
            <w:pPr>
              <w:jc w:val="center"/>
              <w:rPr>
                <w:rFonts w:ascii="宋体" w:hAnsi="宋体"/>
                <w:color w:val="auto"/>
                <w:highlight w:val="none"/>
              </w:rPr>
            </w:pPr>
          </w:p>
        </w:tc>
      </w:tr>
    </w:tbl>
    <w:p w14:paraId="1BEA838C">
      <w:pPr>
        <w:ind w:firstLine="560"/>
        <w:rPr>
          <w:rFonts w:ascii="宋体" w:hAnsi="宋体"/>
          <w:b/>
          <w:color w:val="auto"/>
          <w:sz w:val="28"/>
          <w:szCs w:val="28"/>
          <w:highlight w:val="none"/>
        </w:rPr>
      </w:pPr>
    </w:p>
    <w:p w14:paraId="3F5C2703">
      <w:pPr>
        <w:ind w:firstLine="560"/>
        <w:rPr>
          <w:rFonts w:ascii="宋体" w:hAnsi="宋体"/>
          <w:b/>
          <w:color w:val="auto"/>
          <w:sz w:val="28"/>
          <w:szCs w:val="28"/>
          <w:highlight w:val="none"/>
        </w:rPr>
      </w:pPr>
    </w:p>
    <w:p w14:paraId="43A90C77">
      <w:pPr>
        <w:spacing w:line="480" w:lineRule="exact"/>
        <w:ind w:firstLine="562"/>
        <w:jc w:val="center"/>
        <w:rPr>
          <w:rFonts w:ascii="宋体" w:hAnsi="宋体"/>
          <w:b/>
          <w:color w:val="auto"/>
          <w:sz w:val="28"/>
          <w:szCs w:val="28"/>
          <w:highlight w:val="none"/>
        </w:rPr>
      </w:pPr>
      <w:r>
        <w:rPr>
          <w:rFonts w:ascii="宋体" w:hAnsi="宋体"/>
          <w:b/>
          <w:color w:val="auto"/>
          <w:sz w:val="28"/>
          <w:szCs w:val="28"/>
          <w:highlight w:val="none"/>
        </w:rPr>
        <w:br w:type="page"/>
      </w:r>
    </w:p>
    <w:p w14:paraId="49FEE90D">
      <w:pPr>
        <w:spacing w:line="480" w:lineRule="exact"/>
        <w:ind w:firstLine="560"/>
        <w:jc w:val="center"/>
        <w:rPr>
          <w:rFonts w:ascii="宋体" w:hAnsi="宋体"/>
          <w:b/>
          <w:color w:val="auto"/>
          <w:sz w:val="28"/>
          <w:szCs w:val="28"/>
          <w:highlight w:val="none"/>
        </w:rPr>
      </w:pPr>
    </w:p>
    <w:p w14:paraId="3702F604">
      <w:pPr>
        <w:spacing w:line="480" w:lineRule="exact"/>
        <w:ind w:firstLine="562"/>
        <w:jc w:val="center"/>
        <w:rPr>
          <w:rFonts w:ascii="宋体" w:hAnsi="宋体"/>
          <w:b/>
          <w:color w:val="auto"/>
          <w:sz w:val="28"/>
          <w:szCs w:val="28"/>
          <w:highlight w:val="none"/>
        </w:rPr>
      </w:pPr>
      <w:r>
        <w:rPr>
          <w:rFonts w:hint="eastAsia" w:ascii="宋体" w:hAnsi="宋体"/>
          <w:b/>
          <w:color w:val="auto"/>
          <w:sz w:val="28"/>
          <w:szCs w:val="28"/>
          <w:highlight w:val="none"/>
        </w:rPr>
        <w:t>（2）法定代表人/单位负责人授权委托书</w:t>
      </w:r>
    </w:p>
    <w:p w14:paraId="2F43845A">
      <w:pPr>
        <w:spacing w:line="360" w:lineRule="auto"/>
        <w:rPr>
          <w:rFonts w:ascii="宋体" w:hAnsi="宋体" w:cs="宋体"/>
          <w:color w:val="auto"/>
          <w:highlight w:val="none"/>
        </w:rPr>
      </w:pPr>
    </w:p>
    <w:p w14:paraId="4781816D">
      <w:pPr>
        <w:spacing w:line="360" w:lineRule="auto"/>
        <w:rPr>
          <w:rFonts w:ascii="宋体" w:hAnsi="宋体" w:cs="宋体"/>
          <w:color w:val="auto"/>
          <w:highlight w:val="none"/>
        </w:rPr>
      </w:pPr>
      <w:r>
        <w:rPr>
          <w:rFonts w:hint="eastAsia" w:ascii="宋体" w:hAnsi="宋体" w:cs="宋体"/>
          <w:color w:val="auto"/>
          <w:highlight w:val="none"/>
        </w:rPr>
        <w:t xml:space="preserve">致： </w:t>
      </w:r>
      <w:r>
        <w:rPr>
          <w:rFonts w:ascii="宋体" w:hAnsi="宋体" w:cs="宋体"/>
          <w:color w:val="auto"/>
          <w:highlight w:val="none"/>
          <w:u w:val="single"/>
        </w:rPr>
        <w:t xml:space="preserve">     </w:t>
      </w:r>
      <w:r>
        <w:rPr>
          <w:rFonts w:hint="eastAsia" w:ascii="宋体" w:hAnsi="宋体" w:cs="宋体"/>
          <w:i/>
          <w:iCs/>
          <w:color w:val="auto"/>
          <w:highlight w:val="none"/>
          <w:u w:val="single"/>
        </w:rPr>
        <w:t>（采购人名称）</w:t>
      </w:r>
    </w:p>
    <w:p w14:paraId="6FA79B32">
      <w:pPr>
        <w:spacing w:line="360" w:lineRule="auto"/>
        <w:ind w:firstLine="420" w:firstLineChars="200"/>
        <w:rPr>
          <w:rFonts w:ascii="宋体" w:hAnsi="宋体" w:cs="等线"/>
          <w:color w:val="auto"/>
          <w:highlight w:val="none"/>
        </w:rPr>
      </w:pPr>
      <w:r>
        <w:rPr>
          <w:rFonts w:hint="eastAsia" w:ascii="宋体" w:hAnsi="宋体" w:cs="等线"/>
          <w:color w:val="auto"/>
          <w:highlight w:val="none"/>
        </w:rPr>
        <w:t>本授权书声明：</w:t>
      </w:r>
      <w:r>
        <w:rPr>
          <w:rFonts w:hint="eastAsia" w:ascii="宋体" w:hAnsi="宋体" w:cs="等线"/>
          <w:color w:val="auto"/>
          <w:highlight w:val="none"/>
          <w:u w:val="single"/>
        </w:rPr>
        <w:t xml:space="preserve">       </w:t>
      </w:r>
      <w:r>
        <w:rPr>
          <w:rFonts w:hint="eastAsia" w:ascii="宋体" w:hAnsi="宋体" w:cs="等线"/>
          <w:i/>
          <w:iCs/>
          <w:color w:val="auto"/>
          <w:highlight w:val="none"/>
          <w:u w:val="single"/>
        </w:rPr>
        <w:t>（姓名）</w:t>
      </w:r>
      <w:r>
        <w:rPr>
          <w:rFonts w:hint="eastAsia" w:ascii="宋体" w:hAnsi="宋体" w:cs="等线"/>
          <w:color w:val="auto"/>
          <w:highlight w:val="none"/>
        </w:rPr>
        <w:t>系</w:t>
      </w:r>
      <w:r>
        <w:rPr>
          <w:rFonts w:hint="eastAsia" w:ascii="宋体" w:hAnsi="宋体" w:cs="等线"/>
          <w:color w:val="auto"/>
          <w:highlight w:val="none"/>
          <w:u w:val="single"/>
        </w:rPr>
        <w:t xml:space="preserve">              </w:t>
      </w:r>
      <w:r>
        <w:rPr>
          <w:rFonts w:hint="eastAsia" w:ascii="宋体" w:hAnsi="宋体" w:cs="等线"/>
          <w:i/>
          <w:iCs/>
          <w:color w:val="auto"/>
          <w:highlight w:val="none"/>
          <w:u w:val="single"/>
        </w:rPr>
        <w:t>（供应商名称）</w:t>
      </w:r>
      <w:r>
        <w:rPr>
          <w:rFonts w:hint="eastAsia" w:ascii="宋体" w:hAnsi="宋体" w:cs="等线"/>
          <w:color w:val="auto"/>
          <w:highlight w:val="none"/>
        </w:rPr>
        <w:t>的单位负责人/法定代表人，现授权</w:t>
      </w:r>
      <w:r>
        <w:rPr>
          <w:rFonts w:hint="eastAsia" w:ascii="宋体" w:hAnsi="宋体" w:cs="等线"/>
          <w:color w:val="auto"/>
          <w:highlight w:val="none"/>
          <w:u w:val="single"/>
        </w:rPr>
        <w:t xml:space="preserve">              </w:t>
      </w:r>
      <w:r>
        <w:rPr>
          <w:rFonts w:hint="eastAsia" w:ascii="宋体" w:hAnsi="宋体" w:cs="等线"/>
          <w:i/>
          <w:iCs/>
          <w:color w:val="auto"/>
          <w:highlight w:val="none"/>
          <w:u w:val="single"/>
        </w:rPr>
        <w:t>（单位名称）</w:t>
      </w:r>
      <w:r>
        <w:rPr>
          <w:rFonts w:hint="eastAsia" w:ascii="宋体" w:hAnsi="宋体" w:cs="等线"/>
          <w:color w:val="auto"/>
          <w:highlight w:val="none"/>
        </w:rPr>
        <w:t xml:space="preserve">的 </w:t>
      </w:r>
      <w:r>
        <w:rPr>
          <w:rFonts w:hint="eastAsia" w:ascii="宋体" w:hAnsi="宋体" w:cs="等线"/>
          <w:color w:val="auto"/>
          <w:highlight w:val="none"/>
          <w:u w:val="single"/>
        </w:rPr>
        <w:t xml:space="preserve">         </w:t>
      </w:r>
      <w:r>
        <w:rPr>
          <w:rFonts w:hint="eastAsia" w:ascii="宋体" w:hAnsi="宋体" w:cs="等线"/>
          <w:i/>
          <w:iCs/>
          <w:color w:val="auto"/>
          <w:highlight w:val="none"/>
          <w:u w:val="single"/>
        </w:rPr>
        <w:t>（被授权人的姓名、职务）</w:t>
      </w:r>
      <w:r>
        <w:rPr>
          <w:rFonts w:hint="eastAsia" w:ascii="宋体" w:hAnsi="宋体" w:cs="等线"/>
          <w:color w:val="auto"/>
          <w:highlight w:val="none"/>
        </w:rPr>
        <w:t>为本公司的合法代理人，以本公司的名义参加</w:t>
      </w:r>
      <w:r>
        <w:rPr>
          <w:rFonts w:hint="eastAsia" w:ascii="宋体" w:hAnsi="宋体" w:cs="等线"/>
          <w:color w:val="auto"/>
          <w:highlight w:val="none"/>
          <w:u w:val="single"/>
        </w:rPr>
        <w:t xml:space="preserve">             </w:t>
      </w:r>
      <w:r>
        <w:rPr>
          <w:rFonts w:hint="eastAsia" w:ascii="宋体" w:hAnsi="宋体" w:cs="等线"/>
          <w:i/>
          <w:iCs/>
          <w:color w:val="auto"/>
          <w:highlight w:val="none"/>
          <w:u w:val="single"/>
        </w:rPr>
        <w:t>（项目名称、项目编号）</w:t>
      </w:r>
      <w:r>
        <w:rPr>
          <w:rFonts w:hint="eastAsia" w:ascii="宋体" w:hAnsi="宋体" w:cs="等线"/>
          <w:color w:val="auto"/>
          <w:highlight w:val="none"/>
        </w:rPr>
        <w:t>的</w:t>
      </w:r>
      <w:r>
        <w:rPr>
          <w:rFonts w:hint="eastAsia" w:ascii="宋体" w:hAnsi="宋体" w:cs="宋体"/>
          <w:color w:val="auto"/>
          <w:szCs w:val="21"/>
          <w:highlight w:val="none"/>
        </w:rPr>
        <w:t>响应</w:t>
      </w:r>
      <w:r>
        <w:rPr>
          <w:rFonts w:hint="eastAsia" w:ascii="宋体" w:hAnsi="宋体" w:cs="等线"/>
          <w:color w:val="auto"/>
          <w:highlight w:val="none"/>
        </w:rPr>
        <w:t>活动。代理人对该项目所签署的一切文件和处理与之有关的一切事务，我均予以承认。</w:t>
      </w:r>
    </w:p>
    <w:p w14:paraId="7F1E3516">
      <w:pPr>
        <w:spacing w:line="360" w:lineRule="auto"/>
        <w:ind w:firstLine="420" w:firstLineChars="200"/>
        <w:rPr>
          <w:rFonts w:ascii="宋体" w:hAnsi="宋体" w:cs="等线"/>
          <w:color w:val="auto"/>
          <w:highlight w:val="none"/>
        </w:rPr>
      </w:pPr>
      <w:r>
        <w:rPr>
          <w:rFonts w:hint="eastAsia" w:ascii="宋体" w:hAnsi="宋体" w:cs="等线"/>
          <w:color w:val="auto"/>
          <w:highlight w:val="none"/>
        </w:rPr>
        <w:t>代理人无转委托权。特此委托。</w:t>
      </w:r>
    </w:p>
    <w:p w14:paraId="25538EA2">
      <w:pPr>
        <w:spacing w:line="360" w:lineRule="auto"/>
        <w:rPr>
          <w:rFonts w:ascii="宋体" w:hAnsi="宋体" w:cs="等线"/>
          <w:color w:val="auto"/>
          <w:highlight w:val="none"/>
        </w:rPr>
      </w:pPr>
    </w:p>
    <w:p w14:paraId="66E191A7">
      <w:pPr>
        <w:spacing w:line="360" w:lineRule="auto"/>
        <w:rPr>
          <w:rFonts w:ascii="宋体" w:hAnsi="宋体" w:cs="等线"/>
          <w:color w:val="auto"/>
          <w:highlight w:val="none"/>
        </w:rPr>
      </w:pPr>
      <w:r>
        <w:rPr>
          <w:rFonts w:hint="eastAsia" w:ascii="宋体" w:hAnsi="宋体" w:cs="等线"/>
          <w:color w:val="auto"/>
          <w:highlight w:val="none"/>
        </w:rPr>
        <w:t>法定代表人/单位负责人（签字或盖私章）：</w:t>
      </w:r>
      <w:r>
        <w:rPr>
          <w:rFonts w:hint="eastAsia" w:ascii="宋体" w:hAnsi="宋体" w:cs="等线"/>
          <w:color w:val="auto"/>
          <w:highlight w:val="none"/>
          <w:u w:val="single"/>
        </w:rPr>
        <w:t xml:space="preserve">            </w:t>
      </w:r>
    </w:p>
    <w:p w14:paraId="3D2C0214">
      <w:pPr>
        <w:spacing w:line="360" w:lineRule="auto"/>
        <w:rPr>
          <w:rFonts w:ascii="宋体" w:hAnsi="宋体" w:cs="等线"/>
          <w:color w:val="auto"/>
          <w:highlight w:val="none"/>
        </w:rPr>
      </w:pPr>
      <w:r>
        <w:rPr>
          <w:rFonts w:hint="eastAsia" w:ascii="宋体" w:hAnsi="宋体" w:cs="等线"/>
          <w:color w:val="auto"/>
          <w:highlight w:val="none"/>
        </w:rPr>
        <w:t xml:space="preserve">被授权人（签字或盖私章）： </w:t>
      </w:r>
      <w:r>
        <w:rPr>
          <w:rFonts w:hint="eastAsia" w:ascii="宋体" w:hAnsi="宋体" w:cs="等线"/>
          <w:color w:val="auto"/>
          <w:highlight w:val="none"/>
          <w:u w:val="single"/>
        </w:rPr>
        <w:t xml:space="preserve">                        </w:t>
      </w:r>
      <w:r>
        <w:rPr>
          <w:rFonts w:hint="eastAsia" w:ascii="宋体" w:hAnsi="宋体" w:cs="等线"/>
          <w:color w:val="auto"/>
          <w:highlight w:val="none"/>
        </w:rPr>
        <w:t xml:space="preserve"> </w:t>
      </w:r>
    </w:p>
    <w:p w14:paraId="255D4EA6">
      <w:pPr>
        <w:spacing w:line="360" w:lineRule="auto"/>
        <w:rPr>
          <w:rFonts w:ascii="宋体" w:hAnsi="宋体" w:cs="等线"/>
          <w:color w:val="auto"/>
          <w:highlight w:val="none"/>
        </w:rPr>
      </w:pPr>
      <w:r>
        <w:rPr>
          <w:rFonts w:hint="eastAsia" w:ascii="宋体" w:hAnsi="宋体" w:cs="等线"/>
          <w:color w:val="auto"/>
          <w:highlight w:val="none"/>
        </w:rPr>
        <w:t>供应商名称（加盖公章）：</w:t>
      </w:r>
      <w:r>
        <w:rPr>
          <w:rFonts w:hint="eastAsia" w:ascii="宋体" w:hAnsi="宋体" w:cs="等线"/>
          <w:color w:val="auto"/>
          <w:highlight w:val="none"/>
          <w:u w:val="single"/>
        </w:rPr>
        <w:t xml:space="preserve">                           </w:t>
      </w:r>
    </w:p>
    <w:p w14:paraId="385942A8">
      <w:pPr>
        <w:spacing w:line="360" w:lineRule="auto"/>
        <w:rPr>
          <w:rFonts w:ascii="宋体" w:hAnsi="宋体" w:cs="等线"/>
          <w:color w:val="auto"/>
          <w:highlight w:val="none"/>
        </w:rPr>
      </w:pPr>
      <w:r>
        <w:rPr>
          <w:rFonts w:hint="eastAsia" w:ascii="宋体" w:hAnsi="宋体" w:cs="等线"/>
          <w:color w:val="auto"/>
          <w:highlight w:val="none"/>
        </w:rPr>
        <w:t>签发日期：</w:t>
      </w:r>
      <w:r>
        <w:rPr>
          <w:rFonts w:hint="eastAsia" w:ascii="宋体" w:hAnsi="宋体" w:cs="等线"/>
          <w:color w:val="auto"/>
          <w:highlight w:val="none"/>
          <w:u w:val="single"/>
        </w:rPr>
        <w:t xml:space="preserve">                              </w:t>
      </w:r>
      <w:r>
        <w:rPr>
          <w:rFonts w:hint="eastAsia" w:ascii="宋体" w:hAnsi="宋体" w:cs="等线"/>
          <w:color w:val="auto"/>
          <w:highlight w:val="none"/>
        </w:rPr>
        <w:t xml:space="preserve"> </w:t>
      </w:r>
    </w:p>
    <w:p w14:paraId="58EA6D97">
      <w:pPr>
        <w:spacing w:line="360" w:lineRule="auto"/>
        <w:ind w:left="785" w:hanging="785" w:hangingChars="374"/>
        <w:rPr>
          <w:rFonts w:ascii="宋体" w:hAnsi="宋体" w:cs="宋体"/>
          <w:color w:val="auto"/>
          <w:szCs w:val="21"/>
          <w:highlight w:val="none"/>
        </w:rPr>
      </w:pPr>
    </w:p>
    <w:p w14:paraId="1264EA3B">
      <w:pPr>
        <w:spacing w:line="360" w:lineRule="auto"/>
        <w:ind w:left="785" w:hanging="785" w:hangingChars="374"/>
        <w:rPr>
          <w:rFonts w:ascii="宋体" w:hAnsi="宋体" w:cs="宋体"/>
          <w:color w:val="auto"/>
          <w:szCs w:val="21"/>
          <w:highlight w:val="none"/>
        </w:rPr>
      </w:pPr>
      <w:r>
        <w:rPr>
          <w:rFonts w:hint="eastAsia" w:ascii="宋体" w:hAnsi="宋体" w:cs="宋体"/>
          <w:color w:val="auto"/>
          <w:szCs w:val="21"/>
          <w:highlight w:val="none"/>
        </w:rPr>
        <w:t>说明：</w:t>
      </w:r>
    </w:p>
    <w:p w14:paraId="457EAEF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1.有效期限：与本公司响应文件中标注的响应有效期相同，自本单位盖公章之日起生效。</w:t>
      </w:r>
    </w:p>
    <w:p w14:paraId="00C17C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2.投标代表为单位负责人/法定代表人，则本表不需提供。</w:t>
      </w:r>
    </w:p>
    <w:p w14:paraId="72083F8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3.供应商代表为单位负责人/法定代表人授权委托人的，须提供被授权人身份证复印件，否则作无效响应处理。</w:t>
      </w:r>
    </w:p>
    <w:p w14:paraId="2645818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w:t>
      </w:r>
      <w:r>
        <w:rPr>
          <w:rFonts w:hint="eastAsia" w:ascii="宋体" w:hAnsi="宋体" w:cs="宋体"/>
          <w:color w:val="auto"/>
          <w:szCs w:val="21"/>
          <w:highlight w:val="none"/>
        </w:rPr>
        <w:t>对于银行、保险、电信、邮政、铁路等行业以及获得总公司响应授权的分公司，可以提供响应分支机构负责人授权书。</w:t>
      </w:r>
    </w:p>
    <w:tbl>
      <w:tblPr>
        <w:tblStyle w:val="49"/>
        <w:tblpPr w:leftFromText="180" w:rightFromText="180" w:vertAnchor="text" w:horzAnchor="margin" w:tblpXSpec="center" w:tblpY="369"/>
        <w:tblOverlap w:val="never"/>
        <w:tblW w:w="77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1"/>
        <w:gridCol w:w="3872"/>
      </w:tblGrid>
      <w:tr w14:paraId="75795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4" w:hRule="exact"/>
        </w:trPr>
        <w:tc>
          <w:tcPr>
            <w:tcW w:w="3891" w:type="dxa"/>
            <w:vAlign w:val="center"/>
          </w:tcPr>
          <w:p w14:paraId="61045C20">
            <w:pPr>
              <w:jc w:val="center"/>
              <w:rPr>
                <w:rFonts w:ascii="宋体" w:hAnsi="宋体" w:cs="宋体"/>
                <w:color w:val="auto"/>
                <w:highlight w:val="none"/>
              </w:rPr>
            </w:pPr>
            <w:bookmarkStart w:id="424" w:name="_Toc462677237"/>
            <w:bookmarkStart w:id="425" w:name="_Toc276645582"/>
            <w:bookmarkStart w:id="426" w:name="_Toc259090986"/>
            <w:r>
              <w:rPr>
                <w:rFonts w:hint="eastAsia" w:ascii="宋体" w:hAnsi="宋体" w:cs="宋体"/>
                <w:color w:val="auto"/>
                <w:highlight w:val="none"/>
              </w:rPr>
              <w:t>被授权人（授权代表）</w:t>
            </w:r>
          </w:p>
          <w:p w14:paraId="618CCF13">
            <w:pPr>
              <w:jc w:val="center"/>
              <w:rPr>
                <w:rFonts w:ascii="宋体" w:hAnsi="宋体" w:cs="宋体"/>
                <w:color w:val="auto"/>
                <w:highlight w:val="none"/>
              </w:rPr>
            </w:pPr>
            <w:r>
              <w:rPr>
                <w:rFonts w:hint="eastAsia" w:ascii="宋体" w:hAnsi="宋体" w:cs="宋体"/>
                <w:color w:val="auto"/>
                <w:highlight w:val="none"/>
              </w:rPr>
              <w:t>居民身份证复印件粘贴处</w:t>
            </w:r>
          </w:p>
          <w:p w14:paraId="419010D5">
            <w:pPr>
              <w:ind w:firstLine="1050" w:firstLineChars="500"/>
              <w:rPr>
                <w:rFonts w:ascii="宋体" w:hAnsi="宋体" w:cs="宋体"/>
                <w:color w:val="auto"/>
                <w:highlight w:val="none"/>
              </w:rPr>
            </w:pPr>
          </w:p>
          <w:p w14:paraId="4E01C4CF">
            <w:pPr>
              <w:jc w:val="center"/>
              <w:rPr>
                <w:rFonts w:ascii="宋体" w:hAnsi="宋体"/>
                <w:color w:val="auto"/>
                <w:highlight w:val="none"/>
              </w:rPr>
            </w:pPr>
            <w:r>
              <w:rPr>
                <w:rFonts w:hint="eastAsia" w:ascii="宋体" w:hAnsi="宋体" w:cs="宋体"/>
                <w:color w:val="auto"/>
                <w:highlight w:val="none"/>
              </w:rPr>
              <w:t>（正面）</w:t>
            </w:r>
          </w:p>
        </w:tc>
        <w:tc>
          <w:tcPr>
            <w:tcW w:w="3872" w:type="dxa"/>
            <w:vAlign w:val="center"/>
          </w:tcPr>
          <w:p w14:paraId="32FA410F">
            <w:pPr>
              <w:jc w:val="center"/>
              <w:rPr>
                <w:rFonts w:ascii="宋体" w:hAnsi="宋体" w:cs="宋体"/>
                <w:color w:val="auto"/>
                <w:highlight w:val="none"/>
              </w:rPr>
            </w:pPr>
            <w:r>
              <w:rPr>
                <w:rFonts w:hint="eastAsia" w:ascii="宋体" w:hAnsi="宋体" w:cs="宋体"/>
                <w:color w:val="auto"/>
                <w:highlight w:val="none"/>
              </w:rPr>
              <w:t>被授权人（授权代表）</w:t>
            </w:r>
          </w:p>
          <w:p w14:paraId="0560D881">
            <w:pPr>
              <w:jc w:val="center"/>
              <w:rPr>
                <w:rFonts w:ascii="宋体" w:hAnsi="宋体" w:cs="宋体"/>
                <w:color w:val="auto"/>
                <w:highlight w:val="none"/>
              </w:rPr>
            </w:pPr>
            <w:r>
              <w:rPr>
                <w:rFonts w:hint="eastAsia" w:ascii="宋体" w:hAnsi="宋体" w:cs="宋体"/>
                <w:color w:val="auto"/>
                <w:highlight w:val="none"/>
              </w:rPr>
              <w:t>居民身份证复印件粘贴处</w:t>
            </w:r>
          </w:p>
          <w:p w14:paraId="7AA145A2">
            <w:pPr>
              <w:ind w:firstLine="1050" w:firstLineChars="500"/>
              <w:rPr>
                <w:rFonts w:ascii="宋体" w:hAnsi="宋体" w:cs="宋体"/>
                <w:color w:val="auto"/>
                <w:highlight w:val="none"/>
              </w:rPr>
            </w:pPr>
          </w:p>
          <w:p w14:paraId="2498C221">
            <w:pPr>
              <w:jc w:val="center"/>
              <w:rPr>
                <w:rFonts w:ascii="宋体" w:hAnsi="宋体"/>
                <w:color w:val="auto"/>
                <w:highlight w:val="none"/>
              </w:rPr>
            </w:pPr>
            <w:r>
              <w:rPr>
                <w:rFonts w:hint="eastAsia" w:ascii="宋体" w:hAnsi="宋体" w:cs="宋体"/>
                <w:color w:val="auto"/>
                <w:highlight w:val="none"/>
              </w:rPr>
              <w:t>（反面）</w:t>
            </w:r>
          </w:p>
        </w:tc>
      </w:tr>
    </w:tbl>
    <w:p w14:paraId="05D14FBD">
      <w:pPr>
        <w:spacing w:line="360" w:lineRule="auto"/>
        <w:ind w:firstLine="480"/>
        <w:rPr>
          <w:rFonts w:ascii="宋体" w:hAnsi="宋体"/>
          <w:b/>
          <w:bCs/>
          <w:color w:val="auto"/>
          <w:sz w:val="24"/>
          <w:highlight w:val="none"/>
        </w:rPr>
      </w:pPr>
    </w:p>
    <w:p w14:paraId="3DC3AADF">
      <w:pPr>
        <w:ind w:firstLine="480"/>
        <w:rPr>
          <w:rFonts w:ascii="宋体" w:hAnsi="宋体"/>
          <w:b/>
          <w:bCs/>
          <w:color w:val="auto"/>
          <w:sz w:val="24"/>
          <w:highlight w:val="none"/>
        </w:rPr>
      </w:pPr>
    </w:p>
    <w:p w14:paraId="63B3B6F1">
      <w:pPr>
        <w:ind w:firstLine="480"/>
        <w:rPr>
          <w:rFonts w:ascii="宋体" w:hAnsi="宋体"/>
          <w:b/>
          <w:bCs/>
          <w:color w:val="auto"/>
          <w:sz w:val="24"/>
          <w:highlight w:val="none"/>
        </w:rPr>
      </w:pPr>
    </w:p>
    <w:p w14:paraId="4B21484F">
      <w:pPr>
        <w:spacing w:line="360" w:lineRule="auto"/>
        <w:ind w:left="420" w:firstLine="480"/>
        <w:rPr>
          <w:rFonts w:ascii="宋体" w:hAnsi="宋体"/>
          <w:b/>
          <w:bCs/>
          <w:color w:val="auto"/>
          <w:sz w:val="24"/>
          <w:highlight w:val="none"/>
        </w:rPr>
      </w:pPr>
    </w:p>
    <w:p w14:paraId="1F17DC71">
      <w:pPr>
        <w:pStyle w:val="4"/>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1.</w:t>
      </w:r>
      <w:bookmarkEnd w:id="424"/>
      <w:bookmarkEnd w:id="425"/>
      <w:bookmarkEnd w:id="426"/>
      <w:r>
        <w:rPr>
          <w:rFonts w:hint="eastAsia" w:ascii="宋体" w:hAnsi="宋体" w:eastAsia="宋体"/>
          <w:color w:val="auto"/>
          <w:sz w:val="24"/>
          <w:szCs w:val="24"/>
          <w:highlight w:val="none"/>
        </w:rPr>
        <w:t>4资格声明函</w:t>
      </w:r>
    </w:p>
    <w:p w14:paraId="32B19F85">
      <w:pPr>
        <w:spacing w:line="312" w:lineRule="auto"/>
        <w:ind w:firstLine="643"/>
        <w:jc w:val="center"/>
        <w:rPr>
          <w:rFonts w:ascii="宋体" w:hAnsi="宋体"/>
          <w:color w:val="auto"/>
          <w:szCs w:val="21"/>
          <w:highlight w:val="none"/>
        </w:rPr>
      </w:pPr>
      <w:bookmarkStart w:id="427" w:name="_Hlk24380869"/>
      <w:r>
        <w:rPr>
          <w:rFonts w:hint="eastAsia" w:ascii="宋体" w:hAnsi="宋体" w:cs="宋体"/>
          <w:b/>
          <w:color w:val="auto"/>
          <w:kern w:val="0"/>
          <w:sz w:val="32"/>
          <w:szCs w:val="32"/>
          <w:highlight w:val="none"/>
          <w:lang w:val="zh-CN"/>
        </w:rPr>
        <w:t>资格声明函</w:t>
      </w:r>
    </w:p>
    <w:p w14:paraId="570CCD1C">
      <w:pPr>
        <w:spacing w:line="312" w:lineRule="auto"/>
        <w:rPr>
          <w:rFonts w:ascii="宋体" w:hAnsi="宋体"/>
          <w:color w:val="auto"/>
          <w:szCs w:val="21"/>
          <w:highlight w:val="none"/>
          <w:u w:val="singl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r>
        <w:rPr>
          <w:rFonts w:hint="eastAsia" w:ascii="宋体" w:hAnsi="宋体"/>
          <w:i/>
          <w:iCs/>
          <w:color w:val="auto"/>
          <w:szCs w:val="21"/>
          <w:highlight w:val="none"/>
          <w:u w:val="single"/>
        </w:rPr>
        <w:t>（采购人名称）</w:t>
      </w:r>
    </w:p>
    <w:p w14:paraId="5C46203E">
      <w:pPr>
        <w:pStyle w:val="64"/>
        <w:spacing w:line="360" w:lineRule="auto"/>
        <w:ind w:firstLineChars="200"/>
        <w:rPr>
          <w:color w:val="auto"/>
          <w:highlight w:val="none"/>
        </w:rPr>
      </w:pPr>
      <w:r>
        <w:rPr>
          <w:rFonts w:hint="eastAsia"/>
          <w:color w:val="auto"/>
          <w:highlight w:val="none"/>
        </w:rPr>
        <w:t>关于贵公司</w:t>
      </w:r>
      <w:r>
        <w:rPr>
          <w:rFonts w:hint="eastAsia"/>
          <w:color w:val="auto"/>
          <w:highlight w:val="none"/>
          <w:u w:val="single"/>
        </w:rPr>
        <w:t>　 　</w:t>
      </w:r>
      <w:r>
        <w:rPr>
          <w:rFonts w:hint="eastAsia"/>
          <w:color w:val="auto"/>
          <w:highlight w:val="none"/>
        </w:rPr>
        <w:t>年</w:t>
      </w:r>
      <w:r>
        <w:rPr>
          <w:rFonts w:hint="eastAsia"/>
          <w:color w:val="auto"/>
          <w:highlight w:val="none"/>
          <w:u w:val="single"/>
        </w:rPr>
        <w:t>　 　</w:t>
      </w:r>
      <w:r>
        <w:rPr>
          <w:rFonts w:hint="eastAsia"/>
          <w:color w:val="auto"/>
          <w:highlight w:val="none"/>
        </w:rPr>
        <w:t>月</w:t>
      </w:r>
      <w:r>
        <w:rPr>
          <w:rFonts w:hint="eastAsia"/>
          <w:color w:val="auto"/>
          <w:highlight w:val="none"/>
          <w:u w:val="single"/>
        </w:rPr>
        <w:t>　 　</w:t>
      </w:r>
      <w:r>
        <w:rPr>
          <w:rFonts w:hint="eastAsia"/>
          <w:color w:val="auto"/>
          <w:highlight w:val="none"/>
        </w:rPr>
        <w:t>日发布</w:t>
      </w:r>
      <w:r>
        <w:rPr>
          <w:rFonts w:hint="eastAsia"/>
          <w:color w:val="auto"/>
          <w:highlight w:val="none"/>
          <w:u w:val="single"/>
        </w:rPr>
        <w:t xml:space="preserve">    （项目名称） （招标项目编号：           ）</w:t>
      </w:r>
      <w:r>
        <w:rPr>
          <w:rFonts w:hint="eastAsia"/>
          <w:color w:val="auto"/>
          <w:highlight w:val="none"/>
        </w:rPr>
        <w:t>的采购邀请函，本公司（企业）愿意参加投标，并声明：</w:t>
      </w:r>
    </w:p>
    <w:p w14:paraId="455A493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1、本公司（企业）具备</w:t>
      </w:r>
      <w:r>
        <w:rPr>
          <w:rFonts w:hint="eastAsia" w:ascii="宋体" w:hAnsi="宋体"/>
          <w:bCs/>
          <w:color w:val="auto"/>
          <w:szCs w:val="21"/>
          <w:highlight w:val="none"/>
        </w:rPr>
        <w:t>采购文件第一部分投标邀请中的“供应商的资格要求”，</w:t>
      </w:r>
      <w:r>
        <w:rPr>
          <w:rFonts w:hint="eastAsia" w:ascii="宋体" w:hAnsi="宋体"/>
          <w:color w:val="auto"/>
          <w:szCs w:val="21"/>
          <w:highlight w:val="none"/>
        </w:rPr>
        <w:t>并已清楚采购文件的要求及有关文件规定，我方承诺单位负责人为同一人或者存在控股、管理关系的不同单位，不得参加同一标段投标或者未划分标段的同一采购项目响应；</w:t>
      </w:r>
    </w:p>
    <w:p w14:paraId="4BA88F69">
      <w:pPr>
        <w:spacing w:line="360" w:lineRule="auto"/>
        <w:ind w:firstLine="420" w:firstLineChars="200"/>
        <w:rPr>
          <w:rFonts w:ascii="宋体" w:hAnsi="宋体"/>
          <w:bCs/>
          <w:color w:val="auto"/>
          <w:kern w:val="0"/>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zh-CN"/>
        </w:rPr>
        <w:t>参加招标活动前3年内，在经营活动中没有</w:t>
      </w:r>
      <w:r>
        <w:rPr>
          <w:rFonts w:hint="eastAsia" w:ascii="宋体" w:hAnsi="宋体" w:cs="宋体"/>
          <w:color w:val="auto"/>
          <w:szCs w:val="21"/>
          <w:highlight w:val="none"/>
        </w:rPr>
        <w:t>以下</w:t>
      </w:r>
      <w:r>
        <w:rPr>
          <w:rFonts w:hint="eastAsia" w:ascii="宋体" w:hAnsi="宋体" w:cs="宋体"/>
          <w:color w:val="auto"/>
          <w:szCs w:val="21"/>
          <w:highlight w:val="none"/>
          <w:lang w:val="zh-CN"/>
        </w:rPr>
        <w:t>重大违法记录，</w:t>
      </w:r>
      <w:r>
        <w:rPr>
          <w:rFonts w:hint="eastAsia" w:ascii="宋体" w:hAnsi="宋体"/>
          <w:bCs/>
          <w:color w:val="auto"/>
          <w:kern w:val="0"/>
          <w:szCs w:val="21"/>
          <w:highlight w:val="none"/>
        </w:rPr>
        <w:t>我方没有处于被责令停业整顿、法人资格被取消、财产被接管或冻结、破产等状况，</w:t>
      </w:r>
      <w:r>
        <w:rPr>
          <w:rFonts w:hint="eastAsia" w:ascii="宋体" w:hAnsi="宋体" w:cs="宋体"/>
          <w:color w:val="auto"/>
          <w:szCs w:val="21"/>
          <w:highlight w:val="none"/>
        </w:rPr>
        <w:t>或因违法经营被禁止参加政府招标获得期限已届满：因违法经营受到刑事处罚或者责令停产停业、吊销许可证或者执照、较大数额罚款等行政处罚（</w:t>
      </w:r>
      <w:r>
        <w:rPr>
          <w:rFonts w:hint="eastAsia" w:ascii="宋体"/>
          <w:color w:val="auto"/>
          <w:szCs w:val="21"/>
          <w:highlight w:val="none"/>
        </w:rPr>
        <w:t>如供应商成立时间不足3年，则从成立时间开始计算）</w:t>
      </w:r>
      <w:r>
        <w:rPr>
          <w:rFonts w:hint="eastAsia" w:ascii="宋体" w:hAnsi="宋体" w:cs="宋体"/>
          <w:color w:val="auto"/>
          <w:szCs w:val="21"/>
          <w:highlight w:val="none"/>
        </w:rPr>
        <w:t>；</w:t>
      </w:r>
    </w:p>
    <w:p w14:paraId="6B97E9D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3、我方承诺与其他供应商没有存在投资与被投资关系的；</w:t>
      </w:r>
    </w:p>
    <w:p w14:paraId="2BAE79A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4、我方承诺与其他供应商经营者、董事会（或同类管理机构）成员不属于直系亲属或配偶关系的；</w:t>
      </w:r>
    </w:p>
    <w:p w14:paraId="21518A20">
      <w:pPr>
        <w:snapToGrid w:val="0"/>
        <w:spacing w:line="360" w:lineRule="auto"/>
        <w:ind w:firstLine="422" w:firstLineChars="201"/>
        <w:rPr>
          <w:rFonts w:ascii="宋体" w:hAnsi="宋体"/>
          <w:color w:val="auto"/>
          <w:szCs w:val="21"/>
          <w:highlight w:val="none"/>
        </w:rPr>
      </w:pPr>
      <w:r>
        <w:rPr>
          <w:rFonts w:hint="eastAsia" w:ascii="宋体" w:hAnsi="宋体"/>
          <w:color w:val="auto"/>
          <w:szCs w:val="21"/>
          <w:highlight w:val="none"/>
        </w:rPr>
        <w:t>5、我方承诺在本次采购活动中，如有违法、违规、弄虚作假行为，所造成的损失、不良后果及法律责任，一律由我公司（企业）承担；</w:t>
      </w:r>
    </w:p>
    <w:p w14:paraId="41702219">
      <w:pPr>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6、</w:t>
      </w:r>
      <w:r>
        <w:rPr>
          <w:rFonts w:hint="eastAsia" w:ascii="宋体" w:hAnsi="宋体" w:cs="宋体"/>
          <w:color w:val="auto"/>
          <w:szCs w:val="21"/>
          <w:highlight w:val="none"/>
          <w:lang w:val="zh-CN"/>
        </w:rPr>
        <w:t>参加招标活动前3年内，</w:t>
      </w:r>
      <w:r>
        <w:rPr>
          <w:rFonts w:hint="eastAsia" w:ascii="宋体" w:hAnsi="宋体"/>
          <w:bCs/>
          <w:color w:val="auto"/>
          <w:szCs w:val="21"/>
          <w:highlight w:val="none"/>
        </w:rPr>
        <w:t>我公司以及</w:t>
      </w:r>
      <w:r>
        <w:rPr>
          <w:rFonts w:ascii="宋体" w:hAnsi="宋体"/>
          <w:bCs/>
          <w:color w:val="auto"/>
          <w:szCs w:val="21"/>
          <w:highlight w:val="none"/>
        </w:rPr>
        <w:t>法定代表人、</w:t>
      </w:r>
      <w:r>
        <w:rPr>
          <w:rFonts w:hint="eastAsia" w:ascii="宋体" w:hAnsi="宋体"/>
          <w:bCs/>
          <w:color w:val="auto"/>
          <w:szCs w:val="21"/>
          <w:highlight w:val="none"/>
        </w:rPr>
        <w:t>供应商授权代表、</w:t>
      </w:r>
      <w:r>
        <w:rPr>
          <w:rFonts w:ascii="宋体" w:hAnsi="宋体"/>
          <w:bCs/>
          <w:color w:val="auto"/>
          <w:szCs w:val="21"/>
          <w:highlight w:val="none"/>
        </w:rPr>
        <w:t>主要负责人</w:t>
      </w:r>
      <w:r>
        <w:rPr>
          <w:rFonts w:hint="eastAsia" w:ascii="宋体" w:hAnsi="宋体"/>
          <w:bCs/>
          <w:color w:val="auto"/>
          <w:szCs w:val="21"/>
          <w:highlight w:val="none"/>
        </w:rPr>
        <w:t>及</w:t>
      </w:r>
      <w:r>
        <w:rPr>
          <w:rFonts w:ascii="宋体" w:hAnsi="宋体"/>
          <w:bCs/>
          <w:color w:val="auto"/>
          <w:szCs w:val="21"/>
          <w:highlight w:val="none"/>
        </w:rPr>
        <w:t>实际控制人</w:t>
      </w:r>
      <w:r>
        <w:rPr>
          <w:rFonts w:hint="eastAsia" w:ascii="宋体" w:hAnsi="宋体"/>
          <w:bCs/>
          <w:color w:val="auto"/>
          <w:szCs w:val="21"/>
          <w:highlight w:val="none"/>
        </w:rPr>
        <w:t>均</w:t>
      </w:r>
      <w:r>
        <w:rPr>
          <w:rFonts w:ascii="宋体" w:hAnsi="宋体"/>
          <w:bCs/>
          <w:color w:val="auto"/>
          <w:szCs w:val="21"/>
          <w:highlight w:val="none"/>
        </w:rPr>
        <w:t>不存在行贿的行为</w:t>
      </w:r>
      <w:r>
        <w:rPr>
          <w:rFonts w:hint="eastAsia" w:ascii="宋体" w:hAnsi="宋体" w:cs="宋体"/>
          <w:color w:val="auto"/>
          <w:szCs w:val="21"/>
          <w:highlight w:val="none"/>
        </w:rPr>
        <w:t>（</w:t>
      </w:r>
      <w:r>
        <w:rPr>
          <w:rFonts w:hint="eastAsia" w:ascii="宋体"/>
          <w:color w:val="auto"/>
          <w:szCs w:val="21"/>
          <w:highlight w:val="none"/>
        </w:rPr>
        <w:t>如供应商成立时间不足3年，则从成立时间开始计算）</w:t>
      </w:r>
      <w:r>
        <w:rPr>
          <w:rFonts w:hint="eastAsia" w:ascii="宋体" w:hAnsi="宋体"/>
          <w:bCs/>
          <w:color w:val="auto"/>
          <w:szCs w:val="21"/>
          <w:highlight w:val="none"/>
        </w:rPr>
        <w:t>；</w:t>
      </w:r>
    </w:p>
    <w:p w14:paraId="4059A7B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7、我方</w:t>
      </w:r>
      <w:r>
        <w:rPr>
          <w:rFonts w:ascii="宋体" w:hAnsi="宋体"/>
          <w:color w:val="auto"/>
          <w:highlight w:val="none"/>
        </w:rPr>
        <w:t>未被列入“信用中国”网站</w:t>
      </w:r>
      <w:r>
        <w:rPr>
          <w:rFonts w:hint="eastAsia" w:ascii="宋体" w:hAnsi="宋体"/>
          <w:color w:val="auto"/>
          <w:highlight w:val="none"/>
        </w:rPr>
        <w:t>（</w:t>
      </w:r>
      <w:r>
        <w:rPr>
          <w:rFonts w:ascii="宋体" w:hAnsi="宋体"/>
          <w:color w:val="auto"/>
          <w:highlight w:val="none"/>
        </w:rPr>
        <w:t>www.creditchina.gov.cn</w:t>
      </w:r>
      <w:r>
        <w:rPr>
          <w:rFonts w:hint="eastAsia" w:ascii="宋体" w:hAnsi="宋体"/>
          <w:color w:val="auto"/>
          <w:highlight w:val="none"/>
        </w:rPr>
        <w:t>）</w:t>
      </w:r>
      <w:r>
        <w:rPr>
          <w:rFonts w:ascii="宋体" w:hAnsi="宋体"/>
          <w:color w:val="auto"/>
          <w:highlight w:val="none"/>
        </w:rPr>
        <w:t>以下任意名单之一：</w:t>
      </w:r>
      <w:r>
        <w:rPr>
          <w:rFonts w:hint="eastAsia" w:ascii="宋体" w:hAnsi="宋体"/>
          <w:color w:val="auto"/>
          <w:highlight w:val="none"/>
        </w:rPr>
        <w:t>“失信被执行人”或“政府采购严重违法失信行为记录名单”或“重大税收违法失信主体”</w:t>
      </w:r>
      <w:r>
        <w:rPr>
          <w:rFonts w:ascii="宋体" w:hAnsi="宋体"/>
          <w:color w:val="auto"/>
          <w:highlight w:val="none"/>
        </w:rPr>
        <w:t>。</w:t>
      </w:r>
      <w:r>
        <w:rPr>
          <w:rFonts w:hint="eastAsia" w:ascii="宋体" w:hAnsi="宋体"/>
          <w:color w:val="auto"/>
          <w:highlight w:val="none"/>
        </w:rPr>
        <w:t>同时，不处于中国政府采购网（</w:t>
      </w:r>
      <w:r>
        <w:rPr>
          <w:rFonts w:ascii="宋体" w:hAnsi="宋体"/>
          <w:color w:val="auto"/>
          <w:highlight w:val="none"/>
        </w:rPr>
        <w:t>www.ccgp.gov.cn</w:t>
      </w:r>
      <w:r>
        <w:rPr>
          <w:rFonts w:hint="eastAsia" w:ascii="宋体" w:hAnsi="宋体"/>
          <w:color w:val="auto"/>
          <w:highlight w:val="none"/>
        </w:rPr>
        <w:t>）</w:t>
      </w:r>
      <w:r>
        <w:rPr>
          <w:rFonts w:ascii="宋体" w:hAnsi="宋体"/>
          <w:color w:val="auto"/>
          <w:highlight w:val="none"/>
        </w:rPr>
        <w:t>“政府采购严重违法失信行为信息记录”中的禁止参加政府采购活动期间</w:t>
      </w:r>
      <w:r>
        <w:rPr>
          <w:rFonts w:hint="eastAsia" w:ascii="宋体" w:hAnsi="宋体" w:cs="宋体"/>
          <w:color w:val="auto"/>
          <w:szCs w:val="21"/>
          <w:highlight w:val="none"/>
        </w:rPr>
        <w:t>；</w:t>
      </w:r>
    </w:p>
    <w:p w14:paraId="2703FA94">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8、我方未为项目提供整体设计、规范编制或者项目管理、监理、检测等服务；</w:t>
      </w:r>
    </w:p>
    <w:p w14:paraId="01C0382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9、我方具备</w:t>
      </w:r>
      <w:r>
        <w:rPr>
          <w:rFonts w:hint="eastAsia" w:ascii="宋体" w:hAnsi="宋体" w:cs="宋体"/>
          <w:color w:val="auto"/>
          <w:szCs w:val="21"/>
          <w:highlight w:val="none"/>
          <w:lang w:val="zh-CN"/>
        </w:rPr>
        <w:t>履行合同所必需的设备和专业技术能力；</w:t>
      </w:r>
    </w:p>
    <w:p w14:paraId="21508077">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10、</w:t>
      </w:r>
      <w:r>
        <w:rPr>
          <w:rFonts w:hint="eastAsia"/>
          <w:color w:val="auto"/>
          <w:highlight w:val="none"/>
        </w:rPr>
        <w:t>我方符合法律、行政法规规定的其他条件</w:t>
      </w:r>
      <w:r>
        <w:rPr>
          <w:rFonts w:hint="eastAsia" w:ascii="宋体" w:hAnsi="宋体" w:cs="宋体"/>
          <w:color w:val="auto"/>
          <w:szCs w:val="21"/>
          <w:highlight w:val="none"/>
          <w:lang w:val="zh-CN"/>
        </w:rPr>
        <w:t>；</w:t>
      </w:r>
    </w:p>
    <w:p w14:paraId="4E2E0C47">
      <w:pPr>
        <w:pStyle w:val="64"/>
        <w:spacing w:line="360" w:lineRule="auto"/>
        <w:ind w:firstLine="422"/>
        <w:rPr>
          <w:color w:val="auto"/>
          <w:highlight w:val="none"/>
        </w:rPr>
      </w:pPr>
      <w:r>
        <w:rPr>
          <w:rFonts w:hint="eastAsia"/>
          <w:color w:val="auto"/>
          <w:highlight w:val="none"/>
        </w:rPr>
        <w:t xml:space="preserve">    </w:t>
      </w:r>
      <w:r>
        <w:rPr>
          <w:rFonts w:hint="eastAsia" w:ascii="宋体" w:hAnsi="宋体" w:cs="宋体"/>
          <w:color w:val="auto"/>
          <w:szCs w:val="21"/>
          <w:highlight w:val="none"/>
        </w:rPr>
        <w:t>11、</w:t>
      </w:r>
      <w:r>
        <w:rPr>
          <w:rFonts w:hint="eastAsia" w:ascii="宋体" w:hAnsi="宋体" w:cs="宋体"/>
          <w:color w:val="auto"/>
          <w:szCs w:val="21"/>
          <w:highlight w:val="none"/>
          <w:lang w:val="zh-CN"/>
        </w:rPr>
        <w:t>本</w:t>
      </w:r>
      <w:r>
        <w:rPr>
          <w:rFonts w:hint="eastAsia" w:ascii="宋体" w:hAnsi="宋体" w:cs="宋体"/>
          <w:color w:val="auto"/>
          <w:szCs w:val="21"/>
          <w:highlight w:val="none"/>
        </w:rPr>
        <w:t>项目</w:t>
      </w:r>
      <w:r>
        <w:rPr>
          <w:rFonts w:hint="eastAsia" w:ascii="宋体" w:hAnsi="宋体" w:cs="宋体"/>
          <w:color w:val="auto"/>
          <w:szCs w:val="21"/>
          <w:highlight w:val="none"/>
          <w:lang w:val="zh-CN"/>
        </w:rPr>
        <w:t>不接受联合体参加</w:t>
      </w:r>
      <w:r>
        <w:rPr>
          <w:rFonts w:hint="eastAsia"/>
          <w:color w:val="auto"/>
          <w:highlight w:val="none"/>
        </w:rPr>
        <w:t>。</w:t>
      </w:r>
    </w:p>
    <w:p w14:paraId="5B7B109A">
      <w:pPr>
        <w:spacing w:line="312" w:lineRule="auto"/>
        <w:ind w:firstLine="420" w:firstLineChars="200"/>
        <w:rPr>
          <w:rFonts w:ascii="宋体" w:hAnsi="宋体"/>
          <w:color w:val="auto"/>
          <w:szCs w:val="21"/>
          <w:highlight w:val="none"/>
        </w:rPr>
      </w:pPr>
      <w:r>
        <w:rPr>
          <w:rFonts w:hint="eastAsia" w:ascii="宋体" w:hAnsi="宋体" w:cs="宋体"/>
          <w:color w:val="auto"/>
          <w:szCs w:val="21"/>
          <w:highlight w:val="none"/>
          <w:lang w:val="zh-CN"/>
        </w:rPr>
        <w:t>本公司（企业）承诺在本次招标活动中，如有违法、违规、弄虚作假行为，所造成的损失、不良后果及法律责任，一律由我公司（企业）承担</w:t>
      </w:r>
      <w:r>
        <w:rPr>
          <w:rFonts w:hint="eastAsia" w:ascii="宋体" w:hAnsi="宋体"/>
          <w:color w:val="auto"/>
          <w:szCs w:val="21"/>
          <w:highlight w:val="none"/>
        </w:rPr>
        <w:t>。</w:t>
      </w:r>
    </w:p>
    <w:p w14:paraId="68F80EC0">
      <w:pPr>
        <w:spacing w:line="312" w:lineRule="auto"/>
        <w:ind w:firstLine="420" w:firstLineChars="200"/>
        <w:rPr>
          <w:color w:val="auto"/>
          <w:highlight w:val="none"/>
        </w:rPr>
      </w:pPr>
      <w:r>
        <w:rPr>
          <w:rFonts w:hint="eastAsia" w:ascii="宋体" w:hAnsi="宋体"/>
          <w:color w:val="auto"/>
          <w:szCs w:val="21"/>
          <w:highlight w:val="none"/>
        </w:rPr>
        <w:t>特此声明！</w:t>
      </w:r>
    </w:p>
    <w:p w14:paraId="3C0E3E6D">
      <w:pPr>
        <w:spacing w:line="312" w:lineRule="auto"/>
        <w:rPr>
          <w:rFonts w:ascii="宋体" w:hAnsi="宋体"/>
          <w:color w:val="auto"/>
          <w:szCs w:val="21"/>
          <w:highlight w:val="none"/>
        </w:rPr>
      </w:pPr>
    </w:p>
    <w:p w14:paraId="756C4FA6">
      <w:pPr>
        <w:spacing w:line="360" w:lineRule="auto"/>
        <w:rPr>
          <w:rFonts w:ascii="宋体" w:hAnsi="宋体"/>
          <w:color w:val="auto"/>
          <w:szCs w:val="21"/>
          <w:highlight w:val="none"/>
        </w:rPr>
      </w:pPr>
      <w:r>
        <w:rPr>
          <w:rFonts w:hint="eastAsia" w:ascii="宋体" w:hAnsi="宋体"/>
          <w:color w:val="auto"/>
          <w:szCs w:val="21"/>
          <w:highlight w:val="none"/>
        </w:rPr>
        <w:t>说明：</w:t>
      </w:r>
    </w:p>
    <w:p w14:paraId="339A337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1、上述声明中，约定采购文件中提供证明材料的，响应文件中必须按要求提供证明材料，否则作无效招标响应处理；</w:t>
      </w:r>
    </w:p>
    <w:p w14:paraId="10B9444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2、供应商对其所提供资料的真实性负责，在评审过程中乃至定标后，如发现供应商所提供的资料不合法或不真实，将作无效招标响应处理；</w:t>
      </w:r>
    </w:p>
    <w:p w14:paraId="574433D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3、如允许联合体参加招标的项目，供应商为联合体的，本声明函应加盖联合体各方公章。</w:t>
      </w:r>
    </w:p>
    <w:p w14:paraId="6D0C3C5D">
      <w:pPr>
        <w:spacing w:line="312" w:lineRule="auto"/>
        <w:rPr>
          <w:rFonts w:ascii="宋体" w:hAnsi="宋体"/>
          <w:color w:val="auto"/>
          <w:szCs w:val="21"/>
          <w:highlight w:val="none"/>
        </w:rPr>
      </w:pPr>
    </w:p>
    <w:p w14:paraId="05EF7E06">
      <w:pPr>
        <w:pStyle w:val="64"/>
        <w:ind w:firstLine="422"/>
        <w:rPr>
          <w:color w:val="auto"/>
          <w:highlight w:val="none"/>
        </w:rPr>
      </w:pPr>
    </w:p>
    <w:p w14:paraId="2CBAE955">
      <w:pPr>
        <w:adjustRightInd w:val="0"/>
        <w:snapToGrid w:val="0"/>
        <w:spacing w:line="360" w:lineRule="auto"/>
        <w:ind w:right="840"/>
        <w:jc w:val="left"/>
        <w:rPr>
          <w:rFonts w:ascii="宋体" w:hAnsi="宋体"/>
          <w:color w:val="auto"/>
          <w:szCs w:val="21"/>
          <w:highlight w:val="none"/>
        </w:rPr>
      </w:pPr>
      <w:r>
        <w:rPr>
          <w:rFonts w:hint="eastAsia" w:ascii="宋体" w:hAnsi="宋体"/>
          <w:color w:val="auto"/>
          <w:szCs w:val="21"/>
          <w:highlight w:val="none"/>
        </w:rPr>
        <w:t>供应商法定代表人/授权代表（签字或盖私章）：</w:t>
      </w:r>
      <w:r>
        <w:rPr>
          <w:rFonts w:hint="eastAsia" w:ascii="宋体" w:hAnsi="宋体"/>
          <w:color w:val="auto"/>
          <w:szCs w:val="21"/>
          <w:highlight w:val="none"/>
          <w:u w:val="single"/>
        </w:rPr>
        <w:t xml:space="preserve">                   </w:t>
      </w:r>
    </w:p>
    <w:p w14:paraId="267BCCE0">
      <w:pPr>
        <w:adjustRightInd w:val="0"/>
        <w:snapToGrid w:val="0"/>
        <w:spacing w:line="360" w:lineRule="auto"/>
        <w:ind w:right="840"/>
        <w:jc w:val="left"/>
        <w:rPr>
          <w:rFonts w:ascii="宋体" w:hAnsi="宋体"/>
          <w:color w:val="auto"/>
          <w:szCs w:val="21"/>
          <w:highlight w:val="none"/>
          <w:u w:val="single"/>
        </w:rPr>
      </w:pPr>
      <w:r>
        <w:rPr>
          <w:rFonts w:hint="eastAsia" w:ascii="宋体" w:hAnsi="宋体"/>
          <w:color w:val="auto"/>
          <w:szCs w:val="21"/>
          <w:highlight w:val="none"/>
        </w:rPr>
        <w:t>供应商名称（加盖公章）：</w:t>
      </w:r>
      <w:r>
        <w:rPr>
          <w:rFonts w:hint="eastAsia" w:ascii="宋体" w:hAnsi="宋体"/>
          <w:color w:val="auto"/>
          <w:szCs w:val="21"/>
          <w:highlight w:val="none"/>
          <w:u w:val="single"/>
        </w:rPr>
        <w:t xml:space="preserve">                        </w:t>
      </w:r>
    </w:p>
    <w:p w14:paraId="36BF0122">
      <w:pPr>
        <w:spacing w:line="312" w:lineRule="auto"/>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bookmarkEnd w:id="427"/>
    <w:p w14:paraId="46C84A6A">
      <w:pPr>
        <w:pStyle w:val="4"/>
        <w:ind w:firstLine="480"/>
        <w:rPr>
          <w:rFonts w:ascii="宋体" w:hAnsi="宋体"/>
          <w:bCs w:val="0"/>
          <w:color w:val="auto"/>
          <w:sz w:val="24"/>
          <w:highlight w:val="none"/>
        </w:rPr>
      </w:pPr>
      <w:r>
        <w:rPr>
          <w:rFonts w:ascii="宋体" w:hAnsi="宋体"/>
          <w:color w:val="auto"/>
          <w:sz w:val="24"/>
          <w:highlight w:val="none"/>
          <w:lang w:val="en-GB"/>
        </w:rPr>
        <w:br w:type="page"/>
      </w:r>
      <w:r>
        <w:rPr>
          <w:rFonts w:hint="eastAsia" w:ascii="宋体" w:hAnsi="宋体" w:eastAsia="宋体"/>
          <w:bCs w:val="0"/>
          <w:color w:val="auto"/>
          <w:sz w:val="24"/>
          <w:highlight w:val="none"/>
        </w:rPr>
        <w:t>1.</w:t>
      </w:r>
      <w:r>
        <w:rPr>
          <w:rFonts w:hint="eastAsia" w:ascii="宋体" w:hAnsi="宋体"/>
          <w:bCs w:val="0"/>
          <w:color w:val="auto"/>
          <w:sz w:val="24"/>
          <w:highlight w:val="none"/>
        </w:rPr>
        <w:t>5</w:t>
      </w:r>
      <w:r>
        <w:rPr>
          <w:rFonts w:hint="eastAsia" w:ascii="宋体" w:hAnsi="宋体" w:eastAsia="宋体"/>
          <w:bCs w:val="0"/>
          <w:color w:val="auto"/>
          <w:sz w:val="24"/>
          <w:highlight w:val="none"/>
          <w:lang w:val="en-GB"/>
        </w:rPr>
        <w:t>资</w:t>
      </w:r>
      <w:r>
        <w:rPr>
          <w:rFonts w:hint="eastAsia" w:ascii="宋体" w:hAnsi="宋体"/>
          <w:bCs w:val="0"/>
          <w:color w:val="auto"/>
          <w:sz w:val="24"/>
          <w:highlight w:val="none"/>
          <w:lang w:val="en-GB"/>
        </w:rPr>
        <w:t>格审查证明材料</w:t>
      </w:r>
    </w:p>
    <w:p w14:paraId="1A853A04">
      <w:pPr>
        <w:pStyle w:val="37"/>
        <w:ind w:left="420" w:firstLine="640"/>
        <w:outlineLvl w:val="9"/>
        <w:rPr>
          <w:rFonts w:ascii="宋体" w:hAnsi="宋体"/>
          <w:color w:val="auto"/>
          <w:highlight w:val="none"/>
        </w:rPr>
      </w:pPr>
      <w:r>
        <w:rPr>
          <w:rFonts w:hint="eastAsia" w:ascii="宋体" w:hAnsi="宋体"/>
          <w:color w:val="auto"/>
          <w:highlight w:val="none"/>
        </w:rPr>
        <w:t>资格审查证明材料</w:t>
      </w:r>
    </w:p>
    <w:p w14:paraId="136BCB32">
      <w:pPr>
        <w:spacing w:line="360" w:lineRule="auto"/>
        <w:rPr>
          <w:rFonts w:ascii="宋体" w:hAnsi="宋体" w:cs="宋体"/>
          <w:color w:val="auto"/>
          <w:szCs w:val="21"/>
          <w:highlight w:val="none"/>
        </w:rPr>
      </w:pPr>
    </w:p>
    <w:p w14:paraId="34C83496">
      <w:pPr>
        <w:spacing w:line="480" w:lineRule="auto"/>
        <w:ind w:firstLine="420" w:firstLineChars="200"/>
        <w:rPr>
          <w:rFonts w:ascii="宋体" w:hAnsi="宋体" w:cs="宋体"/>
          <w:color w:val="auto"/>
          <w:szCs w:val="21"/>
          <w:highlight w:val="none"/>
        </w:rPr>
      </w:pPr>
      <w:r>
        <w:rPr>
          <w:rFonts w:hint="eastAsia" w:ascii="宋体" w:hAnsi="宋体"/>
          <w:color w:val="auto"/>
          <w:szCs w:val="21"/>
          <w:highlight w:val="none"/>
        </w:rPr>
        <w:t>按照采购文件“</w:t>
      </w:r>
      <w:r>
        <w:rPr>
          <w:rFonts w:hint="eastAsia" w:ascii="宋体" w:hAnsi="宋体"/>
          <w:bCs/>
          <w:color w:val="auto"/>
          <w:szCs w:val="21"/>
          <w:highlight w:val="none"/>
        </w:rPr>
        <w:t>供应商的资格要求</w:t>
      </w:r>
      <w:r>
        <w:rPr>
          <w:rFonts w:hint="eastAsia" w:ascii="宋体" w:hAnsi="宋体"/>
          <w:color w:val="auto"/>
          <w:szCs w:val="21"/>
          <w:highlight w:val="none"/>
        </w:rPr>
        <w:t>”要求提供，</w:t>
      </w:r>
      <w:r>
        <w:rPr>
          <w:rFonts w:hint="eastAsia" w:ascii="宋体" w:hAnsi="宋体" w:cs="宋体"/>
          <w:color w:val="auto"/>
          <w:szCs w:val="21"/>
          <w:highlight w:val="none"/>
        </w:rPr>
        <w:t>包括但不限于以下资料：</w:t>
      </w:r>
    </w:p>
    <w:p w14:paraId="3E59A5EC">
      <w:pPr>
        <w:spacing w:line="48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1、有效的营业执照（或事业法人登记证或社会团体法人登记证或身份证等相关证明）</w:t>
      </w:r>
      <w:r>
        <w:rPr>
          <w:rFonts w:hint="eastAsia" w:ascii="宋体" w:hAnsi="宋体" w:cs="宋体"/>
          <w:color w:val="auto"/>
          <w:szCs w:val="21"/>
          <w:highlight w:val="none"/>
        </w:rPr>
        <w:t>复印件</w:t>
      </w:r>
      <w:r>
        <w:rPr>
          <w:rFonts w:hint="eastAsia" w:ascii="宋体" w:hAnsi="宋体" w:cs="宋体"/>
          <w:color w:val="auto"/>
          <w:szCs w:val="21"/>
          <w:highlight w:val="none"/>
        </w:rPr>
        <w:t>。</w:t>
      </w:r>
      <w:r>
        <w:rPr>
          <w:rFonts w:hint="eastAsia" w:ascii="宋体" w:hAnsi="宋体"/>
          <w:color w:val="auto"/>
          <w:highlight w:val="none"/>
        </w:rPr>
        <w:t>分支机构投标的，须提供总公司和分公司营业执照副本复印件，总公司出具给分支机构的授权书。</w:t>
      </w:r>
    </w:p>
    <w:p w14:paraId="12BED494">
      <w:pPr>
        <w:spacing w:line="48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2、经第三方机构出具的2022年或2023年度财务审计报告，或2024年1月至今任意1个月的财务报表，或银行出具的资信证明材料复印件。</w:t>
      </w:r>
    </w:p>
    <w:p w14:paraId="6EAD2D17">
      <w:pPr>
        <w:spacing w:line="48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3、（1）提供2024年1月至今任意1个月</w:t>
      </w:r>
      <w:r>
        <w:rPr>
          <w:rFonts w:hint="eastAsia" w:ascii="宋体" w:hAnsi="宋体" w:cs="宋体"/>
          <w:color w:val="auto"/>
          <w:highlight w:val="none"/>
        </w:rPr>
        <w:t>依法缴纳税收证明材料，</w:t>
      </w:r>
      <w:r>
        <w:rPr>
          <w:rFonts w:hint="eastAsia" w:ascii="宋体" w:hAnsi="宋体" w:cs="宋体"/>
          <w:color w:val="auto"/>
          <w:szCs w:val="21"/>
          <w:highlight w:val="none"/>
        </w:rPr>
        <w:t>如依法免税的，应提供相应文件证明其依法免税；</w:t>
      </w:r>
    </w:p>
    <w:p w14:paraId="62E72416">
      <w:pPr>
        <w:spacing w:line="48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rPr>
        <w:t>（2）提供2024年1月至今任意1个月社会保障资金的缴纳记录相关证明材料，如依法不需要缴纳社会保障资金的，应提供相应文件证明其依法不需要缴纳社会保障资金</w:t>
      </w:r>
      <w:r>
        <w:rPr>
          <w:rFonts w:hint="eastAsia" w:ascii="宋体" w:hAnsi="宋体" w:cs="宋体"/>
          <w:color w:val="auto"/>
          <w:szCs w:val="21"/>
          <w:highlight w:val="none"/>
          <w:lang w:val="zh-CN"/>
        </w:rPr>
        <w:t>。</w:t>
      </w:r>
    </w:p>
    <w:p w14:paraId="5B2640E4">
      <w:pPr>
        <w:spacing w:line="48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4、“信用中国”网站（www.creditchina.gov.cn）、中国政府采购网（www.ccgp.gov.cn）相关记录查询截图，</w:t>
      </w:r>
      <w:r>
        <w:rPr>
          <w:rFonts w:ascii="宋体" w:hAnsi="宋体"/>
          <w:color w:val="auto"/>
          <w:highlight w:val="none"/>
        </w:rPr>
        <w:t>如相关失信记录已失效，供应商须提供相关证明资料</w:t>
      </w:r>
      <w:r>
        <w:rPr>
          <w:rFonts w:hint="eastAsia" w:ascii="宋体" w:hAnsi="宋体"/>
          <w:color w:val="auto"/>
          <w:highlight w:val="none"/>
        </w:rPr>
        <w:t>。</w:t>
      </w:r>
    </w:p>
    <w:p w14:paraId="7646689E">
      <w:pPr>
        <w:spacing w:line="48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rPr>
        <w:t>其他认为有需要的资料。</w:t>
      </w:r>
    </w:p>
    <w:p w14:paraId="6EA92ED7">
      <w:pPr>
        <w:ind w:firstLine="482"/>
        <w:rPr>
          <w:rFonts w:ascii="宋体" w:hAnsi="宋体"/>
          <w:color w:val="auto"/>
          <w:sz w:val="24"/>
          <w:highlight w:val="none"/>
        </w:rPr>
      </w:pPr>
    </w:p>
    <w:p w14:paraId="5DF63C95">
      <w:pPr>
        <w:spacing w:line="360" w:lineRule="auto"/>
        <w:ind w:firstLine="424" w:firstLineChars="202"/>
        <w:rPr>
          <w:rFonts w:ascii="宋体" w:hAnsi="宋体"/>
          <w:color w:val="auto"/>
          <w:szCs w:val="21"/>
          <w:highlight w:val="none"/>
        </w:rPr>
      </w:pPr>
    </w:p>
    <w:p w14:paraId="64C8D34B">
      <w:pPr>
        <w:spacing w:line="360" w:lineRule="auto"/>
        <w:ind w:firstLine="424" w:firstLineChars="202"/>
        <w:rPr>
          <w:rFonts w:ascii="宋体" w:hAnsi="宋体"/>
          <w:color w:val="auto"/>
          <w:szCs w:val="21"/>
          <w:highlight w:val="none"/>
        </w:rPr>
      </w:pPr>
    </w:p>
    <w:p w14:paraId="1A1BBF2E">
      <w:pPr>
        <w:spacing w:line="360" w:lineRule="auto"/>
        <w:ind w:firstLine="424" w:firstLineChars="202"/>
        <w:rPr>
          <w:rFonts w:ascii="宋体" w:hAnsi="宋体"/>
          <w:color w:val="auto"/>
          <w:szCs w:val="21"/>
          <w:highlight w:val="none"/>
        </w:rPr>
      </w:pPr>
    </w:p>
    <w:p w14:paraId="3F5AE6C8">
      <w:pPr>
        <w:spacing w:line="360" w:lineRule="auto"/>
        <w:ind w:firstLine="424" w:firstLineChars="202"/>
        <w:rPr>
          <w:rFonts w:ascii="宋体" w:hAnsi="宋体"/>
          <w:color w:val="auto"/>
          <w:szCs w:val="21"/>
          <w:highlight w:val="none"/>
        </w:rPr>
      </w:pPr>
    </w:p>
    <w:p w14:paraId="7C5A41C1">
      <w:pPr>
        <w:pStyle w:val="48"/>
        <w:ind w:left="0" w:leftChars="0" w:firstLine="0" w:firstLineChars="0"/>
        <w:rPr>
          <w:color w:val="auto"/>
          <w:highlight w:val="none"/>
        </w:rPr>
      </w:pPr>
      <w:bookmarkStart w:id="428" w:name="_Toc6322300"/>
      <w:bookmarkStart w:id="429" w:name="_Toc370802478"/>
      <w:bookmarkStart w:id="430" w:name="_Toc67046899"/>
      <w:bookmarkStart w:id="431" w:name="_Toc371489960"/>
      <w:bookmarkStart w:id="432" w:name="_Toc462677238"/>
    </w:p>
    <w:p w14:paraId="139B7EB5">
      <w:pPr>
        <w:pStyle w:val="4"/>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br w:type="page"/>
      </w:r>
      <w:r>
        <w:rPr>
          <w:rFonts w:hint="eastAsia" w:ascii="宋体" w:hAnsi="宋体" w:eastAsia="宋体"/>
          <w:color w:val="auto"/>
          <w:sz w:val="24"/>
          <w:szCs w:val="24"/>
          <w:highlight w:val="none"/>
        </w:rPr>
        <w:t>1.6中小企业声明函</w:t>
      </w:r>
      <w:bookmarkEnd w:id="428"/>
      <w:bookmarkEnd w:id="429"/>
      <w:bookmarkEnd w:id="430"/>
      <w:bookmarkEnd w:id="431"/>
      <w:bookmarkEnd w:id="432"/>
      <w:r>
        <w:rPr>
          <w:rFonts w:hint="eastAsia" w:ascii="宋体" w:hAnsi="宋体" w:eastAsia="宋体"/>
          <w:color w:val="auto"/>
          <w:sz w:val="24"/>
          <w:szCs w:val="24"/>
          <w:highlight w:val="none"/>
        </w:rPr>
        <w:t>（如有）</w:t>
      </w:r>
    </w:p>
    <w:p w14:paraId="48B3ED58">
      <w:pPr>
        <w:spacing w:line="360" w:lineRule="auto"/>
        <w:ind w:firstLine="562"/>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中小企业声明函（服务）</w:t>
      </w:r>
    </w:p>
    <w:p w14:paraId="656CCF11">
      <w:pPr>
        <w:wordWrap w:val="0"/>
        <w:spacing w:line="460" w:lineRule="exact"/>
        <w:ind w:firstLine="420" w:firstLineChars="200"/>
        <w:rPr>
          <w:color w:val="auto"/>
          <w:highlight w:val="none"/>
        </w:rPr>
      </w:pPr>
      <w:r>
        <w:rPr>
          <w:rFonts w:hint="eastAsia"/>
          <w:color w:val="auto"/>
          <w:highlight w:val="none"/>
        </w:rPr>
        <w:t>本公司（联合体）郑重声明，根据《政府采购促进中小企业发展管理办法》（财库﹝2020﹞46 号）的规定，本公司（联合体）参加</w:t>
      </w:r>
      <w:r>
        <w:rPr>
          <w:rFonts w:hint="eastAsia"/>
          <w:color w:val="auto"/>
          <w:highlight w:val="none"/>
          <w:u w:val="single"/>
        </w:rPr>
        <w:t xml:space="preserve"> 广东海洋大学 </w:t>
      </w:r>
      <w:r>
        <w:rPr>
          <w:rFonts w:hint="eastAsia"/>
          <w:color w:val="auto"/>
          <w:highlight w:val="none"/>
        </w:rPr>
        <w:t>的</w:t>
      </w:r>
      <w:r>
        <w:rPr>
          <w:rFonts w:hint="eastAsia"/>
          <w:color w:val="auto"/>
          <w:highlight w:val="none"/>
          <w:u w:val="single"/>
        </w:rPr>
        <w:t xml:space="preserve">  分析测试中心大型及贵重仪器共享平台建设-仪器租赁  </w:t>
      </w:r>
      <w:r>
        <w:rPr>
          <w:rFonts w:hint="eastAsia"/>
          <w:color w:val="auto"/>
          <w:highlight w:val="none"/>
        </w:rPr>
        <w:t>采购活动，</w:t>
      </w:r>
      <w:r>
        <w:rPr>
          <w:color w:val="auto"/>
          <w:highlight w:val="none"/>
        </w:rPr>
        <w:t>服务全部由符合政策要求的中小企业承接</w:t>
      </w:r>
      <w:r>
        <w:rPr>
          <w:rFonts w:hint="eastAsia"/>
          <w:color w:val="auto"/>
          <w:highlight w:val="none"/>
        </w:rPr>
        <w:t>。相关企业（含联合体中的中小企业、签订分包意向协议的中小企业）的具体情况如下：</w:t>
      </w:r>
    </w:p>
    <w:p w14:paraId="5D65FC81">
      <w:pPr>
        <w:wordWrap w:val="0"/>
        <w:spacing w:line="460" w:lineRule="exact"/>
        <w:ind w:firstLine="420" w:firstLineChars="200"/>
        <w:rPr>
          <w:color w:val="auto"/>
          <w:highlight w:val="none"/>
        </w:rPr>
      </w:pPr>
      <w:r>
        <w:rPr>
          <w:rFonts w:hint="eastAsia"/>
          <w:color w:val="auto"/>
          <w:highlight w:val="none"/>
        </w:rPr>
        <w:t>1.</w:t>
      </w:r>
      <w:r>
        <w:rPr>
          <w:rFonts w:hint="eastAsia"/>
          <w:color w:val="auto"/>
          <w:highlight w:val="none"/>
          <w:u w:val="single"/>
        </w:rPr>
        <w:t xml:space="preserve"> 分析测试中心大型及贵重仪器共享平台建设-仪器租赁 </w:t>
      </w:r>
      <w:r>
        <w:rPr>
          <w:rFonts w:hint="eastAsia"/>
          <w:color w:val="auto"/>
          <w:highlight w:val="none"/>
        </w:rPr>
        <w:t>，属于</w:t>
      </w:r>
      <w:r>
        <w:rPr>
          <w:rFonts w:hint="eastAsia"/>
          <w:color w:val="auto"/>
          <w:highlight w:val="none"/>
          <w:u w:val="single"/>
        </w:rPr>
        <w:t xml:space="preserve"> 租赁和商务服务业 </w:t>
      </w:r>
      <w:r>
        <w:rPr>
          <w:rFonts w:hint="eastAsia"/>
          <w:color w:val="auto"/>
          <w:highlight w:val="none"/>
        </w:rPr>
        <w:t>，从业人员</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万元</w:t>
      </w:r>
      <w:bookmarkStart w:id="433" w:name="_Hlt74297536"/>
      <w:bookmarkStart w:id="434" w:name="_Hlt74297564"/>
      <w:bookmarkStart w:id="435" w:name="_Hlt74297537"/>
      <w:r>
        <w:rPr>
          <w:color w:val="auto"/>
          <w:highlight w:val="none"/>
        </w:rPr>
        <w:fldChar w:fldCharType="begin"/>
      </w:r>
      <w:r>
        <w:rPr>
          <w:color w:val="auto"/>
          <w:highlight w:val="none"/>
        </w:rPr>
        <w:instrText xml:space="preserve">HYPERLINK  \l "_中小企业声明函"</w:instrText>
      </w:r>
      <w:r>
        <w:rPr>
          <w:color w:val="auto"/>
          <w:highlight w:val="none"/>
        </w:rPr>
        <w:fldChar w:fldCharType="separate"/>
      </w:r>
      <w:r>
        <w:rPr>
          <w:rStyle w:val="60"/>
          <w:color w:val="auto"/>
          <w:highlight w:val="none"/>
          <w:vertAlign w:val="superscript"/>
        </w:rPr>
        <w:t>1</w:t>
      </w:r>
      <w:r>
        <w:rPr>
          <w:color w:val="auto"/>
          <w:highlight w:val="none"/>
          <w:vertAlign w:val="superscript"/>
        </w:rPr>
        <w:fldChar w:fldCharType="end"/>
      </w:r>
      <w:bookmarkEnd w:id="433"/>
      <w:bookmarkEnd w:id="434"/>
      <w:bookmarkEnd w:id="435"/>
      <w:r>
        <w:rPr>
          <w:rFonts w:hint="eastAsia"/>
          <w:color w:val="auto"/>
          <w:highlight w:val="none"/>
        </w:rPr>
        <w:t>，属于</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i/>
          <w:iCs/>
          <w:color w:val="auto"/>
          <w:highlight w:val="none"/>
          <w:u w:val="single"/>
        </w:rPr>
        <w:t>（中型企业、小型企业、微型企业）</w:t>
      </w:r>
      <w:r>
        <w:rPr>
          <w:rFonts w:hint="eastAsia"/>
          <w:color w:val="auto"/>
          <w:highlight w:val="none"/>
        </w:rPr>
        <w:t>；</w:t>
      </w:r>
    </w:p>
    <w:p w14:paraId="143DF653">
      <w:pPr>
        <w:wordWrap w:val="0"/>
        <w:spacing w:line="460" w:lineRule="exact"/>
        <w:ind w:firstLine="420" w:firstLineChars="200"/>
        <w:rPr>
          <w:color w:val="auto"/>
          <w:highlight w:val="none"/>
        </w:rPr>
      </w:pPr>
      <w:r>
        <w:rPr>
          <w:rFonts w:hint="eastAsia"/>
          <w:color w:val="auto"/>
          <w:highlight w:val="none"/>
        </w:rPr>
        <w:t>……</w:t>
      </w:r>
    </w:p>
    <w:p w14:paraId="4F8E0127">
      <w:pPr>
        <w:wordWrap w:val="0"/>
        <w:spacing w:line="460" w:lineRule="exact"/>
        <w:ind w:firstLine="420" w:firstLineChars="200"/>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09BE4521">
      <w:pPr>
        <w:wordWrap w:val="0"/>
        <w:spacing w:line="460" w:lineRule="exact"/>
        <w:ind w:firstLine="422" w:firstLineChars="200"/>
        <w:rPr>
          <w:b/>
          <w:bCs/>
          <w:color w:val="auto"/>
          <w:highlight w:val="none"/>
        </w:rPr>
      </w:pPr>
      <w:r>
        <w:rPr>
          <w:rFonts w:hint="eastAsia"/>
          <w:b/>
          <w:bCs/>
          <w:color w:val="auto"/>
          <w:highlight w:val="none"/>
        </w:rPr>
        <w:t>本企业对上述声明内容的真实性负责。如有虚假，将依法承担相应责任。</w:t>
      </w:r>
    </w:p>
    <w:p w14:paraId="0D2177B7">
      <w:pPr>
        <w:spacing w:line="360" w:lineRule="auto"/>
        <w:ind w:firstLine="438"/>
        <w:rPr>
          <w:color w:val="auto"/>
          <w:spacing w:val="4"/>
          <w:highlight w:val="none"/>
        </w:rPr>
      </w:pPr>
    </w:p>
    <w:p w14:paraId="18A59CAF">
      <w:pPr>
        <w:tabs>
          <w:tab w:val="left" w:pos="7560"/>
          <w:tab w:val="left" w:pos="8200"/>
          <w:tab w:val="left" w:pos="8400"/>
        </w:tabs>
        <w:adjustRightInd w:val="0"/>
        <w:snapToGrid w:val="0"/>
        <w:spacing w:line="400" w:lineRule="exact"/>
        <w:ind w:right="112"/>
        <w:jc w:val="left"/>
        <w:rPr>
          <w:rFonts w:ascii="宋体" w:hAnsi="宋体"/>
          <w:color w:val="auto"/>
          <w:szCs w:val="21"/>
          <w:highlight w:val="none"/>
        </w:rPr>
      </w:pPr>
      <w:r>
        <w:rPr>
          <w:rFonts w:hint="eastAsia" w:ascii="宋体" w:hAnsi="宋体"/>
          <w:color w:val="auto"/>
          <w:szCs w:val="21"/>
          <w:highlight w:val="none"/>
        </w:rPr>
        <w:t>供应商法定代表人/授权代表（签字或盖私章）：</w:t>
      </w:r>
      <w:r>
        <w:rPr>
          <w:rFonts w:hint="eastAsia" w:ascii="宋体" w:hAnsi="宋体"/>
          <w:color w:val="auto"/>
          <w:szCs w:val="21"/>
          <w:highlight w:val="none"/>
          <w:u w:val="single"/>
        </w:rPr>
        <w:t xml:space="preserve">                         </w:t>
      </w:r>
    </w:p>
    <w:p w14:paraId="1AFA395C">
      <w:pPr>
        <w:tabs>
          <w:tab w:val="left" w:pos="7560"/>
        </w:tabs>
        <w:adjustRightInd w:val="0"/>
        <w:snapToGrid w:val="0"/>
        <w:spacing w:line="400" w:lineRule="exact"/>
        <w:ind w:right="132"/>
        <w:jc w:val="left"/>
        <w:rPr>
          <w:rFonts w:ascii="宋体" w:hAnsi="宋体"/>
          <w:color w:val="auto"/>
          <w:szCs w:val="21"/>
          <w:highlight w:val="none"/>
          <w:u w:val="single"/>
        </w:rPr>
      </w:pPr>
      <w:r>
        <w:rPr>
          <w:rFonts w:hint="eastAsia" w:ascii="宋体" w:hAnsi="宋体"/>
          <w:color w:val="auto"/>
          <w:szCs w:val="21"/>
          <w:highlight w:val="none"/>
        </w:rPr>
        <w:t>供应商名称（加盖公章）：</w:t>
      </w:r>
      <w:r>
        <w:rPr>
          <w:rFonts w:hint="eastAsia" w:ascii="宋体" w:hAnsi="宋体"/>
          <w:color w:val="auto"/>
          <w:szCs w:val="21"/>
          <w:highlight w:val="none"/>
          <w:u w:val="single"/>
        </w:rPr>
        <w:t xml:space="preserve">                         </w:t>
      </w:r>
    </w:p>
    <w:p w14:paraId="39CBE521">
      <w:pPr>
        <w:spacing w:line="400" w:lineRule="exact"/>
        <w:jc w:val="left"/>
        <w:rPr>
          <w:rFonts w:ascii="宋体" w:hAnsi="宋体" w:cs="Verdana"/>
          <w:color w:val="auto"/>
          <w:kern w:val="0"/>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cs="等线"/>
          <w:color w:val="auto"/>
          <w:highlight w:val="none"/>
          <w:u w:val="single"/>
        </w:rPr>
        <w:t>.</w:t>
      </w:r>
    </w:p>
    <w:p w14:paraId="4FE675F9">
      <w:pPr>
        <w:pStyle w:val="2"/>
        <w:ind w:firstLine="562"/>
        <w:rPr>
          <w:color w:val="auto"/>
          <w:highlight w:val="none"/>
        </w:rPr>
      </w:pPr>
    </w:p>
    <w:p w14:paraId="5419AAE0">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说明：</w:t>
      </w:r>
    </w:p>
    <w:p w14:paraId="4145513B">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1.从业人员、营业收入、资产总额填报上一年度数据，无上一年度数据的新成立企业可不填报。</w:t>
      </w:r>
    </w:p>
    <w:p w14:paraId="0037FBB8">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2.针对属于专门面向中小企业采购的项目，供应商须提供本声明函。</w:t>
      </w:r>
    </w:p>
    <w:p w14:paraId="7437FF99">
      <w:pPr>
        <w:spacing w:line="36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针对不属于专门面向中小企业采购的项目，如供应商认为其为中小企业的，可选择提供本声明函，填写相应信息，并明确企业类型，否则评审时不能享受相应的价格扣除；如供应商认为其非中小企业的，则无须提供本声明函。</w:t>
      </w:r>
    </w:p>
    <w:p w14:paraId="0A3AE105">
      <w:pPr>
        <w:spacing w:line="360" w:lineRule="exact"/>
        <w:ind w:firstLine="420" w:firstLineChars="200"/>
        <w:rPr>
          <w:rFonts w:ascii="宋体" w:hAnsi="宋体" w:cs="宋体"/>
          <w:color w:val="auto"/>
          <w:szCs w:val="21"/>
          <w:highlight w:val="none"/>
        </w:rPr>
      </w:pPr>
      <w:bookmarkStart w:id="436" w:name="_Hlk88474496"/>
      <w:r>
        <w:rPr>
          <w:rFonts w:hint="eastAsia" w:ascii="宋体" w:hAnsi="宋体" w:cs="宋体"/>
          <w:color w:val="auto"/>
          <w:szCs w:val="21"/>
          <w:highlight w:val="none"/>
        </w:rPr>
        <w:t>4</w:t>
      </w:r>
      <w:r>
        <w:rPr>
          <w:rFonts w:ascii="宋体" w:hAnsi="宋体" w:cs="宋体"/>
          <w:color w:val="auto"/>
          <w:szCs w:val="21"/>
          <w:highlight w:val="none"/>
        </w:rPr>
        <w:t>.</w:t>
      </w:r>
      <w:r>
        <w:rPr>
          <w:rFonts w:hint="eastAsia" w:ascii="宋体" w:hAnsi="宋体" w:cs="宋体"/>
          <w:color w:val="auto"/>
          <w:szCs w:val="21"/>
          <w:highlight w:val="none"/>
        </w:rPr>
        <w:t>供应商应当对其出具的《中小企业声明函》真实性负责，供应商出具的《中小企业声明函》内容不实的，属于虚假承诺，可能面临因提供虚假资料谋取中标（成交）被监管部门追究相关法律责任。请供应商务必依据规定谨慎提供声明，避免不必要的法律风险。</w:t>
      </w:r>
    </w:p>
    <w:p w14:paraId="77B473C9">
      <w:pPr>
        <w:spacing w:line="360" w:lineRule="exact"/>
        <w:ind w:firstLine="422" w:firstLineChars="200"/>
        <w:rPr>
          <w:rFonts w:ascii="宋体" w:hAnsi="宋体" w:cs="宋体"/>
          <w:b/>
          <w:bCs/>
          <w:color w:val="auto"/>
          <w:szCs w:val="21"/>
          <w:highlight w:val="none"/>
        </w:rPr>
      </w:pPr>
      <w:r>
        <w:rPr>
          <w:rFonts w:ascii="宋体" w:hAnsi="宋体" w:cs="宋体"/>
          <w:b/>
          <w:bCs/>
          <w:color w:val="auto"/>
          <w:szCs w:val="21"/>
          <w:highlight w:val="none"/>
        </w:rPr>
        <w:t>5</w:t>
      </w:r>
      <w:r>
        <w:rPr>
          <w:rFonts w:hint="eastAsia" w:ascii="宋体" w:hAnsi="宋体" w:cs="宋体"/>
          <w:b/>
          <w:bCs/>
          <w:color w:val="auto"/>
          <w:szCs w:val="21"/>
          <w:highlight w:val="none"/>
        </w:rPr>
        <w:t>.本项目分析测试中心大型及贵重仪器共享平台建设-仪器租赁属于：租赁和商务服务业。</w:t>
      </w:r>
    </w:p>
    <w:p w14:paraId="4669985B">
      <w:pPr>
        <w:spacing w:line="360" w:lineRule="exact"/>
        <w:ind w:firstLine="420" w:firstLineChars="200"/>
        <w:rPr>
          <w:rFonts w:ascii="宋体" w:hAnsi="宋体" w:cs="宋体"/>
          <w:color w:val="auto"/>
          <w:szCs w:val="21"/>
          <w:highlight w:val="none"/>
        </w:rPr>
      </w:pPr>
      <w:r>
        <w:rPr>
          <w:rFonts w:ascii="宋体" w:hAnsi="宋体" w:cs="宋体"/>
          <w:color w:val="auto"/>
          <w:szCs w:val="21"/>
          <w:highlight w:val="none"/>
        </w:rPr>
        <w:t>6</w:t>
      </w:r>
      <w:r>
        <w:rPr>
          <w:rFonts w:hint="eastAsia" w:ascii="宋体" w:hAnsi="宋体" w:cs="宋体"/>
          <w:color w:val="auto"/>
          <w:szCs w:val="21"/>
          <w:highlight w:val="none"/>
        </w:rPr>
        <w:t xml:space="preserve">.供应商根据采购文件中明确的行业所对应的划分标准，判断其是否属于中小企业，如属于中小企业，请根据自身情况三选一（中型企业、小型企业、微型企业）填写。 </w:t>
      </w:r>
    </w:p>
    <w:p w14:paraId="2E79131E">
      <w:pPr>
        <w:spacing w:line="360" w:lineRule="exact"/>
        <w:ind w:firstLine="420" w:firstLineChars="200"/>
        <w:rPr>
          <w:rFonts w:ascii="宋体" w:hAnsi="宋体" w:cs="宋体"/>
          <w:color w:val="auto"/>
          <w:szCs w:val="21"/>
          <w:highlight w:val="none"/>
        </w:rPr>
      </w:pPr>
      <w:r>
        <w:rPr>
          <w:rFonts w:ascii="宋体" w:hAnsi="宋体" w:cs="宋体"/>
          <w:color w:val="auto"/>
          <w:szCs w:val="21"/>
          <w:highlight w:val="none"/>
        </w:rPr>
        <w:t>7</w:t>
      </w:r>
      <w:r>
        <w:rPr>
          <w:rFonts w:hint="eastAsia" w:ascii="宋体" w:hAnsi="宋体" w:cs="宋体"/>
          <w:color w:val="auto"/>
          <w:szCs w:val="21"/>
          <w:highlight w:val="none"/>
        </w:rPr>
        <w:t>.为方便广大中小企业识别企业规模类型，可通过中小企业规模类型自测小程序（http：//202.106.120.146/baosong/appweb/orgScale.html）进行查询。</w:t>
      </w:r>
    </w:p>
    <w:bookmarkEnd w:id="436"/>
    <w:p w14:paraId="2A92876A">
      <w:pPr>
        <w:spacing w:line="360" w:lineRule="auto"/>
        <w:rPr>
          <w:rFonts w:ascii="宋体" w:hAnsi="宋体" w:cs="Courier New"/>
          <w:color w:val="auto"/>
          <w:kern w:val="0"/>
          <w:highlight w:val="none"/>
        </w:rPr>
      </w:pPr>
    </w:p>
    <w:p w14:paraId="1A9B9756">
      <w:pPr>
        <w:spacing w:line="360" w:lineRule="auto"/>
        <w:ind w:firstLine="420"/>
        <w:rPr>
          <w:rFonts w:ascii="宋体" w:hAnsi="宋体" w:cs="Courier New"/>
          <w:b/>
          <w:bCs/>
          <w:color w:val="auto"/>
          <w:kern w:val="0"/>
          <w:highlight w:val="none"/>
        </w:rPr>
      </w:pPr>
    </w:p>
    <w:p w14:paraId="2F7F2C3C">
      <w:pPr>
        <w:pStyle w:val="4"/>
        <w:spacing w:line="360" w:lineRule="auto"/>
        <w:ind w:firstLine="480"/>
        <w:rPr>
          <w:rFonts w:ascii="宋体" w:hAnsi="宋体" w:eastAsia="宋体"/>
          <w:color w:val="auto"/>
          <w:sz w:val="24"/>
          <w:szCs w:val="24"/>
          <w:highlight w:val="none"/>
        </w:rPr>
      </w:pPr>
      <w:bookmarkStart w:id="437" w:name="_Toc67046900"/>
      <w:r>
        <w:rPr>
          <w:rFonts w:hint="eastAsia" w:ascii="宋体" w:hAnsi="宋体" w:eastAsia="宋体"/>
          <w:color w:val="auto"/>
          <w:sz w:val="24"/>
          <w:szCs w:val="24"/>
          <w:highlight w:val="none"/>
        </w:rPr>
        <w:t>1.7监狱企业的证明文件（如有</w:t>
      </w:r>
      <w:bookmarkEnd w:id="437"/>
      <w:r>
        <w:rPr>
          <w:rFonts w:hint="eastAsia" w:ascii="宋体" w:hAnsi="宋体" w:eastAsia="宋体"/>
          <w:color w:val="auto"/>
          <w:sz w:val="24"/>
          <w:szCs w:val="24"/>
          <w:highlight w:val="none"/>
        </w:rPr>
        <w:t>）</w:t>
      </w:r>
    </w:p>
    <w:p w14:paraId="341AFF91">
      <w:pPr>
        <w:pStyle w:val="44"/>
        <w:spacing w:line="360" w:lineRule="auto"/>
        <w:ind w:firstLine="520"/>
        <w:jc w:val="center"/>
        <w:rPr>
          <w:rStyle w:val="52"/>
          <w:rFonts w:ascii="宋体" w:hAnsi="宋体" w:eastAsia="宋体"/>
          <w:color w:val="auto"/>
          <w:highlight w:val="none"/>
        </w:rPr>
      </w:pPr>
      <w:r>
        <w:rPr>
          <w:rStyle w:val="52"/>
          <w:rFonts w:hint="eastAsia" w:ascii="宋体" w:hAnsi="宋体" w:eastAsia="宋体"/>
          <w:color w:val="auto"/>
          <w:highlight w:val="none"/>
        </w:rPr>
        <w:t>监狱企业的证明文件</w:t>
      </w:r>
    </w:p>
    <w:p w14:paraId="5EE4FB1B">
      <w:pPr>
        <w:spacing w:line="500" w:lineRule="exact"/>
        <w:rPr>
          <w:rFonts w:ascii="宋体" w:hAnsi="宋体"/>
          <w:color w:val="auto"/>
          <w:highlight w:val="none"/>
        </w:rPr>
      </w:pPr>
      <w:bookmarkStart w:id="438" w:name="_Hlk70610832"/>
      <w:r>
        <w:rPr>
          <w:rFonts w:ascii="宋体" w:hAnsi="宋体"/>
          <w:color w:val="auto"/>
          <w:szCs w:val="21"/>
          <w:highlight w:val="none"/>
        </w:rPr>
        <w:t>……</w:t>
      </w:r>
      <w:r>
        <w:rPr>
          <w:rFonts w:hint="eastAsia" w:ascii="宋体" w:hAnsi="宋体"/>
          <w:color w:val="auto"/>
          <w:szCs w:val="21"/>
          <w:highlight w:val="none"/>
        </w:rPr>
        <w:t>（格式自拟）</w:t>
      </w:r>
    </w:p>
    <w:bookmarkEnd w:id="438"/>
    <w:p w14:paraId="4DE7C2E5">
      <w:pPr>
        <w:pStyle w:val="48"/>
        <w:rPr>
          <w:color w:val="auto"/>
          <w:highlight w:val="none"/>
        </w:rPr>
      </w:pPr>
    </w:p>
    <w:p w14:paraId="4B650999">
      <w:pPr>
        <w:adjustRightInd w:val="0"/>
        <w:snapToGrid w:val="0"/>
        <w:spacing w:line="360" w:lineRule="auto"/>
        <w:ind w:right="840"/>
        <w:jc w:val="left"/>
        <w:rPr>
          <w:rFonts w:ascii="宋体" w:hAnsi="宋体"/>
          <w:color w:val="auto"/>
          <w:szCs w:val="21"/>
          <w:highlight w:val="none"/>
        </w:rPr>
      </w:pPr>
      <w:r>
        <w:rPr>
          <w:rFonts w:hint="eastAsia" w:ascii="宋体" w:hAnsi="宋体"/>
          <w:color w:val="auto"/>
          <w:szCs w:val="21"/>
          <w:highlight w:val="none"/>
        </w:rPr>
        <w:t>供应商法定代表人/授权代表（签字或盖私章）：</w:t>
      </w:r>
      <w:r>
        <w:rPr>
          <w:rFonts w:hint="eastAsia" w:ascii="宋体" w:hAnsi="宋体"/>
          <w:color w:val="auto"/>
          <w:szCs w:val="21"/>
          <w:highlight w:val="none"/>
          <w:u w:val="single"/>
        </w:rPr>
        <w:t xml:space="preserve">                   </w:t>
      </w:r>
    </w:p>
    <w:p w14:paraId="7EA4FDF4">
      <w:pPr>
        <w:adjustRightInd w:val="0"/>
        <w:snapToGrid w:val="0"/>
        <w:spacing w:line="360" w:lineRule="auto"/>
        <w:ind w:right="840"/>
        <w:jc w:val="left"/>
        <w:rPr>
          <w:rFonts w:ascii="宋体" w:hAnsi="宋体"/>
          <w:color w:val="auto"/>
          <w:szCs w:val="21"/>
          <w:highlight w:val="none"/>
          <w:u w:val="single"/>
        </w:rPr>
      </w:pPr>
      <w:r>
        <w:rPr>
          <w:rFonts w:hint="eastAsia" w:ascii="宋体" w:hAnsi="宋体"/>
          <w:color w:val="auto"/>
          <w:szCs w:val="21"/>
          <w:highlight w:val="none"/>
        </w:rPr>
        <w:t>供应商名称（加盖公章）：</w:t>
      </w:r>
      <w:r>
        <w:rPr>
          <w:rFonts w:hint="eastAsia" w:ascii="宋体" w:hAnsi="宋体"/>
          <w:color w:val="auto"/>
          <w:szCs w:val="21"/>
          <w:highlight w:val="none"/>
          <w:u w:val="single"/>
        </w:rPr>
        <w:t xml:space="preserve">                        </w:t>
      </w:r>
    </w:p>
    <w:p w14:paraId="212CD0CF">
      <w:pPr>
        <w:adjustRightInd w:val="0"/>
        <w:snapToGrid w:val="0"/>
        <w:spacing w:line="360" w:lineRule="auto"/>
        <w:ind w:right="840"/>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C300FC0">
      <w:pPr>
        <w:spacing w:line="360" w:lineRule="auto"/>
        <w:ind w:firstLine="438"/>
        <w:rPr>
          <w:rFonts w:ascii="宋体" w:hAnsi="宋体"/>
          <w:color w:val="auto"/>
          <w:spacing w:val="4"/>
          <w:highlight w:val="none"/>
        </w:rPr>
      </w:pPr>
    </w:p>
    <w:p w14:paraId="2B51528E">
      <w:pPr>
        <w:spacing w:line="440" w:lineRule="exact"/>
        <w:rPr>
          <w:rFonts w:ascii="宋体" w:hAnsi="宋体"/>
          <w:color w:val="auto"/>
          <w:highlight w:val="none"/>
        </w:rPr>
      </w:pPr>
      <w:bookmarkStart w:id="439" w:name="_Hlk70610837"/>
      <w:r>
        <w:rPr>
          <w:rFonts w:hint="eastAsia" w:ascii="宋体" w:hAnsi="宋体"/>
          <w:color w:val="auto"/>
          <w:highlight w:val="none"/>
        </w:rPr>
        <w:t>说明：</w:t>
      </w:r>
    </w:p>
    <w:p w14:paraId="41D1B873">
      <w:pPr>
        <w:spacing w:line="440" w:lineRule="exact"/>
        <w:rPr>
          <w:rFonts w:ascii="宋体" w:hAnsi="宋体"/>
          <w:color w:val="auto"/>
          <w:highlight w:val="none"/>
        </w:rPr>
      </w:pPr>
      <w:r>
        <w:rPr>
          <w:rFonts w:ascii="宋体" w:hAnsi="宋体"/>
          <w:color w:val="auto"/>
          <w:highlight w:val="none"/>
        </w:rPr>
        <w:t>1.</w:t>
      </w:r>
      <w:r>
        <w:rPr>
          <w:rFonts w:hint="eastAsia" w:ascii="宋体" w:hAnsi="宋体"/>
          <w:color w:val="auto"/>
          <w:highlight w:val="none"/>
        </w:rPr>
        <w:t>监狱企业参加政府采购活动时，应当提供由省级以上监狱管理局、戒毒管理局（含新疆生产建设兵团）出具的属于监狱企业的证明文件；</w:t>
      </w:r>
    </w:p>
    <w:p w14:paraId="52A25F86">
      <w:pPr>
        <w:spacing w:line="440" w:lineRule="exact"/>
        <w:rPr>
          <w:rFonts w:ascii="宋体" w:hAnsi="宋体"/>
          <w:color w:val="auto"/>
          <w:highlight w:val="none"/>
        </w:rPr>
      </w:pPr>
      <w:r>
        <w:rPr>
          <w:rFonts w:ascii="宋体" w:hAnsi="宋体"/>
          <w:color w:val="auto"/>
          <w:highlight w:val="none"/>
        </w:rPr>
        <w:t>2.</w:t>
      </w:r>
      <w:r>
        <w:rPr>
          <w:rFonts w:hint="eastAsia" w:ascii="宋体" w:hAnsi="宋体"/>
          <w:color w:val="auto"/>
          <w:highlight w:val="none"/>
        </w:rPr>
        <w:t>如供应商不属于监狱企业，则无须提供。</w:t>
      </w:r>
    </w:p>
    <w:bookmarkEnd w:id="439"/>
    <w:p w14:paraId="7E4D3FAD">
      <w:pPr>
        <w:spacing w:line="360" w:lineRule="auto"/>
        <w:ind w:firstLine="438"/>
        <w:rPr>
          <w:rFonts w:ascii="宋体" w:hAnsi="宋体"/>
          <w:color w:val="auto"/>
          <w:spacing w:val="4"/>
          <w:highlight w:val="none"/>
        </w:rPr>
      </w:pPr>
    </w:p>
    <w:p w14:paraId="2E5D8A72">
      <w:pPr>
        <w:spacing w:line="360" w:lineRule="auto"/>
        <w:ind w:firstLine="438"/>
        <w:rPr>
          <w:rFonts w:ascii="宋体" w:hAnsi="宋体"/>
          <w:color w:val="auto"/>
          <w:spacing w:val="4"/>
          <w:highlight w:val="none"/>
        </w:rPr>
      </w:pPr>
    </w:p>
    <w:p w14:paraId="784428DE">
      <w:pPr>
        <w:pStyle w:val="4"/>
        <w:spacing w:line="360" w:lineRule="auto"/>
        <w:ind w:firstLine="656"/>
        <w:rPr>
          <w:rFonts w:ascii="宋体" w:hAnsi="宋体" w:eastAsia="宋体"/>
          <w:color w:val="auto"/>
          <w:sz w:val="24"/>
          <w:szCs w:val="24"/>
          <w:highlight w:val="none"/>
        </w:rPr>
      </w:pPr>
      <w:r>
        <w:rPr>
          <w:rFonts w:ascii="宋体" w:hAnsi="宋体" w:eastAsia="宋体"/>
          <w:color w:val="auto"/>
          <w:spacing w:val="4"/>
          <w:highlight w:val="none"/>
        </w:rPr>
        <w:br w:type="page"/>
      </w:r>
      <w:bookmarkStart w:id="440" w:name="_Toc67046901"/>
      <w:r>
        <w:rPr>
          <w:rFonts w:hint="eastAsia" w:ascii="宋体" w:hAnsi="宋体" w:eastAsia="宋体"/>
          <w:color w:val="auto"/>
          <w:sz w:val="24"/>
          <w:szCs w:val="24"/>
          <w:highlight w:val="none"/>
        </w:rPr>
        <w:t>1.8残疾人福利性单位声明函（如有</w:t>
      </w:r>
      <w:bookmarkEnd w:id="440"/>
      <w:r>
        <w:rPr>
          <w:rFonts w:hint="eastAsia" w:ascii="宋体" w:hAnsi="宋体" w:eastAsia="宋体"/>
          <w:color w:val="auto"/>
          <w:sz w:val="24"/>
          <w:szCs w:val="24"/>
          <w:highlight w:val="none"/>
        </w:rPr>
        <w:t>）</w:t>
      </w:r>
    </w:p>
    <w:p w14:paraId="4BDBDE2E">
      <w:pPr>
        <w:pStyle w:val="44"/>
        <w:spacing w:line="360" w:lineRule="auto"/>
        <w:ind w:firstLine="520"/>
        <w:jc w:val="center"/>
        <w:rPr>
          <w:rStyle w:val="52"/>
          <w:rFonts w:ascii="宋体" w:hAnsi="宋体" w:eastAsia="宋体"/>
          <w:color w:val="auto"/>
          <w:highlight w:val="none"/>
        </w:rPr>
      </w:pPr>
      <w:bookmarkStart w:id="441" w:name="OLE_LINK13"/>
      <w:bookmarkStart w:id="442" w:name="OLE_LINK14"/>
      <w:r>
        <w:rPr>
          <w:rStyle w:val="52"/>
          <w:rFonts w:hint="eastAsia" w:ascii="宋体" w:hAnsi="宋体" w:eastAsia="宋体"/>
          <w:color w:val="auto"/>
          <w:highlight w:val="none"/>
        </w:rPr>
        <w:t>残疾人福利性单位声明函</w:t>
      </w:r>
    </w:p>
    <w:bookmarkEnd w:id="441"/>
    <w:bookmarkEnd w:id="442"/>
    <w:p w14:paraId="11F35648">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本单位郑重声明，根据《财政部 民政部 中国残疾人联合会关于促进残疾人就业政府采购政策的通知》（财库</w:t>
      </w:r>
      <w:r>
        <w:rPr>
          <w:rFonts w:hint="eastAsia" w:ascii="宋体" w:hAnsi="宋体"/>
          <w:color w:val="auto"/>
          <w:szCs w:val="21"/>
          <w:highlight w:val="none"/>
        </w:rPr>
        <w:t>〔2017〕141</w:t>
      </w:r>
      <w:r>
        <w:rPr>
          <w:rFonts w:hint="eastAsia" w:ascii="宋体" w:hAnsi="宋体"/>
          <w:color w:val="auto"/>
          <w:spacing w:val="6"/>
          <w:szCs w:val="21"/>
          <w:highlight w:val="none"/>
        </w:rPr>
        <w:t>号）的规定，本单位为符合条件的残疾人福利性单位，且本单位参加</w:t>
      </w:r>
      <w:r>
        <w:rPr>
          <w:rFonts w:hint="eastAsia" w:ascii="宋体" w:hAnsi="宋体"/>
          <w:color w:val="auto"/>
          <w:spacing w:val="6"/>
          <w:szCs w:val="21"/>
          <w:highlight w:val="none"/>
          <w:u w:val="single"/>
        </w:rPr>
        <w:t xml:space="preserve">     </w:t>
      </w:r>
      <w:r>
        <w:rPr>
          <w:rFonts w:hint="eastAsia" w:ascii="宋体" w:hAnsi="宋体"/>
          <w:color w:val="auto"/>
          <w:spacing w:val="6"/>
          <w:szCs w:val="21"/>
          <w:highlight w:val="none"/>
        </w:rPr>
        <w:t>单位的</w:t>
      </w:r>
      <w:r>
        <w:rPr>
          <w:rFonts w:hint="eastAsia" w:ascii="宋体" w:hAnsi="宋体"/>
          <w:color w:val="auto"/>
          <w:spacing w:val="6"/>
          <w:szCs w:val="21"/>
          <w:highlight w:val="none"/>
          <w:u w:val="single"/>
        </w:rPr>
        <w:t xml:space="preserve">     </w:t>
      </w:r>
      <w:r>
        <w:rPr>
          <w:rFonts w:hint="eastAsia" w:ascii="宋体" w:hAnsi="宋体"/>
          <w:color w:val="auto"/>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2B1F2A44">
      <w:pPr>
        <w:spacing w:line="588" w:lineRule="exact"/>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本单位对上述声明的真实性负责。如有虚假，将依法承担相应责任。</w:t>
      </w:r>
    </w:p>
    <w:p w14:paraId="0403F467">
      <w:pPr>
        <w:spacing w:line="588" w:lineRule="exact"/>
        <w:ind w:firstLine="444" w:firstLineChars="200"/>
        <w:rPr>
          <w:rFonts w:ascii="宋体" w:hAnsi="宋体"/>
          <w:color w:val="auto"/>
          <w:spacing w:val="6"/>
          <w:szCs w:val="21"/>
          <w:highlight w:val="none"/>
        </w:rPr>
      </w:pPr>
    </w:p>
    <w:p w14:paraId="7D82E0B4">
      <w:pPr>
        <w:spacing w:line="588" w:lineRule="exact"/>
        <w:ind w:firstLine="444" w:firstLineChars="200"/>
        <w:rPr>
          <w:rFonts w:ascii="宋体" w:hAnsi="宋体"/>
          <w:color w:val="auto"/>
          <w:spacing w:val="6"/>
          <w:szCs w:val="21"/>
          <w:highlight w:val="none"/>
        </w:rPr>
      </w:pPr>
    </w:p>
    <w:p w14:paraId="3BC4B4AF">
      <w:pPr>
        <w:adjustRightInd w:val="0"/>
        <w:snapToGrid w:val="0"/>
        <w:spacing w:line="360" w:lineRule="auto"/>
        <w:ind w:right="840"/>
        <w:jc w:val="left"/>
        <w:rPr>
          <w:rFonts w:ascii="宋体" w:hAnsi="宋体"/>
          <w:color w:val="auto"/>
          <w:szCs w:val="21"/>
          <w:highlight w:val="none"/>
        </w:rPr>
      </w:pPr>
      <w:r>
        <w:rPr>
          <w:rFonts w:hint="eastAsia" w:ascii="宋体" w:hAnsi="宋体"/>
          <w:color w:val="auto"/>
          <w:szCs w:val="21"/>
          <w:highlight w:val="none"/>
        </w:rPr>
        <w:t>供应商法定代表人/授权代表（签字或盖私章）：</w:t>
      </w:r>
      <w:r>
        <w:rPr>
          <w:rFonts w:hint="eastAsia" w:ascii="宋体" w:hAnsi="宋体"/>
          <w:color w:val="auto"/>
          <w:szCs w:val="21"/>
          <w:highlight w:val="none"/>
          <w:u w:val="single"/>
        </w:rPr>
        <w:t xml:space="preserve">                   </w:t>
      </w:r>
    </w:p>
    <w:p w14:paraId="4F4FB002">
      <w:pPr>
        <w:adjustRightInd w:val="0"/>
        <w:snapToGrid w:val="0"/>
        <w:spacing w:line="360" w:lineRule="auto"/>
        <w:ind w:right="840"/>
        <w:jc w:val="left"/>
        <w:rPr>
          <w:rFonts w:ascii="宋体" w:hAnsi="宋体"/>
          <w:color w:val="auto"/>
          <w:szCs w:val="21"/>
          <w:highlight w:val="none"/>
          <w:u w:val="single"/>
        </w:rPr>
      </w:pPr>
      <w:r>
        <w:rPr>
          <w:rFonts w:hint="eastAsia" w:ascii="宋体" w:hAnsi="宋体"/>
          <w:color w:val="auto"/>
          <w:szCs w:val="21"/>
          <w:highlight w:val="none"/>
        </w:rPr>
        <w:t>供应商名称（加盖公章）：</w:t>
      </w:r>
      <w:r>
        <w:rPr>
          <w:rFonts w:hint="eastAsia" w:ascii="宋体" w:hAnsi="宋体"/>
          <w:color w:val="auto"/>
          <w:szCs w:val="21"/>
          <w:highlight w:val="none"/>
          <w:u w:val="single"/>
        </w:rPr>
        <w:t xml:space="preserve">                        </w:t>
      </w:r>
    </w:p>
    <w:p w14:paraId="22806968">
      <w:pPr>
        <w:adjustRightInd w:val="0"/>
        <w:snapToGrid w:val="0"/>
        <w:spacing w:line="360" w:lineRule="auto"/>
        <w:ind w:right="840"/>
        <w:jc w:val="left"/>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63B0223C">
      <w:pPr>
        <w:spacing w:line="360" w:lineRule="auto"/>
        <w:rPr>
          <w:rFonts w:ascii="宋体" w:hAnsi="宋体"/>
          <w:color w:val="auto"/>
          <w:highlight w:val="none"/>
        </w:rPr>
      </w:pPr>
    </w:p>
    <w:p w14:paraId="3FF43222">
      <w:pPr>
        <w:tabs>
          <w:tab w:val="left" w:pos="4860"/>
        </w:tabs>
        <w:spacing w:line="588" w:lineRule="exact"/>
        <w:ind w:right="1560" w:firstLine="444" w:firstLineChars="200"/>
        <w:jc w:val="center"/>
        <w:rPr>
          <w:rFonts w:ascii="宋体" w:hAnsi="宋体"/>
          <w:color w:val="auto"/>
          <w:spacing w:val="6"/>
          <w:szCs w:val="21"/>
          <w:highlight w:val="none"/>
        </w:rPr>
      </w:pPr>
    </w:p>
    <w:p w14:paraId="5F5EDF04">
      <w:pPr>
        <w:spacing w:line="588" w:lineRule="exact"/>
        <w:ind w:firstLine="446"/>
        <w:rPr>
          <w:rFonts w:ascii="宋体" w:hAnsi="宋体"/>
          <w:b/>
          <w:bCs/>
          <w:color w:val="auto"/>
          <w:spacing w:val="6"/>
          <w:szCs w:val="21"/>
          <w:highlight w:val="none"/>
        </w:rPr>
      </w:pPr>
      <w:bookmarkStart w:id="443" w:name="_Hlk70610856"/>
      <w:r>
        <w:rPr>
          <w:rFonts w:hint="eastAsia" w:ascii="宋体" w:hAnsi="宋体"/>
          <w:color w:val="auto"/>
          <w:spacing w:val="6"/>
          <w:szCs w:val="21"/>
          <w:highlight w:val="none"/>
        </w:rPr>
        <w:t>注：如供应商不属于残疾人福利单位，则无须提供。</w:t>
      </w:r>
    </w:p>
    <w:bookmarkEnd w:id="443"/>
    <w:p w14:paraId="5029E153">
      <w:pPr>
        <w:spacing w:line="360" w:lineRule="auto"/>
        <w:ind w:firstLine="438"/>
        <w:rPr>
          <w:rFonts w:ascii="宋体" w:hAnsi="宋体"/>
          <w:color w:val="auto"/>
          <w:spacing w:val="4"/>
          <w:highlight w:val="none"/>
        </w:rPr>
      </w:pPr>
    </w:p>
    <w:p w14:paraId="5E0C97ED">
      <w:pPr>
        <w:spacing w:line="360" w:lineRule="auto"/>
        <w:ind w:firstLine="482"/>
        <w:rPr>
          <w:rFonts w:ascii="宋体" w:hAnsi="宋体"/>
          <w:color w:val="auto"/>
          <w:sz w:val="24"/>
          <w:highlight w:val="none"/>
        </w:rPr>
        <w:sectPr>
          <w:headerReference r:id="rId12" w:type="first"/>
          <w:pgSz w:w="11906" w:h="16838"/>
          <w:pgMar w:top="1109" w:right="1797" w:bottom="1440" w:left="1797" w:header="851" w:footer="992" w:gutter="0"/>
          <w:paperSrc w:first="7"/>
          <w:cols w:space="720" w:num="1"/>
          <w:titlePg/>
          <w:docGrid w:linePitch="312" w:charSpace="0"/>
        </w:sectPr>
      </w:pPr>
    </w:p>
    <w:p w14:paraId="148CEC5B">
      <w:pPr>
        <w:pStyle w:val="5"/>
        <w:spacing w:line="240" w:lineRule="auto"/>
        <w:ind w:firstLine="560"/>
        <w:rPr>
          <w:rFonts w:ascii="宋体" w:hAnsi="宋体" w:eastAsia="宋体"/>
          <w:bCs w:val="0"/>
          <w:color w:val="auto"/>
          <w:sz w:val="28"/>
          <w:szCs w:val="28"/>
          <w:highlight w:val="none"/>
        </w:rPr>
      </w:pPr>
      <w:bookmarkStart w:id="444" w:name="_Toc14221"/>
      <w:bookmarkStart w:id="445" w:name="_Toc18785"/>
      <w:bookmarkStart w:id="446" w:name="_Toc20045"/>
      <w:bookmarkStart w:id="447" w:name="_Toc7486"/>
      <w:bookmarkStart w:id="448" w:name="_Toc29456"/>
      <w:bookmarkStart w:id="449" w:name="_Toc20644"/>
      <w:bookmarkStart w:id="450" w:name="_Toc11385"/>
      <w:bookmarkStart w:id="451" w:name="_Toc16233"/>
      <w:bookmarkStart w:id="452" w:name="_Toc68789541"/>
      <w:bookmarkStart w:id="453" w:name="_Toc67046902"/>
      <w:bookmarkStart w:id="454" w:name="_Toc202816997"/>
      <w:bookmarkStart w:id="455" w:name="_Toc70528469"/>
      <w:bookmarkStart w:id="456" w:name="_Toc202251701"/>
      <w:bookmarkStart w:id="457" w:name="_Toc276645584"/>
      <w:bookmarkStart w:id="458" w:name="_Toc202252035"/>
      <w:bookmarkStart w:id="459" w:name="_Toc202819879"/>
      <w:bookmarkStart w:id="460" w:name="_Toc462677240"/>
      <w:bookmarkStart w:id="461" w:name="_Toc202254106"/>
      <w:bookmarkStart w:id="462" w:name="_Toc259090987"/>
      <w:bookmarkStart w:id="463" w:name="_Toc202251076"/>
      <w:bookmarkStart w:id="464" w:name="_Hlk24378921"/>
      <w:bookmarkStart w:id="465" w:name="_Toc202820352"/>
      <w:r>
        <w:rPr>
          <w:rFonts w:hint="eastAsia" w:ascii="宋体" w:hAnsi="宋体" w:eastAsia="宋体"/>
          <w:bCs w:val="0"/>
          <w:color w:val="auto"/>
          <w:sz w:val="28"/>
          <w:szCs w:val="28"/>
          <w:highlight w:val="none"/>
        </w:rPr>
        <w:t>二、商务文件</w:t>
      </w:r>
      <w:bookmarkEnd w:id="444"/>
      <w:bookmarkEnd w:id="445"/>
      <w:bookmarkEnd w:id="446"/>
      <w:bookmarkEnd w:id="447"/>
      <w:bookmarkEnd w:id="448"/>
      <w:bookmarkEnd w:id="449"/>
      <w:bookmarkEnd w:id="450"/>
      <w:bookmarkEnd w:id="451"/>
    </w:p>
    <w:p w14:paraId="7F4CB99F">
      <w:pPr>
        <w:rPr>
          <w:rFonts w:ascii="宋体" w:hAnsi="宋体"/>
          <w:color w:val="auto"/>
          <w:highlight w:val="none"/>
        </w:rPr>
      </w:pPr>
    </w:p>
    <w:p w14:paraId="5CA7427C">
      <w:pPr>
        <w:pStyle w:val="4"/>
        <w:spacing w:line="360" w:lineRule="auto"/>
        <w:ind w:firstLine="480"/>
        <w:rPr>
          <w:rFonts w:ascii="宋体" w:hAnsi="宋体" w:eastAsia="宋体"/>
          <w:color w:val="auto"/>
          <w:sz w:val="24"/>
          <w:szCs w:val="24"/>
          <w:highlight w:val="none"/>
        </w:rPr>
      </w:pPr>
      <w:bookmarkStart w:id="466" w:name="_Toc462677241"/>
      <w:bookmarkStart w:id="467" w:name="_Toc67046903"/>
      <w:bookmarkStart w:id="468" w:name="_Toc6322303"/>
      <w:bookmarkStart w:id="469" w:name="_Toc351386963"/>
      <w:bookmarkStart w:id="470" w:name="_Toc425161124"/>
      <w:bookmarkStart w:id="471" w:name="_Toc462677246"/>
      <w:bookmarkStart w:id="472" w:name="_Toc259090991"/>
      <w:bookmarkStart w:id="473" w:name="_Toc202254107"/>
      <w:bookmarkStart w:id="474" w:name="_Toc202252036"/>
      <w:bookmarkStart w:id="475" w:name="_Toc202819880"/>
      <w:bookmarkStart w:id="476" w:name="_Toc202251702"/>
      <w:bookmarkStart w:id="477" w:name="_Toc202820353"/>
      <w:bookmarkStart w:id="478" w:name="_Toc202816998"/>
      <w:bookmarkStart w:id="479" w:name="_Toc202251077"/>
      <w:r>
        <w:rPr>
          <w:rFonts w:hint="eastAsia" w:ascii="宋体" w:hAnsi="宋体" w:eastAsia="宋体"/>
          <w:color w:val="auto"/>
          <w:sz w:val="24"/>
          <w:szCs w:val="24"/>
          <w:highlight w:val="none"/>
        </w:rPr>
        <w:t>2.1供应商综合概况</w:t>
      </w:r>
      <w:bookmarkEnd w:id="466"/>
      <w:bookmarkEnd w:id="467"/>
      <w:bookmarkEnd w:id="468"/>
      <w:bookmarkEnd w:id="469"/>
    </w:p>
    <w:tbl>
      <w:tblPr>
        <w:tblStyle w:val="49"/>
        <w:tblW w:w="8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60"/>
        <w:gridCol w:w="915"/>
        <w:gridCol w:w="970"/>
        <w:gridCol w:w="1601"/>
        <w:gridCol w:w="13"/>
        <w:gridCol w:w="1086"/>
        <w:gridCol w:w="851"/>
        <w:gridCol w:w="1537"/>
      </w:tblGrid>
      <w:tr w14:paraId="4BC68E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2A85EB96">
            <w:pPr>
              <w:topLinePunct/>
              <w:spacing w:line="440" w:lineRule="exact"/>
              <w:jc w:val="center"/>
              <w:rPr>
                <w:rFonts w:ascii="宋体" w:hAnsi="宋体"/>
                <w:color w:val="auto"/>
                <w:szCs w:val="21"/>
                <w:highlight w:val="none"/>
              </w:rPr>
            </w:pPr>
            <w:r>
              <w:rPr>
                <w:rFonts w:hint="eastAsia" w:ascii="宋体" w:hAnsi="宋体"/>
                <w:color w:val="auto"/>
                <w:szCs w:val="21"/>
                <w:highlight w:val="none"/>
              </w:rPr>
              <w:t>供应商</w:t>
            </w:r>
            <w:r>
              <w:rPr>
                <w:rFonts w:ascii="宋体" w:hAnsi="宋体"/>
                <w:color w:val="auto"/>
                <w:szCs w:val="21"/>
                <w:highlight w:val="none"/>
              </w:rPr>
              <w:t>名称</w:t>
            </w:r>
          </w:p>
        </w:tc>
        <w:tc>
          <w:tcPr>
            <w:tcW w:w="6973" w:type="dxa"/>
            <w:gridSpan w:val="7"/>
            <w:tcBorders>
              <w:top w:val="single" w:color="auto" w:sz="4" w:space="0"/>
              <w:left w:val="single" w:color="auto" w:sz="4" w:space="0"/>
              <w:bottom w:val="single" w:color="auto" w:sz="4" w:space="0"/>
              <w:right w:val="single" w:color="auto" w:sz="4" w:space="0"/>
            </w:tcBorders>
            <w:vAlign w:val="center"/>
          </w:tcPr>
          <w:p w14:paraId="3CA32EE3">
            <w:pPr>
              <w:topLinePunct/>
              <w:spacing w:line="440" w:lineRule="exact"/>
              <w:jc w:val="center"/>
              <w:rPr>
                <w:rFonts w:ascii="宋体" w:hAnsi="宋体"/>
                <w:color w:val="auto"/>
                <w:szCs w:val="21"/>
                <w:highlight w:val="none"/>
              </w:rPr>
            </w:pPr>
          </w:p>
        </w:tc>
      </w:tr>
      <w:tr w14:paraId="3BD611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386FD172">
            <w:pPr>
              <w:topLinePunct/>
              <w:spacing w:line="440" w:lineRule="exact"/>
              <w:jc w:val="center"/>
              <w:rPr>
                <w:rFonts w:ascii="宋体" w:hAnsi="宋体"/>
                <w:color w:val="auto"/>
                <w:szCs w:val="21"/>
                <w:highlight w:val="none"/>
              </w:rPr>
            </w:pPr>
            <w:r>
              <w:rPr>
                <w:rFonts w:ascii="宋体" w:hAnsi="宋体"/>
                <w:color w:val="auto"/>
                <w:szCs w:val="21"/>
                <w:highlight w:val="none"/>
              </w:rPr>
              <w:t>注册地址</w:t>
            </w:r>
          </w:p>
        </w:tc>
        <w:tc>
          <w:tcPr>
            <w:tcW w:w="3486" w:type="dxa"/>
            <w:gridSpan w:val="3"/>
            <w:tcBorders>
              <w:top w:val="single" w:color="auto" w:sz="4" w:space="0"/>
              <w:left w:val="single" w:color="auto" w:sz="4" w:space="0"/>
              <w:bottom w:val="single" w:color="auto" w:sz="4" w:space="0"/>
              <w:right w:val="single" w:color="auto" w:sz="4" w:space="0"/>
            </w:tcBorders>
            <w:vAlign w:val="center"/>
          </w:tcPr>
          <w:p w14:paraId="7D3B6DE7">
            <w:pPr>
              <w:topLinePunct/>
              <w:spacing w:line="440" w:lineRule="exact"/>
              <w:jc w:val="center"/>
              <w:rPr>
                <w:rFonts w:ascii="宋体" w:hAnsi="宋体"/>
                <w:color w:val="auto"/>
                <w:szCs w:val="21"/>
                <w:highlight w:val="none"/>
              </w:rPr>
            </w:pPr>
          </w:p>
        </w:tc>
        <w:tc>
          <w:tcPr>
            <w:tcW w:w="1099" w:type="dxa"/>
            <w:gridSpan w:val="2"/>
            <w:tcBorders>
              <w:top w:val="single" w:color="auto" w:sz="4" w:space="0"/>
              <w:left w:val="single" w:color="auto" w:sz="4" w:space="0"/>
              <w:bottom w:val="single" w:color="auto" w:sz="4" w:space="0"/>
              <w:right w:val="single" w:color="auto" w:sz="4" w:space="0"/>
            </w:tcBorders>
            <w:vAlign w:val="center"/>
          </w:tcPr>
          <w:p w14:paraId="63E38238">
            <w:pPr>
              <w:topLinePunct/>
              <w:spacing w:line="440" w:lineRule="exact"/>
              <w:jc w:val="center"/>
              <w:rPr>
                <w:rFonts w:ascii="宋体" w:hAnsi="宋体"/>
                <w:color w:val="auto"/>
                <w:szCs w:val="21"/>
                <w:highlight w:val="none"/>
              </w:rPr>
            </w:pPr>
            <w:r>
              <w:rPr>
                <w:rFonts w:ascii="宋体" w:hAnsi="宋体"/>
                <w:color w:val="auto"/>
                <w:szCs w:val="21"/>
                <w:highlight w:val="none"/>
              </w:rPr>
              <w:t>邮政编码</w:t>
            </w:r>
          </w:p>
        </w:tc>
        <w:tc>
          <w:tcPr>
            <w:tcW w:w="2388" w:type="dxa"/>
            <w:gridSpan w:val="2"/>
            <w:tcBorders>
              <w:top w:val="single" w:color="auto" w:sz="4" w:space="0"/>
              <w:left w:val="single" w:color="auto" w:sz="4" w:space="0"/>
              <w:bottom w:val="single" w:color="auto" w:sz="4" w:space="0"/>
              <w:right w:val="single" w:color="auto" w:sz="4" w:space="0"/>
            </w:tcBorders>
            <w:vAlign w:val="center"/>
          </w:tcPr>
          <w:p w14:paraId="39560B49">
            <w:pPr>
              <w:topLinePunct/>
              <w:spacing w:line="440" w:lineRule="exact"/>
              <w:jc w:val="center"/>
              <w:rPr>
                <w:rFonts w:ascii="宋体" w:hAnsi="宋体"/>
                <w:color w:val="auto"/>
                <w:szCs w:val="21"/>
                <w:highlight w:val="none"/>
              </w:rPr>
            </w:pPr>
          </w:p>
        </w:tc>
      </w:tr>
      <w:tr w14:paraId="272DBE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8" w:hRule="atLeast"/>
          <w:jc w:val="center"/>
        </w:trPr>
        <w:tc>
          <w:tcPr>
            <w:tcW w:w="1760" w:type="dxa"/>
            <w:vMerge w:val="restart"/>
            <w:tcBorders>
              <w:top w:val="single" w:color="auto" w:sz="4" w:space="0"/>
              <w:left w:val="single" w:color="auto" w:sz="4" w:space="0"/>
              <w:bottom w:val="single" w:color="auto" w:sz="4" w:space="0"/>
              <w:right w:val="single" w:color="auto" w:sz="4" w:space="0"/>
            </w:tcBorders>
            <w:vAlign w:val="center"/>
          </w:tcPr>
          <w:p w14:paraId="46EE878B">
            <w:pPr>
              <w:topLinePunct/>
              <w:spacing w:line="440" w:lineRule="exact"/>
              <w:jc w:val="center"/>
              <w:rPr>
                <w:rFonts w:ascii="宋体" w:hAnsi="宋体"/>
                <w:color w:val="auto"/>
                <w:szCs w:val="21"/>
                <w:highlight w:val="none"/>
              </w:rPr>
            </w:pPr>
            <w:r>
              <w:rPr>
                <w:rFonts w:ascii="宋体" w:hAnsi="宋体"/>
                <w:color w:val="auto"/>
                <w:szCs w:val="21"/>
                <w:highlight w:val="none"/>
              </w:rPr>
              <w:t>联系方式</w:t>
            </w:r>
          </w:p>
        </w:tc>
        <w:tc>
          <w:tcPr>
            <w:tcW w:w="915" w:type="dxa"/>
            <w:tcBorders>
              <w:top w:val="single" w:color="auto" w:sz="4" w:space="0"/>
              <w:left w:val="single" w:color="auto" w:sz="4" w:space="0"/>
              <w:bottom w:val="single" w:color="auto" w:sz="4" w:space="0"/>
              <w:right w:val="single" w:color="auto" w:sz="4" w:space="0"/>
            </w:tcBorders>
            <w:vAlign w:val="center"/>
          </w:tcPr>
          <w:p w14:paraId="2D02F363">
            <w:pPr>
              <w:topLinePunct/>
              <w:spacing w:line="440" w:lineRule="exact"/>
              <w:jc w:val="center"/>
              <w:rPr>
                <w:rFonts w:ascii="宋体" w:hAnsi="宋体"/>
                <w:color w:val="auto"/>
                <w:szCs w:val="21"/>
                <w:highlight w:val="none"/>
              </w:rPr>
            </w:pPr>
            <w:r>
              <w:rPr>
                <w:rFonts w:ascii="宋体" w:hAnsi="宋体"/>
                <w:color w:val="auto"/>
                <w:szCs w:val="21"/>
                <w:highlight w:val="none"/>
              </w:rPr>
              <w:t>联系人</w:t>
            </w:r>
          </w:p>
        </w:tc>
        <w:tc>
          <w:tcPr>
            <w:tcW w:w="2571" w:type="dxa"/>
            <w:gridSpan w:val="2"/>
            <w:tcBorders>
              <w:top w:val="single" w:color="auto" w:sz="4" w:space="0"/>
              <w:left w:val="single" w:color="auto" w:sz="4" w:space="0"/>
              <w:bottom w:val="single" w:color="auto" w:sz="4" w:space="0"/>
              <w:right w:val="single" w:color="auto" w:sz="4" w:space="0"/>
            </w:tcBorders>
            <w:vAlign w:val="center"/>
          </w:tcPr>
          <w:p w14:paraId="599BF197">
            <w:pPr>
              <w:topLinePunct/>
              <w:spacing w:line="440" w:lineRule="exact"/>
              <w:jc w:val="center"/>
              <w:rPr>
                <w:rFonts w:ascii="宋体" w:hAnsi="宋体"/>
                <w:color w:val="auto"/>
                <w:szCs w:val="21"/>
                <w:highlight w:val="none"/>
              </w:rPr>
            </w:pPr>
          </w:p>
        </w:tc>
        <w:tc>
          <w:tcPr>
            <w:tcW w:w="1099" w:type="dxa"/>
            <w:gridSpan w:val="2"/>
            <w:tcBorders>
              <w:top w:val="single" w:color="auto" w:sz="4" w:space="0"/>
              <w:left w:val="single" w:color="auto" w:sz="4" w:space="0"/>
              <w:bottom w:val="single" w:color="auto" w:sz="4" w:space="0"/>
              <w:right w:val="single" w:color="auto" w:sz="4" w:space="0"/>
            </w:tcBorders>
            <w:vAlign w:val="center"/>
          </w:tcPr>
          <w:p w14:paraId="376B3776">
            <w:pPr>
              <w:topLinePunct/>
              <w:spacing w:line="440" w:lineRule="exact"/>
              <w:jc w:val="center"/>
              <w:rPr>
                <w:rFonts w:ascii="宋体" w:hAnsi="宋体"/>
                <w:color w:val="auto"/>
                <w:szCs w:val="21"/>
                <w:highlight w:val="none"/>
              </w:rPr>
            </w:pPr>
            <w:r>
              <w:rPr>
                <w:rFonts w:ascii="宋体" w:hAnsi="宋体"/>
                <w:color w:val="auto"/>
                <w:szCs w:val="21"/>
                <w:highlight w:val="none"/>
              </w:rPr>
              <w:t>电话</w:t>
            </w:r>
          </w:p>
        </w:tc>
        <w:tc>
          <w:tcPr>
            <w:tcW w:w="2388" w:type="dxa"/>
            <w:gridSpan w:val="2"/>
            <w:tcBorders>
              <w:top w:val="single" w:color="auto" w:sz="4" w:space="0"/>
              <w:left w:val="single" w:color="auto" w:sz="4" w:space="0"/>
              <w:bottom w:val="single" w:color="auto" w:sz="4" w:space="0"/>
              <w:right w:val="single" w:color="auto" w:sz="4" w:space="0"/>
            </w:tcBorders>
            <w:vAlign w:val="center"/>
          </w:tcPr>
          <w:p w14:paraId="0DDC1EFB">
            <w:pPr>
              <w:topLinePunct/>
              <w:spacing w:line="440" w:lineRule="exact"/>
              <w:jc w:val="center"/>
              <w:rPr>
                <w:rFonts w:ascii="宋体" w:hAnsi="宋体"/>
                <w:color w:val="auto"/>
                <w:szCs w:val="21"/>
                <w:highlight w:val="none"/>
              </w:rPr>
            </w:pPr>
          </w:p>
        </w:tc>
      </w:tr>
      <w:tr w14:paraId="6B85AF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4" w:hRule="atLeast"/>
          <w:jc w:val="center"/>
        </w:trPr>
        <w:tc>
          <w:tcPr>
            <w:tcW w:w="1760" w:type="dxa"/>
            <w:vMerge w:val="continue"/>
            <w:tcBorders>
              <w:top w:val="single" w:color="auto" w:sz="4" w:space="0"/>
              <w:left w:val="single" w:color="auto" w:sz="4" w:space="0"/>
              <w:bottom w:val="single" w:color="auto" w:sz="4" w:space="0"/>
              <w:right w:val="single" w:color="auto" w:sz="4" w:space="0"/>
            </w:tcBorders>
            <w:vAlign w:val="center"/>
          </w:tcPr>
          <w:p w14:paraId="3772B0C4">
            <w:pPr>
              <w:topLinePunct/>
              <w:spacing w:line="440" w:lineRule="exact"/>
              <w:jc w:val="center"/>
              <w:rPr>
                <w:rFonts w:ascii="宋体" w:hAnsi="宋体"/>
                <w:color w:val="auto"/>
                <w:szCs w:val="21"/>
                <w:highlight w:val="none"/>
              </w:rPr>
            </w:pPr>
          </w:p>
        </w:tc>
        <w:tc>
          <w:tcPr>
            <w:tcW w:w="915" w:type="dxa"/>
            <w:tcBorders>
              <w:top w:val="single" w:color="auto" w:sz="4" w:space="0"/>
              <w:left w:val="single" w:color="auto" w:sz="4" w:space="0"/>
              <w:bottom w:val="single" w:color="auto" w:sz="4" w:space="0"/>
              <w:right w:val="single" w:color="auto" w:sz="4" w:space="0"/>
            </w:tcBorders>
            <w:vAlign w:val="center"/>
          </w:tcPr>
          <w:p w14:paraId="1E3A2471">
            <w:pPr>
              <w:topLinePunct/>
              <w:spacing w:line="440" w:lineRule="exact"/>
              <w:jc w:val="center"/>
              <w:rPr>
                <w:rFonts w:ascii="宋体" w:hAnsi="宋体"/>
                <w:color w:val="auto"/>
                <w:szCs w:val="21"/>
                <w:highlight w:val="none"/>
              </w:rPr>
            </w:pPr>
            <w:r>
              <w:rPr>
                <w:rFonts w:ascii="宋体" w:hAnsi="宋体"/>
                <w:color w:val="auto"/>
                <w:szCs w:val="21"/>
                <w:highlight w:val="none"/>
              </w:rPr>
              <w:t>传真</w:t>
            </w:r>
          </w:p>
        </w:tc>
        <w:tc>
          <w:tcPr>
            <w:tcW w:w="2571" w:type="dxa"/>
            <w:gridSpan w:val="2"/>
            <w:tcBorders>
              <w:top w:val="single" w:color="auto" w:sz="4" w:space="0"/>
              <w:left w:val="single" w:color="auto" w:sz="4" w:space="0"/>
              <w:bottom w:val="single" w:color="auto" w:sz="4" w:space="0"/>
              <w:right w:val="single" w:color="auto" w:sz="4" w:space="0"/>
            </w:tcBorders>
            <w:vAlign w:val="center"/>
          </w:tcPr>
          <w:p w14:paraId="18374402">
            <w:pPr>
              <w:topLinePunct/>
              <w:spacing w:line="440" w:lineRule="exact"/>
              <w:jc w:val="center"/>
              <w:rPr>
                <w:rFonts w:ascii="宋体" w:hAnsi="宋体"/>
                <w:color w:val="auto"/>
                <w:szCs w:val="21"/>
                <w:highlight w:val="none"/>
              </w:rPr>
            </w:pPr>
          </w:p>
        </w:tc>
        <w:tc>
          <w:tcPr>
            <w:tcW w:w="1099" w:type="dxa"/>
            <w:gridSpan w:val="2"/>
            <w:tcBorders>
              <w:top w:val="single" w:color="auto" w:sz="4" w:space="0"/>
              <w:left w:val="single" w:color="auto" w:sz="4" w:space="0"/>
              <w:bottom w:val="single" w:color="auto" w:sz="4" w:space="0"/>
              <w:right w:val="single" w:color="auto" w:sz="4" w:space="0"/>
            </w:tcBorders>
            <w:vAlign w:val="center"/>
          </w:tcPr>
          <w:p w14:paraId="446F58FA">
            <w:pPr>
              <w:topLinePunct/>
              <w:spacing w:line="440" w:lineRule="exact"/>
              <w:jc w:val="center"/>
              <w:rPr>
                <w:rFonts w:ascii="宋体" w:hAnsi="宋体"/>
                <w:color w:val="auto"/>
                <w:szCs w:val="21"/>
                <w:highlight w:val="none"/>
              </w:rPr>
            </w:pPr>
            <w:r>
              <w:rPr>
                <w:rFonts w:ascii="宋体" w:hAnsi="宋体"/>
                <w:color w:val="auto"/>
                <w:szCs w:val="21"/>
                <w:highlight w:val="none"/>
              </w:rPr>
              <w:t>网址</w:t>
            </w:r>
          </w:p>
        </w:tc>
        <w:tc>
          <w:tcPr>
            <w:tcW w:w="2388" w:type="dxa"/>
            <w:gridSpan w:val="2"/>
            <w:tcBorders>
              <w:top w:val="single" w:color="auto" w:sz="4" w:space="0"/>
              <w:left w:val="single" w:color="auto" w:sz="4" w:space="0"/>
              <w:bottom w:val="single" w:color="auto" w:sz="4" w:space="0"/>
              <w:right w:val="single" w:color="auto" w:sz="4" w:space="0"/>
            </w:tcBorders>
            <w:vAlign w:val="center"/>
          </w:tcPr>
          <w:p w14:paraId="1EAD784C">
            <w:pPr>
              <w:topLinePunct/>
              <w:spacing w:line="440" w:lineRule="exact"/>
              <w:jc w:val="center"/>
              <w:rPr>
                <w:rFonts w:ascii="宋体" w:hAnsi="宋体"/>
                <w:color w:val="auto"/>
                <w:szCs w:val="21"/>
                <w:highlight w:val="none"/>
              </w:rPr>
            </w:pPr>
          </w:p>
        </w:tc>
      </w:tr>
      <w:tr w14:paraId="5CF250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7F892E58">
            <w:pPr>
              <w:topLinePunct/>
              <w:spacing w:line="440" w:lineRule="exact"/>
              <w:jc w:val="center"/>
              <w:rPr>
                <w:rFonts w:ascii="宋体" w:hAnsi="宋体"/>
                <w:color w:val="auto"/>
                <w:szCs w:val="21"/>
                <w:highlight w:val="none"/>
              </w:rPr>
            </w:pPr>
            <w:r>
              <w:rPr>
                <w:rFonts w:ascii="宋体" w:hAnsi="宋体"/>
                <w:color w:val="auto"/>
                <w:szCs w:val="21"/>
                <w:highlight w:val="none"/>
              </w:rPr>
              <w:t>组织结构</w:t>
            </w:r>
          </w:p>
        </w:tc>
        <w:tc>
          <w:tcPr>
            <w:tcW w:w="6973" w:type="dxa"/>
            <w:gridSpan w:val="7"/>
            <w:tcBorders>
              <w:top w:val="single" w:color="auto" w:sz="4" w:space="0"/>
              <w:left w:val="single" w:color="auto" w:sz="4" w:space="0"/>
              <w:bottom w:val="single" w:color="auto" w:sz="4" w:space="0"/>
              <w:right w:val="single" w:color="auto" w:sz="4" w:space="0"/>
            </w:tcBorders>
            <w:vAlign w:val="center"/>
          </w:tcPr>
          <w:p w14:paraId="2F41DA5F">
            <w:pPr>
              <w:topLinePunct/>
              <w:spacing w:line="440" w:lineRule="exact"/>
              <w:jc w:val="center"/>
              <w:rPr>
                <w:rFonts w:ascii="宋体" w:hAnsi="宋体"/>
                <w:color w:val="auto"/>
                <w:szCs w:val="21"/>
                <w:highlight w:val="none"/>
              </w:rPr>
            </w:pPr>
          </w:p>
        </w:tc>
      </w:tr>
      <w:tr w14:paraId="52337F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20"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17FF3247">
            <w:pPr>
              <w:topLinePunct/>
              <w:spacing w:line="440" w:lineRule="exact"/>
              <w:jc w:val="center"/>
              <w:rPr>
                <w:rFonts w:ascii="宋体" w:hAnsi="宋体"/>
                <w:color w:val="auto"/>
                <w:szCs w:val="21"/>
                <w:highlight w:val="none"/>
              </w:rPr>
            </w:pPr>
            <w:r>
              <w:rPr>
                <w:rFonts w:ascii="宋体" w:hAnsi="宋体"/>
                <w:color w:val="auto"/>
                <w:szCs w:val="21"/>
                <w:highlight w:val="none"/>
              </w:rPr>
              <w:t>法定代表人</w:t>
            </w:r>
          </w:p>
        </w:tc>
        <w:tc>
          <w:tcPr>
            <w:tcW w:w="915" w:type="dxa"/>
            <w:tcBorders>
              <w:top w:val="single" w:color="auto" w:sz="4" w:space="0"/>
              <w:left w:val="single" w:color="auto" w:sz="4" w:space="0"/>
              <w:bottom w:val="single" w:color="auto" w:sz="4" w:space="0"/>
              <w:right w:val="single" w:color="auto" w:sz="4" w:space="0"/>
            </w:tcBorders>
            <w:vAlign w:val="center"/>
          </w:tcPr>
          <w:p w14:paraId="05BCD5C6">
            <w:pPr>
              <w:topLinePunct/>
              <w:spacing w:line="440" w:lineRule="exact"/>
              <w:jc w:val="center"/>
              <w:rPr>
                <w:rFonts w:ascii="宋体" w:hAnsi="宋体"/>
                <w:color w:val="auto"/>
                <w:szCs w:val="21"/>
                <w:highlight w:val="none"/>
              </w:rPr>
            </w:pPr>
            <w:r>
              <w:rPr>
                <w:rFonts w:ascii="宋体" w:hAnsi="宋体"/>
                <w:color w:val="auto"/>
                <w:szCs w:val="21"/>
                <w:highlight w:val="none"/>
              </w:rPr>
              <w:t>姓名</w:t>
            </w:r>
          </w:p>
        </w:tc>
        <w:tc>
          <w:tcPr>
            <w:tcW w:w="970" w:type="dxa"/>
            <w:tcBorders>
              <w:top w:val="single" w:color="auto" w:sz="4" w:space="0"/>
              <w:left w:val="single" w:color="auto" w:sz="4" w:space="0"/>
              <w:bottom w:val="single" w:color="auto" w:sz="4" w:space="0"/>
              <w:right w:val="single" w:color="auto" w:sz="4" w:space="0"/>
            </w:tcBorders>
            <w:vAlign w:val="center"/>
          </w:tcPr>
          <w:p w14:paraId="00FC1F8E">
            <w:pPr>
              <w:topLinePunct/>
              <w:spacing w:line="440" w:lineRule="exact"/>
              <w:jc w:val="center"/>
              <w:rPr>
                <w:rFonts w:ascii="宋体" w:hAnsi="宋体"/>
                <w:color w:val="auto"/>
                <w:szCs w:val="21"/>
                <w:highlight w:val="none"/>
              </w:rPr>
            </w:pPr>
          </w:p>
        </w:tc>
        <w:tc>
          <w:tcPr>
            <w:tcW w:w="1614" w:type="dxa"/>
            <w:gridSpan w:val="2"/>
            <w:tcBorders>
              <w:top w:val="single" w:color="auto" w:sz="4" w:space="0"/>
              <w:left w:val="single" w:color="auto" w:sz="4" w:space="0"/>
              <w:bottom w:val="single" w:color="auto" w:sz="4" w:space="0"/>
              <w:right w:val="single" w:color="auto" w:sz="4" w:space="0"/>
            </w:tcBorders>
            <w:vAlign w:val="center"/>
          </w:tcPr>
          <w:p w14:paraId="264E713F">
            <w:pPr>
              <w:topLinePunct/>
              <w:spacing w:line="440" w:lineRule="exact"/>
              <w:jc w:val="center"/>
              <w:rPr>
                <w:rFonts w:ascii="宋体" w:hAnsi="宋体"/>
                <w:color w:val="auto"/>
                <w:szCs w:val="21"/>
                <w:highlight w:val="none"/>
              </w:rPr>
            </w:pPr>
            <w:r>
              <w:rPr>
                <w:rFonts w:ascii="宋体" w:hAnsi="宋体"/>
                <w:color w:val="auto"/>
                <w:szCs w:val="21"/>
                <w:highlight w:val="none"/>
              </w:rPr>
              <w:t>技术职称</w:t>
            </w:r>
          </w:p>
        </w:tc>
        <w:tc>
          <w:tcPr>
            <w:tcW w:w="1086" w:type="dxa"/>
            <w:tcBorders>
              <w:top w:val="single" w:color="auto" w:sz="4" w:space="0"/>
              <w:left w:val="single" w:color="auto" w:sz="4" w:space="0"/>
              <w:bottom w:val="single" w:color="auto" w:sz="4" w:space="0"/>
              <w:right w:val="single" w:color="auto" w:sz="4" w:space="0"/>
            </w:tcBorders>
            <w:vAlign w:val="center"/>
          </w:tcPr>
          <w:p w14:paraId="220C8A69">
            <w:pPr>
              <w:topLinePunct/>
              <w:spacing w:line="440" w:lineRule="exact"/>
              <w:jc w:val="center"/>
              <w:rPr>
                <w:rFonts w:ascii="宋体" w:hAnsi="宋体"/>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17C63E83">
            <w:pPr>
              <w:topLinePunct/>
              <w:spacing w:line="440" w:lineRule="exact"/>
              <w:jc w:val="center"/>
              <w:rPr>
                <w:rFonts w:ascii="宋体" w:hAnsi="宋体"/>
                <w:color w:val="auto"/>
                <w:szCs w:val="21"/>
                <w:highlight w:val="none"/>
              </w:rPr>
            </w:pPr>
            <w:r>
              <w:rPr>
                <w:rFonts w:ascii="宋体" w:hAnsi="宋体"/>
                <w:color w:val="auto"/>
                <w:szCs w:val="21"/>
                <w:highlight w:val="none"/>
              </w:rPr>
              <w:t>电话</w:t>
            </w:r>
          </w:p>
        </w:tc>
        <w:tc>
          <w:tcPr>
            <w:tcW w:w="1537" w:type="dxa"/>
            <w:tcBorders>
              <w:top w:val="single" w:color="auto" w:sz="4" w:space="0"/>
              <w:left w:val="single" w:color="auto" w:sz="4" w:space="0"/>
              <w:bottom w:val="single" w:color="auto" w:sz="4" w:space="0"/>
              <w:right w:val="single" w:color="auto" w:sz="4" w:space="0"/>
            </w:tcBorders>
            <w:vAlign w:val="center"/>
          </w:tcPr>
          <w:p w14:paraId="55338979">
            <w:pPr>
              <w:topLinePunct/>
              <w:spacing w:line="440" w:lineRule="exact"/>
              <w:jc w:val="center"/>
              <w:rPr>
                <w:rFonts w:ascii="宋体" w:hAnsi="宋体"/>
                <w:color w:val="auto"/>
                <w:szCs w:val="21"/>
                <w:highlight w:val="none"/>
              </w:rPr>
            </w:pPr>
          </w:p>
        </w:tc>
      </w:tr>
      <w:tr w14:paraId="4B9C5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46879324">
            <w:pPr>
              <w:topLinePunct/>
              <w:spacing w:line="440" w:lineRule="exact"/>
              <w:jc w:val="center"/>
              <w:rPr>
                <w:rFonts w:ascii="宋体" w:hAnsi="宋体"/>
                <w:color w:val="auto"/>
                <w:szCs w:val="21"/>
                <w:highlight w:val="none"/>
              </w:rPr>
            </w:pPr>
            <w:r>
              <w:rPr>
                <w:rFonts w:ascii="宋体" w:hAnsi="宋体"/>
                <w:color w:val="auto"/>
                <w:szCs w:val="21"/>
                <w:highlight w:val="none"/>
              </w:rPr>
              <w:t>成立时间</w:t>
            </w:r>
          </w:p>
        </w:tc>
        <w:tc>
          <w:tcPr>
            <w:tcW w:w="1885" w:type="dxa"/>
            <w:gridSpan w:val="2"/>
            <w:tcBorders>
              <w:top w:val="single" w:color="auto" w:sz="4" w:space="0"/>
              <w:left w:val="single" w:color="auto" w:sz="4" w:space="0"/>
              <w:bottom w:val="single" w:color="auto" w:sz="4" w:space="0"/>
              <w:right w:val="single" w:color="auto" w:sz="4" w:space="0"/>
            </w:tcBorders>
            <w:vAlign w:val="center"/>
          </w:tcPr>
          <w:p w14:paraId="4813A1AD">
            <w:pPr>
              <w:topLinePunct/>
              <w:spacing w:line="440" w:lineRule="exact"/>
              <w:jc w:val="center"/>
              <w:rPr>
                <w:rFonts w:ascii="宋体" w:hAnsi="宋体"/>
                <w:color w:val="auto"/>
                <w:szCs w:val="21"/>
                <w:highlight w:val="none"/>
              </w:rPr>
            </w:pPr>
          </w:p>
        </w:tc>
        <w:tc>
          <w:tcPr>
            <w:tcW w:w="1614" w:type="dxa"/>
            <w:gridSpan w:val="2"/>
            <w:tcBorders>
              <w:top w:val="single" w:color="auto" w:sz="4" w:space="0"/>
              <w:left w:val="single" w:color="auto" w:sz="4" w:space="0"/>
              <w:bottom w:val="single" w:color="auto" w:sz="4" w:space="0"/>
              <w:right w:val="single" w:color="auto" w:sz="4" w:space="0"/>
            </w:tcBorders>
            <w:vAlign w:val="center"/>
          </w:tcPr>
          <w:p w14:paraId="16C6869B">
            <w:pPr>
              <w:topLinePunct/>
              <w:spacing w:line="440" w:lineRule="exact"/>
              <w:jc w:val="center"/>
              <w:rPr>
                <w:rFonts w:ascii="宋体" w:hAnsi="宋体"/>
                <w:color w:val="auto"/>
                <w:szCs w:val="21"/>
                <w:highlight w:val="none"/>
              </w:rPr>
            </w:pPr>
            <w:r>
              <w:rPr>
                <w:rFonts w:ascii="宋体" w:hAnsi="宋体"/>
                <w:color w:val="auto"/>
                <w:szCs w:val="21"/>
                <w:highlight w:val="none"/>
              </w:rPr>
              <w:t>员工总人数</w:t>
            </w:r>
          </w:p>
        </w:tc>
        <w:tc>
          <w:tcPr>
            <w:tcW w:w="3474" w:type="dxa"/>
            <w:gridSpan w:val="3"/>
            <w:tcBorders>
              <w:top w:val="single" w:color="auto" w:sz="4" w:space="0"/>
              <w:left w:val="single" w:color="auto" w:sz="4" w:space="0"/>
              <w:bottom w:val="single" w:color="auto" w:sz="4" w:space="0"/>
              <w:right w:val="single" w:color="auto" w:sz="4" w:space="0"/>
            </w:tcBorders>
            <w:vAlign w:val="center"/>
          </w:tcPr>
          <w:p w14:paraId="5031B505">
            <w:pPr>
              <w:topLinePunct/>
              <w:spacing w:line="440" w:lineRule="exact"/>
              <w:jc w:val="center"/>
              <w:rPr>
                <w:rFonts w:ascii="宋体" w:hAnsi="宋体"/>
                <w:color w:val="auto"/>
                <w:szCs w:val="21"/>
                <w:highlight w:val="none"/>
              </w:rPr>
            </w:pPr>
          </w:p>
        </w:tc>
      </w:tr>
      <w:tr w14:paraId="21B00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1BC5F442">
            <w:pPr>
              <w:topLinePunct/>
              <w:spacing w:line="440" w:lineRule="exact"/>
              <w:jc w:val="center"/>
              <w:rPr>
                <w:rFonts w:ascii="宋体" w:hAnsi="宋体"/>
                <w:color w:val="auto"/>
                <w:szCs w:val="21"/>
                <w:highlight w:val="none"/>
              </w:rPr>
            </w:pPr>
            <w:r>
              <w:rPr>
                <w:rFonts w:ascii="宋体" w:hAnsi="宋体"/>
                <w:color w:val="auto"/>
                <w:szCs w:val="21"/>
                <w:highlight w:val="none"/>
              </w:rPr>
              <w:t>营业执照号</w:t>
            </w:r>
          </w:p>
        </w:tc>
        <w:tc>
          <w:tcPr>
            <w:tcW w:w="1885" w:type="dxa"/>
            <w:gridSpan w:val="2"/>
            <w:tcBorders>
              <w:top w:val="single" w:color="auto" w:sz="4" w:space="0"/>
              <w:left w:val="single" w:color="auto" w:sz="4" w:space="0"/>
              <w:bottom w:val="single" w:color="auto" w:sz="4" w:space="0"/>
              <w:right w:val="single" w:color="auto" w:sz="4" w:space="0"/>
            </w:tcBorders>
            <w:vAlign w:val="center"/>
          </w:tcPr>
          <w:p w14:paraId="7B8C47C7">
            <w:pPr>
              <w:topLinePunct/>
              <w:spacing w:line="440" w:lineRule="exact"/>
              <w:jc w:val="center"/>
              <w:rPr>
                <w:rFonts w:ascii="宋体" w:hAnsi="宋体"/>
                <w:color w:val="auto"/>
                <w:szCs w:val="21"/>
                <w:highlight w:val="none"/>
              </w:rPr>
            </w:pPr>
          </w:p>
        </w:tc>
        <w:tc>
          <w:tcPr>
            <w:tcW w:w="1614" w:type="dxa"/>
            <w:gridSpan w:val="2"/>
            <w:tcBorders>
              <w:top w:val="single" w:color="auto" w:sz="4" w:space="0"/>
              <w:left w:val="single" w:color="auto" w:sz="4" w:space="0"/>
              <w:bottom w:val="single" w:color="auto" w:sz="4" w:space="0"/>
              <w:right w:val="single" w:color="auto" w:sz="4" w:space="0"/>
            </w:tcBorders>
            <w:vAlign w:val="center"/>
          </w:tcPr>
          <w:p w14:paraId="3F19DE29">
            <w:pPr>
              <w:topLinePunct/>
              <w:spacing w:line="440" w:lineRule="exact"/>
              <w:jc w:val="center"/>
              <w:rPr>
                <w:rFonts w:ascii="宋体" w:hAnsi="宋体"/>
                <w:color w:val="auto"/>
                <w:szCs w:val="21"/>
                <w:highlight w:val="none"/>
              </w:rPr>
            </w:pPr>
            <w:r>
              <w:rPr>
                <w:rFonts w:ascii="宋体" w:hAnsi="宋体"/>
                <w:color w:val="auto"/>
                <w:szCs w:val="21"/>
                <w:highlight w:val="none"/>
              </w:rPr>
              <w:t>注册资金</w:t>
            </w:r>
          </w:p>
        </w:tc>
        <w:tc>
          <w:tcPr>
            <w:tcW w:w="3474" w:type="dxa"/>
            <w:gridSpan w:val="3"/>
            <w:tcBorders>
              <w:top w:val="single" w:color="auto" w:sz="4" w:space="0"/>
              <w:left w:val="single" w:color="auto" w:sz="4" w:space="0"/>
              <w:bottom w:val="single" w:color="auto" w:sz="4" w:space="0"/>
              <w:right w:val="single" w:color="auto" w:sz="4" w:space="0"/>
            </w:tcBorders>
            <w:vAlign w:val="center"/>
          </w:tcPr>
          <w:p w14:paraId="0A15C0B0">
            <w:pPr>
              <w:topLinePunct/>
              <w:spacing w:line="440" w:lineRule="exact"/>
              <w:jc w:val="center"/>
              <w:rPr>
                <w:rFonts w:ascii="宋体" w:hAnsi="宋体"/>
                <w:color w:val="auto"/>
                <w:szCs w:val="21"/>
                <w:highlight w:val="none"/>
              </w:rPr>
            </w:pPr>
          </w:p>
        </w:tc>
      </w:tr>
      <w:tr w14:paraId="6CAA35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2A5DB6EC">
            <w:pPr>
              <w:topLinePunct/>
              <w:spacing w:line="440" w:lineRule="exact"/>
              <w:jc w:val="center"/>
              <w:rPr>
                <w:rFonts w:ascii="宋体" w:hAnsi="宋体"/>
                <w:color w:val="auto"/>
                <w:szCs w:val="21"/>
                <w:highlight w:val="none"/>
              </w:rPr>
            </w:pPr>
            <w:r>
              <w:rPr>
                <w:rFonts w:ascii="宋体" w:hAnsi="宋体"/>
                <w:color w:val="auto"/>
                <w:szCs w:val="21"/>
                <w:highlight w:val="none"/>
              </w:rPr>
              <w:t>开户银行</w:t>
            </w:r>
          </w:p>
        </w:tc>
        <w:tc>
          <w:tcPr>
            <w:tcW w:w="1885" w:type="dxa"/>
            <w:gridSpan w:val="2"/>
            <w:tcBorders>
              <w:top w:val="single" w:color="auto" w:sz="4" w:space="0"/>
              <w:left w:val="single" w:color="auto" w:sz="4" w:space="0"/>
              <w:bottom w:val="single" w:color="auto" w:sz="4" w:space="0"/>
              <w:right w:val="single" w:color="auto" w:sz="4" w:space="0"/>
            </w:tcBorders>
            <w:vAlign w:val="center"/>
          </w:tcPr>
          <w:p w14:paraId="35992D2A">
            <w:pPr>
              <w:topLinePunct/>
              <w:spacing w:line="440" w:lineRule="exact"/>
              <w:jc w:val="center"/>
              <w:rPr>
                <w:rFonts w:ascii="宋体" w:hAnsi="宋体"/>
                <w:color w:val="auto"/>
                <w:szCs w:val="21"/>
                <w:highlight w:val="none"/>
              </w:rPr>
            </w:pPr>
          </w:p>
        </w:tc>
        <w:tc>
          <w:tcPr>
            <w:tcW w:w="1614" w:type="dxa"/>
            <w:gridSpan w:val="2"/>
            <w:tcBorders>
              <w:top w:val="single" w:color="auto" w:sz="4" w:space="0"/>
              <w:left w:val="single" w:color="auto" w:sz="4" w:space="0"/>
              <w:bottom w:val="single" w:color="auto" w:sz="4" w:space="0"/>
              <w:right w:val="single" w:color="auto" w:sz="4" w:space="0"/>
            </w:tcBorders>
            <w:vAlign w:val="center"/>
          </w:tcPr>
          <w:p w14:paraId="0A77384A">
            <w:pPr>
              <w:topLinePunct/>
              <w:spacing w:line="440" w:lineRule="exact"/>
              <w:jc w:val="center"/>
              <w:rPr>
                <w:rFonts w:ascii="宋体" w:hAnsi="宋体"/>
                <w:color w:val="auto"/>
                <w:szCs w:val="21"/>
                <w:highlight w:val="none"/>
              </w:rPr>
            </w:pPr>
            <w:r>
              <w:rPr>
                <w:rFonts w:ascii="宋体" w:hAnsi="宋体"/>
                <w:color w:val="auto"/>
                <w:szCs w:val="21"/>
                <w:highlight w:val="none"/>
              </w:rPr>
              <w:t>账号</w:t>
            </w:r>
          </w:p>
        </w:tc>
        <w:tc>
          <w:tcPr>
            <w:tcW w:w="3474" w:type="dxa"/>
            <w:gridSpan w:val="3"/>
            <w:tcBorders>
              <w:top w:val="single" w:color="auto" w:sz="4" w:space="0"/>
              <w:left w:val="single" w:color="auto" w:sz="4" w:space="0"/>
              <w:bottom w:val="single" w:color="auto" w:sz="4" w:space="0"/>
              <w:right w:val="single" w:color="auto" w:sz="4" w:space="0"/>
            </w:tcBorders>
            <w:vAlign w:val="center"/>
          </w:tcPr>
          <w:p w14:paraId="40A9993F">
            <w:pPr>
              <w:topLinePunct/>
              <w:spacing w:line="440" w:lineRule="exact"/>
              <w:jc w:val="center"/>
              <w:rPr>
                <w:rFonts w:ascii="宋体" w:hAnsi="宋体"/>
                <w:color w:val="auto"/>
                <w:szCs w:val="21"/>
                <w:highlight w:val="none"/>
              </w:rPr>
            </w:pPr>
          </w:p>
        </w:tc>
      </w:tr>
      <w:tr w14:paraId="31818D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18" w:hRule="atLeast"/>
          <w:jc w:val="center"/>
        </w:trPr>
        <w:tc>
          <w:tcPr>
            <w:tcW w:w="1760" w:type="dxa"/>
            <w:tcBorders>
              <w:top w:val="single" w:color="auto" w:sz="4" w:space="0"/>
              <w:left w:val="single" w:color="auto" w:sz="4" w:space="0"/>
              <w:right w:val="single" w:color="auto" w:sz="4" w:space="0"/>
            </w:tcBorders>
            <w:vAlign w:val="center"/>
          </w:tcPr>
          <w:p w14:paraId="097C834F">
            <w:pPr>
              <w:topLinePunct/>
              <w:spacing w:line="440" w:lineRule="exact"/>
              <w:ind w:firstLine="210" w:firstLineChars="100"/>
              <w:jc w:val="center"/>
              <w:rPr>
                <w:rFonts w:ascii="宋体" w:hAnsi="宋体"/>
                <w:color w:val="auto"/>
                <w:szCs w:val="21"/>
                <w:highlight w:val="none"/>
              </w:rPr>
            </w:pPr>
            <w:r>
              <w:rPr>
                <w:rFonts w:ascii="宋体" w:hAnsi="宋体"/>
                <w:color w:val="auto"/>
                <w:szCs w:val="21"/>
                <w:highlight w:val="none"/>
              </w:rPr>
              <w:t>经营范围</w:t>
            </w:r>
          </w:p>
        </w:tc>
        <w:tc>
          <w:tcPr>
            <w:tcW w:w="6973" w:type="dxa"/>
            <w:gridSpan w:val="7"/>
            <w:tcBorders>
              <w:top w:val="single" w:color="auto" w:sz="4" w:space="0"/>
              <w:left w:val="single" w:color="auto" w:sz="4" w:space="0"/>
              <w:right w:val="single" w:color="auto" w:sz="4" w:space="0"/>
            </w:tcBorders>
            <w:vAlign w:val="center"/>
          </w:tcPr>
          <w:p w14:paraId="358D1533">
            <w:pPr>
              <w:topLinePunct/>
              <w:spacing w:line="440" w:lineRule="exact"/>
              <w:rPr>
                <w:rFonts w:ascii="宋体" w:hAnsi="宋体"/>
                <w:color w:val="auto"/>
                <w:szCs w:val="21"/>
                <w:highlight w:val="none"/>
              </w:rPr>
            </w:pPr>
          </w:p>
        </w:tc>
      </w:tr>
      <w:tr w14:paraId="474908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1" w:hRule="atLeast"/>
          <w:jc w:val="center"/>
        </w:trPr>
        <w:tc>
          <w:tcPr>
            <w:tcW w:w="1760" w:type="dxa"/>
            <w:tcBorders>
              <w:top w:val="single" w:color="auto" w:sz="4" w:space="0"/>
              <w:left w:val="single" w:color="auto" w:sz="4" w:space="0"/>
              <w:bottom w:val="single" w:color="auto" w:sz="4" w:space="0"/>
              <w:right w:val="single" w:color="auto" w:sz="4" w:space="0"/>
            </w:tcBorders>
            <w:vAlign w:val="center"/>
          </w:tcPr>
          <w:p w14:paraId="555E249B">
            <w:pPr>
              <w:topLinePunct/>
              <w:spacing w:line="440" w:lineRule="exact"/>
              <w:jc w:val="center"/>
              <w:rPr>
                <w:rFonts w:ascii="宋体" w:hAnsi="宋体"/>
                <w:color w:val="auto"/>
                <w:szCs w:val="21"/>
                <w:highlight w:val="none"/>
              </w:rPr>
            </w:pPr>
            <w:r>
              <w:rPr>
                <w:rFonts w:ascii="宋体" w:hAnsi="宋体"/>
                <w:color w:val="auto"/>
                <w:szCs w:val="21"/>
                <w:highlight w:val="none"/>
              </w:rPr>
              <w:t>备注</w:t>
            </w:r>
          </w:p>
        </w:tc>
        <w:tc>
          <w:tcPr>
            <w:tcW w:w="6973" w:type="dxa"/>
            <w:gridSpan w:val="7"/>
            <w:tcBorders>
              <w:top w:val="single" w:color="auto" w:sz="4" w:space="0"/>
              <w:left w:val="single" w:color="auto" w:sz="4" w:space="0"/>
              <w:bottom w:val="single" w:color="auto" w:sz="4" w:space="0"/>
              <w:right w:val="single" w:color="auto" w:sz="4" w:space="0"/>
            </w:tcBorders>
            <w:vAlign w:val="center"/>
          </w:tcPr>
          <w:p w14:paraId="58827D85">
            <w:pPr>
              <w:topLinePunct/>
              <w:spacing w:line="440" w:lineRule="exact"/>
              <w:jc w:val="center"/>
              <w:rPr>
                <w:rFonts w:ascii="宋体" w:hAnsi="宋体"/>
                <w:color w:val="auto"/>
                <w:szCs w:val="21"/>
                <w:highlight w:val="none"/>
              </w:rPr>
            </w:pPr>
          </w:p>
        </w:tc>
      </w:tr>
    </w:tbl>
    <w:p w14:paraId="55C03C82">
      <w:pPr>
        <w:rPr>
          <w:rFonts w:ascii="宋体" w:hAnsi="宋体"/>
          <w:color w:val="auto"/>
          <w:highlight w:val="none"/>
        </w:rPr>
      </w:pPr>
    </w:p>
    <w:p w14:paraId="7BE3B22A">
      <w:pPr>
        <w:rPr>
          <w:rFonts w:ascii="宋体" w:hAnsi="宋体"/>
          <w:color w:val="auto"/>
          <w:highlight w:val="none"/>
        </w:rPr>
      </w:pPr>
      <w:r>
        <w:rPr>
          <w:rFonts w:hint="eastAsia" w:ascii="宋体" w:hAnsi="宋体"/>
          <w:color w:val="auto"/>
          <w:highlight w:val="none"/>
        </w:rPr>
        <w:t>注：</w:t>
      </w:r>
    </w:p>
    <w:p w14:paraId="0612E0BF">
      <w:pPr>
        <w:numPr>
          <w:ilvl w:val="0"/>
          <w:numId w:val="8"/>
        </w:numPr>
        <w:spacing w:line="360" w:lineRule="auto"/>
        <w:ind w:left="0" w:firstLine="422"/>
        <w:rPr>
          <w:rFonts w:ascii="宋体" w:hAnsi="宋体"/>
          <w:color w:val="auto"/>
          <w:highlight w:val="none"/>
          <w:lang w:val="en-GB"/>
        </w:rPr>
      </w:pPr>
      <w:r>
        <w:rPr>
          <w:rFonts w:hint="eastAsia" w:ascii="宋体" w:hAnsi="宋体"/>
          <w:color w:val="auto"/>
          <w:szCs w:val="21"/>
          <w:highlight w:val="none"/>
        </w:rPr>
        <w:t>采购文件要求或供应商认为必要的有关资质、资格、荣誉</w:t>
      </w:r>
      <w:r>
        <w:rPr>
          <w:rFonts w:ascii="宋体" w:hAnsi="宋体"/>
          <w:color w:val="auto"/>
          <w:szCs w:val="21"/>
          <w:highlight w:val="none"/>
        </w:rPr>
        <w:t>、</w:t>
      </w:r>
      <w:r>
        <w:rPr>
          <w:rFonts w:hint="eastAsia" w:ascii="宋体" w:hAnsi="宋体"/>
          <w:color w:val="auto"/>
          <w:szCs w:val="21"/>
          <w:highlight w:val="none"/>
        </w:rPr>
        <w:t>认证等证明材料的复印件</w:t>
      </w:r>
      <w:r>
        <w:rPr>
          <w:rFonts w:hint="eastAsia" w:ascii="宋体" w:hAnsi="宋体"/>
          <w:color w:val="auto"/>
          <w:highlight w:val="none"/>
          <w:lang w:val="en-GB"/>
        </w:rPr>
        <w:t>。</w:t>
      </w:r>
      <w:r>
        <w:rPr>
          <w:rFonts w:hint="eastAsia" w:ascii="宋体" w:hAnsi="宋体" w:cs="仿宋体"/>
          <w:color w:val="auto"/>
          <w:szCs w:val="21"/>
          <w:highlight w:val="none"/>
          <w:shd w:val="clear" w:color="auto" w:fill="FFFFFF"/>
        </w:rPr>
        <w:t>复印件须加盖供应商单位公章</w:t>
      </w:r>
      <w:r>
        <w:rPr>
          <w:rFonts w:hint="eastAsia" w:ascii="宋体" w:hAnsi="宋体" w:cs="仿宋体"/>
          <w:bCs/>
          <w:color w:val="auto"/>
          <w:szCs w:val="21"/>
          <w:highlight w:val="none"/>
          <w:shd w:val="clear" w:color="auto" w:fill="FFFFFF"/>
        </w:rPr>
        <w:t>。</w:t>
      </w:r>
    </w:p>
    <w:p w14:paraId="737D0D24">
      <w:pPr>
        <w:numPr>
          <w:ilvl w:val="0"/>
          <w:numId w:val="8"/>
        </w:numPr>
        <w:spacing w:line="360" w:lineRule="auto"/>
        <w:ind w:left="0" w:firstLine="422"/>
        <w:rPr>
          <w:rFonts w:ascii="宋体" w:hAnsi="宋体"/>
          <w:color w:val="auto"/>
          <w:highlight w:val="none"/>
          <w:lang w:val="en-GB"/>
        </w:rPr>
      </w:pPr>
      <w:r>
        <w:rPr>
          <w:rFonts w:hint="eastAsia" w:ascii="宋体" w:hAnsi="宋体"/>
          <w:color w:val="auto"/>
          <w:highlight w:val="none"/>
          <w:lang w:val="en-GB"/>
        </w:rPr>
        <w:t>如供应商此表数据有虚假，一经查实，自行承担相关责任。</w:t>
      </w:r>
    </w:p>
    <w:p w14:paraId="09CEB377">
      <w:pPr>
        <w:pStyle w:val="48"/>
        <w:ind w:left="0" w:leftChars="0" w:firstLine="0" w:firstLineChars="0"/>
        <w:rPr>
          <w:color w:val="auto"/>
          <w:highlight w:val="none"/>
        </w:rPr>
      </w:pPr>
    </w:p>
    <w:p w14:paraId="73184BB9">
      <w:pPr>
        <w:spacing w:line="360" w:lineRule="auto"/>
        <w:rPr>
          <w:rFonts w:ascii="宋体" w:hAnsi="宋体"/>
          <w:color w:val="auto"/>
          <w:highlight w:val="none"/>
        </w:rPr>
      </w:pPr>
    </w:p>
    <w:p w14:paraId="1E7C01DB">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2197F1EF">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5E0105C2">
      <w:pPr>
        <w:spacing w:line="360" w:lineRule="auto"/>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3052AE36">
      <w:pPr>
        <w:spacing w:line="360" w:lineRule="auto"/>
        <w:ind w:firstLine="482"/>
        <w:rPr>
          <w:rFonts w:ascii="宋体" w:hAnsi="宋体"/>
          <w:color w:val="auto"/>
          <w:sz w:val="24"/>
          <w:highlight w:val="none"/>
          <w:lang w:val="en-GB"/>
        </w:rPr>
      </w:pPr>
    </w:p>
    <w:p w14:paraId="0DAE9625">
      <w:pPr>
        <w:spacing w:line="360" w:lineRule="auto"/>
        <w:ind w:firstLine="482"/>
        <w:rPr>
          <w:rFonts w:ascii="宋体" w:hAnsi="宋体"/>
          <w:color w:val="auto"/>
          <w:sz w:val="24"/>
          <w:highlight w:val="none"/>
          <w:lang w:val="en-GB"/>
        </w:rPr>
      </w:pPr>
    </w:p>
    <w:p w14:paraId="46BBF1EB">
      <w:pPr>
        <w:spacing w:line="360" w:lineRule="auto"/>
        <w:ind w:firstLine="482"/>
        <w:rPr>
          <w:rFonts w:ascii="宋体" w:hAnsi="宋体"/>
          <w:color w:val="auto"/>
          <w:sz w:val="24"/>
          <w:highlight w:val="none"/>
          <w:lang w:val="en-GB"/>
        </w:rPr>
      </w:pPr>
    </w:p>
    <w:p w14:paraId="7E8841E6">
      <w:pPr>
        <w:spacing w:line="360" w:lineRule="auto"/>
        <w:ind w:left="704" w:firstLine="480"/>
        <w:rPr>
          <w:rFonts w:ascii="宋体" w:hAnsi="宋体"/>
          <w:b/>
          <w:bCs/>
          <w:color w:val="auto"/>
          <w:sz w:val="24"/>
          <w:highlight w:val="none"/>
        </w:rPr>
      </w:pPr>
    </w:p>
    <w:p w14:paraId="0F62223E">
      <w:pPr>
        <w:pStyle w:val="4"/>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2.2同类</w:t>
      </w:r>
      <w:r>
        <w:rPr>
          <w:rFonts w:ascii="宋体" w:hAnsi="宋体" w:eastAsia="宋体"/>
          <w:color w:val="auto"/>
          <w:sz w:val="24"/>
          <w:szCs w:val="24"/>
          <w:highlight w:val="none"/>
        </w:rPr>
        <w:t>项目</w:t>
      </w:r>
      <w:r>
        <w:rPr>
          <w:rFonts w:hint="eastAsia" w:ascii="宋体" w:hAnsi="宋体" w:eastAsia="宋体"/>
          <w:color w:val="auto"/>
          <w:sz w:val="24"/>
          <w:szCs w:val="24"/>
          <w:highlight w:val="none"/>
        </w:rPr>
        <w:t>业绩</w:t>
      </w:r>
    </w:p>
    <w:p w14:paraId="0F174D9C">
      <w:pPr>
        <w:ind w:firstLine="602"/>
        <w:jc w:val="center"/>
        <w:rPr>
          <w:color w:val="auto"/>
          <w:highlight w:val="none"/>
        </w:rPr>
      </w:pPr>
      <w:r>
        <w:rPr>
          <w:rFonts w:hint="eastAsia" w:ascii="宋体"/>
          <w:b/>
          <w:bCs/>
          <w:color w:val="auto"/>
          <w:sz w:val="30"/>
          <w:highlight w:val="none"/>
        </w:rPr>
        <w:t>同类项目业绩</w:t>
      </w:r>
    </w:p>
    <w:tbl>
      <w:tblPr>
        <w:tblStyle w:val="49"/>
        <w:tblpPr w:leftFromText="180" w:rightFromText="180" w:vertAnchor="text" w:horzAnchor="page" w:tblpX="1397" w:tblpY="249"/>
        <w:tblOverlap w:val="never"/>
        <w:tblW w:w="9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51"/>
        <w:gridCol w:w="1402"/>
        <w:gridCol w:w="1410"/>
        <w:gridCol w:w="1441"/>
        <w:gridCol w:w="1701"/>
        <w:gridCol w:w="1275"/>
        <w:gridCol w:w="1455"/>
      </w:tblGrid>
      <w:tr w14:paraId="38242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7" w:hRule="exact"/>
        </w:trPr>
        <w:tc>
          <w:tcPr>
            <w:tcW w:w="851" w:type="dxa"/>
            <w:vAlign w:val="center"/>
          </w:tcPr>
          <w:p w14:paraId="728B4B71">
            <w:pPr>
              <w:jc w:val="center"/>
              <w:rPr>
                <w:rFonts w:ascii="宋体"/>
                <w:b/>
                <w:color w:val="auto"/>
                <w:szCs w:val="21"/>
                <w:highlight w:val="none"/>
              </w:rPr>
            </w:pPr>
            <w:r>
              <w:rPr>
                <w:rFonts w:hint="eastAsia" w:ascii="宋体"/>
                <w:b/>
                <w:color w:val="auto"/>
                <w:szCs w:val="21"/>
                <w:highlight w:val="none"/>
              </w:rPr>
              <w:t>序号</w:t>
            </w:r>
          </w:p>
        </w:tc>
        <w:tc>
          <w:tcPr>
            <w:tcW w:w="1402" w:type="dxa"/>
            <w:vAlign w:val="center"/>
          </w:tcPr>
          <w:p w14:paraId="7149AAF8">
            <w:pPr>
              <w:jc w:val="center"/>
              <w:rPr>
                <w:rFonts w:ascii="宋体"/>
                <w:b/>
                <w:color w:val="auto"/>
                <w:szCs w:val="21"/>
                <w:highlight w:val="none"/>
              </w:rPr>
            </w:pPr>
            <w:r>
              <w:rPr>
                <w:rFonts w:hint="eastAsia" w:ascii="宋体"/>
                <w:b/>
                <w:color w:val="auto"/>
                <w:szCs w:val="21"/>
                <w:highlight w:val="none"/>
              </w:rPr>
              <w:t>客户名称</w:t>
            </w:r>
          </w:p>
        </w:tc>
        <w:tc>
          <w:tcPr>
            <w:tcW w:w="1410" w:type="dxa"/>
            <w:vAlign w:val="center"/>
          </w:tcPr>
          <w:p w14:paraId="4FA19278">
            <w:pPr>
              <w:jc w:val="center"/>
              <w:rPr>
                <w:rFonts w:ascii="宋体"/>
                <w:b/>
                <w:color w:val="auto"/>
                <w:szCs w:val="21"/>
                <w:highlight w:val="none"/>
              </w:rPr>
            </w:pPr>
            <w:r>
              <w:rPr>
                <w:rFonts w:hint="eastAsia" w:ascii="宋体"/>
                <w:b/>
                <w:color w:val="auto"/>
                <w:szCs w:val="21"/>
                <w:highlight w:val="none"/>
              </w:rPr>
              <w:t>项目名称</w:t>
            </w:r>
          </w:p>
        </w:tc>
        <w:tc>
          <w:tcPr>
            <w:tcW w:w="1441" w:type="dxa"/>
            <w:vAlign w:val="center"/>
          </w:tcPr>
          <w:p w14:paraId="3B4D9ADB">
            <w:pPr>
              <w:jc w:val="center"/>
              <w:rPr>
                <w:rFonts w:ascii="宋体"/>
                <w:b/>
                <w:color w:val="auto"/>
                <w:szCs w:val="21"/>
                <w:highlight w:val="none"/>
              </w:rPr>
            </w:pPr>
            <w:r>
              <w:rPr>
                <w:rFonts w:hint="eastAsia" w:ascii="宋体"/>
                <w:b/>
                <w:color w:val="auto"/>
                <w:szCs w:val="21"/>
                <w:highlight w:val="none"/>
              </w:rPr>
              <w:t>合同内容</w:t>
            </w:r>
          </w:p>
        </w:tc>
        <w:tc>
          <w:tcPr>
            <w:tcW w:w="1701" w:type="dxa"/>
            <w:vAlign w:val="center"/>
          </w:tcPr>
          <w:p w14:paraId="63581281">
            <w:pPr>
              <w:jc w:val="center"/>
              <w:rPr>
                <w:rFonts w:ascii="宋体"/>
                <w:b/>
                <w:color w:val="auto"/>
                <w:szCs w:val="21"/>
                <w:highlight w:val="none"/>
              </w:rPr>
            </w:pPr>
            <w:r>
              <w:rPr>
                <w:rFonts w:hint="eastAsia" w:ascii="宋体"/>
                <w:b/>
                <w:color w:val="auto"/>
                <w:szCs w:val="21"/>
                <w:highlight w:val="none"/>
              </w:rPr>
              <w:t>合同金额（万元）</w:t>
            </w:r>
          </w:p>
        </w:tc>
        <w:tc>
          <w:tcPr>
            <w:tcW w:w="1275" w:type="dxa"/>
            <w:vAlign w:val="center"/>
          </w:tcPr>
          <w:p w14:paraId="06799444">
            <w:pPr>
              <w:jc w:val="center"/>
              <w:rPr>
                <w:rFonts w:ascii="宋体"/>
                <w:b/>
                <w:color w:val="auto"/>
                <w:szCs w:val="21"/>
                <w:highlight w:val="none"/>
              </w:rPr>
            </w:pPr>
            <w:r>
              <w:rPr>
                <w:rFonts w:hint="eastAsia" w:ascii="宋体"/>
                <w:b/>
                <w:color w:val="auto"/>
                <w:szCs w:val="21"/>
                <w:highlight w:val="none"/>
              </w:rPr>
              <w:t>签订时间</w:t>
            </w:r>
          </w:p>
        </w:tc>
        <w:tc>
          <w:tcPr>
            <w:tcW w:w="1455" w:type="dxa"/>
            <w:vAlign w:val="center"/>
          </w:tcPr>
          <w:p w14:paraId="6FAEEE7E">
            <w:pPr>
              <w:jc w:val="center"/>
              <w:rPr>
                <w:rFonts w:ascii="宋体"/>
                <w:b/>
                <w:color w:val="auto"/>
                <w:szCs w:val="21"/>
                <w:highlight w:val="none"/>
              </w:rPr>
            </w:pPr>
            <w:r>
              <w:rPr>
                <w:rFonts w:hint="eastAsia" w:ascii="宋体"/>
                <w:b/>
                <w:color w:val="auto"/>
                <w:szCs w:val="21"/>
                <w:highlight w:val="none"/>
              </w:rPr>
              <w:t>查阅/证明文件指引</w:t>
            </w:r>
          </w:p>
        </w:tc>
      </w:tr>
      <w:tr w14:paraId="7564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90" w:hRule="exact"/>
        </w:trPr>
        <w:tc>
          <w:tcPr>
            <w:tcW w:w="851" w:type="dxa"/>
            <w:vAlign w:val="center"/>
          </w:tcPr>
          <w:p w14:paraId="1016CD0B">
            <w:pPr>
              <w:jc w:val="center"/>
              <w:rPr>
                <w:rFonts w:ascii="宋体"/>
                <w:color w:val="auto"/>
                <w:szCs w:val="21"/>
                <w:highlight w:val="none"/>
              </w:rPr>
            </w:pPr>
            <w:r>
              <w:rPr>
                <w:rFonts w:hint="eastAsia" w:ascii="宋体"/>
                <w:color w:val="auto"/>
                <w:szCs w:val="21"/>
                <w:highlight w:val="none"/>
              </w:rPr>
              <w:t>1</w:t>
            </w:r>
          </w:p>
        </w:tc>
        <w:tc>
          <w:tcPr>
            <w:tcW w:w="1402" w:type="dxa"/>
          </w:tcPr>
          <w:p w14:paraId="439D8788">
            <w:pPr>
              <w:jc w:val="center"/>
              <w:rPr>
                <w:rFonts w:ascii="宋体"/>
                <w:color w:val="auto"/>
                <w:szCs w:val="21"/>
                <w:highlight w:val="none"/>
              </w:rPr>
            </w:pPr>
          </w:p>
        </w:tc>
        <w:tc>
          <w:tcPr>
            <w:tcW w:w="1410" w:type="dxa"/>
          </w:tcPr>
          <w:p w14:paraId="5EDA3D2F">
            <w:pPr>
              <w:spacing w:line="360" w:lineRule="auto"/>
              <w:jc w:val="center"/>
              <w:rPr>
                <w:rFonts w:ascii="宋体"/>
                <w:color w:val="auto"/>
                <w:szCs w:val="21"/>
                <w:highlight w:val="none"/>
              </w:rPr>
            </w:pPr>
          </w:p>
        </w:tc>
        <w:tc>
          <w:tcPr>
            <w:tcW w:w="1441" w:type="dxa"/>
          </w:tcPr>
          <w:p w14:paraId="26C1E613">
            <w:pPr>
              <w:jc w:val="center"/>
              <w:rPr>
                <w:rFonts w:ascii="宋体"/>
                <w:color w:val="auto"/>
                <w:szCs w:val="21"/>
                <w:highlight w:val="none"/>
              </w:rPr>
            </w:pPr>
          </w:p>
        </w:tc>
        <w:tc>
          <w:tcPr>
            <w:tcW w:w="1701" w:type="dxa"/>
          </w:tcPr>
          <w:p w14:paraId="5995DCC5">
            <w:pPr>
              <w:jc w:val="center"/>
              <w:rPr>
                <w:rFonts w:ascii="宋体"/>
                <w:color w:val="auto"/>
                <w:szCs w:val="21"/>
                <w:highlight w:val="none"/>
              </w:rPr>
            </w:pPr>
          </w:p>
        </w:tc>
        <w:tc>
          <w:tcPr>
            <w:tcW w:w="1275" w:type="dxa"/>
          </w:tcPr>
          <w:p w14:paraId="41DEFF37">
            <w:pPr>
              <w:jc w:val="center"/>
              <w:rPr>
                <w:rFonts w:ascii="宋体"/>
                <w:color w:val="auto"/>
                <w:szCs w:val="21"/>
                <w:highlight w:val="none"/>
              </w:rPr>
            </w:pPr>
          </w:p>
        </w:tc>
        <w:tc>
          <w:tcPr>
            <w:tcW w:w="1455" w:type="dxa"/>
          </w:tcPr>
          <w:p w14:paraId="594E2D4C">
            <w:pPr>
              <w:spacing w:line="400" w:lineRule="exact"/>
              <w:ind w:left="0" w:leftChars="0" w:firstLine="0" w:firstLineChars="0"/>
              <w:jc w:val="center"/>
              <w:rPr>
                <w:rFonts w:ascii="宋体" w:hAnsi="??_GB2312" w:cs="宋体"/>
                <w:color w:val="auto"/>
                <w:kern w:val="0"/>
                <w:sz w:val="18"/>
                <w:szCs w:val="18"/>
                <w:highlight w:val="none"/>
                <w:lang w:val="zh-CN"/>
              </w:rPr>
            </w:pPr>
            <w:r>
              <w:rPr>
                <w:rFonts w:hint="eastAsia" w:ascii="宋体" w:hAnsi="??_GB2312" w:cs="宋体"/>
                <w:color w:val="auto"/>
                <w:kern w:val="0"/>
                <w:sz w:val="18"/>
                <w:szCs w:val="18"/>
                <w:highlight w:val="none"/>
                <w:lang w:val="zh-CN"/>
              </w:rPr>
              <w:t>见响应文件</w:t>
            </w:r>
          </w:p>
          <w:p w14:paraId="026F944B">
            <w:pPr>
              <w:ind w:left="0" w:leftChars="0" w:firstLine="0" w:firstLineChars="0"/>
              <w:jc w:val="center"/>
              <w:rPr>
                <w:rFonts w:ascii="宋体"/>
                <w:color w:val="auto"/>
                <w:szCs w:val="21"/>
                <w:highlight w:val="none"/>
              </w:rPr>
            </w:pPr>
            <w:r>
              <w:rPr>
                <w:rFonts w:hint="eastAsia" w:ascii="宋体" w:hAnsi="??_GB2312" w:cs="宋体"/>
                <w:color w:val="auto"/>
                <w:kern w:val="0"/>
                <w:sz w:val="18"/>
                <w:szCs w:val="18"/>
                <w:highlight w:val="none"/>
                <w:lang w:val="zh-CN"/>
              </w:rPr>
              <w:t>第（）页</w:t>
            </w:r>
          </w:p>
        </w:tc>
      </w:tr>
      <w:tr w14:paraId="1B11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03" w:hRule="exact"/>
        </w:trPr>
        <w:tc>
          <w:tcPr>
            <w:tcW w:w="851" w:type="dxa"/>
            <w:vAlign w:val="center"/>
          </w:tcPr>
          <w:p w14:paraId="567359C7">
            <w:pPr>
              <w:jc w:val="center"/>
              <w:rPr>
                <w:rFonts w:ascii="宋体"/>
                <w:color w:val="auto"/>
                <w:szCs w:val="21"/>
                <w:highlight w:val="none"/>
              </w:rPr>
            </w:pPr>
            <w:r>
              <w:rPr>
                <w:rFonts w:hint="eastAsia" w:ascii="宋体"/>
                <w:color w:val="auto"/>
                <w:szCs w:val="21"/>
                <w:highlight w:val="none"/>
              </w:rPr>
              <w:t>2</w:t>
            </w:r>
          </w:p>
        </w:tc>
        <w:tc>
          <w:tcPr>
            <w:tcW w:w="1402" w:type="dxa"/>
          </w:tcPr>
          <w:p w14:paraId="4C2FBD1C">
            <w:pPr>
              <w:jc w:val="center"/>
              <w:rPr>
                <w:rFonts w:ascii="宋体"/>
                <w:color w:val="auto"/>
                <w:szCs w:val="21"/>
                <w:highlight w:val="none"/>
              </w:rPr>
            </w:pPr>
          </w:p>
        </w:tc>
        <w:tc>
          <w:tcPr>
            <w:tcW w:w="1410" w:type="dxa"/>
          </w:tcPr>
          <w:p w14:paraId="085FC4E8">
            <w:pPr>
              <w:jc w:val="center"/>
              <w:rPr>
                <w:rFonts w:ascii="宋体"/>
                <w:color w:val="auto"/>
                <w:szCs w:val="21"/>
                <w:highlight w:val="none"/>
              </w:rPr>
            </w:pPr>
          </w:p>
        </w:tc>
        <w:tc>
          <w:tcPr>
            <w:tcW w:w="1441" w:type="dxa"/>
          </w:tcPr>
          <w:p w14:paraId="70B04143">
            <w:pPr>
              <w:jc w:val="center"/>
              <w:rPr>
                <w:rFonts w:ascii="宋体"/>
                <w:color w:val="auto"/>
                <w:szCs w:val="21"/>
                <w:highlight w:val="none"/>
              </w:rPr>
            </w:pPr>
          </w:p>
        </w:tc>
        <w:tc>
          <w:tcPr>
            <w:tcW w:w="1701" w:type="dxa"/>
          </w:tcPr>
          <w:p w14:paraId="747F55E6">
            <w:pPr>
              <w:jc w:val="center"/>
              <w:rPr>
                <w:rFonts w:ascii="宋体"/>
                <w:color w:val="auto"/>
                <w:szCs w:val="21"/>
                <w:highlight w:val="none"/>
              </w:rPr>
            </w:pPr>
          </w:p>
        </w:tc>
        <w:tc>
          <w:tcPr>
            <w:tcW w:w="1275" w:type="dxa"/>
          </w:tcPr>
          <w:p w14:paraId="73672950">
            <w:pPr>
              <w:jc w:val="center"/>
              <w:rPr>
                <w:rFonts w:ascii="宋体"/>
                <w:color w:val="auto"/>
                <w:szCs w:val="21"/>
                <w:highlight w:val="none"/>
              </w:rPr>
            </w:pPr>
          </w:p>
        </w:tc>
        <w:tc>
          <w:tcPr>
            <w:tcW w:w="1455" w:type="dxa"/>
          </w:tcPr>
          <w:p w14:paraId="2AC1AF17">
            <w:pPr>
              <w:spacing w:line="400" w:lineRule="exact"/>
              <w:ind w:left="0" w:leftChars="0" w:firstLine="0" w:firstLineChars="0"/>
              <w:jc w:val="center"/>
              <w:rPr>
                <w:rFonts w:ascii="宋体" w:hAnsi="??_GB2312" w:cs="宋体"/>
                <w:color w:val="auto"/>
                <w:kern w:val="0"/>
                <w:sz w:val="18"/>
                <w:szCs w:val="18"/>
                <w:highlight w:val="none"/>
                <w:lang w:val="zh-CN"/>
              </w:rPr>
            </w:pPr>
            <w:r>
              <w:rPr>
                <w:rFonts w:hint="eastAsia" w:ascii="宋体" w:hAnsi="??_GB2312" w:cs="宋体"/>
                <w:color w:val="auto"/>
                <w:kern w:val="0"/>
                <w:sz w:val="18"/>
                <w:szCs w:val="18"/>
                <w:highlight w:val="none"/>
                <w:lang w:val="zh-CN"/>
              </w:rPr>
              <w:t>见响应文件</w:t>
            </w:r>
          </w:p>
          <w:p w14:paraId="7C0413A0">
            <w:pPr>
              <w:ind w:left="0" w:leftChars="0" w:firstLine="0" w:firstLineChars="0"/>
              <w:jc w:val="center"/>
              <w:rPr>
                <w:rFonts w:ascii="宋体"/>
                <w:color w:val="auto"/>
                <w:szCs w:val="21"/>
                <w:highlight w:val="none"/>
              </w:rPr>
            </w:pPr>
            <w:r>
              <w:rPr>
                <w:rFonts w:hint="eastAsia" w:ascii="宋体" w:hAnsi="??_GB2312" w:cs="宋体"/>
                <w:color w:val="auto"/>
                <w:kern w:val="0"/>
                <w:sz w:val="18"/>
                <w:szCs w:val="18"/>
                <w:highlight w:val="none"/>
                <w:lang w:val="zh-CN"/>
              </w:rPr>
              <w:t>第（）页</w:t>
            </w:r>
          </w:p>
        </w:tc>
      </w:tr>
      <w:tr w14:paraId="19E1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99" w:hRule="exact"/>
        </w:trPr>
        <w:tc>
          <w:tcPr>
            <w:tcW w:w="851" w:type="dxa"/>
            <w:vAlign w:val="center"/>
          </w:tcPr>
          <w:p w14:paraId="13F81044">
            <w:pPr>
              <w:jc w:val="center"/>
              <w:rPr>
                <w:rFonts w:ascii="宋体"/>
                <w:color w:val="auto"/>
                <w:szCs w:val="21"/>
                <w:highlight w:val="none"/>
              </w:rPr>
            </w:pPr>
            <w:r>
              <w:rPr>
                <w:rFonts w:hint="eastAsia" w:ascii="宋体"/>
                <w:color w:val="auto"/>
                <w:szCs w:val="21"/>
                <w:highlight w:val="none"/>
              </w:rPr>
              <w:t>3</w:t>
            </w:r>
          </w:p>
        </w:tc>
        <w:tc>
          <w:tcPr>
            <w:tcW w:w="1402" w:type="dxa"/>
          </w:tcPr>
          <w:p w14:paraId="39BF2456">
            <w:pPr>
              <w:jc w:val="center"/>
              <w:rPr>
                <w:rFonts w:ascii="宋体"/>
                <w:color w:val="auto"/>
                <w:szCs w:val="21"/>
                <w:highlight w:val="none"/>
              </w:rPr>
            </w:pPr>
          </w:p>
        </w:tc>
        <w:tc>
          <w:tcPr>
            <w:tcW w:w="1410" w:type="dxa"/>
          </w:tcPr>
          <w:p w14:paraId="160D4297">
            <w:pPr>
              <w:jc w:val="center"/>
              <w:rPr>
                <w:rFonts w:ascii="宋体"/>
                <w:color w:val="auto"/>
                <w:szCs w:val="21"/>
                <w:highlight w:val="none"/>
              </w:rPr>
            </w:pPr>
          </w:p>
        </w:tc>
        <w:tc>
          <w:tcPr>
            <w:tcW w:w="1441" w:type="dxa"/>
          </w:tcPr>
          <w:p w14:paraId="6713CAC3">
            <w:pPr>
              <w:jc w:val="center"/>
              <w:rPr>
                <w:rFonts w:ascii="宋体"/>
                <w:color w:val="auto"/>
                <w:szCs w:val="21"/>
                <w:highlight w:val="none"/>
              </w:rPr>
            </w:pPr>
          </w:p>
        </w:tc>
        <w:tc>
          <w:tcPr>
            <w:tcW w:w="1701" w:type="dxa"/>
          </w:tcPr>
          <w:p w14:paraId="39E550C7">
            <w:pPr>
              <w:jc w:val="center"/>
              <w:rPr>
                <w:rFonts w:ascii="宋体"/>
                <w:color w:val="auto"/>
                <w:szCs w:val="21"/>
                <w:highlight w:val="none"/>
              </w:rPr>
            </w:pPr>
          </w:p>
        </w:tc>
        <w:tc>
          <w:tcPr>
            <w:tcW w:w="1275" w:type="dxa"/>
          </w:tcPr>
          <w:p w14:paraId="670B0928">
            <w:pPr>
              <w:jc w:val="center"/>
              <w:rPr>
                <w:rFonts w:ascii="宋体"/>
                <w:color w:val="auto"/>
                <w:szCs w:val="21"/>
                <w:highlight w:val="none"/>
              </w:rPr>
            </w:pPr>
          </w:p>
        </w:tc>
        <w:tc>
          <w:tcPr>
            <w:tcW w:w="1455" w:type="dxa"/>
          </w:tcPr>
          <w:p w14:paraId="338F4E64">
            <w:pPr>
              <w:spacing w:line="400" w:lineRule="exact"/>
              <w:ind w:left="0" w:leftChars="0" w:firstLine="0" w:firstLineChars="0"/>
              <w:jc w:val="center"/>
              <w:rPr>
                <w:rFonts w:ascii="宋体" w:hAnsi="??_GB2312" w:cs="宋体"/>
                <w:color w:val="auto"/>
                <w:kern w:val="0"/>
                <w:sz w:val="18"/>
                <w:szCs w:val="18"/>
                <w:highlight w:val="none"/>
                <w:lang w:val="zh-CN"/>
              </w:rPr>
            </w:pPr>
            <w:r>
              <w:rPr>
                <w:rFonts w:hint="eastAsia" w:ascii="宋体" w:hAnsi="??_GB2312" w:cs="宋体"/>
                <w:color w:val="auto"/>
                <w:kern w:val="0"/>
                <w:sz w:val="18"/>
                <w:szCs w:val="18"/>
                <w:highlight w:val="none"/>
                <w:lang w:val="zh-CN"/>
              </w:rPr>
              <w:t>见响应文件</w:t>
            </w:r>
          </w:p>
          <w:p w14:paraId="7B360422">
            <w:pPr>
              <w:ind w:left="0" w:leftChars="0" w:firstLine="0" w:firstLineChars="0"/>
              <w:jc w:val="center"/>
              <w:rPr>
                <w:rFonts w:ascii="宋体"/>
                <w:color w:val="auto"/>
                <w:szCs w:val="21"/>
                <w:highlight w:val="none"/>
              </w:rPr>
            </w:pPr>
            <w:r>
              <w:rPr>
                <w:rFonts w:hint="eastAsia" w:ascii="宋体" w:hAnsi="??_GB2312" w:cs="宋体"/>
                <w:color w:val="auto"/>
                <w:kern w:val="0"/>
                <w:sz w:val="18"/>
                <w:szCs w:val="18"/>
                <w:highlight w:val="none"/>
                <w:lang w:val="zh-CN"/>
              </w:rPr>
              <w:t>第（）页</w:t>
            </w:r>
          </w:p>
        </w:tc>
      </w:tr>
      <w:tr w14:paraId="222D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08" w:hRule="exact"/>
        </w:trPr>
        <w:tc>
          <w:tcPr>
            <w:tcW w:w="851" w:type="dxa"/>
            <w:vAlign w:val="center"/>
          </w:tcPr>
          <w:p w14:paraId="6A1C6B9A">
            <w:pPr>
              <w:jc w:val="center"/>
              <w:rPr>
                <w:rFonts w:ascii="宋体"/>
                <w:color w:val="auto"/>
                <w:szCs w:val="21"/>
                <w:highlight w:val="none"/>
              </w:rPr>
            </w:pPr>
            <w:r>
              <w:rPr>
                <w:rFonts w:hint="eastAsia" w:ascii="宋体"/>
                <w:color w:val="auto"/>
                <w:szCs w:val="21"/>
                <w:highlight w:val="none"/>
              </w:rPr>
              <w:t>4</w:t>
            </w:r>
          </w:p>
        </w:tc>
        <w:tc>
          <w:tcPr>
            <w:tcW w:w="1402" w:type="dxa"/>
          </w:tcPr>
          <w:p w14:paraId="61A91B58">
            <w:pPr>
              <w:jc w:val="center"/>
              <w:rPr>
                <w:rFonts w:ascii="宋体"/>
                <w:color w:val="auto"/>
                <w:szCs w:val="21"/>
                <w:highlight w:val="none"/>
              </w:rPr>
            </w:pPr>
          </w:p>
        </w:tc>
        <w:tc>
          <w:tcPr>
            <w:tcW w:w="1410" w:type="dxa"/>
          </w:tcPr>
          <w:p w14:paraId="5105EDC4">
            <w:pPr>
              <w:jc w:val="center"/>
              <w:rPr>
                <w:rFonts w:ascii="宋体"/>
                <w:color w:val="auto"/>
                <w:szCs w:val="21"/>
                <w:highlight w:val="none"/>
              </w:rPr>
            </w:pPr>
          </w:p>
        </w:tc>
        <w:tc>
          <w:tcPr>
            <w:tcW w:w="1441" w:type="dxa"/>
          </w:tcPr>
          <w:p w14:paraId="20A6ED5A">
            <w:pPr>
              <w:jc w:val="center"/>
              <w:rPr>
                <w:rFonts w:ascii="宋体"/>
                <w:color w:val="auto"/>
                <w:szCs w:val="21"/>
                <w:highlight w:val="none"/>
              </w:rPr>
            </w:pPr>
          </w:p>
        </w:tc>
        <w:tc>
          <w:tcPr>
            <w:tcW w:w="1701" w:type="dxa"/>
          </w:tcPr>
          <w:p w14:paraId="59EAE7AC">
            <w:pPr>
              <w:jc w:val="center"/>
              <w:rPr>
                <w:rFonts w:ascii="宋体"/>
                <w:color w:val="auto"/>
                <w:szCs w:val="21"/>
                <w:highlight w:val="none"/>
              </w:rPr>
            </w:pPr>
          </w:p>
        </w:tc>
        <w:tc>
          <w:tcPr>
            <w:tcW w:w="1275" w:type="dxa"/>
          </w:tcPr>
          <w:p w14:paraId="1173DE40">
            <w:pPr>
              <w:jc w:val="center"/>
              <w:rPr>
                <w:rFonts w:ascii="宋体"/>
                <w:color w:val="auto"/>
                <w:szCs w:val="21"/>
                <w:highlight w:val="none"/>
              </w:rPr>
            </w:pPr>
          </w:p>
        </w:tc>
        <w:tc>
          <w:tcPr>
            <w:tcW w:w="1455" w:type="dxa"/>
          </w:tcPr>
          <w:p w14:paraId="6EC2EC0D">
            <w:pPr>
              <w:spacing w:line="400" w:lineRule="exact"/>
              <w:ind w:left="0" w:leftChars="0" w:firstLine="0" w:firstLineChars="0"/>
              <w:jc w:val="center"/>
              <w:rPr>
                <w:rFonts w:ascii="宋体" w:hAnsi="??_GB2312" w:cs="宋体"/>
                <w:color w:val="auto"/>
                <w:kern w:val="0"/>
                <w:sz w:val="18"/>
                <w:szCs w:val="18"/>
                <w:highlight w:val="none"/>
                <w:lang w:val="zh-CN"/>
              </w:rPr>
            </w:pPr>
            <w:r>
              <w:rPr>
                <w:rFonts w:hint="eastAsia" w:ascii="宋体" w:hAnsi="??_GB2312" w:cs="宋体"/>
                <w:color w:val="auto"/>
                <w:kern w:val="0"/>
                <w:sz w:val="18"/>
                <w:szCs w:val="18"/>
                <w:highlight w:val="none"/>
                <w:lang w:val="zh-CN"/>
              </w:rPr>
              <w:t>见响应文件</w:t>
            </w:r>
          </w:p>
          <w:p w14:paraId="04640408">
            <w:pPr>
              <w:ind w:left="0" w:leftChars="0" w:firstLine="0" w:firstLineChars="0"/>
              <w:jc w:val="center"/>
              <w:rPr>
                <w:rFonts w:ascii="宋体"/>
                <w:color w:val="auto"/>
                <w:szCs w:val="21"/>
                <w:highlight w:val="none"/>
              </w:rPr>
            </w:pPr>
            <w:r>
              <w:rPr>
                <w:rFonts w:hint="eastAsia" w:ascii="宋体" w:hAnsi="??_GB2312" w:cs="宋体"/>
                <w:color w:val="auto"/>
                <w:kern w:val="0"/>
                <w:sz w:val="18"/>
                <w:szCs w:val="18"/>
                <w:highlight w:val="none"/>
                <w:lang w:val="zh-CN"/>
              </w:rPr>
              <w:t>第（）页</w:t>
            </w:r>
          </w:p>
        </w:tc>
      </w:tr>
      <w:tr w14:paraId="15C8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04" w:hRule="exact"/>
        </w:trPr>
        <w:tc>
          <w:tcPr>
            <w:tcW w:w="851" w:type="dxa"/>
            <w:vAlign w:val="center"/>
          </w:tcPr>
          <w:p w14:paraId="14B68E78">
            <w:pPr>
              <w:jc w:val="center"/>
              <w:rPr>
                <w:rFonts w:ascii="宋体"/>
                <w:color w:val="auto"/>
                <w:szCs w:val="21"/>
                <w:highlight w:val="none"/>
              </w:rPr>
            </w:pPr>
            <w:r>
              <w:rPr>
                <w:rFonts w:hint="eastAsia" w:ascii="宋体" w:hAnsi="宋体" w:cs="等线"/>
                <w:color w:val="auto"/>
                <w:szCs w:val="21"/>
                <w:highlight w:val="none"/>
              </w:rPr>
              <w:t>…</w:t>
            </w:r>
          </w:p>
        </w:tc>
        <w:tc>
          <w:tcPr>
            <w:tcW w:w="1402" w:type="dxa"/>
          </w:tcPr>
          <w:p w14:paraId="4B5F09D2">
            <w:pPr>
              <w:jc w:val="center"/>
              <w:rPr>
                <w:rFonts w:ascii="宋体"/>
                <w:color w:val="auto"/>
                <w:szCs w:val="21"/>
                <w:highlight w:val="none"/>
              </w:rPr>
            </w:pPr>
          </w:p>
        </w:tc>
        <w:tc>
          <w:tcPr>
            <w:tcW w:w="1410" w:type="dxa"/>
          </w:tcPr>
          <w:p w14:paraId="43F17755">
            <w:pPr>
              <w:jc w:val="center"/>
              <w:rPr>
                <w:rFonts w:ascii="宋体"/>
                <w:color w:val="auto"/>
                <w:szCs w:val="21"/>
                <w:highlight w:val="none"/>
              </w:rPr>
            </w:pPr>
          </w:p>
        </w:tc>
        <w:tc>
          <w:tcPr>
            <w:tcW w:w="1441" w:type="dxa"/>
          </w:tcPr>
          <w:p w14:paraId="1BCD36A9">
            <w:pPr>
              <w:jc w:val="center"/>
              <w:rPr>
                <w:rFonts w:ascii="宋体"/>
                <w:color w:val="auto"/>
                <w:szCs w:val="21"/>
                <w:highlight w:val="none"/>
              </w:rPr>
            </w:pPr>
          </w:p>
        </w:tc>
        <w:tc>
          <w:tcPr>
            <w:tcW w:w="1701" w:type="dxa"/>
          </w:tcPr>
          <w:p w14:paraId="6C3A52D6">
            <w:pPr>
              <w:jc w:val="center"/>
              <w:rPr>
                <w:rFonts w:ascii="宋体"/>
                <w:color w:val="auto"/>
                <w:szCs w:val="21"/>
                <w:highlight w:val="none"/>
              </w:rPr>
            </w:pPr>
          </w:p>
        </w:tc>
        <w:tc>
          <w:tcPr>
            <w:tcW w:w="1275" w:type="dxa"/>
          </w:tcPr>
          <w:p w14:paraId="740DDD44">
            <w:pPr>
              <w:jc w:val="center"/>
              <w:rPr>
                <w:rFonts w:ascii="宋体"/>
                <w:color w:val="auto"/>
                <w:szCs w:val="21"/>
                <w:highlight w:val="none"/>
              </w:rPr>
            </w:pPr>
          </w:p>
        </w:tc>
        <w:tc>
          <w:tcPr>
            <w:tcW w:w="1455" w:type="dxa"/>
          </w:tcPr>
          <w:p w14:paraId="42DC9E7B">
            <w:pPr>
              <w:spacing w:line="400" w:lineRule="exact"/>
              <w:ind w:left="0" w:leftChars="0" w:firstLine="0" w:firstLineChars="0"/>
              <w:jc w:val="center"/>
              <w:rPr>
                <w:rFonts w:ascii="宋体" w:hAnsi="??_GB2312" w:cs="宋体"/>
                <w:color w:val="auto"/>
                <w:kern w:val="0"/>
                <w:sz w:val="18"/>
                <w:szCs w:val="18"/>
                <w:highlight w:val="none"/>
                <w:lang w:val="zh-CN"/>
              </w:rPr>
            </w:pPr>
            <w:r>
              <w:rPr>
                <w:rFonts w:hint="eastAsia" w:ascii="宋体" w:hAnsi="??_GB2312" w:cs="宋体"/>
                <w:color w:val="auto"/>
                <w:kern w:val="0"/>
                <w:sz w:val="18"/>
                <w:szCs w:val="18"/>
                <w:highlight w:val="none"/>
                <w:lang w:val="zh-CN"/>
              </w:rPr>
              <w:t>见响应文件</w:t>
            </w:r>
          </w:p>
          <w:p w14:paraId="744C5E39">
            <w:pPr>
              <w:ind w:left="0" w:leftChars="0" w:firstLine="0" w:firstLineChars="0"/>
              <w:jc w:val="center"/>
              <w:rPr>
                <w:rFonts w:ascii="宋体"/>
                <w:color w:val="auto"/>
                <w:szCs w:val="21"/>
                <w:highlight w:val="none"/>
              </w:rPr>
            </w:pPr>
            <w:r>
              <w:rPr>
                <w:rFonts w:hint="eastAsia" w:ascii="宋体" w:hAnsi="??_GB2312" w:cs="宋体"/>
                <w:color w:val="auto"/>
                <w:kern w:val="0"/>
                <w:sz w:val="18"/>
                <w:szCs w:val="18"/>
                <w:highlight w:val="none"/>
                <w:lang w:val="zh-CN"/>
              </w:rPr>
              <w:t>第（）页</w:t>
            </w:r>
          </w:p>
        </w:tc>
      </w:tr>
    </w:tbl>
    <w:p w14:paraId="4B454FDB">
      <w:pPr>
        <w:rPr>
          <w:color w:val="auto"/>
          <w:highlight w:val="none"/>
        </w:rPr>
      </w:pPr>
    </w:p>
    <w:p w14:paraId="2AAB83A5">
      <w:pPr>
        <w:spacing w:line="360" w:lineRule="auto"/>
        <w:rPr>
          <w:rFonts w:ascii="宋体" w:hAnsi="宋体"/>
          <w:color w:val="auto"/>
          <w:highlight w:val="none"/>
        </w:rPr>
      </w:pPr>
    </w:p>
    <w:p w14:paraId="05E540AD">
      <w:pPr>
        <w:spacing w:line="360" w:lineRule="auto"/>
        <w:rPr>
          <w:color w:val="auto"/>
          <w:highlight w:val="none"/>
        </w:rPr>
      </w:pPr>
      <w:r>
        <w:rPr>
          <w:rFonts w:hint="eastAsia" w:ascii="宋体" w:hAnsi="宋体"/>
          <w:color w:val="auto"/>
          <w:highlight w:val="none"/>
        </w:rPr>
        <w:t>注：</w:t>
      </w:r>
      <w:r>
        <w:rPr>
          <w:rFonts w:hint="eastAsia" w:ascii="宋体"/>
          <w:color w:val="auto"/>
          <w:szCs w:val="21"/>
          <w:highlight w:val="none"/>
        </w:rPr>
        <w:t>根据评分细则的要求进行填写，并按要求在后附上相关附件，如未提供，评委有权认为不具备或不符合，并影响供应商的得分</w:t>
      </w:r>
      <w:r>
        <w:rPr>
          <w:rFonts w:hint="eastAsia" w:ascii="宋体" w:hAnsi="宋体"/>
          <w:color w:val="auto"/>
          <w:highlight w:val="none"/>
        </w:rPr>
        <w:t>。</w:t>
      </w:r>
    </w:p>
    <w:p w14:paraId="74EBCDB3">
      <w:pPr>
        <w:spacing w:line="360" w:lineRule="auto"/>
        <w:rPr>
          <w:rFonts w:ascii="宋体" w:hAnsi="宋体"/>
          <w:color w:val="auto"/>
          <w:highlight w:val="none"/>
        </w:rPr>
      </w:pPr>
    </w:p>
    <w:p w14:paraId="676576EE">
      <w:pPr>
        <w:spacing w:line="360" w:lineRule="auto"/>
        <w:rPr>
          <w:rFonts w:ascii="宋体" w:hAnsi="宋体"/>
          <w:color w:val="auto"/>
          <w:highlight w:val="none"/>
        </w:rPr>
      </w:pPr>
    </w:p>
    <w:p w14:paraId="5CBC0B6E">
      <w:pPr>
        <w:spacing w:line="360" w:lineRule="auto"/>
        <w:rPr>
          <w:rFonts w:ascii="宋体" w:hAnsi="宋体"/>
          <w:color w:val="auto"/>
          <w:highlight w:val="none"/>
        </w:rPr>
      </w:pPr>
    </w:p>
    <w:p w14:paraId="58ADCCB4">
      <w:pPr>
        <w:spacing w:line="360" w:lineRule="auto"/>
        <w:rPr>
          <w:rFonts w:ascii="宋体" w:hAnsi="宋体"/>
          <w:color w:val="auto"/>
          <w:highlight w:val="none"/>
        </w:rPr>
      </w:pPr>
    </w:p>
    <w:p w14:paraId="16162C75">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41609CEA">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748402F6">
      <w:pPr>
        <w:spacing w:line="360" w:lineRule="auto"/>
        <w:rPr>
          <w:rFonts w:ascii="宋体" w:hAnsi="宋体"/>
          <w:color w:val="auto"/>
          <w:highlight w:val="none"/>
          <w:lang w:val="en-GB"/>
        </w:rPr>
        <w:sectPr>
          <w:pgSz w:w="11906" w:h="16838"/>
          <w:pgMar w:top="1109" w:right="1797" w:bottom="1440" w:left="1797" w:header="851" w:footer="992" w:gutter="0"/>
          <w:paperSrc w:first="7"/>
          <w:cols w:space="720" w:num="1"/>
          <w:titlePg/>
          <w:docGrid w:linePitch="312" w:charSpace="0"/>
        </w:sect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27E9D141">
      <w:pPr>
        <w:pStyle w:val="4"/>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2.3实质性条款响应表</w:t>
      </w:r>
    </w:p>
    <w:p w14:paraId="6198862B">
      <w:pPr>
        <w:ind w:firstLine="562"/>
        <w:jc w:val="center"/>
        <w:rPr>
          <w:rFonts w:ascii="宋体"/>
          <w:b/>
          <w:color w:val="auto"/>
          <w:sz w:val="28"/>
          <w:szCs w:val="21"/>
          <w:highlight w:val="none"/>
        </w:rPr>
      </w:pPr>
      <w:r>
        <w:rPr>
          <w:rFonts w:hint="eastAsia" w:ascii="宋体"/>
          <w:b/>
          <w:color w:val="auto"/>
          <w:sz w:val="28"/>
          <w:szCs w:val="21"/>
          <w:highlight w:val="none"/>
        </w:rPr>
        <w:t>实质性条款响应表</w:t>
      </w:r>
    </w:p>
    <w:p w14:paraId="1258C17A">
      <w:pPr>
        <w:ind w:firstLine="560"/>
        <w:jc w:val="center"/>
        <w:rPr>
          <w:rFonts w:ascii="宋体"/>
          <w:b/>
          <w:color w:val="auto"/>
          <w:sz w:val="28"/>
          <w:szCs w:val="21"/>
          <w:highlight w:val="none"/>
        </w:rPr>
      </w:pPr>
    </w:p>
    <w:tbl>
      <w:tblPr>
        <w:tblStyle w:val="49"/>
        <w:tblW w:w="9654" w:type="dxa"/>
        <w:tblInd w:w="-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2"/>
        <w:gridCol w:w="2116"/>
        <w:gridCol w:w="2551"/>
        <w:gridCol w:w="2637"/>
        <w:gridCol w:w="1758"/>
      </w:tblGrid>
      <w:tr w14:paraId="790AB9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592" w:type="dxa"/>
            <w:tcBorders>
              <w:top w:val="single" w:color="auto" w:sz="12" w:space="0"/>
              <w:bottom w:val="double" w:color="auto" w:sz="4" w:space="0"/>
            </w:tcBorders>
            <w:shd w:val="clear" w:color="auto" w:fill="EEECE1"/>
            <w:vAlign w:val="center"/>
          </w:tcPr>
          <w:p w14:paraId="4D306A36">
            <w:pPr>
              <w:ind w:left="-78" w:leftChars="-37" w:right="-80" w:rightChars="-38"/>
              <w:jc w:val="center"/>
              <w:rPr>
                <w:rFonts w:ascii="宋体"/>
                <w:color w:val="auto"/>
                <w:szCs w:val="21"/>
                <w:highlight w:val="none"/>
              </w:rPr>
            </w:pPr>
            <w:r>
              <w:rPr>
                <w:rFonts w:hint="eastAsia" w:ascii="宋体"/>
                <w:color w:val="auto"/>
                <w:szCs w:val="21"/>
                <w:highlight w:val="none"/>
              </w:rPr>
              <w:t>序号</w:t>
            </w:r>
          </w:p>
        </w:tc>
        <w:tc>
          <w:tcPr>
            <w:tcW w:w="2116" w:type="dxa"/>
            <w:tcBorders>
              <w:top w:val="single" w:color="auto" w:sz="12" w:space="0"/>
              <w:bottom w:val="double" w:color="auto" w:sz="4" w:space="0"/>
            </w:tcBorders>
            <w:shd w:val="clear" w:color="auto" w:fill="EEECE1"/>
            <w:vAlign w:val="center"/>
          </w:tcPr>
          <w:p w14:paraId="62F69C86">
            <w:pPr>
              <w:ind w:left="-78" w:leftChars="-37" w:right="-80" w:rightChars="-38"/>
              <w:jc w:val="center"/>
              <w:rPr>
                <w:rFonts w:ascii="宋体"/>
                <w:color w:val="auto"/>
                <w:szCs w:val="21"/>
                <w:highlight w:val="none"/>
              </w:rPr>
            </w:pPr>
            <w:r>
              <w:rPr>
                <w:rFonts w:hint="eastAsia" w:ascii="宋体"/>
                <w:color w:val="auto"/>
                <w:szCs w:val="21"/>
                <w:highlight w:val="none"/>
              </w:rPr>
              <w:t>采购文件条款</w:t>
            </w:r>
          </w:p>
        </w:tc>
        <w:tc>
          <w:tcPr>
            <w:tcW w:w="2551" w:type="dxa"/>
            <w:tcBorders>
              <w:top w:val="single" w:color="auto" w:sz="12" w:space="0"/>
              <w:bottom w:val="double" w:color="auto" w:sz="4" w:space="0"/>
            </w:tcBorders>
            <w:shd w:val="clear" w:color="auto" w:fill="EEECE1"/>
            <w:vAlign w:val="center"/>
          </w:tcPr>
          <w:p w14:paraId="33844338">
            <w:pPr>
              <w:ind w:left="-78" w:leftChars="-37" w:right="-80" w:rightChars="-38"/>
              <w:jc w:val="center"/>
              <w:rPr>
                <w:rFonts w:ascii="宋体"/>
                <w:color w:val="auto"/>
                <w:szCs w:val="21"/>
                <w:highlight w:val="none"/>
              </w:rPr>
            </w:pPr>
            <w:r>
              <w:rPr>
                <w:rFonts w:hint="eastAsia" w:ascii="宋体"/>
                <w:color w:val="auto"/>
                <w:szCs w:val="21"/>
                <w:highlight w:val="none"/>
              </w:rPr>
              <w:t>供应商响应情况</w:t>
            </w:r>
          </w:p>
        </w:tc>
        <w:tc>
          <w:tcPr>
            <w:tcW w:w="2637" w:type="dxa"/>
            <w:tcBorders>
              <w:top w:val="single" w:color="auto" w:sz="12" w:space="0"/>
              <w:bottom w:val="double" w:color="auto" w:sz="4" w:space="0"/>
              <w:right w:val="single" w:color="auto" w:sz="2" w:space="0"/>
            </w:tcBorders>
            <w:shd w:val="clear" w:color="auto" w:fill="EEECE1"/>
            <w:vAlign w:val="center"/>
          </w:tcPr>
          <w:p w14:paraId="2BFCC178">
            <w:pPr>
              <w:ind w:left="-78" w:leftChars="-37" w:right="-80" w:rightChars="-38"/>
              <w:jc w:val="center"/>
              <w:rPr>
                <w:rFonts w:ascii="宋体"/>
                <w:color w:val="auto"/>
                <w:szCs w:val="21"/>
                <w:highlight w:val="none"/>
              </w:rPr>
            </w:pPr>
            <w:r>
              <w:rPr>
                <w:rFonts w:hint="eastAsia" w:ascii="宋体"/>
                <w:color w:val="auto"/>
                <w:szCs w:val="21"/>
                <w:highlight w:val="none"/>
              </w:rPr>
              <w:t>偏离情况</w:t>
            </w:r>
          </w:p>
          <w:p w14:paraId="6B6452AF">
            <w:pPr>
              <w:ind w:left="-42" w:leftChars="-20" w:right="-65" w:rightChars="-31"/>
              <w:jc w:val="center"/>
              <w:rPr>
                <w:rFonts w:ascii="宋体"/>
                <w:color w:val="auto"/>
                <w:szCs w:val="21"/>
                <w:highlight w:val="none"/>
              </w:rPr>
            </w:pPr>
            <w:r>
              <w:rPr>
                <w:rFonts w:hint="eastAsia" w:ascii="宋体"/>
                <w:color w:val="auto"/>
                <w:szCs w:val="21"/>
                <w:highlight w:val="none"/>
              </w:rPr>
              <w:t>（正偏离/</w:t>
            </w:r>
            <w:r>
              <w:rPr>
                <w:rFonts w:hint="eastAsia" w:ascii="宋体"/>
                <w:bCs/>
                <w:color w:val="auto"/>
                <w:szCs w:val="21"/>
                <w:highlight w:val="none"/>
              </w:rPr>
              <w:t>无偏离</w:t>
            </w:r>
            <w:r>
              <w:rPr>
                <w:rFonts w:hint="eastAsia" w:ascii="宋体"/>
                <w:color w:val="auto"/>
                <w:szCs w:val="21"/>
                <w:highlight w:val="none"/>
              </w:rPr>
              <w:t>/负偏离）</w:t>
            </w:r>
          </w:p>
        </w:tc>
        <w:tc>
          <w:tcPr>
            <w:tcW w:w="1758" w:type="dxa"/>
            <w:tcBorders>
              <w:top w:val="single" w:color="auto" w:sz="12" w:space="0"/>
              <w:left w:val="single" w:color="auto" w:sz="2" w:space="0"/>
              <w:bottom w:val="double" w:color="auto" w:sz="4" w:space="0"/>
            </w:tcBorders>
            <w:shd w:val="clear" w:color="auto" w:fill="EEECE1"/>
            <w:vAlign w:val="center"/>
          </w:tcPr>
          <w:p w14:paraId="4E951CDF">
            <w:pPr>
              <w:ind w:right="13" w:rightChars="6"/>
              <w:jc w:val="center"/>
              <w:rPr>
                <w:rFonts w:ascii="宋体"/>
                <w:color w:val="auto"/>
                <w:szCs w:val="21"/>
                <w:highlight w:val="none"/>
              </w:rPr>
            </w:pPr>
            <w:r>
              <w:rPr>
                <w:rFonts w:hint="eastAsia" w:ascii="宋体"/>
                <w:color w:val="auto"/>
                <w:szCs w:val="21"/>
                <w:highlight w:val="none"/>
              </w:rPr>
              <w:t>查阅/证明文件指引</w:t>
            </w:r>
          </w:p>
        </w:tc>
      </w:tr>
      <w:tr w14:paraId="053FF4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92" w:type="dxa"/>
            <w:tcBorders>
              <w:top w:val="double" w:color="auto" w:sz="4" w:space="0"/>
            </w:tcBorders>
            <w:vAlign w:val="center"/>
          </w:tcPr>
          <w:p w14:paraId="31B40315">
            <w:pPr>
              <w:numPr>
                <w:ilvl w:val="0"/>
                <w:numId w:val="9"/>
              </w:numPr>
              <w:ind w:firstLine="422"/>
              <w:jc w:val="center"/>
              <w:rPr>
                <w:rFonts w:ascii="宋体"/>
                <w:color w:val="auto"/>
                <w:szCs w:val="21"/>
                <w:highlight w:val="none"/>
              </w:rPr>
            </w:pPr>
          </w:p>
        </w:tc>
        <w:tc>
          <w:tcPr>
            <w:tcW w:w="2116" w:type="dxa"/>
            <w:tcBorders>
              <w:top w:val="double" w:color="auto" w:sz="4" w:space="0"/>
            </w:tcBorders>
            <w:vAlign w:val="center"/>
          </w:tcPr>
          <w:p w14:paraId="36588673">
            <w:pPr>
              <w:ind w:left="-78" w:leftChars="-37" w:right="-80" w:rightChars="-38"/>
              <w:jc w:val="center"/>
              <w:rPr>
                <w:rFonts w:ascii="宋体"/>
                <w:color w:val="auto"/>
                <w:szCs w:val="21"/>
                <w:highlight w:val="none"/>
              </w:rPr>
            </w:pPr>
          </w:p>
        </w:tc>
        <w:tc>
          <w:tcPr>
            <w:tcW w:w="2551" w:type="dxa"/>
            <w:tcBorders>
              <w:top w:val="double" w:color="auto" w:sz="4" w:space="0"/>
            </w:tcBorders>
            <w:vAlign w:val="center"/>
          </w:tcPr>
          <w:p w14:paraId="40B6DB39">
            <w:pPr>
              <w:ind w:left="-78" w:leftChars="-37" w:right="-80" w:rightChars="-38"/>
              <w:jc w:val="center"/>
              <w:rPr>
                <w:rFonts w:ascii="宋体"/>
                <w:color w:val="auto"/>
                <w:szCs w:val="21"/>
                <w:highlight w:val="none"/>
              </w:rPr>
            </w:pPr>
          </w:p>
        </w:tc>
        <w:tc>
          <w:tcPr>
            <w:tcW w:w="2637" w:type="dxa"/>
            <w:tcBorders>
              <w:top w:val="double" w:color="auto" w:sz="4" w:space="0"/>
              <w:right w:val="single" w:color="auto" w:sz="2" w:space="0"/>
            </w:tcBorders>
            <w:vAlign w:val="center"/>
          </w:tcPr>
          <w:p w14:paraId="30096E14">
            <w:pPr>
              <w:ind w:left="-78" w:leftChars="-37" w:right="-80" w:rightChars="-38"/>
              <w:jc w:val="center"/>
              <w:rPr>
                <w:rFonts w:ascii="宋体"/>
                <w:color w:val="auto"/>
                <w:szCs w:val="21"/>
                <w:highlight w:val="none"/>
              </w:rPr>
            </w:pPr>
          </w:p>
        </w:tc>
        <w:tc>
          <w:tcPr>
            <w:tcW w:w="1758" w:type="dxa"/>
            <w:tcBorders>
              <w:top w:val="double" w:color="auto" w:sz="4" w:space="0"/>
              <w:left w:val="single" w:color="auto" w:sz="2" w:space="0"/>
            </w:tcBorders>
            <w:vAlign w:val="center"/>
          </w:tcPr>
          <w:p w14:paraId="05A811F3">
            <w:pPr>
              <w:ind w:right="13" w:rightChars="6"/>
              <w:jc w:val="center"/>
              <w:rPr>
                <w:rFonts w:ascii="宋体"/>
                <w:color w:val="auto"/>
                <w:szCs w:val="21"/>
                <w:highlight w:val="none"/>
              </w:rPr>
            </w:pPr>
            <w:r>
              <w:rPr>
                <w:rFonts w:hint="eastAsia" w:ascii="宋体" w:cs="宋体"/>
                <w:color w:val="auto"/>
                <w:szCs w:val="21"/>
                <w:highlight w:val="none"/>
              </w:rPr>
              <w:t>见</w:t>
            </w:r>
            <w:r>
              <w:rPr>
                <w:rFonts w:hint="eastAsia" w:ascii="宋体"/>
                <w:color w:val="auto"/>
                <w:szCs w:val="21"/>
                <w:highlight w:val="none"/>
              </w:rPr>
              <w:t>《响应文件》   第</w:t>
            </w:r>
            <w:r>
              <w:rPr>
                <w:rFonts w:hint="eastAsia" w:ascii="宋体"/>
                <w:color w:val="auto"/>
                <w:szCs w:val="21"/>
                <w:highlight w:val="none"/>
                <w:u w:val="single"/>
              </w:rPr>
              <w:t xml:space="preserve">   </w:t>
            </w:r>
            <w:r>
              <w:rPr>
                <w:rFonts w:hint="eastAsia" w:ascii="宋体"/>
                <w:color w:val="auto"/>
                <w:szCs w:val="21"/>
                <w:highlight w:val="none"/>
              </w:rPr>
              <w:t>页</w:t>
            </w:r>
          </w:p>
        </w:tc>
      </w:tr>
      <w:tr w14:paraId="0E8F6B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14:paraId="2DF4253E">
            <w:pPr>
              <w:numPr>
                <w:ilvl w:val="0"/>
                <w:numId w:val="9"/>
              </w:numPr>
              <w:ind w:firstLine="422"/>
              <w:jc w:val="center"/>
              <w:rPr>
                <w:rFonts w:ascii="宋体"/>
                <w:color w:val="auto"/>
                <w:szCs w:val="21"/>
                <w:highlight w:val="none"/>
              </w:rPr>
            </w:pPr>
          </w:p>
        </w:tc>
        <w:tc>
          <w:tcPr>
            <w:tcW w:w="2116" w:type="dxa"/>
            <w:vAlign w:val="center"/>
          </w:tcPr>
          <w:p w14:paraId="1A734D12">
            <w:pPr>
              <w:ind w:left="-78" w:leftChars="-37" w:right="-80" w:rightChars="-38"/>
              <w:jc w:val="center"/>
              <w:rPr>
                <w:rFonts w:ascii="宋体"/>
                <w:color w:val="auto"/>
                <w:szCs w:val="21"/>
                <w:highlight w:val="none"/>
              </w:rPr>
            </w:pPr>
          </w:p>
        </w:tc>
        <w:tc>
          <w:tcPr>
            <w:tcW w:w="2551" w:type="dxa"/>
            <w:vAlign w:val="center"/>
          </w:tcPr>
          <w:p w14:paraId="368D851F">
            <w:pPr>
              <w:ind w:left="-78" w:leftChars="-37" w:right="-80" w:rightChars="-38"/>
              <w:jc w:val="center"/>
              <w:rPr>
                <w:rFonts w:ascii="宋体"/>
                <w:color w:val="auto"/>
                <w:szCs w:val="21"/>
                <w:highlight w:val="none"/>
              </w:rPr>
            </w:pPr>
          </w:p>
        </w:tc>
        <w:tc>
          <w:tcPr>
            <w:tcW w:w="2637" w:type="dxa"/>
            <w:tcBorders>
              <w:right w:val="single" w:color="auto" w:sz="2" w:space="0"/>
            </w:tcBorders>
            <w:vAlign w:val="center"/>
          </w:tcPr>
          <w:p w14:paraId="4C3B34E8">
            <w:pPr>
              <w:ind w:left="-78" w:leftChars="-37" w:right="-80" w:rightChars="-38"/>
              <w:jc w:val="center"/>
              <w:rPr>
                <w:rFonts w:ascii="宋体"/>
                <w:color w:val="auto"/>
                <w:szCs w:val="21"/>
                <w:highlight w:val="none"/>
              </w:rPr>
            </w:pPr>
          </w:p>
        </w:tc>
        <w:tc>
          <w:tcPr>
            <w:tcW w:w="1758" w:type="dxa"/>
            <w:tcBorders>
              <w:left w:val="single" w:color="auto" w:sz="2" w:space="0"/>
            </w:tcBorders>
            <w:vAlign w:val="center"/>
          </w:tcPr>
          <w:p w14:paraId="3DA518EF">
            <w:pPr>
              <w:ind w:right="13" w:rightChars="6"/>
              <w:jc w:val="center"/>
              <w:rPr>
                <w:rFonts w:ascii="宋体"/>
                <w:color w:val="auto"/>
                <w:szCs w:val="21"/>
                <w:highlight w:val="none"/>
              </w:rPr>
            </w:pPr>
            <w:r>
              <w:rPr>
                <w:rFonts w:hint="eastAsia" w:ascii="宋体" w:cs="宋体"/>
                <w:color w:val="auto"/>
                <w:szCs w:val="21"/>
                <w:highlight w:val="none"/>
              </w:rPr>
              <w:t>见《响应文件》第</w:t>
            </w:r>
            <w:r>
              <w:rPr>
                <w:rFonts w:hint="eastAsia" w:ascii="宋体" w:cs="宋体"/>
                <w:color w:val="auto"/>
                <w:szCs w:val="21"/>
                <w:highlight w:val="none"/>
                <w:u w:val="single"/>
              </w:rPr>
              <w:t xml:space="preserve">   </w:t>
            </w:r>
            <w:r>
              <w:rPr>
                <w:rFonts w:hint="eastAsia" w:ascii="宋体" w:cs="宋体"/>
                <w:color w:val="auto"/>
                <w:szCs w:val="21"/>
                <w:highlight w:val="none"/>
              </w:rPr>
              <w:t>页</w:t>
            </w:r>
          </w:p>
        </w:tc>
      </w:tr>
      <w:tr w14:paraId="4E5A53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14:paraId="40BD60DE">
            <w:pPr>
              <w:numPr>
                <w:ilvl w:val="0"/>
                <w:numId w:val="9"/>
              </w:numPr>
              <w:ind w:firstLine="422"/>
              <w:jc w:val="center"/>
              <w:rPr>
                <w:rFonts w:ascii="宋体"/>
                <w:color w:val="auto"/>
                <w:szCs w:val="21"/>
                <w:highlight w:val="none"/>
              </w:rPr>
            </w:pPr>
          </w:p>
        </w:tc>
        <w:tc>
          <w:tcPr>
            <w:tcW w:w="2116" w:type="dxa"/>
            <w:vAlign w:val="center"/>
          </w:tcPr>
          <w:p w14:paraId="34F5AC92">
            <w:pPr>
              <w:ind w:left="-78" w:leftChars="-37" w:right="-80" w:rightChars="-38"/>
              <w:jc w:val="center"/>
              <w:rPr>
                <w:rFonts w:ascii="宋体"/>
                <w:color w:val="auto"/>
                <w:szCs w:val="21"/>
                <w:highlight w:val="none"/>
              </w:rPr>
            </w:pPr>
          </w:p>
        </w:tc>
        <w:tc>
          <w:tcPr>
            <w:tcW w:w="2551" w:type="dxa"/>
            <w:vAlign w:val="center"/>
          </w:tcPr>
          <w:p w14:paraId="60783FDA">
            <w:pPr>
              <w:ind w:left="-78" w:leftChars="-37" w:right="-80" w:rightChars="-38"/>
              <w:jc w:val="center"/>
              <w:rPr>
                <w:rFonts w:ascii="宋体"/>
                <w:color w:val="auto"/>
                <w:szCs w:val="21"/>
                <w:highlight w:val="none"/>
              </w:rPr>
            </w:pPr>
          </w:p>
        </w:tc>
        <w:tc>
          <w:tcPr>
            <w:tcW w:w="2637" w:type="dxa"/>
            <w:tcBorders>
              <w:right w:val="single" w:color="auto" w:sz="2" w:space="0"/>
            </w:tcBorders>
            <w:vAlign w:val="center"/>
          </w:tcPr>
          <w:p w14:paraId="5DDA33F3">
            <w:pPr>
              <w:ind w:left="-78" w:leftChars="-37" w:right="-80" w:rightChars="-38"/>
              <w:jc w:val="center"/>
              <w:rPr>
                <w:rFonts w:ascii="宋体"/>
                <w:color w:val="auto"/>
                <w:szCs w:val="21"/>
                <w:highlight w:val="none"/>
              </w:rPr>
            </w:pPr>
          </w:p>
        </w:tc>
        <w:tc>
          <w:tcPr>
            <w:tcW w:w="1758" w:type="dxa"/>
            <w:tcBorders>
              <w:left w:val="single" w:color="auto" w:sz="2" w:space="0"/>
            </w:tcBorders>
            <w:vAlign w:val="center"/>
          </w:tcPr>
          <w:p w14:paraId="1C2388D6">
            <w:pPr>
              <w:ind w:right="13" w:rightChars="6"/>
              <w:jc w:val="center"/>
              <w:rPr>
                <w:rFonts w:ascii="宋体"/>
                <w:color w:val="auto"/>
                <w:szCs w:val="21"/>
                <w:highlight w:val="none"/>
              </w:rPr>
            </w:pPr>
            <w:r>
              <w:rPr>
                <w:rFonts w:hint="eastAsia" w:ascii="宋体" w:cs="宋体"/>
                <w:color w:val="auto"/>
                <w:szCs w:val="21"/>
                <w:highlight w:val="none"/>
              </w:rPr>
              <w:t>见《响应文件》第</w:t>
            </w:r>
            <w:r>
              <w:rPr>
                <w:rFonts w:hint="eastAsia" w:ascii="宋体" w:cs="宋体"/>
                <w:color w:val="auto"/>
                <w:szCs w:val="21"/>
                <w:highlight w:val="none"/>
                <w:u w:val="single"/>
              </w:rPr>
              <w:t xml:space="preserve">   </w:t>
            </w:r>
            <w:r>
              <w:rPr>
                <w:rFonts w:hint="eastAsia" w:ascii="宋体" w:cs="宋体"/>
                <w:color w:val="auto"/>
                <w:szCs w:val="21"/>
                <w:highlight w:val="none"/>
              </w:rPr>
              <w:t>页</w:t>
            </w:r>
          </w:p>
        </w:tc>
      </w:tr>
      <w:tr w14:paraId="15C726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92" w:type="dxa"/>
            <w:vAlign w:val="center"/>
          </w:tcPr>
          <w:p w14:paraId="4D5CDFD3">
            <w:pPr>
              <w:numPr>
                <w:ilvl w:val="0"/>
                <w:numId w:val="9"/>
              </w:numPr>
              <w:ind w:firstLine="422"/>
              <w:jc w:val="center"/>
              <w:rPr>
                <w:rFonts w:ascii="宋体"/>
                <w:color w:val="auto"/>
                <w:szCs w:val="21"/>
                <w:highlight w:val="none"/>
              </w:rPr>
            </w:pPr>
          </w:p>
        </w:tc>
        <w:tc>
          <w:tcPr>
            <w:tcW w:w="2116" w:type="dxa"/>
            <w:vAlign w:val="center"/>
          </w:tcPr>
          <w:p w14:paraId="367E947E">
            <w:pPr>
              <w:ind w:left="-78" w:leftChars="-37" w:right="-80" w:rightChars="-38"/>
              <w:jc w:val="center"/>
              <w:rPr>
                <w:rFonts w:ascii="宋体"/>
                <w:color w:val="auto"/>
                <w:szCs w:val="21"/>
                <w:highlight w:val="none"/>
              </w:rPr>
            </w:pPr>
            <w:r>
              <w:rPr>
                <w:rFonts w:hint="eastAsia" w:ascii="宋体"/>
                <w:color w:val="auto"/>
                <w:szCs w:val="21"/>
                <w:highlight w:val="none"/>
              </w:rPr>
              <w:t>......</w:t>
            </w:r>
          </w:p>
        </w:tc>
        <w:tc>
          <w:tcPr>
            <w:tcW w:w="2551" w:type="dxa"/>
            <w:vAlign w:val="center"/>
          </w:tcPr>
          <w:p w14:paraId="007965C1">
            <w:pPr>
              <w:ind w:left="-78" w:leftChars="-37" w:right="-80" w:rightChars="-38"/>
              <w:jc w:val="center"/>
              <w:rPr>
                <w:rFonts w:ascii="宋体"/>
                <w:color w:val="auto"/>
                <w:szCs w:val="21"/>
                <w:highlight w:val="none"/>
              </w:rPr>
            </w:pPr>
          </w:p>
        </w:tc>
        <w:tc>
          <w:tcPr>
            <w:tcW w:w="2637" w:type="dxa"/>
            <w:tcBorders>
              <w:right w:val="single" w:color="auto" w:sz="2" w:space="0"/>
            </w:tcBorders>
            <w:vAlign w:val="center"/>
          </w:tcPr>
          <w:p w14:paraId="3720A772">
            <w:pPr>
              <w:ind w:left="-78" w:leftChars="-37" w:right="-80" w:rightChars="-38"/>
              <w:jc w:val="center"/>
              <w:rPr>
                <w:rFonts w:ascii="宋体"/>
                <w:color w:val="auto"/>
                <w:szCs w:val="21"/>
                <w:highlight w:val="none"/>
              </w:rPr>
            </w:pPr>
          </w:p>
        </w:tc>
        <w:tc>
          <w:tcPr>
            <w:tcW w:w="1758" w:type="dxa"/>
            <w:tcBorders>
              <w:left w:val="single" w:color="auto" w:sz="2" w:space="0"/>
            </w:tcBorders>
            <w:vAlign w:val="center"/>
          </w:tcPr>
          <w:p w14:paraId="7A7F1C24">
            <w:pPr>
              <w:ind w:right="13" w:rightChars="6"/>
              <w:jc w:val="center"/>
              <w:rPr>
                <w:rFonts w:ascii="宋体" w:cs="宋体"/>
                <w:color w:val="auto"/>
                <w:szCs w:val="21"/>
                <w:highlight w:val="none"/>
              </w:rPr>
            </w:pPr>
          </w:p>
        </w:tc>
      </w:tr>
    </w:tbl>
    <w:p w14:paraId="5B5A3F84">
      <w:pPr>
        <w:ind w:firstLine="422" w:firstLineChars="200"/>
        <w:rPr>
          <w:rFonts w:ascii="宋体" w:hAnsi="宋体" w:cs="宋体"/>
          <w:b/>
          <w:color w:val="auto"/>
          <w:highlight w:val="none"/>
        </w:rPr>
      </w:pPr>
    </w:p>
    <w:p w14:paraId="050B88F6">
      <w:pPr>
        <w:pStyle w:val="14"/>
        <w:ind w:firstLine="683"/>
        <w:rPr>
          <w:rFonts w:ascii="宋体" w:hAnsi="宋体"/>
          <w:b/>
          <w:bCs/>
          <w:color w:val="auto"/>
          <w:szCs w:val="21"/>
          <w:highlight w:val="none"/>
        </w:rPr>
      </w:pPr>
      <w:r>
        <w:rPr>
          <w:rFonts w:hint="eastAsia" w:ascii="宋体" w:hAnsi="宋体"/>
          <w:b/>
          <w:bCs/>
          <w:color w:val="auto"/>
          <w:szCs w:val="21"/>
          <w:highlight w:val="none"/>
        </w:rPr>
        <w:t>注</w:t>
      </w:r>
      <w:r>
        <w:rPr>
          <w:rFonts w:ascii="宋体" w:hAnsi="宋体"/>
          <w:b/>
          <w:bCs/>
          <w:color w:val="auto"/>
          <w:szCs w:val="21"/>
          <w:highlight w:val="none"/>
        </w:rPr>
        <w:t>：</w:t>
      </w:r>
    </w:p>
    <w:p w14:paraId="7755A944">
      <w:pPr>
        <w:spacing w:line="400" w:lineRule="exact"/>
        <w:ind w:left="420" w:firstLine="422"/>
        <w:rPr>
          <w:rFonts w:ascii="宋体"/>
          <w:bCs/>
          <w:color w:val="auto"/>
          <w:szCs w:val="21"/>
          <w:highlight w:val="none"/>
        </w:rPr>
      </w:pPr>
      <w:r>
        <w:rPr>
          <w:rFonts w:ascii="宋体"/>
          <w:bCs/>
          <w:color w:val="auto"/>
          <w:szCs w:val="21"/>
          <w:highlight w:val="none"/>
        </w:rPr>
        <w:t>1.</w:t>
      </w:r>
      <w:r>
        <w:rPr>
          <w:rFonts w:hint="eastAsia" w:ascii="宋体"/>
          <w:bCs/>
          <w:color w:val="auto"/>
          <w:szCs w:val="21"/>
          <w:highlight w:val="none"/>
        </w:rPr>
        <w:t>供应商需对应采购文件第四部分《用户需求书》中标注</w:t>
      </w:r>
      <w:r>
        <w:rPr>
          <w:rFonts w:hint="eastAsia" w:ascii="宋体"/>
          <w:bCs/>
          <w:color w:val="auto"/>
          <w:szCs w:val="21"/>
          <w:highlight w:val="none"/>
          <w:u w:val="double"/>
        </w:rPr>
        <w:t>“★”条款</w:t>
      </w:r>
      <w:r>
        <w:rPr>
          <w:rFonts w:hint="eastAsia" w:ascii="宋体"/>
          <w:b/>
          <w:color w:val="auto"/>
          <w:szCs w:val="21"/>
          <w:highlight w:val="none"/>
          <w:u w:val="double"/>
        </w:rPr>
        <w:t>逐条响应</w:t>
      </w:r>
      <w:r>
        <w:rPr>
          <w:rFonts w:hint="eastAsia" w:ascii="宋体"/>
          <w:bCs/>
          <w:color w:val="auto"/>
          <w:szCs w:val="21"/>
          <w:highlight w:val="none"/>
        </w:rPr>
        <w:t>并按要求填写上表，若有任何一条负偏离或不满足或未投标的，将导致其响应文件作无效投标处理；若要求提供证明材料的，还须提供相应的证明材料，否则视为负偏离，按无效投标处理。</w:t>
      </w:r>
    </w:p>
    <w:p w14:paraId="4F8FB59A">
      <w:pPr>
        <w:spacing w:line="400" w:lineRule="exact"/>
        <w:ind w:left="420" w:firstLine="422"/>
        <w:rPr>
          <w:rFonts w:ascii="宋体"/>
          <w:bCs/>
          <w:color w:val="auto"/>
          <w:szCs w:val="21"/>
          <w:highlight w:val="none"/>
        </w:rPr>
      </w:pPr>
      <w:r>
        <w:rPr>
          <w:rFonts w:ascii="宋体"/>
          <w:bCs/>
          <w:color w:val="auto"/>
          <w:szCs w:val="21"/>
          <w:highlight w:val="none"/>
        </w:rPr>
        <w:t>2.</w:t>
      </w:r>
      <w:r>
        <w:rPr>
          <w:rFonts w:hint="eastAsia" w:ascii="宋体"/>
          <w:bCs/>
          <w:color w:val="auto"/>
          <w:szCs w:val="21"/>
          <w:highlight w:val="none"/>
        </w:rPr>
        <w:t>“响应情况”应填写供应商的具体承诺，如果供应商承诺完全按照采购文件规定执行的，也可以填写“完全按照采购文件规定执行”。</w:t>
      </w:r>
    </w:p>
    <w:p w14:paraId="354722FF">
      <w:pPr>
        <w:spacing w:line="400" w:lineRule="exact"/>
        <w:ind w:left="420" w:firstLine="422"/>
        <w:rPr>
          <w:rFonts w:ascii="宋体"/>
          <w:bCs/>
          <w:color w:val="auto"/>
          <w:szCs w:val="21"/>
          <w:highlight w:val="none"/>
        </w:rPr>
      </w:pPr>
      <w:r>
        <w:rPr>
          <w:rFonts w:ascii="宋体"/>
          <w:bCs/>
          <w:color w:val="auto"/>
          <w:szCs w:val="21"/>
          <w:highlight w:val="none"/>
        </w:rPr>
        <w:t>3.</w:t>
      </w:r>
      <w:r>
        <w:rPr>
          <w:rFonts w:hint="eastAsia" w:ascii="宋体"/>
          <w:bCs/>
          <w:color w:val="auto"/>
          <w:szCs w:val="21"/>
          <w:highlight w:val="none"/>
        </w:rPr>
        <w:t>“偏离情况”项填写“正偏离”或“无偏离”或“负偏离”，供应商须真实体现偏离情况。其中正偏离是指承诺优于采购文件所规定的实质性条款内容；无偏离是指承诺完整满足采购文件所规定的实质性条款内容；负偏离是指承诺劣于采购文件所规定的实质性条款内容。</w:t>
      </w:r>
    </w:p>
    <w:p w14:paraId="632F9463">
      <w:pPr>
        <w:spacing w:line="400" w:lineRule="exact"/>
        <w:ind w:left="420" w:firstLine="422"/>
        <w:rPr>
          <w:rFonts w:ascii="宋体"/>
          <w:bCs/>
          <w:color w:val="auto"/>
          <w:szCs w:val="21"/>
          <w:highlight w:val="none"/>
        </w:rPr>
      </w:pPr>
      <w:r>
        <w:rPr>
          <w:rFonts w:ascii="宋体"/>
          <w:bCs/>
          <w:color w:val="auto"/>
          <w:szCs w:val="21"/>
          <w:highlight w:val="none"/>
        </w:rPr>
        <w:t>4.</w:t>
      </w:r>
      <w:r>
        <w:rPr>
          <w:rFonts w:hint="eastAsia" w:ascii="宋体"/>
          <w:bCs/>
          <w:color w:val="auto"/>
          <w:szCs w:val="21"/>
          <w:highlight w:val="none"/>
        </w:rPr>
        <w:t xml:space="preserve"> 如无“★”条款，可保留空白。</w:t>
      </w:r>
    </w:p>
    <w:p w14:paraId="2B429066">
      <w:pPr>
        <w:rPr>
          <w:rFonts w:ascii="宋体"/>
          <w:bCs/>
          <w:color w:val="auto"/>
          <w:szCs w:val="21"/>
          <w:highlight w:val="none"/>
        </w:rPr>
      </w:pPr>
    </w:p>
    <w:p w14:paraId="3D755F37">
      <w:pPr>
        <w:rPr>
          <w:rFonts w:ascii="宋体"/>
          <w:bCs/>
          <w:color w:val="auto"/>
          <w:szCs w:val="21"/>
          <w:highlight w:val="none"/>
        </w:rPr>
      </w:pPr>
    </w:p>
    <w:p w14:paraId="2B95F785">
      <w:pPr>
        <w:rPr>
          <w:rFonts w:ascii="宋体"/>
          <w:bCs/>
          <w:color w:val="auto"/>
          <w:szCs w:val="21"/>
          <w:highlight w:val="none"/>
        </w:rPr>
      </w:pPr>
    </w:p>
    <w:p w14:paraId="12FBE869">
      <w:pPr>
        <w:rPr>
          <w:rFonts w:ascii="宋体"/>
          <w:bCs/>
          <w:color w:val="auto"/>
          <w:szCs w:val="21"/>
          <w:highlight w:val="none"/>
        </w:rPr>
      </w:pPr>
    </w:p>
    <w:p w14:paraId="3B190E2C">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158A087C">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2A0BECC7">
      <w:pPr>
        <w:rPr>
          <w:rFonts w:ascii="宋体"/>
          <w:bCs/>
          <w:color w:val="auto"/>
          <w:szCs w:val="21"/>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7A6AB708">
      <w:pPr>
        <w:rPr>
          <w:rFonts w:ascii="宋体"/>
          <w:bCs/>
          <w:color w:val="auto"/>
          <w:szCs w:val="21"/>
          <w:highlight w:val="none"/>
        </w:rPr>
      </w:pPr>
    </w:p>
    <w:p w14:paraId="60FF569A">
      <w:pPr>
        <w:rPr>
          <w:rFonts w:ascii="宋体"/>
          <w:bCs/>
          <w:color w:val="auto"/>
          <w:szCs w:val="21"/>
          <w:highlight w:val="none"/>
        </w:rPr>
      </w:pPr>
    </w:p>
    <w:p w14:paraId="03C30368">
      <w:pPr>
        <w:rPr>
          <w:rFonts w:ascii="宋体"/>
          <w:bCs/>
          <w:color w:val="auto"/>
          <w:szCs w:val="21"/>
          <w:highlight w:val="none"/>
        </w:rPr>
      </w:pPr>
    </w:p>
    <w:p w14:paraId="370F06D8">
      <w:pPr>
        <w:rPr>
          <w:rFonts w:ascii="宋体"/>
          <w:bCs/>
          <w:color w:val="auto"/>
          <w:szCs w:val="21"/>
          <w:highlight w:val="none"/>
        </w:rPr>
      </w:pPr>
    </w:p>
    <w:p w14:paraId="4C84B36F">
      <w:pPr>
        <w:rPr>
          <w:rFonts w:ascii="宋体"/>
          <w:bCs/>
          <w:color w:val="auto"/>
          <w:szCs w:val="21"/>
          <w:highlight w:val="none"/>
        </w:rPr>
      </w:pPr>
    </w:p>
    <w:p w14:paraId="1943C40E">
      <w:pPr>
        <w:rPr>
          <w:rFonts w:ascii="宋体"/>
          <w:bCs/>
          <w:color w:val="auto"/>
          <w:szCs w:val="21"/>
          <w:highlight w:val="none"/>
        </w:rPr>
      </w:pPr>
    </w:p>
    <w:p w14:paraId="3FBF3A63">
      <w:pPr>
        <w:rPr>
          <w:rFonts w:ascii="宋体"/>
          <w:bCs/>
          <w:color w:val="auto"/>
          <w:szCs w:val="21"/>
          <w:highlight w:val="none"/>
        </w:rPr>
      </w:pPr>
    </w:p>
    <w:p w14:paraId="23D85C9F">
      <w:pPr>
        <w:rPr>
          <w:rFonts w:ascii="宋体"/>
          <w:bCs/>
          <w:color w:val="auto"/>
          <w:szCs w:val="21"/>
          <w:highlight w:val="none"/>
        </w:rPr>
      </w:pPr>
    </w:p>
    <w:p w14:paraId="658C6F0F">
      <w:pPr>
        <w:rPr>
          <w:rFonts w:ascii="宋体"/>
          <w:bCs/>
          <w:color w:val="auto"/>
          <w:szCs w:val="21"/>
          <w:highlight w:val="none"/>
        </w:rPr>
      </w:pPr>
    </w:p>
    <w:p w14:paraId="5AA8852B">
      <w:pPr>
        <w:pStyle w:val="4"/>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2.4用户需求条款响应表</w:t>
      </w:r>
    </w:p>
    <w:p w14:paraId="799072B3">
      <w:pPr>
        <w:ind w:firstLine="562"/>
        <w:jc w:val="center"/>
        <w:rPr>
          <w:rFonts w:ascii="宋体" w:hAnsi="宋体" w:cs="宋体"/>
          <w:b/>
          <w:color w:val="auto"/>
          <w:highlight w:val="none"/>
        </w:rPr>
      </w:pPr>
      <w:r>
        <w:rPr>
          <w:rFonts w:hint="eastAsia" w:ascii="宋体"/>
          <w:b/>
          <w:color w:val="auto"/>
          <w:sz w:val="28"/>
          <w:szCs w:val="21"/>
          <w:highlight w:val="none"/>
        </w:rPr>
        <w:t>用户需求条款响应表</w:t>
      </w:r>
    </w:p>
    <w:tbl>
      <w:tblPr>
        <w:tblStyle w:val="49"/>
        <w:tblW w:w="9654" w:type="dxa"/>
        <w:tblInd w:w="-4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92"/>
        <w:gridCol w:w="2116"/>
        <w:gridCol w:w="2551"/>
        <w:gridCol w:w="2637"/>
        <w:gridCol w:w="1758"/>
      </w:tblGrid>
      <w:tr w14:paraId="75A60B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592" w:type="dxa"/>
            <w:tcBorders>
              <w:top w:val="single" w:color="auto" w:sz="12" w:space="0"/>
              <w:bottom w:val="double" w:color="auto" w:sz="4" w:space="0"/>
            </w:tcBorders>
            <w:shd w:val="clear" w:color="auto" w:fill="EEECE1"/>
            <w:vAlign w:val="center"/>
          </w:tcPr>
          <w:p w14:paraId="4F85D352">
            <w:pPr>
              <w:ind w:left="-78" w:leftChars="-37" w:right="-80" w:rightChars="-38"/>
              <w:jc w:val="center"/>
              <w:rPr>
                <w:rFonts w:ascii="宋体"/>
                <w:color w:val="auto"/>
                <w:szCs w:val="21"/>
                <w:highlight w:val="none"/>
              </w:rPr>
            </w:pPr>
            <w:r>
              <w:rPr>
                <w:rFonts w:hint="eastAsia" w:ascii="宋体"/>
                <w:color w:val="auto"/>
                <w:szCs w:val="21"/>
                <w:highlight w:val="none"/>
              </w:rPr>
              <w:t>序号</w:t>
            </w:r>
          </w:p>
        </w:tc>
        <w:tc>
          <w:tcPr>
            <w:tcW w:w="2116" w:type="dxa"/>
            <w:tcBorders>
              <w:top w:val="single" w:color="auto" w:sz="12" w:space="0"/>
              <w:bottom w:val="double" w:color="auto" w:sz="4" w:space="0"/>
            </w:tcBorders>
            <w:shd w:val="clear" w:color="auto" w:fill="EEECE1"/>
            <w:vAlign w:val="center"/>
          </w:tcPr>
          <w:p w14:paraId="560C1CF6">
            <w:pPr>
              <w:ind w:left="-78" w:leftChars="-37" w:right="-80" w:rightChars="-38"/>
              <w:jc w:val="center"/>
              <w:rPr>
                <w:rFonts w:ascii="宋体"/>
                <w:color w:val="auto"/>
                <w:szCs w:val="21"/>
                <w:highlight w:val="none"/>
              </w:rPr>
            </w:pPr>
            <w:r>
              <w:rPr>
                <w:rFonts w:hint="eastAsia" w:ascii="宋体"/>
                <w:color w:val="auto"/>
                <w:szCs w:val="21"/>
                <w:highlight w:val="none"/>
              </w:rPr>
              <w:t>采购文件条款</w:t>
            </w:r>
          </w:p>
        </w:tc>
        <w:tc>
          <w:tcPr>
            <w:tcW w:w="2551" w:type="dxa"/>
            <w:tcBorders>
              <w:top w:val="single" w:color="auto" w:sz="12" w:space="0"/>
              <w:bottom w:val="double" w:color="auto" w:sz="4" w:space="0"/>
            </w:tcBorders>
            <w:shd w:val="clear" w:color="auto" w:fill="EEECE1"/>
            <w:vAlign w:val="center"/>
          </w:tcPr>
          <w:p w14:paraId="2BB6B1F3">
            <w:pPr>
              <w:ind w:left="-78" w:leftChars="-37" w:right="-80" w:rightChars="-38"/>
              <w:jc w:val="center"/>
              <w:rPr>
                <w:rFonts w:ascii="宋体"/>
                <w:color w:val="auto"/>
                <w:szCs w:val="21"/>
                <w:highlight w:val="none"/>
              </w:rPr>
            </w:pPr>
            <w:r>
              <w:rPr>
                <w:rFonts w:hint="eastAsia" w:ascii="宋体"/>
                <w:color w:val="auto"/>
                <w:szCs w:val="21"/>
                <w:highlight w:val="none"/>
              </w:rPr>
              <w:t>供应商响应情况</w:t>
            </w:r>
          </w:p>
        </w:tc>
        <w:tc>
          <w:tcPr>
            <w:tcW w:w="2637" w:type="dxa"/>
            <w:tcBorders>
              <w:top w:val="single" w:color="auto" w:sz="12" w:space="0"/>
              <w:bottom w:val="double" w:color="auto" w:sz="4" w:space="0"/>
              <w:right w:val="single" w:color="auto" w:sz="2" w:space="0"/>
            </w:tcBorders>
            <w:shd w:val="clear" w:color="auto" w:fill="EEECE1"/>
            <w:vAlign w:val="center"/>
          </w:tcPr>
          <w:p w14:paraId="6776E6DF">
            <w:pPr>
              <w:ind w:left="-78" w:leftChars="-37" w:right="-80" w:rightChars="-38"/>
              <w:jc w:val="center"/>
              <w:rPr>
                <w:rFonts w:ascii="宋体"/>
                <w:color w:val="auto"/>
                <w:szCs w:val="21"/>
                <w:highlight w:val="none"/>
              </w:rPr>
            </w:pPr>
            <w:r>
              <w:rPr>
                <w:rFonts w:hint="eastAsia" w:ascii="宋体"/>
                <w:color w:val="auto"/>
                <w:szCs w:val="21"/>
                <w:highlight w:val="none"/>
              </w:rPr>
              <w:t>偏离情况</w:t>
            </w:r>
          </w:p>
          <w:p w14:paraId="2B5F9051">
            <w:pPr>
              <w:ind w:left="-42" w:leftChars="-20" w:right="-65" w:rightChars="-31"/>
              <w:jc w:val="center"/>
              <w:rPr>
                <w:rFonts w:ascii="宋体"/>
                <w:color w:val="auto"/>
                <w:szCs w:val="21"/>
                <w:highlight w:val="none"/>
              </w:rPr>
            </w:pPr>
            <w:r>
              <w:rPr>
                <w:rFonts w:hint="eastAsia" w:ascii="宋体"/>
                <w:color w:val="auto"/>
                <w:szCs w:val="21"/>
                <w:highlight w:val="none"/>
              </w:rPr>
              <w:t>（正偏离/无偏离/负偏离）</w:t>
            </w:r>
          </w:p>
        </w:tc>
        <w:tc>
          <w:tcPr>
            <w:tcW w:w="1758" w:type="dxa"/>
            <w:tcBorders>
              <w:top w:val="single" w:color="auto" w:sz="12" w:space="0"/>
              <w:left w:val="single" w:color="auto" w:sz="2" w:space="0"/>
              <w:bottom w:val="double" w:color="auto" w:sz="4" w:space="0"/>
            </w:tcBorders>
            <w:shd w:val="clear" w:color="auto" w:fill="EEECE1"/>
            <w:vAlign w:val="center"/>
          </w:tcPr>
          <w:p w14:paraId="797794C0">
            <w:pPr>
              <w:ind w:right="13" w:rightChars="6"/>
              <w:jc w:val="center"/>
              <w:rPr>
                <w:rFonts w:ascii="宋体"/>
                <w:color w:val="auto"/>
                <w:szCs w:val="21"/>
                <w:highlight w:val="none"/>
              </w:rPr>
            </w:pPr>
            <w:r>
              <w:rPr>
                <w:rFonts w:hint="eastAsia" w:ascii="宋体"/>
                <w:color w:val="auto"/>
                <w:szCs w:val="21"/>
                <w:highlight w:val="none"/>
              </w:rPr>
              <w:t>查阅/证明文件指引</w:t>
            </w:r>
          </w:p>
        </w:tc>
      </w:tr>
      <w:tr w14:paraId="0BD05C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92" w:type="dxa"/>
            <w:tcBorders>
              <w:top w:val="double" w:color="auto" w:sz="4" w:space="0"/>
            </w:tcBorders>
            <w:vAlign w:val="center"/>
          </w:tcPr>
          <w:p w14:paraId="347A7F25">
            <w:pPr>
              <w:numPr>
                <w:ilvl w:val="0"/>
                <w:numId w:val="9"/>
              </w:numPr>
              <w:ind w:firstLine="422"/>
              <w:jc w:val="center"/>
              <w:rPr>
                <w:rFonts w:ascii="宋体"/>
                <w:color w:val="auto"/>
                <w:szCs w:val="21"/>
                <w:highlight w:val="none"/>
              </w:rPr>
            </w:pPr>
          </w:p>
        </w:tc>
        <w:tc>
          <w:tcPr>
            <w:tcW w:w="2116" w:type="dxa"/>
            <w:tcBorders>
              <w:top w:val="double" w:color="auto" w:sz="4" w:space="0"/>
            </w:tcBorders>
            <w:vAlign w:val="center"/>
          </w:tcPr>
          <w:p w14:paraId="5110D349">
            <w:pPr>
              <w:ind w:left="-78" w:leftChars="-37" w:right="-80" w:rightChars="-38"/>
              <w:jc w:val="center"/>
              <w:rPr>
                <w:rFonts w:ascii="宋体"/>
                <w:color w:val="auto"/>
                <w:szCs w:val="21"/>
                <w:highlight w:val="none"/>
              </w:rPr>
            </w:pPr>
          </w:p>
        </w:tc>
        <w:tc>
          <w:tcPr>
            <w:tcW w:w="2551" w:type="dxa"/>
            <w:tcBorders>
              <w:top w:val="double" w:color="auto" w:sz="4" w:space="0"/>
            </w:tcBorders>
            <w:vAlign w:val="center"/>
          </w:tcPr>
          <w:p w14:paraId="45717B1A">
            <w:pPr>
              <w:ind w:left="-78" w:leftChars="-37" w:right="-80" w:rightChars="-38"/>
              <w:jc w:val="center"/>
              <w:rPr>
                <w:rFonts w:ascii="宋体"/>
                <w:color w:val="auto"/>
                <w:szCs w:val="21"/>
                <w:highlight w:val="none"/>
              </w:rPr>
            </w:pPr>
          </w:p>
        </w:tc>
        <w:tc>
          <w:tcPr>
            <w:tcW w:w="2637" w:type="dxa"/>
            <w:tcBorders>
              <w:top w:val="double" w:color="auto" w:sz="4" w:space="0"/>
              <w:right w:val="single" w:color="auto" w:sz="2" w:space="0"/>
            </w:tcBorders>
            <w:vAlign w:val="center"/>
          </w:tcPr>
          <w:p w14:paraId="309CE762">
            <w:pPr>
              <w:ind w:left="-78" w:leftChars="-37" w:right="-80" w:rightChars="-38"/>
              <w:jc w:val="center"/>
              <w:rPr>
                <w:rFonts w:ascii="宋体"/>
                <w:color w:val="auto"/>
                <w:szCs w:val="21"/>
                <w:highlight w:val="none"/>
              </w:rPr>
            </w:pPr>
          </w:p>
        </w:tc>
        <w:tc>
          <w:tcPr>
            <w:tcW w:w="1758" w:type="dxa"/>
            <w:tcBorders>
              <w:top w:val="double" w:color="auto" w:sz="4" w:space="0"/>
              <w:left w:val="single" w:color="auto" w:sz="2" w:space="0"/>
            </w:tcBorders>
            <w:vAlign w:val="center"/>
          </w:tcPr>
          <w:p w14:paraId="1A7482CB">
            <w:pPr>
              <w:ind w:right="13" w:rightChars="6"/>
              <w:jc w:val="center"/>
              <w:rPr>
                <w:rFonts w:ascii="宋体"/>
                <w:color w:val="auto"/>
                <w:szCs w:val="21"/>
                <w:highlight w:val="none"/>
              </w:rPr>
            </w:pPr>
            <w:r>
              <w:rPr>
                <w:rFonts w:hint="eastAsia" w:ascii="宋体" w:cs="宋体"/>
                <w:color w:val="auto"/>
                <w:szCs w:val="21"/>
                <w:highlight w:val="none"/>
              </w:rPr>
              <w:t>见</w:t>
            </w:r>
            <w:r>
              <w:rPr>
                <w:rFonts w:hint="eastAsia" w:ascii="宋体"/>
                <w:color w:val="auto"/>
                <w:szCs w:val="21"/>
                <w:highlight w:val="none"/>
              </w:rPr>
              <w:t>《响应文件》   第</w:t>
            </w:r>
            <w:r>
              <w:rPr>
                <w:rFonts w:hint="eastAsia" w:ascii="宋体"/>
                <w:color w:val="auto"/>
                <w:szCs w:val="21"/>
                <w:highlight w:val="none"/>
                <w:u w:val="single"/>
              </w:rPr>
              <w:t xml:space="preserve">   </w:t>
            </w:r>
            <w:r>
              <w:rPr>
                <w:rFonts w:hint="eastAsia" w:ascii="宋体"/>
                <w:color w:val="auto"/>
                <w:szCs w:val="21"/>
                <w:highlight w:val="none"/>
              </w:rPr>
              <w:t>页</w:t>
            </w:r>
          </w:p>
        </w:tc>
      </w:tr>
      <w:tr w14:paraId="66C5DC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14:paraId="562CD997">
            <w:pPr>
              <w:numPr>
                <w:ilvl w:val="0"/>
                <w:numId w:val="9"/>
              </w:numPr>
              <w:ind w:firstLine="422"/>
              <w:jc w:val="center"/>
              <w:rPr>
                <w:rFonts w:ascii="宋体"/>
                <w:color w:val="auto"/>
                <w:szCs w:val="21"/>
                <w:highlight w:val="none"/>
              </w:rPr>
            </w:pPr>
          </w:p>
        </w:tc>
        <w:tc>
          <w:tcPr>
            <w:tcW w:w="2116" w:type="dxa"/>
            <w:vAlign w:val="center"/>
          </w:tcPr>
          <w:p w14:paraId="5F8FA494">
            <w:pPr>
              <w:ind w:left="-78" w:leftChars="-37" w:right="-80" w:rightChars="-38"/>
              <w:jc w:val="center"/>
              <w:rPr>
                <w:rFonts w:ascii="宋体"/>
                <w:color w:val="auto"/>
                <w:szCs w:val="21"/>
                <w:highlight w:val="none"/>
              </w:rPr>
            </w:pPr>
          </w:p>
        </w:tc>
        <w:tc>
          <w:tcPr>
            <w:tcW w:w="2551" w:type="dxa"/>
            <w:vAlign w:val="center"/>
          </w:tcPr>
          <w:p w14:paraId="0E77F342">
            <w:pPr>
              <w:ind w:left="-78" w:leftChars="-37" w:right="-80" w:rightChars="-38"/>
              <w:jc w:val="center"/>
              <w:rPr>
                <w:rFonts w:ascii="宋体"/>
                <w:color w:val="auto"/>
                <w:szCs w:val="21"/>
                <w:highlight w:val="none"/>
              </w:rPr>
            </w:pPr>
          </w:p>
        </w:tc>
        <w:tc>
          <w:tcPr>
            <w:tcW w:w="2637" w:type="dxa"/>
            <w:tcBorders>
              <w:right w:val="single" w:color="auto" w:sz="2" w:space="0"/>
            </w:tcBorders>
            <w:vAlign w:val="center"/>
          </w:tcPr>
          <w:p w14:paraId="73B3B5A2">
            <w:pPr>
              <w:ind w:left="-78" w:leftChars="-37" w:right="-80" w:rightChars="-38"/>
              <w:jc w:val="center"/>
              <w:rPr>
                <w:rFonts w:ascii="宋体"/>
                <w:color w:val="auto"/>
                <w:szCs w:val="21"/>
                <w:highlight w:val="none"/>
              </w:rPr>
            </w:pPr>
          </w:p>
        </w:tc>
        <w:tc>
          <w:tcPr>
            <w:tcW w:w="1758" w:type="dxa"/>
            <w:tcBorders>
              <w:left w:val="single" w:color="auto" w:sz="2" w:space="0"/>
            </w:tcBorders>
            <w:vAlign w:val="center"/>
          </w:tcPr>
          <w:p w14:paraId="3F8A52D2">
            <w:pPr>
              <w:ind w:right="13" w:rightChars="6"/>
              <w:jc w:val="center"/>
              <w:rPr>
                <w:rFonts w:ascii="宋体"/>
                <w:color w:val="auto"/>
                <w:szCs w:val="21"/>
                <w:highlight w:val="none"/>
              </w:rPr>
            </w:pPr>
            <w:r>
              <w:rPr>
                <w:rFonts w:hint="eastAsia" w:ascii="宋体" w:cs="宋体"/>
                <w:color w:val="auto"/>
                <w:szCs w:val="21"/>
                <w:highlight w:val="none"/>
              </w:rPr>
              <w:t>见《响应文件》第</w:t>
            </w:r>
            <w:r>
              <w:rPr>
                <w:rFonts w:hint="eastAsia" w:ascii="宋体" w:cs="宋体"/>
                <w:color w:val="auto"/>
                <w:szCs w:val="21"/>
                <w:highlight w:val="none"/>
                <w:u w:val="single"/>
              </w:rPr>
              <w:t xml:space="preserve">   </w:t>
            </w:r>
            <w:r>
              <w:rPr>
                <w:rFonts w:hint="eastAsia" w:ascii="宋体" w:cs="宋体"/>
                <w:color w:val="auto"/>
                <w:szCs w:val="21"/>
                <w:highlight w:val="none"/>
              </w:rPr>
              <w:t>页</w:t>
            </w:r>
          </w:p>
        </w:tc>
      </w:tr>
      <w:tr w14:paraId="486422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92" w:type="dxa"/>
            <w:vAlign w:val="center"/>
          </w:tcPr>
          <w:p w14:paraId="7FD03306">
            <w:pPr>
              <w:numPr>
                <w:ilvl w:val="0"/>
                <w:numId w:val="9"/>
              </w:numPr>
              <w:ind w:firstLine="422"/>
              <w:jc w:val="center"/>
              <w:rPr>
                <w:rFonts w:ascii="宋体"/>
                <w:color w:val="auto"/>
                <w:szCs w:val="21"/>
                <w:highlight w:val="none"/>
              </w:rPr>
            </w:pPr>
          </w:p>
        </w:tc>
        <w:tc>
          <w:tcPr>
            <w:tcW w:w="2116" w:type="dxa"/>
            <w:vAlign w:val="center"/>
          </w:tcPr>
          <w:p w14:paraId="19D45976">
            <w:pPr>
              <w:ind w:left="-78" w:leftChars="-37" w:right="-80" w:rightChars="-38"/>
              <w:jc w:val="center"/>
              <w:rPr>
                <w:rFonts w:ascii="宋体"/>
                <w:color w:val="auto"/>
                <w:szCs w:val="21"/>
                <w:highlight w:val="none"/>
              </w:rPr>
            </w:pPr>
          </w:p>
        </w:tc>
        <w:tc>
          <w:tcPr>
            <w:tcW w:w="2551" w:type="dxa"/>
            <w:vAlign w:val="center"/>
          </w:tcPr>
          <w:p w14:paraId="2A1D8EEF">
            <w:pPr>
              <w:ind w:left="-78" w:leftChars="-37" w:right="-80" w:rightChars="-38"/>
              <w:jc w:val="center"/>
              <w:rPr>
                <w:rFonts w:ascii="宋体"/>
                <w:color w:val="auto"/>
                <w:szCs w:val="21"/>
                <w:highlight w:val="none"/>
              </w:rPr>
            </w:pPr>
          </w:p>
        </w:tc>
        <w:tc>
          <w:tcPr>
            <w:tcW w:w="2637" w:type="dxa"/>
            <w:tcBorders>
              <w:right w:val="single" w:color="auto" w:sz="2" w:space="0"/>
            </w:tcBorders>
            <w:vAlign w:val="center"/>
          </w:tcPr>
          <w:p w14:paraId="1F12E06C">
            <w:pPr>
              <w:ind w:left="-78" w:leftChars="-37" w:right="-80" w:rightChars="-38"/>
              <w:jc w:val="center"/>
              <w:rPr>
                <w:rFonts w:ascii="宋体"/>
                <w:color w:val="auto"/>
                <w:szCs w:val="21"/>
                <w:highlight w:val="none"/>
              </w:rPr>
            </w:pPr>
          </w:p>
        </w:tc>
        <w:tc>
          <w:tcPr>
            <w:tcW w:w="1758" w:type="dxa"/>
            <w:tcBorders>
              <w:left w:val="single" w:color="auto" w:sz="2" w:space="0"/>
            </w:tcBorders>
            <w:vAlign w:val="center"/>
          </w:tcPr>
          <w:p w14:paraId="5F4F4C5A">
            <w:pPr>
              <w:ind w:right="13" w:rightChars="6"/>
              <w:jc w:val="center"/>
              <w:rPr>
                <w:rFonts w:ascii="宋体"/>
                <w:color w:val="auto"/>
                <w:szCs w:val="21"/>
                <w:highlight w:val="none"/>
              </w:rPr>
            </w:pPr>
            <w:r>
              <w:rPr>
                <w:rFonts w:hint="eastAsia" w:ascii="宋体" w:cs="宋体"/>
                <w:color w:val="auto"/>
                <w:szCs w:val="21"/>
                <w:highlight w:val="none"/>
              </w:rPr>
              <w:t>见《响应文件》第</w:t>
            </w:r>
            <w:r>
              <w:rPr>
                <w:rFonts w:hint="eastAsia" w:ascii="宋体" w:cs="宋体"/>
                <w:color w:val="auto"/>
                <w:szCs w:val="21"/>
                <w:highlight w:val="none"/>
                <w:u w:val="single"/>
              </w:rPr>
              <w:t xml:space="preserve">   </w:t>
            </w:r>
            <w:r>
              <w:rPr>
                <w:rFonts w:hint="eastAsia" w:ascii="宋体" w:cs="宋体"/>
                <w:color w:val="auto"/>
                <w:szCs w:val="21"/>
                <w:highlight w:val="none"/>
              </w:rPr>
              <w:t>页</w:t>
            </w:r>
          </w:p>
        </w:tc>
      </w:tr>
      <w:tr w14:paraId="749F6E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92" w:type="dxa"/>
            <w:vAlign w:val="center"/>
          </w:tcPr>
          <w:p w14:paraId="666D1C97">
            <w:pPr>
              <w:numPr>
                <w:ilvl w:val="0"/>
                <w:numId w:val="9"/>
              </w:numPr>
              <w:ind w:firstLine="422"/>
              <w:jc w:val="center"/>
              <w:rPr>
                <w:rFonts w:ascii="宋体"/>
                <w:color w:val="auto"/>
                <w:szCs w:val="21"/>
                <w:highlight w:val="none"/>
              </w:rPr>
            </w:pPr>
          </w:p>
        </w:tc>
        <w:tc>
          <w:tcPr>
            <w:tcW w:w="2116" w:type="dxa"/>
            <w:vAlign w:val="center"/>
          </w:tcPr>
          <w:p w14:paraId="69C91C9F">
            <w:pPr>
              <w:ind w:left="-78" w:leftChars="-37" w:right="-80" w:rightChars="-38"/>
              <w:jc w:val="center"/>
              <w:rPr>
                <w:rFonts w:ascii="宋体"/>
                <w:color w:val="auto"/>
                <w:szCs w:val="21"/>
                <w:highlight w:val="none"/>
              </w:rPr>
            </w:pPr>
            <w:r>
              <w:rPr>
                <w:rFonts w:hint="eastAsia" w:ascii="宋体"/>
                <w:color w:val="auto"/>
                <w:szCs w:val="21"/>
                <w:highlight w:val="none"/>
              </w:rPr>
              <w:t>......</w:t>
            </w:r>
          </w:p>
        </w:tc>
        <w:tc>
          <w:tcPr>
            <w:tcW w:w="2551" w:type="dxa"/>
            <w:vAlign w:val="center"/>
          </w:tcPr>
          <w:p w14:paraId="7518EAB5">
            <w:pPr>
              <w:ind w:left="-78" w:leftChars="-37" w:right="-80" w:rightChars="-38"/>
              <w:jc w:val="center"/>
              <w:rPr>
                <w:rFonts w:ascii="宋体"/>
                <w:color w:val="auto"/>
                <w:szCs w:val="21"/>
                <w:highlight w:val="none"/>
              </w:rPr>
            </w:pPr>
          </w:p>
        </w:tc>
        <w:tc>
          <w:tcPr>
            <w:tcW w:w="2637" w:type="dxa"/>
            <w:tcBorders>
              <w:right w:val="single" w:color="auto" w:sz="2" w:space="0"/>
            </w:tcBorders>
            <w:vAlign w:val="center"/>
          </w:tcPr>
          <w:p w14:paraId="259FFBB2">
            <w:pPr>
              <w:ind w:left="-78" w:leftChars="-37" w:right="-80" w:rightChars="-38"/>
              <w:jc w:val="center"/>
              <w:rPr>
                <w:rFonts w:ascii="宋体"/>
                <w:color w:val="auto"/>
                <w:szCs w:val="21"/>
                <w:highlight w:val="none"/>
              </w:rPr>
            </w:pPr>
          </w:p>
        </w:tc>
        <w:tc>
          <w:tcPr>
            <w:tcW w:w="1758" w:type="dxa"/>
            <w:tcBorders>
              <w:left w:val="single" w:color="auto" w:sz="2" w:space="0"/>
            </w:tcBorders>
            <w:vAlign w:val="center"/>
          </w:tcPr>
          <w:p w14:paraId="7C2FBEE3">
            <w:pPr>
              <w:ind w:right="13" w:rightChars="6"/>
              <w:jc w:val="center"/>
              <w:rPr>
                <w:rFonts w:ascii="宋体" w:cs="宋体"/>
                <w:color w:val="auto"/>
                <w:szCs w:val="21"/>
                <w:highlight w:val="none"/>
              </w:rPr>
            </w:pPr>
          </w:p>
        </w:tc>
      </w:tr>
    </w:tbl>
    <w:p w14:paraId="7B6F1FE7">
      <w:pPr>
        <w:spacing w:line="360" w:lineRule="auto"/>
        <w:ind w:firstLine="420" w:firstLineChars="200"/>
        <w:jc w:val="left"/>
        <w:rPr>
          <w:rFonts w:ascii="宋体"/>
          <w:color w:val="auto"/>
          <w:szCs w:val="21"/>
          <w:highlight w:val="none"/>
        </w:rPr>
      </w:pPr>
    </w:p>
    <w:p w14:paraId="73965296">
      <w:pPr>
        <w:spacing w:line="420" w:lineRule="exact"/>
        <w:rPr>
          <w:rFonts w:ascii="宋体" w:hAnsi="宋体" w:cs="宋体"/>
          <w:bCs/>
          <w:color w:val="auto"/>
          <w:szCs w:val="21"/>
          <w:highlight w:val="none"/>
        </w:rPr>
      </w:pPr>
      <w:r>
        <w:rPr>
          <w:rFonts w:hint="eastAsia" w:ascii="宋体"/>
          <w:color w:val="auto"/>
          <w:szCs w:val="21"/>
          <w:highlight w:val="none"/>
        </w:rPr>
        <w:t>注：</w:t>
      </w:r>
    </w:p>
    <w:p w14:paraId="08BAC67F">
      <w:pPr>
        <w:adjustRightInd w:val="0"/>
        <w:snapToGrid w:val="0"/>
        <w:spacing w:line="460" w:lineRule="exact"/>
        <w:ind w:left="420" w:firstLine="422"/>
        <w:rPr>
          <w:rFonts w:ascii="宋体"/>
          <w:color w:val="auto"/>
          <w:szCs w:val="21"/>
          <w:highlight w:val="none"/>
        </w:rPr>
      </w:pPr>
      <w:r>
        <w:rPr>
          <w:rFonts w:ascii="宋体"/>
          <w:color w:val="auto"/>
          <w:szCs w:val="21"/>
          <w:highlight w:val="none"/>
        </w:rPr>
        <w:t>1.</w:t>
      </w:r>
      <w:r>
        <w:rPr>
          <w:rFonts w:hint="eastAsia" w:ascii="宋体"/>
          <w:color w:val="auto"/>
          <w:szCs w:val="21"/>
          <w:highlight w:val="none"/>
        </w:rPr>
        <w:t>供应商需对应采购文件</w:t>
      </w:r>
      <w:r>
        <w:rPr>
          <w:rFonts w:hint="eastAsia" w:ascii="宋体"/>
          <w:bCs/>
          <w:color w:val="auto"/>
          <w:szCs w:val="21"/>
          <w:highlight w:val="none"/>
        </w:rPr>
        <w:t>第四部分《用户需求书》所有需求</w:t>
      </w:r>
      <w:r>
        <w:rPr>
          <w:rFonts w:hint="eastAsia" w:ascii="宋体"/>
          <w:color w:val="auto"/>
          <w:szCs w:val="21"/>
          <w:highlight w:val="none"/>
        </w:rPr>
        <w:t>条款进行响应，并按要求填写上表。若要求提供证明材料的，还须填写并提供相应的证明材料，否则不予计分。</w:t>
      </w:r>
    </w:p>
    <w:p w14:paraId="29ABA456">
      <w:pPr>
        <w:adjustRightInd w:val="0"/>
        <w:snapToGrid w:val="0"/>
        <w:spacing w:line="460" w:lineRule="exact"/>
        <w:ind w:left="420" w:firstLine="422"/>
        <w:rPr>
          <w:rFonts w:ascii="宋体"/>
          <w:color w:val="auto"/>
          <w:szCs w:val="21"/>
          <w:highlight w:val="none"/>
        </w:rPr>
      </w:pPr>
      <w:r>
        <w:rPr>
          <w:rFonts w:hint="eastAsia" w:ascii="宋体"/>
          <w:color w:val="auto"/>
          <w:szCs w:val="21"/>
          <w:highlight w:val="none"/>
        </w:rPr>
        <w:t>2</w:t>
      </w:r>
      <w:r>
        <w:rPr>
          <w:rFonts w:ascii="宋体"/>
          <w:color w:val="auto"/>
          <w:szCs w:val="21"/>
          <w:highlight w:val="none"/>
        </w:rPr>
        <w:t>.</w:t>
      </w:r>
      <w:r>
        <w:rPr>
          <w:rFonts w:hint="eastAsia" w:ascii="宋体"/>
          <w:color w:val="auto"/>
          <w:szCs w:val="21"/>
          <w:highlight w:val="none"/>
        </w:rPr>
        <w:t>对于</w:t>
      </w:r>
      <w:r>
        <w:rPr>
          <w:rFonts w:hint="eastAsia" w:ascii="宋体"/>
          <w:color w:val="auto"/>
          <w:szCs w:val="21"/>
          <w:highlight w:val="none"/>
          <w:u w:val="double"/>
        </w:rPr>
        <w:t>“▲”条款，应逐条响应。</w:t>
      </w:r>
      <w:r>
        <w:rPr>
          <w:rFonts w:hint="eastAsia" w:ascii="宋体"/>
          <w:color w:val="auto"/>
          <w:szCs w:val="21"/>
          <w:highlight w:val="none"/>
        </w:rPr>
        <w:t>如无偏离，可在“响应情况”处填写“完全按照采购文件规定执行”，“偏离情况”处填写“无偏离”。如存在偏离项，应逐条填写偏离情况。</w:t>
      </w:r>
    </w:p>
    <w:p w14:paraId="6CD61784">
      <w:pPr>
        <w:adjustRightInd w:val="0"/>
        <w:snapToGrid w:val="0"/>
        <w:spacing w:line="460" w:lineRule="exact"/>
        <w:ind w:left="420" w:firstLine="422"/>
        <w:rPr>
          <w:rFonts w:ascii="宋体"/>
          <w:color w:val="auto"/>
          <w:szCs w:val="21"/>
          <w:highlight w:val="none"/>
        </w:rPr>
      </w:pPr>
      <w:r>
        <w:rPr>
          <w:rFonts w:hint="eastAsia" w:ascii="宋体"/>
          <w:color w:val="auto"/>
          <w:szCs w:val="21"/>
          <w:highlight w:val="none"/>
        </w:rPr>
        <w:t>3</w:t>
      </w:r>
      <w:r>
        <w:rPr>
          <w:rFonts w:ascii="宋体"/>
          <w:color w:val="auto"/>
          <w:szCs w:val="21"/>
          <w:highlight w:val="none"/>
        </w:rPr>
        <w:t>.</w:t>
      </w:r>
      <w:r>
        <w:rPr>
          <w:rFonts w:hint="eastAsia" w:ascii="宋体"/>
          <w:color w:val="auto"/>
          <w:szCs w:val="21"/>
          <w:highlight w:val="none"/>
        </w:rPr>
        <w:t>对于除带“★”和“▲”之外的条款，如完全满足要求，也可在“采购文件条款”处填写“所有条款”，“响应情况”处填写“完全按照采购文件规定执行”，“偏离情况”处填写“无偏离”，可以不用逐条响应。如存在偏离项，可以只填写偏离项，未填写的条款视为完全满足采购文件要求，可以不用逐条响应。</w:t>
      </w:r>
    </w:p>
    <w:p w14:paraId="4FF697F8">
      <w:pPr>
        <w:adjustRightInd w:val="0"/>
        <w:snapToGrid w:val="0"/>
        <w:spacing w:line="460" w:lineRule="exact"/>
        <w:ind w:left="420" w:firstLine="422"/>
        <w:rPr>
          <w:rFonts w:ascii="宋体"/>
          <w:color w:val="auto"/>
          <w:szCs w:val="21"/>
          <w:highlight w:val="none"/>
        </w:rPr>
      </w:pPr>
      <w:r>
        <w:rPr>
          <w:rFonts w:hint="eastAsia" w:ascii="宋体"/>
          <w:color w:val="auto"/>
          <w:szCs w:val="21"/>
          <w:highlight w:val="none"/>
        </w:rPr>
        <w:t>4</w:t>
      </w:r>
      <w:r>
        <w:rPr>
          <w:rFonts w:ascii="宋体"/>
          <w:color w:val="auto"/>
          <w:szCs w:val="21"/>
          <w:highlight w:val="none"/>
        </w:rPr>
        <w:t>.</w:t>
      </w:r>
      <w:r>
        <w:rPr>
          <w:rFonts w:hint="eastAsia" w:ascii="宋体"/>
          <w:color w:val="auto"/>
          <w:szCs w:val="21"/>
          <w:highlight w:val="none"/>
        </w:rPr>
        <w:t>“偏离情况”项填写“正偏离”或“无偏离”或“负偏离”，供应商须真实体现偏离情况。其中正偏离是指承诺优于采购文件所规定的内容；无偏离是指承诺完整满足采购文件所规定的内容；负偏离是指承诺劣于采购文件所规定的内容。</w:t>
      </w:r>
    </w:p>
    <w:p w14:paraId="4F13E47F">
      <w:pPr>
        <w:spacing w:line="360" w:lineRule="auto"/>
        <w:rPr>
          <w:rFonts w:ascii="宋体" w:hAnsi="宋体"/>
          <w:color w:val="auto"/>
          <w:highlight w:val="none"/>
        </w:rPr>
      </w:pPr>
    </w:p>
    <w:p w14:paraId="14E53051">
      <w:pPr>
        <w:spacing w:line="360" w:lineRule="auto"/>
        <w:rPr>
          <w:rFonts w:ascii="宋体" w:hAnsi="宋体"/>
          <w:color w:val="auto"/>
          <w:highlight w:val="none"/>
        </w:rPr>
      </w:pPr>
    </w:p>
    <w:p w14:paraId="4D12FA1A">
      <w:pPr>
        <w:spacing w:line="360" w:lineRule="auto"/>
        <w:rPr>
          <w:rFonts w:ascii="宋体" w:hAnsi="宋体"/>
          <w:color w:val="auto"/>
          <w:highlight w:val="none"/>
        </w:rPr>
      </w:pPr>
    </w:p>
    <w:p w14:paraId="0A0F5BC7">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1FE76BB1">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6DAFB333">
      <w:pPr>
        <w:rPr>
          <w:rFonts w:ascii="宋体"/>
          <w:bCs/>
          <w:color w:val="auto"/>
          <w:szCs w:val="21"/>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79795605">
      <w:pPr>
        <w:spacing w:line="360" w:lineRule="auto"/>
        <w:ind w:firstLine="482"/>
        <w:rPr>
          <w:rFonts w:ascii="宋体" w:hAnsi="宋体"/>
          <w:color w:val="auto"/>
          <w:sz w:val="24"/>
          <w:highlight w:val="none"/>
        </w:rPr>
      </w:pPr>
    </w:p>
    <w:p w14:paraId="225528FA">
      <w:pPr>
        <w:ind w:firstLine="482"/>
        <w:rPr>
          <w:rFonts w:ascii="宋体" w:hAnsi="宋体"/>
          <w:color w:val="auto"/>
          <w:sz w:val="24"/>
          <w:highlight w:val="none"/>
        </w:rPr>
      </w:pPr>
    </w:p>
    <w:p w14:paraId="39624AE8">
      <w:pPr>
        <w:ind w:firstLine="482"/>
        <w:rPr>
          <w:rFonts w:ascii="宋体" w:hAnsi="宋体"/>
          <w:color w:val="auto"/>
          <w:sz w:val="24"/>
          <w:highlight w:val="none"/>
        </w:rPr>
      </w:pPr>
    </w:p>
    <w:p w14:paraId="4CBBB19C">
      <w:pPr>
        <w:ind w:firstLine="482"/>
        <w:rPr>
          <w:rFonts w:ascii="宋体" w:hAnsi="宋体"/>
          <w:color w:val="auto"/>
          <w:sz w:val="24"/>
          <w:highlight w:val="none"/>
        </w:rPr>
      </w:pPr>
    </w:p>
    <w:p w14:paraId="566EA830">
      <w:pPr>
        <w:ind w:firstLine="482"/>
        <w:rPr>
          <w:rFonts w:ascii="宋体" w:hAnsi="宋体"/>
          <w:color w:val="auto"/>
          <w:sz w:val="24"/>
          <w:highlight w:val="none"/>
        </w:rPr>
      </w:pPr>
    </w:p>
    <w:p w14:paraId="5C9CCF84">
      <w:pPr>
        <w:ind w:firstLine="482"/>
        <w:rPr>
          <w:rFonts w:ascii="宋体" w:hAnsi="宋体"/>
          <w:color w:val="auto"/>
          <w:sz w:val="24"/>
          <w:highlight w:val="none"/>
        </w:rPr>
      </w:pPr>
    </w:p>
    <w:p w14:paraId="7DC7AA77">
      <w:pPr>
        <w:spacing w:line="360" w:lineRule="auto"/>
        <w:ind w:firstLine="482"/>
        <w:outlineLvl w:val="2"/>
        <w:rPr>
          <w:rFonts w:ascii="宋体" w:hAnsi="宋体"/>
          <w:color w:val="auto"/>
          <w:sz w:val="24"/>
          <w:highlight w:val="none"/>
        </w:rPr>
      </w:pPr>
      <w:r>
        <w:rPr>
          <w:rFonts w:hint="eastAsia" w:ascii="宋体" w:hAnsi="宋体"/>
          <w:b/>
          <w:bCs/>
          <w:color w:val="auto"/>
          <w:sz w:val="24"/>
          <w:highlight w:val="none"/>
        </w:rPr>
        <w:t>2.5合同条款响应表</w:t>
      </w:r>
    </w:p>
    <w:p w14:paraId="43B35AD8">
      <w:pPr>
        <w:pStyle w:val="45"/>
        <w:ind w:firstLine="640"/>
        <w:outlineLvl w:val="9"/>
        <w:rPr>
          <w:color w:val="auto"/>
          <w:highlight w:val="none"/>
        </w:rPr>
      </w:pPr>
      <w:bookmarkStart w:id="480" w:name="_Toc70667871"/>
      <w:bookmarkStart w:id="481" w:name="_Toc25711"/>
      <w:bookmarkStart w:id="482" w:name="_Toc11579"/>
      <w:bookmarkStart w:id="483" w:name="_Toc106805660"/>
    </w:p>
    <w:p w14:paraId="27747569">
      <w:pPr>
        <w:pStyle w:val="45"/>
        <w:ind w:firstLine="640"/>
        <w:outlineLvl w:val="9"/>
        <w:rPr>
          <w:rFonts w:ascii="宋体" w:hAnsi="宋体" w:cs="宋体"/>
          <w:color w:val="auto"/>
          <w:highlight w:val="none"/>
        </w:rPr>
      </w:pPr>
      <w:r>
        <w:rPr>
          <w:color w:val="auto"/>
          <w:highlight w:val="none"/>
        </w:rPr>
        <w:t>合同条款响应表</w:t>
      </w:r>
      <w:bookmarkEnd w:id="480"/>
      <w:bookmarkEnd w:id="481"/>
      <w:bookmarkEnd w:id="482"/>
      <w:bookmarkEnd w:id="483"/>
    </w:p>
    <w:tbl>
      <w:tblPr>
        <w:tblStyle w:val="49"/>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967"/>
        <w:gridCol w:w="2327"/>
        <w:gridCol w:w="2128"/>
        <w:gridCol w:w="2244"/>
      </w:tblGrid>
      <w:tr w14:paraId="3E12A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689" w:type="dxa"/>
            <w:shd w:val="clear" w:color="auto" w:fill="EEECE1"/>
            <w:vAlign w:val="center"/>
          </w:tcPr>
          <w:p w14:paraId="567E0BC2">
            <w:pPr>
              <w:spacing w:line="480" w:lineRule="auto"/>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967" w:type="dxa"/>
            <w:shd w:val="clear" w:color="auto" w:fill="EEECE1"/>
            <w:vAlign w:val="center"/>
          </w:tcPr>
          <w:p w14:paraId="512B1B95">
            <w:pPr>
              <w:adjustRightInd w:val="0"/>
              <w:snapToGrid w:val="0"/>
              <w:ind w:left="-71" w:leftChars="-34" w:right="-73" w:rightChars="-35"/>
              <w:jc w:val="center"/>
              <w:rPr>
                <w:rFonts w:ascii="宋体" w:hAnsi="宋体" w:cs="宋体"/>
                <w:b/>
                <w:bCs/>
                <w:color w:val="auto"/>
                <w:szCs w:val="21"/>
                <w:highlight w:val="none"/>
              </w:rPr>
            </w:pPr>
            <w:r>
              <w:rPr>
                <w:rFonts w:hint="eastAsia" w:ascii="宋体" w:hAnsi="宋体"/>
                <w:color w:val="auto"/>
                <w:highlight w:val="none"/>
              </w:rPr>
              <w:t>采购文件条款描述</w:t>
            </w:r>
          </w:p>
        </w:tc>
        <w:tc>
          <w:tcPr>
            <w:tcW w:w="2327" w:type="dxa"/>
            <w:shd w:val="clear" w:color="auto" w:fill="EEECE1"/>
            <w:vAlign w:val="center"/>
          </w:tcPr>
          <w:p w14:paraId="5192E2DC">
            <w:pPr>
              <w:adjustRightInd w:val="0"/>
              <w:snapToGrid w:val="0"/>
              <w:ind w:left="-71" w:leftChars="-34" w:right="-73" w:rightChars="-35"/>
              <w:jc w:val="center"/>
              <w:rPr>
                <w:rFonts w:ascii="宋体" w:hAnsi="宋体"/>
                <w:color w:val="auto"/>
                <w:highlight w:val="none"/>
              </w:rPr>
            </w:pPr>
            <w:r>
              <w:rPr>
                <w:rFonts w:hint="eastAsia" w:ascii="宋体" w:hAnsi="宋体"/>
                <w:color w:val="auto"/>
                <w:highlight w:val="none"/>
              </w:rPr>
              <w:t>供应商响应描述</w:t>
            </w:r>
          </w:p>
          <w:p w14:paraId="3276449C">
            <w:pPr>
              <w:adjustRightInd w:val="0"/>
              <w:snapToGrid w:val="0"/>
              <w:ind w:left="-71" w:leftChars="-34" w:right="-73" w:rightChars="-35"/>
              <w:jc w:val="center"/>
              <w:rPr>
                <w:rFonts w:ascii="宋体" w:hAnsi="宋体" w:cs="宋体"/>
                <w:b/>
                <w:bCs/>
                <w:color w:val="auto"/>
                <w:szCs w:val="21"/>
                <w:highlight w:val="none"/>
              </w:rPr>
            </w:pPr>
            <w:r>
              <w:rPr>
                <w:rFonts w:hint="eastAsia" w:ascii="宋体" w:hAnsi="宋体"/>
                <w:b/>
                <w:bCs/>
                <w:color w:val="auto"/>
                <w:szCs w:val="21"/>
                <w:highlight w:val="none"/>
              </w:rPr>
              <w:t>（供应商应按响应实际数据填写）</w:t>
            </w:r>
          </w:p>
        </w:tc>
        <w:tc>
          <w:tcPr>
            <w:tcW w:w="2128" w:type="dxa"/>
            <w:shd w:val="clear" w:color="auto" w:fill="EEECE1"/>
            <w:vAlign w:val="center"/>
          </w:tcPr>
          <w:p w14:paraId="4FEEEB8C">
            <w:pPr>
              <w:adjustRightInd w:val="0"/>
              <w:snapToGrid w:val="0"/>
              <w:ind w:left="-71" w:leftChars="-34" w:right="-73" w:rightChars="-35"/>
              <w:jc w:val="center"/>
              <w:rPr>
                <w:rFonts w:ascii="宋体" w:hAnsi="宋体"/>
                <w:color w:val="auto"/>
                <w:highlight w:val="none"/>
              </w:rPr>
            </w:pPr>
            <w:r>
              <w:rPr>
                <w:rFonts w:hint="eastAsia" w:ascii="宋体" w:hAnsi="宋体"/>
                <w:color w:val="auto"/>
                <w:highlight w:val="none"/>
              </w:rPr>
              <w:t>偏离情况说明</w:t>
            </w:r>
          </w:p>
          <w:p w14:paraId="4640224C">
            <w:pPr>
              <w:adjustRightInd w:val="0"/>
              <w:snapToGrid w:val="0"/>
              <w:jc w:val="center"/>
              <w:rPr>
                <w:rFonts w:ascii="宋体" w:hAnsi="宋体" w:cs="宋体"/>
                <w:color w:val="auto"/>
                <w:highlight w:val="none"/>
              </w:rPr>
            </w:pPr>
            <w:r>
              <w:rPr>
                <w:rFonts w:hint="eastAsia" w:ascii="宋体" w:hAnsi="宋体"/>
                <w:b/>
                <w:color w:val="auto"/>
                <w:highlight w:val="none"/>
              </w:rPr>
              <w:t>（</w:t>
            </w:r>
            <w:r>
              <w:rPr>
                <w:rFonts w:hint="eastAsia"/>
                <w:b/>
                <w:color w:val="auto"/>
                <w:highlight w:val="none"/>
              </w:rPr>
              <w:t>正偏离/无偏离/负偏离</w:t>
            </w:r>
            <w:r>
              <w:rPr>
                <w:rFonts w:hint="eastAsia" w:ascii="宋体" w:hAnsi="宋体"/>
                <w:b/>
                <w:color w:val="auto"/>
                <w:highlight w:val="none"/>
              </w:rPr>
              <w:t>）</w:t>
            </w:r>
          </w:p>
        </w:tc>
        <w:tc>
          <w:tcPr>
            <w:tcW w:w="2244" w:type="dxa"/>
            <w:shd w:val="clear" w:color="auto" w:fill="EEECE1"/>
            <w:vAlign w:val="center"/>
          </w:tcPr>
          <w:p w14:paraId="4D1D2C2E">
            <w:pPr>
              <w:adjustRightInd w:val="0"/>
              <w:snapToGrid w:val="0"/>
              <w:ind w:left="-71" w:leftChars="-34" w:right="-73" w:rightChars="-35"/>
              <w:jc w:val="center"/>
              <w:rPr>
                <w:rFonts w:ascii="宋体" w:hAnsi="宋体" w:cs="宋体"/>
                <w:b/>
                <w:bCs/>
                <w:color w:val="auto"/>
                <w:szCs w:val="21"/>
                <w:highlight w:val="none"/>
              </w:rPr>
            </w:pPr>
            <w:r>
              <w:rPr>
                <w:rFonts w:hint="eastAsia" w:ascii="宋体" w:hAnsi="宋体"/>
                <w:color w:val="auto"/>
                <w:highlight w:val="none"/>
              </w:rPr>
              <w:t>查阅/证明文件指引</w:t>
            </w:r>
          </w:p>
        </w:tc>
      </w:tr>
      <w:tr w14:paraId="18FD2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89" w:type="dxa"/>
            <w:vAlign w:val="center"/>
          </w:tcPr>
          <w:p w14:paraId="344C5819">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967" w:type="dxa"/>
            <w:vAlign w:val="center"/>
          </w:tcPr>
          <w:p w14:paraId="070AC7D1">
            <w:pPr>
              <w:spacing w:line="480" w:lineRule="auto"/>
              <w:jc w:val="center"/>
              <w:rPr>
                <w:rFonts w:ascii="宋体" w:hAnsi="宋体" w:cs="宋体"/>
                <w:color w:val="auto"/>
                <w:szCs w:val="21"/>
                <w:highlight w:val="none"/>
              </w:rPr>
            </w:pPr>
          </w:p>
        </w:tc>
        <w:tc>
          <w:tcPr>
            <w:tcW w:w="2327" w:type="dxa"/>
            <w:vAlign w:val="center"/>
          </w:tcPr>
          <w:p w14:paraId="596D0E78">
            <w:pPr>
              <w:spacing w:line="480" w:lineRule="auto"/>
              <w:jc w:val="center"/>
              <w:rPr>
                <w:rFonts w:ascii="宋体" w:hAnsi="宋体" w:cs="宋体"/>
                <w:color w:val="auto"/>
                <w:szCs w:val="21"/>
                <w:highlight w:val="none"/>
              </w:rPr>
            </w:pPr>
          </w:p>
        </w:tc>
        <w:tc>
          <w:tcPr>
            <w:tcW w:w="2128" w:type="dxa"/>
            <w:vAlign w:val="center"/>
          </w:tcPr>
          <w:p w14:paraId="64D9C379">
            <w:pPr>
              <w:spacing w:line="480" w:lineRule="auto"/>
              <w:jc w:val="center"/>
              <w:rPr>
                <w:rFonts w:ascii="宋体" w:hAnsi="宋体" w:cs="宋体"/>
                <w:color w:val="auto"/>
                <w:szCs w:val="21"/>
                <w:highlight w:val="none"/>
              </w:rPr>
            </w:pPr>
          </w:p>
        </w:tc>
        <w:tc>
          <w:tcPr>
            <w:tcW w:w="2244" w:type="dxa"/>
            <w:vAlign w:val="center"/>
          </w:tcPr>
          <w:p w14:paraId="6C84D63A">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见</w:t>
            </w:r>
            <w:r>
              <w:rPr>
                <w:rFonts w:hint="eastAsia" w:ascii="宋体" w:hAnsi="宋体"/>
                <w:color w:val="auto"/>
                <w:highlight w:val="none"/>
              </w:rPr>
              <w:t>《响应文件》</w:t>
            </w:r>
            <w:r>
              <w:rPr>
                <w:rFonts w:hint="eastAsia" w:ascii="宋体" w:hAnsi="宋体" w:cs="宋体"/>
                <w:color w:val="auto"/>
                <w:szCs w:val="21"/>
                <w:highlight w:val="none"/>
              </w:rPr>
              <w:t>第</w:t>
            </w:r>
            <w:r>
              <w:rPr>
                <w:rFonts w:ascii="宋体" w:hAnsi="宋体" w:cs="宋体"/>
                <w:color w:val="auto"/>
                <w:szCs w:val="21"/>
                <w:highlight w:val="none"/>
                <w:u w:val="single"/>
              </w:rPr>
              <w:t xml:space="preserve">   </w:t>
            </w:r>
            <w:r>
              <w:rPr>
                <w:rFonts w:hint="eastAsia" w:ascii="宋体" w:hAnsi="宋体" w:cs="宋体"/>
                <w:color w:val="auto"/>
                <w:szCs w:val="21"/>
                <w:highlight w:val="none"/>
              </w:rPr>
              <w:t>页</w:t>
            </w:r>
          </w:p>
        </w:tc>
      </w:tr>
      <w:tr w14:paraId="19E3B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89" w:type="dxa"/>
            <w:vAlign w:val="center"/>
          </w:tcPr>
          <w:p w14:paraId="2D94E3A1">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967" w:type="dxa"/>
            <w:vAlign w:val="center"/>
          </w:tcPr>
          <w:p w14:paraId="63223212">
            <w:pPr>
              <w:spacing w:line="480" w:lineRule="auto"/>
              <w:jc w:val="center"/>
              <w:rPr>
                <w:rFonts w:ascii="宋体" w:hAnsi="宋体" w:cs="宋体"/>
                <w:color w:val="auto"/>
                <w:szCs w:val="21"/>
                <w:highlight w:val="none"/>
              </w:rPr>
            </w:pPr>
          </w:p>
        </w:tc>
        <w:tc>
          <w:tcPr>
            <w:tcW w:w="2327" w:type="dxa"/>
            <w:vAlign w:val="center"/>
          </w:tcPr>
          <w:p w14:paraId="535514DC">
            <w:pPr>
              <w:spacing w:line="480" w:lineRule="auto"/>
              <w:jc w:val="center"/>
              <w:rPr>
                <w:rFonts w:ascii="宋体" w:hAnsi="宋体" w:cs="宋体"/>
                <w:color w:val="auto"/>
                <w:szCs w:val="21"/>
                <w:highlight w:val="none"/>
              </w:rPr>
            </w:pPr>
          </w:p>
        </w:tc>
        <w:tc>
          <w:tcPr>
            <w:tcW w:w="2128" w:type="dxa"/>
            <w:vAlign w:val="center"/>
          </w:tcPr>
          <w:p w14:paraId="24355F91">
            <w:pPr>
              <w:spacing w:line="480" w:lineRule="auto"/>
              <w:jc w:val="center"/>
              <w:rPr>
                <w:rFonts w:ascii="宋体" w:hAnsi="宋体" w:cs="宋体"/>
                <w:color w:val="auto"/>
                <w:szCs w:val="21"/>
                <w:highlight w:val="none"/>
              </w:rPr>
            </w:pPr>
          </w:p>
        </w:tc>
        <w:tc>
          <w:tcPr>
            <w:tcW w:w="2244" w:type="dxa"/>
            <w:vAlign w:val="center"/>
          </w:tcPr>
          <w:p w14:paraId="3825EED8">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见</w:t>
            </w:r>
            <w:r>
              <w:rPr>
                <w:rFonts w:hint="eastAsia" w:ascii="宋体" w:hAnsi="宋体"/>
                <w:color w:val="auto"/>
                <w:highlight w:val="none"/>
              </w:rPr>
              <w:t>《响应文件》</w:t>
            </w:r>
            <w:r>
              <w:rPr>
                <w:rFonts w:hint="eastAsia" w:ascii="宋体" w:hAnsi="宋体" w:cs="宋体"/>
                <w:color w:val="auto"/>
                <w:szCs w:val="21"/>
                <w:highlight w:val="none"/>
              </w:rPr>
              <w:t>第</w:t>
            </w:r>
            <w:r>
              <w:rPr>
                <w:rFonts w:ascii="宋体" w:hAnsi="宋体" w:cs="宋体"/>
                <w:color w:val="auto"/>
                <w:szCs w:val="21"/>
                <w:highlight w:val="none"/>
                <w:u w:val="single"/>
              </w:rPr>
              <w:t xml:space="preserve">   </w:t>
            </w:r>
            <w:r>
              <w:rPr>
                <w:rFonts w:hint="eastAsia" w:ascii="宋体" w:hAnsi="宋体" w:cs="宋体"/>
                <w:color w:val="auto"/>
                <w:szCs w:val="21"/>
                <w:highlight w:val="none"/>
              </w:rPr>
              <w:t>页</w:t>
            </w:r>
          </w:p>
        </w:tc>
      </w:tr>
      <w:tr w14:paraId="3684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89" w:type="dxa"/>
            <w:vAlign w:val="center"/>
          </w:tcPr>
          <w:p w14:paraId="0BC9300A">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967" w:type="dxa"/>
            <w:vAlign w:val="center"/>
          </w:tcPr>
          <w:p w14:paraId="0780C8EB">
            <w:pPr>
              <w:spacing w:line="480" w:lineRule="auto"/>
              <w:jc w:val="center"/>
              <w:rPr>
                <w:rFonts w:ascii="宋体" w:hAnsi="宋体" w:cs="宋体"/>
                <w:color w:val="auto"/>
                <w:szCs w:val="21"/>
                <w:highlight w:val="none"/>
              </w:rPr>
            </w:pPr>
          </w:p>
        </w:tc>
        <w:tc>
          <w:tcPr>
            <w:tcW w:w="2327" w:type="dxa"/>
            <w:vAlign w:val="center"/>
          </w:tcPr>
          <w:p w14:paraId="18AA8A58">
            <w:pPr>
              <w:spacing w:line="480" w:lineRule="auto"/>
              <w:jc w:val="center"/>
              <w:rPr>
                <w:rFonts w:ascii="宋体" w:hAnsi="宋体" w:cs="宋体"/>
                <w:color w:val="auto"/>
                <w:szCs w:val="21"/>
                <w:highlight w:val="none"/>
              </w:rPr>
            </w:pPr>
          </w:p>
        </w:tc>
        <w:tc>
          <w:tcPr>
            <w:tcW w:w="2128" w:type="dxa"/>
            <w:vAlign w:val="center"/>
          </w:tcPr>
          <w:p w14:paraId="0F29AEDD">
            <w:pPr>
              <w:spacing w:line="480" w:lineRule="auto"/>
              <w:jc w:val="center"/>
              <w:rPr>
                <w:rFonts w:ascii="宋体" w:hAnsi="宋体" w:cs="宋体"/>
                <w:color w:val="auto"/>
                <w:szCs w:val="21"/>
                <w:highlight w:val="none"/>
              </w:rPr>
            </w:pPr>
          </w:p>
        </w:tc>
        <w:tc>
          <w:tcPr>
            <w:tcW w:w="2244" w:type="dxa"/>
            <w:vAlign w:val="center"/>
          </w:tcPr>
          <w:p w14:paraId="500DDF00">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见</w:t>
            </w:r>
            <w:r>
              <w:rPr>
                <w:rFonts w:hint="eastAsia" w:ascii="宋体" w:hAnsi="宋体"/>
                <w:color w:val="auto"/>
                <w:highlight w:val="none"/>
              </w:rPr>
              <w:t>《响应文件》</w:t>
            </w:r>
            <w:r>
              <w:rPr>
                <w:rFonts w:hint="eastAsia" w:ascii="宋体" w:hAnsi="宋体" w:cs="宋体"/>
                <w:color w:val="auto"/>
                <w:szCs w:val="21"/>
                <w:highlight w:val="none"/>
              </w:rPr>
              <w:t>第</w:t>
            </w:r>
            <w:r>
              <w:rPr>
                <w:rFonts w:ascii="宋体" w:hAnsi="宋体" w:cs="宋体"/>
                <w:color w:val="auto"/>
                <w:szCs w:val="21"/>
                <w:highlight w:val="none"/>
                <w:u w:val="single"/>
              </w:rPr>
              <w:t xml:space="preserve">   </w:t>
            </w:r>
            <w:r>
              <w:rPr>
                <w:rFonts w:hint="eastAsia" w:ascii="宋体" w:hAnsi="宋体" w:cs="宋体"/>
                <w:color w:val="auto"/>
                <w:szCs w:val="21"/>
                <w:highlight w:val="none"/>
              </w:rPr>
              <w:t>页</w:t>
            </w:r>
          </w:p>
        </w:tc>
      </w:tr>
      <w:tr w14:paraId="093CD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89" w:type="dxa"/>
            <w:vAlign w:val="center"/>
          </w:tcPr>
          <w:p w14:paraId="619657EA">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967" w:type="dxa"/>
            <w:vAlign w:val="center"/>
          </w:tcPr>
          <w:p w14:paraId="3E181049">
            <w:pPr>
              <w:spacing w:line="480" w:lineRule="auto"/>
              <w:jc w:val="center"/>
              <w:rPr>
                <w:rFonts w:ascii="宋体" w:hAnsi="宋体" w:cs="宋体"/>
                <w:color w:val="auto"/>
                <w:szCs w:val="21"/>
                <w:highlight w:val="none"/>
              </w:rPr>
            </w:pPr>
          </w:p>
        </w:tc>
        <w:tc>
          <w:tcPr>
            <w:tcW w:w="2327" w:type="dxa"/>
            <w:vAlign w:val="center"/>
          </w:tcPr>
          <w:p w14:paraId="64D5BC30">
            <w:pPr>
              <w:spacing w:line="480" w:lineRule="auto"/>
              <w:jc w:val="center"/>
              <w:rPr>
                <w:rFonts w:ascii="宋体" w:hAnsi="宋体" w:cs="宋体"/>
                <w:color w:val="auto"/>
                <w:szCs w:val="21"/>
                <w:highlight w:val="none"/>
              </w:rPr>
            </w:pPr>
          </w:p>
        </w:tc>
        <w:tc>
          <w:tcPr>
            <w:tcW w:w="2128" w:type="dxa"/>
            <w:vAlign w:val="center"/>
          </w:tcPr>
          <w:p w14:paraId="3933811A">
            <w:pPr>
              <w:spacing w:line="480" w:lineRule="auto"/>
              <w:jc w:val="center"/>
              <w:rPr>
                <w:rFonts w:ascii="宋体" w:hAnsi="宋体" w:cs="宋体"/>
                <w:color w:val="auto"/>
                <w:szCs w:val="21"/>
                <w:highlight w:val="none"/>
              </w:rPr>
            </w:pPr>
          </w:p>
        </w:tc>
        <w:tc>
          <w:tcPr>
            <w:tcW w:w="2244" w:type="dxa"/>
            <w:vAlign w:val="center"/>
          </w:tcPr>
          <w:p w14:paraId="73E7709D">
            <w:pPr>
              <w:ind w:right="13" w:rightChars="6"/>
              <w:jc w:val="center"/>
              <w:rPr>
                <w:rFonts w:ascii="宋体" w:hAnsi="宋体" w:cs="宋体"/>
                <w:color w:val="auto"/>
                <w:szCs w:val="21"/>
                <w:highlight w:val="none"/>
              </w:rPr>
            </w:pPr>
          </w:p>
        </w:tc>
      </w:tr>
      <w:tr w14:paraId="3526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89" w:type="dxa"/>
            <w:vAlign w:val="center"/>
          </w:tcPr>
          <w:p w14:paraId="3ED326C1">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967" w:type="dxa"/>
            <w:vAlign w:val="center"/>
          </w:tcPr>
          <w:p w14:paraId="523FDB70">
            <w:pPr>
              <w:spacing w:line="480" w:lineRule="auto"/>
              <w:jc w:val="center"/>
              <w:rPr>
                <w:rFonts w:ascii="宋体" w:hAnsi="宋体" w:cs="宋体"/>
                <w:color w:val="auto"/>
                <w:szCs w:val="21"/>
                <w:highlight w:val="none"/>
              </w:rPr>
            </w:pPr>
          </w:p>
        </w:tc>
        <w:tc>
          <w:tcPr>
            <w:tcW w:w="2327" w:type="dxa"/>
            <w:vAlign w:val="center"/>
          </w:tcPr>
          <w:p w14:paraId="3BA64219">
            <w:pPr>
              <w:spacing w:line="480" w:lineRule="auto"/>
              <w:jc w:val="center"/>
              <w:rPr>
                <w:rFonts w:ascii="宋体" w:hAnsi="宋体" w:cs="宋体"/>
                <w:color w:val="auto"/>
                <w:szCs w:val="21"/>
                <w:highlight w:val="none"/>
              </w:rPr>
            </w:pPr>
          </w:p>
        </w:tc>
        <w:tc>
          <w:tcPr>
            <w:tcW w:w="2128" w:type="dxa"/>
            <w:vAlign w:val="center"/>
          </w:tcPr>
          <w:p w14:paraId="1EC8BD69">
            <w:pPr>
              <w:spacing w:line="480" w:lineRule="auto"/>
              <w:jc w:val="center"/>
              <w:rPr>
                <w:rFonts w:ascii="宋体" w:hAnsi="宋体" w:cs="宋体"/>
                <w:color w:val="auto"/>
                <w:szCs w:val="21"/>
                <w:highlight w:val="none"/>
              </w:rPr>
            </w:pPr>
          </w:p>
        </w:tc>
        <w:tc>
          <w:tcPr>
            <w:tcW w:w="2244" w:type="dxa"/>
            <w:vAlign w:val="center"/>
          </w:tcPr>
          <w:p w14:paraId="300BE1E0">
            <w:pPr>
              <w:ind w:right="13" w:rightChars="6"/>
              <w:jc w:val="center"/>
              <w:rPr>
                <w:rFonts w:ascii="宋体" w:hAnsi="宋体" w:cs="宋体"/>
                <w:color w:val="auto"/>
                <w:szCs w:val="21"/>
                <w:highlight w:val="none"/>
              </w:rPr>
            </w:pPr>
          </w:p>
        </w:tc>
      </w:tr>
      <w:tr w14:paraId="03769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89" w:type="dxa"/>
            <w:vAlign w:val="center"/>
          </w:tcPr>
          <w:p w14:paraId="6E5FCA00">
            <w:pPr>
              <w:spacing w:line="48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967" w:type="dxa"/>
            <w:vAlign w:val="center"/>
          </w:tcPr>
          <w:p w14:paraId="7F09DEE1">
            <w:pPr>
              <w:spacing w:line="480" w:lineRule="auto"/>
              <w:jc w:val="center"/>
              <w:rPr>
                <w:rFonts w:ascii="宋体" w:hAnsi="宋体" w:cs="宋体"/>
                <w:color w:val="auto"/>
                <w:szCs w:val="21"/>
                <w:highlight w:val="none"/>
              </w:rPr>
            </w:pPr>
          </w:p>
        </w:tc>
        <w:tc>
          <w:tcPr>
            <w:tcW w:w="2327" w:type="dxa"/>
            <w:vAlign w:val="center"/>
          </w:tcPr>
          <w:p w14:paraId="5AAD064E">
            <w:pPr>
              <w:spacing w:line="480" w:lineRule="auto"/>
              <w:jc w:val="center"/>
              <w:rPr>
                <w:rFonts w:ascii="宋体" w:hAnsi="宋体" w:cs="宋体"/>
                <w:color w:val="auto"/>
                <w:szCs w:val="21"/>
                <w:highlight w:val="none"/>
              </w:rPr>
            </w:pPr>
          </w:p>
        </w:tc>
        <w:tc>
          <w:tcPr>
            <w:tcW w:w="2128" w:type="dxa"/>
            <w:vAlign w:val="center"/>
          </w:tcPr>
          <w:p w14:paraId="3D1645B2">
            <w:pPr>
              <w:spacing w:line="480" w:lineRule="auto"/>
              <w:jc w:val="center"/>
              <w:rPr>
                <w:rFonts w:ascii="宋体" w:hAnsi="宋体" w:cs="宋体"/>
                <w:color w:val="auto"/>
                <w:szCs w:val="21"/>
                <w:highlight w:val="none"/>
              </w:rPr>
            </w:pPr>
          </w:p>
        </w:tc>
        <w:tc>
          <w:tcPr>
            <w:tcW w:w="2244" w:type="dxa"/>
            <w:vAlign w:val="center"/>
          </w:tcPr>
          <w:p w14:paraId="748B24EE">
            <w:pPr>
              <w:ind w:right="13" w:rightChars="6"/>
              <w:jc w:val="center"/>
              <w:rPr>
                <w:rFonts w:ascii="宋体" w:hAnsi="宋体" w:cs="宋体"/>
                <w:color w:val="auto"/>
                <w:szCs w:val="21"/>
                <w:highlight w:val="none"/>
              </w:rPr>
            </w:pPr>
          </w:p>
        </w:tc>
      </w:tr>
      <w:tr w14:paraId="41B7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89" w:type="dxa"/>
            <w:vAlign w:val="center"/>
          </w:tcPr>
          <w:p w14:paraId="5745E332">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1967" w:type="dxa"/>
            <w:vAlign w:val="center"/>
          </w:tcPr>
          <w:p w14:paraId="164D2AB8">
            <w:pPr>
              <w:spacing w:line="52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327" w:type="dxa"/>
            <w:vAlign w:val="center"/>
          </w:tcPr>
          <w:p w14:paraId="09753777">
            <w:pPr>
              <w:spacing w:line="480" w:lineRule="auto"/>
              <w:jc w:val="center"/>
              <w:rPr>
                <w:rFonts w:ascii="宋体" w:hAnsi="宋体" w:cs="宋体"/>
                <w:color w:val="auto"/>
                <w:szCs w:val="21"/>
                <w:highlight w:val="none"/>
              </w:rPr>
            </w:pPr>
          </w:p>
        </w:tc>
        <w:tc>
          <w:tcPr>
            <w:tcW w:w="2128" w:type="dxa"/>
            <w:vAlign w:val="center"/>
          </w:tcPr>
          <w:p w14:paraId="1707E0DF">
            <w:pPr>
              <w:spacing w:line="480" w:lineRule="auto"/>
              <w:jc w:val="center"/>
              <w:rPr>
                <w:rFonts w:ascii="宋体" w:hAnsi="宋体" w:cs="宋体"/>
                <w:color w:val="auto"/>
                <w:szCs w:val="21"/>
                <w:highlight w:val="none"/>
              </w:rPr>
            </w:pPr>
          </w:p>
        </w:tc>
        <w:tc>
          <w:tcPr>
            <w:tcW w:w="2244" w:type="dxa"/>
            <w:vAlign w:val="center"/>
          </w:tcPr>
          <w:p w14:paraId="7B6830CB">
            <w:pPr>
              <w:spacing w:line="480" w:lineRule="auto"/>
              <w:jc w:val="center"/>
              <w:rPr>
                <w:rFonts w:ascii="宋体" w:hAnsi="宋体" w:cs="宋体"/>
                <w:color w:val="auto"/>
                <w:szCs w:val="21"/>
                <w:highlight w:val="none"/>
              </w:rPr>
            </w:pPr>
          </w:p>
        </w:tc>
      </w:tr>
    </w:tbl>
    <w:p w14:paraId="1C662350">
      <w:pPr>
        <w:spacing w:line="400" w:lineRule="exact"/>
        <w:rPr>
          <w:rFonts w:ascii="宋体"/>
          <w:b/>
          <w:color w:val="auto"/>
          <w:szCs w:val="21"/>
          <w:highlight w:val="none"/>
        </w:rPr>
      </w:pPr>
      <w:r>
        <w:rPr>
          <w:rFonts w:hint="eastAsia" w:ascii="宋体"/>
          <w:b/>
          <w:color w:val="auto"/>
          <w:szCs w:val="21"/>
          <w:highlight w:val="none"/>
        </w:rPr>
        <w:t>注：</w:t>
      </w:r>
    </w:p>
    <w:p w14:paraId="14D814D6">
      <w:pPr>
        <w:autoSpaceDE w:val="0"/>
        <w:autoSpaceDN w:val="0"/>
        <w:adjustRightInd w:val="0"/>
        <w:spacing w:line="360" w:lineRule="auto"/>
        <w:ind w:firstLine="420" w:firstLineChars="200"/>
        <w:jc w:val="left"/>
        <w:rPr>
          <w:rFonts w:ascii="宋体" w:cs="宋体"/>
          <w:color w:val="auto"/>
          <w:kern w:val="0"/>
          <w:szCs w:val="21"/>
          <w:highlight w:val="none"/>
        </w:rPr>
      </w:pPr>
      <w:r>
        <w:rPr>
          <w:rFonts w:ascii="宋体" w:cs="宋体"/>
          <w:color w:val="auto"/>
          <w:kern w:val="0"/>
          <w:szCs w:val="21"/>
          <w:highlight w:val="none"/>
        </w:rPr>
        <w:t>1</w:t>
      </w:r>
      <w:r>
        <w:rPr>
          <w:rFonts w:hint="eastAsia" w:ascii="宋体" w:cs="宋体"/>
          <w:color w:val="auto"/>
          <w:kern w:val="0"/>
          <w:szCs w:val="21"/>
          <w:highlight w:val="none"/>
        </w:rPr>
        <w:t>、供应商对采购文件中第五部分《合同书格式》如有异义，需按上表要求逐条列出，并详细列明是如何响应的</w:t>
      </w:r>
      <w:r>
        <w:rPr>
          <w:rFonts w:ascii="宋体" w:cs="宋体"/>
          <w:color w:val="auto"/>
          <w:kern w:val="0"/>
          <w:szCs w:val="21"/>
          <w:highlight w:val="none"/>
        </w:rPr>
        <w:t>，</w:t>
      </w:r>
      <w:r>
        <w:rPr>
          <w:rFonts w:hint="eastAsia" w:ascii="宋体" w:cs="宋体"/>
          <w:color w:val="auto"/>
          <w:kern w:val="0"/>
          <w:szCs w:val="21"/>
          <w:highlight w:val="none"/>
        </w:rPr>
        <w:t>否则将被视为完全接受。合同条款中的附件作为格式响应，合同条款中附件的具体内容商务谈判时再详细洽谈</w:t>
      </w:r>
      <w:r>
        <w:rPr>
          <w:rFonts w:hint="eastAsia" w:ascii="宋体" w:cs="宋体"/>
          <w:color w:val="auto"/>
          <w:kern w:val="0"/>
          <w:szCs w:val="21"/>
          <w:highlight w:val="none"/>
          <w:lang w:val="zh-CN"/>
        </w:rPr>
        <w:t>；</w:t>
      </w:r>
    </w:p>
    <w:p w14:paraId="1C8E627A">
      <w:pPr>
        <w:widowControl/>
        <w:spacing w:line="360" w:lineRule="auto"/>
        <w:ind w:firstLine="420" w:firstLineChars="200"/>
        <w:rPr>
          <w:rFonts w:ascii="宋体" w:cs="宋体"/>
          <w:color w:val="auto"/>
          <w:kern w:val="0"/>
          <w:szCs w:val="21"/>
          <w:highlight w:val="none"/>
          <w:lang w:val="zh-CN"/>
        </w:rPr>
      </w:pPr>
      <w:r>
        <w:rPr>
          <w:rFonts w:ascii="宋体" w:cs="宋体"/>
          <w:color w:val="auto"/>
          <w:kern w:val="0"/>
          <w:szCs w:val="21"/>
          <w:highlight w:val="none"/>
          <w:lang w:val="zh-CN"/>
        </w:rPr>
        <w:t>2</w:t>
      </w:r>
      <w:r>
        <w:rPr>
          <w:rFonts w:hint="eastAsia" w:ascii="宋体" w:cs="宋体"/>
          <w:color w:val="auto"/>
          <w:kern w:val="0"/>
          <w:szCs w:val="21"/>
          <w:highlight w:val="none"/>
          <w:lang w:val="zh-CN"/>
        </w:rPr>
        <w:t>、如有偏离，</w:t>
      </w:r>
      <w:r>
        <w:rPr>
          <w:rFonts w:hint="eastAsia" w:ascii="宋体" w:cs="宋体"/>
          <w:color w:val="auto"/>
          <w:kern w:val="0"/>
          <w:szCs w:val="21"/>
          <w:highlight w:val="none"/>
          <w:u w:val="single"/>
          <w:lang w:val="zh-CN"/>
        </w:rPr>
        <w:t>不论高于或低于</w:t>
      </w:r>
      <w:r>
        <w:rPr>
          <w:rFonts w:hint="eastAsia" w:ascii="宋体" w:cs="宋体"/>
          <w:color w:val="auto"/>
          <w:kern w:val="0"/>
          <w:szCs w:val="21"/>
          <w:highlight w:val="none"/>
          <w:u w:val="single"/>
        </w:rPr>
        <w:t xml:space="preserve"> </w:t>
      </w:r>
      <w:r>
        <w:rPr>
          <w:rFonts w:hint="eastAsia" w:ascii="宋体" w:cs="宋体"/>
          <w:color w:val="auto"/>
          <w:kern w:val="0"/>
          <w:szCs w:val="21"/>
          <w:highlight w:val="none"/>
          <w:lang w:val="zh-CN"/>
        </w:rPr>
        <w:t>采购文件要求，均应在“偏离情况”栏内予以说明；</w:t>
      </w:r>
    </w:p>
    <w:p w14:paraId="6AA535C5">
      <w:pPr>
        <w:widowControl/>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lang w:val="zh-CN"/>
        </w:rPr>
        <w:t>3、如无偏离，上述表格可以留空白</w:t>
      </w:r>
      <w:r>
        <w:rPr>
          <w:rFonts w:hint="eastAsia" w:ascii="宋体" w:cs="宋体"/>
          <w:color w:val="auto"/>
          <w:kern w:val="0"/>
          <w:szCs w:val="21"/>
          <w:highlight w:val="none"/>
        </w:rPr>
        <w:t>，表示供应商完全接受采购文件的所有要求；</w:t>
      </w:r>
    </w:p>
    <w:p w14:paraId="5F38DDB1">
      <w:pPr>
        <w:widowControl/>
        <w:spacing w:line="360" w:lineRule="auto"/>
        <w:ind w:firstLine="420" w:firstLineChars="200"/>
        <w:rPr>
          <w:rFonts w:ascii="宋体"/>
          <w:color w:val="auto"/>
          <w:szCs w:val="21"/>
          <w:highlight w:val="none"/>
        </w:rPr>
      </w:pPr>
      <w:r>
        <w:rPr>
          <w:rFonts w:hint="eastAsia" w:ascii="宋体" w:cs="宋体"/>
          <w:color w:val="auto"/>
          <w:kern w:val="0"/>
          <w:szCs w:val="21"/>
          <w:highlight w:val="none"/>
        </w:rPr>
        <w:t>4、合同条款中的附件作为格式响应，合同条款中附件的具体内容商务谈判时再详细洽谈</w:t>
      </w:r>
      <w:r>
        <w:rPr>
          <w:rFonts w:hint="eastAsia" w:ascii="宋体"/>
          <w:color w:val="auto"/>
          <w:szCs w:val="21"/>
          <w:highlight w:val="none"/>
        </w:rPr>
        <w:t>。</w:t>
      </w:r>
    </w:p>
    <w:p w14:paraId="3DEBEA6C">
      <w:pPr>
        <w:rPr>
          <w:color w:val="auto"/>
          <w:highlight w:val="none"/>
        </w:rPr>
      </w:pPr>
    </w:p>
    <w:p w14:paraId="6A1CB1D7">
      <w:pPr>
        <w:pStyle w:val="64"/>
        <w:ind w:firstLine="422"/>
        <w:rPr>
          <w:color w:val="auto"/>
          <w:highlight w:val="none"/>
        </w:rPr>
      </w:pPr>
    </w:p>
    <w:p w14:paraId="25958CC7">
      <w:pPr>
        <w:pStyle w:val="64"/>
        <w:ind w:firstLine="422"/>
        <w:rPr>
          <w:color w:val="auto"/>
          <w:highlight w:val="none"/>
        </w:rPr>
      </w:pPr>
    </w:p>
    <w:p w14:paraId="049EA122">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476B63B0">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2D90E2C3">
      <w:pPr>
        <w:spacing w:line="360" w:lineRule="auto"/>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7C4A37C2">
      <w:pPr>
        <w:spacing w:line="360" w:lineRule="auto"/>
        <w:rPr>
          <w:rFonts w:ascii="宋体" w:hAnsi="宋体"/>
          <w:color w:val="auto"/>
          <w:highlight w:val="none"/>
        </w:rPr>
      </w:pPr>
    </w:p>
    <w:p w14:paraId="4BC29CD6">
      <w:pPr>
        <w:spacing w:line="360" w:lineRule="auto"/>
        <w:rPr>
          <w:rFonts w:ascii="宋体" w:hAnsi="宋体"/>
          <w:color w:val="auto"/>
          <w:highlight w:val="none"/>
        </w:rPr>
      </w:pPr>
    </w:p>
    <w:p w14:paraId="61E5554F">
      <w:pPr>
        <w:spacing w:line="360" w:lineRule="auto"/>
        <w:rPr>
          <w:rFonts w:ascii="宋体" w:hAnsi="宋体"/>
          <w:color w:val="auto"/>
          <w:highlight w:val="none"/>
        </w:rPr>
      </w:pPr>
    </w:p>
    <w:p w14:paraId="06BA7803">
      <w:pPr>
        <w:spacing w:line="360" w:lineRule="auto"/>
        <w:rPr>
          <w:rFonts w:ascii="宋体" w:hAnsi="宋体"/>
          <w:color w:val="auto"/>
          <w:highlight w:val="none"/>
        </w:rPr>
      </w:pPr>
    </w:p>
    <w:p w14:paraId="52146780">
      <w:pPr>
        <w:spacing w:line="360" w:lineRule="auto"/>
        <w:rPr>
          <w:rFonts w:ascii="宋体" w:hAnsi="宋体"/>
          <w:color w:val="auto"/>
          <w:highlight w:val="none"/>
        </w:rPr>
      </w:pPr>
    </w:p>
    <w:p w14:paraId="74616D33">
      <w:pPr>
        <w:spacing w:line="360" w:lineRule="auto"/>
        <w:rPr>
          <w:rFonts w:ascii="宋体" w:hAnsi="宋体"/>
          <w:color w:val="auto"/>
          <w:highlight w:val="none"/>
        </w:rPr>
      </w:pPr>
    </w:p>
    <w:p w14:paraId="28117C0E">
      <w:pPr>
        <w:pStyle w:val="4"/>
        <w:spacing w:line="360" w:lineRule="auto"/>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2.6其他商务资料</w:t>
      </w:r>
    </w:p>
    <w:p w14:paraId="08BEB4D8">
      <w:pPr>
        <w:spacing w:line="360" w:lineRule="auto"/>
        <w:ind w:firstLine="480"/>
        <w:rPr>
          <w:rFonts w:ascii="宋体" w:hAnsi="宋体"/>
          <w:b/>
          <w:bCs/>
          <w:color w:val="auto"/>
          <w:sz w:val="24"/>
          <w:highlight w:val="none"/>
        </w:rPr>
      </w:pPr>
    </w:p>
    <w:p w14:paraId="3BC24F3A">
      <w:pPr>
        <w:jc w:val="center"/>
        <w:rPr>
          <w:color w:val="auto"/>
          <w:highlight w:val="none"/>
        </w:rPr>
      </w:pPr>
    </w:p>
    <w:p w14:paraId="17EABD79">
      <w:pPr>
        <w:spacing w:line="360" w:lineRule="auto"/>
        <w:ind w:firstLine="482"/>
        <w:jc w:val="center"/>
        <w:rPr>
          <w:rFonts w:ascii="宋体" w:hAnsi="宋体"/>
          <w:color w:val="auto"/>
          <w:sz w:val="24"/>
          <w:highlight w:val="none"/>
        </w:rPr>
      </w:pPr>
      <w:r>
        <w:rPr>
          <w:rFonts w:hint="eastAsia" w:ascii="宋体" w:hAnsi="宋体" w:cs="宋体"/>
          <w:b/>
          <w:bCs/>
          <w:color w:val="auto"/>
          <w:sz w:val="24"/>
          <w:highlight w:val="none"/>
        </w:rPr>
        <w:t>供应商根据自身情况可提供其他认为完成本项目所需的商务资料</w:t>
      </w:r>
    </w:p>
    <w:p w14:paraId="62ED2176">
      <w:pPr>
        <w:spacing w:line="480" w:lineRule="auto"/>
        <w:rPr>
          <w:rFonts w:ascii="宋体"/>
          <w:color w:val="auto"/>
          <w:szCs w:val="21"/>
          <w:highlight w:val="none"/>
        </w:rPr>
      </w:pPr>
    </w:p>
    <w:p w14:paraId="46484D18">
      <w:pPr>
        <w:spacing w:line="480" w:lineRule="auto"/>
        <w:ind w:firstLine="420" w:firstLineChars="200"/>
        <w:rPr>
          <w:rFonts w:ascii="宋体"/>
          <w:color w:val="auto"/>
          <w:szCs w:val="21"/>
          <w:highlight w:val="none"/>
        </w:rPr>
      </w:pPr>
      <w:r>
        <w:rPr>
          <w:rFonts w:hint="eastAsia" w:ascii="宋体"/>
          <w:color w:val="auto"/>
          <w:szCs w:val="21"/>
          <w:highlight w:val="none"/>
        </w:rPr>
        <w:t>应包含但不限于下列几项内容，主要根据商务评分细则的要求</w:t>
      </w:r>
      <w:r>
        <w:rPr>
          <w:rFonts w:hint="eastAsia" w:ascii="宋体" w:hAnsi="宋体"/>
          <w:color w:val="auto"/>
          <w:highlight w:val="none"/>
        </w:rPr>
        <w:t>提供相关证明材料</w:t>
      </w:r>
      <w:r>
        <w:rPr>
          <w:rFonts w:hint="eastAsia" w:ascii="宋体"/>
          <w:color w:val="auto"/>
          <w:szCs w:val="21"/>
          <w:highlight w:val="none"/>
        </w:rPr>
        <w:t>（格式自拟）：</w:t>
      </w:r>
    </w:p>
    <w:p w14:paraId="00DAB652">
      <w:pPr>
        <w:spacing w:line="480" w:lineRule="auto"/>
        <w:ind w:firstLine="420" w:firstLineChars="200"/>
        <w:rPr>
          <w:color w:val="auto"/>
          <w:highlight w:val="none"/>
        </w:rPr>
      </w:pPr>
      <w:r>
        <w:rPr>
          <w:rFonts w:hint="eastAsia" w:ascii="宋体"/>
          <w:color w:val="auto"/>
          <w:szCs w:val="21"/>
          <w:highlight w:val="none"/>
        </w:rPr>
        <w:t>1、售后服务方案；</w:t>
      </w:r>
    </w:p>
    <w:p w14:paraId="670FE59C">
      <w:pPr>
        <w:spacing w:line="480" w:lineRule="auto"/>
        <w:ind w:firstLine="420" w:firstLineChars="200"/>
        <w:rPr>
          <w:rFonts w:ascii="宋体" w:hAnsi="宋体"/>
          <w:color w:val="auto"/>
          <w:sz w:val="28"/>
          <w:szCs w:val="28"/>
          <w:highlight w:val="none"/>
        </w:rPr>
      </w:pPr>
      <w:r>
        <w:rPr>
          <w:rFonts w:hint="eastAsia" w:ascii="宋体"/>
          <w:color w:val="auto"/>
          <w:szCs w:val="21"/>
          <w:highlight w:val="none"/>
        </w:rPr>
        <w:t>2、供应商认为有必要提供的其它商务材料</w:t>
      </w:r>
      <w:bookmarkEnd w:id="470"/>
      <w:bookmarkEnd w:id="471"/>
      <w:bookmarkEnd w:id="472"/>
      <w:bookmarkEnd w:id="473"/>
      <w:bookmarkEnd w:id="474"/>
      <w:bookmarkEnd w:id="475"/>
      <w:bookmarkEnd w:id="476"/>
      <w:bookmarkEnd w:id="477"/>
      <w:bookmarkEnd w:id="478"/>
      <w:bookmarkEnd w:id="479"/>
      <w:bookmarkStart w:id="484" w:name="_Toc14121"/>
      <w:bookmarkStart w:id="485" w:name="_Toc5055"/>
      <w:bookmarkStart w:id="486" w:name="_Toc5663"/>
      <w:bookmarkStart w:id="487" w:name="_Toc19026"/>
      <w:bookmarkStart w:id="488" w:name="_Toc19541"/>
      <w:bookmarkStart w:id="489" w:name="_Toc3356"/>
      <w:bookmarkStart w:id="490" w:name="_Toc8123"/>
      <w:r>
        <w:rPr>
          <w:rFonts w:hint="eastAsia" w:ascii="宋体"/>
          <w:color w:val="auto"/>
          <w:szCs w:val="21"/>
          <w:highlight w:val="none"/>
        </w:rPr>
        <w:t>。</w:t>
      </w:r>
      <w:r>
        <w:rPr>
          <w:rFonts w:hint="eastAsia" w:ascii="宋体" w:hAnsi="宋体"/>
          <w:color w:val="auto"/>
          <w:sz w:val="28"/>
          <w:szCs w:val="28"/>
          <w:highlight w:val="none"/>
        </w:rPr>
        <w:br w:type="page"/>
      </w:r>
    </w:p>
    <w:p w14:paraId="10AC2001">
      <w:pPr>
        <w:pStyle w:val="5"/>
        <w:spacing w:line="360" w:lineRule="auto"/>
        <w:ind w:firstLine="560"/>
        <w:rPr>
          <w:rFonts w:ascii="宋体" w:hAnsi="宋体" w:eastAsia="宋体"/>
          <w:bCs w:val="0"/>
          <w:color w:val="auto"/>
          <w:sz w:val="28"/>
          <w:szCs w:val="28"/>
          <w:highlight w:val="none"/>
        </w:rPr>
      </w:pPr>
      <w:bookmarkStart w:id="491" w:name="_Toc10274"/>
      <w:r>
        <w:rPr>
          <w:rFonts w:hint="eastAsia" w:ascii="宋体" w:hAnsi="宋体" w:eastAsia="宋体"/>
          <w:bCs w:val="0"/>
          <w:color w:val="auto"/>
          <w:sz w:val="28"/>
          <w:szCs w:val="28"/>
          <w:highlight w:val="none"/>
        </w:rPr>
        <w:t>三、技术文件</w:t>
      </w:r>
      <w:bookmarkEnd w:id="484"/>
      <w:bookmarkEnd w:id="485"/>
      <w:bookmarkEnd w:id="486"/>
      <w:bookmarkEnd w:id="487"/>
      <w:bookmarkEnd w:id="488"/>
      <w:bookmarkEnd w:id="489"/>
      <w:bookmarkEnd w:id="490"/>
      <w:bookmarkEnd w:id="491"/>
    </w:p>
    <w:p w14:paraId="212D7B1E">
      <w:pPr>
        <w:snapToGrid w:val="0"/>
        <w:spacing w:line="520" w:lineRule="atLeast"/>
        <w:ind w:firstLine="482"/>
        <w:jc w:val="left"/>
        <w:rPr>
          <w:rFonts w:ascii="宋体" w:hAnsi="宋体" w:cs="宋体"/>
          <w:b/>
          <w:bCs/>
          <w:color w:val="auto"/>
          <w:sz w:val="24"/>
          <w:highlight w:val="none"/>
        </w:rPr>
      </w:pPr>
      <w:r>
        <w:rPr>
          <w:rFonts w:ascii="宋体" w:hAnsi="宋体" w:cs="宋体"/>
          <w:b/>
          <w:bCs/>
          <w:color w:val="auto"/>
          <w:sz w:val="24"/>
          <w:highlight w:val="none"/>
        </w:rPr>
        <w:t>3.1</w:t>
      </w:r>
      <w:r>
        <w:rPr>
          <w:rFonts w:hint="eastAsia" w:ascii="宋体" w:hAnsi="宋体" w:cs="宋体"/>
          <w:b/>
          <w:bCs/>
          <w:color w:val="auto"/>
          <w:sz w:val="24"/>
          <w:highlight w:val="none"/>
        </w:rPr>
        <w:t>技术实施方案</w:t>
      </w:r>
    </w:p>
    <w:p w14:paraId="636EB545">
      <w:pPr>
        <w:spacing w:line="360" w:lineRule="auto"/>
        <w:ind w:firstLine="840" w:firstLineChars="400"/>
        <w:rPr>
          <w:rFonts w:ascii="宋体" w:hAnsi="宋体" w:cs="宋体"/>
          <w:color w:val="auto"/>
          <w:szCs w:val="21"/>
          <w:highlight w:val="none"/>
          <w:lang w:val="en-GB"/>
        </w:rPr>
      </w:pPr>
    </w:p>
    <w:p w14:paraId="0EF2902D">
      <w:pPr>
        <w:spacing w:line="480" w:lineRule="auto"/>
        <w:ind w:firstLine="420" w:firstLineChars="200"/>
        <w:rPr>
          <w:rFonts w:ascii="宋体"/>
          <w:color w:val="auto"/>
          <w:szCs w:val="21"/>
          <w:highlight w:val="none"/>
        </w:rPr>
      </w:pPr>
      <w:r>
        <w:rPr>
          <w:rFonts w:hint="eastAsia" w:ascii="宋体"/>
          <w:color w:val="auto"/>
          <w:szCs w:val="21"/>
          <w:highlight w:val="none"/>
        </w:rPr>
        <w:t>方案应包含但不限于下列几项内容，主要根据技术评分细则的要求提供相关证明材料（格式自拟）：</w:t>
      </w:r>
    </w:p>
    <w:p w14:paraId="33BE43F0">
      <w:pPr>
        <w:spacing w:line="480" w:lineRule="auto"/>
        <w:ind w:firstLine="420" w:firstLineChars="200"/>
        <w:rPr>
          <w:rFonts w:ascii="宋体"/>
          <w:color w:val="auto"/>
          <w:szCs w:val="21"/>
          <w:highlight w:val="none"/>
        </w:rPr>
      </w:pPr>
      <w:r>
        <w:rPr>
          <w:rFonts w:hint="eastAsia" w:ascii="宋体"/>
          <w:color w:val="auto"/>
          <w:szCs w:val="21"/>
          <w:highlight w:val="none"/>
        </w:rPr>
        <w:t>1、</w:t>
      </w:r>
      <w:r>
        <w:rPr>
          <w:rFonts w:hint="eastAsia" w:hAnsiTheme="minorEastAsia" w:cstheme="minorEastAsia"/>
          <w:color w:val="auto"/>
          <w:szCs w:val="21"/>
          <w:highlight w:val="none"/>
        </w:rPr>
        <w:t>项目</w:t>
      </w:r>
      <w:r>
        <w:rPr>
          <w:rFonts w:hAnsiTheme="minorEastAsia" w:cstheme="minorEastAsia"/>
          <w:color w:val="auto"/>
          <w:szCs w:val="21"/>
          <w:highlight w:val="none"/>
        </w:rPr>
        <w:t>实施方案</w:t>
      </w:r>
      <w:r>
        <w:rPr>
          <w:rFonts w:hint="eastAsia" w:ascii="宋体"/>
          <w:color w:val="auto"/>
          <w:szCs w:val="21"/>
          <w:highlight w:val="none"/>
        </w:rPr>
        <w:t>；</w:t>
      </w:r>
    </w:p>
    <w:p w14:paraId="0388A135">
      <w:pPr>
        <w:spacing w:line="480" w:lineRule="auto"/>
        <w:ind w:firstLine="420" w:firstLineChars="200"/>
        <w:rPr>
          <w:rFonts w:ascii="宋体"/>
          <w:color w:val="auto"/>
          <w:szCs w:val="21"/>
          <w:highlight w:val="none"/>
        </w:rPr>
      </w:pPr>
      <w:r>
        <w:rPr>
          <w:rFonts w:hint="eastAsia" w:ascii="宋体"/>
          <w:color w:val="auto"/>
          <w:szCs w:val="21"/>
          <w:highlight w:val="none"/>
        </w:rPr>
        <w:t>2、</w:t>
      </w:r>
      <w:r>
        <w:rPr>
          <w:rFonts w:hint="eastAsia" w:hAnsiTheme="minorEastAsia" w:cstheme="minorEastAsia"/>
          <w:color w:val="auto"/>
          <w:szCs w:val="21"/>
          <w:highlight w:val="none"/>
        </w:rPr>
        <w:t>产品性能情况</w:t>
      </w:r>
      <w:r>
        <w:rPr>
          <w:rFonts w:hint="eastAsia" w:ascii="宋体"/>
          <w:color w:val="auto"/>
          <w:szCs w:val="21"/>
          <w:highlight w:val="none"/>
        </w:rPr>
        <w:t>；</w:t>
      </w:r>
    </w:p>
    <w:p w14:paraId="35E41B47">
      <w:pPr>
        <w:spacing w:line="480" w:lineRule="auto"/>
        <w:ind w:firstLine="420" w:firstLineChars="200"/>
        <w:rPr>
          <w:rFonts w:ascii="宋体"/>
          <w:color w:val="auto"/>
          <w:szCs w:val="21"/>
          <w:highlight w:val="none"/>
        </w:rPr>
      </w:pPr>
      <w:r>
        <w:rPr>
          <w:rFonts w:hint="eastAsia" w:ascii="宋体"/>
          <w:color w:val="auto"/>
          <w:szCs w:val="21"/>
          <w:highlight w:val="none"/>
        </w:rPr>
        <w:t>3、</w:t>
      </w:r>
      <w:r>
        <w:rPr>
          <w:rFonts w:hint="eastAsia"/>
          <w:color w:val="auto"/>
          <w:szCs w:val="21"/>
          <w:highlight w:val="none"/>
        </w:rPr>
        <w:t>质量保证措施</w:t>
      </w:r>
      <w:r>
        <w:rPr>
          <w:rFonts w:hint="eastAsia" w:ascii="宋体"/>
          <w:color w:val="auto"/>
          <w:szCs w:val="21"/>
          <w:highlight w:val="none"/>
        </w:rPr>
        <w:t>；</w:t>
      </w:r>
    </w:p>
    <w:p w14:paraId="59AA3CAB">
      <w:pPr>
        <w:spacing w:line="480" w:lineRule="auto"/>
        <w:ind w:firstLine="420" w:firstLineChars="200"/>
        <w:rPr>
          <w:rFonts w:ascii="宋体"/>
          <w:color w:val="auto"/>
          <w:szCs w:val="21"/>
          <w:highlight w:val="none"/>
        </w:rPr>
      </w:pPr>
      <w:r>
        <w:rPr>
          <w:rFonts w:hint="eastAsia" w:ascii="宋体"/>
          <w:color w:val="auto"/>
          <w:szCs w:val="21"/>
          <w:highlight w:val="none"/>
        </w:rPr>
        <w:t>4、</w:t>
      </w:r>
      <w:r>
        <w:rPr>
          <w:rFonts w:hint="eastAsia" w:ascii="宋体" w:hAnsi="宋体" w:cs="宋体"/>
          <w:color w:val="auto"/>
          <w:szCs w:val="21"/>
          <w:highlight w:val="none"/>
        </w:rPr>
        <w:t>技术培训方案</w:t>
      </w:r>
      <w:r>
        <w:rPr>
          <w:rFonts w:hint="eastAsia" w:ascii="宋体"/>
          <w:color w:val="auto"/>
          <w:szCs w:val="21"/>
          <w:highlight w:val="none"/>
        </w:rPr>
        <w:t>；</w:t>
      </w:r>
    </w:p>
    <w:p w14:paraId="6206C3C6">
      <w:pPr>
        <w:spacing w:line="480" w:lineRule="auto"/>
        <w:ind w:firstLine="420" w:firstLineChars="200"/>
        <w:rPr>
          <w:rFonts w:ascii="宋体" w:hAnsi="宋体" w:cs="宋体"/>
          <w:b/>
          <w:bCs/>
          <w:color w:val="auto"/>
          <w:sz w:val="24"/>
          <w:highlight w:val="none"/>
        </w:rPr>
      </w:pPr>
      <w:r>
        <w:rPr>
          <w:rFonts w:hint="eastAsia" w:ascii="宋体"/>
          <w:color w:val="auto"/>
          <w:szCs w:val="21"/>
          <w:highlight w:val="none"/>
        </w:rPr>
        <w:t>5、供应商认为有必要提供的其它方案内容</w:t>
      </w:r>
      <w:r>
        <w:rPr>
          <w:rFonts w:hint="eastAsia" w:ascii="宋体" w:hAnsi="宋体"/>
          <w:color w:val="auto"/>
          <w:highlight w:val="none"/>
        </w:rPr>
        <w:t>。</w:t>
      </w:r>
    </w:p>
    <w:p w14:paraId="76F8E8A5">
      <w:pPr>
        <w:snapToGrid w:val="0"/>
        <w:spacing w:line="520" w:lineRule="atLeast"/>
        <w:ind w:firstLine="420"/>
        <w:jc w:val="left"/>
        <w:rPr>
          <w:rFonts w:ascii="宋体" w:hAnsi="宋体" w:cs="宋体"/>
          <w:b/>
          <w:bCs/>
          <w:color w:val="auto"/>
          <w:szCs w:val="21"/>
          <w:highlight w:val="none"/>
        </w:rPr>
      </w:pPr>
    </w:p>
    <w:p w14:paraId="2E855502">
      <w:pPr>
        <w:rPr>
          <w:color w:val="auto"/>
          <w:highlight w:val="none"/>
        </w:rPr>
      </w:pPr>
    </w:p>
    <w:p w14:paraId="63D1A3F2">
      <w:pPr>
        <w:rPr>
          <w:rFonts w:ascii="宋体" w:hAnsi="宋体"/>
          <w:color w:val="auto"/>
          <w:szCs w:val="21"/>
          <w:highlight w:val="none"/>
        </w:rPr>
      </w:pPr>
      <w:r>
        <w:rPr>
          <w:rFonts w:hint="eastAsia" w:ascii="宋体" w:hAnsi="宋体"/>
          <w:color w:val="auto"/>
          <w:szCs w:val="21"/>
          <w:highlight w:val="none"/>
        </w:rPr>
        <w:br w:type="page"/>
      </w:r>
    </w:p>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14:paraId="612C3F29">
      <w:pPr>
        <w:pStyle w:val="5"/>
        <w:spacing w:line="360" w:lineRule="auto"/>
        <w:ind w:firstLine="560"/>
        <w:rPr>
          <w:rFonts w:ascii="宋体" w:hAnsi="宋体" w:eastAsia="宋体"/>
          <w:bCs w:val="0"/>
          <w:color w:val="auto"/>
          <w:sz w:val="28"/>
          <w:szCs w:val="28"/>
          <w:highlight w:val="none"/>
        </w:rPr>
      </w:pPr>
      <w:bookmarkStart w:id="492" w:name="_Toc202819882"/>
      <w:bookmarkStart w:id="493" w:name="_Toc202254108"/>
      <w:bookmarkStart w:id="494" w:name="_Toc6322316"/>
      <w:bookmarkStart w:id="495" w:name="_Toc202820355"/>
      <w:bookmarkStart w:id="496" w:name="_Toc20812"/>
      <w:bookmarkStart w:id="497" w:name="_Toc14596"/>
      <w:bookmarkStart w:id="498" w:name="_Toc27803"/>
      <w:bookmarkStart w:id="499" w:name="_Toc14743"/>
      <w:bookmarkStart w:id="500" w:name="_Toc259090996"/>
      <w:bookmarkStart w:id="501" w:name="_Toc246"/>
      <w:bookmarkStart w:id="502" w:name="_Toc5396"/>
      <w:bookmarkStart w:id="503" w:name="_Toc5119"/>
      <w:bookmarkStart w:id="504" w:name="_Toc202251703"/>
      <w:bookmarkStart w:id="505" w:name="_Toc276645592"/>
      <w:bookmarkStart w:id="506" w:name="_Toc202817000"/>
      <w:bookmarkStart w:id="507" w:name="_Toc462677249"/>
      <w:bookmarkStart w:id="508" w:name="_Toc202252037"/>
      <w:bookmarkStart w:id="509" w:name="_Toc202251078"/>
      <w:bookmarkStart w:id="510" w:name="_Toc68789543"/>
      <w:bookmarkStart w:id="511" w:name="_Toc67046916"/>
      <w:bookmarkStart w:id="512" w:name="_Toc21495"/>
      <w:bookmarkStart w:id="513" w:name="_Toc70528471"/>
      <w:r>
        <w:rPr>
          <w:rFonts w:hint="eastAsia" w:ascii="宋体" w:hAnsi="宋体" w:eastAsia="宋体"/>
          <w:bCs w:val="0"/>
          <w:color w:val="auto"/>
          <w:sz w:val="28"/>
          <w:szCs w:val="28"/>
          <w:highlight w:val="none"/>
        </w:rPr>
        <w:t>四、报价文件</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6F0CAEE8">
      <w:pPr>
        <w:pStyle w:val="4"/>
        <w:spacing w:line="360" w:lineRule="auto"/>
        <w:ind w:firstLine="480"/>
        <w:rPr>
          <w:rFonts w:ascii="宋体" w:hAnsi="宋体" w:eastAsia="宋体"/>
          <w:color w:val="auto"/>
          <w:sz w:val="24"/>
          <w:szCs w:val="24"/>
          <w:highlight w:val="none"/>
        </w:rPr>
      </w:pPr>
      <w:bookmarkStart w:id="514" w:name="_Toc6322317"/>
      <w:bookmarkStart w:id="515" w:name="_Toc28858627"/>
      <w:bookmarkStart w:id="516" w:name="_Toc67046917"/>
      <w:bookmarkStart w:id="517" w:name="_Toc425161128"/>
      <w:bookmarkStart w:id="518" w:name="_Toc462677251"/>
      <w:bookmarkStart w:id="519" w:name="_Toc259090997"/>
      <w:bookmarkStart w:id="520" w:name="_Toc462677250"/>
      <w:r>
        <w:rPr>
          <w:rFonts w:ascii="宋体" w:hAnsi="宋体" w:eastAsia="宋体"/>
          <w:color w:val="auto"/>
          <w:sz w:val="24"/>
          <w:szCs w:val="24"/>
          <w:highlight w:val="none"/>
        </w:rPr>
        <w:t>4</w:t>
      </w:r>
      <w:r>
        <w:rPr>
          <w:rFonts w:hint="eastAsia" w:ascii="宋体" w:hAnsi="宋体" w:eastAsia="宋体"/>
          <w:color w:val="auto"/>
          <w:sz w:val="24"/>
          <w:szCs w:val="24"/>
          <w:highlight w:val="none"/>
        </w:rPr>
        <w:t>.1</w:t>
      </w:r>
      <w:bookmarkEnd w:id="514"/>
      <w:bookmarkEnd w:id="515"/>
      <w:bookmarkEnd w:id="516"/>
      <w:r>
        <w:rPr>
          <w:rFonts w:hint="eastAsia" w:ascii="宋体" w:hAnsi="宋体" w:eastAsia="宋体"/>
          <w:color w:val="auto"/>
          <w:sz w:val="24"/>
          <w:szCs w:val="24"/>
          <w:highlight w:val="none"/>
        </w:rPr>
        <w:t>首轮报价表</w:t>
      </w:r>
    </w:p>
    <w:p w14:paraId="33FA19D1">
      <w:pPr>
        <w:spacing w:line="360" w:lineRule="exact"/>
        <w:ind w:firstLine="562"/>
        <w:jc w:val="center"/>
        <w:rPr>
          <w:rFonts w:ascii="宋体" w:hAnsi="宋体"/>
          <w:b/>
          <w:color w:val="auto"/>
          <w:sz w:val="28"/>
          <w:szCs w:val="28"/>
          <w:highlight w:val="none"/>
        </w:rPr>
      </w:pPr>
      <w:r>
        <w:rPr>
          <w:rFonts w:hint="eastAsia" w:ascii="宋体" w:hAnsi="宋体"/>
          <w:b/>
          <w:color w:val="auto"/>
          <w:sz w:val="28"/>
          <w:szCs w:val="28"/>
          <w:highlight w:val="none"/>
        </w:rPr>
        <w:t>首轮报价表</w:t>
      </w:r>
    </w:p>
    <w:p w14:paraId="3CCDA1CC">
      <w:pPr>
        <w:spacing w:line="360" w:lineRule="exact"/>
        <w:ind w:firstLine="560"/>
        <w:jc w:val="center"/>
        <w:rPr>
          <w:rFonts w:ascii="宋体" w:hAnsi="宋体"/>
          <w:b/>
          <w:color w:val="auto"/>
          <w:sz w:val="28"/>
          <w:szCs w:val="28"/>
          <w:highlight w:val="none"/>
        </w:rPr>
      </w:pPr>
    </w:p>
    <w:tbl>
      <w:tblPr>
        <w:tblStyle w:val="49"/>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6710"/>
      </w:tblGrid>
      <w:tr w14:paraId="54E6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2124" w:type="dxa"/>
            <w:vAlign w:val="center"/>
          </w:tcPr>
          <w:p w14:paraId="47415901">
            <w:pPr>
              <w:pStyle w:val="64"/>
              <w:ind w:left="0" w:leftChars="0" w:firstLine="0" w:firstLineChars="0"/>
              <w:jc w:val="center"/>
              <w:rPr>
                <w:b/>
                <w:bCs/>
                <w:color w:val="auto"/>
                <w:highlight w:val="none"/>
              </w:rPr>
            </w:pPr>
            <w:r>
              <w:rPr>
                <w:rFonts w:hint="eastAsia"/>
                <w:b/>
                <w:bCs/>
                <w:color w:val="auto"/>
                <w:highlight w:val="none"/>
              </w:rPr>
              <w:t>项目名称</w:t>
            </w:r>
          </w:p>
        </w:tc>
        <w:tc>
          <w:tcPr>
            <w:tcW w:w="6710" w:type="dxa"/>
            <w:vAlign w:val="center"/>
          </w:tcPr>
          <w:p w14:paraId="18FE02A6">
            <w:pPr>
              <w:pStyle w:val="64"/>
              <w:ind w:firstLine="422"/>
              <w:jc w:val="center"/>
              <w:rPr>
                <w:color w:val="auto"/>
                <w:highlight w:val="none"/>
              </w:rPr>
            </w:pPr>
            <w:r>
              <w:rPr>
                <w:rFonts w:hint="eastAsia"/>
                <w:color w:val="auto"/>
                <w:highlight w:val="none"/>
              </w:rPr>
              <w:t>分析测试中心大型及贵重仪器共享平台建设-仪器租赁</w:t>
            </w:r>
          </w:p>
        </w:tc>
      </w:tr>
      <w:tr w14:paraId="7910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124" w:type="dxa"/>
            <w:vAlign w:val="center"/>
          </w:tcPr>
          <w:p w14:paraId="606FE174">
            <w:pPr>
              <w:pStyle w:val="64"/>
              <w:ind w:left="0" w:leftChars="0" w:firstLine="0" w:firstLineChars="0"/>
              <w:jc w:val="center"/>
              <w:rPr>
                <w:b/>
                <w:bCs/>
                <w:color w:val="auto"/>
                <w:highlight w:val="none"/>
              </w:rPr>
            </w:pPr>
            <w:r>
              <w:rPr>
                <w:rFonts w:hint="eastAsia"/>
                <w:b/>
                <w:bCs/>
                <w:color w:val="auto"/>
                <w:highlight w:val="none"/>
              </w:rPr>
              <w:t>项目编号</w:t>
            </w:r>
          </w:p>
        </w:tc>
        <w:tc>
          <w:tcPr>
            <w:tcW w:w="6710" w:type="dxa"/>
            <w:vAlign w:val="center"/>
          </w:tcPr>
          <w:p w14:paraId="75977022">
            <w:pPr>
              <w:pStyle w:val="64"/>
              <w:ind w:firstLine="422"/>
              <w:jc w:val="center"/>
              <w:rPr>
                <w:color w:val="auto"/>
                <w:highlight w:val="none"/>
              </w:rPr>
            </w:pPr>
            <w:r>
              <w:rPr>
                <w:rFonts w:hint="eastAsia"/>
                <w:color w:val="auto"/>
                <w:highlight w:val="none"/>
              </w:rPr>
              <w:t>07-14-04F-2024-D-E18641</w:t>
            </w:r>
          </w:p>
        </w:tc>
      </w:tr>
      <w:tr w14:paraId="653F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81" w:hRule="atLeast"/>
          <w:jc w:val="center"/>
        </w:trPr>
        <w:tc>
          <w:tcPr>
            <w:tcW w:w="2124" w:type="dxa"/>
            <w:vAlign w:val="center"/>
          </w:tcPr>
          <w:p w14:paraId="769B68E7">
            <w:pPr>
              <w:pStyle w:val="64"/>
              <w:ind w:left="0" w:leftChars="0" w:firstLine="0" w:firstLineChars="0"/>
              <w:jc w:val="center"/>
              <w:rPr>
                <w:color w:val="auto"/>
                <w:highlight w:val="none"/>
              </w:rPr>
            </w:pPr>
            <w:r>
              <w:rPr>
                <w:rFonts w:hint="eastAsia" w:ascii="宋体" w:hAnsi="宋体"/>
                <w:b/>
                <w:bCs/>
                <w:color w:val="auto"/>
                <w:szCs w:val="21"/>
                <w:highlight w:val="none"/>
              </w:rPr>
              <w:t>响应报价（含税）</w:t>
            </w:r>
          </w:p>
        </w:tc>
        <w:tc>
          <w:tcPr>
            <w:tcW w:w="6710" w:type="dxa"/>
            <w:vAlign w:val="center"/>
          </w:tcPr>
          <w:p w14:paraId="2392F46F">
            <w:pPr>
              <w:keepLines/>
              <w:widowControl/>
              <w:ind w:firstLine="1260" w:firstLineChars="600"/>
              <w:rPr>
                <w:rFonts w:ascii="宋体" w:hAnsi="宋体"/>
                <w:color w:val="auto"/>
                <w:kern w:val="28"/>
                <w:szCs w:val="21"/>
                <w:highlight w:val="none"/>
                <w:u w:val="single"/>
              </w:rPr>
            </w:pPr>
            <w:r>
              <w:rPr>
                <w:rFonts w:hint="eastAsia" w:ascii="宋体" w:hAnsi="宋体"/>
                <w:color w:val="auto"/>
                <w:kern w:val="28"/>
                <w:szCs w:val="21"/>
                <w:highlight w:val="none"/>
              </w:rPr>
              <w:t>小写：</w:t>
            </w:r>
            <w:r>
              <w:rPr>
                <w:rFonts w:hint="eastAsia" w:ascii="宋体" w:hAnsi="宋体"/>
                <w:color w:val="auto"/>
                <w:kern w:val="28"/>
                <w:szCs w:val="21"/>
                <w:highlight w:val="none"/>
                <w:u w:val="single"/>
              </w:rPr>
              <w:t xml:space="preserve">       </w:t>
            </w:r>
            <w:r>
              <w:rPr>
                <w:rFonts w:hint="eastAsia" w:ascii="宋体" w:hAnsi="宋体" w:cs="宋体"/>
                <w:color w:val="auto"/>
                <w:highlight w:val="none"/>
                <w:u w:val="single"/>
              </w:rPr>
              <w:t xml:space="preserve">                   元</w:t>
            </w:r>
          </w:p>
          <w:p w14:paraId="4B26E2F1">
            <w:pPr>
              <w:pStyle w:val="48"/>
              <w:jc w:val="center"/>
              <w:rPr>
                <w:color w:val="auto"/>
                <w:highlight w:val="none"/>
              </w:rPr>
            </w:pPr>
          </w:p>
          <w:p w14:paraId="6432DCE3">
            <w:pPr>
              <w:pStyle w:val="64"/>
              <w:ind w:firstLine="1260" w:firstLineChars="600"/>
              <w:rPr>
                <w:color w:val="auto"/>
                <w:highlight w:val="none"/>
              </w:rPr>
            </w:pPr>
            <w:r>
              <w:rPr>
                <w:rFonts w:hint="eastAsia" w:ascii="宋体" w:hAnsi="宋体"/>
                <w:color w:val="auto"/>
                <w:kern w:val="28"/>
                <w:szCs w:val="21"/>
                <w:highlight w:val="none"/>
              </w:rPr>
              <w:t>大写：</w:t>
            </w:r>
            <w:r>
              <w:rPr>
                <w:rFonts w:hint="eastAsia" w:ascii="宋体" w:hAnsi="宋体"/>
                <w:color w:val="auto"/>
                <w:kern w:val="28"/>
                <w:szCs w:val="21"/>
                <w:highlight w:val="none"/>
                <w:u w:val="single"/>
              </w:rPr>
              <w:t xml:space="preserve">人民币                      </w:t>
            </w:r>
          </w:p>
        </w:tc>
      </w:tr>
    </w:tbl>
    <w:p w14:paraId="63C9FC4B">
      <w:pPr>
        <w:pStyle w:val="64"/>
        <w:ind w:firstLine="422"/>
        <w:rPr>
          <w:color w:val="auto"/>
          <w:highlight w:val="none"/>
        </w:rPr>
      </w:pPr>
    </w:p>
    <w:p w14:paraId="1C89E334">
      <w:pPr>
        <w:spacing w:line="360" w:lineRule="auto"/>
        <w:rPr>
          <w:rFonts w:ascii="宋体" w:hAnsi="宋体"/>
          <w:color w:val="auto"/>
          <w:szCs w:val="21"/>
          <w:highlight w:val="none"/>
        </w:rPr>
      </w:pPr>
      <w:r>
        <w:rPr>
          <w:rFonts w:hint="eastAsia" w:ascii="宋体" w:hAnsi="宋体"/>
          <w:color w:val="auto"/>
          <w:szCs w:val="21"/>
          <w:highlight w:val="none"/>
        </w:rPr>
        <w:t>注：</w:t>
      </w:r>
    </w:p>
    <w:p w14:paraId="66EF0672">
      <w:pPr>
        <w:spacing w:line="360" w:lineRule="auto"/>
        <w:rPr>
          <w:rFonts w:ascii="宋体" w:hAnsi="宋体"/>
          <w:color w:val="auto"/>
          <w:szCs w:val="21"/>
          <w:highlight w:val="none"/>
        </w:rPr>
      </w:pPr>
      <w:bookmarkStart w:id="521" w:name="_Hlk67046034"/>
      <w:r>
        <w:rPr>
          <w:rFonts w:hint="eastAsia" w:ascii="宋体" w:hAnsi="宋体"/>
          <w:color w:val="auto"/>
          <w:szCs w:val="21"/>
          <w:highlight w:val="none"/>
        </w:rPr>
        <w:t>1．中文大写金额用汉字，如壹、贰、叁、肆、伍、陆、柒、捌、玖、拾、佰、仟、万、亿、元、角、分、零、整（正）等。</w:t>
      </w:r>
    </w:p>
    <w:p w14:paraId="59A6B1F5">
      <w:pPr>
        <w:spacing w:line="360" w:lineRule="auto"/>
        <w:rPr>
          <w:rFonts w:ascii="宋体" w:hAnsi="宋体"/>
          <w:color w:val="auto"/>
          <w:szCs w:val="21"/>
          <w:highlight w:val="none"/>
        </w:rPr>
      </w:pPr>
      <w:r>
        <w:rPr>
          <w:rFonts w:hint="eastAsia" w:ascii="宋体" w:hAnsi="宋体"/>
          <w:color w:val="auto"/>
          <w:szCs w:val="21"/>
          <w:highlight w:val="none"/>
        </w:rPr>
        <w:t>2．</w:t>
      </w:r>
      <w:r>
        <w:rPr>
          <w:rFonts w:hint="eastAsia" w:ascii="宋体" w:hAnsi="宋体" w:cs="宋体"/>
          <w:color w:val="auto"/>
          <w:szCs w:val="21"/>
          <w:highlight w:val="none"/>
        </w:rPr>
        <w:t>响应报价应以人民币报价，金额单位为元，小数点后保留两位有效数</w:t>
      </w:r>
      <w:r>
        <w:rPr>
          <w:rFonts w:hint="eastAsia" w:ascii="宋体" w:hAnsi="宋体"/>
          <w:color w:val="auto"/>
          <w:szCs w:val="21"/>
          <w:highlight w:val="none"/>
        </w:rPr>
        <w:t>。</w:t>
      </w:r>
    </w:p>
    <w:bookmarkEnd w:id="521"/>
    <w:p w14:paraId="7F2ACDB6">
      <w:pPr>
        <w:spacing w:line="360" w:lineRule="auto"/>
        <w:rPr>
          <w:rFonts w:ascii="宋体" w:hAnsi="宋体"/>
          <w:color w:val="auto"/>
          <w:szCs w:val="21"/>
          <w:highlight w:val="none"/>
        </w:rPr>
      </w:pPr>
      <w:r>
        <w:rPr>
          <w:rFonts w:hint="eastAsia" w:ascii="宋体" w:hAnsi="宋体"/>
          <w:color w:val="auto"/>
          <w:szCs w:val="21"/>
          <w:highlight w:val="none"/>
        </w:rPr>
        <w:t>3．报价中必须包含在合同实施过程中应预见和不可预见等所有招标范围内的费用，除采购文件另有规定外，响应文件内不得含有任何对本报价进行价格折扣的说明或资料，否则为无效投标。</w:t>
      </w:r>
    </w:p>
    <w:p w14:paraId="32FA2AEE">
      <w:pPr>
        <w:spacing w:line="360" w:lineRule="auto"/>
        <w:rPr>
          <w:rFonts w:ascii="宋体" w:hAnsi="宋体"/>
          <w:b/>
          <w:bCs/>
          <w:color w:val="auto"/>
          <w:szCs w:val="21"/>
          <w:highlight w:val="none"/>
        </w:rPr>
      </w:pPr>
      <w:r>
        <w:rPr>
          <w:rFonts w:hint="eastAsia" w:ascii="宋体" w:hAnsi="宋体" w:cs="宋体"/>
          <w:color w:val="auto"/>
          <w:szCs w:val="21"/>
          <w:highlight w:val="none"/>
        </w:rPr>
        <w:t>4.</w:t>
      </w:r>
      <w:r>
        <w:rPr>
          <w:rFonts w:hint="eastAsia" w:ascii="宋体" w:hAnsi="宋体"/>
          <w:b/>
          <w:bCs/>
          <w:color w:val="auto"/>
          <w:szCs w:val="21"/>
          <w:highlight w:val="none"/>
        </w:rPr>
        <w:t>本项目设置最高限价</w:t>
      </w:r>
      <w:r>
        <w:rPr>
          <w:rFonts w:hint="eastAsia" w:ascii="宋体" w:hAnsi="宋体"/>
          <w:b/>
          <w:bCs/>
          <w:color w:val="auto"/>
          <w:szCs w:val="21"/>
          <w:highlight w:val="none"/>
          <w:u w:val="single"/>
        </w:rPr>
        <w:t>748000.00元</w:t>
      </w:r>
      <w:r>
        <w:rPr>
          <w:rFonts w:hint="eastAsia" w:ascii="宋体" w:hAnsi="宋体"/>
          <w:b/>
          <w:bCs/>
          <w:color w:val="auto"/>
          <w:szCs w:val="21"/>
          <w:highlight w:val="none"/>
        </w:rPr>
        <w:t>，报价超过最高限价的，将作无效响应处理。</w:t>
      </w:r>
    </w:p>
    <w:p w14:paraId="3BF70723">
      <w:pPr>
        <w:rPr>
          <w:color w:val="auto"/>
          <w:highlight w:val="none"/>
        </w:rPr>
      </w:pPr>
    </w:p>
    <w:p w14:paraId="24F48A7E">
      <w:pPr>
        <w:rPr>
          <w:color w:val="auto"/>
          <w:highlight w:val="none"/>
        </w:rPr>
      </w:pPr>
    </w:p>
    <w:p w14:paraId="5184BD76">
      <w:pPr>
        <w:adjustRightInd w:val="0"/>
        <w:snapToGrid w:val="0"/>
        <w:spacing w:line="300" w:lineRule="auto"/>
        <w:rPr>
          <w:rFonts w:ascii="宋体" w:hAnsi="宋体"/>
          <w:color w:val="auto"/>
          <w:szCs w:val="21"/>
          <w:highlight w:val="none"/>
        </w:rPr>
      </w:pPr>
    </w:p>
    <w:p w14:paraId="78EE51BB">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71DCC0FD">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2715B1E1">
      <w:pPr>
        <w:spacing w:line="360" w:lineRule="auto"/>
        <w:rPr>
          <w:rFonts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bookmarkEnd w:id="375"/>
      <w:bookmarkEnd w:id="376"/>
      <w:bookmarkEnd w:id="394"/>
      <w:bookmarkEnd w:id="395"/>
      <w:bookmarkEnd w:id="396"/>
      <w:bookmarkEnd w:id="517"/>
      <w:bookmarkEnd w:id="518"/>
      <w:bookmarkEnd w:id="519"/>
      <w:bookmarkEnd w:id="520"/>
      <w:bookmarkStart w:id="522" w:name="_Toc67046919"/>
      <w:bookmarkStart w:id="523" w:name="_Toc68789544"/>
      <w:bookmarkStart w:id="524" w:name="_Toc70528472"/>
      <w:bookmarkStart w:id="525" w:name="_Toc36625609"/>
    </w:p>
    <w:p w14:paraId="6ED87E94">
      <w:pPr>
        <w:spacing w:line="360" w:lineRule="auto"/>
        <w:ind w:firstLine="482"/>
        <w:rPr>
          <w:rFonts w:ascii="宋体" w:hAnsi="宋体"/>
          <w:color w:val="auto"/>
          <w:sz w:val="24"/>
          <w:highlight w:val="none"/>
        </w:rPr>
      </w:pPr>
    </w:p>
    <w:p w14:paraId="30F5EE21">
      <w:pPr>
        <w:spacing w:line="360" w:lineRule="auto"/>
        <w:ind w:firstLine="482"/>
        <w:rPr>
          <w:rFonts w:ascii="宋体" w:hAnsi="宋体"/>
          <w:color w:val="auto"/>
          <w:sz w:val="24"/>
          <w:highlight w:val="none"/>
        </w:rPr>
      </w:pPr>
    </w:p>
    <w:p w14:paraId="2910DB5C">
      <w:pPr>
        <w:ind w:firstLine="482"/>
        <w:rPr>
          <w:rFonts w:ascii="宋体" w:hAnsi="宋体"/>
          <w:color w:val="auto"/>
          <w:sz w:val="24"/>
          <w:highlight w:val="none"/>
        </w:rPr>
      </w:pPr>
    </w:p>
    <w:p w14:paraId="38B4C6E3">
      <w:pPr>
        <w:ind w:firstLine="482"/>
        <w:rPr>
          <w:rFonts w:ascii="宋体" w:hAnsi="宋体"/>
          <w:color w:val="auto"/>
          <w:sz w:val="24"/>
          <w:highlight w:val="none"/>
        </w:rPr>
      </w:pPr>
    </w:p>
    <w:p w14:paraId="537AEB88">
      <w:pPr>
        <w:ind w:firstLine="482"/>
        <w:rPr>
          <w:rFonts w:ascii="宋体" w:hAnsi="宋体"/>
          <w:color w:val="auto"/>
          <w:sz w:val="24"/>
          <w:highlight w:val="none"/>
        </w:rPr>
      </w:pPr>
    </w:p>
    <w:p w14:paraId="0A80A037">
      <w:pPr>
        <w:ind w:firstLine="482"/>
        <w:rPr>
          <w:rFonts w:ascii="宋体" w:hAnsi="宋体"/>
          <w:color w:val="auto"/>
          <w:sz w:val="24"/>
          <w:highlight w:val="none"/>
        </w:rPr>
      </w:pPr>
    </w:p>
    <w:p w14:paraId="35C93B31">
      <w:pPr>
        <w:spacing w:line="360" w:lineRule="auto"/>
        <w:ind w:firstLine="482"/>
        <w:rPr>
          <w:rFonts w:ascii="宋体" w:hAnsi="宋体"/>
          <w:color w:val="auto"/>
          <w:sz w:val="24"/>
          <w:highlight w:val="none"/>
        </w:rPr>
      </w:pPr>
    </w:p>
    <w:p w14:paraId="56D6825E">
      <w:pPr>
        <w:pStyle w:val="4"/>
        <w:spacing w:line="360" w:lineRule="auto"/>
        <w:ind w:firstLine="480"/>
        <w:rPr>
          <w:rFonts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w:t>
      </w:r>
      <w:r>
        <w:rPr>
          <w:rFonts w:ascii="宋体" w:hAnsi="宋体" w:eastAsia="宋体"/>
          <w:color w:val="auto"/>
          <w:sz w:val="24"/>
          <w:szCs w:val="24"/>
          <w:highlight w:val="none"/>
        </w:rPr>
        <w:t>2</w:t>
      </w:r>
      <w:r>
        <w:rPr>
          <w:rFonts w:hint="eastAsia" w:ascii="宋体" w:hAnsi="宋体" w:eastAsia="宋体"/>
          <w:color w:val="auto"/>
          <w:sz w:val="24"/>
          <w:szCs w:val="24"/>
          <w:highlight w:val="none"/>
        </w:rPr>
        <w:t>分项报价表</w:t>
      </w:r>
    </w:p>
    <w:p w14:paraId="5FFF21F4">
      <w:pPr>
        <w:adjustRightInd w:val="0"/>
        <w:snapToGrid w:val="0"/>
        <w:spacing w:line="520" w:lineRule="atLeast"/>
        <w:ind w:left="-2" w:leftChars="-1" w:firstLine="562"/>
        <w:jc w:val="center"/>
        <w:rPr>
          <w:rFonts w:ascii="宋体" w:hAnsi="宋体" w:cs="宋体"/>
          <w:b/>
          <w:color w:val="auto"/>
          <w:sz w:val="28"/>
          <w:szCs w:val="32"/>
          <w:highlight w:val="none"/>
        </w:rPr>
      </w:pPr>
      <w:r>
        <w:rPr>
          <w:rFonts w:hint="eastAsia" w:ascii="宋体" w:hAnsi="宋体" w:cs="宋体"/>
          <w:b/>
          <w:color w:val="auto"/>
          <w:sz w:val="28"/>
          <w:szCs w:val="32"/>
          <w:highlight w:val="none"/>
        </w:rPr>
        <w:t>分项报价表</w:t>
      </w:r>
    </w:p>
    <w:p w14:paraId="49385E86">
      <w:pPr>
        <w:adjustRightInd w:val="0"/>
        <w:snapToGrid w:val="0"/>
        <w:spacing w:line="520" w:lineRule="atLeast"/>
        <w:ind w:left="-2" w:leftChars="-1"/>
        <w:rPr>
          <w:rFonts w:ascii="宋体" w:hAnsi="宋体" w:cs="宋体"/>
          <w:color w:val="auto"/>
          <w:szCs w:val="21"/>
          <w:highlight w:val="none"/>
          <w:u w:val="single"/>
        </w:rPr>
      </w:pPr>
      <w:r>
        <w:rPr>
          <w:rFonts w:hint="eastAsia" w:ascii="宋体" w:hAnsi="宋体" w:cs="宋体"/>
          <w:bCs/>
          <w:color w:val="auto"/>
          <w:szCs w:val="21"/>
          <w:highlight w:val="none"/>
        </w:rPr>
        <w:t>采购项目名称：</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rPr>
        <w:t xml:space="preserve">    </w:t>
      </w:r>
      <w:r>
        <w:rPr>
          <w:rFonts w:hint="eastAsia" w:ascii="宋体" w:hAnsi="宋体" w:cs="宋体"/>
          <w:color w:val="auto"/>
          <w:szCs w:val="21"/>
          <w:highlight w:val="none"/>
        </w:rPr>
        <w:t>采购项目编号：</w:t>
      </w:r>
      <w:r>
        <w:rPr>
          <w:rFonts w:hint="eastAsia" w:ascii="宋体" w:hAnsi="宋体" w:cs="宋体"/>
          <w:color w:val="auto"/>
          <w:szCs w:val="21"/>
          <w:highlight w:val="none"/>
          <w:u w:val="single"/>
        </w:rPr>
        <w:t xml:space="preserve">                </w:t>
      </w:r>
    </w:p>
    <w:tbl>
      <w:tblPr>
        <w:tblStyle w:val="49"/>
        <w:tblW w:w="525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23"/>
        <w:gridCol w:w="1131"/>
        <w:gridCol w:w="1200"/>
        <w:gridCol w:w="1185"/>
        <w:gridCol w:w="948"/>
        <w:gridCol w:w="1139"/>
        <w:gridCol w:w="1329"/>
        <w:gridCol w:w="1510"/>
      </w:tblGrid>
      <w:tr w14:paraId="75C0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91" w:type="pct"/>
            <w:vAlign w:val="center"/>
          </w:tcPr>
          <w:p w14:paraId="2F1FDEF1">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序号</w:t>
            </w:r>
          </w:p>
        </w:tc>
        <w:tc>
          <w:tcPr>
            <w:tcW w:w="631" w:type="pct"/>
            <w:vAlign w:val="center"/>
          </w:tcPr>
          <w:p w14:paraId="6746AAD6">
            <w:pPr>
              <w:jc w:val="center"/>
              <w:rPr>
                <w:rFonts w:ascii="宋体" w:hAnsi="宋体"/>
                <w:b/>
                <w:caps/>
                <w:color w:val="auto"/>
                <w:szCs w:val="21"/>
                <w:highlight w:val="none"/>
              </w:rPr>
            </w:pPr>
            <w:r>
              <w:rPr>
                <w:rFonts w:hint="eastAsia" w:ascii="宋体" w:hAnsi="宋体"/>
                <w:b/>
                <w:caps/>
                <w:color w:val="auto"/>
                <w:szCs w:val="21"/>
                <w:highlight w:val="none"/>
              </w:rPr>
              <w:t>货物名称</w:t>
            </w:r>
          </w:p>
        </w:tc>
        <w:tc>
          <w:tcPr>
            <w:tcW w:w="669" w:type="pct"/>
            <w:tcBorders>
              <w:right w:val="single" w:color="auto" w:sz="4" w:space="0"/>
            </w:tcBorders>
            <w:vAlign w:val="center"/>
          </w:tcPr>
          <w:p w14:paraId="56D1DBF0">
            <w:pPr>
              <w:widowControl/>
              <w:jc w:val="center"/>
              <w:textAlignment w:val="center"/>
              <w:rPr>
                <w:rFonts w:ascii="宋体" w:hAnsi="宋体"/>
                <w:b/>
                <w:caps/>
                <w:color w:val="auto"/>
                <w:szCs w:val="21"/>
                <w:highlight w:val="none"/>
              </w:rPr>
            </w:pPr>
            <w:r>
              <w:rPr>
                <w:rFonts w:hint="eastAsia" w:ascii="宋体" w:hAnsi="宋体"/>
                <w:b/>
                <w:bCs/>
                <w:color w:val="auto"/>
                <w:szCs w:val="21"/>
                <w:highlight w:val="none"/>
              </w:rPr>
              <w:t>主要配置、技术参数</w:t>
            </w:r>
          </w:p>
        </w:tc>
        <w:tc>
          <w:tcPr>
            <w:tcW w:w="660" w:type="pct"/>
            <w:tcBorders>
              <w:left w:val="single" w:color="auto" w:sz="4" w:space="0"/>
            </w:tcBorders>
            <w:vAlign w:val="center"/>
          </w:tcPr>
          <w:p w14:paraId="158698A4">
            <w:pPr>
              <w:widowControl/>
              <w:jc w:val="center"/>
              <w:textAlignment w:val="center"/>
              <w:rPr>
                <w:rFonts w:ascii="宋体" w:hAnsi="宋体"/>
                <w:b/>
                <w:caps/>
                <w:color w:val="auto"/>
                <w:szCs w:val="21"/>
                <w:highlight w:val="none"/>
              </w:rPr>
            </w:pPr>
            <w:r>
              <w:rPr>
                <w:rFonts w:hint="eastAsia" w:ascii="宋体" w:hAnsi="宋体" w:cs="宋体"/>
                <w:b/>
                <w:bCs/>
                <w:color w:val="auto"/>
                <w:kern w:val="0"/>
                <w:sz w:val="20"/>
                <w:szCs w:val="20"/>
                <w:highlight w:val="none"/>
                <w:lang w:bidi="ar"/>
              </w:rPr>
              <w:t>品牌/制造商</w:t>
            </w:r>
          </w:p>
        </w:tc>
        <w:tc>
          <w:tcPr>
            <w:tcW w:w="529" w:type="pct"/>
            <w:vAlign w:val="center"/>
          </w:tcPr>
          <w:p w14:paraId="50D7470F">
            <w:pPr>
              <w:spacing w:line="260" w:lineRule="exact"/>
              <w:jc w:val="center"/>
              <w:rPr>
                <w:rFonts w:ascii="宋体" w:hAnsi="宋体"/>
                <w:b/>
                <w:caps/>
                <w:color w:val="auto"/>
                <w:szCs w:val="21"/>
                <w:highlight w:val="none"/>
              </w:rPr>
            </w:pPr>
            <w:r>
              <w:rPr>
                <w:rFonts w:hint="eastAsia" w:ascii="宋体" w:hAnsi="宋体"/>
                <w:b/>
                <w:caps/>
                <w:color w:val="auto"/>
                <w:szCs w:val="21"/>
                <w:highlight w:val="none"/>
              </w:rPr>
              <w:t>租赁数量（年）</w:t>
            </w:r>
          </w:p>
        </w:tc>
        <w:tc>
          <w:tcPr>
            <w:tcW w:w="635" w:type="pct"/>
            <w:vAlign w:val="center"/>
          </w:tcPr>
          <w:p w14:paraId="6EE07611">
            <w:pPr>
              <w:spacing w:line="260" w:lineRule="exact"/>
              <w:jc w:val="center"/>
              <w:rPr>
                <w:rFonts w:ascii="宋体" w:hAnsi="宋体"/>
                <w:b/>
                <w:caps/>
                <w:color w:val="auto"/>
                <w:szCs w:val="21"/>
                <w:highlight w:val="none"/>
              </w:rPr>
            </w:pPr>
            <w:r>
              <w:rPr>
                <w:rFonts w:hint="eastAsia" w:ascii="宋体" w:hAnsi="宋体" w:cs="宋体"/>
                <w:b/>
                <w:bCs/>
                <w:color w:val="auto"/>
                <w:kern w:val="0"/>
                <w:sz w:val="20"/>
                <w:szCs w:val="20"/>
                <w:highlight w:val="none"/>
              </w:rPr>
              <w:t>最高限价</w:t>
            </w:r>
            <w:r>
              <w:rPr>
                <w:rFonts w:hint="eastAsia" w:ascii="宋体" w:hAnsi="宋体"/>
                <w:b/>
                <w:caps/>
                <w:color w:val="auto"/>
                <w:szCs w:val="21"/>
                <w:highlight w:val="none"/>
              </w:rPr>
              <w:t>租赁单价</w:t>
            </w:r>
            <w:r>
              <w:rPr>
                <w:rFonts w:ascii="宋体" w:hAnsi="宋体"/>
                <w:b/>
                <w:caps/>
                <w:color w:val="auto"/>
                <w:szCs w:val="21"/>
                <w:highlight w:val="none"/>
              </w:rPr>
              <w:t xml:space="preserve"> </w:t>
            </w:r>
            <w:r>
              <w:rPr>
                <w:rFonts w:hint="eastAsia" w:ascii="宋体" w:hAnsi="宋体"/>
                <w:b/>
                <w:caps/>
                <w:color w:val="auto"/>
                <w:szCs w:val="21"/>
                <w:highlight w:val="none"/>
              </w:rPr>
              <w:t>（元）</w:t>
            </w:r>
          </w:p>
        </w:tc>
        <w:tc>
          <w:tcPr>
            <w:tcW w:w="741" w:type="pct"/>
            <w:vAlign w:val="center"/>
          </w:tcPr>
          <w:p w14:paraId="57A9FC9B">
            <w:pPr>
              <w:spacing w:line="260" w:lineRule="exact"/>
              <w:jc w:val="center"/>
              <w:rPr>
                <w:rFonts w:ascii="宋体" w:hAnsi="宋体"/>
                <w:b/>
                <w:caps/>
                <w:color w:val="auto"/>
                <w:szCs w:val="21"/>
                <w:highlight w:val="none"/>
              </w:rPr>
            </w:pPr>
            <w:r>
              <w:rPr>
                <w:rFonts w:hint="eastAsia" w:ascii="宋体" w:hAnsi="宋体" w:cs="宋体"/>
                <w:b/>
                <w:bCs/>
                <w:color w:val="auto"/>
                <w:kern w:val="0"/>
                <w:sz w:val="20"/>
                <w:szCs w:val="20"/>
                <w:highlight w:val="none"/>
              </w:rPr>
              <w:t>投标</w:t>
            </w:r>
            <w:r>
              <w:rPr>
                <w:rFonts w:hint="eastAsia" w:ascii="宋体" w:hAnsi="宋体"/>
                <w:b/>
                <w:caps/>
                <w:color w:val="auto"/>
                <w:szCs w:val="21"/>
                <w:highlight w:val="none"/>
              </w:rPr>
              <w:t>租赁</w:t>
            </w:r>
            <w:r>
              <w:rPr>
                <w:rFonts w:hint="eastAsia" w:ascii="宋体" w:hAnsi="宋体" w:cs="宋体"/>
                <w:b/>
                <w:bCs/>
                <w:color w:val="auto"/>
                <w:kern w:val="0"/>
                <w:sz w:val="20"/>
                <w:szCs w:val="20"/>
                <w:highlight w:val="none"/>
              </w:rPr>
              <w:t>单价（元）</w:t>
            </w:r>
          </w:p>
        </w:tc>
        <w:tc>
          <w:tcPr>
            <w:tcW w:w="840" w:type="pct"/>
            <w:vAlign w:val="center"/>
          </w:tcPr>
          <w:p w14:paraId="5ED107ED">
            <w:pPr>
              <w:jc w:val="center"/>
              <w:rPr>
                <w:rFonts w:ascii="宋体" w:hAnsi="宋体"/>
                <w:b/>
                <w:caps/>
                <w:color w:val="auto"/>
                <w:szCs w:val="21"/>
                <w:highlight w:val="none"/>
              </w:rPr>
            </w:pPr>
            <w:r>
              <w:rPr>
                <w:rFonts w:hint="eastAsia" w:ascii="宋体" w:hAnsi="宋体"/>
                <w:b/>
                <w:caps/>
                <w:color w:val="auto"/>
                <w:szCs w:val="21"/>
                <w:highlight w:val="none"/>
              </w:rPr>
              <w:t>租赁时间</w:t>
            </w:r>
          </w:p>
        </w:tc>
      </w:tr>
      <w:tr w14:paraId="6DBDB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7" w:hRule="atLeast"/>
          <w:jc w:val="center"/>
        </w:trPr>
        <w:tc>
          <w:tcPr>
            <w:tcW w:w="291" w:type="pct"/>
            <w:vMerge w:val="restart"/>
            <w:vAlign w:val="center"/>
          </w:tcPr>
          <w:p w14:paraId="34C1E797">
            <w:pPr>
              <w:jc w:val="center"/>
              <w:rPr>
                <w:rFonts w:ascii="宋体" w:hAnsi="宋体"/>
                <w:color w:val="auto"/>
                <w:szCs w:val="21"/>
                <w:highlight w:val="none"/>
              </w:rPr>
            </w:pPr>
            <w:r>
              <w:rPr>
                <w:rFonts w:ascii="宋体" w:hAnsi="宋体"/>
                <w:color w:val="auto"/>
                <w:szCs w:val="21"/>
                <w:highlight w:val="none"/>
              </w:rPr>
              <w:t>1</w:t>
            </w:r>
          </w:p>
        </w:tc>
        <w:tc>
          <w:tcPr>
            <w:tcW w:w="631" w:type="pct"/>
            <w:vMerge w:val="restart"/>
            <w:vAlign w:val="center"/>
          </w:tcPr>
          <w:p w14:paraId="2D81CE55">
            <w:pPr>
              <w:widowControl/>
              <w:jc w:val="center"/>
              <w:rPr>
                <w:rFonts w:ascii="宋体" w:hAnsi="宋体"/>
                <w:color w:val="auto"/>
                <w:kern w:val="0"/>
                <w:szCs w:val="21"/>
                <w:highlight w:val="none"/>
              </w:rPr>
            </w:pPr>
            <w:r>
              <w:rPr>
                <w:rFonts w:hint="eastAsia" w:ascii="宋体" w:hAnsi="宋体"/>
                <w:bCs/>
                <w:color w:val="auto"/>
                <w:highlight w:val="none"/>
              </w:rPr>
              <w:t>流式细胞仪</w:t>
            </w:r>
          </w:p>
        </w:tc>
        <w:tc>
          <w:tcPr>
            <w:tcW w:w="669" w:type="pct"/>
            <w:vMerge w:val="restart"/>
            <w:tcBorders>
              <w:right w:val="single" w:color="auto" w:sz="4" w:space="0"/>
            </w:tcBorders>
          </w:tcPr>
          <w:p w14:paraId="30451C16">
            <w:pPr>
              <w:autoSpaceDE w:val="0"/>
              <w:autoSpaceDN w:val="0"/>
              <w:adjustRightInd w:val="0"/>
              <w:rPr>
                <w:rFonts w:ascii="宋体" w:hAnsi="宋体" w:cs="Arial"/>
                <w:color w:val="auto"/>
                <w:kern w:val="0"/>
                <w:highlight w:val="none"/>
              </w:rPr>
            </w:pPr>
          </w:p>
        </w:tc>
        <w:tc>
          <w:tcPr>
            <w:tcW w:w="660" w:type="pct"/>
            <w:vMerge w:val="restart"/>
            <w:tcBorders>
              <w:left w:val="single" w:color="auto" w:sz="4" w:space="0"/>
            </w:tcBorders>
          </w:tcPr>
          <w:p w14:paraId="640BD02F">
            <w:pPr>
              <w:autoSpaceDE w:val="0"/>
              <w:autoSpaceDN w:val="0"/>
              <w:adjustRightInd w:val="0"/>
              <w:rPr>
                <w:rFonts w:ascii="宋体" w:hAnsi="宋体" w:cs="Arial"/>
                <w:color w:val="auto"/>
                <w:kern w:val="0"/>
                <w:highlight w:val="none"/>
              </w:rPr>
            </w:pPr>
          </w:p>
        </w:tc>
        <w:tc>
          <w:tcPr>
            <w:tcW w:w="529" w:type="pct"/>
            <w:vAlign w:val="center"/>
          </w:tcPr>
          <w:p w14:paraId="7D388D4E">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635" w:type="pct"/>
            <w:vAlign w:val="center"/>
          </w:tcPr>
          <w:p w14:paraId="414E52B4">
            <w:pPr>
              <w:widowControl/>
              <w:spacing w:before="100" w:beforeAutospacing="1" w:after="100" w:afterAutospacing="1"/>
              <w:jc w:val="center"/>
              <w:rPr>
                <w:rFonts w:ascii="宋体" w:hAnsi="宋体"/>
                <w:color w:val="auto"/>
                <w:kern w:val="0"/>
                <w:szCs w:val="21"/>
                <w:highlight w:val="none"/>
              </w:rPr>
            </w:pPr>
            <w:r>
              <w:rPr>
                <w:rFonts w:ascii="宋体" w:hAnsi="宋体"/>
                <w:color w:val="auto"/>
                <w:kern w:val="0"/>
                <w:szCs w:val="21"/>
                <w:highlight w:val="none"/>
              </w:rPr>
              <w:t>3</w:t>
            </w:r>
            <w:r>
              <w:rPr>
                <w:rFonts w:hint="eastAsia" w:ascii="宋体" w:hAnsi="宋体"/>
                <w:color w:val="auto"/>
                <w:kern w:val="0"/>
                <w:szCs w:val="21"/>
                <w:highlight w:val="none"/>
              </w:rPr>
              <w:t>06200</w:t>
            </w:r>
          </w:p>
        </w:tc>
        <w:tc>
          <w:tcPr>
            <w:tcW w:w="741" w:type="pct"/>
            <w:vAlign w:val="center"/>
          </w:tcPr>
          <w:p w14:paraId="13466FBB">
            <w:pPr>
              <w:widowControl/>
              <w:jc w:val="center"/>
              <w:rPr>
                <w:rFonts w:ascii="宋体" w:hAnsi="宋体"/>
                <w:color w:val="auto"/>
                <w:kern w:val="0"/>
                <w:szCs w:val="21"/>
                <w:highlight w:val="none"/>
              </w:rPr>
            </w:pPr>
          </w:p>
        </w:tc>
        <w:tc>
          <w:tcPr>
            <w:tcW w:w="840" w:type="pct"/>
            <w:vAlign w:val="center"/>
          </w:tcPr>
          <w:p w14:paraId="3CD32584">
            <w:pPr>
              <w:widowControl/>
              <w:jc w:val="center"/>
              <w:rPr>
                <w:rFonts w:ascii="宋体" w:hAnsi="宋体"/>
                <w:color w:val="auto"/>
                <w:kern w:val="0"/>
                <w:szCs w:val="21"/>
                <w:highlight w:val="none"/>
              </w:rPr>
            </w:pPr>
            <w:r>
              <w:rPr>
                <w:rFonts w:hint="eastAsia" w:ascii="宋体" w:hAnsi="宋体"/>
                <w:color w:val="auto"/>
                <w:kern w:val="0"/>
                <w:szCs w:val="21"/>
                <w:highlight w:val="none"/>
              </w:rPr>
              <w:t>第一年租赁费</w:t>
            </w:r>
          </w:p>
        </w:tc>
      </w:tr>
      <w:tr w14:paraId="7D88A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7" w:hRule="atLeast"/>
          <w:jc w:val="center"/>
        </w:trPr>
        <w:tc>
          <w:tcPr>
            <w:tcW w:w="291" w:type="pct"/>
            <w:vMerge w:val="continue"/>
            <w:vAlign w:val="center"/>
          </w:tcPr>
          <w:p w14:paraId="291AED15">
            <w:pPr>
              <w:jc w:val="center"/>
              <w:rPr>
                <w:rFonts w:ascii="宋体" w:hAnsi="宋体"/>
                <w:color w:val="auto"/>
                <w:szCs w:val="21"/>
                <w:highlight w:val="none"/>
              </w:rPr>
            </w:pPr>
          </w:p>
        </w:tc>
        <w:tc>
          <w:tcPr>
            <w:tcW w:w="631" w:type="pct"/>
            <w:vMerge w:val="continue"/>
            <w:vAlign w:val="center"/>
          </w:tcPr>
          <w:p w14:paraId="5A9842B5">
            <w:pPr>
              <w:widowControl/>
              <w:jc w:val="center"/>
              <w:rPr>
                <w:rFonts w:ascii="宋体" w:hAnsi="宋体"/>
                <w:bCs/>
                <w:color w:val="auto"/>
                <w:highlight w:val="none"/>
              </w:rPr>
            </w:pPr>
          </w:p>
        </w:tc>
        <w:tc>
          <w:tcPr>
            <w:tcW w:w="669" w:type="pct"/>
            <w:vMerge w:val="continue"/>
            <w:tcBorders>
              <w:right w:val="single" w:color="auto" w:sz="4" w:space="0"/>
            </w:tcBorders>
            <w:vAlign w:val="center"/>
          </w:tcPr>
          <w:p w14:paraId="06C8B435">
            <w:pPr>
              <w:rPr>
                <w:rFonts w:ascii="宋体" w:hAnsi="宋体"/>
                <w:color w:val="auto"/>
                <w:szCs w:val="21"/>
                <w:highlight w:val="none"/>
              </w:rPr>
            </w:pPr>
          </w:p>
        </w:tc>
        <w:tc>
          <w:tcPr>
            <w:tcW w:w="660" w:type="pct"/>
            <w:vMerge w:val="continue"/>
            <w:tcBorders>
              <w:left w:val="single" w:color="auto" w:sz="4" w:space="0"/>
            </w:tcBorders>
            <w:vAlign w:val="center"/>
          </w:tcPr>
          <w:p w14:paraId="079A6456">
            <w:pPr>
              <w:rPr>
                <w:rFonts w:ascii="宋体" w:hAnsi="宋体"/>
                <w:color w:val="auto"/>
                <w:szCs w:val="21"/>
                <w:highlight w:val="none"/>
              </w:rPr>
            </w:pPr>
          </w:p>
        </w:tc>
        <w:tc>
          <w:tcPr>
            <w:tcW w:w="529" w:type="pct"/>
            <w:vAlign w:val="center"/>
          </w:tcPr>
          <w:p w14:paraId="492095E6">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635" w:type="pct"/>
            <w:vAlign w:val="center"/>
          </w:tcPr>
          <w:p w14:paraId="6D051B9F">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95</w:t>
            </w:r>
            <w:r>
              <w:rPr>
                <w:rFonts w:ascii="宋体" w:hAnsi="宋体"/>
                <w:color w:val="auto"/>
                <w:kern w:val="0"/>
                <w:szCs w:val="21"/>
                <w:highlight w:val="none"/>
              </w:rPr>
              <w:t>000</w:t>
            </w:r>
          </w:p>
        </w:tc>
        <w:tc>
          <w:tcPr>
            <w:tcW w:w="741" w:type="pct"/>
            <w:vAlign w:val="center"/>
          </w:tcPr>
          <w:p w14:paraId="173BDEA5">
            <w:pPr>
              <w:widowControl/>
              <w:jc w:val="center"/>
              <w:rPr>
                <w:rFonts w:ascii="宋体" w:hAnsi="宋体"/>
                <w:color w:val="auto"/>
                <w:kern w:val="0"/>
                <w:szCs w:val="21"/>
                <w:highlight w:val="none"/>
              </w:rPr>
            </w:pPr>
          </w:p>
        </w:tc>
        <w:tc>
          <w:tcPr>
            <w:tcW w:w="840" w:type="pct"/>
            <w:vAlign w:val="center"/>
          </w:tcPr>
          <w:p w14:paraId="723DFA07">
            <w:pPr>
              <w:widowControl/>
              <w:jc w:val="center"/>
              <w:rPr>
                <w:rFonts w:ascii="宋体" w:hAnsi="宋体"/>
                <w:color w:val="auto"/>
                <w:kern w:val="0"/>
                <w:szCs w:val="21"/>
                <w:highlight w:val="none"/>
              </w:rPr>
            </w:pPr>
            <w:r>
              <w:rPr>
                <w:rFonts w:hint="eastAsia" w:ascii="宋体" w:hAnsi="宋体"/>
                <w:color w:val="auto"/>
                <w:kern w:val="0"/>
                <w:szCs w:val="21"/>
                <w:highlight w:val="none"/>
              </w:rPr>
              <w:t>第二年租赁费</w:t>
            </w:r>
          </w:p>
        </w:tc>
      </w:tr>
      <w:tr w14:paraId="2670E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7" w:hRule="atLeast"/>
          <w:jc w:val="center"/>
        </w:trPr>
        <w:tc>
          <w:tcPr>
            <w:tcW w:w="291" w:type="pct"/>
            <w:vMerge w:val="continue"/>
            <w:vAlign w:val="center"/>
          </w:tcPr>
          <w:p w14:paraId="54B943BC">
            <w:pPr>
              <w:jc w:val="center"/>
              <w:rPr>
                <w:rFonts w:ascii="宋体" w:hAnsi="宋体"/>
                <w:color w:val="auto"/>
                <w:szCs w:val="21"/>
                <w:highlight w:val="none"/>
              </w:rPr>
            </w:pPr>
          </w:p>
        </w:tc>
        <w:tc>
          <w:tcPr>
            <w:tcW w:w="631" w:type="pct"/>
            <w:vMerge w:val="continue"/>
            <w:vAlign w:val="center"/>
          </w:tcPr>
          <w:p w14:paraId="4845F776">
            <w:pPr>
              <w:widowControl/>
              <w:jc w:val="center"/>
              <w:rPr>
                <w:rFonts w:ascii="宋体" w:hAnsi="宋体"/>
                <w:bCs/>
                <w:color w:val="auto"/>
                <w:highlight w:val="none"/>
              </w:rPr>
            </w:pPr>
          </w:p>
        </w:tc>
        <w:tc>
          <w:tcPr>
            <w:tcW w:w="669" w:type="pct"/>
            <w:vMerge w:val="continue"/>
            <w:tcBorders>
              <w:right w:val="single" w:color="auto" w:sz="4" w:space="0"/>
            </w:tcBorders>
            <w:vAlign w:val="center"/>
          </w:tcPr>
          <w:p w14:paraId="7D764048">
            <w:pPr>
              <w:rPr>
                <w:rFonts w:ascii="宋体" w:hAnsi="宋体"/>
                <w:color w:val="auto"/>
                <w:szCs w:val="21"/>
                <w:highlight w:val="none"/>
              </w:rPr>
            </w:pPr>
          </w:p>
        </w:tc>
        <w:tc>
          <w:tcPr>
            <w:tcW w:w="660" w:type="pct"/>
            <w:vMerge w:val="continue"/>
            <w:tcBorders>
              <w:left w:val="single" w:color="auto" w:sz="4" w:space="0"/>
            </w:tcBorders>
            <w:vAlign w:val="center"/>
          </w:tcPr>
          <w:p w14:paraId="1EF74F94">
            <w:pPr>
              <w:rPr>
                <w:rFonts w:ascii="宋体" w:hAnsi="宋体"/>
                <w:color w:val="auto"/>
                <w:szCs w:val="21"/>
                <w:highlight w:val="none"/>
              </w:rPr>
            </w:pPr>
          </w:p>
        </w:tc>
        <w:tc>
          <w:tcPr>
            <w:tcW w:w="529" w:type="pct"/>
            <w:vAlign w:val="center"/>
          </w:tcPr>
          <w:p w14:paraId="4B42F384">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635" w:type="pct"/>
            <w:vAlign w:val="center"/>
          </w:tcPr>
          <w:p w14:paraId="42E1168B">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70</w:t>
            </w:r>
            <w:r>
              <w:rPr>
                <w:rFonts w:ascii="宋体" w:hAnsi="宋体"/>
                <w:color w:val="auto"/>
                <w:kern w:val="0"/>
                <w:szCs w:val="21"/>
                <w:highlight w:val="none"/>
              </w:rPr>
              <w:t>000</w:t>
            </w:r>
          </w:p>
        </w:tc>
        <w:tc>
          <w:tcPr>
            <w:tcW w:w="741" w:type="pct"/>
            <w:vAlign w:val="center"/>
          </w:tcPr>
          <w:p w14:paraId="511F64AF">
            <w:pPr>
              <w:widowControl/>
              <w:rPr>
                <w:rFonts w:ascii="宋体" w:hAnsi="宋体"/>
                <w:color w:val="auto"/>
                <w:kern w:val="0"/>
                <w:szCs w:val="21"/>
                <w:highlight w:val="none"/>
              </w:rPr>
            </w:pPr>
          </w:p>
        </w:tc>
        <w:tc>
          <w:tcPr>
            <w:tcW w:w="840" w:type="pct"/>
            <w:vAlign w:val="center"/>
          </w:tcPr>
          <w:p w14:paraId="094F4EEB">
            <w:pPr>
              <w:widowControl/>
              <w:jc w:val="center"/>
              <w:rPr>
                <w:rFonts w:ascii="宋体" w:hAnsi="宋体"/>
                <w:color w:val="auto"/>
                <w:kern w:val="0"/>
                <w:szCs w:val="21"/>
                <w:highlight w:val="none"/>
              </w:rPr>
            </w:pPr>
            <w:r>
              <w:rPr>
                <w:rFonts w:hint="eastAsia" w:ascii="宋体" w:hAnsi="宋体"/>
                <w:color w:val="auto"/>
                <w:kern w:val="0"/>
                <w:szCs w:val="21"/>
                <w:highlight w:val="none"/>
              </w:rPr>
              <w:t>第三年租赁费</w:t>
            </w:r>
          </w:p>
        </w:tc>
      </w:tr>
      <w:tr w14:paraId="5BB38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7" w:hRule="atLeast"/>
          <w:jc w:val="center"/>
        </w:trPr>
        <w:tc>
          <w:tcPr>
            <w:tcW w:w="291" w:type="pct"/>
            <w:vMerge w:val="restart"/>
            <w:vAlign w:val="center"/>
          </w:tcPr>
          <w:p w14:paraId="4F452E63">
            <w:pPr>
              <w:jc w:val="center"/>
              <w:rPr>
                <w:rFonts w:ascii="宋体" w:hAnsi="宋体"/>
                <w:color w:val="auto"/>
                <w:szCs w:val="21"/>
                <w:highlight w:val="none"/>
              </w:rPr>
            </w:pPr>
            <w:r>
              <w:rPr>
                <w:rFonts w:hint="eastAsia" w:ascii="宋体" w:hAnsi="宋体"/>
                <w:color w:val="auto"/>
                <w:szCs w:val="21"/>
                <w:highlight w:val="none"/>
              </w:rPr>
              <w:t>2</w:t>
            </w:r>
          </w:p>
        </w:tc>
        <w:tc>
          <w:tcPr>
            <w:tcW w:w="631" w:type="pct"/>
            <w:vMerge w:val="restart"/>
            <w:vAlign w:val="center"/>
          </w:tcPr>
          <w:p w14:paraId="71D0D378">
            <w:pPr>
              <w:widowControl/>
              <w:jc w:val="center"/>
              <w:rPr>
                <w:rFonts w:ascii="宋体" w:hAnsi="宋体"/>
                <w:color w:val="auto"/>
                <w:kern w:val="0"/>
                <w:szCs w:val="21"/>
                <w:highlight w:val="none"/>
              </w:rPr>
            </w:pPr>
            <w:r>
              <w:rPr>
                <w:rFonts w:hint="eastAsia" w:ascii="宋体" w:hAnsi="宋体"/>
                <w:bCs/>
                <w:color w:val="auto"/>
                <w:highlight w:val="none"/>
              </w:rPr>
              <w:t>多功能微孔板检测仪</w:t>
            </w:r>
          </w:p>
        </w:tc>
        <w:tc>
          <w:tcPr>
            <w:tcW w:w="669" w:type="pct"/>
            <w:vMerge w:val="restart"/>
            <w:tcBorders>
              <w:right w:val="single" w:color="auto" w:sz="4" w:space="0"/>
            </w:tcBorders>
            <w:vAlign w:val="center"/>
          </w:tcPr>
          <w:p w14:paraId="566DB4EC">
            <w:pPr>
              <w:rPr>
                <w:rFonts w:ascii="宋体" w:hAnsi="宋体"/>
                <w:color w:val="auto"/>
                <w:szCs w:val="21"/>
                <w:highlight w:val="none"/>
              </w:rPr>
            </w:pPr>
          </w:p>
        </w:tc>
        <w:tc>
          <w:tcPr>
            <w:tcW w:w="660" w:type="pct"/>
            <w:vMerge w:val="restart"/>
            <w:tcBorders>
              <w:left w:val="single" w:color="auto" w:sz="4" w:space="0"/>
            </w:tcBorders>
            <w:vAlign w:val="center"/>
          </w:tcPr>
          <w:p w14:paraId="66BA300F">
            <w:pPr>
              <w:rPr>
                <w:rFonts w:ascii="宋体" w:hAnsi="宋体"/>
                <w:color w:val="auto"/>
                <w:szCs w:val="21"/>
                <w:highlight w:val="none"/>
              </w:rPr>
            </w:pPr>
          </w:p>
        </w:tc>
        <w:tc>
          <w:tcPr>
            <w:tcW w:w="529" w:type="pct"/>
            <w:vAlign w:val="center"/>
          </w:tcPr>
          <w:p w14:paraId="075FE8DE">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635" w:type="pct"/>
            <w:vAlign w:val="center"/>
          </w:tcPr>
          <w:p w14:paraId="417CC5B3">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18</w:t>
            </w:r>
            <w:r>
              <w:rPr>
                <w:rFonts w:ascii="宋体" w:hAnsi="宋体"/>
                <w:color w:val="auto"/>
                <w:kern w:val="0"/>
                <w:szCs w:val="21"/>
                <w:highlight w:val="none"/>
              </w:rPr>
              <w:t>0000</w:t>
            </w:r>
          </w:p>
        </w:tc>
        <w:tc>
          <w:tcPr>
            <w:tcW w:w="741" w:type="pct"/>
            <w:vAlign w:val="center"/>
          </w:tcPr>
          <w:p w14:paraId="79DD58D0">
            <w:pPr>
              <w:widowControl/>
              <w:jc w:val="center"/>
              <w:rPr>
                <w:rFonts w:ascii="宋体" w:hAnsi="宋体"/>
                <w:color w:val="auto"/>
                <w:kern w:val="0"/>
                <w:szCs w:val="21"/>
                <w:highlight w:val="none"/>
              </w:rPr>
            </w:pPr>
          </w:p>
        </w:tc>
        <w:tc>
          <w:tcPr>
            <w:tcW w:w="840" w:type="pct"/>
            <w:vAlign w:val="center"/>
          </w:tcPr>
          <w:p w14:paraId="13690793">
            <w:pPr>
              <w:widowControl/>
              <w:jc w:val="center"/>
              <w:rPr>
                <w:rFonts w:ascii="宋体" w:hAnsi="宋体"/>
                <w:color w:val="auto"/>
                <w:kern w:val="0"/>
                <w:szCs w:val="21"/>
                <w:highlight w:val="none"/>
              </w:rPr>
            </w:pPr>
            <w:r>
              <w:rPr>
                <w:rFonts w:hint="eastAsia" w:ascii="宋体" w:hAnsi="宋体"/>
                <w:color w:val="auto"/>
                <w:kern w:val="0"/>
                <w:szCs w:val="21"/>
                <w:highlight w:val="none"/>
              </w:rPr>
              <w:t>第一年租赁费</w:t>
            </w:r>
          </w:p>
        </w:tc>
      </w:tr>
      <w:tr w14:paraId="18AE1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7" w:hRule="atLeast"/>
          <w:jc w:val="center"/>
        </w:trPr>
        <w:tc>
          <w:tcPr>
            <w:tcW w:w="291" w:type="pct"/>
            <w:vMerge w:val="continue"/>
            <w:vAlign w:val="center"/>
          </w:tcPr>
          <w:p w14:paraId="76B824CF">
            <w:pPr>
              <w:rPr>
                <w:rFonts w:ascii="宋体" w:hAnsi="宋体"/>
                <w:color w:val="auto"/>
                <w:szCs w:val="21"/>
                <w:highlight w:val="none"/>
              </w:rPr>
            </w:pPr>
          </w:p>
        </w:tc>
        <w:tc>
          <w:tcPr>
            <w:tcW w:w="631" w:type="pct"/>
            <w:vMerge w:val="continue"/>
            <w:vAlign w:val="center"/>
          </w:tcPr>
          <w:p w14:paraId="7F8FB132">
            <w:pPr>
              <w:widowControl/>
              <w:jc w:val="center"/>
              <w:rPr>
                <w:rFonts w:ascii="宋体" w:hAnsi="宋体"/>
                <w:bCs/>
                <w:color w:val="auto"/>
                <w:highlight w:val="none"/>
              </w:rPr>
            </w:pPr>
          </w:p>
        </w:tc>
        <w:tc>
          <w:tcPr>
            <w:tcW w:w="669" w:type="pct"/>
            <w:vMerge w:val="continue"/>
            <w:tcBorders>
              <w:right w:val="single" w:color="auto" w:sz="4" w:space="0"/>
            </w:tcBorders>
            <w:vAlign w:val="center"/>
          </w:tcPr>
          <w:p w14:paraId="4C2B36B4">
            <w:pPr>
              <w:widowControl/>
              <w:rPr>
                <w:rFonts w:ascii="宋体" w:hAnsi="宋体"/>
                <w:color w:val="auto"/>
                <w:kern w:val="0"/>
                <w:szCs w:val="21"/>
                <w:highlight w:val="none"/>
              </w:rPr>
            </w:pPr>
          </w:p>
        </w:tc>
        <w:tc>
          <w:tcPr>
            <w:tcW w:w="660" w:type="pct"/>
            <w:vMerge w:val="continue"/>
            <w:tcBorders>
              <w:left w:val="single" w:color="auto" w:sz="4" w:space="0"/>
            </w:tcBorders>
            <w:vAlign w:val="center"/>
          </w:tcPr>
          <w:p w14:paraId="6BBD44BA">
            <w:pPr>
              <w:widowControl/>
              <w:rPr>
                <w:rFonts w:ascii="宋体" w:hAnsi="宋体"/>
                <w:color w:val="auto"/>
                <w:kern w:val="0"/>
                <w:szCs w:val="21"/>
                <w:highlight w:val="none"/>
              </w:rPr>
            </w:pPr>
          </w:p>
        </w:tc>
        <w:tc>
          <w:tcPr>
            <w:tcW w:w="529" w:type="pct"/>
            <w:vAlign w:val="center"/>
          </w:tcPr>
          <w:p w14:paraId="0DC9DB59">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635" w:type="pct"/>
            <w:vAlign w:val="center"/>
          </w:tcPr>
          <w:p w14:paraId="11D3182D">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546</w:t>
            </w:r>
            <w:r>
              <w:rPr>
                <w:rFonts w:ascii="宋体" w:hAnsi="宋体"/>
                <w:color w:val="auto"/>
                <w:kern w:val="0"/>
                <w:szCs w:val="21"/>
                <w:highlight w:val="none"/>
              </w:rPr>
              <w:t>00</w:t>
            </w:r>
          </w:p>
        </w:tc>
        <w:tc>
          <w:tcPr>
            <w:tcW w:w="741" w:type="pct"/>
            <w:vAlign w:val="center"/>
          </w:tcPr>
          <w:p w14:paraId="622DAB9E">
            <w:pPr>
              <w:widowControl/>
              <w:jc w:val="center"/>
              <w:rPr>
                <w:rFonts w:ascii="宋体" w:hAnsi="宋体"/>
                <w:color w:val="auto"/>
                <w:kern w:val="0"/>
                <w:szCs w:val="21"/>
                <w:highlight w:val="none"/>
              </w:rPr>
            </w:pPr>
          </w:p>
        </w:tc>
        <w:tc>
          <w:tcPr>
            <w:tcW w:w="840" w:type="pct"/>
            <w:vAlign w:val="center"/>
          </w:tcPr>
          <w:p w14:paraId="082E6F99">
            <w:pPr>
              <w:widowControl/>
              <w:jc w:val="center"/>
              <w:rPr>
                <w:rFonts w:ascii="宋体" w:hAnsi="宋体"/>
                <w:color w:val="auto"/>
                <w:kern w:val="0"/>
                <w:szCs w:val="21"/>
                <w:highlight w:val="none"/>
              </w:rPr>
            </w:pPr>
            <w:r>
              <w:rPr>
                <w:rFonts w:hint="eastAsia" w:ascii="宋体" w:hAnsi="宋体"/>
                <w:color w:val="auto"/>
                <w:kern w:val="0"/>
                <w:szCs w:val="21"/>
                <w:highlight w:val="none"/>
              </w:rPr>
              <w:t>第二年租赁费</w:t>
            </w:r>
          </w:p>
        </w:tc>
      </w:tr>
      <w:tr w14:paraId="78209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7" w:hRule="atLeast"/>
          <w:jc w:val="center"/>
        </w:trPr>
        <w:tc>
          <w:tcPr>
            <w:tcW w:w="291" w:type="pct"/>
            <w:vMerge w:val="continue"/>
            <w:vAlign w:val="center"/>
          </w:tcPr>
          <w:p w14:paraId="51DA26AE">
            <w:pPr>
              <w:rPr>
                <w:rFonts w:ascii="宋体" w:hAnsi="宋体"/>
                <w:color w:val="auto"/>
                <w:szCs w:val="21"/>
                <w:highlight w:val="none"/>
              </w:rPr>
            </w:pPr>
          </w:p>
        </w:tc>
        <w:tc>
          <w:tcPr>
            <w:tcW w:w="631" w:type="pct"/>
            <w:vMerge w:val="continue"/>
            <w:vAlign w:val="center"/>
          </w:tcPr>
          <w:p w14:paraId="7255EA92">
            <w:pPr>
              <w:widowControl/>
              <w:jc w:val="center"/>
              <w:rPr>
                <w:rFonts w:ascii="宋体" w:hAnsi="宋体"/>
                <w:bCs/>
                <w:color w:val="auto"/>
                <w:highlight w:val="none"/>
              </w:rPr>
            </w:pPr>
          </w:p>
        </w:tc>
        <w:tc>
          <w:tcPr>
            <w:tcW w:w="669" w:type="pct"/>
            <w:vMerge w:val="continue"/>
            <w:tcBorders>
              <w:right w:val="single" w:color="auto" w:sz="4" w:space="0"/>
            </w:tcBorders>
            <w:vAlign w:val="center"/>
          </w:tcPr>
          <w:p w14:paraId="17A49685">
            <w:pPr>
              <w:widowControl/>
              <w:rPr>
                <w:rFonts w:ascii="宋体" w:hAnsi="宋体"/>
                <w:color w:val="auto"/>
                <w:kern w:val="0"/>
                <w:szCs w:val="21"/>
                <w:highlight w:val="none"/>
              </w:rPr>
            </w:pPr>
          </w:p>
        </w:tc>
        <w:tc>
          <w:tcPr>
            <w:tcW w:w="660" w:type="pct"/>
            <w:vMerge w:val="continue"/>
            <w:tcBorders>
              <w:left w:val="single" w:color="auto" w:sz="4" w:space="0"/>
            </w:tcBorders>
            <w:vAlign w:val="center"/>
          </w:tcPr>
          <w:p w14:paraId="0E945FE2">
            <w:pPr>
              <w:widowControl/>
              <w:rPr>
                <w:rFonts w:ascii="宋体" w:hAnsi="宋体"/>
                <w:color w:val="auto"/>
                <w:kern w:val="0"/>
                <w:szCs w:val="21"/>
                <w:highlight w:val="none"/>
              </w:rPr>
            </w:pPr>
          </w:p>
        </w:tc>
        <w:tc>
          <w:tcPr>
            <w:tcW w:w="529" w:type="pct"/>
            <w:tcBorders>
              <w:left w:val="single" w:color="auto" w:sz="4" w:space="0"/>
              <w:right w:val="single" w:color="auto" w:sz="4" w:space="0"/>
            </w:tcBorders>
            <w:vAlign w:val="center"/>
          </w:tcPr>
          <w:p w14:paraId="12957C93">
            <w:pPr>
              <w:widowControl/>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635" w:type="pct"/>
            <w:tcBorders>
              <w:right w:val="single" w:color="auto" w:sz="4" w:space="0"/>
            </w:tcBorders>
            <w:vAlign w:val="center"/>
          </w:tcPr>
          <w:p w14:paraId="5BC140FA">
            <w:pPr>
              <w:widowControl/>
              <w:spacing w:before="100" w:beforeAutospacing="1" w:after="100" w:afterAutospacing="1"/>
              <w:jc w:val="center"/>
              <w:rPr>
                <w:rFonts w:ascii="宋体" w:hAnsi="宋体"/>
                <w:color w:val="auto"/>
                <w:kern w:val="0"/>
                <w:szCs w:val="21"/>
                <w:highlight w:val="none"/>
              </w:rPr>
            </w:pPr>
            <w:r>
              <w:rPr>
                <w:rFonts w:hint="eastAsia" w:ascii="宋体" w:hAnsi="宋体"/>
                <w:color w:val="auto"/>
                <w:kern w:val="0"/>
                <w:szCs w:val="21"/>
                <w:highlight w:val="none"/>
              </w:rPr>
              <w:t>422</w:t>
            </w:r>
            <w:r>
              <w:rPr>
                <w:rFonts w:ascii="宋体" w:hAnsi="宋体"/>
                <w:color w:val="auto"/>
                <w:kern w:val="0"/>
                <w:szCs w:val="21"/>
                <w:highlight w:val="none"/>
              </w:rPr>
              <w:t>00</w:t>
            </w:r>
          </w:p>
        </w:tc>
        <w:tc>
          <w:tcPr>
            <w:tcW w:w="741" w:type="pct"/>
            <w:tcBorders>
              <w:right w:val="single" w:color="auto" w:sz="4" w:space="0"/>
            </w:tcBorders>
            <w:vAlign w:val="center"/>
          </w:tcPr>
          <w:p w14:paraId="0D29F763">
            <w:pPr>
              <w:widowControl/>
              <w:jc w:val="center"/>
              <w:rPr>
                <w:rFonts w:ascii="宋体" w:hAnsi="宋体"/>
                <w:color w:val="auto"/>
                <w:kern w:val="0"/>
                <w:szCs w:val="21"/>
                <w:highlight w:val="none"/>
              </w:rPr>
            </w:pPr>
          </w:p>
        </w:tc>
        <w:tc>
          <w:tcPr>
            <w:tcW w:w="840" w:type="pct"/>
            <w:tcBorders>
              <w:left w:val="single" w:color="auto" w:sz="4" w:space="0"/>
              <w:right w:val="single" w:color="auto" w:sz="4" w:space="0"/>
            </w:tcBorders>
            <w:vAlign w:val="center"/>
          </w:tcPr>
          <w:p w14:paraId="7057627D">
            <w:pPr>
              <w:widowControl/>
              <w:jc w:val="center"/>
              <w:rPr>
                <w:rFonts w:ascii="宋体" w:hAnsi="宋体"/>
                <w:color w:val="auto"/>
                <w:kern w:val="0"/>
                <w:szCs w:val="21"/>
                <w:highlight w:val="none"/>
              </w:rPr>
            </w:pPr>
            <w:r>
              <w:rPr>
                <w:rFonts w:hint="eastAsia" w:ascii="宋体" w:hAnsi="宋体"/>
                <w:color w:val="auto"/>
                <w:kern w:val="0"/>
                <w:szCs w:val="21"/>
                <w:highlight w:val="none"/>
              </w:rPr>
              <w:t>第三年租赁费</w:t>
            </w:r>
          </w:p>
        </w:tc>
      </w:tr>
      <w:tr w14:paraId="51F65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7" w:hRule="atLeast"/>
          <w:jc w:val="center"/>
        </w:trPr>
        <w:tc>
          <w:tcPr>
            <w:tcW w:w="2252" w:type="pct"/>
            <w:gridSpan w:val="4"/>
            <w:vAlign w:val="center"/>
          </w:tcPr>
          <w:p w14:paraId="756520FC">
            <w:pPr>
              <w:ind w:firstLine="402"/>
              <w:jc w:val="center"/>
              <w:rPr>
                <w:rFonts w:ascii="宋体" w:hAnsi="宋体"/>
                <w:b/>
                <w:bCs/>
                <w:color w:val="auto"/>
                <w:highlight w:val="none"/>
              </w:rPr>
            </w:pPr>
            <w:r>
              <w:rPr>
                <w:rFonts w:hint="eastAsia" w:ascii="宋体" w:hAnsi="宋体" w:cs="宋体"/>
                <w:b/>
                <w:color w:val="auto"/>
                <w:sz w:val="20"/>
                <w:szCs w:val="20"/>
                <w:highlight w:val="none"/>
              </w:rPr>
              <w:t>报价合计（含税）</w:t>
            </w:r>
          </w:p>
        </w:tc>
        <w:tc>
          <w:tcPr>
            <w:tcW w:w="2747" w:type="pct"/>
            <w:gridSpan w:val="4"/>
            <w:tcBorders>
              <w:left w:val="single" w:color="auto" w:sz="4" w:space="0"/>
              <w:right w:val="single" w:color="auto" w:sz="4" w:space="0"/>
            </w:tcBorders>
            <w:vAlign w:val="center"/>
          </w:tcPr>
          <w:p w14:paraId="2D0E5770">
            <w:pPr>
              <w:ind w:firstLine="420"/>
              <w:jc w:val="center"/>
              <w:rPr>
                <w:rFonts w:ascii="宋体" w:hAnsi="宋体"/>
                <w:b/>
                <w:bCs/>
                <w:color w:val="auto"/>
                <w:highlight w:val="none"/>
              </w:rPr>
            </w:pPr>
          </w:p>
        </w:tc>
      </w:tr>
    </w:tbl>
    <w:p w14:paraId="173D7BD7">
      <w:pPr>
        <w:adjustRightInd w:val="0"/>
        <w:snapToGrid w:val="0"/>
        <w:spacing w:line="520" w:lineRule="atLeast"/>
        <w:ind w:left="-2" w:leftChars="-1"/>
        <w:rPr>
          <w:rFonts w:ascii="宋体" w:hAnsi="宋体" w:cs="宋体"/>
          <w:color w:val="auto"/>
          <w:szCs w:val="21"/>
          <w:highlight w:val="none"/>
          <w:u w:val="single"/>
        </w:rPr>
      </w:pPr>
    </w:p>
    <w:p w14:paraId="001BDD68">
      <w:pPr>
        <w:snapToGrid w:val="0"/>
        <w:spacing w:line="360" w:lineRule="auto"/>
        <w:rPr>
          <w:rFonts w:ascii="宋体" w:hAnsi="宋体" w:cs="宋体"/>
          <w:bCs/>
          <w:color w:val="auto"/>
          <w:szCs w:val="21"/>
          <w:highlight w:val="none"/>
        </w:rPr>
      </w:pPr>
      <w:r>
        <w:rPr>
          <w:rFonts w:hint="eastAsia" w:ascii="宋体" w:hAnsi="宋体" w:cs="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报价合计是分项报价合计之和，且应为所投项目的最终报价，包含税费及相关的所有费用。如果供应商中标并签署合同后，项目实施过程中在本次采购范围出现任何遗漏，均由成交供应商</w:t>
      </w:r>
      <w:r>
        <w:rPr>
          <w:rFonts w:hint="eastAsia" w:ascii="宋体" w:hAnsi="宋体" w:cs="Arial"/>
          <w:bCs/>
          <w:color w:val="auto"/>
          <w:szCs w:val="21"/>
          <w:highlight w:val="none"/>
        </w:rPr>
        <w:t>无偿负责，采购人将不再支付任何费用。</w:t>
      </w:r>
    </w:p>
    <w:p w14:paraId="1EDB27BA">
      <w:pPr>
        <w:snapToGrid w:val="0"/>
        <w:spacing w:line="360" w:lineRule="auto"/>
        <w:rPr>
          <w:rFonts w:ascii="宋体" w:cs="Arial"/>
          <w:bCs/>
          <w:color w:val="auto"/>
          <w:szCs w:val="21"/>
          <w:highlight w:val="none"/>
        </w:rPr>
      </w:pPr>
      <w:r>
        <w:rPr>
          <w:rFonts w:hint="eastAsia" w:ascii="宋体" w:hAnsi="宋体"/>
          <w:bCs/>
          <w:color w:val="auto"/>
          <w:szCs w:val="21"/>
          <w:highlight w:val="none"/>
        </w:rPr>
        <w:t>2</w:t>
      </w:r>
      <w:r>
        <w:rPr>
          <w:rFonts w:ascii="宋体" w:hAnsi="宋体"/>
          <w:bCs/>
          <w:color w:val="auto"/>
          <w:szCs w:val="21"/>
          <w:highlight w:val="none"/>
        </w:rPr>
        <w:t>.</w:t>
      </w:r>
      <w:r>
        <w:rPr>
          <w:rFonts w:hint="eastAsia" w:ascii="宋体" w:hAnsi="宋体"/>
          <w:bCs/>
          <w:color w:val="auto"/>
          <w:szCs w:val="21"/>
          <w:highlight w:val="none"/>
        </w:rPr>
        <w:t>“分项报价表”的“报价合计（含税）”与“首轮报价表”的“响应报价（含税）”必须一致，如不一致则采购人将根据“分项报价表”的报价合计（含税）”为计算依据修正“首轮报价表”</w:t>
      </w:r>
      <w:r>
        <w:rPr>
          <w:rFonts w:hint="eastAsia" w:ascii="宋体" w:hAnsi="宋体" w:cs="Arial"/>
          <w:bCs/>
          <w:color w:val="auto"/>
          <w:szCs w:val="21"/>
          <w:highlight w:val="none"/>
        </w:rPr>
        <w:t>。</w:t>
      </w:r>
    </w:p>
    <w:p w14:paraId="01565175">
      <w:pPr>
        <w:pStyle w:val="25"/>
        <w:spacing w:line="360" w:lineRule="auto"/>
        <w:rPr>
          <w:rFonts w:ascii="宋体" w:hAnsi="宋体" w:eastAsia="宋体"/>
          <w:bCs/>
          <w:color w:val="auto"/>
          <w:highlight w:val="none"/>
        </w:rPr>
      </w:pPr>
      <w:r>
        <w:rPr>
          <w:rFonts w:hint="eastAsia" w:ascii="宋体" w:hAnsi="宋体" w:eastAsia="宋体"/>
          <w:bCs/>
          <w:color w:val="auto"/>
          <w:highlight w:val="none"/>
        </w:rPr>
        <w:t>3.以上单价和金额报价均为含税。</w:t>
      </w:r>
    </w:p>
    <w:p w14:paraId="7859FB61">
      <w:pPr>
        <w:pStyle w:val="25"/>
        <w:spacing w:line="360" w:lineRule="auto"/>
        <w:rPr>
          <w:rFonts w:ascii="宋体" w:hAnsi="宋体"/>
          <w:color w:val="auto"/>
          <w:highlight w:val="none"/>
        </w:rPr>
      </w:pPr>
      <w:r>
        <w:rPr>
          <w:rFonts w:hint="eastAsia" w:ascii="宋体" w:hAnsi="宋体" w:eastAsia="宋体"/>
          <w:bCs/>
          <w:color w:val="auto"/>
          <w:highlight w:val="none"/>
        </w:rPr>
        <w:t>4.</w:t>
      </w:r>
      <w:r>
        <w:rPr>
          <w:rFonts w:hint="eastAsia" w:ascii="宋体" w:hAnsi="宋体" w:eastAsia="宋体"/>
          <w:b/>
          <w:color w:val="auto"/>
          <w:highlight w:val="none"/>
        </w:rPr>
        <w:t>响应文件电子版请提供此分项报价明细表的Excel版本。</w:t>
      </w:r>
    </w:p>
    <w:p w14:paraId="56DA254C">
      <w:pPr>
        <w:spacing w:line="360" w:lineRule="auto"/>
        <w:rPr>
          <w:rFonts w:ascii="宋体" w:hAnsi="宋体"/>
          <w:color w:val="auto"/>
          <w:highlight w:val="none"/>
        </w:rPr>
      </w:pPr>
    </w:p>
    <w:p w14:paraId="695BB40C">
      <w:pPr>
        <w:spacing w:line="360" w:lineRule="auto"/>
        <w:rPr>
          <w:rFonts w:ascii="宋体" w:hAnsi="宋体"/>
          <w:color w:val="auto"/>
          <w:highlight w:val="none"/>
        </w:rPr>
      </w:pPr>
    </w:p>
    <w:p w14:paraId="5DAE933C">
      <w:pPr>
        <w:spacing w:line="360" w:lineRule="auto"/>
        <w:rPr>
          <w:rFonts w:ascii="宋体" w:hAnsi="宋体"/>
          <w:color w:val="auto"/>
          <w:highlight w:val="none"/>
        </w:rPr>
      </w:pPr>
      <w:r>
        <w:rPr>
          <w:rFonts w:hint="eastAsia" w:ascii="宋体" w:hAnsi="宋体"/>
          <w:color w:val="auto"/>
          <w:highlight w:val="none"/>
        </w:rPr>
        <w:t>供应商法定代表人/授权代表（签字或盖私章）：</w:t>
      </w:r>
      <w:r>
        <w:rPr>
          <w:rFonts w:hint="eastAsia" w:ascii="宋体" w:hAnsi="宋体"/>
          <w:color w:val="auto"/>
          <w:highlight w:val="none"/>
          <w:u w:val="single"/>
        </w:rPr>
        <w:t xml:space="preserve">                   </w:t>
      </w:r>
    </w:p>
    <w:p w14:paraId="0EDBFB4C">
      <w:pPr>
        <w:spacing w:line="360" w:lineRule="auto"/>
        <w:rPr>
          <w:rFonts w:ascii="宋体" w:hAnsi="宋体"/>
          <w:color w:val="auto"/>
          <w:highlight w:val="none"/>
          <w:u w:val="single"/>
        </w:rPr>
      </w:pPr>
      <w:r>
        <w:rPr>
          <w:rFonts w:hint="eastAsia" w:ascii="宋体" w:hAnsi="宋体"/>
          <w:color w:val="auto"/>
          <w:highlight w:val="none"/>
        </w:rPr>
        <w:t>供应商名称（加盖公章）：</w:t>
      </w:r>
      <w:r>
        <w:rPr>
          <w:rFonts w:hint="eastAsia" w:ascii="宋体" w:hAnsi="宋体"/>
          <w:color w:val="auto"/>
          <w:highlight w:val="none"/>
          <w:u w:val="single"/>
        </w:rPr>
        <w:t xml:space="preserve">                    </w:t>
      </w:r>
    </w:p>
    <w:p w14:paraId="6395B153">
      <w:pPr>
        <w:spacing w:line="360" w:lineRule="auto"/>
        <w:rPr>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1CA41430">
      <w:pPr>
        <w:pStyle w:val="5"/>
        <w:ind w:firstLine="640"/>
        <w:rPr>
          <w:rFonts w:ascii="宋体" w:hAnsi="宋体"/>
          <w:b w:val="0"/>
          <w:bCs w:val="0"/>
          <w:color w:val="auto"/>
          <w:sz w:val="28"/>
          <w:szCs w:val="28"/>
          <w:highlight w:val="none"/>
        </w:rPr>
      </w:pPr>
      <w:r>
        <w:rPr>
          <w:color w:val="auto"/>
          <w:highlight w:val="none"/>
        </w:rPr>
        <w:br w:type="page"/>
      </w:r>
      <w:bookmarkStart w:id="526" w:name="_Toc10275"/>
      <w:bookmarkStart w:id="527" w:name="_Toc5146"/>
      <w:bookmarkStart w:id="528" w:name="_Toc19927"/>
      <w:bookmarkStart w:id="529" w:name="_Toc6829"/>
      <w:bookmarkStart w:id="530" w:name="_Toc8137"/>
      <w:bookmarkStart w:id="531" w:name="_Toc6626"/>
      <w:bookmarkStart w:id="532" w:name="_Toc18003"/>
      <w:bookmarkStart w:id="533" w:name="_Toc24521"/>
      <w:r>
        <w:rPr>
          <w:rFonts w:hint="eastAsia" w:ascii="宋体" w:hAnsi="宋体" w:eastAsia="宋体"/>
          <w:bCs w:val="0"/>
          <w:color w:val="auto"/>
          <w:sz w:val="28"/>
          <w:szCs w:val="28"/>
          <w:highlight w:val="none"/>
        </w:rPr>
        <w:t>五、采购代理服务费支付同意函</w:t>
      </w:r>
      <w:bookmarkEnd w:id="522"/>
      <w:bookmarkEnd w:id="523"/>
      <w:bookmarkEnd w:id="524"/>
      <w:bookmarkEnd w:id="525"/>
      <w:bookmarkEnd w:id="526"/>
      <w:bookmarkEnd w:id="527"/>
      <w:bookmarkEnd w:id="528"/>
      <w:bookmarkEnd w:id="529"/>
      <w:bookmarkEnd w:id="530"/>
      <w:bookmarkEnd w:id="531"/>
      <w:bookmarkEnd w:id="532"/>
      <w:bookmarkEnd w:id="533"/>
    </w:p>
    <w:p w14:paraId="774A60C5">
      <w:pPr>
        <w:spacing w:line="360" w:lineRule="auto"/>
        <w:rPr>
          <w:rFonts w:ascii="宋体" w:hAnsi="宋体"/>
          <w:color w:val="auto"/>
          <w:szCs w:val="21"/>
          <w:highlight w:val="none"/>
        </w:rPr>
      </w:pPr>
      <w:r>
        <w:rPr>
          <w:rFonts w:hint="eastAsia" w:ascii="宋体" w:hAnsi="宋体"/>
          <w:color w:val="auto"/>
          <w:szCs w:val="21"/>
          <w:highlight w:val="none"/>
        </w:rPr>
        <w:t>致：公诚管理咨询有限公司</w:t>
      </w:r>
    </w:p>
    <w:p w14:paraId="19BB77A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我公司同意采购人不向贵公司支付任何费用，而由成交供应商向贵公司支付招标代理服务费。我公司承诺如下：</w:t>
      </w:r>
    </w:p>
    <w:p w14:paraId="22EA4889">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如若我司在贵公司组织的“</w:t>
      </w:r>
      <w:r>
        <w:rPr>
          <w:rFonts w:hint="eastAsia" w:ascii="宋体" w:hAnsi="宋体"/>
          <w:color w:val="auto"/>
          <w:szCs w:val="21"/>
          <w:highlight w:val="none"/>
          <w:u w:val="single"/>
        </w:rPr>
        <w:t xml:space="preserve">            </w:t>
      </w:r>
      <w:r>
        <w:rPr>
          <w:rFonts w:hint="eastAsia" w:ascii="宋体" w:hAnsi="宋体"/>
          <w:i/>
          <w:iCs/>
          <w:color w:val="auto"/>
          <w:szCs w:val="21"/>
          <w:highlight w:val="none"/>
          <w:u w:val="single"/>
        </w:rPr>
        <w:t>（项目名称）</w:t>
      </w:r>
      <w:r>
        <w:rPr>
          <w:rFonts w:hint="eastAsia" w:ascii="宋体" w:hAnsi="宋体"/>
          <w:color w:val="auto"/>
          <w:szCs w:val="21"/>
          <w:highlight w:val="none"/>
        </w:rPr>
        <w:t>”招标中获中标（项目编号：</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D603A4A">
      <w:pPr>
        <w:spacing w:line="360" w:lineRule="auto"/>
        <w:ind w:firstLine="420" w:firstLineChars="200"/>
        <w:jc w:val="left"/>
        <w:rPr>
          <w:rFonts w:ascii="宋体" w:hAnsi="宋体"/>
          <w:color w:val="auto"/>
          <w:szCs w:val="21"/>
          <w:highlight w:val="none"/>
        </w:rPr>
      </w:pPr>
    </w:p>
    <w:p w14:paraId="0E02B78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我公司保证在贵公司发出成交通知书后5个工作日内向贵公司，即公诚管理咨询有限公司缴交按采购文件规定的招标代理服务费。</w:t>
      </w:r>
    </w:p>
    <w:p w14:paraId="2A66220B">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特此承诺！</w:t>
      </w:r>
    </w:p>
    <w:p w14:paraId="7F22A04F">
      <w:pPr>
        <w:spacing w:line="360" w:lineRule="auto"/>
        <w:jc w:val="left"/>
        <w:rPr>
          <w:rFonts w:ascii="宋体" w:hAnsi="宋体"/>
          <w:color w:val="auto"/>
          <w:szCs w:val="21"/>
          <w:highlight w:val="none"/>
        </w:rPr>
      </w:pPr>
      <w:r>
        <w:rPr>
          <w:rFonts w:hint="eastAsia" w:ascii="宋体" w:hAnsi="宋体"/>
          <w:color w:val="auto"/>
          <w:szCs w:val="21"/>
          <w:highlight w:val="none"/>
        </w:rPr>
        <w:t xml:space="preserve"> </w:t>
      </w:r>
    </w:p>
    <w:p w14:paraId="13AD2729">
      <w:pPr>
        <w:spacing w:line="360" w:lineRule="auto"/>
        <w:jc w:val="left"/>
        <w:rPr>
          <w:rFonts w:ascii="宋体" w:hAnsi="宋体"/>
          <w:color w:val="auto"/>
          <w:szCs w:val="21"/>
          <w:highlight w:val="none"/>
        </w:rPr>
      </w:pPr>
      <w:r>
        <w:rPr>
          <w:rFonts w:hint="eastAsia" w:ascii="宋体" w:hAnsi="宋体"/>
          <w:color w:val="auto"/>
          <w:szCs w:val="21"/>
          <w:highlight w:val="none"/>
        </w:rPr>
        <w:t>备注：如需邮寄招标代理服务费发票，请填写以下信息：</w:t>
      </w:r>
    </w:p>
    <w:p w14:paraId="04EE76BA">
      <w:pPr>
        <w:spacing w:line="360" w:lineRule="auto"/>
        <w:jc w:val="left"/>
        <w:rPr>
          <w:rFonts w:ascii="宋体" w:hAnsi="宋体"/>
          <w:color w:val="auto"/>
          <w:szCs w:val="21"/>
          <w:highlight w:val="none"/>
        </w:rPr>
      </w:pPr>
      <w:r>
        <w:rPr>
          <w:rFonts w:hint="eastAsia" w:ascii="宋体" w:hAnsi="宋体"/>
          <w:color w:val="auto"/>
          <w:szCs w:val="21"/>
          <w:highlight w:val="none"/>
        </w:rPr>
        <w:t xml:space="preserve">收件人姓名及电话：                                </w:t>
      </w:r>
    </w:p>
    <w:p w14:paraId="2A5E929B">
      <w:pPr>
        <w:spacing w:line="360" w:lineRule="auto"/>
        <w:jc w:val="left"/>
        <w:rPr>
          <w:rFonts w:ascii="宋体" w:hAnsi="宋体"/>
          <w:color w:val="auto"/>
          <w:szCs w:val="21"/>
          <w:highlight w:val="none"/>
        </w:rPr>
      </w:pPr>
      <w:r>
        <w:rPr>
          <w:rFonts w:hint="eastAsia" w:ascii="宋体" w:hAnsi="宋体"/>
          <w:color w:val="auto"/>
          <w:szCs w:val="21"/>
          <w:highlight w:val="none"/>
        </w:rPr>
        <w:t xml:space="preserve">收  件  地  址  ：                                </w:t>
      </w:r>
    </w:p>
    <w:p w14:paraId="4C285E6D">
      <w:pPr>
        <w:spacing w:line="360" w:lineRule="auto"/>
        <w:jc w:val="left"/>
        <w:rPr>
          <w:rFonts w:ascii="宋体" w:hAnsi="宋体"/>
          <w:color w:val="auto"/>
          <w:szCs w:val="21"/>
          <w:highlight w:val="none"/>
        </w:rPr>
      </w:pPr>
    </w:p>
    <w:p w14:paraId="7045DDF0">
      <w:pPr>
        <w:spacing w:line="360" w:lineRule="auto"/>
        <w:jc w:val="left"/>
        <w:rPr>
          <w:rFonts w:ascii="宋体" w:hAnsi="宋体"/>
          <w:color w:val="auto"/>
          <w:szCs w:val="21"/>
          <w:highlight w:val="none"/>
        </w:rPr>
      </w:pPr>
    </w:p>
    <w:p w14:paraId="2B4A5425">
      <w:pPr>
        <w:spacing w:line="360" w:lineRule="auto"/>
        <w:ind w:right="840" w:firstLine="3542" w:firstLineChars="1687"/>
        <w:rPr>
          <w:rFonts w:ascii="宋体" w:hAnsi="宋体"/>
          <w:color w:val="auto"/>
          <w:szCs w:val="21"/>
          <w:highlight w:val="none"/>
        </w:rPr>
      </w:pPr>
      <w:r>
        <w:rPr>
          <w:rFonts w:hint="eastAsia" w:ascii="宋体" w:hAnsi="宋体"/>
          <w:color w:val="auto"/>
          <w:szCs w:val="21"/>
          <w:highlight w:val="none"/>
        </w:rPr>
        <w:t>承诺方授权代表</w:t>
      </w:r>
      <w:r>
        <w:rPr>
          <w:rFonts w:hint="eastAsia" w:ascii="宋体" w:hAnsi="宋体"/>
          <w:color w:val="auto"/>
          <w:highlight w:val="none"/>
        </w:rPr>
        <w:t>（签字或盖私章）</w:t>
      </w:r>
      <w:r>
        <w:rPr>
          <w:rFonts w:hint="eastAsia" w:ascii="宋体" w:hAnsi="宋体"/>
          <w:color w:val="auto"/>
          <w:szCs w:val="21"/>
          <w:highlight w:val="none"/>
        </w:rPr>
        <w:t xml:space="preserve">：            </w:t>
      </w:r>
    </w:p>
    <w:p w14:paraId="5498543B">
      <w:pPr>
        <w:spacing w:line="360" w:lineRule="auto"/>
        <w:ind w:right="840" w:firstLine="3542" w:firstLineChars="1687"/>
        <w:rPr>
          <w:rFonts w:ascii="宋体" w:hAnsi="宋体"/>
          <w:color w:val="auto"/>
          <w:szCs w:val="21"/>
          <w:highlight w:val="none"/>
        </w:rPr>
      </w:pPr>
      <w:r>
        <w:rPr>
          <w:rFonts w:hint="eastAsia" w:ascii="宋体" w:hAnsi="宋体"/>
          <w:color w:val="auto"/>
          <w:szCs w:val="21"/>
          <w:highlight w:val="none"/>
        </w:rPr>
        <w:t xml:space="preserve">承诺日期：             </w:t>
      </w:r>
    </w:p>
    <w:p w14:paraId="3AB6D510">
      <w:pPr>
        <w:spacing w:line="360" w:lineRule="auto"/>
        <w:ind w:right="840" w:firstLine="3542" w:firstLineChars="1687"/>
        <w:rPr>
          <w:rFonts w:ascii="宋体" w:hAnsi="宋体"/>
          <w:color w:val="auto"/>
          <w:szCs w:val="21"/>
          <w:highlight w:val="none"/>
        </w:rPr>
      </w:pPr>
      <w:r>
        <w:rPr>
          <w:rFonts w:hint="eastAsia" w:ascii="宋体" w:hAnsi="宋体"/>
          <w:color w:val="auto"/>
          <w:szCs w:val="21"/>
          <w:highlight w:val="none"/>
        </w:rPr>
        <w:t xml:space="preserve">承诺方盖章：              </w:t>
      </w:r>
    </w:p>
    <w:p w14:paraId="1CBD7847">
      <w:pPr>
        <w:spacing w:line="360" w:lineRule="auto"/>
        <w:jc w:val="left"/>
        <w:rPr>
          <w:rFonts w:ascii="宋体" w:hAnsi="宋体"/>
          <w:color w:val="auto"/>
          <w:szCs w:val="21"/>
          <w:highlight w:val="none"/>
        </w:rPr>
      </w:pPr>
    </w:p>
    <w:p w14:paraId="70BCF119">
      <w:pPr>
        <w:spacing w:line="360" w:lineRule="auto"/>
        <w:ind w:right="840"/>
        <w:rPr>
          <w:rFonts w:ascii="宋体" w:hAnsi="宋体"/>
          <w:color w:val="auto"/>
          <w:szCs w:val="21"/>
          <w:highlight w:val="none"/>
        </w:rPr>
      </w:pPr>
    </w:p>
    <w:p w14:paraId="32EC053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若我司未按前述期限支付代理服务费，贵司有权直接在应付我司任何一笔款项中直接扣除。</w:t>
      </w:r>
    </w:p>
    <w:p w14:paraId="05F479FD">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因前述事项发生争议，我方同意将争议提交北海国际仲裁院华南庭审中心仲裁解决。</w:t>
      </w:r>
    </w:p>
    <w:p w14:paraId="1668D6EC">
      <w:pPr>
        <w:spacing w:line="360" w:lineRule="auto"/>
        <w:jc w:val="left"/>
        <w:rPr>
          <w:rFonts w:ascii="宋体" w:hAnsi="宋体"/>
          <w:color w:val="auto"/>
          <w:szCs w:val="21"/>
          <w:highlight w:val="none"/>
        </w:rPr>
      </w:pPr>
    </w:p>
    <w:p w14:paraId="638A65A1">
      <w:pPr>
        <w:pStyle w:val="5"/>
        <w:ind w:firstLine="640"/>
        <w:rPr>
          <w:rFonts w:ascii="宋体" w:hAnsi="宋体" w:eastAsia="宋体"/>
          <w:color w:val="auto"/>
          <w:szCs w:val="21"/>
          <w:highlight w:val="none"/>
        </w:rPr>
      </w:pPr>
      <w:r>
        <w:rPr>
          <w:rFonts w:ascii="宋体" w:hAnsi="宋体" w:eastAsia="宋体"/>
          <w:color w:val="auto"/>
          <w:szCs w:val="21"/>
          <w:highlight w:val="none"/>
        </w:rPr>
        <w:br w:type="page"/>
      </w:r>
      <w:bookmarkStart w:id="534" w:name="_Toc30296"/>
      <w:bookmarkStart w:id="535" w:name="_Toc10157"/>
      <w:bookmarkStart w:id="536" w:name="_Toc70528473"/>
      <w:bookmarkStart w:id="537" w:name="_Toc23011"/>
      <w:bookmarkStart w:id="538" w:name="_Toc67046920"/>
      <w:bookmarkStart w:id="539" w:name="_Toc23836"/>
      <w:bookmarkStart w:id="540" w:name="_Toc4398"/>
      <w:bookmarkStart w:id="541" w:name="_Toc68789545"/>
      <w:bookmarkStart w:id="542" w:name="_Toc5406"/>
      <w:bookmarkStart w:id="543" w:name="_Toc1164"/>
      <w:bookmarkStart w:id="544" w:name="_Toc3166"/>
      <w:r>
        <w:rPr>
          <w:rFonts w:hint="eastAsia" w:ascii="宋体" w:hAnsi="宋体" w:eastAsia="宋体"/>
          <w:bCs w:val="0"/>
          <w:color w:val="auto"/>
          <w:sz w:val="28"/>
          <w:szCs w:val="28"/>
          <w:highlight w:val="none"/>
        </w:rPr>
        <w:t>六、其他格式</w:t>
      </w:r>
      <w:bookmarkEnd w:id="534"/>
      <w:bookmarkEnd w:id="535"/>
      <w:bookmarkEnd w:id="536"/>
      <w:bookmarkEnd w:id="537"/>
      <w:bookmarkEnd w:id="538"/>
      <w:bookmarkEnd w:id="539"/>
      <w:bookmarkEnd w:id="540"/>
      <w:bookmarkEnd w:id="541"/>
      <w:bookmarkEnd w:id="542"/>
      <w:bookmarkEnd w:id="543"/>
      <w:bookmarkEnd w:id="544"/>
    </w:p>
    <w:p w14:paraId="6518964A">
      <w:pPr>
        <w:pStyle w:val="4"/>
        <w:tabs>
          <w:tab w:val="left" w:pos="945"/>
        </w:tabs>
        <w:spacing w:line="360" w:lineRule="auto"/>
        <w:ind w:firstLine="480"/>
        <w:rPr>
          <w:rFonts w:ascii="宋体" w:hAnsi="宋体"/>
          <w:color w:val="auto"/>
          <w:sz w:val="24"/>
          <w:szCs w:val="24"/>
          <w:highlight w:val="none"/>
        </w:rPr>
      </w:pPr>
      <w:bookmarkStart w:id="545" w:name="_Toc25769742"/>
      <w:bookmarkStart w:id="546" w:name="_Toc22806170"/>
      <w:r>
        <w:rPr>
          <w:rFonts w:hint="eastAsia" w:ascii="宋体" w:hAnsi="宋体"/>
          <w:color w:val="auto"/>
          <w:sz w:val="24"/>
          <w:szCs w:val="24"/>
          <w:highlight w:val="none"/>
        </w:rPr>
        <w:t>附件1：询问函格式</w:t>
      </w:r>
      <w:bookmarkEnd w:id="545"/>
      <w:bookmarkEnd w:id="546"/>
    </w:p>
    <w:p w14:paraId="407A5D09">
      <w:pPr>
        <w:autoSpaceDE w:val="0"/>
        <w:autoSpaceDN w:val="0"/>
        <w:spacing w:line="360" w:lineRule="auto"/>
        <w:ind w:firstLine="482"/>
        <w:jc w:val="center"/>
        <w:rPr>
          <w:rFonts w:ascii="宋体" w:hAnsi="宋体"/>
          <w:b/>
          <w:color w:val="auto"/>
          <w:sz w:val="24"/>
          <w:highlight w:val="none"/>
        </w:rPr>
      </w:pPr>
      <w:r>
        <w:rPr>
          <w:rFonts w:hint="eastAsia" w:ascii="宋体" w:hAnsi="宋体"/>
          <w:b/>
          <w:color w:val="auto"/>
          <w:sz w:val="24"/>
          <w:highlight w:val="none"/>
        </w:rPr>
        <w:t>询问函</w:t>
      </w:r>
    </w:p>
    <w:p w14:paraId="5FDE432A">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XXXX公司：</w:t>
      </w:r>
    </w:p>
    <w:p w14:paraId="72B8C0B3">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我单位已按规定获取采购文件并准备参与</w:t>
      </w:r>
      <w:r>
        <w:rPr>
          <w:rFonts w:hint="eastAsia" w:ascii="宋体" w:hAnsi="宋体"/>
          <w:color w:val="auto"/>
          <w:sz w:val="24"/>
          <w:highlight w:val="none"/>
          <w:u w:val="single"/>
        </w:rPr>
        <w:t xml:space="preserve">               </w:t>
      </w:r>
      <w:r>
        <w:rPr>
          <w:rFonts w:hint="eastAsia" w:ascii="宋体" w:hAnsi="宋体"/>
          <w:color w:val="auto"/>
          <w:sz w:val="24"/>
          <w:highlight w:val="none"/>
        </w:rPr>
        <w:t>（采购文件编号：</w:t>
      </w:r>
      <w:r>
        <w:rPr>
          <w:rFonts w:hint="eastAsia" w:ascii="宋体" w:hAnsi="宋体"/>
          <w:color w:val="auto"/>
          <w:sz w:val="24"/>
          <w:highlight w:val="none"/>
          <w:u w:val="single"/>
        </w:rPr>
        <w:t xml:space="preserve">              </w:t>
      </w:r>
      <w:r>
        <w:rPr>
          <w:rFonts w:hint="eastAsia" w:ascii="宋体" w:hAnsi="宋体"/>
          <w:color w:val="auto"/>
          <w:sz w:val="24"/>
          <w:highlight w:val="none"/>
        </w:rPr>
        <w:t>）的投标（或报价）活动，现有以下几个内容（或条款）存在疑问（或无法理解），特提出询问。</w:t>
      </w:r>
    </w:p>
    <w:p w14:paraId="25C4C5DD">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一、</w:t>
      </w:r>
      <w:r>
        <w:rPr>
          <w:rFonts w:hint="eastAsia" w:ascii="宋体" w:hAnsi="宋体"/>
          <w:color w:val="auto"/>
          <w:sz w:val="24"/>
          <w:highlight w:val="none"/>
          <w:u w:val="single"/>
        </w:rPr>
        <w:t xml:space="preserve">                     </w:t>
      </w:r>
      <w:r>
        <w:rPr>
          <w:rFonts w:hint="eastAsia" w:ascii="宋体" w:hAnsi="宋体"/>
          <w:color w:val="auto"/>
          <w:sz w:val="24"/>
          <w:highlight w:val="none"/>
        </w:rPr>
        <w:t>（事项一）</w:t>
      </w:r>
    </w:p>
    <w:p w14:paraId="6287BB73">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（问题或条款内容）</w:t>
      </w:r>
    </w:p>
    <w:p w14:paraId="270A1CF9">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（说明疑问或无法理解原因）</w:t>
      </w:r>
    </w:p>
    <w:p w14:paraId="45A0403C">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（建议）</w:t>
      </w:r>
    </w:p>
    <w:p w14:paraId="5250F5F7">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二、</w:t>
      </w:r>
      <w:r>
        <w:rPr>
          <w:rFonts w:hint="eastAsia" w:ascii="宋体" w:hAnsi="宋体"/>
          <w:color w:val="auto"/>
          <w:sz w:val="24"/>
          <w:highlight w:val="none"/>
          <w:u w:val="single"/>
        </w:rPr>
        <w:t xml:space="preserve">                     </w:t>
      </w:r>
      <w:r>
        <w:rPr>
          <w:rFonts w:hint="eastAsia" w:ascii="宋体" w:hAnsi="宋体"/>
          <w:color w:val="auto"/>
          <w:sz w:val="24"/>
          <w:highlight w:val="none"/>
        </w:rPr>
        <w:t>（事项二）</w:t>
      </w:r>
    </w:p>
    <w:p w14:paraId="2C83BD24">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p>
    <w:p w14:paraId="63BA1B07">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随附相关证明材料如下：（请提供目录）。</w:t>
      </w:r>
    </w:p>
    <w:p w14:paraId="4FE73F21">
      <w:pPr>
        <w:autoSpaceDE w:val="0"/>
        <w:autoSpaceDN w:val="0"/>
        <w:spacing w:line="360" w:lineRule="auto"/>
        <w:ind w:firstLine="482"/>
        <w:rPr>
          <w:rFonts w:ascii="宋体" w:hAnsi="宋体"/>
          <w:color w:val="auto"/>
          <w:sz w:val="24"/>
          <w:highlight w:val="none"/>
        </w:rPr>
      </w:pPr>
    </w:p>
    <w:p w14:paraId="13313C46">
      <w:pPr>
        <w:autoSpaceDE w:val="0"/>
        <w:autoSpaceDN w:val="0"/>
        <w:spacing w:line="360" w:lineRule="auto"/>
        <w:ind w:firstLine="4320" w:firstLineChars="1800"/>
        <w:rPr>
          <w:rFonts w:ascii="宋体" w:hAnsi="宋体"/>
          <w:color w:val="auto"/>
          <w:sz w:val="24"/>
          <w:highlight w:val="none"/>
        </w:rPr>
      </w:pPr>
      <w:r>
        <w:rPr>
          <w:rFonts w:hint="eastAsia" w:ascii="宋体" w:hAnsi="宋体"/>
          <w:color w:val="auto"/>
          <w:sz w:val="24"/>
          <w:highlight w:val="none"/>
        </w:rPr>
        <w:t>询问人：（公章）</w:t>
      </w:r>
    </w:p>
    <w:p w14:paraId="093A0125">
      <w:pPr>
        <w:autoSpaceDE w:val="0"/>
        <w:autoSpaceDN w:val="0"/>
        <w:spacing w:line="360" w:lineRule="auto"/>
        <w:ind w:firstLine="4320" w:firstLineChars="1800"/>
        <w:rPr>
          <w:rFonts w:ascii="宋体" w:hAnsi="宋体"/>
          <w:color w:val="auto"/>
          <w:sz w:val="24"/>
          <w:highlight w:val="none"/>
        </w:rPr>
      </w:pPr>
      <w:r>
        <w:rPr>
          <w:rFonts w:hint="eastAsia" w:ascii="宋体" w:hAnsi="宋体"/>
          <w:color w:val="auto"/>
          <w:sz w:val="24"/>
          <w:highlight w:val="none"/>
        </w:rPr>
        <w:t>法定代表人（授权代表）：</w:t>
      </w:r>
    </w:p>
    <w:p w14:paraId="34CC3E80">
      <w:pPr>
        <w:autoSpaceDE w:val="0"/>
        <w:autoSpaceDN w:val="0"/>
        <w:spacing w:line="360" w:lineRule="auto"/>
        <w:ind w:firstLine="4320" w:firstLineChars="1800"/>
        <w:rPr>
          <w:rFonts w:ascii="宋体" w:hAnsi="宋体"/>
          <w:color w:val="auto"/>
          <w:sz w:val="24"/>
          <w:highlight w:val="none"/>
        </w:rPr>
      </w:pPr>
      <w:r>
        <w:rPr>
          <w:rFonts w:hint="eastAsia" w:ascii="宋体" w:hAnsi="宋体"/>
          <w:color w:val="auto"/>
          <w:sz w:val="24"/>
          <w:highlight w:val="none"/>
        </w:rPr>
        <w:t>地址/邮编：</w:t>
      </w:r>
    </w:p>
    <w:p w14:paraId="4E2B5E43">
      <w:pPr>
        <w:autoSpaceDE w:val="0"/>
        <w:autoSpaceDN w:val="0"/>
        <w:spacing w:line="360" w:lineRule="auto"/>
        <w:ind w:firstLine="4320" w:firstLineChars="1800"/>
        <w:rPr>
          <w:rFonts w:ascii="宋体" w:hAnsi="宋体"/>
          <w:color w:val="auto"/>
          <w:sz w:val="24"/>
          <w:highlight w:val="none"/>
        </w:rPr>
      </w:pPr>
      <w:r>
        <w:rPr>
          <w:rFonts w:hint="eastAsia" w:ascii="宋体" w:hAnsi="宋体"/>
          <w:color w:val="auto"/>
          <w:sz w:val="24"/>
          <w:highlight w:val="none"/>
        </w:rPr>
        <w:t>电话/传真：</w:t>
      </w:r>
    </w:p>
    <w:p w14:paraId="10551236">
      <w:pPr>
        <w:autoSpaceDE w:val="0"/>
        <w:autoSpaceDN w:val="0"/>
        <w:spacing w:line="360" w:lineRule="auto"/>
        <w:ind w:firstLine="4320" w:firstLineChars="1800"/>
        <w:rPr>
          <w:rFonts w:ascii="宋体" w:hAnsi="宋体"/>
          <w:color w:val="auto"/>
          <w:sz w:val="24"/>
          <w:highlight w:val="none"/>
        </w:rPr>
      </w:pPr>
      <w:r>
        <w:rPr>
          <w:rFonts w:hint="eastAsia" w:ascii="宋体" w:hAnsi="宋体"/>
          <w:color w:val="auto"/>
          <w:sz w:val="24"/>
          <w:highlight w:val="none"/>
        </w:rPr>
        <w:t xml:space="preserve">        年  月  日</w:t>
      </w:r>
    </w:p>
    <w:p w14:paraId="15D78C4D">
      <w:pPr>
        <w:pStyle w:val="4"/>
        <w:tabs>
          <w:tab w:val="left" w:pos="945"/>
        </w:tabs>
        <w:spacing w:line="360" w:lineRule="auto"/>
        <w:ind w:firstLine="480"/>
        <w:rPr>
          <w:rFonts w:ascii="宋体" w:hAnsi="宋体"/>
          <w:color w:val="auto"/>
          <w:sz w:val="24"/>
          <w:szCs w:val="24"/>
          <w:highlight w:val="none"/>
        </w:rPr>
      </w:pPr>
      <w:r>
        <w:rPr>
          <w:rFonts w:hint="eastAsia" w:ascii="宋体" w:hAnsi="宋体"/>
          <w:b w:val="0"/>
          <w:bCs w:val="0"/>
          <w:color w:val="auto"/>
          <w:sz w:val="24"/>
          <w:szCs w:val="24"/>
          <w:highlight w:val="none"/>
        </w:rPr>
        <w:br w:type="page"/>
      </w:r>
      <w:bookmarkStart w:id="547" w:name="_Toc25769743"/>
      <w:bookmarkStart w:id="548" w:name="_Toc22806171"/>
      <w:r>
        <w:rPr>
          <w:rFonts w:hint="eastAsia" w:ascii="宋体" w:hAnsi="宋体"/>
          <w:color w:val="auto"/>
          <w:sz w:val="24"/>
          <w:szCs w:val="24"/>
          <w:highlight w:val="none"/>
        </w:rPr>
        <w:t>附件2：质疑函格式</w:t>
      </w:r>
      <w:bookmarkEnd w:id="547"/>
      <w:bookmarkEnd w:id="548"/>
    </w:p>
    <w:p w14:paraId="5FB48213">
      <w:pPr>
        <w:autoSpaceDE w:val="0"/>
        <w:autoSpaceDN w:val="0"/>
        <w:spacing w:line="360" w:lineRule="auto"/>
        <w:ind w:firstLine="482"/>
        <w:jc w:val="center"/>
        <w:rPr>
          <w:rFonts w:ascii="宋体" w:hAnsi="宋体"/>
          <w:b/>
          <w:color w:val="auto"/>
          <w:sz w:val="24"/>
          <w:highlight w:val="none"/>
        </w:rPr>
      </w:pPr>
      <w:r>
        <w:rPr>
          <w:rFonts w:hint="eastAsia" w:ascii="宋体" w:hAnsi="宋体"/>
          <w:b/>
          <w:color w:val="auto"/>
          <w:sz w:val="24"/>
          <w:highlight w:val="none"/>
        </w:rPr>
        <w:t>质疑函</w:t>
      </w:r>
    </w:p>
    <w:p w14:paraId="3815AD6B">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一、质疑供应商基本信息</w:t>
      </w:r>
    </w:p>
    <w:p w14:paraId="5082894A">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质疑供应商：</w:t>
      </w:r>
      <w:r>
        <w:rPr>
          <w:rFonts w:hint="eastAsia" w:ascii="宋体" w:hAnsi="宋体"/>
          <w:color w:val="auto"/>
          <w:sz w:val="24"/>
          <w:highlight w:val="none"/>
          <w:u w:val="single"/>
        </w:rPr>
        <w:t xml:space="preserve">                                                               </w:t>
      </w:r>
    </w:p>
    <w:p w14:paraId="32014A2D">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邮编：</w:t>
      </w:r>
      <w:r>
        <w:rPr>
          <w:rFonts w:hint="eastAsia" w:ascii="宋体" w:hAnsi="宋体"/>
          <w:color w:val="auto"/>
          <w:sz w:val="24"/>
          <w:highlight w:val="none"/>
          <w:u w:val="single"/>
        </w:rPr>
        <w:t xml:space="preserve">               </w:t>
      </w:r>
    </w:p>
    <w:p w14:paraId="2517596A">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p>
    <w:p w14:paraId="184D8E87">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p>
    <w:p w14:paraId="0384AF98">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邮编：</w:t>
      </w:r>
      <w:r>
        <w:rPr>
          <w:rFonts w:hint="eastAsia" w:ascii="宋体" w:hAnsi="宋体"/>
          <w:color w:val="auto"/>
          <w:sz w:val="24"/>
          <w:highlight w:val="none"/>
          <w:u w:val="single"/>
        </w:rPr>
        <w:t xml:space="preserve">               </w:t>
      </w:r>
    </w:p>
    <w:p w14:paraId="3B304732">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二、质疑项目基本情况</w:t>
      </w:r>
    </w:p>
    <w:p w14:paraId="6AAA839C">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质疑项目的名称：</w:t>
      </w:r>
      <w:r>
        <w:rPr>
          <w:rFonts w:hint="eastAsia" w:ascii="宋体" w:hAnsi="宋体"/>
          <w:color w:val="auto"/>
          <w:sz w:val="24"/>
          <w:highlight w:val="none"/>
          <w:u w:val="single"/>
        </w:rPr>
        <w:t xml:space="preserve">                                                           </w:t>
      </w:r>
    </w:p>
    <w:p w14:paraId="4AE47DF7">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质疑项目的文件编号：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包组号：</w:t>
      </w:r>
      <w:r>
        <w:rPr>
          <w:rFonts w:hint="eastAsia" w:ascii="宋体" w:hAnsi="宋体"/>
          <w:color w:val="auto"/>
          <w:sz w:val="24"/>
          <w:highlight w:val="none"/>
          <w:u w:val="single"/>
        </w:rPr>
        <w:t xml:space="preserve">             </w:t>
      </w:r>
    </w:p>
    <w:p w14:paraId="3D658FAC">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采购人名称：</w:t>
      </w:r>
      <w:r>
        <w:rPr>
          <w:rFonts w:hint="eastAsia" w:ascii="宋体" w:hAnsi="宋体"/>
          <w:color w:val="auto"/>
          <w:sz w:val="24"/>
          <w:highlight w:val="none"/>
          <w:u w:val="single"/>
        </w:rPr>
        <w:t xml:space="preserve">                                                               </w:t>
      </w:r>
    </w:p>
    <w:p w14:paraId="1470DD19">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采购文件获取日期：</w:t>
      </w:r>
      <w:r>
        <w:rPr>
          <w:rFonts w:hint="eastAsia" w:ascii="宋体" w:hAnsi="宋体"/>
          <w:color w:val="auto"/>
          <w:sz w:val="24"/>
          <w:highlight w:val="none"/>
          <w:u w:val="single"/>
        </w:rPr>
        <w:t xml:space="preserve">                                                         </w:t>
      </w:r>
    </w:p>
    <w:p w14:paraId="7C4956C8">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质疑环节：采购文件/开标过程/评审过程、中标或者成交结果/其他：</w:t>
      </w:r>
      <w:r>
        <w:rPr>
          <w:rFonts w:hint="eastAsia" w:ascii="宋体" w:hAnsi="宋体"/>
          <w:color w:val="auto"/>
          <w:sz w:val="24"/>
          <w:highlight w:val="none"/>
          <w:u w:val="single"/>
        </w:rPr>
        <w:t>（请填写具体环节）</w:t>
      </w:r>
    </w:p>
    <w:p w14:paraId="112144B7">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三、质疑事项具体内容</w:t>
      </w:r>
    </w:p>
    <w:p w14:paraId="265B3335">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质疑事项1：</w:t>
      </w:r>
      <w:r>
        <w:rPr>
          <w:rFonts w:hint="eastAsia" w:ascii="宋体" w:hAnsi="宋体"/>
          <w:color w:val="auto"/>
          <w:sz w:val="24"/>
          <w:highlight w:val="none"/>
          <w:u w:val="single"/>
        </w:rPr>
        <w:t xml:space="preserve">（质疑事项1标题或简要描述）                                      </w:t>
      </w:r>
    </w:p>
    <w:p w14:paraId="24123B5F">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事实依据：</w:t>
      </w:r>
      <w:r>
        <w:rPr>
          <w:rFonts w:hint="eastAsia" w:ascii="宋体" w:hAnsi="宋体"/>
          <w:color w:val="auto"/>
          <w:sz w:val="24"/>
          <w:highlight w:val="none"/>
          <w:u w:val="single"/>
        </w:rPr>
        <w:t xml:space="preserve">                                                                 </w:t>
      </w:r>
    </w:p>
    <w:p w14:paraId="66202526">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u w:val="single"/>
        </w:rPr>
        <w:t xml:space="preserve">                                                                           </w:t>
      </w:r>
    </w:p>
    <w:p w14:paraId="3EE45F62">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法律依据：</w:t>
      </w:r>
      <w:r>
        <w:rPr>
          <w:rFonts w:hint="eastAsia" w:ascii="宋体" w:hAnsi="宋体"/>
          <w:color w:val="auto"/>
          <w:sz w:val="24"/>
          <w:highlight w:val="none"/>
          <w:u w:val="single"/>
        </w:rPr>
        <w:t xml:space="preserve">                                                                 </w:t>
      </w:r>
    </w:p>
    <w:p w14:paraId="59AE4450">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u w:val="single"/>
        </w:rPr>
        <w:t xml:space="preserve">                                                                           </w:t>
      </w:r>
    </w:p>
    <w:p w14:paraId="2E4F4968">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质疑事项2：</w:t>
      </w:r>
      <w:r>
        <w:rPr>
          <w:rFonts w:hint="eastAsia" w:ascii="宋体" w:hAnsi="宋体"/>
          <w:color w:val="auto"/>
          <w:sz w:val="24"/>
          <w:highlight w:val="none"/>
          <w:u w:val="single"/>
        </w:rPr>
        <w:t xml:space="preserve">（质疑事项1标题或简要描述）                                      </w:t>
      </w:r>
    </w:p>
    <w:p w14:paraId="678783B3">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w:t>
      </w:r>
    </w:p>
    <w:p w14:paraId="1330068B">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四、与质疑事项相关的质疑请求</w:t>
      </w:r>
    </w:p>
    <w:p w14:paraId="44DC4344">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请求：</w:t>
      </w:r>
      <w:r>
        <w:rPr>
          <w:rFonts w:hint="eastAsia" w:ascii="宋体" w:hAnsi="宋体"/>
          <w:color w:val="auto"/>
          <w:sz w:val="24"/>
          <w:highlight w:val="none"/>
          <w:u w:val="single"/>
        </w:rPr>
        <w:t xml:space="preserve">                                                                     </w:t>
      </w:r>
    </w:p>
    <w:p w14:paraId="2928A6B2">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代表（签字或盖章）：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（机构供应商）公章：</w:t>
      </w:r>
      <w:r>
        <w:rPr>
          <w:rFonts w:hint="eastAsia" w:ascii="宋体" w:hAnsi="宋体"/>
          <w:color w:val="auto"/>
          <w:sz w:val="24"/>
          <w:highlight w:val="none"/>
          <w:u w:val="single"/>
        </w:rPr>
        <w:t xml:space="preserve">               </w:t>
      </w:r>
    </w:p>
    <w:p w14:paraId="6D5C80D2">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质疑日期：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084D6FA1">
      <w:pPr>
        <w:autoSpaceDE w:val="0"/>
        <w:autoSpaceDN w:val="0"/>
        <w:spacing w:line="360" w:lineRule="auto"/>
        <w:ind w:firstLine="482"/>
        <w:rPr>
          <w:rFonts w:ascii="宋体" w:hAnsi="宋体"/>
          <w:color w:val="auto"/>
          <w:sz w:val="24"/>
          <w:highlight w:val="none"/>
        </w:rPr>
      </w:pPr>
    </w:p>
    <w:p w14:paraId="10211DF6">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质疑函制作说明：</w:t>
      </w:r>
    </w:p>
    <w:p w14:paraId="41E98A52">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1.供应商提出质疑时，应提交质疑函和必要的证明材料。</w:t>
      </w:r>
    </w:p>
    <w:p w14:paraId="2E0E81A6">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19E77F8">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3.质疑供应商若对项目的某一包组进行质疑，质疑函中应列明具体包组号。</w:t>
      </w:r>
    </w:p>
    <w:p w14:paraId="1E26336B">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4.质疑函的质疑事项应具体、明确，并有必要的事实依据和法律依据。</w:t>
      </w:r>
    </w:p>
    <w:p w14:paraId="05C6B2B1">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5.质疑函的质疑请求应与质疑事项相关。</w:t>
      </w:r>
    </w:p>
    <w:p w14:paraId="398BE815">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2FCD89B7">
      <w:pPr>
        <w:pStyle w:val="4"/>
        <w:tabs>
          <w:tab w:val="left" w:pos="945"/>
        </w:tabs>
        <w:spacing w:line="360" w:lineRule="auto"/>
        <w:ind w:left="425" w:firstLine="480"/>
        <w:rPr>
          <w:rFonts w:ascii="宋体" w:hAnsi="宋体"/>
          <w:color w:val="auto"/>
          <w:sz w:val="24"/>
          <w:szCs w:val="24"/>
          <w:highlight w:val="none"/>
        </w:rPr>
      </w:pPr>
      <w:r>
        <w:rPr>
          <w:rFonts w:hint="eastAsia" w:ascii="宋体" w:hAnsi="宋体"/>
          <w:b w:val="0"/>
          <w:bCs w:val="0"/>
          <w:color w:val="auto"/>
          <w:sz w:val="24"/>
          <w:szCs w:val="24"/>
          <w:highlight w:val="none"/>
        </w:rPr>
        <w:br w:type="page"/>
      </w:r>
      <w:bookmarkStart w:id="549" w:name="_Toc22806172"/>
      <w:bookmarkStart w:id="550" w:name="_Toc25769744"/>
      <w:r>
        <w:rPr>
          <w:rFonts w:hint="eastAsia" w:ascii="宋体" w:hAnsi="宋体"/>
          <w:color w:val="auto"/>
          <w:sz w:val="24"/>
          <w:szCs w:val="24"/>
          <w:highlight w:val="none"/>
        </w:rPr>
        <w:t>附件3：投诉书格式</w:t>
      </w:r>
      <w:bookmarkEnd w:id="549"/>
      <w:bookmarkEnd w:id="550"/>
    </w:p>
    <w:p w14:paraId="6510D7DA">
      <w:pPr>
        <w:autoSpaceDE w:val="0"/>
        <w:autoSpaceDN w:val="0"/>
        <w:spacing w:line="360" w:lineRule="auto"/>
        <w:ind w:firstLine="482"/>
        <w:jc w:val="center"/>
        <w:rPr>
          <w:rFonts w:ascii="宋体" w:hAnsi="宋体"/>
          <w:b/>
          <w:color w:val="auto"/>
          <w:sz w:val="24"/>
          <w:highlight w:val="none"/>
        </w:rPr>
      </w:pPr>
      <w:r>
        <w:rPr>
          <w:rFonts w:hint="eastAsia" w:ascii="宋体" w:hAnsi="宋体"/>
          <w:b/>
          <w:color w:val="auto"/>
          <w:sz w:val="24"/>
          <w:highlight w:val="none"/>
        </w:rPr>
        <w:t>投诉书</w:t>
      </w:r>
    </w:p>
    <w:p w14:paraId="31F332EC">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一、投诉相关主体基本情况</w:t>
      </w:r>
    </w:p>
    <w:p w14:paraId="02EBD3FB">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投诉人：</w:t>
      </w:r>
      <w:r>
        <w:rPr>
          <w:rFonts w:hint="eastAsia" w:ascii="宋体" w:hAnsi="宋体"/>
          <w:color w:val="auto"/>
          <w:sz w:val="24"/>
          <w:highlight w:val="none"/>
          <w:u w:val="single"/>
        </w:rPr>
        <w:t xml:space="preserve">                                                                   </w:t>
      </w:r>
    </w:p>
    <w:p w14:paraId="712CA693">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邮编：</w:t>
      </w:r>
      <w:r>
        <w:rPr>
          <w:rFonts w:hint="eastAsia" w:ascii="宋体" w:hAnsi="宋体"/>
          <w:color w:val="auto"/>
          <w:sz w:val="24"/>
          <w:highlight w:val="none"/>
          <w:u w:val="single"/>
        </w:rPr>
        <w:t xml:space="preserve">               </w:t>
      </w:r>
    </w:p>
    <w:p w14:paraId="647DACE2">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法定代表人/主要负责人：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p>
    <w:p w14:paraId="739F239A">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p>
    <w:p w14:paraId="07EA05BE">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邮编：</w:t>
      </w:r>
      <w:r>
        <w:rPr>
          <w:rFonts w:hint="eastAsia" w:ascii="宋体" w:hAnsi="宋体"/>
          <w:color w:val="auto"/>
          <w:sz w:val="24"/>
          <w:highlight w:val="none"/>
          <w:u w:val="single"/>
        </w:rPr>
        <w:t xml:space="preserve">               </w:t>
      </w:r>
    </w:p>
    <w:p w14:paraId="3D8C0ED7">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被投诉人1：</w:t>
      </w:r>
      <w:r>
        <w:rPr>
          <w:rFonts w:hint="eastAsia" w:ascii="宋体" w:hAnsi="宋体"/>
          <w:color w:val="auto"/>
          <w:sz w:val="24"/>
          <w:highlight w:val="none"/>
          <w:u w:val="single"/>
        </w:rPr>
        <w:t xml:space="preserve">                                                                </w:t>
      </w:r>
    </w:p>
    <w:p w14:paraId="0350E532">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邮编：</w:t>
      </w:r>
      <w:r>
        <w:rPr>
          <w:rFonts w:hint="eastAsia" w:ascii="宋体" w:hAnsi="宋体"/>
          <w:color w:val="auto"/>
          <w:sz w:val="24"/>
          <w:highlight w:val="none"/>
          <w:u w:val="single"/>
        </w:rPr>
        <w:t xml:space="preserve">               </w:t>
      </w:r>
    </w:p>
    <w:p w14:paraId="32590EAF">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p>
    <w:p w14:paraId="5457641C">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被投诉人2：</w:t>
      </w:r>
      <w:r>
        <w:rPr>
          <w:rFonts w:hint="eastAsia" w:ascii="宋体" w:hAnsi="宋体"/>
          <w:color w:val="auto"/>
          <w:sz w:val="24"/>
          <w:highlight w:val="none"/>
          <w:u w:val="single"/>
        </w:rPr>
        <w:t xml:space="preserve">                                                                </w:t>
      </w:r>
    </w:p>
    <w:p w14:paraId="30DB6424">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w:t>
      </w:r>
    </w:p>
    <w:p w14:paraId="086743D8">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相关供应商：</w:t>
      </w:r>
      <w:r>
        <w:rPr>
          <w:rFonts w:hint="eastAsia" w:ascii="宋体" w:hAnsi="宋体"/>
          <w:color w:val="auto"/>
          <w:sz w:val="24"/>
          <w:highlight w:val="none"/>
          <w:u w:val="single"/>
        </w:rPr>
        <w:t xml:space="preserve">                                                               </w:t>
      </w:r>
    </w:p>
    <w:p w14:paraId="00D99632">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邮编：</w:t>
      </w:r>
      <w:r>
        <w:rPr>
          <w:rFonts w:hint="eastAsia" w:ascii="宋体" w:hAnsi="宋体"/>
          <w:color w:val="auto"/>
          <w:sz w:val="24"/>
          <w:highlight w:val="none"/>
          <w:u w:val="single"/>
        </w:rPr>
        <w:t xml:space="preserve">               </w:t>
      </w:r>
    </w:p>
    <w:p w14:paraId="3EEAC0F9">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p>
    <w:p w14:paraId="357C8F86">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二、投诉项目基本情况</w:t>
      </w:r>
    </w:p>
    <w:p w14:paraId="7A53DBD8">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采购项目名称：</w:t>
      </w:r>
      <w:r>
        <w:rPr>
          <w:rFonts w:hint="eastAsia" w:ascii="宋体" w:hAnsi="宋体"/>
          <w:color w:val="auto"/>
          <w:sz w:val="24"/>
          <w:highlight w:val="none"/>
          <w:u w:val="single"/>
        </w:rPr>
        <w:t xml:space="preserve">                                                             </w:t>
      </w:r>
    </w:p>
    <w:p w14:paraId="62D0EF62">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采购文件编号：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包组号：</w:t>
      </w:r>
      <w:r>
        <w:rPr>
          <w:rFonts w:hint="eastAsia" w:ascii="宋体" w:hAnsi="宋体"/>
          <w:color w:val="auto"/>
          <w:sz w:val="24"/>
          <w:highlight w:val="none"/>
          <w:u w:val="single"/>
        </w:rPr>
        <w:t xml:space="preserve">             </w:t>
      </w:r>
    </w:p>
    <w:p w14:paraId="2ADB5691">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采购人名称：</w:t>
      </w:r>
      <w:r>
        <w:rPr>
          <w:rFonts w:hint="eastAsia" w:ascii="宋体" w:hAnsi="宋体"/>
          <w:color w:val="auto"/>
          <w:sz w:val="24"/>
          <w:highlight w:val="none"/>
          <w:u w:val="single"/>
        </w:rPr>
        <w:t xml:space="preserve">                                                               </w:t>
      </w:r>
    </w:p>
    <w:p w14:paraId="3606C752">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采购代理机构名称：</w:t>
      </w:r>
      <w:r>
        <w:rPr>
          <w:rFonts w:hint="eastAsia" w:ascii="宋体" w:hAnsi="宋体"/>
          <w:color w:val="auto"/>
          <w:sz w:val="24"/>
          <w:highlight w:val="none"/>
          <w:u w:val="single"/>
        </w:rPr>
        <w:t xml:space="preserve">                                                         </w:t>
      </w:r>
    </w:p>
    <w:p w14:paraId="412FA0DD">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采购文件公告：是/否  公告期限：</w:t>
      </w:r>
      <w:r>
        <w:rPr>
          <w:rFonts w:hint="eastAsia" w:ascii="宋体" w:hAnsi="宋体"/>
          <w:color w:val="auto"/>
          <w:sz w:val="24"/>
          <w:highlight w:val="none"/>
          <w:u w:val="single"/>
        </w:rPr>
        <w:t xml:space="preserve">                                            </w:t>
      </w:r>
    </w:p>
    <w:p w14:paraId="2290D46A">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采购结果公告：是/否  公告期限：</w:t>
      </w:r>
      <w:r>
        <w:rPr>
          <w:rFonts w:hint="eastAsia" w:ascii="宋体" w:hAnsi="宋体"/>
          <w:color w:val="auto"/>
          <w:sz w:val="24"/>
          <w:highlight w:val="none"/>
          <w:u w:val="single"/>
        </w:rPr>
        <w:t xml:space="preserve">                                            </w:t>
      </w:r>
    </w:p>
    <w:p w14:paraId="4CEE6E2C">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三、质疑基本情况</w:t>
      </w:r>
    </w:p>
    <w:p w14:paraId="23BCCDF5">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投诉人于</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日，向</w:t>
      </w:r>
      <w:r>
        <w:rPr>
          <w:rFonts w:hint="eastAsia" w:ascii="宋体" w:hAnsi="宋体"/>
          <w:color w:val="auto"/>
          <w:sz w:val="24"/>
          <w:highlight w:val="none"/>
          <w:u w:val="single"/>
        </w:rPr>
        <w:t xml:space="preserve">                       </w:t>
      </w:r>
      <w:r>
        <w:rPr>
          <w:rFonts w:hint="eastAsia" w:ascii="宋体" w:hAnsi="宋体"/>
          <w:color w:val="auto"/>
          <w:sz w:val="24"/>
          <w:highlight w:val="none"/>
        </w:rPr>
        <w:t>提出质疑，质疑事项为：</w:t>
      </w:r>
    </w:p>
    <w:p w14:paraId="261DE5E6">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u w:val="single"/>
        </w:rPr>
        <w:t xml:space="preserve">                                                                           </w:t>
      </w:r>
    </w:p>
    <w:p w14:paraId="5A6DCDA7">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采购人/代理机构于</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日，就质疑事项作出了答复/没有在法定期限内作出答复。</w:t>
      </w:r>
    </w:p>
    <w:p w14:paraId="70C2F768">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四、投诉事项具体内容</w:t>
      </w:r>
    </w:p>
    <w:p w14:paraId="7B9E44F2">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投诉事项1：</w:t>
      </w:r>
      <w:r>
        <w:rPr>
          <w:rFonts w:hint="eastAsia" w:ascii="宋体" w:hAnsi="宋体"/>
          <w:color w:val="auto"/>
          <w:sz w:val="24"/>
          <w:highlight w:val="none"/>
          <w:u w:val="single"/>
        </w:rPr>
        <w:t xml:space="preserve">                                                                </w:t>
      </w:r>
    </w:p>
    <w:p w14:paraId="6312923C">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事实依据：</w:t>
      </w:r>
      <w:r>
        <w:rPr>
          <w:rFonts w:hint="eastAsia" w:ascii="宋体" w:hAnsi="宋体"/>
          <w:color w:val="auto"/>
          <w:sz w:val="24"/>
          <w:highlight w:val="none"/>
          <w:u w:val="single"/>
        </w:rPr>
        <w:t xml:space="preserve">                                                                 </w:t>
      </w:r>
    </w:p>
    <w:p w14:paraId="2CFB7705">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u w:val="single"/>
        </w:rPr>
        <w:t xml:space="preserve">                                                                           </w:t>
      </w:r>
    </w:p>
    <w:p w14:paraId="7723D985">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法律依据：</w:t>
      </w:r>
      <w:r>
        <w:rPr>
          <w:rFonts w:hint="eastAsia" w:ascii="宋体" w:hAnsi="宋体"/>
          <w:color w:val="auto"/>
          <w:sz w:val="24"/>
          <w:highlight w:val="none"/>
          <w:u w:val="single"/>
        </w:rPr>
        <w:t xml:space="preserve">                                                                 </w:t>
      </w:r>
    </w:p>
    <w:p w14:paraId="3F73FE76">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u w:val="single"/>
        </w:rPr>
        <w:t xml:space="preserve">                                                                           </w:t>
      </w:r>
    </w:p>
    <w:p w14:paraId="362E50CB">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投诉事项2：</w:t>
      </w:r>
      <w:r>
        <w:rPr>
          <w:rFonts w:hint="eastAsia" w:ascii="宋体" w:hAnsi="宋体"/>
          <w:color w:val="auto"/>
          <w:sz w:val="24"/>
          <w:highlight w:val="none"/>
          <w:u w:val="single"/>
        </w:rPr>
        <w:t xml:space="preserve">                                                                </w:t>
      </w:r>
    </w:p>
    <w:p w14:paraId="79B93149">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w:t>
      </w:r>
    </w:p>
    <w:p w14:paraId="10ABDB0C">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五、与投诉事项相关的投诉请求</w:t>
      </w:r>
    </w:p>
    <w:p w14:paraId="6F2A2427">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rPr>
        <w:t>请求：</w:t>
      </w:r>
      <w:r>
        <w:rPr>
          <w:rFonts w:hint="eastAsia" w:ascii="宋体" w:hAnsi="宋体"/>
          <w:color w:val="auto"/>
          <w:sz w:val="24"/>
          <w:highlight w:val="none"/>
          <w:u w:val="single"/>
        </w:rPr>
        <w:t xml:space="preserve">                                                                     </w:t>
      </w:r>
    </w:p>
    <w:p w14:paraId="477E5B94">
      <w:pPr>
        <w:autoSpaceDE w:val="0"/>
        <w:autoSpaceDN w:val="0"/>
        <w:spacing w:line="360" w:lineRule="auto"/>
        <w:ind w:firstLine="482"/>
        <w:rPr>
          <w:rFonts w:ascii="宋体" w:hAnsi="宋体"/>
          <w:color w:val="auto"/>
          <w:sz w:val="24"/>
          <w:highlight w:val="none"/>
          <w:u w:val="single"/>
        </w:rPr>
      </w:pPr>
      <w:r>
        <w:rPr>
          <w:rFonts w:hint="eastAsia" w:ascii="宋体" w:hAnsi="宋体"/>
          <w:color w:val="auto"/>
          <w:sz w:val="24"/>
          <w:highlight w:val="none"/>
          <w:u w:val="single"/>
        </w:rPr>
        <w:t xml:space="preserve">                                                                           </w:t>
      </w:r>
    </w:p>
    <w:p w14:paraId="10C8FDCE">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代表（签字或盖章）：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（机构供应商）公章：</w:t>
      </w:r>
      <w:r>
        <w:rPr>
          <w:rFonts w:hint="eastAsia" w:ascii="宋体" w:hAnsi="宋体"/>
          <w:color w:val="auto"/>
          <w:sz w:val="24"/>
          <w:highlight w:val="none"/>
          <w:u w:val="single"/>
        </w:rPr>
        <w:t xml:space="preserve">               </w:t>
      </w:r>
    </w:p>
    <w:p w14:paraId="0CD0253F">
      <w:pPr>
        <w:autoSpaceDE w:val="0"/>
        <w:autoSpaceDN w:val="0"/>
        <w:spacing w:line="360" w:lineRule="auto"/>
        <w:ind w:firstLine="482"/>
        <w:rPr>
          <w:rFonts w:ascii="宋体" w:hAnsi="宋体"/>
          <w:color w:val="auto"/>
          <w:sz w:val="24"/>
          <w:highlight w:val="none"/>
        </w:rPr>
      </w:pPr>
      <w:r>
        <w:rPr>
          <w:rFonts w:hint="eastAsia" w:ascii="宋体" w:hAnsi="宋体"/>
          <w:color w:val="auto"/>
          <w:sz w:val="24"/>
          <w:highlight w:val="none"/>
        </w:rPr>
        <w:t>投诉日期：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31627848">
      <w:pPr>
        <w:autoSpaceDE w:val="0"/>
        <w:autoSpaceDN w:val="0"/>
        <w:spacing w:line="360" w:lineRule="auto"/>
        <w:ind w:firstLine="482"/>
        <w:rPr>
          <w:rFonts w:ascii="宋体" w:hAnsi="宋体"/>
          <w:color w:val="auto"/>
          <w:sz w:val="24"/>
          <w:highlight w:val="none"/>
        </w:rPr>
      </w:pPr>
    </w:p>
    <w:p w14:paraId="6EAEA75D">
      <w:pPr>
        <w:autoSpaceDE w:val="0"/>
        <w:autoSpaceDN w:val="0"/>
        <w:spacing w:line="360" w:lineRule="auto"/>
        <w:ind w:firstLine="482"/>
        <w:rPr>
          <w:rFonts w:ascii="宋体" w:hAnsi="宋体"/>
          <w:b/>
          <w:color w:val="auto"/>
          <w:sz w:val="24"/>
          <w:highlight w:val="none"/>
        </w:rPr>
      </w:pPr>
      <w:r>
        <w:rPr>
          <w:rFonts w:hint="eastAsia" w:ascii="宋体" w:hAnsi="宋体"/>
          <w:b/>
          <w:color w:val="auto"/>
          <w:sz w:val="24"/>
          <w:highlight w:val="none"/>
        </w:rPr>
        <w:t>投诉书制作说明：</w:t>
      </w:r>
    </w:p>
    <w:p w14:paraId="616C2847">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1.投诉人提起投诉时，应当提交投诉书和必要的证明材料，并按照被投诉人和与投诉事项有关的供应商数量提供投诉书副本。</w:t>
      </w:r>
    </w:p>
    <w:p w14:paraId="678F0C77">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3769713">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3.投诉人若对项目的某一分包进行投诉，投诉书应列明具体分包号。</w:t>
      </w:r>
    </w:p>
    <w:p w14:paraId="79F1DBE5">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4.投诉书应简要列明质疑事项，质疑函、质疑答复等作为附件材料提供。</w:t>
      </w:r>
    </w:p>
    <w:p w14:paraId="117A86C6">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5.投诉书的投诉事项应具体、明确，并有必要的事实依据和法律依据。</w:t>
      </w:r>
    </w:p>
    <w:p w14:paraId="0DACC686">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6.投诉书的投诉请求应与投诉事项相关。</w:t>
      </w:r>
    </w:p>
    <w:p w14:paraId="5B52EEE7">
      <w:pPr>
        <w:autoSpaceDE w:val="0"/>
        <w:autoSpaceDN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7.投诉人为自然人的，投诉书应当由本人签字；投诉人为法人或者其他组织的，投诉书应当由法定代表人、主要负责人，或者其授权代表签字或者盖章，并加盖公章。</w:t>
      </w:r>
    </w:p>
    <w:p w14:paraId="596AED78">
      <w:pPr>
        <w:pStyle w:val="2"/>
        <w:rPr>
          <w:rFonts w:ascii="宋体" w:hAnsi="宋体" w:cs="宋体"/>
          <w:color w:val="auto"/>
          <w:sz w:val="21"/>
          <w:szCs w:val="21"/>
          <w:highlight w:val="none"/>
        </w:rPr>
      </w:pPr>
    </w:p>
    <w:sectPr>
      <w:headerReference r:id="rId13" w:type="first"/>
      <w:pgSz w:w="11906" w:h="16838"/>
      <w:pgMar w:top="1109" w:right="1797" w:bottom="1440" w:left="1797" w:header="851" w:footer="992" w:gutter="0"/>
      <w:paperSrc w:first="7"/>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文鼎CS中黑">
    <w:altName w:val="新宋体"/>
    <w:panose1 w:val="00000000000000000000"/>
    <w:charset w:val="86"/>
    <w:family w:val="moder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SimSun-Identity-H">
    <w:altName w:val="宋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文鼎CS中黑">
    <w:altName w:val="@黑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体">
    <w:altName w:val="黑体"/>
    <w:panose1 w:val="00000000000000000000"/>
    <w:charset w:val="86"/>
    <w:family w:val="roman"/>
    <w:pitch w:val="default"/>
    <w:sig w:usb0="00000000" w:usb1="00000000" w:usb2="00000010" w:usb3="00000000" w:csb0="00040000" w:csb1="00000000"/>
  </w:font>
  <w:font w:name="ヒラギノ角ゴ Pro W3">
    <w:altName w:val="MS Gothic"/>
    <w:panose1 w:val="00000000000000000000"/>
    <w:charset w:val="80"/>
    <w:family w:val="auto"/>
    <w:pitch w:val="default"/>
    <w:sig w:usb0="00000000" w:usb1="00000000" w:usb2="00000012" w:usb3="00000000" w:csb0="0002000D" w:csb1="00000000"/>
  </w:font>
  <w:font w:name="Futura-Heavy">
    <w:altName w:val="Segoe Print"/>
    <w:panose1 w:val="00000000000000000000"/>
    <w:charset w:val="00"/>
    <w:family w:val="auto"/>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_GB2312">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0672A">
    <w:pPr>
      <w:pStyle w:val="31"/>
      <w:pBdr>
        <w:top w:val="single" w:color="auto" w:sz="4" w:space="1"/>
      </w:pBdr>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0122C">
    <w:pPr>
      <w:pStyle w:val="31"/>
      <w:jc w:val="center"/>
      <w:rPr>
        <w:rFonts w:eastAsia="等线"/>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C5AAB">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D62EF">
    <w:pPr>
      <w:pStyle w:val="31"/>
      <w:jc w:val="center"/>
      <w:rPr>
        <w:rFonts w:eastAsia="等线"/>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0C7E3">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8F57F">
    <w:pPr>
      <w:pStyle w:val="31"/>
      <w:jc w:val="center"/>
      <w:rPr>
        <w:rFonts w:eastAsia="等线"/>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B99BFB0">
                          <w:pPr>
                            <w:pStyle w:val="31"/>
                          </w:pPr>
                          <w:r>
                            <w:fldChar w:fldCharType="begin"/>
                          </w:r>
                          <w:r>
                            <w:instrText xml:space="preserve"> PAGE  \* MERGEFORMAT </w:instrText>
                          </w:r>
                          <w:r>
                            <w:fldChar w:fldCharType="separate"/>
                          </w:r>
                          <w:r>
                            <w:t>35</w:t>
                          </w:r>
                          <w: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Ia7ljxgEAAJsDAAAOAAAAAAAAAAEAIAAAAB4BAABkcnMvZTJvRG9jLnht&#10;bFBLBQYAAAAABgAGAFkBAABWBQAAAAA=&#10;">
              <v:fill on="f" focussize="0,0"/>
              <v:stroke on="f"/>
              <v:imagedata o:title=""/>
              <o:lock v:ext="edit" aspectratio="f"/>
              <v:textbox inset="0mm,0mm,0mm,0mm" style="mso-fit-shape-to-text:t;">
                <w:txbxContent>
                  <w:p w14:paraId="3B99BFB0">
                    <w:pPr>
                      <w:pStyle w:val="3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F470C">
    <w:pPr>
      <w:pStyle w:val="32"/>
      <w:jc w:val="left"/>
    </w:pPr>
    <w:r>
      <w:drawing>
        <wp:inline distT="0" distB="0" distL="114300" distR="114300">
          <wp:extent cx="752475" cy="363220"/>
          <wp:effectExtent l="0" t="0" r="9525" b="1778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1"/>
                  <a:stretch>
                    <a:fillRect/>
                  </a:stretch>
                </pic:blipFill>
                <pic:spPr>
                  <a:xfrm>
                    <a:off x="0" y="0"/>
                    <a:ext cx="752475" cy="363220"/>
                  </a:xfrm>
                  <a:prstGeom prst="rect">
                    <a:avLst/>
                  </a:prstGeom>
                  <a:noFill/>
                  <a:ln>
                    <a:noFill/>
                  </a:ln>
                </pic:spPr>
              </pic:pic>
            </a:graphicData>
          </a:graphic>
        </wp:inline>
      </w:drawing>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BCD88">
    <w:pPr>
      <w:pStyle w:val="32"/>
      <w:pBdr>
        <w:bottom w:val="none" w:color="auto" w:sz="0" w:space="0"/>
      </w:pBdr>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2BBF9">
    <w:pPr>
      <w:pStyle w:val="32"/>
      <w:jc w:val="left"/>
    </w:pPr>
    <w:r>
      <w:t xml:space="preserve">   </w:t>
    </w:r>
    <w:r>
      <w:drawing>
        <wp:inline distT="0" distB="0" distL="114300" distR="114300">
          <wp:extent cx="752475" cy="363220"/>
          <wp:effectExtent l="0" t="0" r="9525" b="1778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1"/>
                  <a:stretch>
                    <a:fillRect/>
                  </a:stretch>
                </pic:blipFill>
                <pic:spPr>
                  <a:xfrm>
                    <a:off x="0" y="0"/>
                    <a:ext cx="752475" cy="363220"/>
                  </a:xfrm>
                  <a:prstGeom prst="rect">
                    <a:avLst/>
                  </a:prstGeom>
                  <a:noFill/>
                  <a:ln>
                    <a:noFill/>
                  </a:ln>
                </pic:spPr>
              </pic:pic>
            </a:graphicData>
          </a:graphic>
        </wp:inline>
      </w:drawing>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4C6D"/>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838E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351"/>
      <w:lvlText w:val="%1、"/>
      <w:lvlJc w:val="left"/>
      <w:pPr>
        <w:tabs>
          <w:tab w:val="left" w:pos="360"/>
        </w:tabs>
        <w:ind w:left="360" w:hanging="360"/>
      </w:pPr>
      <w:rPr>
        <w:rFonts w:hint="eastAsia"/>
      </w:rPr>
    </w:lvl>
    <w:lvl w:ilvl="1" w:tentative="0">
      <w:start w:val="1"/>
      <w:numFmt w:val="decimal"/>
      <w:lvlText w:val="（%2）"/>
      <w:lvlJc w:val="left"/>
      <w:pPr>
        <w:tabs>
          <w:tab w:val="left" w:pos="1143"/>
        </w:tabs>
        <w:ind w:left="1143" w:hanging="720"/>
      </w:pPr>
      <w:rPr>
        <w:rFonts w:hint="eastAsia"/>
      </w:rPr>
    </w:lvl>
    <w:lvl w:ilvl="2" w:tentative="0">
      <w:start w:val="1"/>
      <w:numFmt w:val="decimal"/>
      <w:lvlText w:val="%3．"/>
      <w:lvlJc w:val="left"/>
      <w:pPr>
        <w:tabs>
          <w:tab w:val="left" w:pos="1203"/>
        </w:tabs>
        <w:ind w:left="1203" w:hanging="360"/>
      </w:pPr>
      <w:rPr>
        <w:rFonts w:hint="eastAsia"/>
      </w:rPr>
    </w:lvl>
    <w:lvl w:ilvl="3" w:tentative="0">
      <w:start w:val="1"/>
      <w:numFmt w:val="decimal"/>
      <w:lvlText w:val="%4."/>
      <w:lvlJc w:val="left"/>
      <w:pPr>
        <w:tabs>
          <w:tab w:val="left" w:pos="1683"/>
        </w:tabs>
        <w:ind w:left="1683" w:hanging="420"/>
      </w:pPr>
    </w:lvl>
    <w:lvl w:ilvl="4" w:tentative="0">
      <w:start w:val="1"/>
      <w:numFmt w:val="lowerLetter"/>
      <w:lvlText w:val="%5)"/>
      <w:lvlJc w:val="left"/>
      <w:pPr>
        <w:tabs>
          <w:tab w:val="left" w:pos="2103"/>
        </w:tabs>
        <w:ind w:left="2103" w:hanging="420"/>
      </w:pPr>
    </w:lvl>
    <w:lvl w:ilvl="5" w:tentative="0">
      <w:start w:val="1"/>
      <w:numFmt w:val="lowerRoman"/>
      <w:lvlText w:val="%6."/>
      <w:lvlJc w:val="right"/>
      <w:pPr>
        <w:tabs>
          <w:tab w:val="left" w:pos="2523"/>
        </w:tabs>
        <w:ind w:left="2523" w:hanging="420"/>
      </w:pPr>
    </w:lvl>
    <w:lvl w:ilvl="6" w:tentative="0">
      <w:start w:val="1"/>
      <w:numFmt w:val="decimal"/>
      <w:lvlText w:val="%7."/>
      <w:lvlJc w:val="left"/>
      <w:pPr>
        <w:tabs>
          <w:tab w:val="left" w:pos="2943"/>
        </w:tabs>
        <w:ind w:left="2943" w:hanging="420"/>
      </w:pPr>
    </w:lvl>
    <w:lvl w:ilvl="7" w:tentative="0">
      <w:start w:val="1"/>
      <w:numFmt w:val="lowerLetter"/>
      <w:lvlText w:val="%8)"/>
      <w:lvlJc w:val="left"/>
      <w:pPr>
        <w:tabs>
          <w:tab w:val="left" w:pos="3363"/>
        </w:tabs>
        <w:ind w:left="3363" w:hanging="420"/>
      </w:pPr>
    </w:lvl>
    <w:lvl w:ilvl="8" w:tentative="0">
      <w:start w:val="1"/>
      <w:numFmt w:val="lowerRoman"/>
      <w:lvlText w:val="%9."/>
      <w:lvlJc w:val="right"/>
      <w:pPr>
        <w:tabs>
          <w:tab w:val="left" w:pos="3783"/>
        </w:tabs>
        <w:ind w:left="3783" w:hanging="420"/>
      </w:pPr>
    </w:lvl>
  </w:abstractNum>
  <w:abstractNum w:abstractNumId="1">
    <w:nsid w:val="12585BE9"/>
    <w:multiLevelType w:val="multilevel"/>
    <w:tmpl w:val="12585BE9"/>
    <w:lvl w:ilvl="0" w:tentative="0">
      <w:start w:val="1"/>
      <w:numFmt w:val="decimal"/>
      <w:lvlText w:val="%1."/>
      <w:lvlJc w:val="left"/>
      <w:pPr>
        <w:ind w:left="360" w:hanging="36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4A16AF9"/>
    <w:multiLevelType w:val="multilevel"/>
    <w:tmpl w:val="24A16AF9"/>
    <w:lvl w:ilvl="0" w:tentative="0">
      <w:start w:val="1"/>
      <w:numFmt w:val="decimal"/>
      <w:pStyle w:val="276"/>
      <w:lvlText w:val="%1、"/>
      <w:lvlJc w:val="left"/>
      <w:pPr>
        <w:tabs>
          <w:tab w:val="left" w:pos="360"/>
        </w:tabs>
        <w:ind w:left="360" w:hanging="360"/>
      </w:pPr>
      <w:rPr>
        <w:rFonts w:hint="eastAsia"/>
      </w:rPr>
    </w:lvl>
    <w:lvl w:ilvl="1" w:tentative="0">
      <w:start w:val="1"/>
      <w:numFmt w:val="decimal"/>
      <w:lvlText w:val="（%2）"/>
      <w:lvlJc w:val="left"/>
      <w:pPr>
        <w:tabs>
          <w:tab w:val="left" w:pos="1143"/>
        </w:tabs>
        <w:ind w:left="1143" w:hanging="720"/>
      </w:pPr>
      <w:rPr>
        <w:rFonts w:hint="eastAsia"/>
      </w:rPr>
    </w:lvl>
    <w:lvl w:ilvl="2" w:tentative="0">
      <w:start w:val="1"/>
      <w:numFmt w:val="decimal"/>
      <w:lvlText w:val="%3．"/>
      <w:lvlJc w:val="left"/>
      <w:pPr>
        <w:tabs>
          <w:tab w:val="left" w:pos="1203"/>
        </w:tabs>
        <w:ind w:left="1203" w:hanging="360"/>
      </w:pPr>
      <w:rPr>
        <w:rFonts w:hint="eastAsia"/>
      </w:rPr>
    </w:lvl>
    <w:lvl w:ilvl="3" w:tentative="0">
      <w:start w:val="1"/>
      <w:numFmt w:val="decimal"/>
      <w:lvlText w:val="%4."/>
      <w:lvlJc w:val="left"/>
      <w:pPr>
        <w:tabs>
          <w:tab w:val="left" w:pos="1683"/>
        </w:tabs>
        <w:ind w:left="1683" w:hanging="420"/>
      </w:pPr>
    </w:lvl>
    <w:lvl w:ilvl="4" w:tentative="0">
      <w:start w:val="1"/>
      <w:numFmt w:val="lowerLetter"/>
      <w:lvlText w:val="%5)"/>
      <w:lvlJc w:val="left"/>
      <w:pPr>
        <w:tabs>
          <w:tab w:val="left" w:pos="2103"/>
        </w:tabs>
        <w:ind w:left="2103" w:hanging="420"/>
      </w:pPr>
    </w:lvl>
    <w:lvl w:ilvl="5" w:tentative="0">
      <w:start w:val="1"/>
      <w:numFmt w:val="lowerRoman"/>
      <w:lvlText w:val="%6."/>
      <w:lvlJc w:val="right"/>
      <w:pPr>
        <w:tabs>
          <w:tab w:val="left" w:pos="2523"/>
        </w:tabs>
        <w:ind w:left="2523" w:hanging="420"/>
      </w:pPr>
    </w:lvl>
    <w:lvl w:ilvl="6" w:tentative="0">
      <w:start w:val="1"/>
      <w:numFmt w:val="decimal"/>
      <w:lvlText w:val="%7."/>
      <w:lvlJc w:val="left"/>
      <w:pPr>
        <w:tabs>
          <w:tab w:val="left" w:pos="2943"/>
        </w:tabs>
        <w:ind w:left="2943" w:hanging="420"/>
      </w:pPr>
    </w:lvl>
    <w:lvl w:ilvl="7" w:tentative="0">
      <w:start w:val="1"/>
      <w:numFmt w:val="lowerLetter"/>
      <w:lvlText w:val="%8)"/>
      <w:lvlJc w:val="left"/>
      <w:pPr>
        <w:tabs>
          <w:tab w:val="left" w:pos="3363"/>
        </w:tabs>
        <w:ind w:left="3363" w:hanging="420"/>
      </w:pPr>
    </w:lvl>
    <w:lvl w:ilvl="8" w:tentative="0">
      <w:start w:val="1"/>
      <w:numFmt w:val="lowerRoman"/>
      <w:lvlText w:val="%9."/>
      <w:lvlJc w:val="right"/>
      <w:pPr>
        <w:tabs>
          <w:tab w:val="left" w:pos="3783"/>
        </w:tabs>
        <w:ind w:left="3783" w:hanging="420"/>
      </w:pPr>
    </w:lvl>
  </w:abstractNum>
  <w:abstractNum w:abstractNumId="3">
    <w:nsid w:val="34130422"/>
    <w:multiLevelType w:val="multilevel"/>
    <w:tmpl w:val="34130422"/>
    <w:lvl w:ilvl="0" w:tentative="0">
      <w:start w:val="2"/>
      <w:numFmt w:val="decimal"/>
      <w:suff w:val="nothing"/>
      <w:lvlText w:val="（%1）"/>
      <w:lvlJc w:val="left"/>
      <w:pPr>
        <w:ind w:left="4815" w:hanging="420"/>
      </w:pPr>
      <w:rPr>
        <w:rFonts w:hint="eastAsia"/>
      </w:rPr>
    </w:lvl>
    <w:lvl w:ilvl="1" w:tentative="0">
      <w:start w:val="1"/>
      <w:numFmt w:val="lowerLetter"/>
      <w:lvlText w:val="%2)"/>
      <w:lvlJc w:val="left"/>
      <w:pPr>
        <w:ind w:left="1122" w:hanging="420"/>
      </w:pPr>
      <w:rPr>
        <w:rFonts w:hint="eastAsia"/>
      </w:rPr>
    </w:lvl>
    <w:lvl w:ilvl="2" w:tentative="0">
      <w:start w:val="1"/>
      <w:numFmt w:val="lowerRoman"/>
      <w:lvlText w:val="%3."/>
      <w:lvlJc w:val="right"/>
      <w:pPr>
        <w:ind w:left="1542" w:hanging="420"/>
      </w:pPr>
      <w:rPr>
        <w:rFonts w:hint="eastAsia"/>
      </w:rPr>
    </w:lvl>
    <w:lvl w:ilvl="3" w:tentative="0">
      <w:start w:val="1"/>
      <w:numFmt w:val="decimal"/>
      <w:lvlText w:val="%4."/>
      <w:lvlJc w:val="left"/>
      <w:pPr>
        <w:ind w:left="1962" w:hanging="420"/>
      </w:pPr>
      <w:rPr>
        <w:rFonts w:hint="eastAsia"/>
      </w:rPr>
    </w:lvl>
    <w:lvl w:ilvl="4" w:tentative="0">
      <w:start w:val="1"/>
      <w:numFmt w:val="lowerLetter"/>
      <w:lvlText w:val="%5)"/>
      <w:lvlJc w:val="left"/>
      <w:pPr>
        <w:ind w:left="2382" w:hanging="420"/>
      </w:pPr>
      <w:rPr>
        <w:rFonts w:hint="eastAsia"/>
      </w:rPr>
    </w:lvl>
    <w:lvl w:ilvl="5" w:tentative="0">
      <w:start w:val="1"/>
      <w:numFmt w:val="lowerRoman"/>
      <w:lvlText w:val="%6."/>
      <w:lvlJc w:val="right"/>
      <w:pPr>
        <w:ind w:left="2802" w:hanging="420"/>
      </w:pPr>
      <w:rPr>
        <w:rFonts w:hint="eastAsia"/>
      </w:rPr>
    </w:lvl>
    <w:lvl w:ilvl="6" w:tentative="0">
      <w:start w:val="1"/>
      <w:numFmt w:val="decimal"/>
      <w:lvlText w:val="%7."/>
      <w:lvlJc w:val="left"/>
      <w:pPr>
        <w:ind w:left="3222" w:hanging="420"/>
      </w:pPr>
      <w:rPr>
        <w:rFonts w:hint="eastAsia"/>
      </w:rPr>
    </w:lvl>
    <w:lvl w:ilvl="7" w:tentative="0">
      <w:start w:val="1"/>
      <w:numFmt w:val="lowerLetter"/>
      <w:lvlText w:val="%8)"/>
      <w:lvlJc w:val="left"/>
      <w:pPr>
        <w:ind w:left="3642" w:hanging="420"/>
      </w:pPr>
      <w:rPr>
        <w:rFonts w:hint="eastAsia"/>
      </w:rPr>
    </w:lvl>
    <w:lvl w:ilvl="8" w:tentative="0">
      <w:start w:val="1"/>
      <w:numFmt w:val="lowerRoman"/>
      <w:lvlText w:val="%9."/>
      <w:lvlJc w:val="right"/>
      <w:pPr>
        <w:ind w:left="4062" w:hanging="420"/>
      </w:pPr>
      <w:rPr>
        <w:rFonts w:hint="eastAsia"/>
      </w:rPr>
    </w:lvl>
  </w:abstractNum>
  <w:abstractNum w:abstractNumId="4">
    <w:nsid w:val="4B1939B3"/>
    <w:multiLevelType w:val="multilevel"/>
    <w:tmpl w:val="4B1939B3"/>
    <w:lvl w:ilvl="0" w:tentative="0">
      <w:start w:val="1"/>
      <w:numFmt w:val="decimal"/>
      <w:lvlText w:val="%1"/>
      <w:lvlJc w:val="center"/>
      <w:pPr>
        <w:tabs>
          <w:tab w:val="left" w:pos="142"/>
        </w:tabs>
        <w:ind w:left="142" w:firstLine="38"/>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587587F"/>
    <w:multiLevelType w:val="multilevel"/>
    <w:tmpl w:val="5587587F"/>
    <w:lvl w:ilvl="0" w:tentative="0">
      <w:start w:val="1"/>
      <w:numFmt w:val="decimal"/>
      <w:lvlText w:val="%1"/>
      <w:lvlJc w:val="center"/>
      <w:pPr>
        <w:ind w:left="384" w:hanging="214"/>
      </w:pPr>
      <w:rPr>
        <w:rFonts w:hint="eastAsia"/>
        <w:snapToGrid w:val="0"/>
        <w:kern w:val="0"/>
      </w:rPr>
    </w:lvl>
    <w:lvl w:ilvl="1" w:tentative="0">
      <w:start w:val="1"/>
      <w:numFmt w:val="lowerLetter"/>
      <w:lvlText w:val="%2)"/>
      <w:lvlJc w:val="left"/>
      <w:pPr>
        <w:ind w:left="804" w:hanging="420"/>
      </w:pPr>
    </w:lvl>
    <w:lvl w:ilvl="2" w:tentative="0">
      <w:start w:val="1"/>
      <w:numFmt w:val="lowerRoman"/>
      <w:lvlText w:val="%3."/>
      <w:lvlJc w:val="right"/>
      <w:pPr>
        <w:ind w:left="1224" w:hanging="420"/>
      </w:pPr>
    </w:lvl>
    <w:lvl w:ilvl="3" w:tentative="0">
      <w:start w:val="1"/>
      <w:numFmt w:val="decimal"/>
      <w:lvlText w:val="%4."/>
      <w:lvlJc w:val="left"/>
      <w:pPr>
        <w:ind w:left="1644" w:hanging="420"/>
      </w:pPr>
    </w:lvl>
    <w:lvl w:ilvl="4" w:tentative="0">
      <w:start w:val="1"/>
      <w:numFmt w:val="lowerLetter"/>
      <w:lvlText w:val="%5)"/>
      <w:lvlJc w:val="left"/>
      <w:pPr>
        <w:ind w:left="2064" w:hanging="420"/>
      </w:pPr>
    </w:lvl>
    <w:lvl w:ilvl="5" w:tentative="0">
      <w:start w:val="1"/>
      <w:numFmt w:val="lowerRoman"/>
      <w:lvlText w:val="%6."/>
      <w:lvlJc w:val="right"/>
      <w:pPr>
        <w:ind w:left="2484" w:hanging="420"/>
      </w:pPr>
    </w:lvl>
    <w:lvl w:ilvl="6" w:tentative="0">
      <w:start w:val="1"/>
      <w:numFmt w:val="decimal"/>
      <w:lvlText w:val="%7."/>
      <w:lvlJc w:val="left"/>
      <w:pPr>
        <w:ind w:left="2904" w:hanging="420"/>
      </w:pPr>
    </w:lvl>
    <w:lvl w:ilvl="7" w:tentative="0">
      <w:start w:val="1"/>
      <w:numFmt w:val="lowerLetter"/>
      <w:lvlText w:val="%8)"/>
      <w:lvlJc w:val="left"/>
      <w:pPr>
        <w:ind w:left="3324" w:hanging="420"/>
      </w:pPr>
    </w:lvl>
    <w:lvl w:ilvl="8" w:tentative="0">
      <w:start w:val="1"/>
      <w:numFmt w:val="lowerRoman"/>
      <w:lvlText w:val="%9."/>
      <w:lvlJc w:val="right"/>
      <w:pPr>
        <w:ind w:left="3744" w:hanging="420"/>
      </w:pPr>
    </w:lvl>
  </w:abstractNum>
  <w:abstractNum w:abstractNumId="6">
    <w:nsid w:val="5A5410B6"/>
    <w:multiLevelType w:val="singleLevel"/>
    <w:tmpl w:val="5A5410B6"/>
    <w:lvl w:ilvl="0" w:tentative="0">
      <w:start w:val="1"/>
      <w:numFmt w:val="decimal"/>
      <w:pStyle w:val="191"/>
      <w:suff w:val="space"/>
      <w:lvlText w:val="%1)"/>
      <w:lvlJc w:val="left"/>
    </w:lvl>
  </w:abstractNum>
  <w:abstractNum w:abstractNumId="7">
    <w:nsid w:val="5A5422B0"/>
    <w:multiLevelType w:val="singleLevel"/>
    <w:tmpl w:val="5A5422B0"/>
    <w:lvl w:ilvl="0" w:tentative="0">
      <w:start w:val="1"/>
      <w:numFmt w:val="decimal"/>
      <w:suff w:val="space"/>
      <w:lvlText w:val="%1)"/>
      <w:lvlJc w:val="left"/>
    </w:lvl>
  </w:abstractNum>
  <w:abstractNum w:abstractNumId="8">
    <w:nsid w:val="5B1874DF"/>
    <w:multiLevelType w:val="multilevel"/>
    <w:tmpl w:val="5B1874DF"/>
    <w:lvl w:ilvl="0" w:tentative="0">
      <w:start w:val="1"/>
      <w:numFmt w:val="chineseCountingThousand"/>
      <w:suff w:val="nothing"/>
      <w:lvlText w:val="%1、"/>
      <w:lvlJc w:val="left"/>
      <w:pPr>
        <w:ind w:left="720" w:hanging="720"/>
      </w:pPr>
      <w:rPr>
        <w:rFonts w:hint="default"/>
        <w:b w:val="0"/>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6"/>
  </w:num>
  <w:num w:numId="2">
    <w:abstractNumId w:val="2"/>
  </w:num>
  <w:num w:numId="3">
    <w:abstractNumId w:val="7"/>
  </w:num>
  <w:num w:numId="4">
    <w:abstractNumId w:val="0"/>
  </w:num>
  <w:num w:numId="5">
    <w:abstractNumId w:val="8"/>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5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YjQ4N2ExZTQ3YjU5MGRlNmUxOTZhNzU0YTcyYTkifQ=="/>
  </w:docVars>
  <w:rsids>
    <w:rsidRoot w:val="00172A27"/>
    <w:rsid w:val="00001299"/>
    <w:rsid w:val="000013E9"/>
    <w:rsid w:val="00002E8D"/>
    <w:rsid w:val="0000458A"/>
    <w:rsid w:val="000049CB"/>
    <w:rsid w:val="00005782"/>
    <w:rsid w:val="000062C0"/>
    <w:rsid w:val="00006383"/>
    <w:rsid w:val="000067C9"/>
    <w:rsid w:val="00006825"/>
    <w:rsid w:val="00006A9D"/>
    <w:rsid w:val="00006BE5"/>
    <w:rsid w:val="0000784C"/>
    <w:rsid w:val="00010D87"/>
    <w:rsid w:val="00011353"/>
    <w:rsid w:val="00011415"/>
    <w:rsid w:val="00011A79"/>
    <w:rsid w:val="00012202"/>
    <w:rsid w:val="00014487"/>
    <w:rsid w:val="00014747"/>
    <w:rsid w:val="0001495F"/>
    <w:rsid w:val="00015A31"/>
    <w:rsid w:val="00016569"/>
    <w:rsid w:val="00017A1F"/>
    <w:rsid w:val="00017E08"/>
    <w:rsid w:val="000212B0"/>
    <w:rsid w:val="0002137D"/>
    <w:rsid w:val="0002148C"/>
    <w:rsid w:val="00021F2F"/>
    <w:rsid w:val="0002233E"/>
    <w:rsid w:val="00024146"/>
    <w:rsid w:val="00024375"/>
    <w:rsid w:val="00024B1B"/>
    <w:rsid w:val="00024BB3"/>
    <w:rsid w:val="00024CC4"/>
    <w:rsid w:val="000251E1"/>
    <w:rsid w:val="00025785"/>
    <w:rsid w:val="000261C9"/>
    <w:rsid w:val="00026398"/>
    <w:rsid w:val="00027182"/>
    <w:rsid w:val="00030A1C"/>
    <w:rsid w:val="00030D45"/>
    <w:rsid w:val="00030D4D"/>
    <w:rsid w:val="00030F86"/>
    <w:rsid w:val="000310FE"/>
    <w:rsid w:val="000314DF"/>
    <w:rsid w:val="000317C3"/>
    <w:rsid w:val="00031A00"/>
    <w:rsid w:val="0003271D"/>
    <w:rsid w:val="000329F6"/>
    <w:rsid w:val="00032D7B"/>
    <w:rsid w:val="00034C17"/>
    <w:rsid w:val="00034E6A"/>
    <w:rsid w:val="0003611C"/>
    <w:rsid w:val="000361B8"/>
    <w:rsid w:val="0004008F"/>
    <w:rsid w:val="00040531"/>
    <w:rsid w:val="00040CE9"/>
    <w:rsid w:val="00041F76"/>
    <w:rsid w:val="00042053"/>
    <w:rsid w:val="00043057"/>
    <w:rsid w:val="00043669"/>
    <w:rsid w:val="00043862"/>
    <w:rsid w:val="00043BF7"/>
    <w:rsid w:val="00043E6E"/>
    <w:rsid w:val="00044007"/>
    <w:rsid w:val="00044050"/>
    <w:rsid w:val="00044EA3"/>
    <w:rsid w:val="00045842"/>
    <w:rsid w:val="00046212"/>
    <w:rsid w:val="00046238"/>
    <w:rsid w:val="00046832"/>
    <w:rsid w:val="0004786C"/>
    <w:rsid w:val="000514CA"/>
    <w:rsid w:val="000515C4"/>
    <w:rsid w:val="000516CA"/>
    <w:rsid w:val="000523E0"/>
    <w:rsid w:val="00052988"/>
    <w:rsid w:val="00053BB7"/>
    <w:rsid w:val="0005601C"/>
    <w:rsid w:val="00056379"/>
    <w:rsid w:val="0005678F"/>
    <w:rsid w:val="00057683"/>
    <w:rsid w:val="00057C25"/>
    <w:rsid w:val="000616F5"/>
    <w:rsid w:val="00061989"/>
    <w:rsid w:val="00062459"/>
    <w:rsid w:val="0006253D"/>
    <w:rsid w:val="0006262D"/>
    <w:rsid w:val="00062AE0"/>
    <w:rsid w:val="00062C84"/>
    <w:rsid w:val="000650B6"/>
    <w:rsid w:val="00065688"/>
    <w:rsid w:val="00065E2F"/>
    <w:rsid w:val="00066997"/>
    <w:rsid w:val="00066C93"/>
    <w:rsid w:val="00066CBD"/>
    <w:rsid w:val="00066E7F"/>
    <w:rsid w:val="000675B7"/>
    <w:rsid w:val="00070803"/>
    <w:rsid w:val="00070C6A"/>
    <w:rsid w:val="00071193"/>
    <w:rsid w:val="000711C4"/>
    <w:rsid w:val="0007231D"/>
    <w:rsid w:val="00072BCE"/>
    <w:rsid w:val="000731F5"/>
    <w:rsid w:val="00074C41"/>
    <w:rsid w:val="00074CBF"/>
    <w:rsid w:val="00074E7B"/>
    <w:rsid w:val="00075121"/>
    <w:rsid w:val="00076E5F"/>
    <w:rsid w:val="000770F5"/>
    <w:rsid w:val="00077D51"/>
    <w:rsid w:val="00077EB9"/>
    <w:rsid w:val="00080CB0"/>
    <w:rsid w:val="00080DAE"/>
    <w:rsid w:val="00081520"/>
    <w:rsid w:val="00081655"/>
    <w:rsid w:val="00081972"/>
    <w:rsid w:val="00081CB1"/>
    <w:rsid w:val="00081CDB"/>
    <w:rsid w:val="00081FC3"/>
    <w:rsid w:val="0008531F"/>
    <w:rsid w:val="00085947"/>
    <w:rsid w:val="0008635E"/>
    <w:rsid w:val="00086A33"/>
    <w:rsid w:val="00087DB8"/>
    <w:rsid w:val="00087DE3"/>
    <w:rsid w:val="000900E8"/>
    <w:rsid w:val="00090865"/>
    <w:rsid w:val="00090B77"/>
    <w:rsid w:val="000914E6"/>
    <w:rsid w:val="000916F7"/>
    <w:rsid w:val="00091A06"/>
    <w:rsid w:val="00091ABB"/>
    <w:rsid w:val="000921B9"/>
    <w:rsid w:val="00093A9E"/>
    <w:rsid w:val="00093D6F"/>
    <w:rsid w:val="0009477C"/>
    <w:rsid w:val="000965F8"/>
    <w:rsid w:val="000968A7"/>
    <w:rsid w:val="00096C3A"/>
    <w:rsid w:val="00096C8A"/>
    <w:rsid w:val="000972C0"/>
    <w:rsid w:val="00097A9C"/>
    <w:rsid w:val="00097C2A"/>
    <w:rsid w:val="000A0647"/>
    <w:rsid w:val="000A077C"/>
    <w:rsid w:val="000A1D27"/>
    <w:rsid w:val="000A24C1"/>
    <w:rsid w:val="000A2C52"/>
    <w:rsid w:val="000A2D7C"/>
    <w:rsid w:val="000A33DA"/>
    <w:rsid w:val="000A4B7E"/>
    <w:rsid w:val="000A4C69"/>
    <w:rsid w:val="000A4D91"/>
    <w:rsid w:val="000A5185"/>
    <w:rsid w:val="000A6E1A"/>
    <w:rsid w:val="000B0280"/>
    <w:rsid w:val="000B0E60"/>
    <w:rsid w:val="000B17A0"/>
    <w:rsid w:val="000B1839"/>
    <w:rsid w:val="000B2335"/>
    <w:rsid w:val="000B2C61"/>
    <w:rsid w:val="000B2E22"/>
    <w:rsid w:val="000B3CC6"/>
    <w:rsid w:val="000B42D3"/>
    <w:rsid w:val="000B4976"/>
    <w:rsid w:val="000B525E"/>
    <w:rsid w:val="000B568A"/>
    <w:rsid w:val="000B599C"/>
    <w:rsid w:val="000B5B67"/>
    <w:rsid w:val="000B62D4"/>
    <w:rsid w:val="000B6305"/>
    <w:rsid w:val="000B6441"/>
    <w:rsid w:val="000B657B"/>
    <w:rsid w:val="000B68E0"/>
    <w:rsid w:val="000B7DC9"/>
    <w:rsid w:val="000B7E65"/>
    <w:rsid w:val="000C000B"/>
    <w:rsid w:val="000C080E"/>
    <w:rsid w:val="000C0882"/>
    <w:rsid w:val="000C08EC"/>
    <w:rsid w:val="000C0E13"/>
    <w:rsid w:val="000C0E80"/>
    <w:rsid w:val="000C173C"/>
    <w:rsid w:val="000C1B44"/>
    <w:rsid w:val="000C2898"/>
    <w:rsid w:val="000C2CF5"/>
    <w:rsid w:val="000C33C4"/>
    <w:rsid w:val="000C373F"/>
    <w:rsid w:val="000C3E4D"/>
    <w:rsid w:val="000C3F26"/>
    <w:rsid w:val="000C4A44"/>
    <w:rsid w:val="000C4B63"/>
    <w:rsid w:val="000C4C06"/>
    <w:rsid w:val="000C4E00"/>
    <w:rsid w:val="000C56E2"/>
    <w:rsid w:val="000C57A0"/>
    <w:rsid w:val="000C57E5"/>
    <w:rsid w:val="000C5A60"/>
    <w:rsid w:val="000C5E46"/>
    <w:rsid w:val="000C618E"/>
    <w:rsid w:val="000C67FA"/>
    <w:rsid w:val="000C6921"/>
    <w:rsid w:val="000C70B9"/>
    <w:rsid w:val="000C76A5"/>
    <w:rsid w:val="000D0141"/>
    <w:rsid w:val="000D0DFA"/>
    <w:rsid w:val="000D2563"/>
    <w:rsid w:val="000D3152"/>
    <w:rsid w:val="000D32E4"/>
    <w:rsid w:val="000D37D7"/>
    <w:rsid w:val="000D3DE1"/>
    <w:rsid w:val="000D3E55"/>
    <w:rsid w:val="000D4D2C"/>
    <w:rsid w:val="000D5492"/>
    <w:rsid w:val="000D5C95"/>
    <w:rsid w:val="000D5CFB"/>
    <w:rsid w:val="000D657A"/>
    <w:rsid w:val="000D6625"/>
    <w:rsid w:val="000D726F"/>
    <w:rsid w:val="000D7D5D"/>
    <w:rsid w:val="000E131B"/>
    <w:rsid w:val="000E1422"/>
    <w:rsid w:val="000E1853"/>
    <w:rsid w:val="000E1926"/>
    <w:rsid w:val="000E1E79"/>
    <w:rsid w:val="000E208F"/>
    <w:rsid w:val="000E28EA"/>
    <w:rsid w:val="000E2BE4"/>
    <w:rsid w:val="000E3541"/>
    <w:rsid w:val="000E3697"/>
    <w:rsid w:val="000E3F00"/>
    <w:rsid w:val="000E4B71"/>
    <w:rsid w:val="000E4D99"/>
    <w:rsid w:val="000E5885"/>
    <w:rsid w:val="000E5E95"/>
    <w:rsid w:val="000E6CBC"/>
    <w:rsid w:val="000E7149"/>
    <w:rsid w:val="000E7C3C"/>
    <w:rsid w:val="000E7CE1"/>
    <w:rsid w:val="000E7F94"/>
    <w:rsid w:val="000F0A27"/>
    <w:rsid w:val="000F0C8C"/>
    <w:rsid w:val="000F10F4"/>
    <w:rsid w:val="000F1CDA"/>
    <w:rsid w:val="000F1DB6"/>
    <w:rsid w:val="000F3035"/>
    <w:rsid w:val="000F3622"/>
    <w:rsid w:val="000F3FD3"/>
    <w:rsid w:val="000F4687"/>
    <w:rsid w:val="000F4ECC"/>
    <w:rsid w:val="000F53C7"/>
    <w:rsid w:val="000F6823"/>
    <w:rsid w:val="000F76B5"/>
    <w:rsid w:val="001000C5"/>
    <w:rsid w:val="00100911"/>
    <w:rsid w:val="00100CEA"/>
    <w:rsid w:val="00101332"/>
    <w:rsid w:val="001015EC"/>
    <w:rsid w:val="001020E5"/>
    <w:rsid w:val="0010239E"/>
    <w:rsid w:val="00102768"/>
    <w:rsid w:val="00102F9A"/>
    <w:rsid w:val="00104419"/>
    <w:rsid w:val="001047CE"/>
    <w:rsid w:val="0010636C"/>
    <w:rsid w:val="001066A3"/>
    <w:rsid w:val="00106D93"/>
    <w:rsid w:val="00107EC5"/>
    <w:rsid w:val="00110592"/>
    <w:rsid w:val="001106E4"/>
    <w:rsid w:val="001108DD"/>
    <w:rsid w:val="00111610"/>
    <w:rsid w:val="001116C5"/>
    <w:rsid w:val="001118E8"/>
    <w:rsid w:val="00111E6D"/>
    <w:rsid w:val="0011203B"/>
    <w:rsid w:val="00112150"/>
    <w:rsid w:val="001130EF"/>
    <w:rsid w:val="00113C4D"/>
    <w:rsid w:val="00113E73"/>
    <w:rsid w:val="00114630"/>
    <w:rsid w:val="00115A76"/>
    <w:rsid w:val="00115AC2"/>
    <w:rsid w:val="00117C77"/>
    <w:rsid w:val="001207F1"/>
    <w:rsid w:val="00121EA4"/>
    <w:rsid w:val="00122C52"/>
    <w:rsid w:val="00123F3C"/>
    <w:rsid w:val="00124563"/>
    <w:rsid w:val="00125200"/>
    <w:rsid w:val="00125AF9"/>
    <w:rsid w:val="0012631E"/>
    <w:rsid w:val="001273B6"/>
    <w:rsid w:val="0012791F"/>
    <w:rsid w:val="00127B0A"/>
    <w:rsid w:val="0013103E"/>
    <w:rsid w:val="0013169E"/>
    <w:rsid w:val="0013199B"/>
    <w:rsid w:val="00132558"/>
    <w:rsid w:val="00132D24"/>
    <w:rsid w:val="00133495"/>
    <w:rsid w:val="001334D9"/>
    <w:rsid w:val="00133A3A"/>
    <w:rsid w:val="00133FCC"/>
    <w:rsid w:val="001341F5"/>
    <w:rsid w:val="00134432"/>
    <w:rsid w:val="00134651"/>
    <w:rsid w:val="001348EA"/>
    <w:rsid w:val="0013564B"/>
    <w:rsid w:val="00136A61"/>
    <w:rsid w:val="00136DE9"/>
    <w:rsid w:val="00136DF7"/>
    <w:rsid w:val="00136EE4"/>
    <w:rsid w:val="001375C3"/>
    <w:rsid w:val="00140499"/>
    <w:rsid w:val="001407E5"/>
    <w:rsid w:val="001421D6"/>
    <w:rsid w:val="00142621"/>
    <w:rsid w:val="0014280C"/>
    <w:rsid w:val="00142B41"/>
    <w:rsid w:val="001432A1"/>
    <w:rsid w:val="0014393F"/>
    <w:rsid w:val="00143BF2"/>
    <w:rsid w:val="001452A6"/>
    <w:rsid w:val="00145D3E"/>
    <w:rsid w:val="00146063"/>
    <w:rsid w:val="00147137"/>
    <w:rsid w:val="0014722F"/>
    <w:rsid w:val="0014739F"/>
    <w:rsid w:val="00147508"/>
    <w:rsid w:val="00147FAC"/>
    <w:rsid w:val="00150920"/>
    <w:rsid w:val="001516F6"/>
    <w:rsid w:val="001531DF"/>
    <w:rsid w:val="0015380E"/>
    <w:rsid w:val="0015400B"/>
    <w:rsid w:val="0015530D"/>
    <w:rsid w:val="00155446"/>
    <w:rsid w:val="00155595"/>
    <w:rsid w:val="00156181"/>
    <w:rsid w:val="00156873"/>
    <w:rsid w:val="00161ACE"/>
    <w:rsid w:val="00162251"/>
    <w:rsid w:val="00162375"/>
    <w:rsid w:val="00162D90"/>
    <w:rsid w:val="001648AD"/>
    <w:rsid w:val="001651FF"/>
    <w:rsid w:val="00165809"/>
    <w:rsid w:val="00167834"/>
    <w:rsid w:val="00170F9A"/>
    <w:rsid w:val="00171130"/>
    <w:rsid w:val="0017116E"/>
    <w:rsid w:val="0017153A"/>
    <w:rsid w:val="0017155F"/>
    <w:rsid w:val="00171A10"/>
    <w:rsid w:val="00171C6E"/>
    <w:rsid w:val="0017249E"/>
    <w:rsid w:val="0017250E"/>
    <w:rsid w:val="001728B1"/>
    <w:rsid w:val="00172A27"/>
    <w:rsid w:val="00172A3D"/>
    <w:rsid w:val="00172BEA"/>
    <w:rsid w:val="00172D13"/>
    <w:rsid w:val="00172ED7"/>
    <w:rsid w:val="001730CF"/>
    <w:rsid w:val="001737B6"/>
    <w:rsid w:val="00173B14"/>
    <w:rsid w:val="0017651C"/>
    <w:rsid w:val="00176EC1"/>
    <w:rsid w:val="00177E75"/>
    <w:rsid w:val="001805DC"/>
    <w:rsid w:val="00181402"/>
    <w:rsid w:val="00181B65"/>
    <w:rsid w:val="0018293F"/>
    <w:rsid w:val="0018323B"/>
    <w:rsid w:val="00183317"/>
    <w:rsid w:val="00184A1B"/>
    <w:rsid w:val="00185E32"/>
    <w:rsid w:val="00186737"/>
    <w:rsid w:val="001869BE"/>
    <w:rsid w:val="00187141"/>
    <w:rsid w:val="00187B61"/>
    <w:rsid w:val="00187DEF"/>
    <w:rsid w:val="0019130F"/>
    <w:rsid w:val="00191C18"/>
    <w:rsid w:val="001920D2"/>
    <w:rsid w:val="001926AD"/>
    <w:rsid w:val="001927EC"/>
    <w:rsid w:val="001933D5"/>
    <w:rsid w:val="001944E3"/>
    <w:rsid w:val="001947BE"/>
    <w:rsid w:val="001948B1"/>
    <w:rsid w:val="00195200"/>
    <w:rsid w:val="00195251"/>
    <w:rsid w:val="001963ED"/>
    <w:rsid w:val="00197CA9"/>
    <w:rsid w:val="001A00C0"/>
    <w:rsid w:val="001A0FE4"/>
    <w:rsid w:val="001A15C1"/>
    <w:rsid w:val="001A18C3"/>
    <w:rsid w:val="001A27D1"/>
    <w:rsid w:val="001A2A04"/>
    <w:rsid w:val="001A2AA1"/>
    <w:rsid w:val="001A4672"/>
    <w:rsid w:val="001A47E7"/>
    <w:rsid w:val="001A4821"/>
    <w:rsid w:val="001A58A3"/>
    <w:rsid w:val="001A6824"/>
    <w:rsid w:val="001A6B25"/>
    <w:rsid w:val="001A6F55"/>
    <w:rsid w:val="001A7D36"/>
    <w:rsid w:val="001B078D"/>
    <w:rsid w:val="001B086F"/>
    <w:rsid w:val="001B16DD"/>
    <w:rsid w:val="001B16F7"/>
    <w:rsid w:val="001B1EDF"/>
    <w:rsid w:val="001B24F2"/>
    <w:rsid w:val="001B2A67"/>
    <w:rsid w:val="001B2E0C"/>
    <w:rsid w:val="001B3125"/>
    <w:rsid w:val="001B341E"/>
    <w:rsid w:val="001B40EE"/>
    <w:rsid w:val="001B469B"/>
    <w:rsid w:val="001B66F6"/>
    <w:rsid w:val="001B6FD5"/>
    <w:rsid w:val="001B706E"/>
    <w:rsid w:val="001B7AFC"/>
    <w:rsid w:val="001B7BC9"/>
    <w:rsid w:val="001B7C21"/>
    <w:rsid w:val="001C2468"/>
    <w:rsid w:val="001C2864"/>
    <w:rsid w:val="001C378F"/>
    <w:rsid w:val="001C3B45"/>
    <w:rsid w:val="001C3D05"/>
    <w:rsid w:val="001C3D5B"/>
    <w:rsid w:val="001C4C75"/>
    <w:rsid w:val="001C536B"/>
    <w:rsid w:val="001C56AE"/>
    <w:rsid w:val="001D0859"/>
    <w:rsid w:val="001D176D"/>
    <w:rsid w:val="001D1EFA"/>
    <w:rsid w:val="001D2637"/>
    <w:rsid w:val="001D2A67"/>
    <w:rsid w:val="001D2C12"/>
    <w:rsid w:val="001D3C53"/>
    <w:rsid w:val="001D3C58"/>
    <w:rsid w:val="001D4AEC"/>
    <w:rsid w:val="001D4E79"/>
    <w:rsid w:val="001D5347"/>
    <w:rsid w:val="001D63EA"/>
    <w:rsid w:val="001D671C"/>
    <w:rsid w:val="001D6D08"/>
    <w:rsid w:val="001D79E3"/>
    <w:rsid w:val="001E0BCE"/>
    <w:rsid w:val="001E0C0D"/>
    <w:rsid w:val="001E1819"/>
    <w:rsid w:val="001E1BF0"/>
    <w:rsid w:val="001E277B"/>
    <w:rsid w:val="001E293C"/>
    <w:rsid w:val="001E2C9F"/>
    <w:rsid w:val="001E41E3"/>
    <w:rsid w:val="001E4E28"/>
    <w:rsid w:val="001E6BCB"/>
    <w:rsid w:val="001E6BDE"/>
    <w:rsid w:val="001E72AF"/>
    <w:rsid w:val="001E7413"/>
    <w:rsid w:val="001F07E3"/>
    <w:rsid w:val="001F12E2"/>
    <w:rsid w:val="001F1970"/>
    <w:rsid w:val="001F21E7"/>
    <w:rsid w:val="001F2AF0"/>
    <w:rsid w:val="001F2B14"/>
    <w:rsid w:val="001F2F8C"/>
    <w:rsid w:val="001F3479"/>
    <w:rsid w:val="001F37A3"/>
    <w:rsid w:val="001F385A"/>
    <w:rsid w:val="001F39FD"/>
    <w:rsid w:val="001F4EBF"/>
    <w:rsid w:val="001F503D"/>
    <w:rsid w:val="001F54C6"/>
    <w:rsid w:val="001F605D"/>
    <w:rsid w:val="001F71F7"/>
    <w:rsid w:val="00201680"/>
    <w:rsid w:val="00201791"/>
    <w:rsid w:val="00202D37"/>
    <w:rsid w:val="00204780"/>
    <w:rsid w:val="002048B9"/>
    <w:rsid w:val="00204910"/>
    <w:rsid w:val="00204AD8"/>
    <w:rsid w:val="00204F87"/>
    <w:rsid w:val="00205266"/>
    <w:rsid w:val="00205AA6"/>
    <w:rsid w:val="00205E5C"/>
    <w:rsid w:val="00206042"/>
    <w:rsid w:val="00206864"/>
    <w:rsid w:val="002070FE"/>
    <w:rsid w:val="0021054D"/>
    <w:rsid w:val="002107EF"/>
    <w:rsid w:val="002108CA"/>
    <w:rsid w:val="002137B9"/>
    <w:rsid w:val="00214285"/>
    <w:rsid w:val="002149C2"/>
    <w:rsid w:val="00214B23"/>
    <w:rsid w:val="00214CE6"/>
    <w:rsid w:val="00214F90"/>
    <w:rsid w:val="00215378"/>
    <w:rsid w:val="00215702"/>
    <w:rsid w:val="00216A3B"/>
    <w:rsid w:val="00216F1A"/>
    <w:rsid w:val="00217896"/>
    <w:rsid w:val="00217ABB"/>
    <w:rsid w:val="00220A59"/>
    <w:rsid w:val="00220B43"/>
    <w:rsid w:val="00221022"/>
    <w:rsid w:val="00221666"/>
    <w:rsid w:val="00221A01"/>
    <w:rsid w:val="00221B6E"/>
    <w:rsid w:val="00221FFB"/>
    <w:rsid w:val="00222358"/>
    <w:rsid w:val="002224CF"/>
    <w:rsid w:val="002225C3"/>
    <w:rsid w:val="002227B3"/>
    <w:rsid w:val="002228F0"/>
    <w:rsid w:val="00223649"/>
    <w:rsid w:val="00224A65"/>
    <w:rsid w:val="00224B13"/>
    <w:rsid w:val="002256B7"/>
    <w:rsid w:val="002264A7"/>
    <w:rsid w:val="00227BF7"/>
    <w:rsid w:val="00230074"/>
    <w:rsid w:val="00230FFD"/>
    <w:rsid w:val="00231021"/>
    <w:rsid w:val="00233133"/>
    <w:rsid w:val="00233322"/>
    <w:rsid w:val="00234CB7"/>
    <w:rsid w:val="00235715"/>
    <w:rsid w:val="00235941"/>
    <w:rsid w:val="00235944"/>
    <w:rsid w:val="002365BA"/>
    <w:rsid w:val="00236A36"/>
    <w:rsid w:val="00236AC5"/>
    <w:rsid w:val="00237008"/>
    <w:rsid w:val="002402C0"/>
    <w:rsid w:val="00240457"/>
    <w:rsid w:val="00240EF4"/>
    <w:rsid w:val="00241290"/>
    <w:rsid w:val="002417D9"/>
    <w:rsid w:val="00241B18"/>
    <w:rsid w:val="00241BDE"/>
    <w:rsid w:val="002424A2"/>
    <w:rsid w:val="00242768"/>
    <w:rsid w:val="00244261"/>
    <w:rsid w:val="00244BD1"/>
    <w:rsid w:val="00244C05"/>
    <w:rsid w:val="002454E1"/>
    <w:rsid w:val="00245BE8"/>
    <w:rsid w:val="00245C8B"/>
    <w:rsid w:val="00246539"/>
    <w:rsid w:val="00247DB5"/>
    <w:rsid w:val="00247E4A"/>
    <w:rsid w:val="00247F9D"/>
    <w:rsid w:val="002509A5"/>
    <w:rsid w:val="00251304"/>
    <w:rsid w:val="00251444"/>
    <w:rsid w:val="0025232D"/>
    <w:rsid w:val="002528F9"/>
    <w:rsid w:val="00252BA1"/>
    <w:rsid w:val="0025350A"/>
    <w:rsid w:val="002543A8"/>
    <w:rsid w:val="00256DD3"/>
    <w:rsid w:val="00256F70"/>
    <w:rsid w:val="0026015F"/>
    <w:rsid w:val="00260C55"/>
    <w:rsid w:val="00262C86"/>
    <w:rsid w:val="002632EB"/>
    <w:rsid w:val="002633EC"/>
    <w:rsid w:val="0026367D"/>
    <w:rsid w:val="00263C45"/>
    <w:rsid w:val="00266182"/>
    <w:rsid w:val="002667B2"/>
    <w:rsid w:val="00266929"/>
    <w:rsid w:val="00266C2B"/>
    <w:rsid w:val="00266D87"/>
    <w:rsid w:val="0026731E"/>
    <w:rsid w:val="00270214"/>
    <w:rsid w:val="0027060F"/>
    <w:rsid w:val="002709ED"/>
    <w:rsid w:val="00270F61"/>
    <w:rsid w:val="0027135E"/>
    <w:rsid w:val="002717E5"/>
    <w:rsid w:val="00273824"/>
    <w:rsid w:val="002757ED"/>
    <w:rsid w:val="0027591F"/>
    <w:rsid w:val="002759E4"/>
    <w:rsid w:val="002805B6"/>
    <w:rsid w:val="00281088"/>
    <w:rsid w:val="002813C9"/>
    <w:rsid w:val="0028182A"/>
    <w:rsid w:val="00281E3C"/>
    <w:rsid w:val="00282063"/>
    <w:rsid w:val="00282B55"/>
    <w:rsid w:val="00283E3D"/>
    <w:rsid w:val="0028437D"/>
    <w:rsid w:val="00285131"/>
    <w:rsid w:val="0028530E"/>
    <w:rsid w:val="0028555C"/>
    <w:rsid w:val="002859D5"/>
    <w:rsid w:val="00285B30"/>
    <w:rsid w:val="00285F40"/>
    <w:rsid w:val="002866D1"/>
    <w:rsid w:val="0028708A"/>
    <w:rsid w:val="00287122"/>
    <w:rsid w:val="0028741B"/>
    <w:rsid w:val="00290082"/>
    <w:rsid w:val="002912A9"/>
    <w:rsid w:val="002918BF"/>
    <w:rsid w:val="00293033"/>
    <w:rsid w:val="00294024"/>
    <w:rsid w:val="00294C06"/>
    <w:rsid w:val="002951F5"/>
    <w:rsid w:val="00295311"/>
    <w:rsid w:val="0029551B"/>
    <w:rsid w:val="00296450"/>
    <w:rsid w:val="002969F2"/>
    <w:rsid w:val="00296F36"/>
    <w:rsid w:val="00297B2C"/>
    <w:rsid w:val="002A2080"/>
    <w:rsid w:val="002A2572"/>
    <w:rsid w:val="002A25C7"/>
    <w:rsid w:val="002A3220"/>
    <w:rsid w:val="002A3B53"/>
    <w:rsid w:val="002A3E2E"/>
    <w:rsid w:val="002A50F4"/>
    <w:rsid w:val="002A5FCB"/>
    <w:rsid w:val="002A63F2"/>
    <w:rsid w:val="002A64CD"/>
    <w:rsid w:val="002A7307"/>
    <w:rsid w:val="002A7C08"/>
    <w:rsid w:val="002B0B09"/>
    <w:rsid w:val="002B10C9"/>
    <w:rsid w:val="002B14AE"/>
    <w:rsid w:val="002B1614"/>
    <w:rsid w:val="002B18D4"/>
    <w:rsid w:val="002B1DB2"/>
    <w:rsid w:val="002B26E7"/>
    <w:rsid w:val="002B3373"/>
    <w:rsid w:val="002B35DE"/>
    <w:rsid w:val="002B38BB"/>
    <w:rsid w:val="002B3FBB"/>
    <w:rsid w:val="002B537E"/>
    <w:rsid w:val="002B5917"/>
    <w:rsid w:val="002B5B72"/>
    <w:rsid w:val="002B5B98"/>
    <w:rsid w:val="002B6353"/>
    <w:rsid w:val="002B639C"/>
    <w:rsid w:val="002B6CEC"/>
    <w:rsid w:val="002B6E11"/>
    <w:rsid w:val="002C0DF3"/>
    <w:rsid w:val="002C1710"/>
    <w:rsid w:val="002C26FC"/>
    <w:rsid w:val="002C297A"/>
    <w:rsid w:val="002C3B66"/>
    <w:rsid w:val="002C3BC2"/>
    <w:rsid w:val="002C3D13"/>
    <w:rsid w:val="002C5326"/>
    <w:rsid w:val="002C5484"/>
    <w:rsid w:val="002C64AB"/>
    <w:rsid w:val="002C7CC5"/>
    <w:rsid w:val="002D0808"/>
    <w:rsid w:val="002D099B"/>
    <w:rsid w:val="002D0E84"/>
    <w:rsid w:val="002D0F33"/>
    <w:rsid w:val="002D200B"/>
    <w:rsid w:val="002D21C8"/>
    <w:rsid w:val="002D2497"/>
    <w:rsid w:val="002D2F5D"/>
    <w:rsid w:val="002D2FCB"/>
    <w:rsid w:val="002D3F1C"/>
    <w:rsid w:val="002D45F6"/>
    <w:rsid w:val="002D46C7"/>
    <w:rsid w:val="002D599C"/>
    <w:rsid w:val="002D5B89"/>
    <w:rsid w:val="002D5C89"/>
    <w:rsid w:val="002D5FC4"/>
    <w:rsid w:val="002D6AE9"/>
    <w:rsid w:val="002D78FC"/>
    <w:rsid w:val="002D7ED4"/>
    <w:rsid w:val="002D7F19"/>
    <w:rsid w:val="002E09F2"/>
    <w:rsid w:val="002E10ED"/>
    <w:rsid w:val="002E16B5"/>
    <w:rsid w:val="002E18C1"/>
    <w:rsid w:val="002E1F15"/>
    <w:rsid w:val="002E2145"/>
    <w:rsid w:val="002E2E94"/>
    <w:rsid w:val="002E3921"/>
    <w:rsid w:val="002E3ED2"/>
    <w:rsid w:val="002E4558"/>
    <w:rsid w:val="002E4E75"/>
    <w:rsid w:val="002E5449"/>
    <w:rsid w:val="002E6666"/>
    <w:rsid w:val="002E680E"/>
    <w:rsid w:val="002E7399"/>
    <w:rsid w:val="002E76D5"/>
    <w:rsid w:val="002F08AB"/>
    <w:rsid w:val="002F0F17"/>
    <w:rsid w:val="002F29D7"/>
    <w:rsid w:val="002F367A"/>
    <w:rsid w:val="002F4322"/>
    <w:rsid w:val="002F59DF"/>
    <w:rsid w:val="002F5DB3"/>
    <w:rsid w:val="002F621E"/>
    <w:rsid w:val="002F64A4"/>
    <w:rsid w:val="002F6AC8"/>
    <w:rsid w:val="002F6E79"/>
    <w:rsid w:val="002F7093"/>
    <w:rsid w:val="002F7815"/>
    <w:rsid w:val="002F78AA"/>
    <w:rsid w:val="002F7BBC"/>
    <w:rsid w:val="003003F7"/>
    <w:rsid w:val="003004FE"/>
    <w:rsid w:val="00301A61"/>
    <w:rsid w:val="00301E6C"/>
    <w:rsid w:val="003027ED"/>
    <w:rsid w:val="00302C17"/>
    <w:rsid w:val="003032FC"/>
    <w:rsid w:val="00303339"/>
    <w:rsid w:val="0030415F"/>
    <w:rsid w:val="003044FC"/>
    <w:rsid w:val="00304AF4"/>
    <w:rsid w:val="003058FB"/>
    <w:rsid w:val="00305CF9"/>
    <w:rsid w:val="00306595"/>
    <w:rsid w:val="003067BD"/>
    <w:rsid w:val="00307266"/>
    <w:rsid w:val="00307C42"/>
    <w:rsid w:val="0031072C"/>
    <w:rsid w:val="00310D15"/>
    <w:rsid w:val="00311B3A"/>
    <w:rsid w:val="00311E8B"/>
    <w:rsid w:val="0031214F"/>
    <w:rsid w:val="00312860"/>
    <w:rsid w:val="00312DC6"/>
    <w:rsid w:val="00313071"/>
    <w:rsid w:val="00313C7E"/>
    <w:rsid w:val="00313CE7"/>
    <w:rsid w:val="0031412C"/>
    <w:rsid w:val="003149B3"/>
    <w:rsid w:val="00314E91"/>
    <w:rsid w:val="00316639"/>
    <w:rsid w:val="0031742B"/>
    <w:rsid w:val="0031782C"/>
    <w:rsid w:val="00317941"/>
    <w:rsid w:val="00317C39"/>
    <w:rsid w:val="00317D95"/>
    <w:rsid w:val="0032136F"/>
    <w:rsid w:val="003214F4"/>
    <w:rsid w:val="00321F32"/>
    <w:rsid w:val="00322EAF"/>
    <w:rsid w:val="00323606"/>
    <w:rsid w:val="00323E2C"/>
    <w:rsid w:val="0032521C"/>
    <w:rsid w:val="0032555A"/>
    <w:rsid w:val="003258DE"/>
    <w:rsid w:val="00325FAE"/>
    <w:rsid w:val="0032776A"/>
    <w:rsid w:val="00327B32"/>
    <w:rsid w:val="00327BA9"/>
    <w:rsid w:val="0033011D"/>
    <w:rsid w:val="00331BED"/>
    <w:rsid w:val="00331CE0"/>
    <w:rsid w:val="0033260D"/>
    <w:rsid w:val="00332979"/>
    <w:rsid w:val="00332AA8"/>
    <w:rsid w:val="00332E25"/>
    <w:rsid w:val="00333CAB"/>
    <w:rsid w:val="00333D61"/>
    <w:rsid w:val="0033440B"/>
    <w:rsid w:val="0033519C"/>
    <w:rsid w:val="0033603A"/>
    <w:rsid w:val="00337264"/>
    <w:rsid w:val="00340381"/>
    <w:rsid w:val="00340AF3"/>
    <w:rsid w:val="00340B2C"/>
    <w:rsid w:val="00341F68"/>
    <w:rsid w:val="0034244F"/>
    <w:rsid w:val="003435AE"/>
    <w:rsid w:val="00344982"/>
    <w:rsid w:val="00344B54"/>
    <w:rsid w:val="00345C01"/>
    <w:rsid w:val="00347263"/>
    <w:rsid w:val="003472D4"/>
    <w:rsid w:val="003472E3"/>
    <w:rsid w:val="00347889"/>
    <w:rsid w:val="00347AF5"/>
    <w:rsid w:val="00347C5E"/>
    <w:rsid w:val="00350469"/>
    <w:rsid w:val="003512EC"/>
    <w:rsid w:val="00351335"/>
    <w:rsid w:val="00351BA2"/>
    <w:rsid w:val="00351D7A"/>
    <w:rsid w:val="00351DE7"/>
    <w:rsid w:val="00353D90"/>
    <w:rsid w:val="003540AF"/>
    <w:rsid w:val="0035416E"/>
    <w:rsid w:val="003550AC"/>
    <w:rsid w:val="0035563D"/>
    <w:rsid w:val="003561A5"/>
    <w:rsid w:val="003563BF"/>
    <w:rsid w:val="00357459"/>
    <w:rsid w:val="00357636"/>
    <w:rsid w:val="00357A5A"/>
    <w:rsid w:val="003611AF"/>
    <w:rsid w:val="0036181A"/>
    <w:rsid w:val="00361B25"/>
    <w:rsid w:val="00362367"/>
    <w:rsid w:val="00362CB9"/>
    <w:rsid w:val="00362EB6"/>
    <w:rsid w:val="00363A98"/>
    <w:rsid w:val="00363ADB"/>
    <w:rsid w:val="00364230"/>
    <w:rsid w:val="003643E8"/>
    <w:rsid w:val="00364787"/>
    <w:rsid w:val="003648C6"/>
    <w:rsid w:val="00365B33"/>
    <w:rsid w:val="003664B0"/>
    <w:rsid w:val="00366765"/>
    <w:rsid w:val="00366B7F"/>
    <w:rsid w:val="00366EF4"/>
    <w:rsid w:val="00367059"/>
    <w:rsid w:val="003673A0"/>
    <w:rsid w:val="00367EF7"/>
    <w:rsid w:val="00370428"/>
    <w:rsid w:val="00371571"/>
    <w:rsid w:val="00371C35"/>
    <w:rsid w:val="00371FC2"/>
    <w:rsid w:val="00372570"/>
    <w:rsid w:val="003740C4"/>
    <w:rsid w:val="00374B7E"/>
    <w:rsid w:val="00374D3B"/>
    <w:rsid w:val="00375E16"/>
    <w:rsid w:val="00376035"/>
    <w:rsid w:val="0037610B"/>
    <w:rsid w:val="003768C3"/>
    <w:rsid w:val="00376D82"/>
    <w:rsid w:val="00376F54"/>
    <w:rsid w:val="0037737E"/>
    <w:rsid w:val="003778D2"/>
    <w:rsid w:val="00377FED"/>
    <w:rsid w:val="00380003"/>
    <w:rsid w:val="00380554"/>
    <w:rsid w:val="003806EA"/>
    <w:rsid w:val="00380D30"/>
    <w:rsid w:val="0038177E"/>
    <w:rsid w:val="00382088"/>
    <w:rsid w:val="003824EE"/>
    <w:rsid w:val="00382E0E"/>
    <w:rsid w:val="00382F89"/>
    <w:rsid w:val="00383DAF"/>
    <w:rsid w:val="00383FB7"/>
    <w:rsid w:val="00384551"/>
    <w:rsid w:val="003854D6"/>
    <w:rsid w:val="00386417"/>
    <w:rsid w:val="00386D06"/>
    <w:rsid w:val="00386DA0"/>
    <w:rsid w:val="003871AC"/>
    <w:rsid w:val="003902EC"/>
    <w:rsid w:val="003903E5"/>
    <w:rsid w:val="00390E31"/>
    <w:rsid w:val="00390EA9"/>
    <w:rsid w:val="00391212"/>
    <w:rsid w:val="003915F7"/>
    <w:rsid w:val="00392205"/>
    <w:rsid w:val="00393FFE"/>
    <w:rsid w:val="00394EAE"/>
    <w:rsid w:val="00395569"/>
    <w:rsid w:val="00395985"/>
    <w:rsid w:val="00395C04"/>
    <w:rsid w:val="00395CC7"/>
    <w:rsid w:val="003961D7"/>
    <w:rsid w:val="00397584"/>
    <w:rsid w:val="00397A94"/>
    <w:rsid w:val="003A0411"/>
    <w:rsid w:val="003A1D62"/>
    <w:rsid w:val="003A22E4"/>
    <w:rsid w:val="003A24BE"/>
    <w:rsid w:val="003A2541"/>
    <w:rsid w:val="003A2E7E"/>
    <w:rsid w:val="003A39B8"/>
    <w:rsid w:val="003A3CA6"/>
    <w:rsid w:val="003A4112"/>
    <w:rsid w:val="003A4150"/>
    <w:rsid w:val="003A45FD"/>
    <w:rsid w:val="003A46EB"/>
    <w:rsid w:val="003A4CB1"/>
    <w:rsid w:val="003A588C"/>
    <w:rsid w:val="003A6003"/>
    <w:rsid w:val="003A60AA"/>
    <w:rsid w:val="003A6737"/>
    <w:rsid w:val="003A7C07"/>
    <w:rsid w:val="003B00E6"/>
    <w:rsid w:val="003B0417"/>
    <w:rsid w:val="003B0B48"/>
    <w:rsid w:val="003B2FC1"/>
    <w:rsid w:val="003B387F"/>
    <w:rsid w:val="003B40FE"/>
    <w:rsid w:val="003B48F7"/>
    <w:rsid w:val="003B49C2"/>
    <w:rsid w:val="003B51A7"/>
    <w:rsid w:val="003B5328"/>
    <w:rsid w:val="003B5360"/>
    <w:rsid w:val="003B5868"/>
    <w:rsid w:val="003B66DF"/>
    <w:rsid w:val="003B6FA6"/>
    <w:rsid w:val="003B7FC6"/>
    <w:rsid w:val="003C0720"/>
    <w:rsid w:val="003C0BCF"/>
    <w:rsid w:val="003C0C5B"/>
    <w:rsid w:val="003C185F"/>
    <w:rsid w:val="003C18D3"/>
    <w:rsid w:val="003C282E"/>
    <w:rsid w:val="003C2EA8"/>
    <w:rsid w:val="003C2FA6"/>
    <w:rsid w:val="003C3445"/>
    <w:rsid w:val="003C3C69"/>
    <w:rsid w:val="003C3FBD"/>
    <w:rsid w:val="003C4046"/>
    <w:rsid w:val="003C69DC"/>
    <w:rsid w:val="003C6D32"/>
    <w:rsid w:val="003C77FA"/>
    <w:rsid w:val="003D0CC8"/>
    <w:rsid w:val="003D0E0C"/>
    <w:rsid w:val="003D18D3"/>
    <w:rsid w:val="003D1E21"/>
    <w:rsid w:val="003D245D"/>
    <w:rsid w:val="003D2CFA"/>
    <w:rsid w:val="003D3ACD"/>
    <w:rsid w:val="003D3E81"/>
    <w:rsid w:val="003D5000"/>
    <w:rsid w:val="003D58A0"/>
    <w:rsid w:val="003D5B01"/>
    <w:rsid w:val="003D5FC2"/>
    <w:rsid w:val="003D602E"/>
    <w:rsid w:val="003D6BB7"/>
    <w:rsid w:val="003D7C1C"/>
    <w:rsid w:val="003E0842"/>
    <w:rsid w:val="003E140C"/>
    <w:rsid w:val="003E1BE3"/>
    <w:rsid w:val="003E2B98"/>
    <w:rsid w:val="003E39C6"/>
    <w:rsid w:val="003E3C1A"/>
    <w:rsid w:val="003E3FD6"/>
    <w:rsid w:val="003E60CE"/>
    <w:rsid w:val="003E6286"/>
    <w:rsid w:val="003E67C6"/>
    <w:rsid w:val="003E6DBD"/>
    <w:rsid w:val="003E6F86"/>
    <w:rsid w:val="003E6FA7"/>
    <w:rsid w:val="003E734A"/>
    <w:rsid w:val="003E7D18"/>
    <w:rsid w:val="003F0E64"/>
    <w:rsid w:val="003F1862"/>
    <w:rsid w:val="003F1CC2"/>
    <w:rsid w:val="003F1CCD"/>
    <w:rsid w:val="003F4022"/>
    <w:rsid w:val="003F4FFA"/>
    <w:rsid w:val="003F5244"/>
    <w:rsid w:val="003F579F"/>
    <w:rsid w:val="003F6103"/>
    <w:rsid w:val="003F65DB"/>
    <w:rsid w:val="003F67D5"/>
    <w:rsid w:val="003F685D"/>
    <w:rsid w:val="003F6C0B"/>
    <w:rsid w:val="003F719B"/>
    <w:rsid w:val="003F7640"/>
    <w:rsid w:val="00400F77"/>
    <w:rsid w:val="004019E8"/>
    <w:rsid w:val="00401D69"/>
    <w:rsid w:val="00401F57"/>
    <w:rsid w:val="00402FEC"/>
    <w:rsid w:val="004033CF"/>
    <w:rsid w:val="00404239"/>
    <w:rsid w:val="00404EB0"/>
    <w:rsid w:val="00405202"/>
    <w:rsid w:val="004056F1"/>
    <w:rsid w:val="0040574B"/>
    <w:rsid w:val="00406045"/>
    <w:rsid w:val="00407468"/>
    <w:rsid w:val="00407909"/>
    <w:rsid w:val="00412934"/>
    <w:rsid w:val="00412BE8"/>
    <w:rsid w:val="00412DA7"/>
    <w:rsid w:val="00413965"/>
    <w:rsid w:val="004139FF"/>
    <w:rsid w:val="00413EA2"/>
    <w:rsid w:val="00413EF1"/>
    <w:rsid w:val="00414A6F"/>
    <w:rsid w:val="00415077"/>
    <w:rsid w:val="004158C1"/>
    <w:rsid w:val="00415D8F"/>
    <w:rsid w:val="0041632B"/>
    <w:rsid w:val="00416D7F"/>
    <w:rsid w:val="00416E11"/>
    <w:rsid w:val="00416E1B"/>
    <w:rsid w:val="00417070"/>
    <w:rsid w:val="004174C7"/>
    <w:rsid w:val="004179DC"/>
    <w:rsid w:val="004179E6"/>
    <w:rsid w:val="00417EFA"/>
    <w:rsid w:val="00420328"/>
    <w:rsid w:val="0042099C"/>
    <w:rsid w:val="00420D96"/>
    <w:rsid w:val="004225C3"/>
    <w:rsid w:val="0042279E"/>
    <w:rsid w:val="00422FA5"/>
    <w:rsid w:val="004235F6"/>
    <w:rsid w:val="004239C7"/>
    <w:rsid w:val="00424E86"/>
    <w:rsid w:val="0042509D"/>
    <w:rsid w:val="004250EF"/>
    <w:rsid w:val="004253F5"/>
    <w:rsid w:val="0042550B"/>
    <w:rsid w:val="00425E3F"/>
    <w:rsid w:val="004266F8"/>
    <w:rsid w:val="0043041E"/>
    <w:rsid w:val="00430A91"/>
    <w:rsid w:val="004313DA"/>
    <w:rsid w:val="0043173F"/>
    <w:rsid w:val="004334E5"/>
    <w:rsid w:val="00433792"/>
    <w:rsid w:val="00433BB1"/>
    <w:rsid w:val="00433C2C"/>
    <w:rsid w:val="00433F7A"/>
    <w:rsid w:val="0043402B"/>
    <w:rsid w:val="0043464C"/>
    <w:rsid w:val="0043493F"/>
    <w:rsid w:val="00434D28"/>
    <w:rsid w:val="004350E5"/>
    <w:rsid w:val="00435186"/>
    <w:rsid w:val="00437920"/>
    <w:rsid w:val="004400BF"/>
    <w:rsid w:val="0044198A"/>
    <w:rsid w:val="00442060"/>
    <w:rsid w:val="004424D4"/>
    <w:rsid w:val="00442DE6"/>
    <w:rsid w:val="0044394B"/>
    <w:rsid w:val="00443ECC"/>
    <w:rsid w:val="00443F27"/>
    <w:rsid w:val="00443F64"/>
    <w:rsid w:val="004443D6"/>
    <w:rsid w:val="0044452D"/>
    <w:rsid w:val="004448A5"/>
    <w:rsid w:val="00444EB8"/>
    <w:rsid w:val="004456DE"/>
    <w:rsid w:val="004458D2"/>
    <w:rsid w:val="00445A8D"/>
    <w:rsid w:val="00445DDC"/>
    <w:rsid w:val="00445E5A"/>
    <w:rsid w:val="0044683C"/>
    <w:rsid w:val="00446C11"/>
    <w:rsid w:val="00447372"/>
    <w:rsid w:val="004476C2"/>
    <w:rsid w:val="004476E9"/>
    <w:rsid w:val="004501A2"/>
    <w:rsid w:val="00450AF0"/>
    <w:rsid w:val="0045119E"/>
    <w:rsid w:val="0045143C"/>
    <w:rsid w:val="00451440"/>
    <w:rsid w:val="004523D0"/>
    <w:rsid w:val="00453922"/>
    <w:rsid w:val="00454753"/>
    <w:rsid w:val="004551FE"/>
    <w:rsid w:val="004554EB"/>
    <w:rsid w:val="00455B36"/>
    <w:rsid w:val="00456F7C"/>
    <w:rsid w:val="0045742C"/>
    <w:rsid w:val="00457E2A"/>
    <w:rsid w:val="00457E5C"/>
    <w:rsid w:val="0046096F"/>
    <w:rsid w:val="00461578"/>
    <w:rsid w:val="004619F6"/>
    <w:rsid w:val="004622F3"/>
    <w:rsid w:val="0046263B"/>
    <w:rsid w:val="004635B9"/>
    <w:rsid w:val="0046381C"/>
    <w:rsid w:val="00464AE3"/>
    <w:rsid w:val="00465077"/>
    <w:rsid w:val="00465E00"/>
    <w:rsid w:val="0046632C"/>
    <w:rsid w:val="00466593"/>
    <w:rsid w:val="00467143"/>
    <w:rsid w:val="00467A9A"/>
    <w:rsid w:val="00471040"/>
    <w:rsid w:val="00471439"/>
    <w:rsid w:val="004715C1"/>
    <w:rsid w:val="00471DF8"/>
    <w:rsid w:val="00472BFA"/>
    <w:rsid w:val="00472F0D"/>
    <w:rsid w:val="00473F2B"/>
    <w:rsid w:val="00473FC6"/>
    <w:rsid w:val="00474313"/>
    <w:rsid w:val="004744FB"/>
    <w:rsid w:val="00476CC1"/>
    <w:rsid w:val="00477472"/>
    <w:rsid w:val="00477D7A"/>
    <w:rsid w:val="0048068A"/>
    <w:rsid w:val="004807A8"/>
    <w:rsid w:val="00481B2E"/>
    <w:rsid w:val="00482875"/>
    <w:rsid w:val="0048305F"/>
    <w:rsid w:val="004830FF"/>
    <w:rsid w:val="0048330A"/>
    <w:rsid w:val="00483B48"/>
    <w:rsid w:val="00483EF9"/>
    <w:rsid w:val="00484611"/>
    <w:rsid w:val="0048479D"/>
    <w:rsid w:val="00484BCD"/>
    <w:rsid w:val="00485159"/>
    <w:rsid w:val="004857FE"/>
    <w:rsid w:val="00485E6B"/>
    <w:rsid w:val="00486145"/>
    <w:rsid w:val="004871D5"/>
    <w:rsid w:val="00487D68"/>
    <w:rsid w:val="00487EB1"/>
    <w:rsid w:val="004908D8"/>
    <w:rsid w:val="00490A10"/>
    <w:rsid w:val="00491685"/>
    <w:rsid w:val="004920E6"/>
    <w:rsid w:val="0049259C"/>
    <w:rsid w:val="00492FA1"/>
    <w:rsid w:val="00493962"/>
    <w:rsid w:val="00493BED"/>
    <w:rsid w:val="00493E11"/>
    <w:rsid w:val="0049447A"/>
    <w:rsid w:val="0049583C"/>
    <w:rsid w:val="00495AF8"/>
    <w:rsid w:val="00496531"/>
    <w:rsid w:val="0049686A"/>
    <w:rsid w:val="00496970"/>
    <w:rsid w:val="00496C0A"/>
    <w:rsid w:val="00497A02"/>
    <w:rsid w:val="00497DA0"/>
    <w:rsid w:val="00497EFD"/>
    <w:rsid w:val="004A0B7A"/>
    <w:rsid w:val="004A0CAD"/>
    <w:rsid w:val="004A1D26"/>
    <w:rsid w:val="004A280B"/>
    <w:rsid w:val="004A2C1B"/>
    <w:rsid w:val="004A2D20"/>
    <w:rsid w:val="004A36EA"/>
    <w:rsid w:val="004A3825"/>
    <w:rsid w:val="004A3DD7"/>
    <w:rsid w:val="004A41C1"/>
    <w:rsid w:val="004A41C7"/>
    <w:rsid w:val="004A422B"/>
    <w:rsid w:val="004A430F"/>
    <w:rsid w:val="004A50D1"/>
    <w:rsid w:val="004A6F40"/>
    <w:rsid w:val="004B04AB"/>
    <w:rsid w:val="004B0B03"/>
    <w:rsid w:val="004B1BD7"/>
    <w:rsid w:val="004B1EEA"/>
    <w:rsid w:val="004B21CB"/>
    <w:rsid w:val="004B2238"/>
    <w:rsid w:val="004B282F"/>
    <w:rsid w:val="004B30D2"/>
    <w:rsid w:val="004B311F"/>
    <w:rsid w:val="004B36B6"/>
    <w:rsid w:val="004B3B41"/>
    <w:rsid w:val="004B4412"/>
    <w:rsid w:val="004B4D90"/>
    <w:rsid w:val="004B54DE"/>
    <w:rsid w:val="004B73B2"/>
    <w:rsid w:val="004C0968"/>
    <w:rsid w:val="004C17E3"/>
    <w:rsid w:val="004C1EE1"/>
    <w:rsid w:val="004C2C6A"/>
    <w:rsid w:val="004C2D36"/>
    <w:rsid w:val="004C39EB"/>
    <w:rsid w:val="004C3CE0"/>
    <w:rsid w:val="004C3D5A"/>
    <w:rsid w:val="004C4535"/>
    <w:rsid w:val="004C5D9B"/>
    <w:rsid w:val="004C5DBF"/>
    <w:rsid w:val="004C6910"/>
    <w:rsid w:val="004C759D"/>
    <w:rsid w:val="004C7649"/>
    <w:rsid w:val="004D04D1"/>
    <w:rsid w:val="004D11A1"/>
    <w:rsid w:val="004D190F"/>
    <w:rsid w:val="004D299A"/>
    <w:rsid w:val="004D315D"/>
    <w:rsid w:val="004D4A84"/>
    <w:rsid w:val="004D4E63"/>
    <w:rsid w:val="004D5671"/>
    <w:rsid w:val="004D574C"/>
    <w:rsid w:val="004D59DE"/>
    <w:rsid w:val="004D5C9F"/>
    <w:rsid w:val="004D5F96"/>
    <w:rsid w:val="004D780A"/>
    <w:rsid w:val="004E040B"/>
    <w:rsid w:val="004E0BCC"/>
    <w:rsid w:val="004E2C8A"/>
    <w:rsid w:val="004E4649"/>
    <w:rsid w:val="004E4F94"/>
    <w:rsid w:val="004E4FC3"/>
    <w:rsid w:val="004E57D8"/>
    <w:rsid w:val="004E5AB8"/>
    <w:rsid w:val="004E6195"/>
    <w:rsid w:val="004E75F2"/>
    <w:rsid w:val="004E7FA8"/>
    <w:rsid w:val="004F02B1"/>
    <w:rsid w:val="004F1782"/>
    <w:rsid w:val="004F25F1"/>
    <w:rsid w:val="004F30A5"/>
    <w:rsid w:val="004F33A6"/>
    <w:rsid w:val="004F3580"/>
    <w:rsid w:val="004F3E35"/>
    <w:rsid w:val="004F4A30"/>
    <w:rsid w:val="004F5872"/>
    <w:rsid w:val="004F599F"/>
    <w:rsid w:val="004F5CF2"/>
    <w:rsid w:val="004F64F0"/>
    <w:rsid w:val="004F7512"/>
    <w:rsid w:val="005010AD"/>
    <w:rsid w:val="00501235"/>
    <w:rsid w:val="00501547"/>
    <w:rsid w:val="00501791"/>
    <w:rsid w:val="00501EC0"/>
    <w:rsid w:val="005024C6"/>
    <w:rsid w:val="00502589"/>
    <w:rsid w:val="005025F9"/>
    <w:rsid w:val="00502F06"/>
    <w:rsid w:val="00502FD4"/>
    <w:rsid w:val="00503A63"/>
    <w:rsid w:val="005042AE"/>
    <w:rsid w:val="00504D62"/>
    <w:rsid w:val="00505854"/>
    <w:rsid w:val="00506323"/>
    <w:rsid w:val="00506631"/>
    <w:rsid w:val="005108F3"/>
    <w:rsid w:val="00510B1B"/>
    <w:rsid w:val="005113A8"/>
    <w:rsid w:val="005120FC"/>
    <w:rsid w:val="005122E5"/>
    <w:rsid w:val="005129B9"/>
    <w:rsid w:val="00512F24"/>
    <w:rsid w:val="00513024"/>
    <w:rsid w:val="005134E0"/>
    <w:rsid w:val="005134EC"/>
    <w:rsid w:val="00513538"/>
    <w:rsid w:val="0051386C"/>
    <w:rsid w:val="00513A9C"/>
    <w:rsid w:val="0051469B"/>
    <w:rsid w:val="00515AE1"/>
    <w:rsid w:val="00515C92"/>
    <w:rsid w:val="00516C9B"/>
    <w:rsid w:val="005172BC"/>
    <w:rsid w:val="00517C17"/>
    <w:rsid w:val="00517F0D"/>
    <w:rsid w:val="0052024A"/>
    <w:rsid w:val="00521D35"/>
    <w:rsid w:val="005223C4"/>
    <w:rsid w:val="0052258C"/>
    <w:rsid w:val="00522980"/>
    <w:rsid w:val="00523A4B"/>
    <w:rsid w:val="00524609"/>
    <w:rsid w:val="00524834"/>
    <w:rsid w:val="00524FBF"/>
    <w:rsid w:val="00525088"/>
    <w:rsid w:val="00525091"/>
    <w:rsid w:val="0052514B"/>
    <w:rsid w:val="005252D1"/>
    <w:rsid w:val="005258F9"/>
    <w:rsid w:val="005263DF"/>
    <w:rsid w:val="00526677"/>
    <w:rsid w:val="00526757"/>
    <w:rsid w:val="00530194"/>
    <w:rsid w:val="005302EA"/>
    <w:rsid w:val="00530D73"/>
    <w:rsid w:val="005311CB"/>
    <w:rsid w:val="005318C5"/>
    <w:rsid w:val="00531F3F"/>
    <w:rsid w:val="005320F0"/>
    <w:rsid w:val="00532E6B"/>
    <w:rsid w:val="00533A35"/>
    <w:rsid w:val="0053430F"/>
    <w:rsid w:val="005348F4"/>
    <w:rsid w:val="00534C4D"/>
    <w:rsid w:val="00535F92"/>
    <w:rsid w:val="00536D58"/>
    <w:rsid w:val="00537866"/>
    <w:rsid w:val="005405C0"/>
    <w:rsid w:val="0054060B"/>
    <w:rsid w:val="005413CB"/>
    <w:rsid w:val="00541A6D"/>
    <w:rsid w:val="00541E39"/>
    <w:rsid w:val="00542B10"/>
    <w:rsid w:val="00542CC2"/>
    <w:rsid w:val="0054307B"/>
    <w:rsid w:val="00543B9C"/>
    <w:rsid w:val="005440E3"/>
    <w:rsid w:val="00544E6A"/>
    <w:rsid w:val="00544F98"/>
    <w:rsid w:val="0054526C"/>
    <w:rsid w:val="00545DC2"/>
    <w:rsid w:val="00546ACF"/>
    <w:rsid w:val="00547004"/>
    <w:rsid w:val="00547280"/>
    <w:rsid w:val="0054732C"/>
    <w:rsid w:val="00547B03"/>
    <w:rsid w:val="00547DBD"/>
    <w:rsid w:val="00547E01"/>
    <w:rsid w:val="00550D1C"/>
    <w:rsid w:val="0055128E"/>
    <w:rsid w:val="0055151E"/>
    <w:rsid w:val="00551BBA"/>
    <w:rsid w:val="00551DD3"/>
    <w:rsid w:val="00551E70"/>
    <w:rsid w:val="00552875"/>
    <w:rsid w:val="005533D6"/>
    <w:rsid w:val="0055360C"/>
    <w:rsid w:val="005536BC"/>
    <w:rsid w:val="0055389F"/>
    <w:rsid w:val="0055417B"/>
    <w:rsid w:val="00554552"/>
    <w:rsid w:val="00554606"/>
    <w:rsid w:val="00554D0C"/>
    <w:rsid w:val="0055518E"/>
    <w:rsid w:val="00556069"/>
    <w:rsid w:val="005564A7"/>
    <w:rsid w:val="00557182"/>
    <w:rsid w:val="00557992"/>
    <w:rsid w:val="00560574"/>
    <w:rsid w:val="005609B8"/>
    <w:rsid w:val="005612E8"/>
    <w:rsid w:val="00561762"/>
    <w:rsid w:val="00561A62"/>
    <w:rsid w:val="00562260"/>
    <w:rsid w:val="005626F9"/>
    <w:rsid w:val="00562933"/>
    <w:rsid w:val="00563165"/>
    <w:rsid w:val="00563450"/>
    <w:rsid w:val="005634CA"/>
    <w:rsid w:val="00563804"/>
    <w:rsid w:val="00565072"/>
    <w:rsid w:val="00565099"/>
    <w:rsid w:val="005665EC"/>
    <w:rsid w:val="005669F6"/>
    <w:rsid w:val="00566E3F"/>
    <w:rsid w:val="005706E5"/>
    <w:rsid w:val="005713A3"/>
    <w:rsid w:val="00571629"/>
    <w:rsid w:val="00572C4D"/>
    <w:rsid w:val="00573950"/>
    <w:rsid w:val="00573FCD"/>
    <w:rsid w:val="005740A7"/>
    <w:rsid w:val="005746BE"/>
    <w:rsid w:val="005748B6"/>
    <w:rsid w:val="005754DE"/>
    <w:rsid w:val="00575874"/>
    <w:rsid w:val="00575D4C"/>
    <w:rsid w:val="005761C3"/>
    <w:rsid w:val="00576C3B"/>
    <w:rsid w:val="00576DFD"/>
    <w:rsid w:val="00576F31"/>
    <w:rsid w:val="00580539"/>
    <w:rsid w:val="0058098B"/>
    <w:rsid w:val="00581E65"/>
    <w:rsid w:val="00583B34"/>
    <w:rsid w:val="00584CDC"/>
    <w:rsid w:val="00584E5A"/>
    <w:rsid w:val="00584E68"/>
    <w:rsid w:val="00585028"/>
    <w:rsid w:val="00585229"/>
    <w:rsid w:val="0058585F"/>
    <w:rsid w:val="00585E0C"/>
    <w:rsid w:val="005868AF"/>
    <w:rsid w:val="00586965"/>
    <w:rsid w:val="00586EB6"/>
    <w:rsid w:val="00590A08"/>
    <w:rsid w:val="005911BD"/>
    <w:rsid w:val="00591C9B"/>
    <w:rsid w:val="005923FE"/>
    <w:rsid w:val="005924F0"/>
    <w:rsid w:val="005926BB"/>
    <w:rsid w:val="00592C62"/>
    <w:rsid w:val="0059304B"/>
    <w:rsid w:val="0059423C"/>
    <w:rsid w:val="00594271"/>
    <w:rsid w:val="0059479C"/>
    <w:rsid w:val="00594B49"/>
    <w:rsid w:val="00595707"/>
    <w:rsid w:val="00595F44"/>
    <w:rsid w:val="00595FCB"/>
    <w:rsid w:val="0059649F"/>
    <w:rsid w:val="0059676A"/>
    <w:rsid w:val="0059754D"/>
    <w:rsid w:val="005979D9"/>
    <w:rsid w:val="005A0B70"/>
    <w:rsid w:val="005A1A3B"/>
    <w:rsid w:val="005A2C33"/>
    <w:rsid w:val="005A2D64"/>
    <w:rsid w:val="005A2EB6"/>
    <w:rsid w:val="005A2F3E"/>
    <w:rsid w:val="005A3A3F"/>
    <w:rsid w:val="005A441E"/>
    <w:rsid w:val="005A635F"/>
    <w:rsid w:val="005A690E"/>
    <w:rsid w:val="005A6961"/>
    <w:rsid w:val="005A75C4"/>
    <w:rsid w:val="005A7ECC"/>
    <w:rsid w:val="005B0E28"/>
    <w:rsid w:val="005B2267"/>
    <w:rsid w:val="005B2C70"/>
    <w:rsid w:val="005B3B48"/>
    <w:rsid w:val="005B43F7"/>
    <w:rsid w:val="005B4AD9"/>
    <w:rsid w:val="005B4B33"/>
    <w:rsid w:val="005B5E68"/>
    <w:rsid w:val="005B6931"/>
    <w:rsid w:val="005B7313"/>
    <w:rsid w:val="005B7BD6"/>
    <w:rsid w:val="005B7E67"/>
    <w:rsid w:val="005C1B63"/>
    <w:rsid w:val="005C439F"/>
    <w:rsid w:val="005C4569"/>
    <w:rsid w:val="005C477C"/>
    <w:rsid w:val="005C4C1E"/>
    <w:rsid w:val="005C4D0E"/>
    <w:rsid w:val="005C5463"/>
    <w:rsid w:val="005C5F5B"/>
    <w:rsid w:val="005C60FC"/>
    <w:rsid w:val="005C61F9"/>
    <w:rsid w:val="005C6425"/>
    <w:rsid w:val="005C7BF5"/>
    <w:rsid w:val="005D0274"/>
    <w:rsid w:val="005D07C1"/>
    <w:rsid w:val="005D07DC"/>
    <w:rsid w:val="005D14B9"/>
    <w:rsid w:val="005D1BEF"/>
    <w:rsid w:val="005D2E92"/>
    <w:rsid w:val="005D2F3B"/>
    <w:rsid w:val="005D3627"/>
    <w:rsid w:val="005D3BCA"/>
    <w:rsid w:val="005D428A"/>
    <w:rsid w:val="005D47BD"/>
    <w:rsid w:val="005D6E45"/>
    <w:rsid w:val="005D711C"/>
    <w:rsid w:val="005E1289"/>
    <w:rsid w:val="005E17BF"/>
    <w:rsid w:val="005E19DE"/>
    <w:rsid w:val="005E297D"/>
    <w:rsid w:val="005E33F5"/>
    <w:rsid w:val="005E42E6"/>
    <w:rsid w:val="005E4E17"/>
    <w:rsid w:val="005E5D86"/>
    <w:rsid w:val="005E7EFC"/>
    <w:rsid w:val="005F0043"/>
    <w:rsid w:val="005F072F"/>
    <w:rsid w:val="005F080A"/>
    <w:rsid w:val="005F0B69"/>
    <w:rsid w:val="005F1E1B"/>
    <w:rsid w:val="005F2169"/>
    <w:rsid w:val="005F2B52"/>
    <w:rsid w:val="005F2FCD"/>
    <w:rsid w:val="005F4358"/>
    <w:rsid w:val="005F462B"/>
    <w:rsid w:val="005F5543"/>
    <w:rsid w:val="005F5AC1"/>
    <w:rsid w:val="005F659C"/>
    <w:rsid w:val="005F750F"/>
    <w:rsid w:val="005F7CFF"/>
    <w:rsid w:val="006003CE"/>
    <w:rsid w:val="00600D9F"/>
    <w:rsid w:val="006017D7"/>
    <w:rsid w:val="00601880"/>
    <w:rsid w:val="00601AC5"/>
    <w:rsid w:val="00602DDF"/>
    <w:rsid w:val="006030B2"/>
    <w:rsid w:val="00603105"/>
    <w:rsid w:val="0060361A"/>
    <w:rsid w:val="00603A5B"/>
    <w:rsid w:val="0060500C"/>
    <w:rsid w:val="00605905"/>
    <w:rsid w:val="00606159"/>
    <w:rsid w:val="00606D07"/>
    <w:rsid w:val="00610072"/>
    <w:rsid w:val="00611709"/>
    <w:rsid w:val="00611D19"/>
    <w:rsid w:val="00611E04"/>
    <w:rsid w:val="006127EE"/>
    <w:rsid w:val="00613122"/>
    <w:rsid w:val="0061375E"/>
    <w:rsid w:val="00613875"/>
    <w:rsid w:val="006139D7"/>
    <w:rsid w:val="00613AE8"/>
    <w:rsid w:val="00614722"/>
    <w:rsid w:val="00614A92"/>
    <w:rsid w:val="00615AAC"/>
    <w:rsid w:val="00615BB7"/>
    <w:rsid w:val="00615D60"/>
    <w:rsid w:val="00616629"/>
    <w:rsid w:val="006168B6"/>
    <w:rsid w:val="00616F5D"/>
    <w:rsid w:val="0062028E"/>
    <w:rsid w:val="006223F1"/>
    <w:rsid w:val="00622FEF"/>
    <w:rsid w:val="0062312F"/>
    <w:rsid w:val="0062341C"/>
    <w:rsid w:val="00623CC4"/>
    <w:rsid w:val="006245BB"/>
    <w:rsid w:val="00624C81"/>
    <w:rsid w:val="006250E8"/>
    <w:rsid w:val="00625BA2"/>
    <w:rsid w:val="00626580"/>
    <w:rsid w:val="00626605"/>
    <w:rsid w:val="00626C6E"/>
    <w:rsid w:val="00626E86"/>
    <w:rsid w:val="00627CAA"/>
    <w:rsid w:val="00630642"/>
    <w:rsid w:val="00630C95"/>
    <w:rsid w:val="00631B64"/>
    <w:rsid w:val="00632F9C"/>
    <w:rsid w:val="0063322A"/>
    <w:rsid w:val="0063361C"/>
    <w:rsid w:val="00633739"/>
    <w:rsid w:val="00635562"/>
    <w:rsid w:val="00635D7B"/>
    <w:rsid w:val="00635E1D"/>
    <w:rsid w:val="0063629A"/>
    <w:rsid w:val="00636BF3"/>
    <w:rsid w:val="006374EB"/>
    <w:rsid w:val="00637D3A"/>
    <w:rsid w:val="006402A1"/>
    <w:rsid w:val="00640DC0"/>
    <w:rsid w:val="006411AA"/>
    <w:rsid w:val="006416CF"/>
    <w:rsid w:val="006418A2"/>
    <w:rsid w:val="00641EF7"/>
    <w:rsid w:val="006422B7"/>
    <w:rsid w:val="0064254A"/>
    <w:rsid w:val="00642689"/>
    <w:rsid w:val="00642CA9"/>
    <w:rsid w:val="00642CD7"/>
    <w:rsid w:val="00642DA8"/>
    <w:rsid w:val="006433F2"/>
    <w:rsid w:val="0064384A"/>
    <w:rsid w:val="00643ABA"/>
    <w:rsid w:val="00643DDF"/>
    <w:rsid w:val="00644BEA"/>
    <w:rsid w:val="00644F51"/>
    <w:rsid w:val="0064534D"/>
    <w:rsid w:val="006454AC"/>
    <w:rsid w:val="006468F1"/>
    <w:rsid w:val="00650699"/>
    <w:rsid w:val="00652949"/>
    <w:rsid w:val="00652AEF"/>
    <w:rsid w:val="00652DB7"/>
    <w:rsid w:val="00656790"/>
    <w:rsid w:val="006567F3"/>
    <w:rsid w:val="006569EB"/>
    <w:rsid w:val="006573D6"/>
    <w:rsid w:val="00657526"/>
    <w:rsid w:val="006607AD"/>
    <w:rsid w:val="00660954"/>
    <w:rsid w:val="00660CEB"/>
    <w:rsid w:val="00660FDE"/>
    <w:rsid w:val="00661A0C"/>
    <w:rsid w:val="006621D4"/>
    <w:rsid w:val="00662584"/>
    <w:rsid w:val="006630C6"/>
    <w:rsid w:val="00663199"/>
    <w:rsid w:val="006638A6"/>
    <w:rsid w:val="0066394B"/>
    <w:rsid w:val="0066431B"/>
    <w:rsid w:val="00664791"/>
    <w:rsid w:val="006652A6"/>
    <w:rsid w:val="0066563B"/>
    <w:rsid w:val="0066609D"/>
    <w:rsid w:val="006667E5"/>
    <w:rsid w:val="00666B84"/>
    <w:rsid w:val="006674F1"/>
    <w:rsid w:val="006678D6"/>
    <w:rsid w:val="00670B3F"/>
    <w:rsid w:val="0067113E"/>
    <w:rsid w:val="00672198"/>
    <w:rsid w:val="006736E1"/>
    <w:rsid w:val="006740C2"/>
    <w:rsid w:val="006756FC"/>
    <w:rsid w:val="00676991"/>
    <w:rsid w:val="00677D69"/>
    <w:rsid w:val="00677EC4"/>
    <w:rsid w:val="00680085"/>
    <w:rsid w:val="006808DD"/>
    <w:rsid w:val="00681448"/>
    <w:rsid w:val="00681812"/>
    <w:rsid w:val="00681E34"/>
    <w:rsid w:val="0068221A"/>
    <w:rsid w:val="00682693"/>
    <w:rsid w:val="00682995"/>
    <w:rsid w:val="0068396B"/>
    <w:rsid w:val="00684B04"/>
    <w:rsid w:val="00684D26"/>
    <w:rsid w:val="00684EA0"/>
    <w:rsid w:val="0068505B"/>
    <w:rsid w:val="00687212"/>
    <w:rsid w:val="00687364"/>
    <w:rsid w:val="0069073E"/>
    <w:rsid w:val="00691CC3"/>
    <w:rsid w:val="00692397"/>
    <w:rsid w:val="00692404"/>
    <w:rsid w:val="00692635"/>
    <w:rsid w:val="0069306F"/>
    <w:rsid w:val="00693E7E"/>
    <w:rsid w:val="00693F26"/>
    <w:rsid w:val="00695447"/>
    <w:rsid w:val="0069553E"/>
    <w:rsid w:val="00695A34"/>
    <w:rsid w:val="00695EFA"/>
    <w:rsid w:val="00696288"/>
    <w:rsid w:val="00696B65"/>
    <w:rsid w:val="00696D9D"/>
    <w:rsid w:val="006970EC"/>
    <w:rsid w:val="00697163"/>
    <w:rsid w:val="00697332"/>
    <w:rsid w:val="00697C29"/>
    <w:rsid w:val="006A096D"/>
    <w:rsid w:val="006A1069"/>
    <w:rsid w:val="006A10E1"/>
    <w:rsid w:val="006A247F"/>
    <w:rsid w:val="006A24E1"/>
    <w:rsid w:val="006A60D5"/>
    <w:rsid w:val="006A7072"/>
    <w:rsid w:val="006A7356"/>
    <w:rsid w:val="006A7369"/>
    <w:rsid w:val="006A73B0"/>
    <w:rsid w:val="006A772E"/>
    <w:rsid w:val="006A7BBD"/>
    <w:rsid w:val="006B0025"/>
    <w:rsid w:val="006B0465"/>
    <w:rsid w:val="006B0D13"/>
    <w:rsid w:val="006B12C7"/>
    <w:rsid w:val="006B1FB2"/>
    <w:rsid w:val="006B354D"/>
    <w:rsid w:val="006B3859"/>
    <w:rsid w:val="006B468A"/>
    <w:rsid w:val="006B54A2"/>
    <w:rsid w:val="006B566F"/>
    <w:rsid w:val="006B5813"/>
    <w:rsid w:val="006B590D"/>
    <w:rsid w:val="006B5D52"/>
    <w:rsid w:val="006B604B"/>
    <w:rsid w:val="006B6456"/>
    <w:rsid w:val="006B7BAA"/>
    <w:rsid w:val="006B7E7B"/>
    <w:rsid w:val="006C10FC"/>
    <w:rsid w:val="006C1343"/>
    <w:rsid w:val="006C145B"/>
    <w:rsid w:val="006C19C5"/>
    <w:rsid w:val="006C2B22"/>
    <w:rsid w:val="006C3030"/>
    <w:rsid w:val="006C32A9"/>
    <w:rsid w:val="006C367A"/>
    <w:rsid w:val="006C375D"/>
    <w:rsid w:val="006C45ED"/>
    <w:rsid w:val="006C4BFB"/>
    <w:rsid w:val="006C4C03"/>
    <w:rsid w:val="006C573A"/>
    <w:rsid w:val="006C77F9"/>
    <w:rsid w:val="006D1CAA"/>
    <w:rsid w:val="006D1F3B"/>
    <w:rsid w:val="006D2039"/>
    <w:rsid w:val="006D244D"/>
    <w:rsid w:val="006D2613"/>
    <w:rsid w:val="006D2E2D"/>
    <w:rsid w:val="006D58A2"/>
    <w:rsid w:val="006D5C45"/>
    <w:rsid w:val="006D6621"/>
    <w:rsid w:val="006D6CC0"/>
    <w:rsid w:val="006D6E70"/>
    <w:rsid w:val="006D712A"/>
    <w:rsid w:val="006E005F"/>
    <w:rsid w:val="006E02A8"/>
    <w:rsid w:val="006E02AB"/>
    <w:rsid w:val="006E0DC9"/>
    <w:rsid w:val="006E0EC1"/>
    <w:rsid w:val="006E15A2"/>
    <w:rsid w:val="006E181B"/>
    <w:rsid w:val="006E2659"/>
    <w:rsid w:val="006E2765"/>
    <w:rsid w:val="006E287E"/>
    <w:rsid w:val="006E5238"/>
    <w:rsid w:val="006E5D41"/>
    <w:rsid w:val="006E5D5C"/>
    <w:rsid w:val="006E5F74"/>
    <w:rsid w:val="006E6AB9"/>
    <w:rsid w:val="006E6C67"/>
    <w:rsid w:val="006E6E14"/>
    <w:rsid w:val="006E73B9"/>
    <w:rsid w:val="006E7D0E"/>
    <w:rsid w:val="006E7EA9"/>
    <w:rsid w:val="006F02AD"/>
    <w:rsid w:val="006F0BA5"/>
    <w:rsid w:val="006F1245"/>
    <w:rsid w:val="006F138A"/>
    <w:rsid w:val="006F16AA"/>
    <w:rsid w:val="006F1918"/>
    <w:rsid w:val="006F245E"/>
    <w:rsid w:val="006F3212"/>
    <w:rsid w:val="006F349D"/>
    <w:rsid w:val="006F37DF"/>
    <w:rsid w:val="006F40CC"/>
    <w:rsid w:val="006F4A1E"/>
    <w:rsid w:val="006F63CD"/>
    <w:rsid w:val="006F670A"/>
    <w:rsid w:val="006F6A92"/>
    <w:rsid w:val="006F6C80"/>
    <w:rsid w:val="00700A1C"/>
    <w:rsid w:val="0070171D"/>
    <w:rsid w:val="007018FF"/>
    <w:rsid w:val="00701B4F"/>
    <w:rsid w:val="007022BE"/>
    <w:rsid w:val="00702490"/>
    <w:rsid w:val="007025BC"/>
    <w:rsid w:val="00702D16"/>
    <w:rsid w:val="00702E10"/>
    <w:rsid w:val="00703173"/>
    <w:rsid w:val="00703B0B"/>
    <w:rsid w:val="00703E4E"/>
    <w:rsid w:val="0070450A"/>
    <w:rsid w:val="0070483D"/>
    <w:rsid w:val="00705CF0"/>
    <w:rsid w:val="00705D24"/>
    <w:rsid w:val="007064D3"/>
    <w:rsid w:val="00707453"/>
    <w:rsid w:val="00707F7A"/>
    <w:rsid w:val="00710AB2"/>
    <w:rsid w:val="007117AC"/>
    <w:rsid w:val="00711B02"/>
    <w:rsid w:val="00711CAE"/>
    <w:rsid w:val="00712385"/>
    <w:rsid w:val="00713E64"/>
    <w:rsid w:val="007140E2"/>
    <w:rsid w:val="00714603"/>
    <w:rsid w:val="00714867"/>
    <w:rsid w:val="00715E78"/>
    <w:rsid w:val="007203ED"/>
    <w:rsid w:val="007205D7"/>
    <w:rsid w:val="00720C24"/>
    <w:rsid w:val="00720E00"/>
    <w:rsid w:val="0072172C"/>
    <w:rsid w:val="007222C3"/>
    <w:rsid w:val="00722950"/>
    <w:rsid w:val="00722A8B"/>
    <w:rsid w:val="00722E0B"/>
    <w:rsid w:val="00723001"/>
    <w:rsid w:val="00723631"/>
    <w:rsid w:val="00724055"/>
    <w:rsid w:val="00724144"/>
    <w:rsid w:val="007241FB"/>
    <w:rsid w:val="00725EF1"/>
    <w:rsid w:val="00727317"/>
    <w:rsid w:val="00727AB9"/>
    <w:rsid w:val="00727AEA"/>
    <w:rsid w:val="00727D30"/>
    <w:rsid w:val="0073017F"/>
    <w:rsid w:val="00731674"/>
    <w:rsid w:val="00731849"/>
    <w:rsid w:val="007319F9"/>
    <w:rsid w:val="00731A10"/>
    <w:rsid w:val="00733B7A"/>
    <w:rsid w:val="0073499C"/>
    <w:rsid w:val="00734E4B"/>
    <w:rsid w:val="00734EAB"/>
    <w:rsid w:val="00734EB3"/>
    <w:rsid w:val="00735C2D"/>
    <w:rsid w:val="0073665A"/>
    <w:rsid w:val="0073779D"/>
    <w:rsid w:val="00737E0C"/>
    <w:rsid w:val="00737F23"/>
    <w:rsid w:val="0074084F"/>
    <w:rsid w:val="00741081"/>
    <w:rsid w:val="00743270"/>
    <w:rsid w:val="00743414"/>
    <w:rsid w:val="00744745"/>
    <w:rsid w:val="00744E1B"/>
    <w:rsid w:val="007451DC"/>
    <w:rsid w:val="00745790"/>
    <w:rsid w:val="00747EC2"/>
    <w:rsid w:val="0075019E"/>
    <w:rsid w:val="007514ED"/>
    <w:rsid w:val="00751A69"/>
    <w:rsid w:val="00751D0D"/>
    <w:rsid w:val="0075287B"/>
    <w:rsid w:val="0075327C"/>
    <w:rsid w:val="0075376C"/>
    <w:rsid w:val="00753D61"/>
    <w:rsid w:val="00753DF0"/>
    <w:rsid w:val="00753E5C"/>
    <w:rsid w:val="00754230"/>
    <w:rsid w:val="0075569B"/>
    <w:rsid w:val="007559BC"/>
    <w:rsid w:val="007559F0"/>
    <w:rsid w:val="00755FF0"/>
    <w:rsid w:val="0075610B"/>
    <w:rsid w:val="00756178"/>
    <w:rsid w:val="00756CC7"/>
    <w:rsid w:val="0076072E"/>
    <w:rsid w:val="0076146E"/>
    <w:rsid w:val="007626F7"/>
    <w:rsid w:val="00763FB1"/>
    <w:rsid w:val="00764520"/>
    <w:rsid w:val="0076476F"/>
    <w:rsid w:val="00765115"/>
    <w:rsid w:val="007657F7"/>
    <w:rsid w:val="00765E85"/>
    <w:rsid w:val="00765F31"/>
    <w:rsid w:val="007663C3"/>
    <w:rsid w:val="00767837"/>
    <w:rsid w:val="007702F3"/>
    <w:rsid w:val="00771367"/>
    <w:rsid w:val="007714AD"/>
    <w:rsid w:val="00771D83"/>
    <w:rsid w:val="00772881"/>
    <w:rsid w:val="00774A3A"/>
    <w:rsid w:val="007754A7"/>
    <w:rsid w:val="00776BB7"/>
    <w:rsid w:val="007770FE"/>
    <w:rsid w:val="00777F98"/>
    <w:rsid w:val="00780069"/>
    <w:rsid w:val="00780418"/>
    <w:rsid w:val="0078127F"/>
    <w:rsid w:val="0078155F"/>
    <w:rsid w:val="00781A03"/>
    <w:rsid w:val="007828D8"/>
    <w:rsid w:val="00783643"/>
    <w:rsid w:val="0078391A"/>
    <w:rsid w:val="0078482B"/>
    <w:rsid w:val="00785492"/>
    <w:rsid w:val="00786741"/>
    <w:rsid w:val="00787E6A"/>
    <w:rsid w:val="00790322"/>
    <w:rsid w:val="0079045A"/>
    <w:rsid w:val="00790E66"/>
    <w:rsid w:val="00791B5A"/>
    <w:rsid w:val="00792338"/>
    <w:rsid w:val="007925F1"/>
    <w:rsid w:val="00792BDC"/>
    <w:rsid w:val="0079339F"/>
    <w:rsid w:val="007942C1"/>
    <w:rsid w:val="00794D49"/>
    <w:rsid w:val="007951CF"/>
    <w:rsid w:val="00795920"/>
    <w:rsid w:val="00795E18"/>
    <w:rsid w:val="0079612C"/>
    <w:rsid w:val="00796218"/>
    <w:rsid w:val="007962B9"/>
    <w:rsid w:val="00797E06"/>
    <w:rsid w:val="007A0310"/>
    <w:rsid w:val="007A0CBD"/>
    <w:rsid w:val="007A1455"/>
    <w:rsid w:val="007A1632"/>
    <w:rsid w:val="007A16A9"/>
    <w:rsid w:val="007A2165"/>
    <w:rsid w:val="007A2864"/>
    <w:rsid w:val="007A2CB9"/>
    <w:rsid w:val="007A4269"/>
    <w:rsid w:val="007A4566"/>
    <w:rsid w:val="007A473D"/>
    <w:rsid w:val="007A4FE8"/>
    <w:rsid w:val="007A525C"/>
    <w:rsid w:val="007A54FD"/>
    <w:rsid w:val="007A583C"/>
    <w:rsid w:val="007A5C56"/>
    <w:rsid w:val="007A5E1E"/>
    <w:rsid w:val="007A6551"/>
    <w:rsid w:val="007A6650"/>
    <w:rsid w:val="007A6813"/>
    <w:rsid w:val="007A6936"/>
    <w:rsid w:val="007A7C1A"/>
    <w:rsid w:val="007B0A40"/>
    <w:rsid w:val="007B0FBE"/>
    <w:rsid w:val="007B3944"/>
    <w:rsid w:val="007B5D98"/>
    <w:rsid w:val="007B5FB7"/>
    <w:rsid w:val="007B7143"/>
    <w:rsid w:val="007C0EC3"/>
    <w:rsid w:val="007C11FC"/>
    <w:rsid w:val="007C12E4"/>
    <w:rsid w:val="007C2257"/>
    <w:rsid w:val="007C2B97"/>
    <w:rsid w:val="007C3530"/>
    <w:rsid w:val="007C3881"/>
    <w:rsid w:val="007C3E23"/>
    <w:rsid w:val="007C4051"/>
    <w:rsid w:val="007C5035"/>
    <w:rsid w:val="007C57B9"/>
    <w:rsid w:val="007C58E4"/>
    <w:rsid w:val="007D1DE8"/>
    <w:rsid w:val="007D2925"/>
    <w:rsid w:val="007D2981"/>
    <w:rsid w:val="007D2D12"/>
    <w:rsid w:val="007D2D2F"/>
    <w:rsid w:val="007D2F74"/>
    <w:rsid w:val="007D2F93"/>
    <w:rsid w:val="007D368D"/>
    <w:rsid w:val="007D36A0"/>
    <w:rsid w:val="007D4020"/>
    <w:rsid w:val="007D4184"/>
    <w:rsid w:val="007D4AD5"/>
    <w:rsid w:val="007D4C2F"/>
    <w:rsid w:val="007D4DF6"/>
    <w:rsid w:val="007D55DF"/>
    <w:rsid w:val="007D7330"/>
    <w:rsid w:val="007E036B"/>
    <w:rsid w:val="007E0426"/>
    <w:rsid w:val="007E1569"/>
    <w:rsid w:val="007E1CEC"/>
    <w:rsid w:val="007E217B"/>
    <w:rsid w:val="007E375B"/>
    <w:rsid w:val="007E396E"/>
    <w:rsid w:val="007E3A20"/>
    <w:rsid w:val="007E3ECF"/>
    <w:rsid w:val="007E44EC"/>
    <w:rsid w:val="007E451E"/>
    <w:rsid w:val="007E45C3"/>
    <w:rsid w:val="007E4C53"/>
    <w:rsid w:val="007E4FE7"/>
    <w:rsid w:val="007E54F4"/>
    <w:rsid w:val="007E5AEC"/>
    <w:rsid w:val="007E62AD"/>
    <w:rsid w:val="007E74AC"/>
    <w:rsid w:val="007E7733"/>
    <w:rsid w:val="007E7BA6"/>
    <w:rsid w:val="007F02B8"/>
    <w:rsid w:val="007F08F4"/>
    <w:rsid w:val="007F1491"/>
    <w:rsid w:val="007F17CE"/>
    <w:rsid w:val="007F1949"/>
    <w:rsid w:val="007F19E1"/>
    <w:rsid w:val="007F2485"/>
    <w:rsid w:val="007F2762"/>
    <w:rsid w:val="007F27A7"/>
    <w:rsid w:val="007F2833"/>
    <w:rsid w:val="007F28B6"/>
    <w:rsid w:val="007F2C2F"/>
    <w:rsid w:val="007F3748"/>
    <w:rsid w:val="007F37A2"/>
    <w:rsid w:val="007F3A58"/>
    <w:rsid w:val="007F4235"/>
    <w:rsid w:val="007F4263"/>
    <w:rsid w:val="007F51E0"/>
    <w:rsid w:val="007F6006"/>
    <w:rsid w:val="007F64FE"/>
    <w:rsid w:val="007F6DE5"/>
    <w:rsid w:val="007F74AF"/>
    <w:rsid w:val="007F7898"/>
    <w:rsid w:val="007F7C40"/>
    <w:rsid w:val="008009C5"/>
    <w:rsid w:val="00800D68"/>
    <w:rsid w:val="008011E0"/>
    <w:rsid w:val="00801839"/>
    <w:rsid w:val="0080191F"/>
    <w:rsid w:val="00802E11"/>
    <w:rsid w:val="008030B2"/>
    <w:rsid w:val="008044FD"/>
    <w:rsid w:val="00804D3A"/>
    <w:rsid w:val="008050F5"/>
    <w:rsid w:val="00805120"/>
    <w:rsid w:val="00805464"/>
    <w:rsid w:val="00805929"/>
    <w:rsid w:val="00805AB7"/>
    <w:rsid w:val="0080715E"/>
    <w:rsid w:val="00810018"/>
    <w:rsid w:val="00810AE9"/>
    <w:rsid w:val="00810B03"/>
    <w:rsid w:val="008116EF"/>
    <w:rsid w:val="008122AD"/>
    <w:rsid w:val="00812636"/>
    <w:rsid w:val="008126B1"/>
    <w:rsid w:val="008129E9"/>
    <w:rsid w:val="00812FBC"/>
    <w:rsid w:val="0081309D"/>
    <w:rsid w:val="00813358"/>
    <w:rsid w:val="00813E88"/>
    <w:rsid w:val="00814638"/>
    <w:rsid w:val="00814BF6"/>
    <w:rsid w:val="0081683C"/>
    <w:rsid w:val="00816944"/>
    <w:rsid w:val="00817388"/>
    <w:rsid w:val="0081740E"/>
    <w:rsid w:val="008174E1"/>
    <w:rsid w:val="008175B6"/>
    <w:rsid w:val="00817ABD"/>
    <w:rsid w:val="00817E8F"/>
    <w:rsid w:val="00817FA1"/>
    <w:rsid w:val="008209EF"/>
    <w:rsid w:val="00820DBF"/>
    <w:rsid w:val="008222F0"/>
    <w:rsid w:val="00823BE6"/>
    <w:rsid w:val="00824EB6"/>
    <w:rsid w:val="00825B92"/>
    <w:rsid w:val="008264D2"/>
    <w:rsid w:val="0082671A"/>
    <w:rsid w:val="00827B51"/>
    <w:rsid w:val="00827E6E"/>
    <w:rsid w:val="008306AC"/>
    <w:rsid w:val="0083146D"/>
    <w:rsid w:val="00831BD6"/>
    <w:rsid w:val="00833CB2"/>
    <w:rsid w:val="00834B59"/>
    <w:rsid w:val="00834C4C"/>
    <w:rsid w:val="00836467"/>
    <w:rsid w:val="008366F1"/>
    <w:rsid w:val="00837FCF"/>
    <w:rsid w:val="008401E8"/>
    <w:rsid w:val="0084063D"/>
    <w:rsid w:val="00841297"/>
    <w:rsid w:val="00841D28"/>
    <w:rsid w:val="008421BA"/>
    <w:rsid w:val="00842F53"/>
    <w:rsid w:val="00844159"/>
    <w:rsid w:val="008442F4"/>
    <w:rsid w:val="008464B8"/>
    <w:rsid w:val="00847C2F"/>
    <w:rsid w:val="00847CD2"/>
    <w:rsid w:val="008514C9"/>
    <w:rsid w:val="00851A08"/>
    <w:rsid w:val="0085229D"/>
    <w:rsid w:val="008524EA"/>
    <w:rsid w:val="008527C2"/>
    <w:rsid w:val="008527DA"/>
    <w:rsid w:val="008535B8"/>
    <w:rsid w:val="00853DCF"/>
    <w:rsid w:val="00855964"/>
    <w:rsid w:val="00855A8A"/>
    <w:rsid w:val="00856041"/>
    <w:rsid w:val="00857163"/>
    <w:rsid w:val="008573DF"/>
    <w:rsid w:val="00857712"/>
    <w:rsid w:val="00857716"/>
    <w:rsid w:val="008601B7"/>
    <w:rsid w:val="0086159D"/>
    <w:rsid w:val="00861CA6"/>
    <w:rsid w:val="008624B4"/>
    <w:rsid w:val="0086262A"/>
    <w:rsid w:val="00862BD4"/>
    <w:rsid w:val="00863187"/>
    <w:rsid w:val="00863647"/>
    <w:rsid w:val="00863E57"/>
    <w:rsid w:val="00864E82"/>
    <w:rsid w:val="00865E7A"/>
    <w:rsid w:val="008665BE"/>
    <w:rsid w:val="00870327"/>
    <w:rsid w:val="00870FA6"/>
    <w:rsid w:val="008729D4"/>
    <w:rsid w:val="00872D65"/>
    <w:rsid w:val="008733F4"/>
    <w:rsid w:val="0087392B"/>
    <w:rsid w:val="00874205"/>
    <w:rsid w:val="00874284"/>
    <w:rsid w:val="00874477"/>
    <w:rsid w:val="008758C5"/>
    <w:rsid w:val="00875A1C"/>
    <w:rsid w:val="00875DF8"/>
    <w:rsid w:val="00877061"/>
    <w:rsid w:val="008805D8"/>
    <w:rsid w:val="0088094D"/>
    <w:rsid w:val="00881C74"/>
    <w:rsid w:val="00882714"/>
    <w:rsid w:val="008840C0"/>
    <w:rsid w:val="00884FEC"/>
    <w:rsid w:val="00885B25"/>
    <w:rsid w:val="00885DEE"/>
    <w:rsid w:val="00885F72"/>
    <w:rsid w:val="0088625D"/>
    <w:rsid w:val="00886573"/>
    <w:rsid w:val="00886FFC"/>
    <w:rsid w:val="00890363"/>
    <w:rsid w:val="008912F3"/>
    <w:rsid w:val="00891739"/>
    <w:rsid w:val="00891C1C"/>
    <w:rsid w:val="0089282B"/>
    <w:rsid w:val="00892A05"/>
    <w:rsid w:val="00892EEF"/>
    <w:rsid w:val="008931D3"/>
    <w:rsid w:val="00893248"/>
    <w:rsid w:val="0089355B"/>
    <w:rsid w:val="00893A0F"/>
    <w:rsid w:val="00893A3D"/>
    <w:rsid w:val="00893F71"/>
    <w:rsid w:val="0089422B"/>
    <w:rsid w:val="00894DB6"/>
    <w:rsid w:val="00895318"/>
    <w:rsid w:val="0089567F"/>
    <w:rsid w:val="008965B8"/>
    <w:rsid w:val="00896C43"/>
    <w:rsid w:val="00896FA0"/>
    <w:rsid w:val="008970E4"/>
    <w:rsid w:val="008A04D6"/>
    <w:rsid w:val="008A0D94"/>
    <w:rsid w:val="008A2292"/>
    <w:rsid w:val="008A24A0"/>
    <w:rsid w:val="008A25A6"/>
    <w:rsid w:val="008A3C17"/>
    <w:rsid w:val="008A42B8"/>
    <w:rsid w:val="008A4E54"/>
    <w:rsid w:val="008A5E6B"/>
    <w:rsid w:val="008A5F70"/>
    <w:rsid w:val="008A6956"/>
    <w:rsid w:val="008A6A70"/>
    <w:rsid w:val="008A6C38"/>
    <w:rsid w:val="008A7156"/>
    <w:rsid w:val="008A791E"/>
    <w:rsid w:val="008A79DF"/>
    <w:rsid w:val="008A79F8"/>
    <w:rsid w:val="008A7FFD"/>
    <w:rsid w:val="008B0C08"/>
    <w:rsid w:val="008B0EFD"/>
    <w:rsid w:val="008B1620"/>
    <w:rsid w:val="008B199F"/>
    <w:rsid w:val="008B28B3"/>
    <w:rsid w:val="008B32FD"/>
    <w:rsid w:val="008B33DD"/>
    <w:rsid w:val="008B367F"/>
    <w:rsid w:val="008B38DD"/>
    <w:rsid w:val="008B4205"/>
    <w:rsid w:val="008B44AB"/>
    <w:rsid w:val="008B498E"/>
    <w:rsid w:val="008B54EC"/>
    <w:rsid w:val="008B5C34"/>
    <w:rsid w:val="008B614A"/>
    <w:rsid w:val="008B699D"/>
    <w:rsid w:val="008B6D84"/>
    <w:rsid w:val="008B7011"/>
    <w:rsid w:val="008B74CD"/>
    <w:rsid w:val="008C0749"/>
    <w:rsid w:val="008C15A3"/>
    <w:rsid w:val="008C170F"/>
    <w:rsid w:val="008C1D04"/>
    <w:rsid w:val="008C20DD"/>
    <w:rsid w:val="008C22F4"/>
    <w:rsid w:val="008C2A6D"/>
    <w:rsid w:val="008C3437"/>
    <w:rsid w:val="008C384C"/>
    <w:rsid w:val="008C40EF"/>
    <w:rsid w:val="008C4135"/>
    <w:rsid w:val="008C4B45"/>
    <w:rsid w:val="008C4D85"/>
    <w:rsid w:val="008C53CF"/>
    <w:rsid w:val="008C57F4"/>
    <w:rsid w:val="008C5E42"/>
    <w:rsid w:val="008C64C7"/>
    <w:rsid w:val="008C675D"/>
    <w:rsid w:val="008C67F4"/>
    <w:rsid w:val="008C6B42"/>
    <w:rsid w:val="008C723F"/>
    <w:rsid w:val="008C735E"/>
    <w:rsid w:val="008C78F3"/>
    <w:rsid w:val="008C7D1C"/>
    <w:rsid w:val="008D0AAA"/>
    <w:rsid w:val="008D2102"/>
    <w:rsid w:val="008D2175"/>
    <w:rsid w:val="008D2407"/>
    <w:rsid w:val="008D3918"/>
    <w:rsid w:val="008D3ADB"/>
    <w:rsid w:val="008D41A2"/>
    <w:rsid w:val="008D534F"/>
    <w:rsid w:val="008D5577"/>
    <w:rsid w:val="008D6043"/>
    <w:rsid w:val="008D690F"/>
    <w:rsid w:val="008D69E6"/>
    <w:rsid w:val="008D76F5"/>
    <w:rsid w:val="008D7CC8"/>
    <w:rsid w:val="008E056D"/>
    <w:rsid w:val="008E12F2"/>
    <w:rsid w:val="008E145E"/>
    <w:rsid w:val="008E1FE9"/>
    <w:rsid w:val="008E243A"/>
    <w:rsid w:val="008E322A"/>
    <w:rsid w:val="008E3248"/>
    <w:rsid w:val="008E3552"/>
    <w:rsid w:val="008E38DE"/>
    <w:rsid w:val="008E3D47"/>
    <w:rsid w:val="008E3FBE"/>
    <w:rsid w:val="008E40CB"/>
    <w:rsid w:val="008E41B5"/>
    <w:rsid w:val="008E4C43"/>
    <w:rsid w:val="008E50E0"/>
    <w:rsid w:val="008E5336"/>
    <w:rsid w:val="008E5E5C"/>
    <w:rsid w:val="008E686E"/>
    <w:rsid w:val="008E688A"/>
    <w:rsid w:val="008E7136"/>
    <w:rsid w:val="008E7A11"/>
    <w:rsid w:val="008F00D4"/>
    <w:rsid w:val="008F1C09"/>
    <w:rsid w:val="008F29ED"/>
    <w:rsid w:val="008F2B48"/>
    <w:rsid w:val="008F366E"/>
    <w:rsid w:val="008F3E77"/>
    <w:rsid w:val="008F42E7"/>
    <w:rsid w:val="008F4E27"/>
    <w:rsid w:val="008F5640"/>
    <w:rsid w:val="008F597C"/>
    <w:rsid w:val="008F607E"/>
    <w:rsid w:val="008F76A6"/>
    <w:rsid w:val="008F76D2"/>
    <w:rsid w:val="008F7F02"/>
    <w:rsid w:val="009009F1"/>
    <w:rsid w:val="00900E2D"/>
    <w:rsid w:val="00900ED3"/>
    <w:rsid w:val="00901015"/>
    <w:rsid w:val="00901092"/>
    <w:rsid w:val="00901CB7"/>
    <w:rsid w:val="009024A8"/>
    <w:rsid w:val="0090265E"/>
    <w:rsid w:val="00903073"/>
    <w:rsid w:val="00903204"/>
    <w:rsid w:val="00904866"/>
    <w:rsid w:val="00905469"/>
    <w:rsid w:val="00905AA6"/>
    <w:rsid w:val="00905ED5"/>
    <w:rsid w:val="00906338"/>
    <w:rsid w:val="00910C20"/>
    <w:rsid w:val="00910EA0"/>
    <w:rsid w:val="0091182C"/>
    <w:rsid w:val="00912633"/>
    <w:rsid w:val="00912C65"/>
    <w:rsid w:val="009143E9"/>
    <w:rsid w:val="00914540"/>
    <w:rsid w:val="0091593E"/>
    <w:rsid w:val="00915C32"/>
    <w:rsid w:val="00916A3F"/>
    <w:rsid w:val="00917FFB"/>
    <w:rsid w:val="009206FC"/>
    <w:rsid w:val="0092078F"/>
    <w:rsid w:val="00920A18"/>
    <w:rsid w:val="00920EBF"/>
    <w:rsid w:val="00920F1A"/>
    <w:rsid w:val="00921415"/>
    <w:rsid w:val="00921A03"/>
    <w:rsid w:val="009220BE"/>
    <w:rsid w:val="00922192"/>
    <w:rsid w:val="00922A68"/>
    <w:rsid w:val="00923068"/>
    <w:rsid w:val="00923A00"/>
    <w:rsid w:val="00924D50"/>
    <w:rsid w:val="00924F43"/>
    <w:rsid w:val="00926020"/>
    <w:rsid w:val="0092628A"/>
    <w:rsid w:val="0092688E"/>
    <w:rsid w:val="00926DE4"/>
    <w:rsid w:val="00927363"/>
    <w:rsid w:val="009274F8"/>
    <w:rsid w:val="009309BD"/>
    <w:rsid w:val="009310C0"/>
    <w:rsid w:val="009322EE"/>
    <w:rsid w:val="00932AE6"/>
    <w:rsid w:val="0093324C"/>
    <w:rsid w:val="00933645"/>
    <w:rsid w:val="009337FE"/>
    <w:rsid w:val="0093421A"/>
    <w:rsid w:val="0093530E"/>
    <w:rsid w:val="00935442"/>
    <w:rsid w:val="00935624"/>
    <w:rsid w:val="00936237"/>
    <w:rsid w:val="009366AA"/>
    <w:rsid w:val="0093670A"/>
    <w:rsid w:val="00936A31"/>
    <w:rsid w:val="00937121"/>
    <w:rsid w:val="009372C1"/>
    <w:rsid w:val="00937807"/>
    <w:rsid w:val="00937B86"/>
    <w:rsid w:val="00940289"/>
    <w:rsid w:val="009402EE"/>
    <w:rsid w:val="00941B41"/>
    <w:rsid w:val="00941F01"/>
    <w:rsid w:val="009425F4"/>
    <w:rsid w:val="00942695"/>
    <w:rsid w:val="00942707"/>
    <w:rsid w:val="009430FD"/>
    <w:rsid w:val="00943C71"/>
    <w:rsid w:val="00943E6B"/>
    <w:rsid w:val="009447A2"/>
    <w:rsid w:val="0094508D"/>
    <w:rsid w:val="009454CA"/>
    <w:rsid w:val="00945718"/>
    <w:rsid w:val="009462B5"/>
    <w:rsid w:val="0094686F"/>
    <w:rsid w:val="00946E16"/>
    <w:rsid w:val="00947C3A"/>
    <w:rsid w:val="00950742"/>
    <w:rsid w:val="00951481"/>
    <w:rsid w:val="00951C33"/>
    <w:rsid w:val="00951CAD"/>
    <w:rsid w:val="00952109"/>
    <w:rsid w:val="00952A4B"/>
    <w:rsid w:val="00952B8F"/>
    <w:rsid w:val="00952D71"/>
    <w:rsid w:val="00953E33"/>
    <w:rsid w:val="00953E50"/>
    <w:rsid w:val="0095442A"/>
    <w:rsid w:val="009546CE"/>
    <w:rsid w:val="0095582F"/>
    <w:rsid w:val="00955D17"/>
    <w:rsid w:val="00956123"/>
    <w:rsid w:val="0095656F"/>
    <w:rsid w:val="00956A88"/>
    <w:rsid w:val="00956CB0"/>
    <w:rsid w:val="0095710F"/>
    <w:rsid w:val="00960166"/>
    <w:rsid w:val="009604E1"/>
    <w:rsid w:val="009606A5"/>
    <w:rsid w:val="00961ADD"/>
    <w:rsid w:val="00961E3E"/>
    <w:rsid w:val="00962655"/>
    <w:rsid w:val="00962B12"/>
    <w:rsid w:val="009636C8"/>
    <w:rsid w:val="00963A64"/>
    <w:rsid w:val="00963D31"/>
    <w:rsid w:val="00964E30"/>
    <w:rsid w:val="0096547D"/>
    <w:rsid w:val="00965F61"/>
    <w:rsid w:val="009662E5"/>
    <w:rsid w:val="00970513"/>
    <w:rsid w:val="00970DD5"/>
    <w:rsid w:val="009710A4"/>
    <w:rsid w:val="00971370"/>
    <w:rsid w:val="00972508"/>
    <w:rsid w:val="00972B12"/>
    <w:rsid w:val="009738FA"/>
    <w:rsid w:val="00974AA6"/>
    <w:rsid w:val="00974F09"/>
    <w:rsid w:val="00974F80"/>
    <w:rsid w:val="00975103"/>
    <w:rsid w:val="00981A32"/>
    <w:rsid w:val="009835E2"/>
    <w:rsid w:val="00983C70"/>
    <w:rsid w:val="009840DC"/>
    <w:rsid w:val="009842E3"/>
    <w:rsid w:val="009846C8"/>
    <w:rsid w:val="00984D0E"/>
    <w:rsid w:val="009850F8"/>
    <w:rsid w:val="00985655"/>
    <w:rsid w:val="00986771"/>
    <w:rsid w:val="00986956"/>
    <w:rsid w:val="00986991"/>
    <w:rsid w:val="009869BA"/>
    <w:rsid w:val="00986EFA"/>
    <w:rsid w:val="009870C5"/>
    <w:rsid w:val="00987107"/>
    <w:rsid w:val="009877D1"/>
    <w:rsid w:val="009907AE"/>
    <w:rsid w:val="00990E18"/>
    <w:rsid w:val="00991185"/>
    <w:rsid w:val="00991422"/>
    <w:rsid w:val="009915F8"/>
    <w:rsid w:val="009916F7"/>
    <w:rsid w:val="00992476"/>
    <w:rsid w:val="009926E4"/>
    <w:rsid w:val="00992B53"/>
    <w:rsid w:val="00992D96"/>
    <w:rsid w:val="0099301F"/>
    <w:rsid w:val="0099371F"/>
    <w:rsid w:val="00993D81"/>
    <w:rsid w:val="00994518"/>
    <w:rsid w:val="009945AA"/>
    <w:rsid w:val="00994F29"/>
    <w:rsid w:val="00995F7F"/>
    <w:rsid w:val="009961D6"/>
    <w:rsid w:val="00996342"/>
    <w:rsid w:val="0099698C"/>
    <w:rsid w:val="00996AA7"/>
    <w:rsid w:val="0099714D"/>
    <w:rsid w:val="00997218"/>
    <w:rsid w:val="00997A1F"/>
    <w:rsid w:val="00997DDC"/>
    <w:rsid w:val="009A073F"/>
    <w:rsid w:val="009A0AAF"/>
    <w:rsid w:val="009A0E76"/>
    <w:rsid w:val="009A126B"/>
    <w:rsid w:val="009A1707"/>
    <w:rsid w:val="009A1A3C"/>
    <w:rsid w:val="009A1B6F"/>
    <w:rsid w:val="009A2208"/>
    <w:rsid w:val="009A241E"/>
    <w:rsid w:val="009A35DC"/>
    <w:rsid w:val="009A3CAE"/>
    <w:rsid w:val="009A3D48"/>
    <w:rsid w:val="009A3E95"/>
    <w:rsid w:val="009A4C0F"/>
    <w:rsid w:val="009A528E"/>
    <w:rsid w:val="009A5616"/>
    <w:rsid w:val="009A57CB"/>
    <w:rsid w:val="009A5950"/>
    <w:rsid w:val="009A6299"/>
    <w:rsid w:val="009A6DEF"/>
    <w:rsid w:val="009B07B9"/>
    <w:rsid w:val="009B0A4B"/>
    <w:rsid w:val="009B0FE0"/>
    <w:rsid w:val="009B104F"/>
    <w:rsid w:val="009B2952"/>
    <w:rsid w:val="009B316B"/>
    <w:rsid w:val="009B31C9"/>
    <w:rsid w:val="009B3820"/>
    <w:rsid w:val="009B4410"/>
    <w:rsid w:val="009B513F"/>
    <w:rsid w:val="009B55C7"/>
    <w:rsid w:val="009B5646"/>
    <w:rsid w:val="009B582E"/>
    <w:rsid w:val="009B5BFA"/>
    <w:rsid w:val="009B5F75"/>
    <w:rsid w:val="009B602E"/>
    <w:rsid w:val="009B6DC9"/>
    <w:rsid w:val="009B78F2"/>
    <w:rsid w:val="009C148E"/>
    <w:rsid w:val="009C2603"/>
    <w:rsid w:val="009C3711"/>
    <w:rsid w:val="009C4042"/>
    <w:rsid w:val="009C4C14"/>
    <w:rsid w:val="009C59E6"/>
    <w:rsid w:val="009C5B67"/>
    <w:rsid w:val="009C5C89"/>
    <w:rsid w:val="009C61F8"/>
    <w:rsid w:val="009C642E"/>
    <w:rsid w:val="009C67EF"/>
    <w:rsid w:val="009C780F"/>
    <w:rsid w:val="009C7A14"/>
    <w:rsid w:val="009D0B9C"/>
    <w:rsid w:val="009D0CA6"/>
    <w:rsid w:val="009D106F"/>
    <w:rsid w:val="009D1E80"/>
    <w:rsid w:val="009D23E4"/>
    <w:rsid w:val="009D2800"/>
    <w:rsid w:val="009D34D0"/>
    <w:rsid w:val="009D361E"/>
    <w:rsid w:val="009D408F"/>
    <w:rsid w:val="009D4337"/>
    <w:rsid w:val="009D450B"/>
    <w:rsid w:val="009D4A8D"/>
    <w:rsid w:val="009D4E19"/>
    <w:rsid w:val="009D675F"/>
    <w:rsid w:val="009D7560"/>
    <w:rsid w:val="009D7698"/>
    <w:rsid w:val="009D774B"/>
    <w:rsid w:val="009D7D4D"/>
    <w:rsid w:val="009E057E"/>
    <w:rsid w:val="009E1695"/>
    <w:rsid w:val="009E19CE"/>
    <w:rsid w:val="009E2758"/>
    <w:rsid w:val="009E28B2"/>
    <w:rsid w:val="009E388F"/>
    <w:rsid w:val="009E3D66"/>
    <w:rsid w:val="009E4865"/>
    <w:rsid w:val="009E5042"/>
    <w:rsid w:val="009E5469"/>
    <w:rsid w:val="009E55CD"/>
    <w:rsid w:val="009E59D5"/>
    <w:rsid w:val="009E6EA8"/>
    <w:rsid w:val="009E7A32"/>
    <w:rsid w:val="009F0EAB"/>
    <w:rsid w:val="009F1C7F"/>
    <w:rsid w:val="009F1FB1"/>
    <w:rsid w:val="009F2234"/>
    <w:rsid w:val="009F2329"/>
    <w:rsid w:val="009F2E6D"/>
    <w:rsid w:val="009F30CC"/>
    <w:rsid w:val="009F3B9F"/>
    <w:rsid w:val="009F3E6A"/>
    <w:rsid w:val="009F4A6A"/>
    <w:rsid w:val="009F4E97"/>
    <w:rsid w:val="009F5572"/>
    <w:rsid w:val="009F5A63"/>
    <w:rsid w:val="009F5EB9"/>
    <w:rsid w:val="009F692D"/>
    <w:rsid w:val="009F6CCA"/>
    <w:rsid w:val="00A01866"/>
    <w:rsid w:val="00A01DFC"/>
    <w:rsid w:val="00A02274"/>
    <w:rsid w:val="00A0483D"/>
    <w:rsid w:val="00A05455"/>
    <w:rsid w:val="00A059C5"/>
    <w:rsid w:val="00A05A89"/>
    <w:rsid w:val="00A05BE7"/>
    <w:rsid w:val="00A05FB3"/>
    <w:rsid w:val="00A0735D"/>
    <w:rsid w:val="00A07CD5"/>
    <w:rsid w:val="00A1023B"/>
    <w:rsid w:val="00A11766"/>
    <w:rsid w:val="00A12C66"/>
    <w:rsid w:val="00A13EB3"/>
    <w:rsid w:val="00A161C1"/>
    <w:rsid w:val="00A16239"/>
    <w:rsid w:val="00A17156"/>
    <w:rsid w:val="00A17781"/>
    <w:rsid w:val="00A20242"/>
    <w:rsid w:val="00A20310"/>
    <w:rsid w:val="00A20EB1"/>
    <w:rsid w:val="00A240ED"/>
    <w:rsid w:val="00A25015"/>
    <w:rsid w:val="00A2531A"/>
    <w:rsid w:val="00A25B68"/>
    <w:rsid w:val="00A2603B"/>
    <w:rsid w:val="00A2676D"/>
    <w:rsid w:val="00A27187"/>
    <w:rsid w:val="00A271B5"/>
    <w:rsid w:val="00A27661"/>
    <w:rsid w:val="00A27DE8"/>
    <w:rsid w:val="00A27E16"/>
    <w:rsid w:val="00A314CE"/>
    <w:rsid w:val="00A324E0"/>
    <w:rsid w:val="00A33CE2"/>
    <w:rsid w:val="00A33F13"/>
    <w:rsid w:val="00A34EC2"/>
    <w:rsid w:val="00A358D5"/>
    <w:rsid w:val="00A37A30"/>
    <w:rsid w:val="00A40BD1"/>
    <w:rsid w:val="00A41B8C"/>
    <w:rsid w:val="00A42731"/>
    <w:rsid w:val="00A42FA2"/>
    <w:rsid w:val="00A4316F"/>
    <w:rsid w:val="00A44177"/>
    <w:rsid w:val="00A44F4E"/>
    <w:rsid w:val="00A45A33"/>
    <w:rsid w:val="00A4669F"/>
    <w:rsid w:val="00A47D47"/>
    <w:rsid w:val="00A50F7B"/>
    <w:rsid w:val="00A51474"/>
    <w:rsid w:val="00A51561"/>
    <w:rsid w:val="00A51DA5"/>
    <w:rsid w:val="00A522B0"/>
    <w:rsid w:val="00A52619"/>
    <w:rsid w:val="00A52BD2"/>
    <w:rsid w:val="00A5472F"/>
    <w:rsid w:val="00A54DF5"/>
    <w:rsid w:val="00A55B58"/>
    <w:rsid w:val="00A56664"/>
    <w:rsid w:val="00A56E3C"/>
    <w:rsid w:val="00A579AB"/>
    <w:rsid w:val="00A57ED4"/>
    <w:rsid w:val="00A603E3"/>
    <w:rsid w:val="00A60BB1"/>
    <w:rsid w:val="00A6173E"/>
    <w:rsid w:val="00A62081"/>
    <w:rsid w:val="00A6256F"/>
    <w:rsid w:val="00A62948"/>
    <w:rsid w:val="00A63678"/>
    <w:rsid w:val="00A6372B"/>
    <w:rsid w:val="00A64758"/>
    <w:rsid w:val="00A648A0"/>
    <w:rsid w:val="00A64A87"/>
    <w:rsid w:val="00A65604"/>
    <w:rsid w:val="00A6591F"/>
    <w:rsid w:val="00A65995"/>
    <w:rsid w:val="00A65E35"/>
    <w:rsid w:val="00A65F31"/>
    <w:rsid w:val="00A66189"/>
    <w:rsid w:val="00A66405"/>
    <w:rsid w:val="00A665E5"/>
    <w:rsid w:val="00A666FC"/>
    <w:rsid w:val="00A66CE4"/>
    <w:rsid w:val="00A66FB2"/>
    <w:rsid w:val="00A7056E"/>
    <w:rsid w:val="00A70EF8"/>
    <w:rsid w:val="00A711FE"/>
    <w:rsid w:val="00A712FC"/>
    <w:rsid w:val="00A71CF1"/>
    <w:rsid w:val="00A736B4"/>
    <w:rsid w:val="00A73ED1"/>
    <w:rsid w:val="00A743F5"/>
    <w:rsid w:val="00A745A8"/>
    <w:rsid w:val="00A7494C"/>
    <w:rsid w:val="00A750F6"/>
    <w:rsid w:val="00A75573"/>
    <w:rsid w:val="00A77907"/>
    <w:rsid w:val="00A77EA1"/>
    <w:rsid w:val="00A8090F"/>
    <w:rsid w:val="00A8173D"/>
    <w:rsid w:val="00A81FBF"/>
    <w:rsid w:val="00A82BE3"/>
    <w:rsid w:val="00A82DE4"/>
    <w:rsid w:val="00A83A06"/>
    <w:rsid w:val="00A83AD1"/>
    <w:rsid w:val="00A840D5"/>
    <w:rsid w:val="00A8784D"/>
    <w:rsid w:val="00A91339"/>
    <w:rsid w:val="00A9198E"/>
    <w:rsid w:val="00A9208D"/>
    <w:rsid w:val="00A922C9"/>
    <w:rsid w:val="00A92A6C"/>
    <w:rsid w:val="00A9343B"/>
    <w:rsid w:val="00A93C91"/>
    <w:rsid w:val="00A946CE"/>
    <w:rsid w:val="00A947A3"/>
    <w:rsid w:val="00A94D00"/>
    <w:rsid w:val="00A94E71"/>
    <w:rsid w:val="00A950D7"/>
    <w:rsid w:val="00A95111"/>
    <w:rsid w:val="00A95224"/>
    <w:rsid w:val="00A95793"/>
    <w:rsid w:val="00A958B7"/>
    <w:rsid w:val="00A95FA1"/>
    <w:rsid w:val="00A963BA"/>
    <w:rsid w:val="00A965BD"/>
    <w:rsid w:val="00A96A72"/>
    <w:rsid w:val="00A97183"/>
    <w:rsid w:val="00A972EB"/>
    <w:rsid w:val="00AA0507"/>
    <w:rsid w:val="00AA0994"/>
    <w:rsid w:val="00AA1897"/>
    <w:rsid w:val="00AA1A32"/>
    <w:rsid w:val="00AA1B46"/>
    <w:rsid w:val="00AA217D"/>
    <w:rsid w:val="00AA2B19"/>
    <w:rsid w:val="00AA31A3"/>
    <w:rsid w:val="00AA360A"/>
    <w:rsid w:val="00AA3BB3"/>
    <w:rsid w:val="00AA3F3B"/>
    <w:rsid w:val="00AA4681"/>
    <w:rsid w:val="00AA4DCB"/>
    <w:rsid w:val="00AA522E"/>
    <w:rsid w:val="00AA5526"/>
    <w:rsid w:val="00AA5BFA"/>
    <w:rsid w:val="00AA6727"/>
    <w:rsid w:val="00AA6AD3"/>
    <w:rsid w:val="00AA7475"/>
    <w:rsid w:val="00AA7DC5"/>
    <w:rsid w:val="00AB10E6"/>
    <w:rsid w:val="00AB22BE"/>
    <w:rsid w:val="00AB2621"/>
    <w:rsid w:val="00AB2F08"/>
    <w:rsid w:val="00AB37D6"/>
    <w:rsid w:val="00AB3BAD"/>
    <w:rsid w:val="00AB4568"/>
    <w:rsid w:val="00AB46E2"/>
    <w:rsid w:val="00AB5672"/>
    <w:rsid w:val="00AB6EF9"/>
    <w:rsid w:val="00AB7BAF"/>
    <w:rsid w:val="00AC0E30"/>
    <w:rsid w:val="00AC1F28"/>
    <w:rsid w:val="00AC4585"/>
    <w:rsid w:val="00AC4791"/>
    <w:rsid w:val="00AC47E2"/>
    <w:rsid w:val="00AC49EE"/>
    <w:rsid w:val="00AC51F3"/>
    <w:rsid w:val="00AC5230"/>
    <w:rsid w:val="00AC557E"/>
    <w:rsid w:val="00AC55BB"/>
    <w:rsid w:val="00AC66BC"/>
    <w:rsid w:val="00AC6A4D"/>
    <w:rsid w:val="00AC79AE"/>
    <w:rsid w:val="00AC7FBE"/>
    <w:rsid w:val="00AD0297"/>
    <w:rsid w:val="00AD056C"/>
    <w:rsid w:val="00AD1227"/>
    <w:rsid w:val="00AD15B5"/>
    <w:rsid w:val="00AD259A"/>
    <w:rsid w:val="00AD34BF"/>
    <w:rsid w:val="00AD35CB"/>
    <w:rsid w:val="00AD416F"/>
    <w:rsid w:val="00AD6015"/>
    <w:rsid w:val="00AD631B"/>
    <w:rsid w:val="00AD635A"/>
    <w:rsid w:val="00AD648C"/>
    <w:rsid w:val="00AD7108"/>
    <w:rsid w:val="00AE00E3"/>
    <w:rsid w:val="00AE03A0"/>
    <w:rsid w:val="00AE12BB"/>
    <w:rsid w:val="00AE2327"/>
    <w:rsid w:val="00AE28E4"/>
    <w:rsid w:val="00AE2C48"/>
    <w:rsid w:val="00AE35EA"/>
    <w:rsid w:val="00AE3BCE"/>
    <w:rsid w:val="00AE4487"/>
    <w:rsid w:val="00AE5131"/>
    <w:rsid w:val="00AE5D01"/>
    <w:rsid w:val="00AE64B7"/>
    <w:rsid w:val="00AE65E0"/>
    <w:rsid w:val="00AE73BE"/>
    <w:rsid w:val="00AE7762"/>
    <w:rsid w:val="00AE7F7F"/>
    <w:rsid w:val="00AF01E7"/>
    <w:rsid w:val="00AF365C"/>
    <w:rsid w:val="00AF3B0A"/>
    <w:rsid w:val="00AF3B6C"/>
    <w:rsid w:val="00AF3BF6"/>
    <w:rsid w:val="00AF5A8D"/>
    <w:rsid w:val="00AF689F"/>
    <w:rsid w:val="00AF7487"/>
    <w:rsid w:val="00AF7DD3"/>
    <w:rsid w:val="00AF7EE3"/>
    <w:rsid w:val="00AF7F7E"/>
    <w:rsid w:val="00B00165"/>
    <w:rsid w:val="00B01569"/>
    <w:rsid w:val="00B0235F"/>
    <w:rsid w:val="00B023A8"/>
    <w:rsid w:val="00B02E0A"/>
    <w:rsid w:val="00B02E54"/>
    <w:rsid w:val="00B03961"/>
    <w:rsid w:val="00B03E75"/>
    <w:rsid w:val="00B04802"/>
    <w:rsid w:val="00B05CAF"/>
    <w:rsid w:val="00B06AC1"/>
    <w:rsid w:val="00B07A78"/>
    <w:rsid w:val="00B121EF"/>
    <w:rsid w:val="00B12C16"/>
    <w:rsid w:val="00B13A7F"/>
    <w:rsid w:val="00B144AD"/>
    <w:rsid w:val="00B146EE"/>
    <w:rsid w:val="00B14932"/>
    <w:rsid w:val="00B14A04"/>
    <w:rsid w:val="00B14A39"/>
    <w:rsid w:val="00B153D9"/>
    <w:rsid w:val="00B156BA"/>
    <w:rsid w:val="00B15AF7"/>
    <w:rsid w:val="00B15CE2"/>
    <w:rsid w:val="00B161D5"/>
    <w:rsid w:val="00B1622E"/>
    <w:rsid w:val="00B16701"/>
    <w:rsid w:val="00B173AE"/>
    <w:rsid w:val="00B176BA"/>
    <w:rsid w:val="00B206F5"/>
    <w:rsid w:val="00B209C5"/>
    <w:rsid w:val="00B20B30"/>
    <w:rsid w:val="00B20D28"/>
    <w:rsid w:val="00B21333"/>
    <w:rsid w:val="00B21574"/>
    <w:rsid w:val="00B21C80"/>
    <w:rsid w:val="00B2204F"/>
    <w:rsid w:val="00B23557"/>
    <w:rsid w:val="00B236D2"/>
    <w:rsid w:val="00B23DD1"/>
    <w:rsid w:val="00B248A5"/>
    <w:rsid w:val="00B24CC3"/>
    <w:rsid w:val="00B24E41"/>
    <w:rsid w:val="00B24F46"/>
    <w:rsid w:val="00B257A6"/>
    <w:rsid w:val="00B25923"/>
    <w:rsid w:val="00B259F5"/>
    <w:rsid w:val="00B25B6D"/>
    <w:rsid w:val="00B26548"/>
    <w:rsid w:val="00B26D3C"/>
    <w:rsid w:val="00B26EA1"/>
    <w:rsid w:val="00B26F4A"/>
    <w:rsid w:val="00B27B02"/>
    <w:rsid w:val="00B301C3"/>
    <w:rsid w:val="00B307EB"/>
    <w:rsid w:val="00B30A1F"/>
    <w:rsid w:val="00B30A51"/>
    <w:rsid w:val="00B30C36"/>
    <w:rsid w:val="00B30D7B"/>
    <w:rsid w:val="00B3126F"/>
    <w:rsid w:val="00B3142D"/>
    <w:rsid w:val="00B316DF"/>
    <w:rsid w:val="00B31D80"/>
    <w:rsid w:val="00B31F47"/>
    <w:rsid w:val="00B32909"/>
    <w:rsid w:val="00B34B89"/>
    <w:rsid w:val="00B35A4F"/>
    <w:rsid w:val="00B36333"/>
    <w:rsid w:val="00B36D99"/>
    <w:rsid w:val="00B36F1D"/>
    <w:rsid w:val="00B40392"/>
    <w:rsid w:val="00B4077F"/>
    <w:rsid w:val="00B40817"/>
    <w:rsid w:val="00B40B90"/>
    <w:rsid w:val="00B41C29"/>
    <w:rsid w:val="00B41F9E"/>
    <w:rsid w:val="00B420B5"/>
    <w:rsid w:val="00B42290"/>
    <w:rsid w:val="00B4251E"/>
    <w:rsid w:val="00B42BFB"/>
    <w:rsid w:val="00B42C38"/>
    <w:rsid w:val="00B43BD7"/>
    <w:rsid w:val="00B44421"/>
    <w:rsid w:val="00B444B1"/>
    <w:rsid w:val="00B45B3C"/>
    <w:rsid w:val="00B45FBA"/>
    <w:rsid w:val="00B46241"/>
    <w:rsid w:val="00B46CE0"/>
    <w:rsid w:val="00B47EC7"/>
    <w:rsid w:val="00B50503"/>
    <w:rsid w:val="00B50660"/>
    <w:rsid w:val="00B50C4A"/>
    <w:rsid w:val="00B50CAB"/>
    <w:rsid w:val="00B50F81"/>
    <w:rsid w:val="00B5118B"/>
    <w:rsid w:val="00B512A7"/>
    <w:rsid w:val="00B514DB"/>
    <w:rsid w:val="00B523AD"/>
    <w:rsid w:val="00B528ED"/>
    <w:rsid w:val="00B52FD9"/>
    <w:rsid w:val="00B5340E"/>
    <w:rsid w:val="00B536C8"/>
    <w:rsid w:val="00B5380B"/>
    <w:rsid w:val="00B5510B"/>
    <w:rsid w:val="00B55756"/>
    <w:rsid w:val="00B55B26"/>
    <w:rsid w:val="00B57B9C"/>
    <w:rsid w:val="00B60145"/>
    <w:rsid w:val="00B60815"/>
    <w:rsid w:val="00B619F6"/>
    <w:rsid w:val="00B620E5"/>
    <w:rsid w:val="00B62B41"/>
    <w:rsid w:val="00B64048"/>
    <w:rsid w:val="00B642FE"/>
    <w:rsid w:val="00B660C3"/>
    <w:rsid w:val="00B661ED"/>
    <w:rsid w:val="00B664C4"/>
    <w:rsid w:val="00B66835"/>
    <w:rsid w:val="00B70789"/>
    <w:rsid w:val="00B708CE"/>
    <w:rsid w:val="00B70FD3"/>
    <w:rsid w:val="00B7141A"/>
    <w:rsid w:val="00B72D41"/>
    <w:rsid w:val="00B73010"/>
    <w:rsid w:val="00B73BFE"/>
    <w:rsid w:val="00B7432B"/>
    <w:rsid w:val="00B752BE"/>
    <w:rsid w:val="00B75521"/>
    <w:rsid w:val="00B7579B"/>
    <w:rsid w:val="00B75CE6"/>
    <w:rsid w:val="00B7690D"/>
    <w:rsid w:val="00B779C7"/>
    <w:rsid w:val="00B8104F"/>
    <w:rsid w:val="00B816E9"/>
    <w:rsid w:val="00B81A39"/>
    <w:rsid w:val="00B81C4F"/>
    <w:rsid w:val="00B82431"/>
    <w:rsid w:val="00B834F9"/>
    <w:rsid w:val="00B83D15"/>
    <w:rsid w:val="00B83EF9"/>
    <w:rsid w:val="00B845F5"/>
    <w:rsid w:val="00B84D71"/>
    <w:rsid w:val="00B85368"/>
    <w:rsid w:val="00B85DA7"/>
    <w:rsid w:val="00B86C25"/>
    <w:rsid w:val="00B87EA0"/>
    <w:rsid w:val="00B9111E"/>
    <w:rsid w:val="00B91841"/>
    <w:rsid w:val="00B924FE"/>
    <w:rsid w:val="00B9275C"/>
    <w:rsid w:val="00B93179"/>
    <w:rsid w:val="00B93505"/>
    <w:rsid w:val="00B937D9"/>
    <w:rsid w:val="00B93FD6"/>
    <w:rsid w:val="00B9404A"/>
    <w:rsid w:val="00B9628B"/>
    <w:rsid w:val="00B96BA6"/>
    <w:rsid w:val="00BA0631"/>
    <w:rsid w:val="00BA076F"/>
    <w:rsid w:val="00BA0CEE"/>
    <w:rsid w:val="00BA0E33"/>
    <w:rsid w:val="00BA113F"/>
    <w:rsid w:val="00BA18B3"/>
    <w:rsid w:val="00BA1CDB"/>
    <w:rsid w:val="00BA1D60"/>
    <w:rsid w:val="00BA1FE7"/>
    <w:rsid w:val="00BA35AD"/>
    <w:rsid w:val="00BA3608"/>
    <w:rsid w:val="00BA37CF"/>
    <w:rsid w:val="00BA3D4A"/>
    <w:rsid w:val="00BA4691"/>
    <w:rsid w:val="00BA4881"/>
    <w:rsid w:val="00BA4F87"/>
    <w:rsid w:val="00BA5D09"/>
    <w:rsid w:val="00BB1DD6"/>
    <w:rsid w:val="00BB25C5"/>
    <w:rsid w:val="00BB2B17"/>
    <w:rsid w:val="00BB346B"/>
    <w:rsid w:val="00BB3B2F"/>
    <w:rsid w:val="00BB41F8"/>
    <w:rsid w:val="00BB47CC"/>
    <w:rsid w:val="00BB4EA8"/>
    <w:rsid w:val="00BB5213"/>
    <w:rsid w:val="00BB5246"/>
    <w:rsid w:val="00BB5499"/>
    <w:rsid w:val="00BB57F9"/>
    <w:rsid w:val="00BB6520"/>
    <w:rsid w:val="00BB7065"/>
    <w:rsid w:val="00BB709D"/>
    <w:rsid w:val="00BB7268"/>
    <w:rsid w:val="00BB7663"/>
    <w:rsid w:val="00BB76EC"/>
    <w:rsid w:val="00BB7BF0"/>
    <w:rsid w:val="00BC0189"/>
    <w:rsid w:val="00BC093A"/>
    <w:rsid w:val="00BC0BA5"/>
    <w:rsid w:val="00BC0FF7"/>
    <w:rsid w:val="00BC18D2"/>
    <w:rsid w:val="00BC196F"/>
    <w:rsid w:val="00BC1C32"/>
    <w:rsid w:val="00BC1DEF"/>
    <w:rsid w:val="00BC2904"/>
    <w:rsid w:val="00BC30EB"/>
    <w:rsid w:val="00BC42CA"/>
    <w:rsid w:val="00BC4852"/>
    <w:rsid w:val="00BC48BF"/>
    <w:rsid w:val="00BC4925"/>
    <w:rsid w:val="00BC4B64"/>
    <w:rsid w:val="00BC4D70"/>
    <w:rsid w:val="00BC4F57"/>
    <w:rsid w:val="00BC52D3"/>
    <w:rsid w:val="00BC6246"/>
    <w:rsid w:val="00BC6F23"/>
    <w:rsid w:val="00BD0064"/>
    <w:rsid w:val="00BD0292"/>
    <w:rsid w:val="00BD0333"/>
    <w:rsid w:val="00BD04AE"/>
    <w:rsid w:val="00BD1081"/>
    <w:rsid w:val="00BD1452"/>
    <w:rsid w:val="00BD18BD"/>
    <w:rsid w:val="00BD23C9"/>
    <w:rsid w:val="00BD2DCE"/>
    <w:rsid w:val="00BD2DF6"/>
    <w:rsid w:val="00BD327E"/>
    <w:rsid w:val="00BD4361"/>
    <w:rsid w:val="00BD43BD"/>
    <w:rsid w:val="00BD5F69"/>
    <w:rsid w:val="00BD73A1"/>
    <w:rsid w:val="00BD7B49"/>
    <w:rsid w:val="00BE1707"/>
    <w:rsid w:val="00BE1747"/>
    <w:rsid w:val="00BE1B80"/>
    <w:rsid w:val="00BE1CC4"/>
    <w:rsid w:val="00BE2408"/>
    <w:rsid w:val="00BE27C9"/>
    <w:rsid w:val="00BE289C"/>
    <w:rsid w:val="00BE28B9"/>
    <w:rsid w:val="00BE2C54"/>
    <w:rsid w:val="00BE3185"/>
    <w:rsid w:val="00BE34B9"/>
    <w:rsid w:val="00BE3ACB"/>
    <w:rsid w:val="00BE3D2C"/>
    <w:rsid w:val="00BE3E7D"/>
    <w:rsid w:val="00BE41FA"/>
    <w:rsid w:val="00BE421A"/>
    <w:rsid w:val="00BE42BD"/>
    <w:rsid w:val="00BE48FD"/>
    <w:rsid w:val="00BE6C8C"/>
    <w:rsid w:val="00BE6E02"/>
    <w:rsid w:val="00BE70C3"/>
    <w:rsid w:val="00BE7C59"/>
    <w:rsid w:val="00BF0082"/>
    <w:rsid w:val="00BF119A"/>
    <w:rsid w:val="00BF2229"/>
    <w:rsid w:val="00BF2BEA"/>
    <w:rsid w:val="00BF3143"/>
    <w:rsid w:val="00BF5752"/>
    <w:rsid w:val="00BF5A36"/>
    <w:rsid w:val="00BF5DE8"/>
    <w:rsid w:val="00BF72F9"/>
    <w:rsid w:val="00C00552"/>
    <w:rsid w:val="00C005A6"/>
    <w:rsid w:val="00C0078F"/>
    <w:rsid w:val="00C00BD2"/>
    <w:rsid w:val="00C0138A"/>
    <w:rsid w:val="00C018F2"/>
    <w:rsid w:val="00C01C4F"/>
    <w:rsid w:val="00C02033"/>
    <w:rsid w:val="00C03216"/>
    <w:rsid w:val="00C03402"/>
    <w:rsid w:val="00C036A6"/>
    <w:rsid w:val="00C03876"/>
    <w:rsid w:val="00C03B39"/>
    <w:rsid w:val="00C03F9E"/>
    <w:rsid w:val="00C04458"/>
    <w:rsid w:val="00C04EA4"/>
    <w:rsid w:val="00C05FED"/>
    <w:rsid w:val="00C060F1"/>
    <w:rsid w:val="00C06425"/>
    <w:rsid w:val="00C064AB"/>
    <w:rsid w:val="00C06ACC"/>
    <w:rsid w:val="00C06D90"/>
    <w:rsid w:val="00C125A0"/>
    <w:rsid w:val="00C12F94"/>
    <w:rsid w:val="00C139AE"/>
    <w:rsid w:val="00C146B6"/>
    <w:rsid w:val="00C14976"/>
    <w:rsid w:val="00C149CF"/>
    <w:rsid w:val="00C14BB5"/>
    <w:rsid w:val="00C14C0F"/>
    <w:rsid w:val="00C1540C"/>
    <w:rsid w:val="00C15568"/>
    <w:rsid w:val="00C15F7F"/>
    <w:rsid w:val="00C16B2E"/>
    <w:rsid w:val="00C17256"/>
    <w:rsid w:val="00C17562"/>
    <w:rsid w:val="00C17918"/>
    <w:rsid w:val="00C17B66"/>
    <w:rsid w:val="00C20062"/>
    <w:rsid w:val="00C2030A"/>
    <w:rsid w:val="00C21586"/>
    <w:rsid w:val="00C21DC3"/>
    <w:rsid w:val="00C222D1"/>
    <w:rsid w:val="00C22E48"/>
    <w:rsid w:val="00C24DD9"/>
    <w:rsid w:val="00C25318"/>
    <w:rsid w:val="00C2536A"/>
    <w:rsid w:val="00C269BC"/>
    <w:rsid w:val="00C271C8"/>
    <w:rsid w:val="00C2781B"/>
    <w:rsid w:val="00C27986"/>
    <w:rsid w:val="00C27BC8"/>
    <w:rsid w:val="00C306C0"/>
    <w:rsid w:val="00C308BD"/>
    <w:rsid w:val="00C308D6"/>
    <w:rsid w:val="00C32BC4"/>
    <w:rsid w:val="00C331FC"/>
    <w:rsid w:val="00C3328D"/>
    <w:rsid w:val="00C335F9"/>
    <w:rsid w:val="00C33D6C"/>
    <w:rsid w:val="00C34017"/>
    <w:rsid w:val="00C34207"/>
    <w:rsid w:val="00C344E1"/>
    <w:rsid w:val="00C34D97"/>
    <w:rsid w:val="00C34DDD"/>
    <w:rsid w:val="00C350C7"/>
    <w:rsid w:val="00C358A7"/>
    <w:rsid w:val="00C3661C"/>
    <w:rsid w:val="00C36BC7"/>
    <w:rsid w:val="00C36BCD"/>
    <w:rsid w:val="00C37458"/>
    <w:rsid w:val="00C378B1"/>
    <w:rsid w:val="00C37E4C"/>
    <w:rsid w:val="00C400D0"/>
    <w:rsid w:val="00C408CE"/>
    <w:rsid w:val="00C4091B"/>
    <w:rsid w:val="00C41509"/>
    <w:rsid w:val="00C42B56"/>
    <w:rsid w:val="00C42D4E"/>
    <w:rsid w:val="00C42FB7"/>
    <w:rsid w:val="00C439AE"/>
    <w:rsid w:val="00C4434B"/>
    <w:rsid w:val="00C45321"/>
    <w:rsid w:val="00C456CC"/>
    <w:rsid w:val="00C45714"/>
    <w:rsid w:val="00C466C1"/>
    <w:rsid w:val="00C46A35"/>
    <w:rsid w:val="00C47881"/>
    <w:rsid w:val="00C51A35"/>
    <w:rsid w:val="00C51C57"/>
    <w:rsid w:val="00C52277"/>
    <w:rsid w:val="00C5261F"/>
    <w:rsid w:val="00C53087"/>
    <w:rsid w:val="00C536C6"/>
    <w:rsid w:val="00C53A04"/>
    <w:rsid w:val="00C53EE9"/>
    <w:rsid w:val="00C54B01"/>
    <w:rsid w:val="00C54C35"/>
    <w:rsid w:val="00C550AC"/>
    <w:rsid w:val="00C554E5"/>
    <w:rsid w:val="00C55D2D"/>
    <w:rsid w:val="00C56076"/>
    <w:rsid w:val="00C56653"/>
    <w:rsid w:val="00C56AAD"/>
    <w:rsid w:val="00C60E18"/>
    <w:rsid w:val="00C6190D"/>
    <w:rsid w:val="00C61B88"/>
    <w:rsid w:val="00C62376"/>
    <w:rsid w:val="00C6264B"/>
    <w:rsid w:val="00C62654"/>
    <w:rsid w:val="00C62B7D"/>
    <w:rsid w:val="00C63725"/>
    <w:rsid w:val="00C65F9A"/>
    <w:rsid w:val="00C669F0"/>
    <w:rsid w:val="00C66B65"/>
    <w:rsid w:val="00C66F6E"/>
    <w:rsid w:val="00C66FB0"/>
    <w:rsid w:val="00C673B7"/>
    <w:rsid w:val="00C67A24"/>
    <w:rsid w:val="00C72915"/>
    <w:rsid w:val="00C72A7C"/>
    <w:rsid w:val="00C7318E"/>
    <w:rsid w:val="00C73688"/>
    <w:rsid w:val="00C73B81"/>
    <w:rsid w:val="00C73FDC"/>
    <w:rsid w:val="00C74BE2"/>
    <w:rsid w:val="00C74C9B"/>
    <w:rsid w:val="00C75038"/>
    <w:rsid w:val="00C75750"/>
    <w:rsid w:val="00C75808"/>
    <w:rsid w:val="00C766D8"/>
    <w:rsid w:val="00C80147"/>
    <w:rsid w:val="00C80739"/>
    <w:rsid w:val="00C817BA"/>
    <w:rsid w:val="00C83102"/>
    <w:rsid w:val="00C83425"/>
    <w:rsid w:val="00C840D5"/>
    <w:rsid w:val="00C84FB6"/>
    <w:rsid w:val="00C86E40"/>
    <w:rsid w:val="00C87389"/>
    <w:rsid w:val="00C87B46"/>
    <w:rsid w:val="00C90EDB"/>
    <w:rsid w:val="00C90F4D"/>
    <w:rsid w:val="00C91066"/>
    <w:rsid w:val="00C91743"/>
    <w:rsid w:val="00C91C82"/>
    <w:rsid w:val="00C91D86"/>
    <w:rsid w:val="00C921AA"/>
    <w:rsid w:val="00C924F9"/>
    <w:rsid w:val="00C93540"/>
    <w:rsid w:val="00C935F6"/>
    <w:rsid w:val="00C95252"/>
    <w:rsid w:val="00C95947"/>
    <w:rsid w:val="00C959FB"/>
    <w:rsid w:val="00C95AE7"/>
    <w:rsid w:val="00C968DE"/>
    <w:rsid w:val="00C968EB"/>
    <w:rsid w:val="00CA0322"/>
    <w:rsid w:val="00CA0480"/>
    <w:rsid w:val="00CA08CD"/>
    <w:rsid w:val="00CA16CF"/>
    <w:rsid w:val="00CA1D11"/>
    <w:rsid w:val="00CA207C"/>
    <w:rsid w:val="00CA2AAB"/>
    <w:rsid w:val="00CA408F"/>
    <w:rsid w:val="00CA4394"/>
    <w:rsid w:val="00CA4C78"/>
    <w:rsid w:val="00CA4E7F"/>
    <w:rsid w:val="00CA574C"/>
    <w:rsid w:val="00CA5BD9"/>
    <w:rsid w:val="00CA6506"/>
    <w:rsid w:val="00CA76C3"/>
    <w:rsid w:val="00CA794F"/>
    <w:rsid w:val="00CB0241"/>
    <w:rsid w:val="00CB0B13"/>
    <w:rsid w:val="00CB0E5B"/>
    <w:rsid w:val="00CB1B56"/>
    <w:rsid w:val="00CB1FE4"/>
    <w:rsid w:val="00CB26C9"/>
    <w:rsid w:val="00CB32EC"/>
    <w:rsid w:val="00CB3C7D"/>
    <w:rsid w:val="00CB57CD"/>
    <w:rsid w:val="00CB7414"/>
    <w:rsid w:val="00CB7701"/>
    <w:rsid w:val="00CB7A79"/>
    <w:rsid w:val="00CC02DE"/>
    <w:rsid w:val="00CC2364"/>
    <w:rsid w:val="00CC31DF"/>
    <w:rsid w:val="00CC3267"/>
    <w:rsid w:val="00CC3C6E"/>
    <w:rsid w:val="00CC3C8A"/>
    <w:rsid w:val="00CC3CBE"/>
    <w:rsid w:val="00CC3F71"/>
    <w:rsid w:val="00CC4273"/>
    <w:rsid w:val="00CC517C"/>
    <w:rsid w:val="00CC53D3"/>
    <w:rsid w:val="00CC5554"/>
    <w:rsid w:val="00CC6328"/>
    <w:rsid w:val="00CC70A9"/>
    <w:rsid w:val="00CC715A"/>
    <w:rsid w:val="00CC77F3"/>
    <w:rsid w:val="00CD0114"/>
    <w:rsid w:val="00CD044F"/>
    <w:rsid w:val="00CD2702"/>
    <w:rsid w:val="00CD2FEB"/>
    <w:rsid w:val="00CD3236"/>
    <w:rsid w:val="00CD36CA"/>
    <w:rsid w:val="00CD43DF"/>
    <w:rsid w:val="00CD4584"/>
    <w:rsid w:val="00CD5689"/>
    <w:rsid w:val="00CD56E3"/>
    <w:rsid w:val="00CD572E"/>
    <w:rsid w:val="00CD6629"/>
    <w:rsid w:val="00CD6AFB"/>
    <w:rsid w:val="00CD6EF0"/>
    <w:rsid w:val="00CD6FCE"/>
    <w:rsid w:val="00CD7891"/>
    <w:rsid w:val="00CD7B71"/>
    <w:rsid w:val="00CE042F"/>
    <w:rsid w:val="00CE0449"/>
    <w:rsid w:val="00CE122A"/>
    <w:rsid w:val="00CE12AC"/>
    <w:rsid w:val="00CE15F3"/>
    <w:rsid w:val="00CE1EC3"/>
    <w:rsid w:val="00CE2807"/>
    <w:rsid w:val="00CE2EBC"/>
    <w:rsid w:val="00CE30B7"/>
    <w:rsid w:val="00CE3655"/>
    <w:rsid w:val="00CE407D"/>
    <w:rsid w:val="00CE4AF5"/>
    <w:rsid w:val="00CE4C2E"/>
    <w:rsid w:val="00CE6A0E"/>
    <w:rsid w:val="00CE752B"/>
    <w:rsid w:val="00CE7A03"/>
    <w:rsid w:val="00CF0BBD"/>
    <w:rsid w:val="00CF157E"/>
    <w:rsid w:val="00CF1BFA"/>
    <w:rsid w:val="00CF1C3C"/>
    <w:rsid w:val="00CF1E28"/>
    <w:rsid w:val="00CF205D"/>
    <w:rsid w:val="00CF244B"/>
    <w:rsid w:val="00CF24E3"/>
    <w:rsid w:val="00CF35E4"/>
    <w:rsid w:val="00CF3D5C"/>
    <w:rsid w:val="00CF5E39"/>
    <w:rsid w:val="00CF6D0A"/>
    <w:rsid w:val="00CF7074"/>
    <w:rsid w:val="00CF75D4"/>
    <w:rsid w:val="00CF7BCC"/>
    <w:rsid w:val="00D00755"/>
    <w:rsid w:val="00D008F6"/>
    <w:rsid w:val="00D010D8"/>
    <w:rsid w:val="00D01199"/>
    <w:rsid w:val="00D01EB4"/>
    <w:rsid w:val="00D021BF"/>
    <w:rsid w:val="00D02CB5"/>
    <w:rsid w:val="00D03BAD"/>
    <w:rsid w:val="00D03E61"/>
    <w:rsid w:val="00D04563"/>
    <w:rsid w:val="00D05531"/>
    <w:rsid w:val="00D05A51"/>
    <w:rsid w:val="00D061ED"/>
    <w:rsid w:val="00D06598"/>
    <w:rsid w:val="00D07313"/>
    <w:rsid w:val="00D07791"/>
    <w:rsid w:val="00D079AC"/>
    <w:rsid w:val="00D11992"/>
    <w:rsid w:val="00D11F0F"/>
    <w:rsid w:val="00D12F45"/>
    <w:rsid w:val="00D14DB1"/>
    <w:rsid w:val="00D14F0D"/>
    <w:rsid w:val="00D150EB"/>
    <w:rsid w:val="00D15261"/>
    <w:rsid w:val="00D1638E"/>
    <w:rsid w:val="00D16D76"/>
    <w:rsid w:val="00D16ED8"/>
    <w:rsid w:val="00D17C19"/>
    <w:rsid w:val="00D17E53"/>
    <w:rsid w:val="00D2119C"/>
    <w:rsid w:val="00D21319"/>
    <w:rsid w:val="00D2142B"/>
    <w:rsid w:val="00D22462"/>
    <w:rsid w:val="00D22C59"/>
    <w:rsid w:val="00D22E55"/>
    <w:rsid w:val="00D231E9"/>
    <w:rsid w:val="00D23539"/>
    <w:rsid w:val="00D24164"/>
    <w:rsid w:val="00D256D2"/>
    <w:rsid w:val="00D25760"/>
    <w:rsid w:val="00D25931"/>
    <w:rsid w:val="00D25ACF"/>
    <w:rsid w:val="00D2742F"/>
    <w:rsid w:val="00D276F0"/>
    <w:rsid w:val="00D27BFA"/>
    <w:rsid w:val="00D30AE3"/>
    <w:rsid w:val="00D30CC3"/>
    <w:rsid w:val="00D31085"/>
    <w:rsid w:val="00D31348"/>
    <w:rsid w:val="00D31B30"/>
    <w:rsid w:val="00D320A7"/>
    <w:rsid w:val="00D322A8"/>
    <w:rsid w:val="00D32335"/>
    <w:rsid w:val="00D323E3"/>
    <w:rsid w:val="00D32EC9"/>
    <w:rsid w:val="00D33F2E"/>
    <w:rsid w:val="00D33FD9"/>
    <w:rsid w:val="00D3457C"/>
    <w:rsid w:val="00D357F0"/>
    <w:rsid w:val="00D4013D"/>
    <w:rsid w:val="00D40D69"/>
    <w:rsid w:val="00D414F9"/>
    <w:rsid w:val="00D41502"/>
    <w:rsid w:val="00D416E5"/>
    <w:rsid w:val="00D42621"/>
    <w:rsid w:val="00D428B3"/>
    <w:rsid w:val="00D42F9F"/>
    <w:rsid w:val="00D444D8"/>
    <w:rsid w:val="00D45926"/>
    <w:rsid w:val="00D45F89"/>
    <w:rsid w:val="00D460B0"/>
    <w:rsid w:val="00D46CC6"/>
    <w:rsid w:val="00D47128"/>
    <w:rsid w:val="00D471FE"/>
    <w:rsid w:val="00D475F5"/>
    <w:rsid w:val="00D47AEE"/>
    <w:rsid w:val="00D501B5"/>
    <w:rsid w:val="00D514F7"/>
    <w:rsid w:val="00D51650"/>
    <w:rsid w:val="00D5297C"/>
    <w:rsid w:val="00D52D4F"/>
    <w:rsid w:val="00D53095"/>
    <w:rsid w:val="00D53BBB"/>
    <w:rsid w:val="00D53C35"/>
    <w:rsid w:val="00D54644"/>
    <w:rsid w:val="00D54A94"/>
    <w:rsid w:val="00D557D5"/>
    <w:rsid w:val="00D5682E"/>
    <w:rsid w:val="00D56A36"/>
    <w:rsid w:val="00D570DF"/>
    <w:rsid w:val="00D572F6"/>
    <w:rsid w:val="00D575D5"/>
    <w:rsid w:val="00D57DBA"/>
    <w:rsid w:val="00D57F9C"/>
    <w:rsid w:val="00D6180D"/>
    <w:rsid w:val="00D61E9C"/>
    <w:rsid w:val="00D622EA"/>
    <w:rsid w:val="00D62905"/>
    <w:rsid w:val="00D63C22"/>
    <w:rsid w:val="00D65CC4"/>
    <w:rsid w:val="00D6706B"/>
    <w:rsid w:val="00D703C9"/>
    <w:rsid w:val="00D71700"/>
    <w:rsid w:val="00D71795"/>
    <w:rsid w:val="00D71AA0"/>
    <w:rsid w:val="00D73642"/>
    <w:rsid w:val="00D7435E"/>
    <w:rsid w:val="00D74E6C"/>
    <w:rsid w:val="00D7505B"/>
    <w:rsid w:val="00D77244"/>
    <w:rsid w:val="00D8179C"/>
    <w:rsid w:val="00D821C3"/>
    <w:rsid w:val="00D82E25"/>
    <w:rsid w:val="00D854EB"/>
    <w:rsid w:val="00D85703"/>
    <w:rsid w:val="00D85DE1"/>
    <w:rsid w:val="00D86E06"/>
    <w:rsid w:val="00D87888"/>
    <w:rsid w:val="00D87A1C"/>
    <w:rsid w:val="00D905B9"/>
    <w:rsid w:val="00D9081A"/>
    <w:rsid w:val="00D919BB"/>
    <w:rsid w:val="00D91E97"/>
    <w:rsid w:val="00D92F0D"/>
    <w:rsid w:val="00D936C1"/>
    <w:rsid w:val="00D939C3"/>
    <w:rsid w:val="00D942A2"/>
    <w:rsid w:val="00D95FBF"/>
    <w:rsid w:val="00D97119"/>
    <w:rsid w:val="00D97A9C"/>
    <w:rsid w:val="00DA0A33"/>
    <w:rsid w:val="00DA149E"/>
    <w:rsid w:val="00DA2C44"/>
    <w:rsid w:val="00DA2F51"/>
    <w:rsid w:val="00DA37D6"/>
    <w:rsid w:val="00DA3979"/>
    <w:rsid w:val="00DA4D43"/>
    <w:rsid w:val="00DA5433"/>
    <w:rsid w:val="00DA6058"/>
    <w:rsid w:val="00DA625A"/>
    <w:rsid w:val="00DA6516"/>
    <w:rsid w:val="00DA7510"/>
    <w:rsid w:val="00DA789D"/>
    <w:rsid w:val="00DB084C"/>
    <w:rsid w:val="00DB0B3F"/>
    <w:rsid w:val="00DB1755"/>
    <w:rsid w:val="00DB1973"/>
    <w:rsid w:val="00DB1E5D"/>
    <w:rsid w:val="00DB275A"/>
    <w:rsid w:val="00DB27DF"/>
    <w:rsid w:val="00DB39E4"/>
    <w:rsid w:val="00DB3A52"/>
    <w:rsid w:val="00DB3C39"/>
    <w:rsid w:val="00DB42B4"/>
    <w:rsid w:val="00DB4B6D"/>
    <w:rsid w:val="00DB500B"/>
    <w:rsid w:val="00DB5BC2"/>
    <w:rsid w:val="00DB621A"/>
    <w:rsid w:val="00DB65D3"/>
    <w:rsid w:val="00DB6AE4"/>
    <w:rsid w:val="00DB6E10"/>
    <w:rsid w:val="00DB72C5"/>
    <w:rsid w:val="00DB7B97"/>
    <w:rsid w:val="00DC0162"/>
    <w:rsid w:val="00DC0881"/>
    <w:rsid w:val="00DC0A6E"/>
    <w:rsid w:val="00DC0CA5"/>
    <w:rsid w:val="00DC0FE9"/>
    <w:rsid w:val="00DC2231"/>
    <w:rsid w:val="00DC2509"/>
    <w:rsid w:val="00DC2669"/>
    <w:rsid w:val="00DC27A4"/>
    <w:rsid w:val="00DC3889"/>
    <w:rsid w:val="00DC394D"/>
    <w:rsid w:val="00DC6F86"/>
    <w:rsid w:val="00DC72F3"/>
    <w:rsid w:val="00DC770F"/>
    <w:rsid w:val="00DD088D"/>
    <w:rsid w:val="00DD1BBC"/>
    <w:rsid w:val="00DD2D2D"/>
    <w:rsid w:val="00DD33DD"/>
    <w:rsid w:val="00DD349F"/>
    <w:rsid w:val="00DD3798"/>
    <w:rsid w:val="00DD3954"/>
    <w:rsid w:val="00DD3B58"/>
    <w:rsid w:val="00DD3E1B"/>
    <w:rsid w:val="00DD44FD"/>
    <w:rsid w:val="00DD4D46"/>
    <w:rsid w:val="00DD57F7"/>
    <w:rsid w:val="00DD5B8C"/>
    <w:rsid w:val="00DD63C5"/>
    <w:rsid w:val="00DD6A08"/>
    <w:rsid w:val="00DD70C3"/>
    <w:rsid w:val="00DD7E68"/>
    <w:rsid w:val="00DE06B5"/>
    <w:rsid w:val="00DE2A98"/>
    <w:rsid w:val="00DE447D"/>
    <w:rsid w:val="00DE4E31"/>
    <w:rsid w:val="00DE52C1"/>
    <w:rsid w:val="00DE58A1"/>
    <w:rsid w:val="00DE5B89"/>
    <w:rsid w:val="00DE5C48"/>
    <w:rsid w:val="00DE5EBC"/>
    <w:rsid w:val="00DE6653"/>
    <w:rsid w:val="00DE7A9A"/>
    <w:rsid w:val="00DE7BCF"/>
    <w:rsid w:val="00DF12C3"/>
    <w:rsid w:val="00DF166D"/>
    <w:rsid w:val="00DF1983"/>
    <w:rsid w:val="00DF2109"/>
    <w:rsid w:val="00DF34CC"/>
    <w:rsid w:val="00DF4A75"/>
    <w:rsid w:val="00DF4C05"/>
    <w:rsid w:val="00DF528F"/>
    <w:rsid w:val="00DF5317"/>
    <w:rsid w:val="00DF586A"/>
    <w:rsid w:val="00DF5F9C"/>
    <w:rsid w:val="00DF64F5"/>
    <w:rsid w:val="00DF6A35"/>
    <w:rsid w:val="00E00537"/>
    <w:rsid w:val="00E00D8C"/>
    <w:rsid w:val="00E0144A"/>
    <w:rsid w:val="00E02743"/>
    <w:rsid w:val="00E0369D"/>
    <w:rsid w:val="00E038E5"/>
    <w:rsid w:val="00E03BF3"/>
    <w:rsid w:val="00E03C79"/>
    <w:rsid w:val="00E04396"/>
    <w:rsid w:val="00E0443A"/>
    <w:rsid w:val="00E048D6"/>
    <w:rsid w:val="00E05693"/>
    <w:rsid w:val="00E05A7B"/>
    <w:rsid w:val="00E05FB1"/>
    <w:rsid w:val="00E06541"/>
    <w:rsid w:val="00E07BE4"/>
    <w:rsid w:val="00E07E5E"/>
    <w:rsid w:val="00E100BA"/>
    <w:rsid w:val="00E10EBA"/>
    <w:rsid w:val="00E1196A"/>
    <w:rsid w:val="00E12B6C"/>
    <w:rsid w:val="00E12CDB"/>
    <w:rsid w:val="00E1301F"/>
    <w:rsid w:val="00E13327"/>
    <w:rsid w:val="00E13629"/>
    <w:rsid w:val="00E1432B"/>
    <w:rsid w:val="00E14AEF"/>
    <w:rsid w:val="00E14D47"/>
    <w:rsid w:val="00E14D64"/>
    <w:rsid w:val="00E152CE"/>
    <w:rsid w:val="00E15E98"/>
    <w:rsid w:val="00E16949"/>
    <w:rsid w:val="00E16F8B"/>
    <w:rsid w:val="00E17577"/>
    <w:rsid w:val="00E17E15"/>
    <w:rsid w:val="00E2089E"/>
    <w:rsid w:val="00E20BDD"/>
    <w:rsid w:val="00E20C15"/>
    <w:rsid w:val="00E20F60"/>
    <w:rsid w:val="00E213B2"/>
    <w:rsid w:val="00E225FE"/>
    <w:rsid w:val="00E22D2E"/>
    <w:rsid w:val="00E23BAB"/>
    <w:rsid w:val="00E23BC3"/>
    <w:rsid w:val="00E23C4E"/>
    <w:rsid w:val="00E25269"/>
    <w:rsid w:val="00E254FB"/>
    <w:rsid w:val="00E264C4"/>
    <w:rsid w:val="00E264CD"/>
    <w:rsid w:val="00E26A23"/>
    <w:rsid w:val="00E26CAE"/>
    <w:rsid w:val="00E26D26"/>
    <w:rsid w:val="00E2761E"/>
    <w:rsid w:val="00E27EED"/>
    <w:rsid w:val="00E310F6"/>
    <w:rsid w:val="00E31547"/>
    <w:rsid w:val="00E3196E"/>
    <w:rsid w:val="00E31EEF"/>
    <w:rsid w:val="00E3224E"/>
    <w:rsid w:val="00E33364"/>
    <w:rsid w:val="00E33B5A"/>
    <w:rsid w:val="00E33D31"/>
    <w:rsid w:val="00E346FF"/>
    <w:rsid w:val="00E347D8"/>
    <w:rsid w:val="00E34AD5"/>
    <w:rsid w:val="00E34C3B"/>
    <w:rsid w:val="00E350D9"/>
    <w:rsid w:val="00E36300"/>
    <w:rsid w:val="00E36BE5"/>
    <w:rsid w:val="00E372EA"/>
    <w:rsid w:val="00E376A8"/>
    <w:rsid w:val="00E37FEB"/>
    <w:rsid w:val="00E40BDB"/>
    <w:rsid w:val="00E40CCF"/>
    <w:rsid w:val="00E43641"/>
    <w:rsid w:val="00E44308"/>
    <w:rsid w:val="00E445B6"/>
    <w:rsid w:val="00E44668"/>
    <w:rsid w:val="00E44A16"/>
    <w:rsid w:val="00E4575A"/>
    <w:rsid w:val="00E4622E"/>
    <w:rsid w:val="00E463C9"/>
    <w:rsid w:val="00E464B7"/>
    <w:rsid w:val="00E467FD"/>
    <w:rsid w:val="00E47A43"/>
    <w:rsid w:val="00E47C25"/>
    <w:rsid w:val="00E47D8D"/>
    <w:rsid w:val="00E513BC"/>
    <w:rsid w:val="00E51E46"/>
    <w:rsid w:val="00E51F62"/>
    <w:rsid w:val="00E5217C"/>
    <w:rsid w:val="00E525FB"/>
    <w:rsid w:val="00E53B63"/>
    <w:rsid w:val="00E53C42"/>
    <w:rsid w:val="00E5475A"/>
    <w:rsid w:val="00E56A1B"/>
    <w:rsid w:val="00E56B25"/>
    <w:rsid w:val="00E573AD"/>
    <w:rsid w:val="00E57B84"/>
    <w:rsid w:val="00E57E3C"/>
    <w:rsid w:val="00E60467"/>
    <w:rsid w:val="00E6120C"/>
    <w:rsid w:val="00E62418"/>
    <w:rsid w:val="00E62BF6"/>
    <w:rsid w:val="00E63229"/>
    <w:rsid w:val="00E64D84"/>
    <w:rsid w:val="00E64F98"/>
    <w:rsid w:val="00E650B8"/>
    <w:rsid w:val="00E65113"/>
    <w:rsid w:val="00E66FEA"/>
    <w:rsid w:val="00E67727"/>
    <w:rsid w:val="00E67A4E"/>
    <w:rsid w:val="00E67E54"/>
    <w:rsid w:val="00E70CBF"/>
    <w:rsid w:val="00E71014"/>
    <w:rsid w:val="00E721D2"/>
    <w:rsid w:val="00E72BF3"/>
    <w:rsid w:val="00E72FAC"/>
    <w:rsid w:val="00E733B6"/>
    <w:rsid w:val="00E73995"/>
    <w:rsid w:val="00E73A3F"/>
    <w:rsid w:val="00E75145"/>
    <w:rsid w:val="00E753A5"/>
    <w:rsid w:val="00E75914"/>
    <w:rsid w:val="00E763D3"/>
    <w:rsid w:val="00E77B23"/>
    <w:rsid w:val="00E77E1E"/>
    <w:rsid w:val="00E80602"/>
    <w:rsid w:val="00E8147F"/>
    <w:rsid w:val="00E82095"/>
    <w:rsid w:val="00E82459"/>
    <w:rsid w:val="00E832EC"/>
    <w:rsid w:val="00E83742"/>
    <w:rsid w:val="00E83930"/>
    <w:rsid w:val="00E842FC"/>
    <w:rsid w:val="00E84F18"/>
    <w:rsid w:val="00E85D5B"/>
    <w:rsid w:val="00E8631F"/>
    <w:rsid w:val="00E87FC7"/>
    <w:rsid w:val="00E90194"/>
    <w:rsid w:val="00E90724"/>
    <w:rsid w:val="00E91439"/>
    <w:rsid w:val="00E91598"/>
    <w:rsid w:val="00E92797"/>
    <w:rsid w:val="00E92B15"/>
    <w:rsid w:val="00E92F63"/>
    <w:rsid w:val="00E9356B"/>
    <w:rsid w:val="00E9382B"/>
    <w:rsid w:val="00E93BE8"/>
    <w:rsid w:val="00E95E98"/>
    <w:rsid w:val="00E963ED"/>
    <w:rsid w:val="00E96558"/>
    <w:rsid w:val="00EA02EF"/>
    <w:rsid w:val="00EA114D"/>
    <w:rsid w:val="00EA15C6"/>
    <w:rsid w:val="00EA2F5E"/>
    <w:rsid w:val="00EA3251"/>
    <w:rsid w:val="00EA33C4"/>
    <w:rsid w:val="00EA352E"/>
    <w:rsid w:val="00EA524B"/>
    <w:rsid w:val="00EA71C4"/>
    <w:rsid w:val="00EA744F"/>
    <w:rsid w:val="00EA7901"/>
    <w:rsid w:val="00EA7EC8"/>
    <w:rsid w:val="00EB065C"/>
    <w:rsid w:val="00EB0D00"/>
    <w:rsid w:val="00EB267E"/>
    <w:rsid w:val="00EB3173"/>
    <w:rsid w:val="00EB5D91"/>
    <w:rsid w:val="00EB5E75"/>
    <w:rsid w:val="00EB6212"/>
    <w:rsid w:val="00EB6C4B"/>
    <w:rsid w:val="00EB72AD"/>
    <w:rsid w:val="00EC0049"/>
    <w:rsid w:val="00EC0B39"/>
    <w:rsid w:val="00EC1322"/>
    <w:rsid w:val="00EC2C0B"/>
    <w:rsid w:val="00EC2DC5"/>
    <w:rsid w:val="00EC344C"/>
    <w:rsid w:val="00EC3670"/>
    <w:rsid w:val="00EC416A"/>
    <w:rsid w:val="00EC570D"/>
    <w:rsid w:val="00EC5BF9"/>
    <w:rsid w:val="00EC6439"/>
    <w:rsid w:val="00EC7A09"/>
    <w:rsid w:val="00ED0B37"/>
    <w:rsid w:val="00ED0F7A"/>
    <w:rsid w:val="00ED1010"/>
    <w:rsid w:val="00ED1DA7"/>
    <w:rsid w:val="00ED3AA9"/>
    <w:rsid w:val="00ED3D01"/>
    <w:rsid w:val="00ED42AA"/>
    <w:rsid w:val="00ED44A2"/>
    <w:rsid w:val="00ED4A2F"/>
    <w:rsid w:val="00ED55EE"/>
    <w:rsid w:val="00ED5986"/>
    <w:rsid w:val="00ED5F7C"/>
    <w:rsid w:val="00ED6FDB"/>
    <w:rsid w:val="00ED7DCE"/>
    <w:rsid w:val="00EE063E"/>
    <w:rsid w:val="00EE1D57"/>
    <w:rsid w:val="00EE2B6D"/>
    <w:rsid w:val="00EE3397"/>
    <w:rsid w:val="00EE33BB"/>
    <w:rsid w:val="00EE3719"/>
    <w:rsid w:val="00EE398E"/>
    <w:rsid w:val="00EE4484"/>
    <w:rsid w:val="00EE4EC9"/>
    <w:rsid w:val="00EE5754"/>
    <w:rsid w:val="00EE6C40"/>
    <w:rsid w:val="00EE7286"/>
    <w:rsid w:val="00EE799B"/>
    <w:rsid w:val="00EE7A41"/>
    <w:rsid w:val="00EF1977"/>
    <w:rsid w:val="00EF1DF7"/>
    <w:rsid w:val="00EF1E19"/>
    <w:rsid w:val="00EF2B9D"/>
    <w:rsid w:val="00EF2FC6"/>
    <w:rsid w:val="00EF3593"/>
    <w:rsid w:val="00EF3821"/>
    <w:rsid w:val="00EF3E9A"/>
    <w:rsid w:val="00EF43D7"/>
    <w:rsid w:val="00EF4FDA"/>
    <w:rsid w:val="00EF6FF1"/>
    <w:rsid w:val="00EF712B"/>
    <w:rsid w:val="00EF73F6"/>
    <w:rsid w:val="00F0031D"/>
    <w:rsid w:val="00F009AC"/>
    <w:rsid w:val="00F00F55"/>
    <w:rsid w:val="00F018E6"/>
    <w:rsid w:val="00F01CED"/>
    <w:rsid w:val="00F01E12"/>
    <w:rsid w:val="00F02EA0"/>
    <w:rsid w:val="00F040EE"/>
    <w:rsid w:val="00F04C1E"/>
    <w:rsid w:val="00F04E63"/>
    <w:rsid w:val="00F06603"/>
    <w:rsid w:val="00F0662D"/>
    <w:rsid w:val="00F06ECB"/>
    <w:rsid w:val="00F07F96"/>
    <w:rsid w:val="00F1027D"/>
    <w:rsid w:val="00F10529"/>
    <w:rsid w:val="00F10653"/>
    <w:rsid w:val="00F10BCE"/>
    <w:rsid w:val="00F1187D"/>
    <w:rsid w:val="00F12C32"/>
    <w:rsid w:val="00F14352"/>
    <w:rsid w:val="00F14B4B"/>
    <w:rsid w:val="00F15BB4"/>
    <w:rsid w:val="00F16456"/>
    <w:rsid w:val="00F17E69"/>
    <w:rsid w:val="00F20FA2"/>
    <w:rsid w:val="00F21564"/>
    <w:rsid w:val="00F22138"/>
    <w:rsid w:val="00F22254"/>
    <w:rsid w:val="00F226E6"/>
    <w:rsid w:val="00F22F90"/>
    <w:rsid w:val="00F22FD1"/>
    <w:rsid w:val="00F2344D"/>
    <w:rsid w:val="00F23592"/>
    <w:rsid w:val="00F236DF"/>
    <w:rsid w:val="00F241FA"/>
    <w:rsid w:val="00F24378"/>
    <w:rsid w:val="00F24DBD"/>
    <w:rsid w:val="00F2597C"/>
    <w:rsid w:val="00F25A41"/>
    <w:rsid w:val="00F26056"/>
    <w:rsid w:val="00F26988"/>
    <w:rsid w:val="00F26A52"/>
    <w:rsid w:val="00F3012C"/>
    <w:rsid w:val="00F302E9"/>
    <w:rsid w:val="00F306B2"/>
    <w:rsid w:val="00F32478"/>
    <w:rsid w:val="00F33325"/>
    <w:rsid w:val="00F33AAF"/>
    <w:rsid w:val="00F349EB"/>
    <w:rsid w:val="00F35158"/>
    <w:rsid w:val="00F35C22"/>
    <w:rsid w:val="00F36AAE"/>
    <w:rsid w:val="00F3731D"/>
    <w:rsid w:val="00F40670"/>
    <w:rsid w:val="00F40E81"/>
    <w:rsid w:val="00F410EF"/>
    <w:rsid w:val="00F41710"/>
    <w:rsid w:val="00F41BD0"/>
    <w:rsid w:val="00F422CC"/>
    <w:rsid w:val="00F42F89"/>
    <w:rsid w:val="00F43042"/>
    <w:rsid w:val="00F433E4"/>
    <w:rsid w:val="00F441DB"/>
    <w:rsid w:val="00F4662B"/>
    <w:rsid w:val="00F46B46"/>
    <w:rsid w:val="00F47341"/>
    <w:rsid w:val="00F47694"/>
    <w:rsid w:val="00F5059C"/>
    <w:rsid w:val="00F50769"/>
    <w:rsid w:val="00F512F0"/>
    <w:rsid w:val="00F522C5"/>
    <w:rsid w:val="00F526E1"/>
    <w:rsid w:val="00F528CE"/>
    <w:rsid w:val="00F53478"/>
    <w:rsid w:val="00F542CF"/>
    <w:rsid w:val="00F547FA"/>
    <w:rsid w:val="00F54BF3"/>
    <w:rsid w:val="00F54CA1"/>
    <w:rsid w:val="00F5513C"/>
    <w:rsid w:val="00F55CF4"/>
    <w:rsid w:val="00F56AD7"/>
    <w:rsid w:val="00F576FD"/>
    <w:rsid w:val="00F60032"/>
    <w:rsid w:val="00F606CC"/>
    <w:rsid w:val="00F60C78"/>
    <w:rsid w:val="00F60D3B"/>
    <w:rsid w:val="00F60EF0"/>
    <w:rsid w:val="00F616DC"/>
    <w:rsid w:val="00F61B90"/>
    <w:rsid w:val="00F61C10"/>
    <w:rsid w:val="00F61E6D"/>
    <w:rsid w:val="00F62029"/>
    <w:rsid w:val="00F6288D"/>
    <w:rsid w:val="00F630AC"/>
    <w:rsid w:val="00F633F0"/>
    <w:rsid w:val="00F6379D"/>
    <w:rsid w:val="00F63C4F"/>
    <w:rsid w:val="00F64175"/>
    <w:rsid w:val="00F6419B"/>
    <w:rsid w:val="00F64461"/>
    <w:rsid w:val="00F64978"/>
    <w:rsid w:val="00F65E91"/>
    <w:rsid w:val="00F6647B"/>
    <w:rsid w:val="00F664A7"/>
    <w:rsid w:val="00F66A8F"/>
    <w:rsid w:val="00F66CB2"/>
    <w:rsid w:val="00F67222"/>
    <w:rsid w:val="00F6745D"/>
    <w:rsid w:val="00F67587"/>
    <w:rsid w:val="00F67618"/>
    <w:rsid w:val="00F72C29"/>
    <w:rsid w:val="00F730E8"/>
    <w:rsid w:val="00F731ED"/>
    <w:rsid w:val="00F73790"/>
    <w:rsid w:val="00F74AC1"/>
    <w:rsid w:val="00F74F9F"/>
    <w:rsid w:val="00F75822"/>
    <w:rsid w:val="00F758EE"/>
    <w:rsid w:val="00F7590B"/>
    <w:rsid w:val="00F76135"/>
    <w:rsid w:val="00F77FDB"/>
    <w:rsid w:val="00F801F9"/>
    <w:rsid w:val="00F83A15"/>
    <w:rsid w:val="00F8474A"/>
    <w:rsid w:val="00F847AB"/>
    <w:rsid w:val="00F850E0"/>
    <w:rsid w:val="00F85337"/>
    <w:rsid w:val="00F85FA8"/>
    <w:rsid w:val="00F8623F"/>
    <w:rsid w:val="00F863E3"/>
    <w:rsid w:val="00F86778"/>
    <w:rsid w:val="00F87342"/>
    <w:rsid w:val="00F87B3F"/>
    <w:rsid w:val="00F90CAF"/>
    <w:rsid w:val="00F910F0"/>
    <w:rsid w:val="00F915ED"/>
    <w:rsid w:val="00F91E22"/>
    <w:rsid w:val="00F91F1D"/>
    <w:rsid w:val="00F927F5"/>
    <w:rsid w:val="00F9374B"/>
    <w:rsid w:val="00F939E7"/>
    <w:rsid w:val="00F93C1B"/>
    <w:rsid w:val="00F94095"/>
    <w:rsid w:val="00F943F3"/>
    <w:rsid w:val="00F945D4"/>
    <w:rsid w:val="00F94BC5"/>
    <w:rsid w:val="00F958B1"/>
    <w:rsid w:val="00F95C7F"/>
    <w:rsid w:val="00F96538"/>
    <w:rsid w:val="00F96818"/>
    <w:rsid w:val="00F9694D"/>
    <w:rsid w:val="00F96986"/>
    <w:rsid w:val="00F977E8"/>
    <w:rsid w:val="00FA0054"/>
    <w:rsid w:val="00FA1B45"/>
    <w:rsid w:val="00FA1BB7"/>
    <w:rsid w:val="00FA212D"/>
    <w:rsid w:val="00FA25FE"/>
    <w:rsid w:val="00FA307E"/>
    <w:rsid w:val="00FA34A1"/>
    <w:rsid w:val="00FA3BD3"/>
    <w:rsid w:val="00FA3D67"/>
    <w:rsid w:val="00FA509C"/>
    <w:rsid w:val="00FA51AF"/>
    <w:rsid w:val="00FA53EA"/>
    <w:rsid w:val="00FA54E8"/>
    <w:rsid w:val="00FA5711"/>
    <w:rsid w:val="00FA58D6"/>
    <w:rsid w:val="00FA6952"/>
    <w:rsid w:val="00FA6CE8"/>
    <w:rsid w:val="00FA6F99"/>
    <w:rsid w:val="00FA70ED"/>
    <w:rsid w:val="00FA7952"/>
    <w:rsid w:val="00FB0094"/>
    <w:rsid w:val="00FB0203"/>
    <w:rsid w:val="00FB047E"/>
    <w:rsid w:val="00FB054D"/>
    <w:rsid w:val="00FB06B7"/>
    <w:rsid w:val="00FB0B8D"/>
    <w:rsid w:val="00FB14E0"/>
    <w:rsid w:val="00FB210C"/>
    <w:rsid w:val="00FB34CB"/>
    <w:rsid w:val="00FB3BF0"/>
    <w:rsid w:val="00FB411A"/>
    <w:rsid w:val="00FB5778"/>
    <w:rsid w:val="00FB593D"/>
    <w:rsid w:val="00FB695F"/>
    <w:rsid w:val="00FB6D2E"/>
    <w:rsid w:val="00FB7995"/>
    <w:rsid w:val="00FC063C"/>
    <w:rsid w:val="00FC1508"/>
    <w:rsid w:val="00FC1DC6"/>
    <w:rsid w:val="00FC363E"/>
    <w:rsid w:val="00FC3AB3"/>
    <w:rsid w:val="00FC449E"/>
    <w:rsid w:val="00FC478E"/>
    <w:rsid w:val="00FC4DA9"/>
    <w:rsid w:val="00FC5353"/>
    <w:rsid w:val="00FC5457"/>
    <w:rsid w:val="00FC5EA1"/>
    <w:rsid w:val="00FC6140"/>
    <w:rsid w:val="00FC6B96"/>
    <w:rsid w:val="00FC77B0"/>
    <w:rsid w:val="00FC78DC"/>
    <w:rsid w:val="00FC7B5C"/>
    <w:rsid w:val="00FC7FA6"/>
    <w:rsid w:val="00FD0166"/>
    <w:rsid w:val="00FD067B"/>
    <w:rsid w:val="00FD184A"/>
    <w:rsid w:val="00FD219B"/>
    <w:rsid w:val="00FD2745"/>
    <w:rsid w:val="00FD2A66"/>
    <w:rsid w:val="00FD2D46"/>
    <w:rsid w:val="00FD2E47"/>
    <w:rsid w:val="00FD40A9"/>
    <w:rsid w:val="00FD5D05"/>
    <w:rsid w:val="00FD74B8"/>
    <w:rsid w:val="00FD7E0E"/>
    <w:rsid w:val="00FE088F"/>
    <w:rsid w:val="00FE13ED"/>
    <w:rsid w:val="00FE179F"/>
    <w:rsid w:val="00FE1D4C"/>
    <w:rsid w:val="00FE208A"/>
    <w:rsid w:val="00FE2AB0"/>
    <w:rsid w:val="00FE330E"/>
    <w:rsid w:val="00FE366E"/>
    <w:rsid w:val="00FE4000"/>
    <w:rsid w:val="00FE451D"/>
    <w:rsid w:val="00FE4621"/>
    <w:rsid w:val="00FE4E9D"/>
    <w:rsid w:val="00FE5232"/>
    <w:rsid w:val="00FE54D9"/>
    <w:rsid w:val="00FE54F6"/>
    <w:rsid w:val="00FE6D81"/>
    <w:rsid w:val="00FF0740"/>
    <w:rsid w:val="00FF14EA"/>
    <w:rsid w:val="00FF1EC8"/>
    <w:rsid w:val="00FF2999"/>
    <w:rsid w:val="00FF2B34"/>
    <w:rsid w:val="00FF2BBD"/>
    <w:rsid w:val="00FF37C1"/>
    <w:rsid w:val="00FF37C6"/>
    <w:rsid w:val="00FF3808"/>
    <w:rsid w:val="00FF39C0"/>
    <w:rsid w:val="00FF40A8"/>
    <w:rsid w:val="00FF4124"/>
    <w:rsid w:val="00FF44C3"/>
    <w:rsid w:val="00FF44F8"/>
    <w:rsid w:val="00FF47F9"/>
    <w:rsid w:val="00FF4E58"/>
    <w:rsid w:val="00FF4F7C"/>
    <w:rsid w:val="00FF5542"/>
    <w:rsid w:val="00FF559F"/>
    <w:rsid w:val="00FF62B7"/>
    <w:rsid w:val="00FF74D8"/>
    <w:rsid w:val="00FF7A5F"/>
    <w:rsid w:val="01017684"/>
    <w:rsid w:val="01030BC5"/>
    <w:rsid w:val="011D26F6"/>
    <w:rsid w:val="01506A74"/>
    <w:rsid w:val="01507E13"/>
    <w:rsid w:val="01527EDF"/>
    <w:rsid w:val="015B6D94"/>
    <w:rsid w:val="017A6B77"/>
    <w:rsid w:val="01A4698D"/>
    <w:rsid w:val="01C36BA8"/>
    <w:rsid w:val="01C53E9C"/>
    <w:rsid w:val="01CA216C"/>
    <w:rsid w:val="01DE0D08"/>
    <w:rsid w:val="02106257"/>
    <w:rsid w:val="021664AF"/>
    <w:rsid w:val="02644827"/>
    <w:rsid w:val="028B5457"/>
    <w:rsid w:val="02BC0859"/>
    <w:rsid w:val="02C2534B"/>
    <w:rsid w:val="02CB619B"/>
    <w:rsid w:val="02CC4135"/>
    <w:rsid w:val="02DF541F"/>
    <w:rsid w:val="02E66B31"/>
    <w:rsid w:val="030012C2"/>
    <w:rsid w:val="03006736"/>
    <w:rsid w:val="0317318F"/>
    <w:rsid w:val="032128C3"/>
    <w:rsid w:val="03227C2F"/>
    <w:rsid w:val="03367AB9"/>
    <w:rsid w:val="03370C6C"/>
    <w:rsid w:val="035005CB"/>
    <w:rsid w:val="037554A8"/>
    <w:rsid w:val="038A69F0"/>
    <w:rsid w:val="03C12DCD"/>
    <w:rsid w:val="03DB766E"/>
    <w:rsid w:val="04133956"/>
    <w:rsid w:val="04153EA0"/>
    <w:rsid w:val="041A02DA"/>
    <w:rsid w:val="04237C86"/>
    <w:rsid w:val="04444030"/>
    <w:rsid w:val="044B6A50"/>
    <w:rsid w:val="044E498E"/>
    <w:rsid w:val="045F6525"/>
    <w:rsid w:val="047B14DB"/>
    <w:rsid w:val="047B14FB"/>
    <w:rsid w:val="049212D0"/>
    <w:rsid w:val="04956A61"/>
    <w:rsid w:val="04DF5103"/>
    <w:rsid w:val="04E1762A"/>
    <w:rsid w:val="04E67290"/>
    <w:rsid w:val="05171224"/>
    <w:rsid w:val="05194CB6"/>
    <w:rsid w:val="052B1173"/>
    <w:rsid w:val="056900C2"/>
    <w:rsid w:val="05790259"/>
    <w:rsid w:val="0581771D"/>
    <w:rsid w:val="05821257"/>
    <w:rsid w:val="058C4049"/>
    <w:rsid w:val="05B0598C"/>
    <w:rsid w:val="05B9677F"/>
    <w:rsid w:val="05C31021"/>
    <w:rsid w:val="06172321"/>
    <w:rsid w:val="06217C9A"/>
    <w:rsid w:val="062B164D"/>
    <w:rsid w:val="06450013"/>
    <w:rsid w:val="064F3C75"/>
    <w:rsid w:val="065E32B1"/>
    <w:rsid w:val="0664569A"/>
    <w:rsid w:val="067526A6"/>
    <w:rsid w:val="069B0158"/>
    <w:rsid w:val="06A91BE8"/>
    <w:rsid w:val="06B3799E"/>
    <w:rsid w:val="06B62CBE"/>
    <w:rsid w:val="06D27AF8"/>
    <w:rsid w:val="06D7446F"/>
    <w:rsid w:val="06F12DC1"/>
    <w:rsid w:val="06F5518B"/>
    <w:rsid w:val="07026A9C"/>
    <w:rsid w:val="07043D9E"/>
    <w:rsid w:val="070659F4"/>
    <w:rsid w:val="070E7821"/>
    <w:rsid w:val="07125C0D"/>
    <w:rsid w:val="07142CD0"/>
    <w:rsid w:val="07280DFC"/>
    <w:rsid w:val="072916E2"/>
    <w:rsid w:val="07306FDE"/>
    <w:rsid w:val="075D5EDB"/>
    <w:rsid w:val="075E0C24"/>
    <w:rsid w:val="076B041E"/>
    <w:rsid w:val="077D6C94"/>
    <w:rsid w:val="079F74E7"/>
    <w:rsid w:val="07A52452"/>
    <w:rsid w:val="07AF076D"/>
    <w:rsid w:val="07B046DF"/>
    <w:rsid w:val="07B11B75"/>
    <w:rsid w:val="080710D7"/>
    <w:rsid w:val="080D4B60"/>
    <w:rsid w:val="0821499F"/>
    <w:rsid w:val="085F6661"/>
    <w:rsid w:val="0865674A"/>
    <w:rsid w:val="086C7893"/>
    <w:rsid w:val="08812C0C"/>
    <w:rsid w:val="08907C6B"/>
    <w:rsid w:val="08932B34"/>
    <w:rsid w:val="08975580"/>
    <w:rsid w:val="089A0949"/>
    <w:rsid w:val="08B374B6"/>
    <w:rsid w:val="08B5322E"/>
    <w:rsid w:val="08C55F4D"/>
    <w:rsid w:val="08F3624B"/>
    <w:rsid w:val="09067AC2"/>
    <w:rsid w:val="09067F2D"/>
    <w:rsid w:val="092744E7"/>
    <w:rsid w:val="092D54BA"/>
    <w:rsid w:val="093978D2"/>
    <w:rsid w:val="09702289"/>
    <w:rsid w:val="09932EAE"/>
    <w:rsid w:val="09A51E25"/>
    <w:rsid w:val="09B22B81"/>
    <w:rsid w:val="09B2776D"/>
    <w:rsid w:val="09B970EC"/>
    <w:rsid w:val="09BA4874"/>
    <w:rsid w:val="09D75426"/>
    <w:rsid w:val="09DF3BF3"/>
    <w:rsid w:val="09EC6316"/>
    <w:rsid w:val="0A002BCE"/>
    <w:rsid w:val="0A0505FE"/>
    <w:rsid w:val="0A1C4D83"/>
    <w:rsid w:val="0A2259C7"/>
    <w:rsid w:val="0A2E4E1F"/>
    <w:rsid w:val="0A3B4AC1"/>
    <w:rsid w:val="0A913826"/>
    <w:rsid w:val="0A925106"/>
    <w:rsid w:val="0A9B567F"/>
    <w:rsid w:val="0AA95014"/>
    <w:rsid w:val="0ABC216B"/>
    <w:rsid w:val="0AC0345D"/>
    <w:rsid w:val="0AC92FC0"/>
    <w:rsid w:val="0AD71885"/>
    <w:rsid w:val="0AE55920"/>
    <w:rsid w:val="0B141D0B"/>
    <w:rsid w:val="0B1A381C"/>
    <w:rsid w:val="0B246449"/>
    <w:rsid w:val="0B4662F5"/>
    <w:rsid w:val="0B49220E"/>
    <w:rsid w:val="0B51337C"/>
    <w:rsid w:val="0B536D2E"/>
    <w:rsid w:val="0B6131F9"/>
    <w:rsid w:val="0B756CA4"/>
    <w:rsid w:val="0B7E768D"/>
    <w:rsid w:val="0B9335CE"/>
    <w:rsid w:val="0BBA7AB3"/>
    <w:rsid w:val="0BC01BF6"/>
    <w:rsid w:val="0BDC0CB8"/>
    <w:rsid w:val="0BF07E8A"/>
    <w:rsid w:val="0C1006E0"/>
    <w:rsid w:val="0C1A1E98"/>
    <w:rsid w:val="0C2F779B"/>
    <w:rsid w:val="0C34090D"/>
    <w:rsid w:val="0C467ED1"/>
    <w:rsid w:val="0C4D461D"/>
    <w:rsid w:val="0C5E3BDC"/>
    <w:rsid w:val="0C727688"/>
    <w:rsid w:val="0C777F85"/>
    <w:rsid w:val="0C7B02EA"/>
    <w:rsid w:val="0C94332F"/>
    <w:rsid w:val="0CA041F5"/>
    <w:rsid w:val="0CAA3075"/>
    <w:rsid w:val="0CAF7ADB"/>
    <w:rsid w:val="0CBD06F8"/>
    <w:rsid w:val="0CDE225F"/>
    <w:rsid w:val="0CFA55C1"/>
    <w:rsid w:val="0D103128"/>
    <w:rsid w:val="0D57116F"/>
    <w:rsid w:val="0D730491"/>
    <w:rsid w:val="0D98169D"/>
    <w:rsid w:val="0DA3127A"/>
    <w:rsid w:val="0DA73D43"/>
    <w:rsid w:val="0E121122"/>
    <w:rsid w:val="0E364E11"/>
    <w:rsid w:val="0E46447D"/>
    <w:rsid w:val="0E9A0575"/>
    <w:rsid w:val="0EAC60B5"/>
    <w:rsid w:val="0ED168E7"/>
    <w:rsid w:val="0ED32FD6"/>
    <w:rsid w:val="0EF642DF"/>
    <w:rsid w:val="0F657030"/>
    <w:rsid w:val="0F6B0AEA"/>
    <w:rsid w:val="0F6D291D"/>
    <w:rsid w:val="0F760C6E"/>
    <w:rsid w:val="0F7A2388"/>
    <w:rsid w:val="0FDD4E95"/>
    <w:rsid w:val="0FDD7D8A"/>
    <w:rsid w:val="0FFF1232"/>
    <w:rsid w:val="100F15A8"/>
    <w:rsid w:val="105D798E"/>
    <w:rsid w:val="10635878"/>
    <w:rsid w:val="1064722E"/>
    <w:rsid w:val="10AA5642"/>
    <w:rsid w:val="10E51529"/>
    <w:rsid w:val="11310429"/>
    <w:rsid w:val="11384CAD"/>
    <w:rsid w:val="11537FF8"/>
    <w:rsid w:val="118630A7"/>
    <w:rsid w:val="11984DEC"/>
    <w:rsid w:val="119D51A7"/>
    <w:rsid w:val="11B7326D"/>
    <w:rsid w:val="11C803B6"/>
    <w:rsid w:val="11EF4253"/>
    <w:rsid w:val="12092BEF"/>
    <w:rsid w:val="12103BCB"/>
    <w:rsid w:val="12104913"/>
    <w:rsid w:val="12143A40"/>
    <w:rsid w:val="121D74BC"/>
    <w:rsid w:val="122868B5"/>
    <w:rsid w:val="125F245C"/>
    <w:rsid w:val="12622D86"/>
    <w:rsid w:val="12662444"/>
    <w:rsid w:val="12843C71"/>
    <w:rsid w:val="12847AF5"/>
    <w:rsid w:val="12B74046"/>
    <w:rsid w:val="12BC165D"/>
    <w:rsid w:val="12CA1FCB"/>
    <w:rsid w:val="12D76496"/>
    <w:rsid w:val="12E97396"/>
    <w:rsid w:val="131D27CF"/>
    <w:rsid w:val="136B3B31"/>
    <w:rsid w:val="136C2A5D"/>
    <w:rsid w:val="137074F0"/>
    <w:rsid w:val="139B0F39"/>
    <w:rsid w:val="139C7563"/>
    <w:rsid w:val="139D7135"/>
    <w:rsid w:val="13E669F4"/>
    <w:rsid w:val="13F32E07"/>
    <w:rsid w:val="14125887"/>
    <w:rsid w:val="141D4441"/>
    <w:rsid w:val="14330FA7"/>
    <w:rsid w:val="143C00B5"/>
    <w:rsid w:val="144E5DDF"/>
    <w:rsid w:val="14576065"/>
    <w:rsid w:val="1457788F"/>
    <w:rsid w:val="14A472DE"/>
    <w:rsid w:val="14AC090D"/>
    <w:rsid w:val="14CC095C"/>
    <w:rsid w:val="14D0347D"/>
    <w:rsid w:val="14EB7FD7"/>
    <w:rsid w:val="14F557C1"/>
    <w:rsid w:val="15007F26"/>
    <w:rsid w:val="15144613"/>
    <w:rsid w:val="151D2886"/>
    <w:rsid w:val="151E1269"/>
    <w:rsid w:val="15426C85"/>
    <w:rsid w:val="15450DD9"/>
    <w:rsid w:val="15764CC6"/>
    <w:rsid w:val="15794A47"/>
    <w:rsid w:val="15BE7EC5"/>
    <w:rsid w:val="15CD20F8"/>
    <w:rsid w:val="15D171CD"/>
    <w:rsid w:val="15D213E3"/>
    <w:rsid w:val="15DA3BC7"/>
    <w:rsid w:val="160E21CF"/>
    <w:rsid w:val="16335D33"/>
    <w:rsid w:val="16486296"/>
    <w:rsid w:val="16756B9D"/>
    <w:rsid w:val="168B563D"/>
    <w:rsid w:val="16940363"/>
    <w:rsid w:val="1695469E"/>
    <w:rsid w:val="16B23F9F"/>
    <w:rsid w:val="16C31E17"/>
    <w:rsid w:val="16C84A74"/>
    <w:rsid w:val="16D96445"/>
    <w:rsid w:val="16DA6555"/>
    <w:rsid w:val="16E0432E"/>
    <w:rsid w:val="1704585E"/>
    <w:rsid w:val="170F14E8"/>
    <w:rsid w:val="172756CF"/>
    <w:rsid w:val="17375756"/>
    <w:rsid w:val="173B6FF4"/>
    <w:rsid w:val="1745310A"/>
    <w:rsid w:val="17606A5A"/>
    <w:rsid w:val="178C784F"/>
    <w:rsid w:val="17991F6C"/>
    <w:rsid w:val="17DD00AB"/>
    <w:rsid w:val="17FB49D5"/>
    <w:rsid w:val="17FE59D9"/>
    <w:rsid w:val="17FF7451"/>
    <w:rsid w:val="18020A44"/>
    <w:rsid w:val="180715CC"/>
    <w:rsid w:val="18075128"/>
    <w:rsid w:val="180C1D89"/>
    <w:rsid w:val="18193F55"/>
    <w:rsid w:val="183A374F"/>
    <w:rsid w:val="18546479"/>
    <w:rsid w:val="185A5BA0"/>
    <w:rsid w:val="186B56B7"/>
    <w:rsid w:val="186C67A3"/>
    <w:rsid w:val="1870398A"/>
    <w:rsid w:val="187F5606"/>
    <w:rsid w:val="18807354"/>
    <w:rsid w:val="188556A3"/>
    <w:rsid w:val="18966319"/>
    <w:rsid w:val="18B2065C"/>
    <w:rsid w:val="18B30D4E"/>
    <w:rsid w:val="18B43502"/>
    <w:rsid w:val="18BD266E"/>
    <w:rsid w:val="18C16485"/>
    <w:rsid w:val="18D3325C"/>
    <w:rsid w:val="190D20F6"/>
    <w:rsid w:val="193A2ECF"/>
    <w:rsid w:val="193C7053"/>
    <w:rsid w:val="195919B3"/>
    <w:rsid w:val="196C5B8A"/>
    <w:rsid w:val="19772208"/>
    <w:rsid w:val="198D0DFB"/>
    <w:rsid w:val="198D378D"/>
    <w:rsid w:val="199E1DDD"/>
    <w:rsid w:val="19B454DD"/>
    <w:rsid w:val="19C1349F"/>
    <w:rsid w:val="19D47CEE"/>
    <w:rsid w:val="19F53DD2"/>
    <w:rsid w:val="19FB0F11"/>
    <w:rsid w:val="1A0E09F0"/>
    <w:rsid w:val="1A307936"/>
    <w:rsid w:val="1A321FEB"/>
    <w:rsid w:val="1A442B13"/>
    <w:rsid w:val="1A5B3566"/>
    <w:rsid w:val="1A626F8D"/>
    <w:rsid w:val="1A773299"/>
    <w:rsid w:val="1A793764"/>
    <w:rsid w:val="1A7C004F"/>
    <w:rsid w:val="1A9A30D3"/>
    <w:rsid w:val="1AA41354"/>
    <w:rsid w:val="1AA70849"/>
    <w:rsid w:val="1ABD2416"/>
    <w:rsid w:val="1B0A6B18"/>
    <w:rsid w:val="1B1D5FE3"/>
    <w:rsid w:val="1B2E0A8D"/>
    <w:rsid w:val="1B490B08"/>
    <w:rsid w:val="1B531648"/>
    <w:rsid w:val="1B6061AB"/>
    <w:rsid w:val="1B66545C"/>
    <w:rsid w:val="1B790071"/>
    <w:rsid w:val="1B933426"/>
    <w:rsid w:val="1B9E0266"/>
    <w:rsid w:val="1BAB1C82"/>
    <w:rsid w:val="1C0F7B0C"/>
    <w:rsid w:val="1C197B20"/>
    <w:rsid w:val="1C204A0A"/>
    <w:rsid w:val="1C362F89"/>
    <w:rsid w:val="1C5365F7"/>
    <w:rsid w:val="1C562739"/>
    <w:rsid w:val="1C8605AA"/>
    <w:rsid w:val="1C9D31E1"/>
    <w:rsid w:val="1C9F47E6"/>
    <w:rsid w:val="1CA078F9"/>
    <w:rsid w:val="1CAD3B0B"/>
    <w:rsid w:val="1CB07ED8"/>
    <w:rsid w:val="1CBB00C5"/>
    <w:rsid w:val="1CC34FA1"/>
    <w:rsid w:val="1CE27F12"/>
    <w:rsid w:val="1CFF7659"/>
    <w:rsid w:val="1D061E52"/>
    <w:rsid w:val="1D1907E7"/>
    <w:rsid w:val="1D2C6B0C"/>
    <w:rsid w:val="1D532BBD"/>
    <w:rsid w:val="1D5C5F16"/>
    <w:rsid w:val="1D6B6159"/>
    <w:rsid w:val="1D70551D"/>
    <w:rsid w:val="1D85493E"/>
    <w:rsid w:val="1DC54856"/>
    <w:rsid w:val="1DCD150E"/>
    <w:rsid w:val="1DDA6E3B"/>
    <w:rsid w:val="1DDC7057"/>
    <w:rsid w:val="1DF31440"/>
    <w:rsid w:val="1E1F070E"/>
    <w:rsid w:val="1E555761"/>
    <w:rsid w:val="1E5C5A1C"/>
    <w:rsid w:val="1EBA350E"/>
    <w:rsid w:val="1EEA64D6"/>
    <w:rsid w:val="1F047700"/>
    <w:rsid w:val="1F062B0B"/>
    <w:rsid w:val="1F074B01"/>
    <w:rsid w:val="1F202123"/>
    <w:rsid w:val="1F301408"/>
    <w:rsid w:val="1F330EF8"/>
    <w:rsid w:val="1F363631"/>
    <w:rsid w:val="1F4D5417"/>
    <w:rsid w:val="1F672DAF"/>
    <w:rsid w:val="1F792C51"/>
    <w:rsid w:val="1F804ADF"/>
    <w:rsid w:val="1F9A7BF1"/>
    <w:rsid w:val="1FA94489"/>
    <w:rsid w:val="1FAD4807"/>
    <w:rsid w:val="1FD944DB"/>
    <w:rsid w:val="1FE50445"/>
    <w:rsid w:val="1FF561AE"/>
    <w:rsid w:val="1FF614C9"/>
    <w:rsid w:val="20085EE1"/>
    <w:rsid w:val="201A3813"/>
    <w:rsid w:val="203E7B55"/>
    <w:rsid w:val="20532E6F"/>
    <w:rsid w:val="205E1F5A"/>
    <w:rsid w:val="206F7D0E"/>
    <w:rsid w:val="207E3474"/>
    <w:rsid w:val="20A83220"/>
    <w:rsid w:val="20B6437A"/>
    <w:rsid w:val="20D52267"/>
    <w:rsid w:val="20F36B91"/>
    <w:rsid w:val="21080851"/>
    <w:rsid w:val="210C0371"/>
    <w:rsid w:val="21171F44"/>
    <w:rsid w:val="212A5ADC"/>
    <w:rsid w:val="21333B63"/>
    <w:rsid w:val="214D3CF3"/>
    <w:rsid w:val="21807154"/>
    <w:rsid w:val="21936008"/>
    <w:rsid w:val="21964EC4"/>
    <w:rsid w:val="21A74B52"/>
    <w:rsid w:val="21BB3C02"/>
    <w:rsid w:val="21BC6F83"/>
    <w:rsid w:val="21DA62E3"/>
    <w:rsid w:val="21EE7006"/>
    <w:rsid w:val="21F36637"/>
    <w:rsid w:val="21F55ABC"/>
    <w:rsid w:val="220646A2"/>
    <w:rsid w:val="221B014E"/>
    <w:rsid w:val="22272DF3"/>
    <w:rsid w:val="223D092C"/>
    <w:rsid w:val="224A18E5"/>
    <w:rsid w:val="224D2894"/>
    <w:rsid w:val="22592A24"/>
    <w:rsid w:val="225C0891"/>
    <w:rsid w:val="226E3D37"/>
    <w:rsid w:val="22830FFF"/>
    <w:rsid w:val="229131E4"/>
    <w:rsid w:val="229B25D6"/>
    <w:rsid w:val="22B42350"/>
    <w:rsid w:val="22C957F8"/>
    <w:rsid w:val="22EC1AEA"/>
    <w:rsid w:val="2302130E"/>
    <w:rsid w:val="230D45E3"/>
    <w:rsid w:val="231D447F"/>
    <w:rsid w:val="234D7BFD"/>
    <w:rsid w:val="2376111C"/>
    <w:rsid w:val="237D2742"/>
    <w:rsid w:val="237F64BA"/>
    <w:rsid w:val="23830ED3"/>
    <w:rsid w:val="239D7D85"/>
    <w:rsid w:val="23BC3AB0"/>
    <w:rsid w:val="23BE1838"/>
    <w:rsid w:val="23D77745"/>
    <w:rsid w:val="240E267A"/>
    <w:rsid w:val="242157C3"/>
    <w:rsid w:val="243510D4"/>
    <w:rsid w:val="243C233E"/>
    <w:rsid w:val="244A6AC8"/>
    <w:rsid w:val="244F40DF"/>
    <w:rsid w:val="246D0A09"/>
    <w:rsid w:val="24753161"/>
    <w:rsid w:val="24826D41"/>
    <w:rsid w:val="24857B00"/>
    <w:rsid w:val="24BB2A89"/>
    <w:rsid w:val="24CA19B7"/>
    <w:rsid w:val="24F16EBB"/>
    <w:rsid w:val="24F829C8"/>
    <w:rsid w:val="25042435"/>
    <w:rsid w:val="252A5985"/>
    <w:rsid w:val="25303034"/>
    <w:rsid w:val="25311A36"/>
    <w:rsid w:val="253B43C7"/>
    <w:rsid w:val="2546623A"/>
    <w:rsid w:val="25503E7B"/>
    <w:rsid w:val="25544755"/>
    <w:rsid w:val="25631DA5"/>
    <w:rsid w:val="256C2A6E"/>
    <w:rsid w:val="258D216F"/>
    <w:rsid w:val="259D142A"/>
    <w:rsid w:val="259F4BF2"/>
    <w:rsid w:val="25AF0ACA"/>
    <w:rsid w:val="25D32AED"/>
    <w:rsid w:val="25DD739B"/>
    <w:rsid w:val="25DF3841"/>
    <w:rsid w:val="2604120B"/>
    <w:rsid w:val="26055C96"/>
    <w:rsid w:val="260929B3"/>
    <w:rsid w:val="262240A7"/>
    <w:rsid w:val="262D044F"/>
    <w:rsid w:val="264D6D44"/>
    <w:rsid w:val="2657132A"/>
    <w:rsid w:val="265754CC"/>
    <w:rsid w:val="268811DB"/>
    <w:rsid w:val="26A4411A"/>
    <w:rsid w:val="26B91CE3"/>
    <w:rsid w:val="26B97F35"/>
    <w:rsid w:val="26E156F0"/>
    <w:rsid w:val="26E37084"/>
    <w:rsid w:val="26FA1BDF"/>
    <w:rsid w:val="26FC4AB8"/>
    <w:rsid w:val="27201D62"/>
    <w:rsid w:val="27363334"/>
    <w:rsid w:val="276C147C"/>
    <w:rsid w:val="278E4E50"/>
    <w:rsid w:val="27BB3FBE"/>
    <w:rsid w:val="27C366E8"/>
    <w:rsid w:val="27E16097"/>
    <w:rsid w:val="27E8602A"/>
    <w:rsid w:val="2817391F"/>
    <w:rsid w:val="28372271"/>
    <w:rsid w:val="28531659"/>
    <w:rsid w:val="287871B2"/>
    <w:rsid w:val="288D7B89"/>
    <w:rsid w:val="289754FA"/>
    <w:rsid w:val="289F095F"/>
    <w:rsid w:val="28AF53F8"/>
    <w:rsid w:val="28B35F4A"/>
    <w:rsid w:val="28BD7465"/>
    <w:rsid w:val="28BE5CD7"/>
    <w:rsid w:val="28C130D1"/>
    <w:rsid w:val="28C9046F"/>
    <w:rsid w:val="28F25018"/>
    <w:rsid w:val="28F5334C"/>
    <w:rsid w:val="29171A85"/>
    <w:rsid w:val="29226266"/>
    <w:rsid w:val="292518B2"/>
    <w:rsid w:val="2927562A"/>
    <w:rsid w:val="293414A0"/>
    <w:rsid w:val="297859CE"/>
    <w:rsid w:val="29785E86"/>
    <w:rsid w:val="298827D2"/>
    <w:rsid w:val="298A7967"/>
    <w:rsid w:val="298E33ED"/>
    <w:rsid w:val="29D60947"/>
    <w:rsid w:val="2A1F0619"/>
    <w:rsid w:val="2A205A73"/>
    <w:rsid w:val="2A21264E"/>
    <w:rsid w:val="2A3C6374"/>
    <w:rsid w:val="2A3F0751"/>
    <w:rsid w:val="2A662291"/>
    <w:rsid w:val="2A703001"/>
    <w:rsid w:val="2A930A9D"/>
    <w:rsid w:val="2A992557"/>
    <w:rsid w:val="2AAD4023"/>
    <w:rsid w:val="2AB078A1"/>
    <w:rsid w:val="2ABD3CB4"/>
    <w:rsid w:val="2ABE5B1A"/>
    <w:rsid w:val="2AC35764"/>
    <w:rsid w:val="2ADF4A92"/>
    <w:rsid w:val="2AE82B97"/>
    <w:rsid w:val="2AED28A3"/>
    <w:rsid w:val="2B140691"/>
    <w:rsid w:val="2B316E3A"/>
    <w:rsid w:val="2B432B0A"/>
    <w:rsid w:val="2B6366C1"/>
    <w:rsid w:val="2B836D64"/>
    <w:rsid w:val="2BCE0ABE"/>
    <w:rsid w:val="2BD47761"/>
    <w:rsid w:val="2BFD2672"/>
    <w:rsid w:val="2C0C3979"/>
    <w:rsid w:val="2C1A05F1"/>
    <w:rsid w:val="2C226F36"/>
    <w:rsid w:val="2C3861DE"/>
    <w:rsid w:val="2C5D6F47"/>
    <w:rsid w:val="2C82101B"/>
    <w:rsid w:val="2C830311"/>
    <w:rsid w:val="2C8B2374"/>
    <w:rsid w:val="2C9019A5"/>
    <w:rsid w:val="2CAC0E9E"/>
    <w:rsid w:val="2D517C46"/>
    <w:rsid w:val="2D656721"/>
    <w:rsid w:val="2D67693D"/>
    <w:rsid w:val="2D7C4159"/>
    <w:rsid w:val="2D7E3C87"/>
    <w:rsid w:val="2DA327CB"/>
    <w:rsid w:val="2DA35046"/>
    <w:rsid w:val="2DA95B36"/>
    <w:rsid w:val="2DAB2F6A"/>
    <w:rsid w:val="2DD61911"/>
    <w:rsid w:val="2DEA4E78"/>
    <w:rsid w:val="2E094915"/>
    <w:rsid w:val="2E1843DC"/>
    <w:rsid w:val="2E361DCA"/>
    <w:rsid w:val="2E406BEC"/>
    <w:rsid w:val="2E5E5C0B"/>
    <w:rsid w:val="2E60483D"/>
    <w:rsid w:val="2E6C496B"/>
    <w:rsid w:val="2E755089"/>
    <w:rsid w:val="2E7D6405"/>
    <w:rsid w:val="2E83212B"/>
    <w:rsid w:val="2EA8720D"/>
    <w:rsid w:val="2EB240B9"/>
    <w:rsid w:val="2EE31FF3"/>
    <w:rsid w:val="2EF326E9"/>
    <w:rsid w:val="2F06615A"/>
    <w:rsid w:val="2F26687D"/>
    <w:rsid w:val="2F3A21B0"/>
    <w:rsid w:val="2F491B5D"/>
    <w:rsid w:val="2F4D56BE"/>
    <w:rsid w:val="2F5D5FC3"/>
    <w:rsid w:val="2F635838"/>
    <w:rsid w:val="2F7C41F6"/>
    <w:rsid w:val="2F87574D"/>
    <w:rsid w:val="2F927CE1"/>
    <w:rsid w:val="2FDC22D0"/>
    <w:rsid w:val="2FE73901"/>
    <w:rsid w:val="2FF13040"/>
    <w:rsid w:val="2FF6611D"/>
    <w:rsid w:val="2FF95846"/>
    <w:rsid w:val="300B0A17"/>
    <w:rsid w:val="300B26A0"/>
    <w:rsid w:val="30274161"/>
    <w:rsid w:val="30415886"/>
    <w:rsid w:val="30586A11"/>
    <w:rsid w:val="30593A8D"/>
    <w:rsid w:val="305E3FCE"/>
    <w:rsid w:val="30607673"/>
    <w:rsid w:val="307D49E3"/>
    <w:rsid w:val="30907F59"/>
    <w:rsid w:val="30C427FB"/>
    <w:rsid w:val="30DB2F15"/>
    <w:rsid w:val="30ED387E"/>
    <w:rsid w:val="3124504E"/>
    <w:rsid w:val="31471FE2"/>
    <w:rsid w:val="31662A68"/>
    <w:rsid w:val="3166515D"/>
    <w:rsid w:val="316771C6"/>
    <w:rsid w:val="31A64643"/>
    <w:rsid w:val="31E06CBE"/>
    <w:rsid w:val="31EA081E"/>
    <w:rsid w:val="31F462C5"/>
    <w:rsid w:val="31F55B74"/>
    <w:rsid w:val="322B48FA"/>
    <w:rsid w:val="3263730A"/>
    <w:rsid w:val="32A1627D"/>
    <w:rsid w:val="32CA2337"/>
    <w:rsid w:val="32D63C1D"/>
    <w:rsid w:val="32D761C6"/>
    <w:rsid w:val="32DA0142"/>
    <w:rsid w:val="32DD60FB"/>
    <w:rsid w:val="32DF29AE"/>
    <w:rsid w:val="330253ED"/>
    <w:rsid w:val="330B1B18"/>
    <w:rsid w:val="330F11EA"/>
    <w:rsid w:val="332950A2"/>
    <w:rsid w:val="332A2E52"/>
    <w:rsid w:val="334A22A0"/>
    <w:rsid w:val="335739D0"/>
    <w:rsid w:val="33583730"/>
    <w:rsid w:val="3358616F"/>
    <w:rsid w:val="338E6C71"/>
    <w:rsid w:val="33977850"/>
    <w:rsid w:val="339E722D"/>
    <w:rsid w:val="33C944CB"/>
    <w:rsid w:val="33F33EB3"/>
    <w:rsid w:val="33F95DAB"/>
    <w:rsid w:val="3410040A"/>
    <w:rsid w:val="34160775"/>
    <w:rsid w:val="3421456B"/>
    <w:rsid w:val="34B306BA"/>
    <w:rsid w:val="34CD27C2"/>
    <w:rsid w:val="34E1639F"/>
    <w:rsid w:val="34F07218"/>
    <w:rsid w:val="34F8431E"/>
    <w:rsid w:val="350C09F5"/>
    <w:rsid w:val="35226854"/>
    <w:rsid w:val="35356E8B"/>
    <w:rsid w:val="354560BE"/>
    <w:rsid w:val="356E45E1"/>
    <w:rsid w:val="357E0BE0"/>
    <w:rsid w:val="35803500"/>
    <w:rsid w:val="35AB75E3"/>
    <w:rsid w:val="35AD335B"/>
    <w:rsid w:val="35C23876"/>
    <w:rsid w:val="35D733CF"/>
    <w:rsid w:val="35E0115D"/>
    <w:rsid w:val="35EA1EB9"/>
    <w:rsid w:val="361138EA"/>
    <w:rsid w:val="36191DC3"/>
    <w:rsid w:val="3619279E"/>
    <w:rsid w:val="362E54AE"/>
    <w:rsid w:val="36394BEF"/>
    <w:rsid w:val="3639699D"/>
    <w:rsid w:val="363D7E52"/>
    <w:rsid w:val="36410239"/>
    <w:rsid w:val="36455341"/>
    <w:rsid w:val="364874AA"/>
    <w:rsid w:val="366868DE"/>
    <w:rsid w:val="366C2B7A"/>
    <w:rsid w:val="36723C5D"/>
    <w:rsid w:val="3676199F"/>
    <w:rsid w:val="36783969"/>
    <w:rsid w:val="36895528"/>
    <w:rsid w:val="369242A1"/>
    <w:rsid w:val="36A14383"/>
    <w:rsid w:val="36D3294D"/>
    <w:rsid w:val="36F40B16"/>
    <w:rsid w:val="370D7BD8"/>
    <w:rsid w:val="37362EDC"/>
    <w:rsid w:val="375B7373"/>
    <w:rsid w:val="3761142D"/>
    <w:rsid w:val="37732E50"/>
    <w:rsid w:val="379F0A81"/>
    <w:rsid w:val="37D304F7"/>
    <w:rsid w:val="37E45C15"/>
    <w:rsid w:val="380F20AB"/>
    <w:rsid w:val="38281AF7"/>
    <w:rsid w:val="382B49A0"/>
    <w:rsid w:val="384F43B6"/>
    <w:rsid w:val="38550D52"/>
    <w:rsid w:val="385901D3"/>
    <w:rsid w:val="38593621"/>
    <w:rsid w:val="385E319C"/>
    <w:rsid w:val="389F4656"/>
    <w:rsid w:val="38A40ECA"/>
    <w:rsid w:val="38A95010"/>
    <w:rsid w:val="38AB62BF"/>
    <w:rsid w:val="38B66335"/>
    <w:rsid w:val="38BB52E5"/>
    <w:rsid w:val="38CF183A"/>
    <w:rsid w:val="38DB20AB"/>
    <w:rsid w:val="38DF4EF9"/>
    <w:rsid w:val="38E17747"/>
    <w:rsid w:val="38E556DC"/>
    <w:rsid w:val="391D4330"/>
    <w:rsid w:val="39203273"/>
    <w:rsid w:val="3939074D"/>
    <w:rsid w:val="397D3044"/>
    <w:rsid w:val="39B45231"/>
    <w:rsid w:val="39B5330B"/>
    <w:rsid w:val="39D72754"/>
    <w:rsid w:val="3A085567"/>
    <w:rsid w:val="3A106F12"/>
    <w:rsid w:val="3A15169A"/>
    <w:rsid w:val="3A571AE7"/>
    <w:rsid w:val="3A621EEC"/>
    <w:rsid w:val="3A683CF4"/>
    <w:rsid w:val="3AC30F2B"/>
    <w:rsid w:val="3AE31593"/>
    <w:rsid w:val="3B2476A9"/>
    <w:rsid w:val="3B31102A"/>
    <w:rsid w:val="3BA725FA"/>
    <w:rsid w:val="3C0E2679"/>
    <w:rsid w:val="3C4E4D6E"/>
    <w:rsid w:val="3C58684F"/>
    <w:rsid w:val="3C5A141B"/>
    <w:rsid w:val="3C636521"/>
    <w:rsid w:val="3C7E0814"/>
    <w:rsid w:val="3C856D82"/>
    <w:rsid w:val="3C9E3D99"/>
    <w:rsid w:val="3CB274A9"/>
    <w:rsid w:val="3CCA2A44"/>
    <w:rsid w:val="3CCF2901"/>
    <w:rsid w:val="3CE55188"/>
    <w:rsid w:val="3CF7075F"/>
    <w:rsid w:val="3D1B7BAD"/>
    <w:rsid w:val="3D387F8C"/>
    <w:rsid w:val="3D4C1FD3"/>
    <w:rsid w:val="3D5B18EE"/>
    <w:rsid w:val="3D712EC0"/>
    <w:rsid w:val="3D874491"/>
    <w:rsid w:val="3D956BAE"/>
    <w:rsid w:val="3DB1150E"/>
    <w:rsid w:val="3DD3114F"/>
    <w:rsid w:val="3DE16AC8"/>
    <w:rsid w:val="3DFA1107"/>
    <w:rsid w:val="3E0728CE"/>
    <w:rsid w:val="3E0E7813"/>
    <w:rsid w:val="3E185331"/>
    <w:rsid w:val="3E6B790F"/>
    <w:rsid w:val="3E823CCF"/>
    <w:rsid w:val="3E8E35FE"/>
    <w:rsid w:val="3E973342"/>
    <w:rsid w:val="3EB968CD"/>
    <w:rsid w:val="3EE45DCC"/>
    <w:rsid w:val="3F0F45AA"/>
    <w:rsid w:val="3F164112"/>
    <w:rsid w:val="3F1C50AD"/>
    <w:rsid w:val="3F215484"/>
    <w:rsid w:val="3F2A2F9F"/>
    <w:rsid w:val="3F3348D1"/>
    <w:rsid w:val="3F3A57FE"/>
    <w:rsid w:val="3F3C12AC"/>
    <w:rsid w:val="3F43088C"/>
    <w:rsid w:val="3F624FCD"/>
    <w:rsid w:val="3F647909"/>
    <w:rsid w:val="3F733CB0"/>
    <w:rsid w:val="3F8F3AD1"/>
    <w:rsid w:val="3F9D7F9C"/>
    <w:rsid w:val="3FA43E50"/>
    <w:rsid w:val="3FC512A1"/>
    <w:rsid w:val="3FEC1474"/>
    <w:rsid w:val="40277950"/>
    <w:rsid w:val="403A57EB"/>
    <w:rsid w:val="404B163B"/>
    <w:rsid w:val="40593EDC"/>
    <w:rsid w:val="40736451"/>
    <w:rsid w:val="40784565"/>
    <w:rsid w:val="408E4DCF"/>
    <w:rsid w:val="409D5D7A"/>
    <w:rsid w:val="40B03CFF"/>
    <w:rsid w:val="40C6076B"/>
    <w:rsid w:val="40C66046"/>
    <w:rsid w:val="40DC4AF4"/>
    <w:rsid w:val="40DE6ABE"/>
    <w:rsid w:val="410F0A26"/>
    <w:rsid w:val="41371959"/>
    <w:rsid w:val="414B7E76"/>
    <w:rsid w:val="415B3824"/>
    <w:rsid w:val="41662610"/>
    <w:rsid w:val="416A7C0C"/>
    <w:rsid w:val="417F7962"/>
    <w:rsid w:val="419A55AA"/>
    <w:rsid w:val="41B15F81"/>
    <w:rsid w:val="41E023C2"/>
    <w:rsid w:val="41F540C0"/>
    <w:rsid w:val="41F669B6"/>
    <w:rsid w:val="41FE3337"/>
    <w:rsid w:val="420122FB"/>
    <w:rsid w:val="42194B45"/>
    <w:rsid w:val="42312C1E"/>
    <w:rsid w:val="423C06DD"/>
    <w:rsid w:val="4251307A"/>
    <w:rsid w:val="427B634F"/>
    <w:rsid w:val="427F465C"/>
    <w:rsid w:val="428547E4"/>
    <w:rsid w:val="429546E0"/>
    <w:rsid w:val="42CC733E"/>
    <w:rsid w:val="42DA32B5"/>
    <w:rsid w:val="42DD316C"/>
    <w:rsid w:val="42DD38A3"/>
    <w:rsid w:val="42F5057E"/>
    <w:rsid w:val="42FC147E"/>
    <w:rsid w:val="43010EDD"/>
    <w:rsid w:val="430A1DED"/>
    <w:rsid w:val="43104F29"/>
    <w:rsid w:val="434C3974"/>
    <w:rsid w:val="43563908"/>
    <w:rsid w:val="435C378C"/>
    <w:rsid w:val="43653F07"/>
    <w:rsid w:val="43740661"/>
    <w:rsid w:val="4395655F"/>
    <w:rsid w:val="43A35D9D"/>
    <w:rsid w:val="43DD084C"/>
    <w:rsid w:val="43E07BD4"/>
    <w:rsid w:val="43FE1CF4"/>
    <w:rsid w:val="442230BD"/>
    <w:rsid w:val="443C4754"/>
    <w:rsid w:val="443D4CBF"/>
    <w:rsid w:val="444C1F91"/>
    <w:rsid w:val="4468725A"/>
    <w:rsid w:val="44801C3A"/>
    <w:rsid w:val="448259B3"/>
    <w:rsid w:val="44A678F3"/>
    <w:rsid w:val="44DC32FD"/>
    <w:rsid w:val="44F536EC"/>
    <w:rsid w:val="45097E82"/>
    <w:rsid w:val="451F0C60"/>
    <w:rsid w:val="452F5B3A"/>
    <w:rsid w:val="45433394"/>
    <w:rsid w:val="454B2D75"/>
    <w:rsid w:val="45591E22"/>
    <w:rsid w:val="455A1D4B"/>
    <w:rsid w:val="45956F2C"/>
    <w:rsid w:val="459B6D2C"/>
    <w:rsid w:val="459E74EC"/>
    <w:rsid w:val="45D97854"/>
    <w:rsid w:val="46267EDC"/>
    <w:rsid w:val="462B36CF"/>
    <w:rsid w:val="464D5C21"/>
    <w:rsid w:val="466510E8"/>
    <w:rsid w:val="466C691A"/>
    <w:rsid w:val="467808B1"/>
    <w:rsid w:val="46996DAF"/>
    <w:rsid w:val="469F1C4D"/>
    <w:rsid w:val="46AF05B5"/>
    <w:rsid w:val="46B27956"/>
    <w:rsid w:val="46B67B95"/>
    <w:rsid w:val="46BF5C62"/>
    <w:rsid w:val="46EF6631"/>
    <w:rsid w:val="4706145E"/>
    <w:rsid w:val="47347A68"/>
    <w:rsid w:val="47392CA0"/>
    <w:rsid w:val="47404560"/>
    <w:rsid w:val="47763062"/>
    <w:rsid w:val="478706ED"/>
    <w:rsid w:val="47BD3EFE"/>
    <w:rsid w:val="47C666DA"/>
    <w:rsid w:val="47C87B80"/>
    <w:rsid w:val="47D473AF"/>
    <w:rsid w:val="47DB3D58"/>
    <w:rsid w:val="47DB6AD9"/>
    <w:rsid w:val="47EB0341"/>
    <w:rsid w:val="48013092"/>
    <w:rsid w:val="480F1C53"/>
    <w:rsid w:val="48217291"/>
    <w:rsid w:val="4851401A"/>
    <w:rsid w:val="485A77AF"/>
    <w:rsid w:val="485F2408"/>
    <w:rsid w:val="48841A45"/>
    <w:rsid w:val="489C4125"/>
    <w:rsid w:val="48AE321A"/>
    <w:rsid w:val="48AE4FC8"/>
    <w:rsid w:val="48F5045F"/>
    <w:rsid w:val="48FF4813"/>
    <w:rsid w:val="4911355A"/>
    <w:rsid w:val="49222500"/>
    <w:rsid w:val="49255F97"/>
    <w:rsid w:val="492D2391"/>
    <w:rsid w:val="49525534"/>
    <w:rsid w:val="496366C7"/>
    <w:rsid w:val="49832EC6"/>
    <w:rsid w:val="49AE7948"/>
    <w:rsid w:val="49C976B5"/>
    <w:rsid w:val="49CA7BE0"/>
    <w:rsid w:val="49D91881"/>
    <w:rsid w:val="49FE1F7F"/>
    <w:rsid w:val="4A036184"/>
    <w:rsid w:val="4A050C18"/>
    <w:rsid w:val="4A0D3F70"/>
    <w:rsid w:val="4A315EB1"/>
    <w:rsid w:val="4A3E237C"/>
    <w:rsid w:val="4A5B3B78"/>
    <w:rsid w:val="4A9E221C"/>
    <w:rsid w:val="4AC32CF8"/>
    <w:rsid w:val="4ACC7988"/>
    <w:rsid w:val="4AD73C7C"/>
    <w:rsid w:val="4ADD1A9D"/>
    <w:rsid w:val="4AE573BB"/>
    <w:rsid w:val="4AE64E67"/>
    <w:rsid w:val="4AEC627D"/>
    <w:rsid w:val="4B1E1B01"/>
    <w:rsid w:val="4B2F236F"/>
    <w:rsid w:val="4B435F6F"/>
    <w:rsid w:val="4B4B11E1"/>
    <w:rsid w:val="4B5819E1"/>
    <w:rsid w:val="4B6E09D0"/>
    <w:rsid w:val="4B7C7600"/>
    <w:rsid w:val="4B84756E"/>
    <w:rsid w:val="4B885722"/>
    <w:rsid w:val="4B904E59"/>
    <w:rsid w:val="4B991F60"/>
    <w:rsid w:val="4BCF5981"/>
    <w:rsid w:val="4BD7630A"/>
    <w:rsid w:val="4BFF7542"/>
    <w:rsid w:val="4C0E1178"/>
    <w:rsid w:val="4C3D4F70"/>
    <w:rsid w:val="4C480112"/>
    <w:rsid w:val="4C4E19DA"/>
    <w:rsid w:val="4C5C4D3B"/>
    <w:rsid w:val="4C6C7F2C"/>
    <w:rsid w:val="4C716A38"/>
    <w:rsid w:val="4C8B0DB6"/>
    <w:rsid w:val="4CA26BF2"/>
    <w:rsid w:val="4CC1650F"/>
    <w:rsid w:val="4CCA6149"/>
    <w:rsid w:val="4CCB50D0"/>
    <w:rsid w:val="4CDE654A"/>
    <w:rsid w:val="4CE865CF"/>
    <w:rsid w:val="4D202D92"/>
    <w:rsid w:val="4D246388"/>
    <w:rsid w:val="4D3F6FBF"/>
    <w:rsid w:val="4D6A1493"/>
    <w:rsid w:val="4D7C4AD5"/>
    <w:rsid w:val="4D7D31BB"/>
    <w:rsid w:val="4D841B8D"/>
    <w:rsid w:val="4D883516"/>
    <w:rsid w:val="4D8E7176"/>
    <w:rsid w:val="4DCB51C5"/>
    <w:rsid w:val="4DD17738"/>
    <w:rsid w:val="4DDD4677"/>
    <w:rsid w:val="4DF64DD5"/>
    <w:rsid w:val="4E0D4016"/>
    <w:rsid w:val="4E141941"/>
    <w:rsid w:val="4E2350DC"/>
    <w:rsid w:val="4E2875CB"/>
    <w:rsid w:val="4E353A96"/>
    <w:rsid w:val="4E365100"/>
    <w:rsid w:val="4E526C3C"/>
    <w:rsid w:val="4E747DBA"/>
    <w:rsid w:val="4E9E606B"/>
    <w:rsid w:val="4EA840D2"/>
    <w:rsid w:val="4ECC324D"/>
    <w:rsid w:val="4ED074D8"/>
    <w:rsid w:val="4F3E697A"/>
    <w:rsid w:val="4F466757"/>
    <w:rsid w:val="4F585C8E"/>
    <w:rsid w:val="4FA240C2"/>
    <w:rsid w:val="4FB518AF"/>
    <w:rsid w:val="4FBF3F5F"/>
    <w:rsid w:val="4FF3197B"/>
    <w:rsid w:val="4FFE2E27"/>
    <w:rsid w:val="501D7BA1"/>
    <w:rsid w:val="501F74C6"/>
    <w:rsid w:val="502C6F7C"/>
    <w:rsid w:val="505A7D3A"/>
    <w:rsid w:val="507B70BE"/>
    <w:rsid w:val="50E341CC"/>
    <w:rsid w:val="50F069A8"/>
    <w:rsid w:val="51076A4A"/>
    <w:rsid w:val="51347CF1"/>
    <w:rsid w:val="51641EE6"/>
    <w:rsid w:val="517460B9"/>
    <w:rsid w:val="51BD002A"/>
    <w:rsid w:val="51DA0A1D"/>
    <w:rsid w:val="5209061E"/>
    <w:rsid w:val="52252F25"/>
    <w:rsid w:val="5225752A"/>
    <w:rsid w:val="52784EB2"/>
    <w:rsid w:val="527903F5"/>
    <w:rsid w:val="527E14A9"/>
    <w:rsid w:val="52A11DBE"/>
    <w:rsid w:val="52AF3E17"/>
    <w:rsid w:val="52BA4AFC"/>
    <w:rsid w:val="52BA7868"/>
    <w:rsid w:val="52D84511"/>
    <w:rsid w:val="52D90E94"/>
    <w:rsid w:val="52F511F4"/>
    <w:rsid w:val="52F757BE"/>
    <w:rsid w:val="53220600"/>
    <w:rsid w:val="532F73AB"/>
    <w:rsid w:val="53443D17"/>
    <w:rsid w:val="536A0D0E"/>
    <w:rsid w:val="536B319B"/>
    <w:rsid w:val="537052FE"/>
    <w:rsid w:val="538C5F50"/>
    <w:rsid w:val="53D928F4"/>
    <w:rsid w:val="53F61B49"/>
    <w:rsid w:val="53FB37B2"/>
    <w:rsid w:val="540344BB"/>
    <w:rsid w:val="541923D0"/>
    <w:rsid w:val="543842E0"/>
    <w:rsid w:val="544B4013"/>
    <w:rsid w:val="546C176C"/>
    <w:rsid w:val="54992FD0"/>
    <w:rsid w:val="54A37489"/>
    <w:rsid w:val="54B501BD"/>
    <w:rsid w:val="54CE145C"/>
    <w:rsid w:val="54E81D95"/>
    <w:rsid w:val="55081F04"/>
    <w:rsid w:val="550F6DEF"/>
    <w:rsid w:val="55540CA5"/>
    <w:rsid w:val="55632B34"/>
    <w:rsid w:val="557D4DB0"/>
    <w:rsid w:val="55861899"/>
    <w:rsid w:val="55CF39F8"/>
    <w:rsid w:val="55E555E3"/>
    <w:rsid w:val="55FD7E39"/>
    <w:rsid w:val="561254A6"/>
    <w:rsid w:val="56310FE7"/>
    <w:rsid w:val="56462CE4"/>
    <w:rsid w:val="565A053D"/>
    <w:rsid w:val="56660C90"/>
    <w:rsid w:val="566B44F9"/>
    <w:rsid w:val="56755377"/>
    <w:rsid w:val="568C27AB"/>
    <w:rsid w:val="56A9057D"/>
    <w:rsid w:val="56C449A6"/>
    <w:rsid w:val="56CA56C3"/>
    <w:rsid w:val="56D57BC4"/>
    <w:rsid w:val="56D57F1C"/>
    <w:rsid w:val="56EE4A68"/>
    <w:rsid w:val="56FE35BF"/>
    <w:rsid w:val="572B3C88"/>
    <w:rsid w:val="57405985"/>
    <w:rsid w:val="57405FF0"/>
    <w:rsid w:val="5741540F"/>
    <w:rsid w:val="57460AC2"/>
    <w:rsid w:val="574A60D1"/>
    <w:rsid w:val="57594ECB"/>
    <w:rsid w:val="575E0358"/>
    <w:rsid w:val="57697B57"/>
    <w:rsid w:val="57741CC5"/>
    <w:rsid w:val="57B30B8C"/>
    <w:rsid w:val="57B50954"/>
    <w:rsid w:val="57B66A9B"/>
    <w:rsid w:val="57D8796C"/>
    <w:rsid w:val="57ED32D0"/>
    <w:rsid w:val="58040E81"/>
    <w:rsid w:val="580C5DEF"/>
    <w:rsid w:val="58105864"/>
    <w:rsid w:val="582F7907"/>
    <w:rsid w:val="585E50F4"/>
    <w:rsid w:val="585F037B"/>
    <w:rsid w:val="587F072F"/>
    <w:rsid w:val="589A57A1"/>
    <w:rsid w:val="58A82DC7"/>
    <w:rsid w:val="58BE195F"/>
    <w:rsid w:val="58C21630"/>
    <w:rsid w:val="58C26A87"/>
    <w:rsid w:val="58CD149A"/>
    <w:rsid w:val="58E10106"/>
    <w:rsid w:val="58EE3E4C"/>
    <w:rsid w:val="591413EF"/>
    <w:rsid w:val="59235B98"/>
    <w:rsid w:val="594135AB"/>
    <w:rsid w:val="595B7E9D"/>
    <w:rsid w:val="596D6D08"/>
    <w:rsid w:val="5987319C"/>
    <w:rsid w:val="598D1BF1"/>
    <w:rsid w:val="598F6686"/>
    <w:rsid w:val="59C8781C"/>
    <w:rsid w:val="59CF3D17"/>
    <w:rsid w:val="59D64B3E"/>
    <w:rsid w:val="59E22AC0"/>
    <w:rsid w:val="59E42D8A"/>
    <w:rsid w:val="5A026F22"/>
    <w:rsid w:val="5A134FC8"/>
    <w:rsid w:val="5A235BD3"/>
    <w:rsid w:val="5A495741"/>
    <w:rsid w:val="5A4A08C9"/>
    <w:rsid w:val="5A676A86"/>
    <w:rsid w:val="5A936DAC"/>
    <w:rsid w:val="5A9D30EE"/>
    <w:rsid w:val="5AAB580B"/>
    <w:rsid w:val="5AC95965"/>
    <w:rsid w:val="5AD7215D"/>
    <w:rsid w:val="5AD80831"/>
    <w:rsid w:val="5AEB5C08"/>
    <w:rsid w:val="5AEC372E"/>
    <w:rsid w:val="5AEE74A6"/>
    <w:rsid w:val="5B096BF7"/>
    <w:rsid w:val="5B127639"/>
    <w:rsid w:val="5B1C5CD4"/>
    <w:rsid w:val="5B4041A6"/>
    <w:rsid w:val="5B671838"/>
    <w:rsid w:val="5B8878FB"/>
    <w:rsid w:val="5B997631"/>
    <w:rsid w:val="5B9F2091"/>
    <w:rsid w:val="5BAD3DAD"/>
    <w:rsid w:val="5BB130EF"/>
    <w:rsid w:val="5BCB77E7"/>
    <w:rsid w:val="5BDB57C6"/>
    <w:rsid w:val="5BE54D4D"/>
    <w:rsid w:val="5BEC7E8A"/>
    <w:rsid w:val="5C4A6129"/>
    <w:rsid w:val="5C7004BA"/>
    <w:rsid w:val="5C82434A"/>
    <w:rsid w:val="5C8956D8"/>
    <w:rsid w:val="5C8A5E37"/>
    <w:rsid w:val="5C967DF5"/>
    <w:rsid w:val="5CAB0933"/>
    <w:rsid w:val="5CB965D9"/>
    <w:rsid w:val="5CB97774"/>
    <w:rsid w:val="5CBA3AE4"/>
    <w:rsid w:val="5CD51094"/>
    <w:rsid w:val="5CF829D4"/>
    <w:rsid w:val="5D1A6C78"/>
    <w:rsid w:val="5D261DDE"/>
    <w:rsid w:val="5D411CBC"/>
    <w:rsid w:val="5D72779D"/>
    <w:rsid w:val="5D746389"/>
    <w:rsid w:val="5D8401ED"/>
    <w:rsid w:val="5D942597"/>
    <w:rsid w:val="5D944FDE"/>
    <w:rsid w:val="5DA84284"/>
    <w:rsid w:val="5DB16193"/>
    <w:rsid w:val="5DD109FA"/>
    <w:rsid w:val="5E1A6CC0"/>
    <w:rsid w:val="5E2B2123"/>
    <w:rsid w:val="5E371164"/>
    <w:rsid w:val="5E435D5B"/>
    <w:rsid w:val="5E543EED"/>
    <w:rsid w:val="5E685B49"/>
    <w:rsid w:val="5E7D301B"/>
    <w:rsid w:val="5E7E5BBE"/>
    <w:rsid w:val="5E8258E7"/>
    <w:rsid w:val="5EAE501F"/>
    <w:rsid w:val="5EE74938"/>
    <w:rsid w:val="5EF332DD"/>
    <w:rsid w:val="5F0D0F85"/>
    <w:rsid w:val="5F113BE4"/>
    <w:rsid w:val="5F4E7EDA"/>
    <w:rsid w:val="5F5C4644"/>
    <w:rsid w:val="5F605F9A"/>
    <w:rsid w:val="5F656803"/>
    <w:rsid w:val="5F661D01"/>
    <w:rsid w:val="5F79590E"/>
    <w:rsid w:val="5F8421A1"/>
    <w:rsid w:val="5F8B48CF"/>
    <w:rsid w:val="5F9525E6"/>
    <w:rsid w:val="5F981BCE"/>
    <w:rsid w:val="5FB213EA"/>
    <w:rsid w:val="5FC639BC"/>
    <w:rsid w:val="5FC8476A"/>
    <w:rsid w:val="5FC943B4"/>
    <w:rsid w:val="5FCB1BCC"/>
    <w:rsid w:val="5FD30092"/>
    <w:rsid w:val="5FF7049D"/>
    <w:rsid w:val="60261490"/>
    <w:rsid w:val="605E50CE"/>
    <w:rsid w:val="60787F3E"/>
    <w:rsid w:val="608D150F"/>
    <w:rsid w:val="608D6F3B"/>
    <w:rsid w:val="60E2116F"/>
    <w:rsid w:val="61460456"/>
    <w:rsid w:val="61734BA9"/>
    <w:rsid w:val="61747092"/>
    <w:rsid w:val="61994610"/>
    <w:rsid w:val="61AB60F1"/>
    <w:rsid w:val="61C33177"/>
    <w:rsid w:val="61C40F61"/>
    <w:rsid w:val="61C44E6B"/>
    <w:rsid w:val="61D44FA4"/>
    <w:rsid w:val="61E241E7"/>
    <w:rsid w:val="61E57855"/>
    <w:rsid w:val="61F06098"/>
    <w:rsid w:val="621B3277"/>
    <w:rsid w:val="621F132D"/>
    <w:rsid w:val="622B6D0B"/>
    <w:rsid w:val="624F104D"/>
    <w:rsid w:val="62595244"/>
    <w:rsid w:val="62652744"/>
    <w:rsid w:val="628B1D4E"/>
    <w:rsid w:val="628C440A"/>
    <w:rsid w:val="629608F0"/>
    <w:rsid w:val="62CD379A"/>
    <w:rsid w:val="62DB0C58"/>
    <w:rsid w:val="62E371DA"/>
    <w:rsid w:val="62F20B49"/>
    <w:rsid w:val="62F4521D"/>
    <w:rsid w:val="62F91C6B"/>
    <w:rsid w:val="62F94571"/>
    <w:rsid w:val="63027F93"/>
    <w:rsid w:val="630C2BBF"/>
    <w:rsid w:val="63155FA0"/>
    <w:rsid w:val="63383F1E"/>
    <w:rsid w:val="63584057"/>
    <w:rsid w:val="635E5E43"/>
    <w:rsid w:val="63665BD5"/>
    <w:rsid w:val="637349EC"/>
    <w:rsid w:val="638A52D0"/>
    <w:rsid w:val="63B111A7"/>
    <w:rsid w:val="63BD0D6E"/>
    <w:rsid w:val="63BE16FF"/>
    <w:rsid w:val="63EF3D59"/>
    <w:rsid w:val="640863DE"/>
    <w:rsid w:val="640E6369"/>
    <w:rsid w:val="64512EF2"/>
    <w:rsid w:val="64673B46"/>
    <w:rsid w:val="64755542"/>
    <w:rsid w:val="64764B33"/>
    <w:rsid w:val="647B624F"/>
    <w:rsid w:val="647C5B23"/>
    <w:rsid w:val="6493649E"/>
    <w:rsid w:val="64C04ED5"/>
    <w:rsid w:val="64C402BE"/>
    <w:rsid w:val="64ED07CF"/>
    <w:rsid w:val="64EF1FA6"/>
    <w:rsid w:val="65267BBD"/>
    <w:rsid w:val="65325A2B"/>
    <w:rsid w:val="65346E5E"/>
    <w:rsid w:val="653C025F"/>
    <w:rsid w:val="653F727C"/>
    <w:rsid w:val="65497BF4"/>
    <w:rsid w:val="65654809"/>
    <w:rsid w:val="656E2415"/>
    <w:rsid w:val="65750EF0"/>
    <w:rsid w:val="657838F7"/>
    <w:rsid w:val="658437DD"/>
    <w:rsid w:val="658971F4"/>
    <w:rsid w:val="65B649DB"/>
    <w:rsid w:val="65BB267B"/>
    <w:rsid w:val="65BF0105"/>
    <w:rsid w:val="65D62E60"/>
    <w:rsid w:val="65D845E6"/>
    <w:rsid w:val="65D94029"/>
    <w:rsid w:val="65E4751C"/>
    <w:rsid w:val="662234A0"/>
    <w:rsid w:val="66361DB7"/>
    <w:rsid w:val="663F32AC"/>
    <w:rsid w:val="66645735"/>
    <w:rsid w:val="668F3426"/>
    <w:rsid w:val="66A61A12"/>
    <w:rsid w:val="66B61C49"/>
    <w:rsid w:val="66BB3BD6"/>
    <w:rsid w:val="66CD08B8"/>
    <w:rsid w:val="66FB7A23"/>
    <w:rsid w:val="670A1B0C"/>
    <w:rsid w:val="670E33AA"/>
    <w:rsid w:val="671B1407"/>
    <w:rsid w:val="671B7875"/>
    <w:rsid w:val="6731224A"/>
    <w:rsid w:val="673D5A3D"/>
    <w:rsid w:val="674D1F42"/>
    <w:rsid w:val="676254A4"/>
    <w:rsid w:val="67791B52"/>
    <w:rsid w:val="67796897"/>
    <w:rsid w:val="67880EF4"/>
    <w:rsid w:val="679004BC"/>
    <w:rsid w:val="679A0395"/>
    <w:rsid w:val="67C27CF0"/>
    <w:rsid w:val="682A4C80"/>
    <w:rsid w:val="683E1A6D"/>
    <w:rsid w:val="683E5E17"/>
    <w:rsid w:val="68BC69A9"/>
    <w:rsid w:val="68C83A2C"/>
    <w:rsid w:val="68D73C6F"/>
    <w:rsid w:val="68E27BD2"/>
    <w:rsid w:val="68F205FC"/>
    <w:rsid w:val="69006D22"/>
    <w:rsid w:val="6908360F"/>
    <w:rsid w:val="69096CF1"/>
    <w:rsid w:val="697F2C44"/>
    <w:rsid w:val="69990490"/>
    <w:rsid w:val="69AB74E8"/>
    <w:rsid w:val="69BB0AA2"/>
    <w:rsid w:val="69EA09DE"/>
    <w:rsid w:val="6A18573A"/>
    <w:rsid w:val="6A1A7B03"/>
    <w:rsid w:val="6A384A92"/>
    <w:rsid w:val="6A3C376E"/>
    <w:rsid w:val="6A4918BE"/>
    <w:rsid w:val="6A5B1DCE"/>
    <w:rsid w:val="6A5D01A4"/>
    <w:rsid w:val="6A75729C"/>
    <w:rsid w:val="6ACA3A8C"/>
    <w:rsid w:val="6AF3091F"/>
    <w:rsid w:val="6B0B3A32"/>
    <w:rsid w:val="6B1B0FC1"/>
    <w:rsid w:val="6B4E3A65"/>
    <w:rsid w:val="6B551FD2"/>
    <w:rsid w:val="6B802F28"/>
    <w:rsid w:val="6BA37E39"/>
    <w:rsid w:val="6BA676FD"/>
    <w:rsid w:val="6BEB2A60"/>
    <w:rsid w:val="6BEB68AC"/>
    <w:rsid w:val="6BEF1470"/>
    <w:rsid w:val="6BF07522"/>
    <w:rsid w:val="6BF57693"/>
    <w:rsid w:val="6C1A634D"/>
    <w:rsid w:val="6C3F4006"/>
    <w:rsid w:val="6C4E5FF7"/>
    <w:rsid w:val="6C975BF0"/>
    <w:rsid w:val="6CBA368C"/>
    <w:rsid w:val="6CCD1611"/>
    <w:rsid w:val="6CED1CB3"/>
    <w:rsid w:val="6CF379E8"/>
    <w:rsid w:val="6D0E554D"/>
    <w:rsid w:val="6D1C4347"/>
    <w:rsid w:val="6D2356D5"/>
    <w:rsid w:val="6D495DA4"/>
    <w:rsid w:val="6D893D5F"/>
    <w:rsid w:val="6D951596"/>
    <w:rsid w:val="6DA902EF"/>
    <w:rsid w:val="6DB14A8F"/>
    <w:rsid w:val="6E0B117C"/>
    <w:rsid w:val="6E0C0BE2"/>
    <w:rsid w:val="6E1868BC"/>
    <w:rsid w:val="6E1A7190"/>
    <w:rsid w:val="6E1D0D6C"/>
    <w:rsid w:val="6E3556C0"/>
    <w:rsid w:val="6E386F5E"/>
    <w:rsid w:val="6E656E57"/>
    <w:rsid w:val="6E701725"/>
    <w:rsid w:val="6E787F9F"/>
    <w:rsid w:val="6E996E51"/>
    <w:rsid w:val="6EB760D5"/>
    <w:rsid w:val="6ECA28F1"/>
    <w:rsid w:val="6EDA6F7E"/>
    <w:rsid w:val="6EE039DB"/>
    <w:rsid w:val="6EE449F0"/>
    <w:rsid w:val="6EF174B1"/>
    <w:rsid w:val="6EF971A6"/>
    <w:rsid w:val="6F0230C8"/>
    <w:rsid w:val="6F0B6012"/>
    <w:rsid w:val="6F0E6312"/>
    <w:rsid w:val="6F452C0C"/>
    <w:rsid w:val="6F576481"/>
    <w:rsid w:val="6F6C5AB1"/>
    <w:rsid w:val="6FD81756"/>
    <w:rsid w:val="6FD9207B"/>
    <w:rsid w:val="6FE729EA"/>
    <w:rsid w:val="6FFE2617"/>
    <w:rsid w:val="702A28D7"/>
    <w:rsid w:val="70310F81"/>
    <w:rsid w:val="70364F31"/>
    <w:rsid w:val="7046457F"/>
    <w:rsid w:val="705310E6"/>
    <w:rsid w:val="7058462B"/>
    <w:rsid w:val="7093295D"/>
    <w:rsid w:val="70CA49D7"/>
    <w:rsid w:val="70DA60AB"/>
    <w:rsid w:val="70E92792"/>
    <w:rsid w:val="70EB3D85"/>
    <w:rsid w:val="70EC1E2C"/>
    <w:rsid w:val="71045053"/>
    <w:rsid w:val="714479C8"/>
    <w:rsid w:val="714B3F05"/>
    <w:rsid w:val="719721EE"/>
    <w:rsid w:val="71CD5C10"/>
    <w:rsid w:val="72057C25"/>
    <w:rsid w:val="72206064"/>
    <w:rsid w:val="72273572"/>
    <w:rsid w:val="72280561"/>
    <w:rsid w:val="7238752D"/>
    <w:rsid w:val="723A3C97"/>
    <w:rsid w:val="72447578"/>
    <w:rsid w:val="725343D6"/>
    <w:rsid w:val="727E1565"/>
    <w:rsid w:val="72C214EC"/>
    <w:rsid w:val="72C23CF2"/>
    <w:rsid w:val="72FC67AC"/>
    <w:rsid w:val="7306587D"/>
    <w:rsid w:val="731D54EF"/>
    <w:rsid w:val="732E0930"/>
    <w:rsid w:val="735832CE"/>
    <w:rsid w:val="739B4500"/>
    <w:rsid w:val="73A0093B"/>
    <w:rsid w:val="73AA2AE1"/>
    <w:rsid w:val="73B77E6D"/>
    <w:rsid w:val="73BF3510"/>
    <w:rsid w:val="73D610AA"/>
    <w:rsid w:val="73DC4E74"/>
    <w:rsid w:val="73E57C39"/>
    <w:rsid w:val="73F3543A"/>
    <w:rsid w:val="73FB4CB6"/>
    <w:rsid w:val="740A4EF9"/>
    <w:rsid w:val="740E7707"/>
    <w:rsid w:val="74150270"/>
    <w:rsid w:val="7416564C"/>
    <w:rsid w:val="74191A3E"/>
    <w:rsid w:val="744D716B"/>
    <w:rsid w:val="74566F11"/>
    <w:rsid w:val="74687AD9"/>
    <w:rsid w:val="74A0760B"/>
    <w:rsid w:val="74D36C9A"/>
    <w:rsid w:val="74E90FB2"/>
    <w:rsid w:val="74F126BE"/>
    <w:rsid w:val="750632D6"/>
    <w:rsid w:val="75135C6B"/>
    <w:rsid w:val="752C70F1"/>
    <w:rsid w:val="752E2E69"/>
    <w:rsid w:val="753A7652"/>
    <w:rsid w:val="755D72AA"/>
    <w:rsid w:val="75647DDF"/>
    <w:rsid w:val="75836FE6"/>
    <w:rsid w:val="75840F1E"/>
    <w:rsid w:val="75A94B24"/>
    <w:rsid w:val="75C15A8B"/>
    <w:rsid w:val="75C57CD8"/>
    <w:rsid w:val="76120095"/>
    <w:rsid w:val="762A4780"/>
    <w:rsid w:val="76703FB5"/>
    <w:rsid w:val="76742AFE"/>
    <w:rsid w:val="76A01B45"/>
    <w:rsid w:val="76A71125"/>
    <w:rsid w:val="76A809F9"/>
    <w:rsid w:val="76BE4FDB"/>
    <w:rsid w:val="76C55F56"/>
    <w:rsid w:val="76CB7939"/>
    <w:rsid w:val="76E934EC"/>
    <w:rsid w:val="770C2D36"/>
    <w:rsid w:val="771816DB"/>
    <w:rsid w:val="771A36A5"/>
    <w:rsid w:val="772752DF"/>
    <w:rsid w:val="773027ED"/>
    <w:rsid w:val="77356731"/>
    <w:rsid w:val="773847E1"/>
    <w:rsid w:val="773A0077"/>
    <w:rsid w:val="7740750C"/>
    <w:rsid w:val="778B5F0E"/>
    <w:rsid w:val="77A967D7"/>
    <w:rsid w:val="77BF5837"/>
    <w:rsid w:val="77F24FA9"/>
    <w:rsid w:val="77F54E80"/>
    <w:rsid w:val="780F6F82"/>
    <w:rsid w:val="782B5247"/>
    <w:rsid w:val="783C764B"/>
    <w:rsid w:val="783D32AF"/>
    <w:rsid w:val="78462278"/>
    <w:rsid w:val="788F3C1F"/>
    <w:rsid w:val="789915CE"/>
    <w:rsid w:val="78B25C7E"/>
    <w:rsid w:val="78DC49E8"/>
    <w:rsid w:val="78F75B7C"/>
    <w:rsid w:val="79064EBE"/>
    <w:rsid w:val="791E3205"/>
    <w:rsid w:val="791F0052"/>
    <w:rsid w:val="792E3CCA"/>
    <w:rsid w:val="795F1BBD"/>
    <w:rsid w:val="7961362B"/>
    <w:rsid w:val="796432FD"/>
    <w:rsid w:val="7983532B"/>
    <w:rsid w:val="79967A89"/>
    <w:rsid w:val="79BF0534"/>
    <w:rsid w:val="79C124FE"/>
    <w:rsid w:val="79CE69C9"/>
    <w:rsid w:val="79D33FDF"/>
    <w:rsid w:val="79DA230D"/>
    <w:rsid w:val="79E461EC"/>
    <w:rsid w:val="7A017C11"/>
    <w:rsid w:val="7A0F6CE8"/>
    <w:rsid w:val="7A304F8E"/>
    <w:rsid w:val="7A390118"/>
    <w:rsid w:val="7AB47064"/>
    <w:rsid w:val="7AC97A45"/>
    <w:rsid w:val="7AD87858"/>
    <w:rsid w:val="7ADC47C3"/>
    <w:rsid w:val="7ADE0E8D"/>
    <w:rsid w:val="7AF35D27"/>
    <w:rsid w:val="7B022443"/>
    <w:rsid w:val="7B166083"/>
    <w:rsid w:val="7B29035B"/>
    <w:rsid w:val="7B33227E"/>
    <w:rsid w:val="7B580DFE"/>
    <w:rsid w:val="7B5E2BF8"/>
    <w:rsid w:val="7B813A91"/>
    <w:rsid w:val="7B8A2859"/>
    <w:rsid w:val="7B8B1535"/>
    <w:rsid w:val="7BC9569A"/>
    <w:rsid w:val="7BDF485B"/>
    <w:rsid w:val="7BE43F56"/>
    <w:rsid w:val="7C0004DA"/>
    <w:rsid w:val="7C261E96"/>
    <w:rsid w:val="7C26489A"/>
    <w:rsid w:val="7C29438A"/>
    <w:rsid w:val="7C2F4502"/>
    <w:rsid w:val="7C3974EC"/>
    <w:rsid w:val="7C413482"/>
    <w:rsid w:val="7C4F0B98"/>
    <w:rsid w:val="7C5238E1"/>
    <w:rsid w:val="7C6423A7"/>
    <w:rsid w:val="7C781CB5"/>
    <w:rsid w:val="7C955EF8"/>
    <w:rsid w:val="7CBC0D5A"/>
    <w:rsid w:val="7CC56FEF"/>
    <w:rsid w:val="7CDB770D"/>
    <w:rsid w:val="7CEA58C8"/>
    <w:rsid w:val="7CF4697E"/>
    <w:rsid w:val="7D056BA5"/>
    <w:rsid w:val="7D4F1DA3"/>
    <w:rsid w:val="7D63574E"/>
    <w:rsid w:val="7D74082A"/>
    <w:rsid w:val="7D7810B5"/>
    <w:rsid w:val="7D9A08D8"/>
    <w:rsid w:val="7DCB56F9"/>
    <w:rsid w:val="7DD33431"/>
    <w:rsid w:val="7DE67D76"/>
    <w:rsid w:val="7E1C7D03"/>
    <w:rsid w:val="7E2412AD"/>
    <w:rsid w:val="7E2452DB"/>
    <w:rsid w:val="7E4C5F38"/>
    <w:rsid w:val="7E520CE5"/>
    <w:rsid w:val="7E5C32F9"/>
    <w:rsid w:val="7E5F57E1"/>
    <w:rsid w:val="7E6D3342"/>
    <w:rsid w:val="7E711F53"/>
    <w:rsid w:val="7EC5039A"/>
    <w:rsid w:val="7ECF4A36"/>
    <w:rsid w:val="7EE476FA"/>
    <w:rsid w:val="7EEF3669"/>
    <w:rsid w:val="7EF275DE"/>
    <w:rsid w:val="7EF63772"/>
    <w:rsid w:val="7EFE262B"/>
    <w:rsid w:val="7F105066"/>
    <w:rsid w:val="7F1C1F84"/>
    <w:rsid w:val="7F1E7AAB"/>
    <w:rsid w:val="7F230AA3"/>
    <w:rsid w:val="7F245B78"/>
    <w:rsid w:val="7F3217A8"/>
    <w:rsid w:val="7F45772D"/>
    <w:rsid w:val="7F47412F"/>
    <w:rsid w:val="7F5E72BF"/>
    <w:rsid w:val="7F631961"/>
    <w:rsid w:val="7F7539F1"/>
    <w:rsid w:val="7F8A2309"/>
    <w:rsid w:val="7F8F4C18"/>
    <w:rsid w:val="7F9E6EED"/>
    <w:rsid w:val="7FB34697"/>
    <w:rsid w:val="7FBD72C3"/>
    <w:rsid w:val="7FD72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autoRedefine/>
    <w:qFormat/>
    <w:uiPriority w:val="9"/>
    <w:pPr>
      <w:spacing w:line="578" w:lineRule="auto"/>
      <w:jc w:val="center"/>
      <w:outlineLvl w:val="0"/>
    </w:pPr>
    <w:rPr>
      <w:rFonts w:eastAsia="文鼎CS中黑"/>
      <w:b w:val="0"/>
      <w:bCs w:val="0"/>
      <w:kern w:val="44"/>
      <w:sz w:val="52"/>
      <w:szCs w:val="44"/>
    </w:rPr>
  </w:style>
  <w:style w:type="paragraph" w:styleId="5">
    <w:name w:val="heading 2"/>
    <w:basedOn w:val="1"/>
    <w:next w:val="1"/>
    <w:link w:val="65"/>
    <w:autoRedefine/>
    <w:qFormat/>
    <w:uiPriority w:val="9"/>
    <w:pPr>
      <w:keepNext/>
      <w:keepLines/>
      <w:spacing w:line="416" w:lineRule="auto"/>
      <w:outlineLvl w:val="1"/>
    </w:pPr>
    <w:rPr>
      <w:rFonts w:ascii="Wingdings" w:hAnsi="Wingdings" w:eastAsia="文鼎CS中黑"/>
      <w:b/>
      <w:bCs/>
      <w:sz w:val="32"/>
      <w:szCs w:val="32"/>
    </w:rPr>
  </w:style>
  <w:style w:type="paragraph" w:styleId="4">
    <w:name w:val="heading 3"/>
    <w:basedOn w:val="1"/>
    <w:next w:val="1"/>
    <w:link w:val="66"/>
    <w:autoRedefine/>
    <w:qFormat/>
    <w:uiPriority w:val="9"/>
    <w:pPr>
      <w:keepNext/>
      <w:keepLines/>
      <w:spacing w:line="416" w:lineRule="auto"/>
      <w:outlineLvl w:val="2"/>
    </w:pPr>
    <w:rPr>
      <w:rFonts w:eastAsia="Courier New"/>
      <w:b/>
      <w:bCs/>
      <w:sz w:val="32"/>
      <w:szCs w:val="32"/>
    </w:rPr>
  </w:style>
  <w:style w:type="paragraph" w:styleId="6">
    <w:name w:val="heading 4"/>
    <w:basedOn w:val="1"/>
    <w:next w:val="1"/>
    <w:link w:val="67"/>
    <w:autoRedefine/>
    <w:qFormat/>
    <w:uiPriority w:val="9"/>
    <w:pPr>
      <w:keepNext/>
      <w:keepLines/>
      <w:widowControl/>
      <w:spacing w:line="360" w:lineRule="auto"/>
      <w:jc w:val="center"/>
      <w:outlineLvl w:val="3"/>
    </w:pPr>
    <w:rPr>
      <w:rFonts w:ascii="Courier New" w:hAnsi="Courier New"/>
      <w:bCs/>
      <w:sz w:val="28"/>
    </w:rPr>
  </w:style>
  <w:style w:type="paragraph" w:styleId="7">
    <w:name w:val="heading 5"/>
    <w:basedOn w:val="1"/>
    <w:next w:val="1"/>
    <w:link w:val="68"/>
    <w:autoRedefine/>
    <w:qFormat/>
    <w:uiPriority w:val="0"/>
    <w:pPr>
      <w:keepNext/>
      <w:keepLines/>
      <w:widowControl/>
      <w:spacing w:line="360" w:lineRule="auto"/>
      <w:jc w:val="center"/>
      <w:outlineLvl w:val="4"/>
    </w:pPr>
    <w:rPr>
      <w:rFonts w:ascii="Courier New" w:hAnsi="Courier New"/>
      <w:b/>
      <w:sz w:val="44"/>
    </w:rPr>
  </w:style>
  <w:style w:type="paragraph" w:styleId="8">
    <w:name w:val="heading 6"/>
    <w:basedOn w:val="1"/>
    <w:next w:val="1"/>
    <w:link w:val="69"/>
    <w:autoRedefine/>
    <w:qFormat/>
    <w:uiPriority w:val="0"/>
    <w:pPr>
      <w:keepNext/>
      <w:keepLines/>
      <w:spacing w:before="240" w:after="64" w:line="320" w:lineRule="auto"/>
      <w:outlineLvl w:val="5"/>
    </w:pPr>
    <w:rPr>
      <w:rFonts w:ascii="等线 Light" w:hAnsi="等线 Light" w:eastAsia="等线 Light"/>
      <w:b/>
      <w:bCs/>
      <w:sz w:val="24"/>
    </w:rPr>
  </w:style>
  <w:style w:type="paragraph" w:styleId="9">
    <w:name w:val="heading 7"/>
    <w:basedOn w:val="1"/>
    <w:next w:val="1"/>
    <w:link w:val="70"/>
    <w:autoRedefine/>
    <w:qFormat/>
    <w:uiPriority w:val="0"/>
    <w:pPr>
      <w:keepNext/>
      <w:keepLines/>
      <w:tabs>
        <w:tab w:val="left" w:pos="1296"/>
      </w:tabs>
      <w:spacing w:before="260" w:after="260" w:line="319" w:lineRule="auto"/>
      <w:outlineLvl w:val="6"/>
    </w:pPr>
    <w:rPr>
      <w:rFonts w:ascii="宋体" w:hAnsi="宋体"/>
      <w:b/>
      <w:bCs/>
      <w:sz w:val="24"/>
    </w:rPr>
  </w:style>
  <w:style w:type="paragraph" w:styleId="10">
    <w:name w:val="heading 8"/>
    <w:basedOn w:val="1"/>
    <w:next w:val="1"/>
    <w:link w:val="71"/>
    <w:autoRedefine/>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1">
    <w:name w:val="heading 9"/>
    <w:basedOn w:val="1"/>
    <w:next w:val="1"/>
    <w:link w:val="72"/>
    <w:autoRedefine/>
    <w:qFormat/>
    <w:uiPriority w:val="0"/>
    <w:pPr>
      <w:keepNext/>
      <w:keepLines/>
      <w:tabs>
        <w:tab w:val="left" w:pos="1584"/>
      </w:tabs>
      <w:spacing w:before="240" w:after="64" w:line="320" w:lineRule="auto"/>
      <w:ind w:left="1584" w:hanging="1584"/>
      <w:outlineLvl w:val="8"/>
    </w:pPr>
    <w:rPr>
      <w:rFonts w:ascii="Arial" w:hAnsi="Arial" w:eastAsia="黑体"/>
      <w:sz w:val="24"/>
      <w:szCs w:val="21"/>
    </w:rPr>
  </w:style>
  <w:style w:type="character" w:default="1" w:styleId="51">
    <w:name w:val="Default Paragraph Font"/>
    <w:semiHidden/>
    <w:unhideWhenUsed/>
    <w:qFormat/>
    <w:uiPriority w:val="1"/>
  </w:style>
  <w:style w:type="table" w:default="1" w:styleId="49">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78"/>
    <w:autoRedefine/>
    <w:qFormat/>
    <w:uiPriority w:val="0"/>
    <w:pPr>
      <w:spacing w:line="360" w:lineRule="auto"/>
    </w:pPr>
    <w:rPr>
      <w:rFonts w:ascii="Courier New" w:hAnsi="Courier New"/>
      <w:sz w:val="28"/>
    </w:rPr>
  </w:style>
  <w:style w:type="paragraph" w:styleId="12">
    <w:name w:val="toc 7"/>
    <w:basedOn w:val="1"/>
    <w:next w:val="1"/>
    <w:autoRedefine/>
    <w:qFormat/>
    <w:uiPriority w:val="39"/>
    <w:pPr>
      <w:ind w:left="1260"/>
      <w:jc w:val="left"/>
    </w:pPr>
    <w:rPr>
      <w:rFonts w:ascii="等线" w:eastAsia="等线"/>
      <w:sz w:val="18"/>
      <w:szCs w:val="18"/>
    </w:rPr>
  </w:style>
  <w:style w:type="paragraph" w:styleId="13">
    <w:name w:val="List Number"/>
    <w:basedOn w:val="1"/>
    <w:autoRedefine/>
    <w:qFormat/>
    <w:uiPriority w:val="0"/>
    <w:pPr>
      <w:tabs>
        <w:tab w:val="left" w:pos="845"/>
      </w:tabs>
      <w:adjustRightInd w:val="0"/>
      <w:spacing w:line="360" w:lineRule="auto"/>
      <w:ind w:left="845" w:hanging="420"/>
      <w:textAlignment w:val="baseline"/>
    </w:pPr>
    <w:rPr>
      <w:b/>
      <w:bCs/>
      <w:color w:val="000000"/>
      <w:kern w:val="0"/>
      <w:sz w:val="24"/>
      <w:szCs w:val="20"/>
    </w:rPr>
  </w:style>
  <w:style w:type="paragraph" w:styleId="14">
    <w:name w:val="Normal Indent"/>
    <w:basedOn w:val="1"/>
    <w:next w:val="15"/>
    <w:link w:val="73"/>
    <w:autoRedefine/>
    <w:qFormat/>
    <w:uiPriority w:val="0"/>
    <w:pPr>
      <w:autoSpaceDE w:val="0"/>
      <w:autoSpaceDN w:val="0"/>
      <w:adjustRightInd w:val="0"/>
      <w:ind w:firstLine="420"/>
      <w:jc w:val="left"/>
      <w:textAlignment w:val="baseline"/>
    </w:pPr>
    <w:rPr>
      <w:rFonts w:ascii="Courier New" w:eastAsia="Courier New"/>
      <w:kern w:val="0"/>
      <w:sz w:val="34"/>
      <w:szCs w:val="20"/>
    </w:rPr>
  </w:style>
  <w:style w:type="paragraph" w:customStyle="1" w:styleId="15">
    <w:name w:val="Default"/>
    <w:autoRedefine/>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styleId="16">
    <w:name w:val="caption"/>
    <w:basedOn w:val="1"/>
    <w:next w:val="1"/>
    <w:autoRedefine/>
    <w:qFormat/>
    <w:uiPriority w:val="35"/>
    <w:rPr>
      <w:rFonts w:ascii="Wingdings" w:hAnsi="Wingdings" w:eastAsia="文鼎CS中黑" w:cs="Wingdings"/>
      <w:sz w:val="20"/>
      <w:szCs w:val="20"/>
    </w:rPr>
  </w:style>
  <w:style w:type="paragraph" w:styleId="17">
    <w:name w:val="Document Map"/>
    <w:basedOn w:val="1"/>
    <w:link w:val="74"/>
    <w:autoRedefine/>
    <w:qFormat/>
    <w:uiPriority w:val="99"/>
    <w:pPr>
      <w:shd w:val="clear" w:color="auto" w:fill="000080"/>
    </w:pPr>
  </w:style>
  <w:style w:type="paragraph" w:styleId="18">
    <w:name w:val="annotation text"/>
    <w:basedOn w:val="1"/>
    <w:link w:val="75"/>
    <w:autoRedefine/>
    <w:qFormat/>
    <w:uiPriority w:val="99"/>
    <w:pPr>
      <w:jc w:val="left"/>
    </w:pPr>
  </w:style>
  <w:style w:type="paragraph" w:styleId="19">
    <w:name w:val="Salutation"/>
    <w:basedOn w:val="1"/>
    <w:next w:val="1"/>
    <w:link w:val="76"/>
    <w:autoRedefine/>
    <w:qFormat/>
    <w:uiPriority w:val="0"/>
  </w:style>
  <w:style w:type="paragraph" w:styleId="20">
    <w:name w:val="Body Text 3"/>
    <w:basedOn w:val="1"/>
    <w:link w:val="77"/>
    <w:autoRedefine/>
    <w:qFormat/>
    <w:uiPriority w:val="0"/>
    <w:rPr>
      <w:sz w:val="16"/>
      <w:szCs w:val="16"/>
    </w:rPr>
  </w:style>
  <w:style w:type="paragraph" w:styleId="21">
    <w:name w:val="Body Text Indent"/>
    <w:basedOn w:val="1"/>
    <w:link w:val="80"/>
    <w:autoRedefine/>
    <w:qFormat/>
    <w:uiPriority w:val="0"/>
    <w:pPr>
      <w:adjustRightInd w:val="0"/>
      <w:snapToGrid w:val="0"/>
      <w:spacing w:line="360" w:lineRule="auto"/>
      <w:ind w:firstLine="420" w:firstLineChars="200"/>
    </w:pPr>
  </w:style>
  <w:style w:type="paragraph" w:styleId="22">
    <w:name w:val="Block Text"/>
    <w:basedOn w:val="1"/>
    <w:autoRedefine/>
    <w:qFormat/>
    <w:uiPriority w:val="0"/>
    <w:pPr>
      <w:ind w:left="105" w:right="353" w:firstLine="720"/>
      <w:jc w:val="center"/>
    </w:pPr>
    <w:rPr>
      <w:rFonts w:eastAsia="楷体_GB2312"/>
      <w:sz w:val="24"/>
      <w:szCs w:val="20"/>
    </w:rPr>
  </w:style>
  <w:style w:type="paragraph" w:styleId="23">
    <w:name w:val="toc 5"/>
    <w:basedOn w:val="1"/>
    <w:next w:val="1"/>
    <w:autoRedefine/>
    <w:qFormat/>
    <w:uiPriority w:val="39"/>
    <w:pPr>
      <w:ind w:left="840"/>
      <w:jc w:val="left"/>
    </w:pPr>
    <w:rPr>
      <w:rFonts w:ascii="等线" w:eastAsia="等线"/>
      <w:sz w:val="18"/>
      <w:szCs w:val="18"/>
    </w:rPr>
  </w:style>
  <w:style w:type="paragraph" w:styleId="24">
    <w:name w:val="toc 3"/>
    <w:basedOn w:val="1"/>
    <w:next w:val="1"/>
    <w:autoRedefine/>
    <w:qFormat/>
    <w:uiPriority w:val="39"/>
    <w:pPr>
      <w:ind w:left="420"/>
      <w:jc w:val="left"/>
    </w:pPr>
    <w:rPr>
      <w:rFonts w:ascii="等线" w:eastAsia="等线"/>
      <w:i/>
      <w:iCs/>
      <w:sz w:val="20"/>
      <w:szCs w:val="20"/>
    </w:rPr>
  </w:style>
  <w:style w:type="paragraph" w:styleId="25">
    <w:name w:val="Plain Text"/>
    <w:basedOn w:val="1"/>
    <w:link w:val="81"/>
    <w:autoRedefine/>
    <w:qFormat/>
    <w:uiPriority w:val="99"/>
    <w:rPr>
      <w:rFonts w:ascii="Courier New" w:hAnsi="等线 Light" w:eastAsia="Courier New" w:cs="等线 Light"/>
      <w:szCs w:val="21"/>
    </w:rPr>
  </w:style>
  <w:style w:type="paragraph" w:styleId="26">
    <w:name w:val="toc 8"/>
    <w:basedOn w:val="1"/>
    <w:next w:val="1"/>
    <w:autoRedefine/>
    <w:qFormat/>
    <w:uiPriority w:val="39"/>
    <w:pPr>
      <w:ind w:left="1470"/>
      <w:jc w:val="left"/>
    </w:pPr>
    <w:rPr>
      <w:rFonts w:ascii="等线" w:eastAsia="等线"/>
      <w:sz w:val="18"/>
      <w:szCs w:val="18"/>
    </w:rPr>
  </w:style>
  <w:style w:type="paragraph" w:styleId="27">
    <w:name w:val="Date"/>
    <w:basedOn w:val="1"/>
    <w:next w:val="1"/>
    <w:link w:val="82"/>
    <w:autoRedefine/>
    <w:qFormat/>
    <w:uiPriority w:val="99"/>
    <w:pPr>
      <w:autoSpaceDE w:val="0"/>
      <w:autoSpaceDN w:val="0"/>
      <w:adjustRightInd w:val="0"/>
      <w:textAlignment w:val="baseline"/>
    </w:pPr>
    <w:rPr>
      <w:rFonts w:ascii="Courier New"/>
      <w:kern w:val="0"/>
      <w:sz w:val="28"/>
      <w:szCs w:val="20"/>
    </w:rPr>
  </w:style>
  <w:style w:type="paragraph" w:styleId="28">
    <w:name w:val="Body Text Indent 2"/>
    <w:basedOn w:val="1"/>
    <w:link w:val="83"/>
    <w:autoRedefine/>
    <w:qFormat/>
    <w:uiPriority w:val="0"/>
    <w:pPr>
      <w:spacing w:line="480" w:lineRule="exact"/>
      <w:ind w:left="810" w:firstLine="675"/>
    </w:pPr>
    <w:rPr>
      <w:rFonts w:eastAsia="SimSun-Identity-H"/>
      <w:sz w:val="30"/>
      <w:szCs w:val="20"/>
    </w:rPr>
  </w:style>
  <w:style w:type="paragraph" w:styleId="29">
    <w:name w:val="endnote text"/>
    <w:basedOn w:val="1"/>
    <w:link w:val="84"/>
    <w:autoRedefine/>
    <w:qFormat/>
    <w:uiPriority w:val="0"/>
    <w:pPr>
      <w:snapToGrid w:val="0"/>
      <w:jc w:val="left"/>
    </w:pPr>
  </w:style>
  <w:style w:type="paragraph" w:styleId="30">
    <w:name w:val="Balloon Text"/>
    <w:basedOn w:val="1"/>
    <w:link w:val="85"/>
    <w:autoRedefine/>
    <w:qFormat/>
    <w:uiPriority w:val="0"/>
    <w:rPr>
      <w:sz w:val="18"/>
      <w:szCs w:val="18"/>
    </w:rPr>
  </w:style>
  <w:style w:type="paragraph" w:styleId="31">
    <w:name w:val="footer"/>
    <w:basedOn w:val="1"/>
    <w:link w:val="86"/>
    <w:autoRedefine/>
    <w:qFormat/>
    <w:uiPriority w:val="99"/>
    <w:pPr>
      <w:tabs>
        <w:tab w:val="center" w:pos="4153"/>
        <w:tab w:val="right" w:pos="8306"/>
      </w:tabs>
      <w:snapToGrid w:val="0"/>
      <w:jc w:val="left"/>
    </w:pPr>
    <w:rPr>
      <w:rFonts w:eastAsia="Courier New"/>
      <w:sz w:val="18"/>
      <w:szCs w:val="18"/>
    </w:rPr>
  </w:style>
  <w:style w:type="paragraph" w:styleId="32">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39"/>
    <w:pPr>
      <w:spacing w:before="120" w:after="120"/>
      <w:jc w:val="left"/>
    </w:pPr>
    <w:rPr>
      <w:rFonts w:ascii="等线" w:eastAsia="等线"/>
      <w:b/>
      <w:bCs/>
      <w:caps/>
      <w:sz w:val="20"/>
      <w:szCs w:val="20"/>
    </w:rPr>
  </w:style>
  <w:style w:type="paragraph" w:styleId="34">
    <w:name w:val="toc 4"/>
    <w:basedOn w:val="1"/>
    <w:next w:val="1"/>
    <w:autoRedefine/>
    <w:qFormat/>
    <w:uiPriority w:val="39"/>
    <w:pPr>
      <w:ind w:left="630"/>
      <w:jc w:val="left"/>
    </w:pPr>
    <w:rPr>
      <w:rFonts w:ascii="等线" w:eastAsia="等线"/>
      <w:sz w:val="18"/>
      <w:szCs w:val="18"/>
    </w:rPr>
  </w:style>
  <w:style w:type="paragraph" w:styleId="35">
    <w:name w:val="index heading"/>
    <w:basedOn w:val="1"/>
    <w:next w:val="36"/>
    <w:autoRedefine/>
    <w:qFormat/>
    <w:uiPriority w:val="0"/>
    <w:rPr>
      <w:szCs w:val="20"/>
    </w:rPr>
  </w:style>
  <w:style w:type="paragraph" w:styleId="36">
    <w:name w:val="index 1"/>
    <w:basedOn w:val="1"/>
    <w:next w:val="1"/>
    <w:autoRedefine/>
    <w:qFormat/>
    <w:uiPriority w:val="0"/>
  </w:style>
  <w:style w:type="paragraph" w:styleId="37">
    <w:name w:val="Subtitle"/>
    <w:basedOn w:val="1"/>
    <w:next w:val="1"/>
    <w:link w:val="362"/>
    <w:autoRedefine/>
    <w:qFormat/>
    <w:uiPriority w:val="0"/>
    <w:pPr>
      <w:spacing w:before="240" w:after="60" w:line="312" w:lineRule="auto"/>
      <w:jc w:val="center"/>
      <w:outlineLvl w:val="1"/>
    </w:pPr>
    <w:rPr>
      <w:rFonts w:ascii="Cambria" w:hAnsi="Cambria"/>
      <w:b/>
      <w:bCs/>
      <w:kern w:val="28"/>
      <w:sz w:val="32"/>
      <w:szCs w:val="32"/>
    </w:rPr>
  </w:style>
  <w:style w:type="paragraph" w:styleId="38">
    <w:name w:val="footnote text"/>
    <w:basedOn w:val="1"/>
    <w:link w:val="88"/>
    <w:autoRedefine/>
    <w:qFormat/>
    <w:uiPriority w:val="0"/>
    <w:pPr>
      <w:snapToGrid w:val="0"/>
      <w:jc w:val="left"/>
    </w:pPr>
    <w:rPr>
      <w:sz w:val="18"/>
      <w:szCs w:val="20"/>
    </w:rPr>
  </w:style>
  <w:style w:type="paragraph" w:styleId="39">
    <w:name w:val="toc 6"/>
    <w:basedOn w:val="1"/>
    <w:next w:val="1"/>
    <w:autoRedefine/>
    <w:qFormat/>
    <w:uiPriority w:val="39"/>
    <w:pPr>
      <w:ind w:left="1050"/>
      <w:jc w:val="left"/>
    </w:pPr>
    <w:rPr>
      <w:rFonts w:ascii="等线" w:eastAsia="等线"/>
      <w:sz w:val="18"/>
      <w:szCs w:val="18"/>
    </w:rPr>
  </w:style>
  <w:style w:type="paragraph" w:styleId="40">
    <w:name w:val="Body Text Indent 3"/>
    <w:basedOn w:val="1"/>
    <w:link w:val="89"/>
    <w:autoRedefine/>
    <w:qFormat/>
    <w:uiPriority w:val="99"/>
    <w:pPr>
      <w:adjustRightInd w:val="0"/>
      <w:snapToGrid w:val="0"/>
      <w:spacing w:line="360" w:lineRule="auto"/>
      <w:ind w:firstLine="560" w:firstLineChars="200"/>
    </w:pPr>
    <w:rPr>
      <w:rFonts w:ascii="Courier New" w:hAnsi="Courier New"/>
      <w:sz w:val="28"/>
    </w:rPr>
  </w:style>
  <w:style w:type="paragraph" w:styleId="41">
    <w:name w:val="toc 2"/>
    <w:basedOn w:val="1"/>
    <w:next w:val="1"/>
    <w:autoRedefine/>
    <w:qFormat/>
    <w:uiPriority w:val="39"/>
    <w:pPr>
      <w:ind w:left="210"/>
      <w:jc w:val="left"/>
    </w:pPr>
    <w:rPr>
      <w:rFonts w:ascii="等线" w:eastAsia="等线"/>
      <w:smallCaps/>
      <w:sz w:val="20"/>
      <w:szCs w:val="20"/>
    </w:rPr>
  </w:style>
  <w:style w:type="paragraph" w:styleId="42">
    <w:name w:val="toc 9"/>
    <w:basedOn w:val="1"/>
    <w:next w:val="1"/>
    <w:autoRedefine/>
    <w:qFormat/>
    <w:uiPriority w:val="39"/>
    <w:pPr>
      <w:ind w:left="1680"/>
      <w:jc w:val="left"/>
    </w:pPr>
    <w:rPr>
      <w:rFonts w:ascii="等线" w:eastAsia="等线"/>
      <w:sz w:val="18"/>
      <w:szCs w:val="18"/>
    </w:rPr>
  </w:style>
  <w:style w:type="paragraph" w:styleId="43">
    <w:name w:val="Body Text 2"/>
    <w:basedOn w:val="1"/>
    <w:link w:val="79"/>
    <w:autoRedefine/>
    <w:qFormat/>
    <w:uiPriority w:val="0"/>
    <w:pPr>
      <w:spacing w:after="120" w:line="480" w:lineRule="auto"/>
    </w:pPr>
  </w:style>
  <w:style w:type="paragraph" w:styleId="44">
    <w:name w:val="Normal (Web)"/>
    <w:basedOn w:val="1"/>
    <w:autoRedefine/>
    <w:qFormat/>
    <w:uiPriority w:val="0"/>
    <w:pPr>
      <w:widowControl/>
      <w:spacing w:beforeAutospacing="1" w:afterAutospacing="1"/>
      <w:jc w:val="left"/>
    </w:pPr>
    <w:rPr>
      <w:rFonts w:ascii="Courier New" w:hAnsi="Courier New"/>
      <w:color w:val="000000"/>
      <w:kern w:val="0"/>
      <w:sz w:val="24"/>
    </w:rPr>
  </w:style>
  <w:style w:type="paragraph" w:styleId="45">
    <w:name w:val="Title"/>
    <w:basedOn w:val="1"/>
    <w:next w:val="1"/>
    <w:link w:val="90"/>
    <w:autoRedefine/>
    <w:qFormat/>
    <w:uiPriority w:val="0"/>
    <w:pPr>
      <w:jc w:val="center"/>
      <w:outlineLvl w:val="0"/>
    </w:pPr>
    <w:rPr>
      <w:rFonts w:ascii="Wingdings" w:hAnsi="Wingdings"/>
      <w:b/>
      <w:bCs/>
      <w:sz w:val="32"/>
      <w:szCs w:val="32"/>
    </w:rPr>
  </w:style>
  <w:style w:type="paragraph" w:styleId="46">
    <w:name w:val="annotation subject"/>
    <w:basedOn w:val="18"/>
    <w:next w:val="18"/>
    <w:link w:val="91"/>
    <w:autoRedefine/>
    <w:qFormat/>
    <w:uiPriority w:val="0"/>
    <w:rPr>
      <w:b/>
      <w:bCs/>
    </w:rPr>
  </w:style>
  <w:style w:type="paragraph" w:styleId="47">
    <w:name w:val="Body Text First Indent"/>
    <w:basedOn w:val="2"/>
    <w:link w:val="92"/>
    <w:autoRedefine/>
    <w:qFormat/>
    <w:uiPriority w:val="99"/>
    <w:pPr>
      <w:spacing w:line="240" w:lineRule="auto"/>
      <w:ind w:firstLine="420" w:firstLineChars="100"/>
    </w:pPr>
    <w:rPr>
      <w:rFonts w:ascii="宋体" w:hAnsi="宋体"/>
      <w:sz w:val="21"/>
    </w:rPr>
  </w:style>
  <w:style w:type="paragraph" w:styleId="48">
    <w:name w:val="Body Text First Indent 2"/>
    <w:basedOn w:val="21"/>
    <w:link w:val="93"/>
    <w:autoRedefine/>
    <w:qFormat/>
    <w:uiPriority w:val="0"/>
    <w:pPr>
      <w:adjustRightInd/>
      <w:snapToGrid/>
      <w:spacing w:after="120" w:line="240" w:lineRule="auto"/>
      <w:ind w:left="420" w:leftChars="200"/>
    </w:pPr>
  </w:style>
  <w:style w:type="table" w:styleId="50">
    <w:name w:val="Table Grid"/>
    <w:basedOn w:val="49"/>
    <w:autoRedefine/>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autoRedefine/>
    <w:qFormat/>
    <w:uiPriority w:val="0"/>
    <w:rPr>
      <w:rFonts w:ascii="仿宋" w:hAnsi="仿宋" w:eastAsia="Courier New"/>
      <w:b/>
      <w:bCs/>
      <w:spacing w:val="10"/>
      <w:sz w:val="24"/>
      <w:lang w:val="en-US" w:eastAsia="zh-CN" w:bidi="ar-SA"/>
    </w:rPr>
  </w:style>
  <w:style w:type="character" w:styleId="53">
    <w:name w:val="endnote reference"/>
    <w:autoRedefine/>
    <w:qFormat/>
    <w:uiPriority w:val="0"/>
    <w:rPr>
      <w:vertAlign w:val="superscript"/>
    </w:rPr>
  </w:style>
  <w:style w:type="character" w:styleId="54">
    <w:name w:val="page number"/>
    <w:autoRedefine/>
    <w:qFormat/>
    <w:uiPriority w:val="0"/>
  </w:style>
  <w:style w:type="character" w:styleId="55">
    <w:name w:val="FollowedHyperlink"/>
    <w:autoRedefine/>
    <w:qFormat/>
    <w:uiPriority w:val="0"/>
    <w:rPr>
      <w:color w:val="333333"/>
      <w:u w:val="none"/>
    </w:rPr>
  </w:style>
  <w:style w:type="character" w:styleId="56">
    <w:name w:val="Emphasis"/>
    <w:autoRedefine/>
    <w:qFormat/>
    <w:uiPriority w:val="0"/>
    <w:rPr>
      <w:i/>
      <w:iCs/>
    </w:rPr>
  </w:style>
  <w:style w:type="character" w:styleId="57">
    <w:name w:val="HTML Definition"/>
    <w:autoRedefine/>
    <w:qFormat/>
    <w:uiPriority w:val="0"/>
  </w:style>
  <w:style w:type="character" w:styleId="58">
    <w:name w:val="HTML Acronym"/>
    <w:autoRedefine/>
    <w:qFormat/>
    <w:uiPriority w:val="0"/>
  </w:style>
  <w:style w:type="character" w:styleId="59">
    <w:name w:val="HTML Variable"/>
    <w:autoRedefine/>
    <w:qFormat/>
    <w:uiPriority w:val="0"/>
  </w:style>
  <w:style w:type="character" w:styleId="60">
    <w:name w:val="Hyperlink"/>
    <w:autoRedefine/>
    <w:qFormat/>
    <w:uiPriority w:val="99"/>
    <w:rPr>
      <w:color w:val="333333"/>
      <w:u w:val="none"/>
    </w:rPr>
  </w:style>
  <w:style w:type="character" w:styleId="61">
    <w:name w:val="HTML Code"/>
    <w:autoRedefine/>
    <w:qFormat/>
    <w:uiPriority w:val="0"/>
    <w:rPr>
      <w:rFonts w:ascii="Courier New" w:hAnsi="Courier New"/>
      <w:sz w:val="20"/>
    </w:rPr>
  </w:style>
  <w:style w:type="character" w:styleId="62">
    <w:name w:val="annotation reference"/>
    <w:autoRedefine/>
    <w:qFormat/>
    <w:uiPriority w:val="99"/>
    <w:rPr>
      <w:sz w:val="21"/>
      <w:szCs w:val="21"/>
    </w:rPr>
  </w:style>
  <w:style w:type="character" w:styleId="63">
    <w:name w:val="HTML Cite"/>
    <w:autoRedefine/>
    <w:qFormat/>
    <w:uiPriority w:val="0"/>
  </w:style>
  <w:style w:type="paragraph" w:customStyle="1" w:styleId="64">
    <w:name w:val="正文缩进1"/>
    <w:basedOn w:val="1"/>
    <w:next w:val="1"/>
    <w:autoRedefine/>
    <w:qFormat/>
    <w:uiPriority w:val="0"/>
    <w:pPr>
      <w:ind w:firstLine="420"/>
    </w:pPr>
    <w:rPr>
      <w:szCs w:val="20"/>
    </w:rPr>
  </w:style>
  <w:style w:type="character" w:customStyle="1" w:styleId="65">
    <w:name w:val="标题 2 字符"/>
    <w:link w:val="5"/>
    <w:autoRedefine/>
    <w:qFormat/>
    <w:uiPriority w:val="9"/>
    <w:rPr>
      <w:rFonts w:ascii="Wingdings" w:hAnsi="Wingdings" w:eastAsia="文鼎CS中黑"/>
      <w:b/>
      <w:bCs/>
      <w:kern w:val="2"/>
      <w:sz w:val="32"/>
      <w:szCs w:val="32"/>
    </w:rPr>
  </w:style>
  <w:style w:type="character" w:customStyle="1" w:styleId="66">
    <w:name w:val="标题 3 字符"/>
    <w:link w:val="4"/>
    <w:autoRedefine/>
    <w:qFormat/>
    <w:uiPriority w:val="9"/>
    <w:rPr>
      <w:rFonts w:eastAsia="Courier New"/>
      <w:b/>
      <w:bCs/>
      <w:kern w:val="2"/>
      <w:sz w:val="32"/>
      <w:szCs w:val="32"/>
      <w:lang w:val="en-US" w:eastAsia="zh-CN" w:bidi="ar-SA"/>
    </w:rPr>
  </w:style>
  <w:style w:type="character" w:customStyle="1" w:styleId="67">
    <w:name w:val="标题 4 字符"/>
    <w:link w:val="6"/>
    <w:autoRedefine/>
    <w:qFormat/>
    <w:uiPriority w:val="9"/>
    <w:rPr>
      <w:rFonts w:ascii="Courier New" w:hAnsi="Courier New"/>
      <w:bCs/>
      <w:kern w:val="2"/>
      <w:sz w:val="28"/>
      <w:szCs w:val="24"/>
    </w:rPr>
  </w:style>
  <w:style w:type="character" w:customStyle="1" w:styleId="68">
    <w:name w:val="标题 5 字符"/>
    <w:link w:val="7"/>
    <w:autoRedefine/>
    <w:qFormat/>
    <w:uiPriority w:val="0"/>
    <w:rPr>
      <w:rFonts w:ascii="Courier New" w:hAnsi="Courier New"/>
      <w:b/>
      <w:kern w:val="2"/>
      <w:sz w:val="44"/>
      <w:szCs w:val="24"/>
    </w:rPr>
  </w:style>
  <w:style w:type="character" w:customStyle="1" w:styleId="69">
    <w:name w:val="标题 6 字符"/>
    <w:link w:val="8"/>
    <w:autoRedefine/>
    <w:qFormat/>
    <w:uiPriority w:val="0"/>
    <w:rPr>
      <w:rFonts w:ascii="等线 Light" w:hAnsi="等线 Light" w:eastAsia="等线 Light" w:cs="Times New Roman"/>
      <w:b/>
      <w:bCs/>
      <w:kern w:val="2"/>
      <w:sz w:val="24"/>
      <w:szCs w:val="24"/>
    </w:rPr>
  </w:style>
  <w:style w:type="character" w:customStyle="1" w:styleId="70">
    <w:name w:val="标题 7 字符"/>
    <w:link w:val="9"/>
    <w:autoRedefine/>
    <w:qFormat/>
    <w:uiPriority w:val="0"/>
    <w:rPr>
      <w:rFonts w:ascii="宋体" w:hAnsi="宋体"/>
      <w:b/>
      <w:bCs/>
      <w:kern w:val="2"/>
      <w:sz w:val="24"/>
      <w:szCs w:val="24"/>
    </w:rPr>
  </w:style>
  <w:style w:type="character" w:customStyle="1" w:styleId="71">
    <w:name w:val="标题 8 字符"/>
    <w:link w:val="10"/>
    <w:autoRedefine/>
    <w:qFormat/>
    <w:uiPriority w:val="0"/>
    <w:rPr>
      <w:rFonts w:ascii="Arial" w:hAnsi="Arial" w:eastAsia="黑体"/>
      <w:kern w:val="2"/>
      <w:sz w:val="24"/>
      <w:szCs w:val="24"/>
    </w:rPr>
  </w:style>
  <w:style w:type="character" w:customStyle="1" w:styleId="72">
    <w:name w:val="标题 9 字符"/>
    <w:link w:val="11"/>
    <w:autoRedefine/>
    <w:qFormat/>
    <w:uiPriority w:val="0"/>
    <w:rPr>
      <w:rFonts w:ascii="Arial" w:hAnsi="Arial" w:eastAsia="黑体"/>
      <w:kern w:val="2"/>
      <w:sz w:val="24"/>
      <w:szCs w:val="21"/>
    </w:rPr>
  </w:style>
  <w:style w:type="character" w:customStyle="1" w:styleId="73">
    <w:name w:val="正文缩进 字符"/>
    <w:link w:val="14"/>
    <w:autoRedefine/>
    <w:qFormat/>
    <w:uiPriority w:val="0"/>
    <w:rPr>
      <w:rFonts w:ascii="Courier New" w:eastAsia="Courier New"/>
      <w:sz w:val="34"/>
      <w:lang w:val="en-US" w:eastAsia="zh-CN" w:bidi="ar-SA"/>
    </w:rPr>
  </w:style>
  <w:style w:type="character" w:customStyle="1" w:styleId="74">
    <w:name w:val="文档结构图 字符"/>
    <w:link w:val="17"/>
    <w:autoRedefine/>
    <w:qFormat/>
    <w:uiPriority w:val="99"/>
    <w:rPr>
      <w:kern w:val="2"/>
      <w:sz w:val="21"/>
      <w:szCs w:val="24"/>
      <w:shd w:val="clear" w:color="auto" w:fill="000080"/>
    </w:rPr>
  </w:style>
  <w:style w:type="character" w:customStyle="1" w:styleId="75">
    <w:name w:val="批注文字 字符"/>
    <w:link w:val="18"/>
    <w:autoRedefine/>
    <w:qFormat/>
    <w:uiPriority w:val="99"/>
    <w:rPr>
      <w:kern w:val="2"/>
      <w:sz w:val="21"/>
      <w:szCs w:val="24"/>
    </w:rPr>
  </w:style>
  <w:style w:type="character" w:customStyle="1" w:styleId="76">
    <w:name w:val="称呼 字符"/>
    <w:link w:val="19"/>
    <w:autoRedefine/>
    <w:qFormat/>
    <w:uiPriority w:val="0"/>
    <w:rPr>
      <w:kern w:val="2"/>
      <w:sz w:val="21"/>
      <w:szCs w:val="24"/>
    </w:rPr>
  </w:style>
  <w:style w:type="character" w:customStyle="1" w:styleId="77">
    <w:name w:val="正文文本 3 字符"/>
    <w:link w:val="20"/>
    <w:autoRedefine/>
    <w:qFormat/>
    <w:uiPriority w:val="0"/>
    <w:rPr>
      <w:kern w:val="2"/>
      <w:sz w:val="16"/>
      <w:szCs w:val="16"/>
    </w:rPr>
  </w:style>
  <w:style w:type="character" w:customStyle="1" w:styleId="78">
    <w:name w:val="正文文本 字符"/>
    <w:link w:val="2"/>
    <w:autoRedefine/>
    <w:qFormat/>
    <w:uiPriority w:val="0"/>
    <w:rPr>
      <w:rFonts w:ascii="Courier New" w:hAnsi="Courier New"/>
      <w:kern w:val="2"/>
      <w:sz w:val="28"/>
      <w:szCs w:val="24"/>
    </w:rPr>
  </w:style>
  <w:style w:type="character" w:customStyle="1" w:styleId="79">
    <w:name w:val="正文文本 2 字符"/>
    <w:link w:val="43"/>
    <w:autoRedefine/>
    <w:qFormat/>
    <w:uiPriority w:val="0"/>
    <w:rPr>
      <w:kern w:val="2"/>
      <w:sz w:val="21"/>
      <w:szCs w:val="24"/>
    </w:rPr>
  </w:style>
  <w:style w:type="character" w:customStyle="1" w:styleId="80">
    <w:name w:val="正文文本缩进 字符"/>
    <w:link w:val="21"/>
    <w:autoRedefine/>
    <w:qFormat/>
    <w:uiPriority w:val="0"/>
    <w:rPr>
      <w:kern w:val="2"/>
      <w:sz w:val="21"/>
      <w:szCs w:val="24"/>
    </w:rPr>
  </w:style>
  <w:style w:type="character" w:customStyle="1" w:styleId="81">
    <w:name w:val="纯文本 字符1"/>
    <w:link w:val="25"/>
    <w:autoRedefine/>
    <w:qFormat/>
    <w:uiPriority w:val="99"/>
    <w:rPr>
      <w:rFonts w:ascii="Courier New" w:hAnsi="等线 Light" w:eastAsia="Courier New" w:cs="等线 Light"/>
      <w:kern w:val="2"/>
      <w:sz w:val="21"/>
      <w:szCs w:val="21"/>
      <w:lang w:val="en-US" w:eastAsia="zh-CN" w:bidi="ar-SA"/>
    </w:rPr>
  </w:style>
  <w:style w:type="character" w:customStyle="1" w:styleId="82">
    <w:name w:val="日期 字符"/>
    <w:link w:val="27"/>
    <w:autoRedefine/>
    <w:qFormat/>
    <w:uiPriority w:val="99"/>
    <w:rPr>
      <w:rFonts w:ascii="Courier New"/>
      <w:sz w:val="28"/>
    </w:rPr>
  </w:style>
  <w:style w:type="character" w:customStyle="1" w:styleId="83">
    <w:name w:val="正文文本缩进 2 字符"/>
    <w:link w:val="28"/>
    <w:autoRedefine/>
    <w:qFormat/>
    <w:uiPriority w:val="0"/>
    <w:rPr>
      <w:rFonts w:eastAsia="SimSun-Identity-H"/>
      <w:kern w:val="2"/>
      <w:sz w:val="30"/>
    </w:rPr>
  </w:style>
  <w:style w:type="character" w:customStyle="1" w:styleId="84">
    <w:name w:val="尾注文本 字符"/>
    <w:link w:val="29"/>
    <w:autoRedefine/>
    <w:qFormat/>
    <w:uiPriority w:val="0"/>
    <w:rPr>
      <w:kern w:val="2"/>
      <w:sz w:val="21"/>
      <w:szCs w:val="24"/>
    </w:rPr>
  </w:style>
  <w:style w:type="character" w:customStyle="1" w:styleId="85">
    <w:name w:val="批注框文本 字符"/>
    <w:link w:val="30"/>
    <w:autoRedefine/>
    <w:qFormat/>
    <w:uiPriority w:val="0"/>
    <w:rPr>
      <w:kern w:val="2"/>
      <w:sz w:val="18"/>
      <w:szCs w:val="18"/>
    </w:rPr>
  </w:style>
  <w:style w:type="character" w:customStyle="1" w:styleId="86">
    <w:name w:val="页脚 字符1"/>
    <w:link w:val="31"/>
    <w:autoRedefine/>
    <w:qFormat/>
    <w:uiPriority w:val="99"/>
    <w:rPr>
      <w:rFonts w:eastAsia="Courier New"/>
      <w:kern w:val="2"/>
      <w:sz w:val="18"/>
      <w:szCs w:val="18"/>
      <w:lang w:val="en-US" w:eastAsia="zh-CN" w:bidi="ar-SA"/>
    </w:rPr>
  </w:style>
  <w:style w:type="character" w:customStyle="1" w:styleId="87">
    <w:name w:val="页眉 字符"/>
    <w:link w:val="32"/>
    <w:autoRedefine/>
    <w:qFormat/>
    <w:uiPriority w:val="99"/>
    <w:rPr>
      <w:kern w:val="2"/>
      <w:sz w:val="18"/>
      <w:szCs w:val="18"/>
    </w:rPr>
  </w:style>
  <w:style w:type="character" w:customStyle="1" w:styleId="88">
    <w:name w:val="脚注文本 字符"/>
    <w:link w:val="38"/>
    <w:autoRedefine/>
    <w:qFormat/>
    <w:uiPriority w:val="0"/>
    <w:rPr>
      <w:kern w:val="2"/>
      <w:sz w:val="18"/>
    </w:rPr>
  </w:style>
  <w:style w:type="character" w:customStyle="1" w:styleId="89">
    <w:name w:val="正文文本缩进 3 字符"/>
    <w:link w:val="40"/>
    <w:autoRedefine/>
    <w:qFormat/>
    <w:uiPriority w:val="99"/>
    <w:rPr>
      <w:rFonts w:ascii="Courier New" w:hAnsi="Courier New"/>
      <w:kern w:val="2"/>
      <w:sz w:val="28"/>
      <w:szCs w:val="24"/>
    </w:rPr>
  </w:style>
  <w:style w:type="character" w:customStyle="1" w:styleId="90">
    <w:name w:val="标题 字符"/>
    <w:link w:val="45"/>
    <w:autoRedefine/>
    <w:qFormat/>
    <w:uiPriority w:val="0"/>
    <w:rPr>
      <w:rFonts w:ascii="Wingdings" w:hAnsi="Wingdings" w:cs="Wingdings"/>
      <w:b/>
      <w:bCs/>
      <w:kern w:val="2"/>
      <w:sz w:val="32"/>
      <w:szCs w:val="32"/>
    </w:rPr>
  </w:style>
  <w:style w:type="character" w:customStyle="1" w:styleId="91">
    <w:name w:val="批注主题 字符"/>
    <w:link w:val="46"/>
    <w:autoRedefine/>
    <w:qFormat/>
    <w:uiPriority w:val="0"/>
    <w:rPr>
      <w:b/>
      <w:bCs/>
      <w:kern w:val="2"/>
      <w:sz w:val="21"/>
      <w:szCs w:val="24"/>
    </w:rPr>
  </w:style>
  <w:style w:type="character" w:customStyle="1" w:styleId="92">
    <w:name w:val="正文首行缩进 字符"/>
    <w:link w:val="47"/>
    <w:autoRedefine/>
    <w:qFormat/>
    <w:uiPriority w:val="99"/>
    <w:rPr>
      <w:rFonts w:ascii="宋体" w:hAnsi="宋体"/>
      <w:kern w:val="2"/>
      <w:sz w:val="21"/>
      <w:szCs w:val="24"/>
    </w:rPr>
  </w:style>
  <w:style w:type="character" w:customStyle="1" w:styleId="93">
    <w:name w:val="正文首行缩进 2 字符"/>
    <w:link w:val="48"/>
    <w:autoRedefine/>
    <w:qFormat/>
    <w:uiPriority w:val="0"/>
  </w:style>
  <w:style w:type="character" w:customStyle="1" w:styleId="94">
    <w:name w:val="标题 1 字符"/>
    <w:autoRedefine/>
    <w:qFormat/>
    <w:uiPriority w:val="9"/>
    <w:rPr>
      <w:rFonts w:eastAsia="文鼎CS中黑"/>
      <w:b/>
      <w:bCs/>
      <w:kern w:val="44"/>
      <w:sz w:val="52"/>
      <w:szCs w:val="44"/>
    </w:rPr>
  </w:style>
  <w:style w:type="character" w:customStyle="1" w:styleId="95">
    <w:name w:val="wen"/>
    <w:autoRedefine/>
    <w:qFormat/>
    <w:uiPriority w:val="0"/>
    <w:rPr>
      <w:color w:val="FFFFFF"/>
      <w:shd w:val="clear" w:color="auto" w:fill="24A8F6"/>
    </w:rPr>
  </w:style>
  <w:style w:type="character" w:customStyle="1" w:styleId="96">
    <w:name w:val="wlwt"/>
    <w:autoRedefine/>
    <w:qFormat/>
    <w:uiPriority w:val="0"/>
    <w:rPr>
      <w:color w:val="24A8F6"/>
    </w:rPr>
  </w:style>
  <w:style w:type="character" w:customStyle="1" w:styleId="97">
    <w:name w:val="font11"/>
    <w:autoRedefine/>
    <w:qFormat/>
    <w:uiPriority w:val="0"/>
    <w:rPr>
      <w:rFonts w:ascii="Calibri" w:hAnsi="Calibri" w:cs="Calibri"/>
      <w:color w:val="000000"/>
      <w:sz w:val="24"/>
      <w:szCs w:val="24"/>
      <w:u w:val="none"/>
    </w:rPr>
  </w:style>
  <w:style w:type="character" w:customStyle="1" w:styleId="98">
    <w:name w:val="l-btn-icon-right"/>
    <w:autoRedefine/>
    <w:qFormat/>
    <w:uiPriority w:val="0"/>
  </w:style>
  <w:style w:type="character" w:customStyle="1" w:styleId="99">
    <w:name w:val="H4 Char"/>
    <w:autoRedefine/>
    <w:qFormat/>
    <w:uiPriority w:val="0"/>
    <w:rPr>
      <w:rFonts w:ascii="Wingdings" w:hAnsi="Wingdings" w:eastAsia="文鼎CS中黑"/>
      <w:b/>
      <w:sz w:val="28"/>
      <w:lang w:val="en-US" w:eastAsia="zh-CN"/>
    </w:rPr>
  </w:style>
  <w:style w:type="character" w:customStyle="1" w:styleId="100">
    <w:name w:val="l-btn-text"/>
    <w:autoRedefine/>
    <w:qFormat/>
    <w:uiPriority w:val="0"/>
    <w:rPr>
      <w:vertAlign w:val="baseline"/>
    </w:rPr>
  </w:style>
  <w:style w:type="character" w:customStyle="1" w:styleId="101">
    <w:name w:val="l-btn-left1"/>
    <w:autoRedefine/>
    <w:qFormat/>
    <w:uiPriority w:val="0"/>
  </w:style>
  <w:style w:type="character" w:customStyle="1" w:styleId="102">
    <w:name w:val="z-窗体顶端 Char1"/>
    <w:link w:val="103"/>
    <w:autoRedefine/>
    <w:qFormat/>
    <w:uiPriority w:val="34"/>
    <w:rPr>
      <w:kern w:val="2"/>
      <w:sz w:val="21"/>
      <w:szCs w:val="24"/>
    </w:rPr>
  </w:style>
  <w:style w:type="paragraph" w:customStyle="1" w:styleId="103">
    <w:name w:val="_Style 99"/>
    <w:basedOn w:val="1"/>
    <w:link w:val="102"/>
    <w:autoRedefine/>
    <w:qFormat/>
    <w:uiPriority w:val="34"/>
    <w:pPr>
      <w:ind w:firstLine="420" w:firstLineChars="200"/>
    </w:pPr>
  </w:style>
  <w:style w:type="character" w:customStyle="1" w:styleId="104">
    <w:name w:val="正文文本 2 字符1"/>
    <w:autoRedefine/>
    <w:qFormat/>
    <w:uiPriority w:val="0"/>
    <w:rPr>
      <w:kern w:val="2"/>
      <w:sz w:val="21"/>
      <w:szCs w:val="24"/>
    </w:rPr>
  </w:style>
  <w:style w:type="character" w:customStyle="1" w:styleId="105">
    <w:name w:val="l-btn-icon-left"/>
    <w:autoRedefine/>
    <w:qFormat/>
    <w:uiPriority w:val="0"/>
  </w:style>
  <w:style w:type="character" w:customStyle="1" w:styleId="106">
    <w:name w:val="未处理的提及1"/>
    <w:autoRedefine/>
    <w:unhideWhenUsed/>
    <w:qFormat/>
    <w:uiPriority w:val="99"/>
    <w:rPr>
      <w:color w:val="605E5C"/>
      <w:shd w:val="clear" w:color="auto" w:fill="E1DFDD"/>
    </w:rPr>
  </w:style>
  <w:style w:type="character" w:customStyle="1" w:styleId="107">
    <w:name w:val="apple-converted-space"/>
    <w:autoRedefine/>
    <w:qFormat/>
    <w:uiPriority w:val="0"/>
  </w:style>
  <w:style w:type="character" w:customStyle="1" w:styleId="108">
    <w:name w:val="text91"/>
    <w:autoRedefine/>
    <w:qFormat/>
    <w:uiPriority w:val="0"/>
    <w:rPr>
      <w:sz w:val="18"/>
      <w:szCs w:val="18"/>
      <w:u w:val="none"/>
    </w:rPr>
  </w:style>
  <w:style w:type="character" w:customStyle="1" w:styleId="109">
    <w:name w:val="正文缩进 Char Char1"/>
    <w:autoRedefine/>
    <w:qFormat/>
    <w:uiPriority w:val="0"/>
    <w:rPr>
      <w:rFonts w:ascii="Courier New" w:eastAsia="Courier New"/>
      <w:sz w:val="34"/>
      <w:lang w:val="en-US" w:eastAsia="zh-CN" w:bidi="ar-SA"/>
    </w:rPr>
  </w:style>
  <w:style w:type="character" w:customStyle="1" w:styleId="110">
    <w:name w:val="l-btn-left2"/>
    <w:autoRedefine/>
    <w:qFormat/>
    <w:uiPriority w:val="0"/>
  </w:style>
  <w:style w:type="character" w:customStyle="1" w:styleId="111">
    <w:name w:val="fontp1"/>
    <w:autoRedefine/>
    <w:qFormat/>
    <w:uiPriority w:val="0"/>
    <w:rPr>
      <w:rFonts w:hint="eastAsia" w:ascii="Courier New" w:hAnsi="Courier New" w:eastAsia="Courier New"/>
      <w:sz w:val="18"/>
      <w:szCs w:val="18"/>
    </w:rPr>
  </w:style>
  <w:style w:type="character" w:customStyle="1" w:styleId="112">
    <w:name w:val="纯文本 Char2"/>
    <w:autoRedefine/>
    <w:qFormat/>
    <w:locked/>
    <w:uiPriority w:val="0"/>
    <w:rPr>
      <w:rFonts w:ascii="Cambria Math" w:hAnsi="仿宋_GB2312" w:eastAsia="Cambria Math" w:cs="仿宋_GB2312"/>
      <w:sz w:val="21"/>
      <w:szCs w:val="21"/>
    </w:rPr>
  </w:style>
  <w:style w:type="character" w:customStyle="1" w:styleId="113">
    <w:name w:val="font91"/>
    <w:autoRedefine/>
    <w:qFormat/>
    <w:uiPriority w:val="0"/>
    <w:rPr>
      <w:rFonts w:hint="eastAsia" w:ascii="宋体" w:hAnsi="宋体" w:eastAsia="宋体" w:cs="宋体"/>
      <w:color w:val="000000"/>
      <w:sz w:val="24"/>
      <w:szCs w:val="24"/>
      <w:u w:val="none"/>
    </w:rPr>
  </w:style>
  <w:style w:type="character" w:customStyle="1" w:styleId="114">
    <w:name w:val="纯文本 字符"/>
    <w:autoRedefine/>
    <w:qFormat/>
    <w:uiPriority w:val="0"/>
    <w:rPr>
      <w:rFonts w:ascii="Courier New" w:hAnsi="等线 Light" w:cs="等线 Light"/>
      <w:kern w:val="2"/>
      <w:sz w:val="21"/>
      <w:szCs w:val="21"/>
    </w:rPr>
  </w:style>
  <w:style w:type="character" w:customStyle="1" w:styleId="115">
    <w:name w:val="正文模版 Char Char"/>
    <w:link w:val="116"/>
    <w:autoRedefine/>
    <w:qFormat/>
    <w:uiPriority w:val="0"/>
    <w:rPr>
      <w:sz w:val="24"/>
    </w:rPr>
  </w:style>
  <w:style w:type="paragraph" w:customStyle="1" w:styleId="116">
    <w:name w:val="正文模版"/>
    <w:basedOn w:val="1"/>
    <w:link w:val="115"/>
    <w:autoRedefine/>
    <w:qFormat/>
    <w:uiPriority w:val="0"/>
    <w:pPr>
      <w:spacing w:line="360" w:lineRule="auto"/>
      <w:ind w:firstLine="480" w:firstLineChars="200"/>
    </w:pPr>
    <w:rPr>
      <w:kern w:val="0"/>
      <w:sz w:val="24"/>
      <w:szCs w:val="20"/>
    </w:rPr>
  </w:style>
  <w:style w:type="character" w:customStyle="1" w:styleId="117">
    <w:name w:val="font21"/>
    <w:autoRedefine/>
    <w:qFormat/>
    <w:uiPriority w:val="0"/>
    <w:rPr>
      <w:rFonts w:hint="eastAsia" w:ascii="宋体" w:hAnsi="宋体" w:eastAsia="宋体" w:cs="宋体"/>
      <w:color w:val="000000"/>
      <w:sz w:val="24"/>
      <w:szCs w:val="24"/>
      <w:u w:val="none"/>
    </w:rPr>
  </w:style>
  <w:style w:type="character" w:customStyle="1" w:styleId="118">
    <w:name w:val="z-窗体顶端 Char"/>
    <w:link w:val="119"/>
    <w:autoRedefine/>
    <w:qFormat/>
    <w:uiPriority w:val="34"/>
    <w:rPr>
      <w:rFonts w:ascii="Times New Roman" w:hAnsi="Times New Roman" w:eastAsia="宋体" w:cs="Times New Roman"/>
      <w:kern w:val="2"/>
      <w:sz w:val="21"/>
      <w:szCs w:val="24"/>
    </w:rPr>
  </w:style>
  <w:style w:type="paragraph" w:customStyle="1" w:styleId="119">
    <w:name w:val="z-窗体顶端1"/>
    <w:basedOn w:val="1"/>
    <w:link w:val="118"/>
    <w:autoRedefine/>
    <w:qFormat/>
    <w:uiPriority w:val="34"/>
    <w:pPr>
      <w:tabs>
        <w:tab w:val="left" w:pos="1276"/>
      </w:tabs>
      <w:spacing w:line="360" w:lineRule="auto"/>
      <w:ind w:firstLine="420" w:firstLineChars="200"/>
    </w:pPr>
  </w:style>
  <w:style w:type="character" w:customStyle="1" w:styleId="120">
    <w:name w:val="font41"/>
    <w:autoRedefine/>
    <w:qFormat/>
    <w:uiPriority w:val="0"/>
    <w:rPr>
      <w:rFonts w:hint="default" w:ascii="Calibri" w:hAnsi="Calibri" w:cs="Calibri"/>
      <w:color w:val="000000"/>
      <w:sz w:val="24"/>
      <w:szCs w:val="24"/>
      <w:u w:val="none"/>
    </w:rPr>
  </w:style>
  <w:style w:type="character" w:customStyle="1" w:styleId="121">
    <w:name w:val="纯文本 Char1"/>
    <w:autoRedefine/>
    <w:qFormat/>
    <w:uiPriority w:val="0"/>
    <w:rPr>
      <w:rFonts w:ascii="Courier New" w:hAnsi="等线 Light" w:eastAsia="Courier New" w:cs="等线 Light"/>
      <w:kern w:val="2"/>
      <w:sz w:val="21"/>
      <w:szCs w:val="21"/>
      <w:lang w:val="en-US" w:eastAsia="zh-CN" w:bidi="ar-SA"/>
    </w:rPr>
  </w:style>
  <w:style w:type="character" w:customStyle="1" w:styleId="122">
    <w:name w:val="font71"/>
    <w:basedOn w:val="51"/>
    <w:autoRedefine/>
    <w:qFormat/>
    <w:uiPriority w:val="0"/>
    <w:rPr>
      <w:rFonts w:hint="eastAsia" w:ascii="宋体" w:hAnsi="宋体" w:eastAsia="宋体" w:cs="宋体"/>
      <w:color w:val="000000"/>
      <w:sz w:val="24"/>
      <w:szCs w:val="24"/>
      <w:u w:val="none"/>
    </w:rPr>
  </w:style>
  <w:style w:type="character" w:customStyle="1" w:styleId="123">
    <w:name w:val="font31"/>
    <w:autoRedefine/>
    <w:qFormat/>
    <w:uiPriority w:val="0"/>
    <w:rPr>
      <w:rFonts w:hint="eastAsia" w:ascii="宋体" w:hAnsi="宋体" w:eastAsia="宋体" w:cs="宋体"/>
      <w:color w:val="000000"/>
      <w:sz w:val="22"/>
      <w:szCs w:val="22"/>
      <w:u w:val="none"/>
    </w:rPr>
  </w:style>
  <w:style w:type="character" w:customStyle="1" w:styleId="124">
    <w:name w:val="font121"/>
    <w:autoRedefine/>
    <w:qFormat/>
    <w:uiPriority w:val="0"/>
    <w:rPr>
      <w:rFonts w:hint="default" w:ascii="Calibri" w:hAnsi="Calibri" w:cs="Calibri"/>
      <w:color w:val="000000"/>
      <w:sz w:val="24"/>
      <w:szCs w:val="24"/>
      <w:u w:val="none"/>
    </w:rPr>
  </w:style>
  <w:style w:type="character" w:customStyle="1" w:styleId="125">
    <w:name w:val="标题 2 Char"/>
    <w:autoRedefine/>
    <w:qFormat/>
    <w:uiPriority w:val="0"/>
    <w:rPr>
      <w:rFonts w:ascii="Wingdings" w:hAnsi="Wingdings" w:eastAsia="文鼎CS中黑"/>
      <w:b/>
      <w:bCs/>
      <w:kern w:val="2"/>
      <w:sz w:val="32"/>
      <w:szCs w:val="32"/>
      <w:lang w:val="en-US" w:eastAsia="zh-CN" w:bidi="ar-SA"/>
    </w:rPr>
  </w:style>
  <w:style w:type="character" w:customStyle="1" w:styleId="126">
    <w:name w:val="l-btn-empty"/>
    <w:autoRedefine/>
    <w:qFormat/>
    <w:uiPriority w:val="0"/>
  </w:style>
  <w:style w:type="character" w:customStyle="1" w:styleId="127">
    <w:name w:val="批注文字 Char"/>
    <w:autoRedefine/>
    <w:qFormat/>
    <w:uiPriority w:val="99"/>
    <w:rPr>
      <w:kern w:val="2"/>
      <w:sz w:val="21"/>
      <w:szCs w:val="24"/>
    </w:rPr>
  </w:style>
  <w:style w:type="character" w:customStyle="1" w:styleId="128">
    <w:name w:val="列出段落 Char"/>
    <w:link w:val="129"/>
    <w:autoRedefine/>
    <w:qFormat/>
    <w:uiPriority w:val="34"/>
    <w:rPr>
      <w:rFonts w:ascii="Calibri" w:hAnsi="Calibri" w:eastAsia="宋体" w:cs="Times New Roman"/>
      <w:kern w:val="1"/>
      <w:sz w:val="21"/>
      <w:szCs w:val="22"/>
      <w:lang w:eastAsia="ar-SA"/>
    </w:rPr>
  </w:style>
  <w:style w:type="paragraph" w:customStyle="1" w:styleId="129">
    <w:name w:val="列出段落1"/>
    <w:basedOn w:val="1"/>
    <w:link w:val="128"/>
    <w:autoRedefine/>
    <w:qFormat/>
    <w:uiPriority w:val="34"/>
    <w:pPr>
      <w:tabs>
        <w:tab w:val="left" w:pos="1276"/>
      </w:tabs>
      <w:suppressAutoHyphens/>
      <w:spacing w:line="360" w:lineRule="auto"/>
      <w:ind w:firstLine="420" w:firstLineChars="200"/>
    </w:pPr>
    <w:rPr>
      <w:rFonts w:ascii="Calibri" w:hAnsi="Calibri"/>
      <w:kern w:val="1"/>
      <w:szCs w:val="22"/>
      <w:lang w:eastAsia="ar-SA"/>
    </w:rPr>
  </w:style>
  <w:style w:type="character" w:customStyle="1" w:styleId="130">
    <w:name w:val="font01"/>
    <w:autoRedefine/>
    <w:qFormat/>
    <w:uiPriority w:val="0"/>
    <w:rPr>
      <w:rFonts w:ascii="Calibri" w:hAnsi="Calibri" w:cs="Calibri"/>
      <w:color w:val="000000"/>
      <w:sz w:val="21"/>
      <w:szCs w:val="21"/>
      <w:u w:val="none"/>
    </w:rPr>
  </w:style>
  <w:style w:type="character" w:customStyle="1" w:styleId="131">
    <w:name w:val="arrow"/>
    <w:autoRedefine/>
    <w:qFormat/>
    <w:uiPriority w:val="0"/>
  </w:style>
  <w:style w:type="character" w:customStyle="1" w:styleId="132">
    <w:name w:val="l-btn-left"/>
    <w:autoRedefine/>
    <w:qFormat/>
    <w:uiPriority w:val="0"/>
    <w:rPr>
      <w:color w:val="333333"/>
    </w:rPr>
  </w:style>
  <w:style w:type="character" w:customStyle="1" w:styleId="133">
    <w:name w:val="列出段落 字符"/>
    <w:link w:val="134"/>
    <w:autoRedefine/>
    <w:qFormat/>
    <w:uiPriority w:val="1"/>
    <w:rPr>
      <w:rFonts w:ascii="华文中宋" w:hAnsi="华文中宋"/>
      <w:kern w:val="1"/>
      <w:sz w:val="21"/>
      <w:szCs w:val="22"/>
      <w:lang w:eastAsia="ar-SA"/>
    </w:rPr>
  </w:style>
  <w:style w:type="paragraph" w:styleId="134">
    <w:name w:val="List Paragraph"/>
    <w:basedOn w:val="1"/>
    <w:link w:val="133"/>
    <w:autoRedefine/>
    <w:qFormat/>
    <w:uiPriority w:val="1"/>
    <w:pPr>
      <w:suppressAutoHyphens/>
      <w:ind w:firstLine="420"/>
    </w:pPr>
    <w:rPr>
      <w:rFonts w:ascii="华文中宋" w:hAnsi="华文中宋"/>
      <w:kern w:val="1"/>
      <w:szCs w:val="22"/>
      <w:lang w:eastAsia="ar-SA"/>
    </w:rPr>
  </w:style>
  <w:style w:type="character" w:customStyle="1" w:styleId="135">
    <w:name w:val="l-btn-left3"/>
    <w:autoRedefine/>
    <w:qFormat/>
    <w:uiPriority w:val="0"/>
  </w:style>
  <w:style w:type="character" w:customStyle="1" w:styleId="136">
    <w:name w:val="页脚 字符"/>
    <w:autoRedefine/>
    <w:qFormat/>
    <w:uiPriority w:val="99"/>
    <w:rPr>
      <w:rFonts w:ascii="华文中宋" w:hAnsi="华文中宋" w:eastAsia="Courier New" w:cs="宋体"/>
      <w:kern w:val="2"/>
      <w:sz w:val="18"/>
      <w:szCs w:val="18"/>
    </w:rPr>
  </w:style>
  <w:style w:type="character" w:customStyle="1" w:styleId="137">
    <w:name w:val="font61"/>
    <w:basedOn w:val="51"/>
    <w:autoRedefine/>
    <w:qFormat/>
    <w:uiPriority w:val="0"/>
    <w:rPr>
      <w:rFonts w:hint="default" w:ascii="Calibri" w:hAnsi="Calibri" w:cs="Calibri"/>
      <w:color w:val="000000"/>
      <w:sz w:val="22"/>
      <w:szCs w:val="22"/>
      <w:u w:val="none"/>
    </w:rPr>
  </w:style>
  <w:style w:type="paragraph" w:customStyle="1" w:styleId="138">
    <w:name w:val="xl81"/>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139">
    <w:name w:val="xl17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140">
    <w:name w:val="xl1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141">
    <w:name w:val="xl175"/>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Courier New" w:hAnsi="Courier New" w:cs="Courier New"/>
      <w:kern w:val="0"/>
      <w:sz w:val="22"/>
      <w:szCs w:val="22"/>
    </w:rPr>
  </w:style>
  <w:style w:type="paragraph" w:customStyle="1" w:styleId="142">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18"/>
      <w:szCs w:val="18"/>
    </w:rPr>
  </w:style>
  <w:style w:type="paragraph" w:customStyle="1" w:styleId="143">
    <w:name w:val="前言正文"/>
    <w:autoRedefine/>
    <w:qFormat/>
    <w:uiPriority w:val="0"/>
    <w:pPr>
      <w:spacing w:before="120" w:line="360" w:lineRule="auto"/>
      <w:ind w:firstLine="425"/>
    </w:pPr>
    <w:rPr>
      <w:rFonts w:ascii="Times New Roman" w:hAnsi="Times New Roman" w:eastAsia="SimSun-Identity-H" w:cs="Times New Roman"/>
      <w:sz w:val="24"/>
      <w:szCs w:val="22"/>
      <w:lang w:val="en-US" w:eastAsia="zh-CN" w:bidi="ar-SA"/>
    </w:rPr>
  </w:style>
  <w:style w:type="paragraph" w:customStyle="1" w:styleId="144">
    <w:name w:val="默认段落字体 Para Char"/>
    <w:basedOn w:val="1"/>
    <w:autoRedefine/>
    <w:qFormat/>
    <w:uiPriority w:val="0"/>
    <w:rPr>
      <w:rFonts w:ascii="Courier New" w:hAnsi="Courier New"/>
      <w:b/>
      <w:sz w:val="28"/>
      <w:szCs w:val="28"/>
    </w:rPr>
  </w:style>
  <w:style w:type="paragraph" w:customStyle="1" w:styleId="145">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146">
    <w:name w:val="Char Char Char Char"/>
    <w:basedOn w:val="1"/>
    <w:autoRedefine/>
    <w:qFormat/>
    <w:uiPriority w:val="0"/>
    <w:pPr>
      <w:widowControl/>
      <w:spacing w:line="240" w:lineRule="exact"/>
      <w:jc w:val="left"/>
    </w:pPr>
    <w:rPr>
      <w:rFonts w:ascii="Courier New" w:hAnsi="Courier New"/>
      <w:kern w:val="0"/>
      <w:sz w:val="20"/>
      <w:szCs w:val="20"/>
      <w:lang w:eastAsia="en-US"/>
    </w:rPr>
  </w:style>
  <w:style w:type="paragraph" w:customStyle="1" w:styleId="147">
    <w:name w:val="网格 居中"/>
    <w:basedOn w:val="1"/>
    <w:autoRedefine/>
    <w:qFormat/>
    <w:uiPriority w:val="0"/>
    <w:pPr>
      <w:jc w:val="center"/>
    </w:pPr>
    <w:rPr>
      <w:szCs w:val="20"/>
    </w:rPr>
  </w:style>
  <w:style w:type="paragraph" w:customStyle="1" w:styleId="148">
    <w:name w:val="xl16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kern w:val="0"/>
      <w:sz w:val="22"/>
      <w:szCs w:val="22"/>
    </w:rPr>
  </w:style>
  <w:style w:type="paragraph" w:customStyle="1" w:styleId="149">
    <w:name w:val="xl1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2"/>
      <w:szCs w:val="22"/>
    </w:rPr>
  </w:style>
  <w:style w:type="paragraph" w:customStyle="1" w:styleId="150">
    <w:name w:val="前言目录"/>
    <w:next w:val="143"/>
    <w:autoRedefine/>
    <w:qFormat/>
    <w:uiPriority w:val="0"/>
    <w:pPr>
      <w:spacing w:before="480" w:after="240" w:line="480" w:lineRule="auto"/>
      <w:jc w:val="center"/>
    </w:pPr>
    <w:rPr>
      <w:rFonts w:ascii="Times New Roman" w:hAnsi="Times New Roman" w:eastAsia="文鼎CS中黑" w:cs="Times New Roman"/>
      <w:b/>
      <w:sz w:val="44"/>
      <w:szCs w:val="22"/>
      <w:lang w:val="en-US" w:eastAsia="zh-CN" w:bidi="ar-SA"/>
    </w:rPr>
  </w:style>
  <w:style w:type="paragraph" w:customStyle="1" w:styleId="151">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2">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153">
    <w:name w:val="xl19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154">
    <w:name w:val="xl1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155">
    <w:name w:val="xl14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kern w:val="0"/>
      <w:sz w:val="23"/>
      <w:szCs w:val="23"/>
    </w:rPr>
  </w:style>
  <w:style w:type="paragraph" w:customStyle="1" w:styleId="156">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157">
    <w:name w:val="xl89"/>
    <w:basedOn w:val="1"/>
    <w:autoRedefine/>
    <w:qFormat/>
    <w:uiPriority w:val="0"/>
    <w:pPr>
      <w:widowControl/>
      <w:spacing w:before="100" w:beforeAutospacing="1" w:after="100" w:afterAutospacing="1"/>
      <w:jc w:val="center"/>
    </w:pPr>
    <w:rPr>
      <w:rFonts w:ascii="Courier New" w:hAnsi="Courier New" w:cs="Courier New"/>
      <w:kern w:val="0"/>
      <w:sz w:val="23"/>
      <w:szCs w:val="23"/>
    </w:rPr>
  </w:style>
  <w:style w:type="paragraph" w:customStyle="1" w:styleId="158">
    <w:name w:val="EHPT"/>
    <w:basedOn w:val="1"/>
    <w:next w:val="2"/>
    <w:autoRedefine/>
    <w:qFormat/>
    <w:uiPriority w:val="0"/>
    <w:pPr>
      <w:ind w:right="-694"/>
    </w:pPr>
    <w:rPr>
      <w:sz w:val="24"/>
      <w:szCs w:val="20"/>
    </w:rPr>
  </w:style>
  <w:style w:type="paragraph" w:customStyle="1" w:styleId="159">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160">
    <w:name w:val="xl114"/>
    <w:basedOn w:val="1"/>
    <w:autoRedefine/>
    <w:qFormat/>
    <w:uiPriority w:val="0"/>
    <w:pPr>
      <w:widowControl/>
      <w:pBdr>
        <w:top w:val="single" w:color="auto" w:sz="4" w:space="0"/>
        <w:bottom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161">
    <w:name w:val="纯文本1"/>
    <w:basedOn w:val="1"/>
    <w:autoRedefine/>
    <w:qFormat/>
    <w:uiPriority w:val="0"/>
    <w:pPr>
      <w:suppressAutoHyphens/>
    </w:pPr>
    <w:rPr>
      <w:rFonts w:ascii="Courier New" w:hAnsi="Courier New"/>
      <w:kern w:val="1"/>
      <w:szCs w:val="20"/>
      <w:lang w:eastAsia="ar-SA"/>
    </w:rPr>
  </w:style>
  <w:style w:type="paragraph" w:customStyle="1" w:styleId="162">
    <w:name w:val="font5"/>
    <w:basedOn w:val="1"/>
    <w:autoRedefine/>
    <w:qFormat/>
    <w:uiPriority w:val="0"/>
    <w:pPr>
      <w:widowControl/>
      <w:spacing w:before="100" w:beforeAutospacing="1" w:after="100" w:afterAutospacing="1"/>
      <w:jc w:val="left"/>
    </w:pPr>
    <w:rPr>
      <w:rFonts w:ascii="Courier New" w:hAnsi="Courier New" w:cs="Courier New"/>
      <w:kern w:val="0"/>
      <w:sz w:val="23"/>
      <w:szCs w:val="23"/>
    </w:rPr>
  </w:style>
  <w:style w:type="paragraph" w:customStyle="1" w:styleId="163">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164">
    <w:name w:val="xl1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165">
    <w:name w:val="xl179"/>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kern w:val="0"/>
      <w:sz w:val="22"/>
      <w:szCs w:val="22"/>
    </w:rPr>
  </w:style>
  <w:style w:type="paragraph" w:customStyle="1" w:styleId="166">
    <w:name w:val="普通 (Web)"/>
    <w:basedOn w:val="1"/>
    <w:autoRedefine/>
    <w:qFormat/>
    <w:uiPriority w:val="0"/>
    <w:pPr>
      <w:widowControl/>
      <w:spacing w:beforeAutospacing="1" w:afterAutospacing="1"/>
      <w:jc w:val="left"/>
    </w:pPr>
    <w:rPr>
      <w:rFonts w:ascii="Courier New" w:hAnsi="Courier New"/>
      <w:kern w:val="0"/>
      <w:sz w:val="24"/>
      <w:szCs w:val="20"/>
    </w:rPr>
  </w:style>
  <w:style w:type="paragraph" w:customStyle="1" w:styleId="167">
    <w:name w:val="xl90"/>
    <w:basedOn w:val="1"/>
    <w:autoRedefine/>
    <w:qFormat/>
    <w:uiPriority w:val="0"/>
    <w:pPr>
      <w:widowControl/>
      <w:spacing w:before="100" w:beforeAutospacing="1" w:after="100" w:afterAutospacing="1"/>
      <w:jc w:val="left"/>
    </w:pPr>
    <w:rPr>
      <w:rFonts w:ascii="Courier New" w:hAnsi="Courier New" w:cs="Courier New"/>
      <w:b/>
      <w:bCs/>
      <w:kern w:val="0"/>
      <w:sz w:val="23"/>
      <w:szCs w:val="23"/>
    </w:rPr>
  </w:style>
  <w:style w:type="paragraph" w:customStyle="1" w:styleId="168">
    <w:name w:val="Char Char13"/>
    <w:basedOn w:val="1"/>
    <w:autoRedefine/>
    <w:qFormat/>
    <w:uiPriority w:val="0"/>
    <w:pPr>
      <w:widowControl/>
      <w:spacing w:after="160" w:line="240" w:lineRule="exact"/>
      <w:jc w:val="left"/>
    </w:pPr>
    <w:rPr>
      <w:rFonts w:ascii="Courier New" w:hAnsi="Courier New" w:eastAsia="SimSun-Identity-H"/>
      <w:kern w:val="0"/>
      <w:sz w:val="24"/>
      <w:szCs w:val="20"/>
      <w:lang w:eastAsia="en-US"/>
    </w:rPr>
  </w:style>
  <w:style w:type="paragraph" w:customStyle="1" w:styleId="169">
    <w:name w:val="xl1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000000"/>
      <w:kern w:val="0"/>
      <w:sz w:val="23"/>
      <w:szCs w:val="23"/>
    </w:rPr>
  </w:style>
  <w:style w:type="paragraph" w:customStyle="1" w:styleId="170">
    <w:name w:val="xl88"/>
    <w:basedOn w:val="1"/>
    <w:autoRedefine/>
    <w:qFormat/>
    <w:uiPriority w:val="0"/>
    <w:pPr>
      <w:widowControl/>
      <w:spacing w:before="100" w:beforeAutospacing="1" w:after="100" w:afterAutospacing="1"/>
      <w:jc w:val="left"/>
    </w:pPr>
    <w:rPr>
      <w:rFonts w:ascii="Courier New" w:hAnsi="Courier New" w:cs="Courier New"/>
      <w:kern w:val="0"/>
      <w:sz w:val="23"/>
      <w:szCs w:val="23"/>
    </w:rPr>
  </w:style>
  <w:style w:type="paragraph" w:customStyle="1" w:styleId="171">
    <w:name w:val="xl1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172">
    <w:name w:val="_Style 207"/>
    <w:basedOn w:val="1"/>
    <w:next w:val="134"/>
    <w:autoRedefine/>
    <w:qFormat/>
    <w:uiPriority w:val="34"/>
    <w:pPr>
      <w:suppressAutoHyphens/>
      <w:ind w:firstLine="420"/>
    </w:pPr>
    <w:rPr>
      <w:rFonts w:ascii="华文中宋" w:hAnsi="华文中宋"/>
      <w:kern w:val="1"/>
      <w:szCs w:val="22"/>
      <w:lang w:eastAsia="ar-SA"/>
    </w:rPr>
  </w:style>
  <w:style w:type="paragraph" w:customStyle="1" w:styleId="173">
    <w:name w:val="Char Char Char"/>
    <w:basedOn w:val="1"/>
    <w:autoRedefine/>
    <w:qFormat/>
    <w:uiPriority w:val="0"/>
    <w:rPr>
      <w:rFonts w:ascii="仿宋" w:hAnsi="仿宋"/>
      <w:sz w:val="24"/>
      <w:szCs w:val="20"/>
    </w:rPr>
  </w:style>
  <w:style w:type="paragraph" w:customStyle="1" w:styleId="174">
    <w:name w:val="xl1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000000"/>
      <w:kern w:val="0"/>
      <w:sz w:val="23"/>
      <w:szCs w:val="23"/>
    </w:rPr>
  </w:style>
  <w:style w:type="paragraph" w:customStyle="1" w:styleId="175">
    <w:name w:val="xl102"/>
    <w:basedOn w:val="1"/>
    <w:autoRedefine/>
    <w:qFormat/>
    <w:uiPriority w:val="0"/>
    <w:pPr>
      <w:widowControl/>
      <w:spacing w:before="100" w:beforeAutospacing="1" w:after="100" w:afterAutospacing="1"/>
      <w:jc w:val="center"/>
    </w:pPr>
    <w:rPr>
      <w:rFonts w:ascii="Courier New" w:hAnsi="Courier New" w:cs="Courier New"/>
      <w:b/>
      <w:bCs/>
      <w:color w:val="FF0000"/>
      <w:kern w:val="0"/>
      <w:sz w:val="22"/>
      <w:szCs w:val="22"/>
    </w:rPr>
  </w:style>
  <w:style w:type="paragraph" w:customStyle="1" w:styleId="176">
    <w:name w:val="xl12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177">
    <w:name w:val="Char Char Char11"/>
    <w:basedOn w:val="1"/>
    <w:autoRedefine/>
    <w:qFormat/>
    <w:uiPriority w:val="0"/>
    <w:pPr>
      <w:widowControl/>
      <w:spacing w:line="240" w:lineRule="exact"/>
      <w:jc w:val="left"/>
    </w:pPr>
    <w:rPr>
      <w:szCs w:val="20"/>
    </w:rPr>
  </w:style>
  <w:style w:type="paragraph" w:customStyle="1" w:styleId="178">
    <w:name w:val="xl13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cs="Courier New"/>
      <w:kern w:val="0"/>
      <w:sz w:val="23"/>
      <w:szCs w:val="23"/>
    </w:rPr>
  </w:style>
  <w:style w:type="paragraph" w:customStyle="1" w:styleId="179">
    <w:name w:val="表格内容"/>
    <w:basedOn w:val="1"/>
    <w:autoRedefine/>
    <w:qFormat/>
    <w:uiPriority w:val="0"/>
    <w:pPr>
      <w:adjustRightInd w:val="0"/>
      <w:jc w:val="left"/>
    </w:pPr>
  </w:style>
  <w:style w:type="paragraph" w:customStyle="1" w:styleId="180">
    <w:name w:val="_Style 1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181">
    <w:name w:val="xl1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182">
    <w:name w:val="Char Char Char Char Char Char Char Char Char Char Char Char1 Char"/>
    <w:basedOn w:val="17"/>
    <w:autoRedefine/>
    <w:qFormat/>
    <w:uiPriority w:val="0"/>
  </w:style>
  <w:style w:type="paragraph" w:customStyle="1" w:styleId="183">
    <w:name w:val="xl176"/>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Courier New" w:hAnsi="Courier New" w:cs="Courier New"/>
      <w:kern w:val="0"/>
      <w:sz w:val="22"/>
      <w:szCs w:val="22"/>
    </w:rPr>
  </w:style>
  <w:style w:type="paragraph" w:customStyle="1" w:styleId="184">
    <w:name w:val="正文标号1"/>
    <w:basedOn w:val="1"/>
    <w:autoRedefine/>
    <w:qFormat/>
    <w:uiPriority w:val="0"/>
    <w:pPr>
      <w:spacing w:line="360" w:lineRule="auto"/>
    </w:pPr>
    <w:rPr>
      <w:rFonts w:ascii="Courier New"/>
      <w:sz w:val="24"/>
      <w:lang w:val="en-GB"/>
    </w:rPr>
  </w:style>
  <w:style w:type="paragraph" w:customStyle="1" w:styleId="185">
    <w:name w:val="正文 A"/>
    <w:autoRedefine/>
    <w:qFormat/>
    <w:uiPriority w:val="0"/>
    <w:pPr>
      <w:widowControl w:val="0"/>
      <w:jc w:val="both"/>
    </w:pPr>
    <w:rPr>
      <w:rFonts w:ascii="Times New Roman" w:hAnsi="Arial Unicode MS" w:eastAsia="宋体" w:cs="Arial Unicode MS"/>
      <w:color w:val="000000"/>
      <w:szCs w:val="21"/>
      <w:u w:color="000000"/>
      <w:lang w:val="en-US" w:eastAsia="zh-CN" w:bidi="ar-SA"/>
    </w:rPr>
  </w:style>
  <w:style w:type="paragraph" w:customStyle="1" w:styleId="186">
    <w:name w:val="xl154"/>
    <w:basedOn w:val="1"/>
    <w:autoRedefine/>
    <w:qFormat/>
    <w:uiPriority w:val="0"/>
    <w:pPr>
      <w:widowControl/>
      <w:pBdr>
        <w:top w:val="single" w:color="auto" w:sz="4" w:space="0"/>
        <w:left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187">
    <w:name w:val="xl97"/>
    <w:basedOn w:val="1"/>
    <w:autoRedefine/>
    <w:qFormat/>
    <w:uiPriority w:val="0"/>
    <w:pPr>
      <w:widowControl/>
      <w:spacing w:before="100" w:beforeAutospacing="1" w:after="100" w:afterAutospacing="1"/>
      <w:jc w:val="left"/>
    </w:pPr>
    <w:rPr>
      <w:rFonts w:ascii="Courier New" w:hAnsi="Courier New" w:cs="Courier New"/>
      <w:kern w:val="0"/>
      <w:sz w:val="23"/>
      <w:szCs w:val="23"/>
    </w:rPr>
  </w:style>
  <w:style w:type="paragraph" w:customStyle="1" w:styleId="188">
    <w:name w:val="xl1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189">
    <w:name w:val="xl1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190">
    <w:name w:val="xl1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191">
    <w:name w:val="原点"/>
    <w:basedOn w:val="1"/>
    <w:autoRedefine/>
    <w:qFormat/>
    <w:uiPriority w:val="0"/>
    <w:pPr>
      <w:numPr>
        <w:ilvl w:val="0"/>
        <w:numId w:val="1"/>
      </w:numPr>
      <w:tabs>
        <w:tab w:val="left" w:pos="927"/>
      </w:tabs>
      <w:adjustRightInd w:val="0"/>
      <w:ind w:firstLine="200" w:firstLineChars="200"/>
    </w:pPr>
    <w:rPr>
      <w:sz w:val="32"/>
    </w:rPr>
  </w:style>
  <w:style w:type="paragraph" w:customStyle="1" w:styleId="192">
    <w:name w:val="xl14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193">
    <w:name w:val="03表文"/>
    <w:basedOn w:val="1"/>
    <w:autoRedefine/>
    <w:qFormat/>
    <w:uiPriority w:val="0"/>
    <w:pPr>
      <w:spacing w:line="360" w:lineRule="auto"/>
      <w:jc w:val="center"/>
    </w:pPr>
  </w:style>
  <w:style w:type="paragraph" w:customStyle="1" w:styleId="194">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
    <w:name w:val="xl153"/>
    <w:basedOn w:val="1"/>
    <w:autoRedefine/>
    <w:qFormat/>
    <w:uiPriority w:val="0"/>
    <w:pPr>
      <w:widowControl/>
      <w:pBdr>
        <w:top w:val="single" w:color="auto" w:sz="4" w:space="0"/>
        <w:lef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196">
    <w:name w:val="xl157"/>
    <w:basedOn w:val="1"/>
    <w:autoRedefine/>
    <w:qFormat/>
    <w:uiPriority w:val="0"/>
    <w:pPr>
      <w:widowControl/>
      <w:pBdr>
        <w:top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197">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2"/>
      <w:szCs w:val="22"/>
    </w:rPr>
  </w:style>
  <w:style w:type="paragraph" w:customStyle="1" w:styleId="198">
    <w:name w:val="Char Char"/>
    <w:basedOn w:val="1"/>
    <w:autoRedefine/>
    <w:qFormat/>
    <w:uiPriority w:val="0"/>
    <w:pPr>
      <w:widowControl/>
      <w:spacing w:line="240" w:lineRule="exact"/>
      <w:jc w:val="left"/>
    </w:pPr>
    <w:rPr>
      <w:rFonts w:ascii="Courier New" w:hAnsi="Courier New" w:eastAsia="SimSun-Identity-H"/>
      <w:kern w:val="0"/>
      <w:sz w:val="24"/>
      <w:szCs w:val="20"/>
      <w:lang w:eastAsia="en-US"/>
    </w:rPr>
  </w:style>
  <w:style w:type="paragraph" w:customStyle="1" w:styleId="199">
    <w:name w:val="xl163"/>
    <w:basedOn w:val="1"/>
    <w:autoRedefine/>
    <w:qFormat/>
    <w:uiPriority w:val="0"/>
    <w:pPr>
      <w:widowControl/>
      <w:pBdr>
        <w:top w:val="single" w:color="000000" w:sz="4" w:space="0"/>
        <w:left w:val="single" w:color="000000" w:sz="4" w:space="0"/>
        <w:bottom w:val="single" w:color="000000" w:sz="4" w:space="0"/>
        <w:right w:val="single" w:color="auto" w:sz="4" w:space="0"/>
      </w:pBdr>
      <w:spacing w:before="100" w:beforeAutospacing="1" w:after="100" w:afterAutospacing="1"/>
      <w:jc w:val="center"/>
    </w:pPr>
    <w:rPr>
      <w:rFonts w:ascii="Courier New" w:hAnsi="Courier New" w:cs="Courier New"/>
      <w:kern w:val="0"/>
      <w:sz w:val="22"/>
      <w:szCs w:val="22"/>
    </w:rPr>
  </w:style>
  <w:style w:type="paragraph" w:customStyle="1" w:styleId="200">
    <w:name w:val="xl108"/>
    <w:basedOn w:val="1"/>
    <w:autoRedefine/>
    <w:qFormat/>
    <w:uiPriority w:val="0"/>
    <w:pPr>
      <w:widowControl/>
      <w:pBdr>
        <w:left w:val="single" w:color="auto" w:sz="4" w:space="0"/>
        <w:bottom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01">
    <w:name w:val="xl87"/>
    <w:basedOn w:val="1"/>
    <w:autoRedefine/>
    <w:qFormat/>
    <w:uiPriority w:val="0"/>
    <w:pPr>
      <w:widowControl/>
      <w:spacing w:before="100" w:beforeAutospacing="1" w:after="100" w:afterAutospacing="1"/>
      <w:jc w:val="left"/>
    </w:pPr>
    <w:rPr>
      <w:rFonts w:ascii="Courier New" w:hAnsi="Courier New" w:cs="Courier New"/>
      <w:kern w:val="0"/>
      <w:sz w:val="24"/>
    </w:rPr>
  </w:style>
  <w:style w:type="paragraph" w:customStyle="1" w:styleId="202">
    <w:name w:val="xl17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b/>
      <w:bCs/>
      <w:color w:val="FF0000"/>
      <w:kern w:val="0"/>
      <w:sz w:val="23"/>
      <w:szCs w:val="23"/>
    </w:rPr>
  </w:style>
  <w:style w:type="paragraph" w:customStyle="1" w:styleId="203">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204">
    <w:name w:val="xl96"/>
    <w:basedOn w:val="1"/>
    <w:autoRedefine/>
    <w:qFormat/>
    <w:uiPriority w:val="0"/>
    <w:pPr>
      <w:widowControl/>
      <w:spacing w:before="100" w:beforeAutospacing="1" w:after="100" w:afterAutospacing="1"/>
      <w:jc w:val="left"/>
    </w:pPr>
    <w:rPr>
      <w:rFonts w:ascii="Courier New" w:hAnsi="Courier New" w:cs="Courier New"/>
      <w:color w:val="000000"/>
      <w:kern w:val="0"/>
      <w:sz w:val="23"/>
      <w:szCs w:val="23"/>
    </w:rPr>
  </w:style>
  <w:style w:type="paragraph" w:customStyle="1" w:styleId="205">
    <w:name w:val="Normal1"/>
    <w:basedOn w:val="1"/>
    <w:autoRedefine/>
    <w:qFormat/>
    <w:uiPriority w:val="0"/>
    <w:pPr>
      <w:widowControl/>
      <w:tabs>
        <w:tab w:val="left" w:pos="840"/>
      </w:tabs>
      <w:spacing w:line="360" w:lineRule="auto"/>
      <w:ind w:left="840" w:hanging="420"/>
    </w:pPr>
    <w:rPr>
      <w:rFonts w:ascii="Courier New" w:hAnsi="Courier New" w:eastAsia="@文鼎CS中黑"/>
      <w:kern w:val="0"/>
      <w:szCs w:val="21"/>
    </w:rPr>
  </w:style>
  <w:style w:type="paragraph" w:customStyle="1" w:styleId="206">
    <w:name w:val="xl25"/>
    <w:basedOn w:val="1"/>
    <w:autoRedefine/>
    <w:qFormat/>
    <w:uiPriority w:val="0"/>
    <w:pPr>
      <w:widowControl/>
      <w:pBdr>
        <w:bottom w:val="single" w:color="auto" w:sz="4" w:space="0"/>
        <w:right w:val="single" w:color="auto" w:sz="4" w:space="0"/>
      </w:pBdr>
      <w:spacing w:beforeAutospacing="1" w:afterAutospacing="1"/>
      <w:jc w:val="center"/>
    </w:pPr>
    <w:rPr>
      <w:rFonts w:ascii="Courier New" w:hAnsi="Courier New"/>
      <w:kern w:val="0"/>
      <w:szCs w:val="21"/>
    </w:rPr>
  </w:style>
  <w:style w:type="paragraph" w:customStyle="1" w:styleId="207">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2"/>
      <w:szCs w:val="22"/>
    </w:rPr>
  </w:style>
  <w:style w:type="paragraph" w:customStyle="1" w:styleId="208">
    <w:name w:val="xl155"/>
    <w:basedOn w:val="1"/>
    <w:autoRedefine/>
    <w:qFormat/>
    <w:uiPriority w:val="0"/>
    <w:pPr>
      <w:widowControl/>
      <w:pBdr>
        <w:top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209">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2"/>
      <w:szCs w:val="22"/>
    </w:rPr>
  </w:style>
  <w:style w:type="paragraph" w:customStyle="1" w:styleId="210">
    <w:name w:val="xl1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11">
    <w:name w:val="xl107"/>
    <w:basedOn w:val="1"/>
    <w:autoRedefine/>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212">
    <w:name w:val="xl20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213">
    <w:name w:val="xl170"/>
    <w:basedOn w:val="1"/>
    <w:autoRedefine/>
    <w:qFormat/>
    <w:uiPriority w:val="0"/>
    <w:pPr>
      <w:widowControl/>
      <w:pBdr>
        <w:top w:val="single" w:color="auto" w:sz="4" w:space="0"/>
        <w:right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14">
    <w:name w:val="xl19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15">
    <w:name w:val="xl174"/>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Courier New" w:hAnsi="Courier New" w:cs="Courier New"/>
      <w:kern w:val="0"/>
      <w:sz w:val="22"/>
      <w:szCs w:val="22"/>
    </w:rPr>
  </w:style>
  <w:style w:type="paragraph" w:customStyle="1" w:styleId="216">
    <w:name w:val="xl94"/>
    <w:basedOn w:val="1"/>
    <w:autoRedefine/>
    <w:qFormat/>
    <w:uiPriority w:val="0"/>
    <w:pPr>
      <w:widowControl/>
      <w:spacing w:before="100" w:beforeAutospacing="1" w:after="100" w:afterAutospacing="1"/>
      <w:jc w:val="left"/>
    </w:pPr>
    <w:rPr>
      <w:rFonts w:ascii="Courier New" w:hAnsi="Courier New" w:cs="Courier New"/>
      <w:kern w:val="0"/>
      <w:sz w:val="23"/>
      <w:szCs w:val="23"/>
    </w:rPr>
  </w:style>
  <w:style w:type="paragraph" w:customStyle="1" w:styleId="217">
    <w:name w:val="xl141"/>
    <w:basedOn w:val="1"/>
    <w:autoRedefine/>
    <w:qFormat/>
    <w:uiPriority w:val="0"/>
    <w:pPr>
      <w:widowControl/>
      <w:pBdr>
        <w:bottom w:val="single" w:color="auto" w:sz="4" w:space="0"/>
        <w:right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18">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19">
    <w:name w:val="xl109"/>
    <w:basedOn w:val="1"/>
    <w:autoRedefine/>
    <w:qFormat/>
    <w:uiPriority w:val="0"/>
    <w:pPr>
      <w:widowControl/>
      <w:pBdr>
        <w:bottom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220">
    <w:name w:val="xl1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Courier New" w:hAnsi="Courier New" w:cs="Courier New"/>
      <w:color w:val="000000"/>
      <w:kern w:val="0"/>
      <w:sz w:val="22"/>
      <w:szCs w:val="22"/>
    </w:rPr>
  </w:style>
  <w:style w:type="paragraph" w:customStyle="1" w:styleId="221">
    <w:name w:val="xl1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22">
    <w:name w:val="xl1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000000"/>
      <w:kern w:val="0"/>
      <w:sz w:val="22"/>
      <w:szCs w:val="22"/>
    </w:rPr>
  </w:style>
  <w:style w:type="paragraph" w:customStyle="1" w:styleId="223">
    <w:name w:val="xl101"/>
    <w:basedOn w:val="1"/>
    <w:autoRedefine/>
    <w:qFormat/>
    <w:uiPriority w:val="0"/>
    <w:pPr>
      <w:widowControl/>
      <w:spacing w:before="100" w:beforeAutospacing="1" w:after="100" w:afterAutospacing="1"/>
      <w:jc w:val="center"/>
    </w:pPr>
    <w:rPr>
      <w:rFonts w:ascii="Courier New" w:hAnsi="Courier New" w:cs="Courier New"/>
      <w:color w:val="FF0000"/>
      <w:kern w:val="0"/>
      <w:sz w:val="22"/>
      <w:szCs w:val="22"/>
    </w:rPr>
  </w:style>
  <w:style w:type="paragraph" w:customStyle="1" w:styleId="224">
    <w:name w:val="font7"/>
    <w:basedOn w:val="1"/>
    <w:autoRedefine/>
    <w:qFormat/>
    <w:uiPriority w:val="0"/>
    <w:pPr>
      <w:widowControl/>
      <w:spacing w:before="100" w:beforeAutospacing="1" w:after="100" w:afterAutospacing="1"/>
      <w:jc w:val="left"/>
    </w:pPr>
    <w:rPr>
      <w:rFonts w:ascii="Courier New" w:hAnsi="Courier New" w:cs="Courier New"/>
      <w:kern w:val="0"/>
      <w:sz w:val="22"/>
      <w:szCs w:val="22"/>
    </w:rPr>
  </w:style>
  <w:style w:type="paragraph" w:customStyle="1" w:styleId="225">
    <w:name w:val="xl173"/>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26">
    <w:name w:val="xl16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27">
    <w:name w:val="xl99"/>
    <w:basedOn w:val="1"/>
    <w:autoRedefine/>
    <w:qFormat/>
    <w:uiPriority w:val="0"/>
    <w:pPr>
      <w:widowControl/>
      <w:spacing w:before="100" w:beforeAutospacing="1" w:after="100" w:afterAutospacing="1"/>
      <w:jc w:val="center"/>
    </w:pPr>
    <w:rPr>
      <w:rFonts w:ascii="Courier New" w:hAnsi="Courier New" w:cs="Courier New"/>
      <w:color w:val="FF0000"/>
      <w:kern w:val="0"/>
      <w:sz w:val="23"/>
      <w:szCs w:val="23"/>
    </w:rPr>
  </w:style>
  <w:style w:type="paragraph" w:customStyle="1" w:styleId="228">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229">
    <w:name w:val="xl111"/>
    <w:basedOn w:val="1"/>
    <w:autoRedefine/>
    <w:qFormat/>
    <w:uiPriority w:val="0"/>
    <w:pPr>
      <w:widowControl/>
      <w:pBdr>
        <w:bottom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30">
    <w:name w:val="xl1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31">
    <w:name w:val="xl95"/>
    <w:basedOn w:val="1"/>
    <w:autoRedefine/>
    <w:qFormat/>
    <w:uiPriority w:val="0"/>
    <w:pPr>
      <w:widowControl/>
      <w:shd w:val="clear" w:color="000000" w:fill="FFFFFF"/>
      <w:spacing w:before="100" w:beforeAutospacing="1" w:after="100" w:afterAutospacing="1"/>
      <w:jc w:val="left"/>
    </w:pPr>
    <w:rPr>
      <w:rFonts w:ascii="Courier New" w:hAnsi="Courier New" w:cs="Courier New"/>
      <w:color w:val="000000"/>
      <w:kern w:val="0"/>
      <w:sz w:val="23"/>
      <w:szCs w:val="23"/>
    </w:rPr>
  </w:style>
  <w:style w:type="paragraph" w:customStyle="1" w:styleId="232">
    <w:name w:val="xl18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33">
    <w:name w:val="正文内容"/>
    <w:basedOn w:val="1"/>
    <w:autoRedefine/>
    <w:qFormat/>
    <w:uiPriority w:val="0"/>
    <w:rPr>
      <w:rFonts w:ascii="Wingdings" w:hAnsi="Wingdings"/>
      <w:spacing w:val="-12"/>
      <w:szCs w:val="20"/>
    </w:rPr>
  </w:style>
  <w:style w:type="paragraph" w:customStyle="1" w:styleId="234">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2"/>
      <w:szCs w:val="22"/>
    </w:rPr>
  </w:style>
  <w:style w:type="paragraph" w:customStyle="1" w:styleId="235">
    <w:name w:val="xl18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36">
    <w:name w:val="xl92"/>
    <w:basedOn w:val="1"/>
    <w:autoRedefine/>
    <w:qFormat/>
    <w:uiPriority w:val="0"/>
    <w:pPr>
      <w:widowControl/>
      <w:shd w:val="clear" w:color="000000" w:fill="FFFFFF"/>
      <w:spacing w:before="100" w:beforeAutospacing="1" w:after="100" w:afterAutospacing="1"/>
      <w:jc w:val="left"/>
    </w:pPr>
    <w:rPr>
      <w:rFonts w:ascii="Courier New" w:hAnsi="Courier New" w:cs="Courier New"/>
      <w:kern w:val="0"/>
      <w:sz w:val="23"/>
      <w:szCs w:val="23"/>
    </w:rPr>
  </w:style>
  <w:style w:type="paragraph" w:customStyle="1" w:styleId="237">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238">
    <w:name w:val="xl1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Courier New" w:hAnsi="Courier New" w:cs="Courier New"/>
      <w:color w:val="000000"/>
      <w:kern w:val="0"/>
      <w:sz w:val="22"/>
      <w:szCs w:val="22"/>
    </w:rPr>
  </w:style>
  <w:style w:type="paragraph" w:customStyle="1" w:styleId="239">
    <w:name w:val="xl1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40">
    <w:name w:val="xl1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41">
    <w:name w:val="xl156"/>
    <w:basedOn w:val="1"/>
    <w:autoRedefine/>
    <w:qFormat/>
    <w:uiPriority w:val="0"/>
    <w:pPr>
      <w:widowControl/>
      <w:pBdr>
        <w:top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42">
    <w:name w:val="xl201"/>
    <w:basedOn w:val="1"/>
    <w:autoRedefine/>
    <w:qFormat/>
    <w:uiPriority w:val="0"/>
    <w:pPr>
      <w:widowControl/>
      <w:pBdr>
        <w:bottom w:val="single" w:color="auto" w:sz="4" w:space="0"/>
      </w:pBdr>
      <w:spacing w:before="100" w:beforeAutospacing="1" w:after="100" w:afterAutospacing="1"/>
      <w:jc w:val="center"/>
    </w:pPr>
    <w:rPr>
      <w:rFonts w:ascii="Courier New" w:hAnsi="Courier New" w:cs="Courier New"/>
      <w:b/>
      <w:bCs/>
      <w:kern w:val="0"/>
      <w:sz w:val="36"/>
      <w:szCs w:val="36"/>
    </w:rPr>
  </w:style>
  <w:style w:type="paragraph" w:customStyle="1" w:styleId="243">
    <w:name w:val="Char Char Char Char Char Char Char"/>
    <w:basedOn w:val="1"/>
    <w:autoRedefine/>
    <w:qFormat/>
    <w:uiPriority w:val="0"/>
    <w:pPr>
      <w:tabs>
        <w:tab w:val="left" w:pos="425"/>
      </w:tabs>
      <w:ind w:left="425" w:hanging="425"/>
    </w:pPr>
    <w:rPr>
      <w:rFonts w:eastAsia="SimSun-Identity-H"/>
      <w:kern w:val="24"/>
      <w:sz w:val="24"/>
    </w:rPr>
  </w:style>
  <w:style w:type="paragraph" w:customStyle="1" w:styleId="244">
    <w:name w:val="WPSOffice手动目录 1"/>
    <w:autoRedefine/>
    <w:qFormat/>
    <w:uiPriority w:val="0"/>
    <w:rPr>
      <w:rFonts w:ascii="Times New Roman" w:hAnsi="Times New Roman" w:eastAsia="宋体" w:cs="Times New Roman"/>
      <w:lang w:val="en-US" w:eastAsia="zh-CN" w:bidi="ar-SA"/>
    </w:rPr>
  </w:style>
  <w:style w:type="paragraph" w:customStyle="1" w:styleId="245">
    <w:name w:val="xl18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46">
    <w:name w:val="xl1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000000"/>
      <w:kern w:val="0"/>
      <w:sz w:val="23"/>
      <w:szCs w:val="23"/>
    </w:rPr>
  </w:style>
  <w:style w:type="paragraph" w:customStyle="1" w:styleId="247">
    <w:name w:val="xl14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kern w:val="0"/>
      <w:sz w:val="24"/>
    </w:rPr>
  </w:style>
  <w:style w:type="paragraph" w:customStyle="1" w:styleId="248">
    <w:name w:val="xl18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2"/>
      <w:szCs w:val="22"/>
    </w:rPr>
  </w:style>
  <w:style w:type="paragraph" w:customStyle="1" w:styleId="249">
    <w:name w:val="Char Char11"/>
    <w:basedOn w:val="1"/>
    <w:autoRedefine/>
    <w:qFormat/>
    <w:uiPriority w:val="0"/>
    <w:rPr>
      <w:rFonts w:ascii="Courier New" w:hAnsi="Courier New"/>
      <w:b/>
      <w:sz w:val="28"/>
      <w:szCs w:val="28"/>
    </w:rPr>
  </w:style>
  <w:style w:type="paragraph" w:customStyle="1" w:styleId="250">
    <w:name w:val="xl16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51">
    <w:name w:val="font8"/>
    <w:basedOn w:val="1"/>
    <w:autoRedefine/>
    <w:qFormat/>
    <w:uiPriority w:val="0"/>
    <w:pPr>
      <w:widowControl/>
      <w:spacing w:before="100" w:beforeAutospacing="1" w:after="100" w:afterAutospacing="1"/>
      <w:jc w:val="left"/>
    </w:pPr>
    <w:rPr>
      <w:rFonts w:ascii="Courier New" w:hAnsi="Courier New" w:cs="Courier New"/>
      <w:b/>
      <w:bCs/>
      <w:kern w:val="0"/>
      <w:sz w:val="22"/>
      <w:szCs w:val="22"/>
    </w:rPr>
  </w:style>
  <w:style w:type="paragraph" w:customStyle="1" w:styleId="252">
    <w:name w:val="xl110"/>
    <w:basedOn w:val="1"/>
    <w:autoRedefine/>
    <w:qFormat/>
    <w:uiPriority w:val="0"/>
    <w:pPr>
      <w:widowControl/>
      <w:pBdr>
        <w:bottom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53">
    <w:name w:val="xl103"/>
    <w:basedOn w:val="1"/>
    <w:autoRedefine/>
    <w:qFormat/>
    <w:uiPriority w:val="0"/>
    <w:pPr>
      <w:widowControl/>
      <w:spacing w:before="100" w:beforeAutospacing="1" w:after="100" w:afterAutospacing="1"/>
      <w:jc w:val="left"/>
    </w:pPr>
    <w:rPr>
      <w:rFonts w:ascii="Courier New" w:hAnsi="Courier New" w:cs="Courier New"/>
      <w:color w:val="FF0000"/>
      <w:kern w:val="0"/>
      <w:sz w:val="24"/>
    </w:rPr>
  </w:style>
  <w:style w:type="paragraph" w:customStyle="1" w:styleId="254">
    <w:name w:val="样式4"/>
    <w:basedOn w:val="1"/>
    <w:autoRedefine/>
    <w:qFormat/>
    <w:uiPriority w:val="0"/>
    <w:pPr>
      <w:tabs>
        <w:tab w:val="left" w:pos="874"/>
      </w:tabs>
      <w:spacing w:line="360" w:lineRule="auto"/>
      <w:ind w:left="874" w:hanging="420"/>
    </w:pPr>
    <w:rPr>
      <w:sz w:val="24"/>
    </w:rPr>
  </w:style>
  <w:style w:type="paragraph" w:customStyle="1" w:styleId="255">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256">
    <w:name w:val="xl16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kern w:val="0"/>
      <w:sz w:val="22"/>
      <w:szCs w:val="22"/>
    </w:rPr>
  </w:style>
  <w:style w:type="paragraph" w:customStyle="1" w:styleId="257">
    <w:name w:val="msolistparagraph"/>
    <w:basedOn w:val="1"/>
    <w:autoRedefine/>
    <w:qFormat/>
    <w:uiPriority w:val="0"/>
    <w:pPr>
      <w:ind w:firstLine="420" w:firstLineChars="200"/>
    </w:pPr>
  </w:style>
  <w:style w:type="paragraph" w:styleId="258">
    <w:name w:val="No Spacing"/>
    <w:autoRedefine/>
    <w:qFormat/>
    <w:uiPriority w:val="1"/>
    <w:pPr>
      <w:widowControl w:val="0"/>
      <w:jc w:val="both"/>
    </w:pPr>
    <w:rPr>
      <w:rFonts w:ascii="Times New Roman" w:hAnsi="Times New Roman" w:eastAsia="宋体" w:cs="Times New Roman"/>
      <w:kern w:val="2"/>
      <w:sz w:val="24"/>
      <w:szCs w:val="22"/>
      <w:lang w:val="en-US" w:eastAsia="zh-CN" w:bidi="ar-SA"/>
    </w:rPr>
  </w:style>
  <w:style w:type="paragraph" w:customStyle="1" w:styleId="259">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260">
    <w:name w:val="xl93"/>
    <w:basedOn w:val="1"/>
    <w:autoRedefine/>
    <w:qFormat/>
    <w:uiPriority w:val="0"/>
    <w:pPr>
      <w:widowControl/>
      <w:spacing w:before="100" w:beforeAutospacing="1" w:after="100" w:afterAutospacing="1"/>
      <w:jc w:val="left"/>
    </w:pPr>
    <w:rPr>
      <w:rFonts w:ascii="Courier New" w:hAnsi="Courier New" w:cs="Courier New"/>
      <w:kern w:val="0"/>
      <w:sz w:val="23"/>
      <w:szCs w:val="23"/>
    </w:rPr>
  </w:style>
  <w:style w:type="paragraph" w:customStyle="1" w:styleId="261">
    <w:name w:val="xl16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Courier New" w:hAnsi="Courier New" w:cs="Courier New"/>
      <w:kern w:val="0"/>
      <w:sz w:val="23"/>
      <w:szCs w:val="23"/>
    </w:rPr>
  </w:style>
  <w:style w:type="paragraph" w:customStyle="1" w:styleId="262">
    <w:name w:val="xl115"/>
    <w:basedOn w:val="1"/>
    <w:autoRedefine/>
    <w:qFormat/>
    <w:uiPriority w:val="0"/>
    <w:pPr>
      <w:widowControl/>
      <w:pBdr>
        <w:top w:val="single" w:color="auto" w:sz="4" w:space="0"/>
        <w:bottom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63">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b/>
      <w:bCs/>
      <w:kern w:val="0"/>
      <w:sz w:val="22"/>
      <w:szCs w:val="22"/>
    </w:rPr>
  </w:style>
  <w:style w:type="paragraph" w:customStyle="1" w:styleId="264">
    <w:name w:val="xl1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000000"/>
      <w:kern w:val="0"/>
      <w:sz w:val="23"/>
      <w:szCs w:val="23"/>
    </w:rPr>
  </w:style>
  <w:style w:type="paragraph" w:customStyle="1" w:styleId="265">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2"/>
      <w:szCs w:val="22"/>
    </w:rPr>
  </w:style>
  <w:style w:type="paragraph" w:customStyle="1" w:styleId="266">
    <w:name w:val="p0"/>
    <w:basedOn w:val="1"/>
    <w:autoRedefine/>
    <w:qFormat/>
    <w:uiPriority w:val="0"/>
    <w:pPr>
      <w:widowControl/>
    </w:pPr>
    <w:rPr>
      <w:rFonts w:ascii="华文中宋" w:hAnsi="华文中宋" w:cs="Courier New"/>
      <w:kern w:val="0"/>
      <w:szCs w:val="21"/>
    </w:rPr>
  </w:style>
  <w:style w:type="paragraph" w:customStyle="1" w:styleId="267">
    <w:name w:val="Char"/>
    <w:basedOn w:val="1"/>
    <w:autoRedefine/>
    <w:qFormat/>
    <w:uiPriority w:val="0"/>
    <w:pPr>
      <w:widowControl/>
      <w:spacing w:line="240" w:lineRule="exact"/>
      <w:jc w:val="left"/>
    </w:pPr>
    <w:rPr>
      <w:rFonts w:ascii="Courier New" w:hAnsi="Courier New"/>
      <w:kern w:val="0"/>
      <w:szCs w:val="20"/>
      <w:lang w:eastAsia="en-US"/>
    </w:rPr>
  </w:style>
  <w:style w:type="paragraph" w:customStyle="1" w:styleId="268">
    <w:name w:val="xl98"/>
    <w:basedOn w:val="1"/>
    <w:autoRedefine/>
    <w:qFormat/>
    <w:uiPriority w:val="0"/>
    <w:pPr>
      <w:widowControl/>
      <w:spacing w:before="100" w:beforeAutospacing="1" w:after="100" w:afterAutospacing="1"/>
      <w:jc w:val="left"/>
    </w:pPr>
    <w:rPr>
      <w:rFonts w:ascii="Courier New" w:hAnsi="Courier New" w:cs="Courier New"/>
      <w:kern w:val="0"/>
      <w:sz w:val="23"/>
      <w:szCs w:val="23"/>
    </w:rPr>
  </w:style>
  <w:style w:type="paragraph" w:customStyle="1" w:styleId="269">
    <w:name w:val="4"/>
    <w:autoRedefine/>
    <w:qFormat/>
    <w:uiPriority w:val="0"/>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autoSpaceDE w:val="0"/>
      <w:autoSpaceDN w:val="0"/>
      <w:adjustRightInd w:val="0"/>
      <w:spacing w:before="113" w:after="57" w:line="300" w:lineRule="atLeast"/>
    </w:pPr>
    <w:rPr>
      <w:rFonts w:ascii="仿宋_GB2312" w:hAnsi="Times New Roman" w:eastAsia="仿宋_GB2312" w:cs="Times New Roman"/>
      <w:color w:val="000000"/>
      <w:lang w:val="en-US" w:eastAsia="zh-CN" w:bidi="ar-SA"/>
    </w:rPr>
  </w:style>
  <w:style w:type="paragraph" w:customStyle="1" w:styleId="270">
    <w:name w:val="xl1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2"/>
      <w:szCs w:val="22"/>
    </w:rPr>
  </w:style>
  <w:style w:type="paragraph" w:customStyle="1" w:styleId="271">
    <w:name w:val="font9"/>
    <w:basedOn w:val="1"/>
    <w:autoRedefine/>
    <w:qFormat/>
    <w:uiPriority w:val="0"/>
    <w:pPr>
      <w:widowControl/>
      <w:spacing w:before="100" w:beforeAutospacing="1" w:after="100" w:afterAutospacing="1"/>
      <w:jc w:val="left"/>
    </w:pPr>
    <w:rPr>
      <w:rFonts w:ascii="Courier New" w:hAnsi="Courier New" w:cs="Courier New"/>
      <w:kern w:val="0"/>
      <w:sz w:val="23"/>
      <w:szCs w:val="23"/>
    </w:rPr>
  </w:style>
  <w:style w:type="paragraph" w:customStyle="1" w:styleId="272">
    <w:name w:val="xl19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273">
    <w:name w:val="xl16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2"/>
      <w:szCs w:val="22"/>
    </w:rPr>
  </w:style>
  <w:style w:type="paragraph" w:customStyle="1" w:styleId="274">
    <w:name w:val="列表段落1"/>
    <w:basedOn w:val="1"/>
    <w:autoRedefine/>
    <w:qFormat/>
    <w:uiPriority w:val="34"/>
    <w:pPr>
      <w:ind w:firstLine="420" w:firstLineChars="200"/>
    </w:pPr>
    <w:rPr>
      <w:szCs w:val="20"/>
    </w:rPr>
  </w:style>
  <w:style w:type="paragraph" w:customStyle="1" w:styleId="275">
    <w:name w:val="xl16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76">
    <w:name w:val="Char1 Char Char Char"/>
    <w:basedOn w:val="1"/>
    <w:autoRedefine/>
    <w:qFormat/>
    <w:uiPriority w:val="0"/>
    <w:pPr>
      <w:numPr>
        <w:ilvl w:val="0"/>
        <w:numId w:val="2"/>
      </w:numPr>
      <w:tabs>
        <w:tab w:val="left" w:pos="363"/>
        <w:tab w:val="clear" w:pos="360"/>
      </w:tabs>
    </w:pPr>
    <w:rPr>
      <w:sz w:val="24"/>
    </w:rPr>
  </w:style>
  <w:style w:type="paragraph" w:customStyle="1" w:styleId="277">
    <w:name w:val="xl11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78">
    <w:name w:val="xl1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79">
    <w:name w:val="xl11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280">
    <w:name w:val="5"/>
    <w:autoRedefine/>
    <w:qFormat/>
    <w:uiPriority w:val="0"/>
    <w:pPr>
      <w:widowControl w:val="0"/>
      <w:tabs>
        <w:tab w:val="left" w:pos="1984"/>
      </w:tabs>
      <w:autoSpaceDE w:val="0"/>
      <w:autoSpaceDN w:val="0"/>
      <w:adjustRightInd w:val="0"/>
      <w:spacing w:line="290" w:lineRule="atLeast"/>
    </w:pPr>
    <w:rPr>
      <w:rFonts w:ascii="Cambria Math" w:hAnsi="Times New Roman" w:eastAsia="宋体" w:cs="Times New Roman"/>
      <w:lang w:val="en-US" w:eastAsia="zh-CN" w:bidi="ar-SA"/>
    </w:rPr>
  </w:style>
  <w:style w:type="paragraph" w:customStyle="1" w:styleId="281">
    <w:name w:val="xl116"/>
    <w:basedOn w:val="1"/>
    <w:autoRedefine/>
    <w:qFormat/>
    <w:uiPriority w:val="0"/>
    <w:pPr>
      <w:widowControl/>
      <w:pBdr>
        <w:top w:val="single" w:color="auto" w:sz="4" w:space="0"/>
        <w:bottom w:val="single" w:color="auto" w:sz="4" w:space="0"/>
      </w:pBdr>
      <w:spacing w:before="100" w:beforeAutospacing="1" w:after="100" w:afterAutospacing="1"/>
      <w:jc w:val="left"/>
    </w:pPr>
    <w:rPr>
      <w:rFonts w:ascii="Courier New" w:hAnsi="Courier New" w:cs="Courier New"/>
      <w:b/>
      <w:bCs/>
      <w:kern w:val="0"/>
      <w:sz w:val="23"/>
      <w:szCs w:val="23"/>
    </w:rPr>
  </w:style>
  <w:style w:type="paragraph" w:customStyle="1" w:styleId="282">
    <w:name w:val="xl182"/>
    <w:basedOn w:val="1"/>
    <w:autoRedefine/>
    <w:qFormat/>
    <w:uiPriority w:val="0"/>
    <w:pPr>
      <w:widowControl/>
      <w:pBdr>
        <w:left w:val="single" w:color="000000" w:sz="4" w:space="0"/>
        <w:bottom w:val="single" w:color="000000" w:sz="4" w:space="0"/>
        <w:right w:val="single" w:color="auto" w:sz="4" w:space="0"/>
      </w:pBdr>
      <w:spacing w:before="100" w:beforeAutospacing="1" w:after="100" w:afterAutospacing="1"/>
      <w:jc w:val="center"/>
    </w:pPr>
    <w:rPr>
      <w:rFonts w:ascii="Courier New" w:hAnsi="Courier New" w:cs="Courier New"/>
      <w:kern w:val="0"/>
      <w:sz w:val="22"/>
      <w:szCs w:val="22"/>
    </w:rPr>
  </w:style>
  <w:style w:type="paragraph" w:customStyle="1" w:styleId="283">
    <w:name w:val="节"/>
    <w:basedOn w:val="5"/>
    <w:autoRedefine/>
    <w:qFormat/>
    <w:uiPriority w:val="0"/>
    <w:pPr>
      <w:numPr>
        <w:ilvl w:val="1"/>
        <w:numId w:val="3"/>
      </w:numPr>
      <w:tabs>
        <w:tab w:val="left" w:pos="432"/>
        <w:tab w:val="left" w:pos="576"/>
      </w:tabs>
      <w:spacing w:line="240" w:lineRule="auto"/>
    </w:pPr>
    <w:rPr>
      <w:rFonts w:ascii="黑体" w:hAnsi="Times New Roman" w:eastAsia="微软雅黑"/>
      <w:b w:val="0"/>
      <w:bCs w:val="0"/>
      <w:szCs w:val="28"/>
    </w:rPr>
  </w:style>
  <w:style w:type="paragraph" w:customStyle="1" w:styleId="284">
    <w:name w:val="xl1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85">
    <w:name w:val="题注5"/>
    <w:basedOn w:val="1"/>
    <w:next w:val="16"/>
    <w:autoRedefine/>
    <w:qFormat/>
    <w:uiPriority w:val="0"/>
    <w:pPr>
      <w:jc w:val="center"/>
    </w:pPr>
    <w:rPr>
      <w:b/>
      <w:color w:val="000000"/>
      <w:sz w:val="24"/>
      <w:szCs w:val="21"/>
    </w:rPr>
  </w:style>
  <w:style w:type="paragraph" w:customStyle="1" w:styleId="286">
    <w:name w:val="xl19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000000"/>
      <w:kern w:val="0"/>
      <w:sz w:val="23"/>
      <w:szCs w:val="23"/>
    </w:rPr>
  </w:style>
  <w:style w:type="paragraph" w:customStyle="1" w:styleId="287">
    <w:name w:val="Char Char2 Char"/>
    <w:basedOn w:val="1"/>
    <w:autoRedefine/>
    <w:qFormat/>
    <w:uiPriority w:val="0"/>
    <w:pPr>
      <w:keepNext/>
      <w:keepLines/>
      <w:pageBreakBefore/>
      <w:tabs>
        <w:tab w:val="left" w:pos="845"/>
      </w:tabs>
      <w:ind w:left="845" w:hanging="420"/>
    </w:pPr>
    <w:rPr>
      <w:rFonts w:ascii="仿宋" w:hAnsi="仿宋"/>
      <w:sz w:val="24"/>
      <w:szCs w:val="20"/>
    </w:rPr>
  </w:style>
  <w:style w:type="paragraph" w:customStyle="1" w:styleId="288">
    <w:name w:val="Char Char Char Char Char Char1 Char"/>
    <w:basedOn w:val="1"/>
    <w:autoRedefine/>
    <w:qFormat/>
    <w:uiPriority w:val="0"/>
    <w:pPr>
      <w:widowControl/>
      <w:spacing w:line="240" w:lineRule="exact"/>
      <w:jc w:val="left"/>
    </w:pPr>
    <w:rPr>
      <w:rFonts w:ascii="Courier New" w:hAnsi="Courier New"/>
      <w:kern w:val="0"/>
      <w:szCs w:val="20"/>
      <w:lang w:eastAsia="en-US"/>
    </w:rPr>
  </w:style>
  <w:style w:type="paragraph" w:customStyle="1" w:styleId="289">
    <w:name w:val="xl100"/>
    <w:basedOn w:val="1"/>
    <w:autoRedefine/>
    <w:qFormat/>
    <w:uiPriority w:val="0"/>
    <w:pPr>
      <w:widowControl/>
      <w:spacing w:before="100" w:beforeAutospacing="1" w:after="100" w:afterAutospacing="1"/>
      <w:jc w:val="left"/>
    </w:pPr>
    <w:rPr>
      <w:rFonts w:ascii="Courier New" w:hAnsi="Courier New" w:cs="Courier New"/>
      <w:color w:val="FF0000"/>
      <w:kern w:val="0"/>
      <w:sz w:val="22"/>
      <w:szCs w:val="22"/>
    </w:rPr>
  </w:style>
  <w:style w:type="paragraph" w:customStyle="1" w:styleId="290">
    <w:name w:val="首行缩进"/>
    <w:basedOn w:val="1"/>
    <w:autoRedefine/>
    <w:qFormat/>
    <w:uiPriority w:val="0"/>
    <w:pPr>
      <w:ind w:firstLine="480" w:firstLineChars="200"/>
    </w:pPr>
    <w:rPr>
      <w:rFonts w:ascii="微软雅黑" w:hAnsi="微软雅黑"/>
      <w:lang w:val="zh-CN"/>
    </w:rPr>
  </w:style>
  <w:style w:type="paragraph" w:customStyle="1" w:styleId="291">
    <w:name w:val="xl1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Courier New" w:hAnsi="Courier New" w:cs="Courier New"/>
      <w:kern w:val="0"/>
      <w:sz w:val="23"/>
      <w:szCs w:val="23"/>
    </w:rPr>
  </w:style>
  <w:style w:type="paragraph" w:customStyle="1" w:styleId="292">
    <w:name w:val="原点第二行"/>
    <w:basedOn w:val="191"/>
    <w:autoRedefine/>
    <w:qFormat/>
    <w:uiPriority w:val="0"/>
    <w:pPr>
      <w:numPr>
        <w:numId w:val="0"/>
      </w:numPr>
      <w:ind w:left="567" w:firstLine="420"/>
    </w:pPr>
  </w:style>
  <w:style w:type="paragraph" w:customStyle="1" w:styleId="293">
    <w:name w:val="È±Ê¡ÎÄ±¾"/>
    <w:basedOn w:val="1"/>
    <w:autoRedefine/>
    <w:qFormat/>
    <w:uiPriority w:val="0"/>
    <w:pPr>
      <w:widowControl/>
      <w:overflowPunct w:val="0"/>
      <w:autoSpaceDE w:val="0"/>
      <w:autoSpaceDN w:val="0"/>
      <w:adjustRightInd w:val="0"/>
      <w:spacing w:line="360" w:lineRule="auto"/>
      <w:textAlignment w:val="baseline"/>
    </w:pPr>
    <w:rPr>
      <w:kern w:val="0"/>
      <w:szCs w:val="20"/>
    </w:rPr>
  </w:style>
  <w:style w:type="paragraph" w:customStyle="1" w:styleId="294">
    <w:name w:val="Char Char Char Char Char Char Char Char Char Char"/>
    <w:basedOn w:val="1"/>
    <w:autoRedefine/>
    <w:qFormat/>
    <w:uiPriority w:val="0"/>
    <w:pPr>
      <w:adjustRightInd w:val="0"/>
      <w:spacing w:line="360" w:lineRule="auto"/>
    </w:pPr>
    <w:rPr>
      <w:kern w:val="0"/>
      <w:sz w:val="24"/>
      <w:szCs w:val="20"/>
    </w:rPr>
  </w:style>
  <w:style w:type="paragraph" w:customStyle="1" w:styleId="295">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96">
    <w:name w:val="xl164"/>
    <w:basedOn w:val="1"/>
    <w:autoRedefine/>
    <w:qFormat/>
    <w:uiPriority w:val="0"/>
    <w:pPr>
      <w:widowControl/>
      <w:pBdr>
        <w:left w:val="single" w:color="auto" w:sz="4" w:space="0"/>
        <w:bottom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297">
    <w:name w:val="xl1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298">
    <w:name w:val="图"/>
    <w:basedOn w:val="1"/>
    <w:autoRedefine/>
    <w:qFormat/>
    <w:uiPriority w:val="0"/>
    <w:pPr>
      <w:keepNext/>
      <w:adjustRightInd w:val="0"/>
      <w:spacing w:line="300" w:lineRule="auto"/>
      <w:jc w:val="center"/>
      <w:textAlignment w:val="center"/>
    </w:pPr>
    <w:rPr>
      <w:snapToGrid w:val="0"/>
      <w:spacing w:val="20"/>
      <w:kern w:val="0"/>
      <w:sz w:val="24"/>
      <w:szCs w:val="20"/>
    </w:rPr>
  </w:style>
  <w:style w:type="paragraph" w:customStyle="1" w:styleId="299">
    <w:name w:val="xl18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300">
    <w:name w:val="tabletext"/>
    <w:basedOn w:val="1"/>
    <w:autoRedefine/>
    <w:qFormat/>
    <w:uiPriority w:val="0"/>
    <w:pPr>
      <w:widowControl/>
      <w:spacing w:beforeAutospacing="1" w:afterAutospacing="1" w:line="217" w:lineRule="atLeast"/>
      <w:jc w:val="left"/>
    </w:pPr>
    <w:rPr>
      <w:rFonts w:ascii="Courier New" w:hAnsi="Courier New" w:cs="Courier New"/>
      <w:kern w:val="0"/>
      <w:sz w:val="16"/>
      <w:szCs w:val="16"/>
      <w:lang w:bidi="th-TH"/>
    </w:rPr>
  </w:style>
  <w:style w:type="paragraph" w:customStyle="1" w:styleId="301">
    <w:name w:val="Char Char Char Char Char Char Char Char Char Char Char Char Char"/>
    <w:basedOn w:val="1"/>
    <w:autoRedefine/>
    <w:qFormat/>
    <w:uiPriority w:val="0"/>
    <w:pPr>
      <w:widowControl/>
      <w:spacing w:after="160" w:line="240" w:lineRule="exact"/>
      <w:jc w:val="left"/>
    </w:pPr>
    <w:rPr>
      <w:rFonts w:ascii="Courier New" w:hAnsi="Courier New" w:cs="Courier New"/>
      <w:kern w:val="0"/>
      <w:sz w:val="24"/>
    </w:rPr>
  </w:style>
  <w:style w:type="paragraph" w:customStyle="1" w:styleId="302">
    <w:name w:val="xl14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b/>
      <w:bCs/>
      <w:kern w:val="0"/>
      <w:sz w:val="23"/>
      <w:szCs w:val="23"/>
    </w:rPr>
  </w:style>
  <w:style w:type="paragraph" w:customStyle="1" w:styleId="303">
    <w:name w:val="font6"/>
    <w:basedOn w:val="1"/>
    <w:autoRedefine/>
    <w:qFormat/>
    <w:uiPriority w:val="0"/>
    <w:pPr>
      <w:widowControl/>
      <w:spacing w:before="100" w:beforeAutospacing="1" w:after="100" w:afterAutospacing="1"/>
      <w:jc w:val="left"/>
    </w:pPr>
    <w:rPr>
      <w:rFonts w:ascii="Courier New" w:hAnsi="Courier New" w:cs="Courier New"/>
      <w:b/>
      <w:bCs/>
      <w:kern w:val="0"/>
      <w:sz w:val="23"/>
      <w:szCs w:val="23"/>
    </w:rPr>
  </w:style>
  <w:style w:type="paragraph" w:customStyle="1" w:styleId="304">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305">
    <w:name w:val="xl24"/>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Wingdings" w:hAnsi="Cambria Math" w:eastAsia="Wingdings"/>
      <w:kern w:val="0"/>
      <w:sz w:val="24"/>
    </w:rPr>
  </w:style>
  <w:style w:type="paragraph" w:customStyle="1" w:styleId="306">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2"/>
      <w:szCs w:val="22"/>
    </w:rPr>
  </w:style>
  <w:style w:type="paragraph" w:customStyle="1" w:styleId="307">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8"/>
      <w:szCs w:val="18"/>
    </w:rPr>
  </w:style>
  <w:style w:type="paragraph" w:customStyle="1" w:styleId="308">
    <w:name w:val="xl177"/>
    <w:basedOn w:val="1"/>
    <w:autoRedefine/>
    <w:qFormat/>
    <w:uiPriority w:val="0"/>
    <w:pPr>
      <w:widowControl/>
      <w:pBdr>
        <w:top w:val="single" w:color="000000" w:sz="4" w:space="0"/>
        <w:left w:val="single" w:color="000000" w:sz="4" w:space="0"/>
        <w:right w:val="single" w:color="auto" w:sz="4" w:space="0"/>
      </w:pBdr>
      <w:spacing w:before="100" w:beforeAutospacing="1" w:after="100" w:afterAutospacing="1"/>
      <w:jc w:val="center"/>
    </w:pPr>
    <w:rPr>
      <w:rFonts w:ascii="Courier New" w:hAnsi="Courier New" w:cs="Courier New"/>
      <w:kern w:val="0"/>
      <w:sz w:val="22"/>
      <w:szCs w:val="22"/>
    </w:rPr>
  </w:style>
  <w:style w:type="paragraph" w:customStyle="1" w:styleId="309">
    <w:name w:val="xl17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310">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3"/>
      <w:szCs w:val="23"/>
    </w:rPr>
  </w:style>
  <w:style w:type="paragraph" w:customStyle="1" w:styleId="311">
    <w:name w:val="xl1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312">
    <w:name w:val="Char Char2 Char11"/>
    <w:basedOn w:val="1"/>
    <w:autoRedefine/>
    <w:qFormat/>
    <w:uiPriority w:val="0"/>
    <w:rPr>
      <w:rFonts w:ascii="Courier New" w:hAnsi="Courier New"/>
      <w:b/>
      <w:sz w:val="28"/>
      <w:szCs w:val="28"/>
    </w:rPr>
  </w:style>
  <w:style w:type="paragraph" w:customStyle="1" w:styleId="313">
    <w:name w:val="xl12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3"/>
      <w:szCs w:val="23"/>
    </w:rPr>
  </w:style>
  <w:style w:type="paragraph" w:customStyle="1" w:styleId="314">
    <w:name w:val="xl16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kern w:val="0"/>
      <w:sz w:val="22"/>
      <w:szCs w:val="22"/>
    </w:rPr>
  </w:style>
  <w:style w:type="paragraph" w:customStyle="1" w:styleId="315">
    <w:name w:val="xl1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000000"/>
      <w:kern w:val="0"/>
      <w:sz w:val="23"/>
      <w:szCs w:val="23"/>
    </w:rPr>
  </w:style>
  <w:style w:type="paragraph" w:customStyle="1" w:styleId="316">
    <w:name w:val="xl79"/>
    <w:basedOn w:val="1"/>
    <w:autoRedefine/>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317">
    <w:name w:val="题注4"/>
    <w:basedOn w:val="1"/>
    <w:next w:val="16"/>
    <w:autoRedefine/>
    <w:qFormat/>
    <w:uiPriority w:val="0"/>
    <w:pPr>
      <w:ind w:left="-132" w:leftChars="-64" w:right="-105" w:rightChars="-50" w:hanging="2"/>
      <w:jc w:val="center"/>
    </w:pPr>
    <w:rPr>
      <w:b/>
      <w:color w:val="FF0000"/>
      <w:szCs w:val="21"/>
      <w:lang w:val="en-GB"/>
    </w:rPr>
  </w:style>
  <w:style w:type="paragraph" w:customStyle="1" w:styleId="318">
    <w:name w:val="办公自动化专用标题"/>
    <w:basedOn w:val="45"/>
    <w:autoRedefine/>
    <w:qFormat/>
    <w:uiPriority w:val="0"/>
    <w:pPr>
      <w:spacing w:line="560" w:lineRule="atLeast"/>
    </w:pPr>
    <w:rPr>
      <w:rFonts w:ascii="Courier New" w:cs="宋体"/>
      <w:bCs w:val="0"/>
      <w:sz w:val="44"/>
      <w:szCs w:val="20"/>
    </w:rPr>
  </w:style>
  <w:style w:type="paragraph" w:customStyle="1" w:styleId="319">
    <w:name w:val="xl27"/>
    <w:basedOn w:val="1"/>
    <w:autoRedefine/>
    <w:qFormat/>
    <w:uiPriority w:val="0"/>
    <w:pPr>
      <w:widowControl/>
      <w:pBdr>
        <w:left w:val="single" w:color="auto" w:sz="8" w:space="0"/>
        <w:bottom w:val="single" w:color="auto" w:sz="4" w:space="0"/>
        <w:right w:val="single" w:color="auto" w:sz="4" w:space="0"/>
      </w:pBdr>
      <w:spacing w:beforeAutospacing="1" w:afterAutospacing="1"/>
      <w:jc w:val="center"/>
      <w:textAlignment w:val="center"/>
    </w:pPr>
    <w:rPr>
      <w:rFonts w:ascii="Courier New" w:hAnsi="Courier New"/>
      <w:kern w:val="0"/>
      <w:szCs w:val="21"/>
    </w:rPr>
  </w:style>
  <w:style w:type="paragraph" w:customStyle="1" w:styleId="320">
    <w:name w:val="缺省文本"/>
    <w:basedOn w:val="1"/>
    <w:autoRedefine/>
    <w:qFormat/>
    <w:uiPriority w:val="0"/>
    <w:pPr>
      <w:autoSpaceDE w:val="0"/>
      <w:autoSpaceDN w:val="0"/>
      <w:adjustRightInd w:val="0"/>
      <w:jc w:val="left"/>
    </w:pPr>
    <w:rPr>
      <w:kern w:val="0"/>
      <w:sz w:val="24"/>
      <w:szCs w:val="20"/>
    </w:rPr>
  </w:style>
  <w:style w:type="paragraph" w:customStyle="1" w:styleId="321">
    <w:name w:val="表格文字"/>
    <w:basedOn w:val="1"/>
    <w:autoRedefine/>
    <w:qFormat/>
    <w:uiPriority w:val="0"/>
    <w:pPr>
      <w:jc w:val="left"/>
    </w:pPr>
    <w:rPr>
      <w:bCs/>
      <w:spacing w:val="10"/>
      <w:kern w:val="0"/>
      <w:sz w:val="24"/>
      <w:szCs w:val="20"/>
    </w:rPr>
  </w:style>
  <w:style w:type="paragraph" w:customStyle="1" w:styleId="322">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paragraph" w:customStyle="1" w:styleId="323">
    <w:name w:val="Char11"/>
    <w:basedOn w:val="1"/>
    <w:autoRedefine/>
    <w:qFormat/>
    <w:uiPriority w:val="0"/>
    <w:pPr>
      <w:widowControl/>
      <w:spacing w:line="240" w:lineRule="exact"/>
      <w:jc w:val="left"/>
    </w:pPr>
    <w:rPr>
      <w:rFonts w:ascii="Courier New" w:hAnsi="Courier New" w:eastAsia="SimSun-Identity-H"/>
      <w:kern w:val="0"/>
      <w:sz w:val="24"/>
      <w:szCs w:val="20"/>
      <w:lang w:eastAsia="en-US"/>
    </w:rPr>
  </w:style>
  <w:style w:type="paragraph" w:customStyle="1" w:styleId="324">
    <w:name w:val="xl91"/>
    <w:basedOn w:val="1"/>
    <w:autoRedefine/>
    <w:qFormat/>
    <w:uiPriority w:val="0"/>
    <w:pPr>
      <w:widowControl/>
      <w:shd w:val="clear" w:color="000000" w:fill="FFFFFF"/>
      <w:spacing w:before="100" w:beforeAutospacing="1" w:after="100" w:afterAutospacing="1"/>
      <w:jc w:val="left"/>
    </w:pPr>
    <w:rPr>
      <w:rFonts w:ascii="Courier New" w:hAnsi="Courier New" w:cs="Courier New"/>
      <w:kern w:val="0"/>
      <w:sz w:val="23"/>
      <w:szCs w:val="23"/>
    </w:rPr>
  </w:style>
  <w:style w:type="paragraph" w:customStyle="1" w:styleId="325">
    <w:name w:val="List Paragraph1"/>
    <w:basedOn w:val="1"/>
    <w:autoRedefine/>
    <w:qFormat/>
    <w:uiPriority w:val="34"/>
    <w:pPr>
      <w:ind w:firstLine="420" w:firstLineChars="200"/>
    </w:pPr>
    <w:rPr>
      <w:rFonts w:ascii="华文中宋" w:hAnsi="华文中宋" w:eastAsia="Courier New"/>
      <w:szCs w:val="20"/>
    </w:rPr>
  </w:style>
  <w:style w:type="paragraph" w:customStyle="1" w:styleId="326">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b/>
      <w:bCs/>
      <w:kern w:val="0"/>
      <w:sz w:val="23"/>
      <w:szCs w:val="23"/>
    </w:rPr>
  </w:style>
  <w:style w:type="table" w:customStyle="1" w:styleId="327">
    <w:name w:val="网格型3"/>
    <w:basedOn w:val="49"/>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8">
    <w:name w:val="网格型21"/>
    <w:basedOn w:val="49"/>
    <w:autoRedefine/>
    <w:qFormat/>
    <w:uiPriority w:val="39"/>
    <w:rPr>
      <w:rFonts w:ascii="Calibri" w:hAnsi="Calibri" w:eastAsia="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9">
    <w:name w:val="网格型4"/>
    <w:basedOn w:val="49"/>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0">
    <w:name w:val="网格型2"/>
    <w:basedOn w:val="49"/>
    <w:autoRedefine/>
    <w:qFormat/>
    <w:uiPriority w:val="39"/>
    <w:rPr>
      <w:rFonts w:ascii="Calibri" w:hAnsi="Calibri" w:eastAsia="Calibri" w:cs="微软雅黑"/>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1">
    <w:name w:val="网格型1"/>
    <w:basedOn w:val="49"/>
    <w:autoRedefine/>
    <w:qFormat/>
    <w:uiPriority w:val="0"/>
    <w:pPr>
      <w:widowControl w:val="0"/>
      <w:jc w:val="both"/>
    </w:pPr>
    <w:rPr>
      <w:rFonts w:ascii="微软雅黑" w:hAnsi="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2">
    <w:name w:val="网格型11"/>
    <w:basedOn w:val="49"/>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33">
    <w:name w:val="_Style 3"/>
    <w:basedOn w:val="1"/>
    <w:next w:val="40"/>
    <w:autoRedefine/>
    <w:qFormat/>
    <w:uiPriority w:val="34"/>
    <w:pPr>
      <w:widowControl/>
      <w:spacing w:line="240" w:lineRule="atLeast"/>
      <w:ind w:firstLine="420" w:firstLineChars="200"/>
      <w:jc w:val="left"/>
    </w:pPr>
    <w:rPr>
      <w:rFonts w:ascii="仿宋体" w:hAnsi="仿宋体" w:eastAsia="Arial" w:cs="Arial"/>
      <w:kern w:val="0"/>
      <w:sz w:val="24"/>
    </w:rPr>
  </w:style>
  <w:style w:type="paragraph" w:customStyle="1" w:styleId="334">
    <w:name w:val="Table Paragraph"/>
    <w:basedOn w:val="1"/>
    <w:autoRedefine/>
    <w:qFormat/>
    <w:uiPriority w:val="1"/>
    <w:pPr>
      <w:autoSpaceDE w:val="0"/>
      <w:autoSpaceDN w:val="0"/>
      <w:adjustRightInd w:val="0"/>
      <w:jc w:val="left"/>
    </w:pPr>
    <w:rPr>
      <w:kern w:val="0"/>
      <w:sz w:val="24"/>
    </w:rPr>
  </w:style>
  <w:style w:type="character" w:customStyle="1" w:styleId="335">
    <w:name w:val="彩色列表 - 着色 1 字符"/>
    <w:link w:val="336"/>
    <w:autoRedefine/>
    <w:qFormat/>
    <w:uiPriority w:val="34"/>
    <w:rPr>
      <w:rFonts w:ascii="华文中宋" w:hAnsi="华文中宋"/>
      <w:kern w:val="1"/>
      <w:lang w:eastAsia="ar-SA"/>
    </w:rPr>
  </w:style>
  <w:style w:type="paragraph" w:customStyle="1" w:styleId="336">
    <w:name w:val="彩色列表 - 强调文字颜色 11"/>
    <w:basedOn w:val="1"/>
    <w:link w:val="335"/>
    <w:autoRedefine/>
    <w:qFormat/>
    <w:uiPriority w:val="34"/>
    <w:pPr>
      <w:suppressAutoHyphens/>
      <w:ind w:firstLine="420"/>
    </w:pPr>
    <w:rPr>
      <w:rFonts w:ascii="华文中宋" w:hAnsi="华文中宋"/>
      <w:kern w:val="1"/>
      <w:sz w:val="20"/>
      <w:szCs w:val="20"/>
      <w:lang w:eastAsia="ar-SA"/>
    </w:rPr>
  </w:style>
  <w:style w:type="paragraph" w:customStyle="1" w:styleId="337">
    <w:name w:val="_Style 332"/>
    <w:basedOn w:val="21"/>
    <w:next w:val="48"/>
    <w:autoRedefine/>
    <w:qFormat/>
    <w:uiPriority w:val="0"/>
    <w:pPr>
      <w:adjustRightInd/>
      <w:snapToGrid/>
      <w:spacing w:after="120" w:line="240" w:lineRule="auto"/>
      <w:ind w:left="420" w:leftChars="200"/>
    </w:pPr>
    <w:rPr>
      <w:kern w:val="0"/>
      <w:sz w:val="20"/>
      <w:szCs w:val="20"/>
    </w:rPr>
  </w:style>
  <w:style w:type="character" w:customStyle="1" w:styleId="338">
    <w:name w:val="正文首行缩进 2 Char"/>
    <w:autoRedefine/>
    <w:qFormat/>
    <w:uiPriority w:val="0"/>
  </w:style>
  <w:style w:type="paragraph" w:customStyle="1" w:styleId="339">
    <w:name w:val="_Style 2"/>
    <w:basedOn w:val="1"/>
    <w:next w:val="1"/>
    <w:autoRedefine/>
    <w:qFormat/>
    <w:uiPriority w:val="99"/>
    <w:pPr>
      <w:ind w:firstLine="420"/>
    </w:pPr>
    <w:rPr>
      <w:rFonts w:ascii="Cambria" w:hAnsi="Cambria"/>
    </w:rPr>
  </w:style>
  <w:style w:type="character" w:customStyle="1" w:styleId="340">
    <w:name w:val="z-窗体顶端 字符1"/>
    <w:autoRedefine/>
    <w:qFormat/>
    <w:uiPriority w:val="99"/>
    <w:rPr>
      <w:rFonts w:ascii="Arial" w:hAnsi="Arial" w:eastAsia="宋体" w:cs="Arial"/>
      <w:vanish/>
      <w:sz w:val="16"/>
      <w:szCs w:val="16"/>
    </w:rPr>
  </w:style>
  <w:style w:type="character" w:customStyle="1" w:styleId="341">
    <w:name w:val="未处理的提及11"/>
    <w:autoRedefine/>
    <w:qFormat/>
    <w:uiPriority w:val="99"/>
    <w:rPr>
      <w:color w:val="605E5C"/>
      <w:shd w:val="clear" w:color="auto" w:fill="E1DFDD"/>
    </w:rPr>
  </w:style>
  <w:style w:type="paragraph" w:customStyle="1" w:styleId="342">
    <w:name w:val="z-窗体顶端11"/>
    <w:basedOn w:val="1"/>
    <w:autoRedefine/>
    <w:qFormat/>
    <w:uiPriority w:val="34"/>
    <w:pPr>
      <w:tabs>
        <w:tab w:val="left" w:pos="1276"/>
      </w:tabs>
      <w:spacing w:line="360" w:lineRule="auto"/>
      <w:ind w:firstLine="420" w:firstLineChars="200"/>
    </w:pPr>
  </w:style>
  <w:style w:type="paragraph" w:customStyle="1" w:styleId="343">
    <w:name w:val="Char Char Char Char1"/>
    <w:basedOn w:val="1"/>
    <w:autoRedefine/>
    <w:qFormat/>
    <w:uiPriority w:val="0"/>
    <w:pPr>
      <w:widowControl/>
      <w:spacing w:after="160" w:line="240" w:lineRule="exact"/>
      <w:jc w:val="left"/>
    </w:pPr>
    <w:rPr>
      <w:rFonts w:ascii="Courier New" w:hAnsi="Courier New"/>
      <w:kern w:val="0"/>
      <w:sz w:val="20"/>
      <w:szCs w:val="20"/>
      <w:lang w:eastAsia="en-US"/>
    </w:rPr>
  </w:style>
  <w:style w:type="paragraph" w:customStyle="1" w:styleId="344">
    <w:name w:val="Char Char131"/>
    <w:basedOn w:val="1"/>
    <w:autoRedefine/>
    <w:qFormat/>
    <w:uiPriority w:val="0"/>
    <w:pPr>
      <w:widowControl/>
      <w:spacing w:after="160" w:line="240" w:lineRule="exact"/>
      <w:jc w:val="left"/>
    </w:pPr>
    <w:rPr>
      <w:rFonts w:ascii="Courier New" w:hAnsi="Courier New" w:eastAsia="SimSun-Identity-H"/>
      <w:kern w:val="0"/>
      <w:sz w:val="24"/>
      <w:szCs w:val="20"/>
      <w:lang w:eastAsia="en-US"/>
    </w:rPr>
  </w:style>
  <w:style w:type="paragraph" w:customStyle="1" w:styleId="345">
    <w:name w:val="Char Char Char1"/>
    <w:basedOn w:val="1"/>
    <w:autoRedefine/>
    <w:qFormat/>
    <w:uiPriority w:val="0"/>
    <w:pPr>
      <w:widowControl/>
      <w:spacing w:after="160" w:line="240" w:lineRule="exact"/>
      <w:jc w:val="left"/>
    </w:pPr>
    <w:rPr>
      <w:szCs w:val="20"/>
    </w:rPr>
  </w:style>
  <w:style w:type="paragraph" w:customStyle="1" w:styleId="346">
    <w:name w:val="彩色底纹 - 强调文字颜色 11"/>
    <w:autoRedefine/>
    <w:qFormat/>
    <w:uiPriority w:val="99"/>
    <w:rPr>
      <w:rFonts w:ascii="Times New Roman" w:hAnsi="Times New Roman" w:eastAsia="宋体" w:cs="Times New Roman"/>
      <w:kern w:val="2"/>
      <w:sz w:val="21"/>
      <w:szCs w:val="24"/>
      <w:lang w:val="en-US" w:eastAsia="zh-CN" w:bidi="ar-SA"/>
    </w:rPr>
  </w:style>
  <w:style w:type="paragraph" w:customStyle="1" w:styleId="347">
    <w:name w:val="Char Char Char Char Char Char Char Char Char Char Char Char1 Char1"/>
    <w:basedOn w:val="17"/>
    <w:autoRedefine/>
    <w:qFormat/>
    <w:uiPriority w:val="0"/>
  </w:style>
  <w:style w:type="paragraph" w:customStyle="1" w:styleId="348">
    <w:name w:val="Char Char Char Char Char Char Char1"/>
    <w:basedOn w:val="1"/>
    <w:autoRedefine/>
    <w:qFormat/>
    <w:uiPriority w:val="0"/>
    <w:pPr>
      <w:tabs>
        <w:tab w:val="left" w:pos="425"/>
      </w:tabs>
      <w:ind w:left="425" w:hanging="425"/>
    </w:pPr>
    <w:rPr>
      <w:rFonts w:eastAsia="SimSun-Identity-H"/>
      <w:kern w:val="24"/>
      <w:sz w:val="24"/>
    </w:rPr>
  </w:style>
  <w:style w:type="paragraph" w:customStyle="1" w:styleId="349">
    <w:name w:val="Char Char1"/>
    <w:basedOn w:val="1"/>
    <w:autoRedefine/>
    <w:qFormat/>
    <w:uiPriority w:val="0"/>
    <w:rPr>
      <w:rFonts w:ascii="Courier New" w:hAnsi="Courier New"/>
      <w:b/>
      <w:sz w:val="28"/>
      <w:szCs w:val="28"/>
    </w:rPr>
  </w:style>
  <w:style w:type="paragraph" w:customStyle="1" w:styleId="350">
    <w:name w:val="中等深浅网格 21"/>
    <w:autoRedefine/>
    <w:qFormat/>
    <w:uiPriority w:val="1"/>
    <w:pPr>
      <w:widowControl w:val="0"/>
      <w:jc w:val="both"/>
    </w:pPr>
    <w:rPr>
      <w:rFonts w:ascii="Times New Roman" w:hAnsi="Times New Roman" w:eastAsia="宋体" w:cs="Times New Roman"/>
      <w:kern w:val="2"/>
      <w:sz w:val="24"/>
      <w:szCs w:val="22"/>
      <w:lang w:val="en-US" w:eastAsia="zh-CN" w:bidi="ar-SA"/>
    </w:rPr>
  </w:style>
  <w:style w:type="paragraph" w:customStyle="1" w:styleId="351">
    <w:name w:val="Char1 Char Char Char1"/>
    <w:basedOn w:val="1"/>
    <w:autoRedefine/>
    <w:qFormat/>
    <w:uiPriority w:val="0"/>
    <w:pPr>
      <w:numPr>
        <w:ilvl w:val="0"/>
        <w:numId w:val="4"/>
      </w:numPr>
      <w:tabs>
        <w:tab w:val="clear" w:pos="360"/>
      </w:tabs>
    </w:pPr>
    <w:rPr>
      <w:sz w:val="24"/>
    </w:rPr>
  </w:style>
  <w:style w:type="paragraph" w:customStyle="1" w:styleId="352">
    <w:name w:val="Char Char Char Char Char Char1 Char1"/>
    <w:basedOn w:val="1"/>
    <w:autoRedefine/>
    <w:qFormat/>
    <w:uiPriority w:val="0"/>
    <w:pPr>
      <w:widowControl/>
      <w:spacing w:after="160" w:line="240" w:lineRule="exact"/>
      <w:jc w:val="left"/>
    </w:pPr>
    <w:rPr>
      <w:rFonts w:ascii="Courier New" w:hAnsi="Courier New"/>
      <w:kern w:val="0"/>
      <w:szCs w:val="20"/>
      <w:lang w:eastAsia="en-US"/>
    </w:rPr>
  </w:style>
  <w:style w:type="paragraph" w:customStyle="1" w:styleId="353">
    <w:name w:val="Char Char Char Char Char Char Char Char Char Char1"/>
    <w:basedOn w:val="1"/>
    <w:autoRedefine/>
    <w:qFormat/>
    <w:uiPriority w:val="0"/>
    <w:pPr>
      <w:adjustRightInd w:val="0"/>
      <w:spacing w:line="360" w:lineRule="auto"/>
    </w:pPr>
    <w:rPr>
      <w:kern w:val="0"/>
      <w:sz w:val="24"/>
      <w:szCs w:val="20"/>
    </w:rPr>
  </w:style>
  <w:style w:type="paragraph" w:customStyle="1" w:styleId="354">
    <w:name w:val="Char Char Char Char Char Char Char Char Char Char Char Char Char1"/>
    <w:basedOn w:val="1"/>
    <w:autoRedefine/>
    <w:qFormat/>
    <w:uiPriority w:val="0"/>
    <w:pPr>
      <w:widowControl/>
      <w:spacing w:after="160" w:line="240" w:lineRule="exact"/>
      <w:jc w:val="left"/>
    </w:pPr>
    <w:rPr>
      <w:rFonts w:ascii="Courier New" w:hAnsi="Courier New" w:cs="Courier New"/>
      <w:kern w:val="0"/>
      <w:sz w:val="24"/>
    </w:rPr>
  </w:style>
  <w:style w:type="paragraph" w:customStyle="1" w:styleId="355">
    <w:name w:val="Char Char2 Char1"/>
    <w:basedOn w:val="1"/>
    <w:autoRedefine/>
    <w:qFormat/>
    <w:uiPriority w:val="0"/>
    <w:rPr>
      <w:rFonts w:ascii="Courier New" w:hAnsi="Courier New"/>
      <w:b/>
      <w:sz w:val="28"/>
      <w:szCs w:val="28"/>
    </w:rPr>
  </w:style>
  <w:style w:type="paragraph" w:customStyle="1" w:styleId="356">
    <w:name w:val="Char1"/>
    <w:basedOn w:val="1"/>
    <w:autoRedefine/>
    <w:qFormat/>
    <w:uiPriority w:val="0"/>
    <w:pPr>
      <w:widowControl/>
      <w:spacing w:after="160" w:line="240" w:lineRule="exact"/>
      <w:jc w:val="left"/>
    </w:pPr>
    <w:rPr>
      <w:rFonts w:ascii="Courier New" w:hAnsi="Courier New" w:eastAsia="SimSun-Identity-H"/>
      <w:kern w:val="0"/>
      <w:sz w:val="24"/>
      <w:szCs w:val="20"/>
      <w:lang w:eastAsia="en-US"/>
    </w:rPr>
  </w:style>
  <w:style w:type="paragraph" w:customStyle="1" w:styleId="357">
    <w:name w:val="列表段落2"/>
    <w:basedOn w:val="1"/>
    <w:autoRedefine/>
    <w:qFormat/>
    <w:uiPriority w:val="34"/>
    <w:pPr>
      <w:ind w:firstLine="420" w:firstLineChars="200"/>
    </w:pPr>
    <w:rPr>
      <w:rFonts w:ascii="华文中宋" w:hAnsi="华文中宋" w:eastAsia="Courier New"/>
      <w:szCs w:val="20"/>
    </w:rPr>
  </w:style>
  <w:style w:type="character" w:customStyle="1" w:styleId="358">
    <w:name w:val="font51"/>
    <w:basedOn w:val="51"/>
    <w:autoRedefine/>
    <w:qFormat/>
    <w:uiPriority w:val="0"/>
    <w:rPr>
      <w:rFonts w:hint="eastAsia" w:ascii="宋体" w:hAnsi="宋体" w:eastAsia="宋体" w:cs="宋体"/>
      <w:color w:val="000000"/>
      <w:sz w:val="20"/>
      <w:szCs w:val="20"/>
      <w:u w:val="none"/>
      <w:vertAlign w:val="superscript"/>
    </w:rPr>
  </w:style>
  <w:style w:type="table" w:customStyle="1" w:styleId="359">
    <w:name w:val="Table Normal"/>
    <w:autoRedefine/>
    <w:semiHidden/>
    <w:unhideWhenUsed/>
    <w:qFormat/>
    <w:uiPriority w:val="0"/>
    <w:tblPr>
      <w:tblCellMar>
        <w:top w:w="0" w:type="dxa"/>
        <w:left w:w="0" w:type="dxa"/>
        <w:bottom w:w="0" w:type="dxa"/>
        <w:right w:w="0" w:type="dxa"/>
      </w:tblCellMar>
    </w:tblPr>
  </w:style>
  <w:style w:type="character" w:customStyle="1" w:styleId="360">
    <w:name w:val="dt-highlight"/>
    <w:autoRedefine/>
    <w:qFormat/>
    <w:uiPriority w:val="0"/>
  </w:style>
  <w:style w:type="paragraph" w:customStyle="1" w:styleId="361">
    <w:name w:val="段"/>
    <w:basedOn w:val="1"/>
    <w:autoRedefine/>
    <w:qFormat/>
    <w:uiPriority w:val="0"/>
    <w:pPr>
      <w:widowControl/>
      <w:autoSpaceDE w:val="0"/>
      <w:autoSpaceDN w:val="0"/>
      <w:ind w:firstLine="420" w:firstLineChars="200"/>
    </w:pPr>
    <w:rPr>
      <w:rFonts w:hint="eastAsia" w:ascii="宋体"/>
      <w:kern w:val="0"/>
      <w:szCs w:val="21"/>
    </w:rPr>
  </w:style>
  <w:style w:type="character" w:customStyle="1" w:styleId="362">
    <w:name w:val="副标题 字符"/>
    <w:basedOn w:val="51"/>
    <w:link w:val="37"/>
    <w:autoRedefine/>
    <w:qFormat/>
    <w:uiPriority w:val="0"/>
    <w:rPr>
      <w:rFonts w:ascii="Cambria" w:hAnsi="Cambria"/>
      <w:b/>
      <w:bCs/>
      <w:kern w:val="28"/>
      <w:sz w:val="32"/>
      <w:szCs w:val="32"/>
    </w:rPr>
  </w:style>
  <w:style w:type="paragraph" w:customStyle="1" w:styleId="363">
    <w:name w:val="B"/>
    <w:basedOn w:val="2"/>
    <w:autoRedefine/>
    <w:qFormat/>
    <w:uiPriority w:val="1"/>
    <w:pPr>
      <w:ind w:firstLine="480" w:firstLineChars="200"/>
    </w:pPr>
    <w:rPr>
      <w:sz w:val="24"/>
    </w:rPr>
  </w:style>
  <w:style w:type="paragraph" w:customStyle="1" w:styleId="36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557A91-9A18-4E32-8208-58BBFE1A7B3F}">
  <ds:schemaRefs/>
</ds:datastoreItem>
</file>

<file path=docProps/app.xml><?xml version="1.0" encoding="utf-8"?>
<Properties xmlns="http://schemas.openxmlformats.org/officeDocument/2006/extended-properties" xmlns:vt="http://schemas.openxmlformats.org/officeDocument/2006/docPropsVTypes">
  <Template>Normal</Template>
  <Pages>81</Pages>
  <Words>43770</Words>
  <Characters>46050</Characters>
  <Lines>392</Lines>
  <Paragraphs>110</Paragraphs>
  <TotalTime>13</TotalTime>
  <ScaleCrop>false</ScaleCrop>
  <LinksUpToDate>false</LinksUpToDate>
  <CharactersWithSpaces>51677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2023-06-09T09:03:00Z</dcterms:created>
  <dc:creator>kinda</dc:creator>
  <cp:lastModifiedBy>xxxdindinxxx</cp:lastModifiedBy>
  <cp:lastPrinted>2024-06-11T09:52:00Z</cp:lastPrinted>
  <dcterms:modified xsi:type="dcterms:W3CDTF">2024-08-27T11:47:34Z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ABC77B60970F4EB6840CA249A030B47B_13</vt:lpwstr>
  </property>
</Properties>
</file>