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版本号：N511024202600001920260302001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中共威远县委宣传部2026年-2028年威远县农村公益电影放映服务政府采购项目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N5110242026000019</w:t>
      </w:r>
    </w:p>
    <w:p>
      <w:pPr>
        <w:pStyle w:val="null3"/>
        <w:jc w:val="center"/>
        <w:outlineLvl w:val="2"/>
      </w:pPr>
      <w:r>
        <w:rPr>
          <w:rFonts w:ascii="仿宋_GB2312" w:hAnsi="仿宋_GB2312" w:cs="仿宋_GB2312" w:eastAsia="仿宋_GB2312"/>
          <w:sz w:val="28"/>
          <w:b/>
        </w:rPr>
        <w:t>中国共产党威远县委员会宣传部</w:t>
      </w:r>
    </w:p>
    <w:p>
      <w:pPr>
        <w:pStyle w:val="null3"/>
        <w:jc w:val="center"/>
        <w:outlineLvl w:val="2"/>
      </w:pPr>
      <w:r>
        <w:rPr>
          <w:rFonts w:ascii="仿宋_GB2312" w:hAnsi="仿宋_GB2312" w:cs="仿宋_GB2312" w:eastAsia="仿宋_GB2312"/>
          <w:sz w:val="28"/>
          <w:b/>
        </w:rPr>
        <w:t>内江联合产权服务有限公司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内江联合产权服务有限公司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中国共产党威远县委员会宣传部</w:t>
      </w:r>
      <w:r>
        <w:rPr>
          <w:rFonts w:ascii="仿宋_GB2312" w:hAnsi="仿宋_GB2312" w:cs="仿宋_GB2312" w:eastAsia="仿宋_GB2312"/>
        </w:rPr>
        <w:t xml:space="preserve"> 委托，拟对 </w:t>
      </w:r>
      <w:r>
        <w:rPr>
          <w:rFonts w:ascii="仿宋_GB2312" w:hAnsi="仿宋_GB2312" w:cs="仿宋_GB2312" w:eastAsia="仿宋_GB2312"/>
        </w:rPr>
        <w:t>中共威远县委宣传部2026年-2028年威远县农村公益电影放映服务政府采购项目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内江市威远县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N5110242026000019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中共威远县委宣传部2026年-2028年威远县农村公益电影放映服务政府采购项目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开展180个村的农村公益电影放映工作，每个村每年至少放映12场电影。</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1、供应商具有电影放映许可证（描述：供应商具有电影放映许可证（提供证书复印件））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中国共产党威远县委员会宣传部</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四川省内江市威远县严陵镇魏家东路双创综合体D区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0832-8264882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内江联合产权服务有限公司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四川省内江市东兴区四川省内江市东兴区兰桂大道377号2单元3楼2号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古先生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0832-2941026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采购包1：475,200.00元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代理服务费收费标准：供应商支付，按照成本加合理利润的原则定额收取代理服务费，代理服务费金额：14000.00元，收款账号：内江联合产权服务有限公司，开户行及账号： 工行内江市分行营业室 2307484119124563257</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中国共产党威远县委员会宣传部</w:t>
      </w:r>
      <w:r>
        <w:rPr>
          <w:rFonts w:ascii="仿宋_GB2312" w:hAnsi="仿宋_GB2312" w:cs="仿宋_GB2312" w:eastAsia="仿宋_GB2312"/>
        </w:rPr>
        <w:t xml:space="preserve"> 和 </w:t>
      </w:r>
      <w:r>
        <w:rPr>
          <w:rFonts w:ascii="仿宋_GB2312" w:hAnsi="仿宋_GB2312" w:cs="仿宋_GB2312" w:eastAsia="仿宋_GB2312"/>
        </w:rPr>
        <w:t>内江联合产权服务有限公司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中国共产党威远县委员会宣传部</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内江联合产权服务有限公司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磋商文件的质量要求和技术指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磋商文件的质量要求和技术指标、成交供应商的响应文件及承诺以及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中国共产党威远县委员会宣传部</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内江联合产权服务有限公司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内江联合产权服务有限公司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联系电话：0832-8264882</w:t>
      </w:r>
    </w:p>
    <w:p>
      <w:pPr>
        <w:pStyle w:val="null3"/>
        <w:jc w:val="left"/>
      </w:pPr>
      <w:r>
        <w:rPr>
          <w:rFonts w:ascii="仿宋_GB2312" w:hAnsi="仿宋_GB2312" w:cs="仿宋_GB2312" w:eastAsia="仿宋_GB2312"/>
        </w:rPr>
        <w:t>地址：四川省内江市威远县严陵镇魏家东路双创综合体D区</w:t>
      </w:r>
    </w:p>
    <w:p>
      <w:pPr>
        <w:pStyle w:val="null3"/>
        <w:jc w:val="left"/>
      </w:pPr>
      <w:r>
        <w:rPr>
          <w:rFonts w:ascii="仿宋_GB2312" w:hAnsi="仿宋_GB2312" w:cs="仿宋_GB2312" w:eastAsia="仿宋_GB2312"/>
        </w:rPr>
        <w:t>邮编：642450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联系人：古先生</w:t>
      </w:r>
    </w:p>
    <w:p>
      <w:pPr>
        <w:pStyle w:val="null3"/>
        <w:jc w:val="left"/>
      </w:pPr>
      <w:r>
        <w:rPr>
          <w:rFonts w:ascii="仿宋_GB2312" w:hAnsi="仿宋_GB2312" w:cs="仿宋_GB2312" w:eastAsia="仿宋_GB2312"/>
        </w:rPr>
        <w:t>联系电话：0832-2941026</w:t>
      </w:r>
    </w:p>
    <w:p>
      <w:pPr>
        <w:pStyle w:val="null3"/>
        <w:jc w:val="left"/>
      </w:pPr>
      <w:r>
        <w:rPr>
          <w:rFonts w:ascii="仿宋_GB2312" w:hAnsi="仿宋_GB2312" w:cs="仿宋_GB2312" w:eastAsia="仿宋_GB2312"/>
        </w:rPr>
        <w:t>地址：四川省内江市东兴区四川省内江市东兴区兰桂大道377号2单元3楼2号</w:t>
      </w:r>
    </w:p>
    <w:p>
      <w:pPr>
        <w:pStyle w:val="null3"/>
        <w:jc w:val="left"/>
      </w:pPr>
      <w:r>
        <w:rPr>
          <w:rFonts w:ascii="仿宋_GB2312" w:hAnsi="仿宋_GB2312" w:cs="仿宋_GB2312" w:eastAsia="仿宋_GB2312"/>
        </w:rPr>
        <w:t>邮编：641100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475,200.00</w:t>
      </w:r>
    </w:p>
    <w:p>
      <w:pPr>
        <w:pStyle w:val="null3"/>
        <w:jc w:val="left"/>
      </w:pPr>
      <w:r>
        <w:rPr>
          <w:rFonts w:ascii="仿宋_GB2312" w:hAnsi="仿宋_GB2312" w:cs="仿宋_GB2312" w:eastAsia="仿宋_GB2312"/>
        </w:rPr>
        <w:t>采购包最高限价（元）: 475,200.00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C06020300 电影服务</w:t>
            </w:r>
          </w:p>
        </w:tc>
        <w:tc>
          <w:tcPr>
            <w:tcW w:type="dxa" w:w="821"/>
          </w:tcPr>
          <w:p>
            <w:pPr>
              <w:pStyle w:val="null3"/>
              <w:jc w:val="left"/>
            </w:pPr>
            <w:r>
              <w:rPr>
                <w:rFonts w:ascii="仿宋_GB2312" w:hAnsi="仿宋_GB2312" w:cs="仿宋_GB2312" w:eastAsia="仿宋_GB2312"/>
              </w:rPr>
              <w:t>农村公益电影放映服务</w:t>
            </w:r>
          </w:p>
        </w:tc>
        <w:tc>
          <w:tcPr>
            <w:tcW w:type="dxa" w:w="821"/>
          </w:tcPr>
          <w:p>
            <w:pPr>
              <w:pStyle w:val="null3"/>
              <w:jc w:val="right"/>
            </w:pPr>
            <w:r>
              <w:rPr>
                <w:rFonts w:ascii="仿宋_GB2312" w:hAnsi="仿宋_GB2312" w:cs="仿宋_GB2312" w:eastAsia="仿宋_GB2312"/>
              </w:rPr>
              <w:t>2,160.00（场）</w:t>
            </w:r>
          </w:p>
        </w:tc>
        <w:tc>
          <w:tcPr>
            <w:tcW w:type="dxa" w:w="821"/>
          </w:tcPr>
          <w:p>
            <w:pPr>
              <w:pStyle w:val="null3"/>
              <w:jc w:val="right"/>
            </w:pPr>
            <w:r>
              <w:rPr>
                <w:rFonts w:ascii="仿宋_GB2312" w:hAnsi="仿宋_GB2312" w:cs="仿宋_GB2312" w:eastAsia="仿宋_GB2312"/>
              </w:rPr>
              <w:t>475,200.00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农村公益电影放映服务</w:t>
            </w:r>
          </w:p>
        </w:tc>
        <w:tc>
          <w:tcPr>
            <w:tcW w:type="dxa" w:w="1138"/>
          </w:tcPr>
          <w:p>
            <w:pPr>
              <w:pStyle w:val="null3"/>
              <w:jc w:val="center"/>
            </w:pPr>
            <w:r>
              <w:rPr>
                <w:rFonts w:ascii="仿宋_GB2312" w:hAnsi="仿宋_GB2312" w:cs="仿宋_GB2312" w:eastAsia="仿宋_GB2312"/>
              </w:rPr>
              <w:t>2,160.00（场）</w:t>
            </w:r>
          </w:p>
        </w:tc>
        <w:tc>
          <w:tcPr>
            <w:tcW w:type="dxa" w:w="1365"/>
          </w:tcPr>
          <w:p>
            <w:pPr>
              <w:pStyle w:val="null3"/>
              <w:jc w:val="center"/>
            </w:pPr>
            <w:r>
              <w:rPr>
                <w:rFonts w:ascii="仿宋_GB2312" w:hAnsi="仿宋_GB2312" w:cs="仿宋_GB2312" w:eastAsia="仿宋_GB2312"/>
              </w:rPr>
              <w:t>475,200.00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标的名称：农村公益电影放映服务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1、放映场次（</w:t>
            </w:r>
            <w:r>
              <w:rPr>
                <w:rFonts w:ascii="仿宋_GB2312" w:hAnsi="仿宋_GB2312" w:cs="仿宋_GB2312" w:eastAsia="仿宋_GB2312"/>
                <w:sz w:val="24"/>
              </w:rPr>
              <w:t>一</w:t>
            </w:r>
            <w:r>
              <w:rPr>
                <w:rFonts w:ascii="仿宋_GB2312" w:hAnsi="仿宋_GB2312" w:cs="仿宋_GB2312" w:eastAsia="仿宋_GB2312"/>
                <w:sz w:val="24"/>
              </w:rPr>
              <w:t>年）</w:t>
            </w:r>
          </w:p>
          <w:tbl>
            <w:tblPr>
              <w:tblInd w:type="dxa" w:w="135"/>
              <w:tblBorders>
                <w:top w:val="none" w:color="000000" w:sz="4"/>
                <w:left w:val="none" w:color="000000" w:sz="4"/>
                <w:bottom w:val="none" w:color="000000" w:sz="4"/>
                <w:right w:val="none" w:color="000000" w:sz="4"/>
                <w:insideH w:val="none"/>
                <w:insideV w:val="none"/>
              </w:tblBorders>
            </w:tblPr>
            <w:tblGrid>
              <w:gridCol w:w="480"/>
              <w:gridCol w:w="850"/>
              <w:gridCol w:w="1100"/>
              <w:gridCol w:w="1529"/>
              <w:gridCol w:w="1639"/>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放映区域</w:t>
                  </w:r>
                </w:p>
              </w:tc>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行政村（个）</w:t>
                  </w:r>
                </w:p>
              </w:tc>
              <w:tc>
                <w:tcPr>
                  <w:tcW w:type="dxa" w:w="1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放映数量（场）</w:t>
                  </w:r>
                </w:p>
              </w:tc>
              <w:tc>
                <w:tcPr>
                  <w:tcW w:type="dxa" w:w="1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威远县</w:t>
                  </w:r>
                  <w:r>
                    <w:rPr>
                      <w:rFonts w:ascii="仿宋_GB2312" w:hAnsi="仿宋_GB2312" w:cs="仿宋_GB2312" w:eastAsia="仿宋_GB2312"/>
                      <w:sz w:val="24"/>
                    </w:rPr>
                    <w:t>各行政村</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2160</w:t>
                  </w: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此数据为</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年初省下达年度任务数，仅供参考（具体放映数量以实际发生为准）</w:t>
                  </w:r>
                </w:p>
              </w:tc>
            </w:tr>
          </w:tbl>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2、资金管理、工作要求和监督管理等要求严格按照《四川省农村电影放映工程实施意见》以及《国家资助数字电影放映设备收缴折旧资金使用管理办法》执行。</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3、每放映1部故事片或1部长纪录片或1部长科教片为1场，短科教片累计放映3部为1场。一般情况下每晚放映一部长片和一部短片(每晚放映1.33场)。</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投入本项目的放映人员不少于</w:t>
            </w:r>
            <w:r>
              <w:rPr>
                <w:rFonts w:ascii="仿宋_GB2312" w:hAnsi="仿宋_GB2312" w:cs="仿宋_GB2312" w:eastAsia="仿宋_GB2312"/>
                <w:sz w:val="24"/>
              </w:rPr>
              <w:t>40人；未经过</w:t>
            </w:r>
            <w:r>
              <w:rPr>
                <w:rFonts w:ascii="仿宋_GB2312" w:hAnsi="仿宋_GB2312" w:cs="仿宋_GB2312" w:eastAsia="仿宋_GB2312"/>
                <w:sz w:val="24"/>
              </w:rPr>
              <w:t>采购</w:t>
            </w:r>
            <w:r>
              <w:rPr>
                <w:rFonts w:ascii="仿宋_GB2312" w:hAnsi="仿宋_GB2312" w:cs="仿宋_GB2312" w:eastAsia="仿宋_GB2312"/>
                <w:sz w:val="24"/>
              </w:rPr>
              <w:t>人</w:t>
            </w:r>
            <w:r>
              <w:rPr>
                <w:rFonts w:ascii="仿宋_GB2312" w:hAnsi="仿宋_GB2312" w:cs="仿宋_GB2312" w:eastAsia="仿宋_GB2312"/>
                <w:sz w:val="24"/>
              </w:rPr>
              <w:t>的同意，</w:t>
            </w:r>
            <w:r>
              <w:rPr>
                <w:rFonts w:ascii="仿宋_GB2312" w:hAnsi="仿宋_GB2312" w:cs="仿宋_GB2312" w:eastAsia="仿宋_GB2312"/>
                <w:sz w:val="24"/>
              </w:rPr>
              <w:t>供应商</w:t>
            </w:r>
            <w:r>
              <w:rPr>
                <w:rFonts w:ascii="仿宋_GB2312" w:hAnsi="仿宋_GB2312" w:cs="仿宋_GB2312" w:eastAsia="仿宋_GB2312"/>
                <w:sz w:val="24"/>
              </w:rPr>
              <w:t>不得私自更换放映人员。</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5、放映主体单位要采取多种形式进行农村电影公益放映的宣传，设置公益电影放映宣传公示牌，做好映前公示，要在拟放映的行政村采取多种方式进行映前公示，公示内容包括:放映地点、时间、影片名及放映员姓名、联系电话，院线公司电话，投诉电话等，并在公示的基础上组织好观众。</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6、放映安全管理:</w:t>
            </w:r>
            <w:r>
              <w:rPr>
                <w:rFonts w:ascii="仿宋_GB2312" w:hAnsi="仿宋_GB2312" w:cs="仿宋_GB2312" w:eastAsia="仿宋_GB2312"/>
                <w:sz w:val="21"/>
              </w:rPr>
              <w:t xml:space="preserve"> </w:t>
            </w:r>
            <w:r>
              <w:rPr>
                <w:rFonts w:ascii="仿宋_GB2312" w:hAnsi="仿宋_GB2312" w:cs="仿宋_GB2312" w:eastAsia="仿宋_GB2312"/>
                <w:sz w:val="24"/>
              </w:rPr>
              <w:t>履行本项目合同义务过程中，</w:t>
            </w:r>
            <w:r>
              <w:rPr>
                <w:rFonts w:ascii="仿宋_GB2312" w:hAnsi="仿宋_GB2312" w:cs="仿宋_GB2312" w:eastAsia="仿宋_GB2312"/>
                <w:sz w:val="24"/>
              </w:rPr>
              <w:t>供应商</w:t>
            </w:r>
            <w:r>
              <w:rPr>
                <w:rFonts w:ascii="仿宋_GB2312" w:hAnsi="仿宋_GB2312" w:cs="仿宋_GB2312" w:eastAsia="仿宋_GB2312"/>
                <w:sz w:val="24"/>
              </w:rPr>
              <w:t>应确保自身工作人员安全，若发生一切安全事故引起的责任，由</w:t>
            </w:r>
            <w:r>
              <w:rPr>
                <w:rFonts w:ascii="仿宋_GB2312" w:hAnsi="仿宋_GB2312" w:cs="仿宋_GB2312" w:eastAsia="仿宋_GB2312"/>
                <w:sz w:val="24"/>
              </w:rPr>
              <w:t>供应商</w:t>
            </w:r>
            <w:r>
              <w:rPr>
                <w:rFonts w:ascii="仿宋_GB2312" w:hAnsi="仿宋_GB2312" w:cs="仿宋_GB2312" w:eastAsia="仿宋_GB2312"/>
                <w:sz w:val="24"/>
              </w:rPr>
              <w:t>自行承担；</w:t>
            </w:r>
            <w:r>
              <w:rPr>
                <w:rFonts w:ascii="仿宋_GB2312" w:hAnsi="仿宋_GB2312" w:cs="仿宋_GB2312" w:eastAsia="仿宋_GB2312"/>
                <w:sz w:val="24"/>
              </w:rPr>
              <w:t>供应商</w:t>
            </w:r>
            <w:r>
              <w:rPr>
                <w:rFonts w:ascii="仿宋_GB2312" w:hAnsi="仿宋_GB2312" w:cs="仿宋_GB2312" w:eastAsia="仿宋_GB2312"/>
                <w:sz w:val="24"/>
              </w:rPr>
              <w:t>需与所有放映人员签订安全放映协议书，明确落实安全放映的规范管理要求，同时为每名放映员购买意外保险；放映设备应当集中进行专业检修维护，确保放映设备安全，避免放映过程中发生故障和技术责任事故；</w:t>
            </w:r>
            <w:r>
              <w:rPr>
                <w:rFonts w:ascii="仿宋_GB2312" w:hAnsi="仿宋_GB2312" w:cs="仿宋_GB2312" w:eastAsia="仿宋_GB2312"/>
                <w:sz w:val="24"/>
              </w:rPr>
              <w:t>采购人</w:t>
            </w:r>
            <w:r>
              <w:rPr>
                <w:rFonts w:ascii="仿宋_GB2312" w:hAnsi="仿宋_GB2312" w:cs="仿宋_GB2312" w:eastAsia="仿宋_GB2312"/>
                <w:sz w:val="24"/>
              </w:rPr>
              <w:t>不定期抽查电影放映现场，检查放映员是否按照相关放映规范落实执行，未按要求执行视为无效场次，</w:t>
            </w:r>
            <w:r>
              <w:rPr>
                <w:rFonts w:ascii="仿宋_GB2312" w:hAnsi="仿宋_GB2312" w:cs="仿宋_GB2312" w:eastAsia="仿宋_GB2312"/>
                <w:sz w:val="24"/>
              </w:rPr>
              <w:t>供应商</w:t>
            </w:r>
            <w:r>
              <w:rPr>
                <w:rFonts w:ascii="仿宋_GB2312" w:hAnsi="仿宋_GB2312" w:cs="仿宋_GB2312" w:eastAsia="仿宋_GB2312"/>
                <w:sz w:val="24"/>
              </w:rPr>
              <w:t>应责成放映员重新放映；做好放映影片的控制管理，不得放映未取得电影公映许可证和来源不明的影片，放映主体作为影片放映工作的安全责任主体，要加强放映场地的安全管控。</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7、承担放映的</w:t>
            </w:r>
            <w:r>
              <w:rPr>
                <w:rFonts w:ascii="仿宋_GB2312" w:hAnsi="仿宋_GB2312" w:cs="仿宋_GB2312" w:eastAsia="仿宋_GB2312"/>
                <w:sz w:val="24"/>
              </w:rPr>
              <w:t>供应商</w:t>
            </w:r>
            <w:r>
              <w:rPr>
                <w:rFonts w:ascii="仿宋_GB2312" w:hAnsi="仿宋_GB2312" w:cs="仿宋_GB2312" w:eastAsia="仿宋_GB2312"/>
                <w:sz w:val="24"/>
              </w:rPr>
              <w:t>要自觉接受</w:t>
            </w:r>
            <w:r>
              <w:rPr>
                <w:rFonts w:ascii="仿宋_GB2312" w:hAnsi="仿宋_GB2312" w:cs="仿宋_GB2312" w:eastAsia="仿宋_GB2312"/>
                <w:sz w:val="24"/>
              </w:rPr>
              <w:t>市、县</w:t>
            </w:r>
            <w:r>
              <w:rPr>
                <w:rFonts w:ascii="仿宋_GB2312" w:hAnsi="仿宋_GB2312" w:cs="仿宋_GB2312" w:eastAsia="仿宋_GB2312"/>
                <w:sz w:val="24"/>
              </w:rPr>
              <w:t>两级</w:t>
            </w:r>
            <w:r>
              <w:rPr>
                <w:rFonts w:ascii="仿宋_GB2312" w:hAnsi="仿宋_GB2312" w:cs="仿宋_GB2312" w:eastAsia="仿宋_GB2312"/>
                <w:sz w:val="24"/>
              </w:rPr>
              <w:t>电影主管部门的</w:t>
            </w:r>
            <w:r>
              <w:rPr>
                <w:rFonts w:ascii="仿宋_GB2312" w:hAnsi="仿宋_GB2312" w:cs="仿宋_GB2312" w:eastAsia="仿宋_GB2312"/>
                <w:sz w:val="24"/>
              </w:rPr>
              <w:t>监督、管理，认真、规范对下属农村放映队</w:t>
            </w:r>
            <w:r>
              <w:rPr>
                <w:rFonts w:ascii="仿宋_GB2312" w:hAnsi="仿宋_GB2312" w:cs="仿宋_GB2312" w:eastAsia="仿宋_GB2312"/>
                <w:sz w:val="24"/>
              </w:rPr>
              <w:t>(员)的管理，保质保量完成农村电影公益放映场次，加强对放映过程的质量控制，并按相关规定编制审核各类报表，不得偷报瞒报、弄虚作假。</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8、签订合同后积极完成对全</w:t>
            </w:r>
            <w:r>
              <w:rPr>
                <w:rFonts w:ascii="仿宋_GB2312" w:hAnsi="仿宋_GB2312" w:cs="仿宋_GB2312" w:eastAsia="仿宋_GB2312"/>
                <w:sz w:val="24"/>
              </w:rPr>
              <w:t>县</w:t>
            </w:r>
            <w:r>
              <w:rPr>
                <w:rFonts w:ascii="仿宋_GB2312" w:hAnsi="仿宋_GB2312" w:cs="仿宋_GB2312" w:eastAsia="仿宋_GB2312"/>
                <w:sz w:val="24"/>
              </w:rPr>
              <w:t>放映队、放映人员、放映设备的统计，完成设备调试和设备帐卡转登工作，并编制好放映方案。</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9、及时建立县公益电影放映联络站(点),编制县级农村公益电影放映方案。</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10、建立技术服务队伍，及时对放映设备进行维修保养，确保放映设备合格率达到100%。</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11、放映主体</w:t>
            </w:r>
            <w:r>
              <w:rPr>
                <w:rFonts w:ascii="仿宋_GB2312" w:hAnsi="仿宋_GB2312" w:cs="仿宋_GB2312" w:eastAsia="仿宋_GB2312"/>
                <w:sz w:val="24"/>
              </w:rPr>
              <w:t>原则上</w:t>
            </w:r>
            <w:r>
              <w:rPr>
                <w:rFonts w:ascii="仿宋_GB2312" w:hAnsi="仿宋_GB2312" w:cs="仿宋_GB2312" w:eastAsia="仿宋_GB2312"/>
                <w:sz w:val="24"/>
              </w:rPr>
              <w:t>必须按月完成放映任务，</w:t>
            </w:r>
            <w:r>
              <w:rPr>
                <w:rFonts w:ascii="仿宋_GB2312" w:hAnsi="仿宋_GB2312" w:cs="仿宋_GB2312" w:eastAsia="仿宋_GB2312"/>
                <w:sz w:val="24"/>
              </w:rPr>
              <w:t>如遇特殊情况（如疫情等），可在后续时间补充完成，</w:t>
            </w:r>
            <w:r>
              <w:rPr>
                <w:rFonts w:ascii="仿宋_GB2312" w:hAnsi="仿宋_GB2312" w:cs="仿宋_GB2312" w:eastAsia="仿宋_GB2312"/>
                <w:sz w:val="24"/>
              </w:rPr>
              <w:t>年度任务必须在当年完成。</w:t>
            </w:r>
          </w:p>
          <w:p>
            <w:pPr>
              <w:pStyle w:val="null3"/>
              <w:ind w:firstLine="480"/>
              <w:jc w:val="both"/>
            </w:pPr>
            <w:r>
              <w:rPr>
                <w:rFonts w:ascii="仿宋_GB2312" w:hAnsi="仿宋_GB2312" w:cs="仿宋_GB2312" w:eastAsia="仿宋_GB2312"/>
                <w:sz w:val="24"/>
              </w:rPr>
              <w:t>12、其他要求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1）供应商需提供实施方案，内容包括①前期受众需求分析、②放映计划、③放映服务、④放映宣传、⑤放映制度、⑥放映培训、⑦安全放映和应急管理措施；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2）供应商需提供项目重难点处理方案，内容包括①技术性问题、②放映时间、③放映地点、④放映内容陈旧提供相应的解决方案；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3）供应商人员配备在40人的基础上，配备额外放映人员；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4）供应商提供履约经验（类似业绩）。</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要求、磋商文件的质量要求和技术指标、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1、补助资金采取“先放后补”方式 ，按放映进度，分两次支付拨付，达到付款条件起30日内，据实结算说明为6 月 30 日前支付一次</w:t>
            </w:r>
          </w:p>
          <w:p>
            <w:pPr>
              <w:pStyle w:val="null3"/>
              <w:jc w:val="left"/>
            </w:pPr>
            <w:r>
              <w:rPr>
                <w:rFonts w:ascii="仿宋_GB2312" w:hAnsi="仿宋_GB2312" w:cs="仿宋_GB2312" w:eastAsia="仿宋_GB2312"/>
              </w:rPr>
              <w:t>2、补助资金采取“先放后补”方式 ，按放映进度，分两次支付拨付，达到付款条件起30日内，据实结算说明为12 月 31 日前按照放映任务完成情况和绩效考核结果支付一次</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合同并执行合同中的各项规定，保证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3、如因甲方原因导致变更、中止或者终止合同的，甲方应当依照合同约定对乙方受到的损失予以赔偿或者补偿。争议解决办法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或2025年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供应商具有电影放映许可证</w:t>
            </w:r>
          </w:p>
        </w:tc>
        <w:tc>
          <w:tcPr>
            <w:tcW w:type="dxa" w:w="3322"/>
          </w:tcPr>
          <w:p>
            <w:pPr>
              <w:pStyle w:val="null3"/>
              <w:jc w:val="left"/>
            </w:pPr>
            <w:r>
              <w:rPr>
                <w:rFonts w:ascii="仿宋_GB2312" w:hAnsi="仿宋_GB2312" w:cs="仿宋_GB2312" w:eastAsia="仿宋_GB2312"/>
              </w:rPr>
              <w:t>供应商具有电影放映许可证（提供证书复印件）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不满足采购文件实质性要求的情况。</w:t>
            </w:r>
          </w:p>
        </w:tc>
        <w:tc>
          <w:tcPr>
            <w:tcW w:type="dxa" w:w="3322"/>
          </w:tcPr>
          <w:p>
            <w:pPr>
              <w:pStyle w:val="null3"/>
              <w:jc w:val="left"/>
            </w:pPr>
            <w:r>
              <w:rPr>
                <w:rFonts w:ascii="仿宋_GB2312" w:hAnsi="仿宋_GB2312" w:cs="仿宋_GB2312" w:eastAsia="仿宋_GB2312"/>
              </w:rPr>
              <w:t>没有完全响应采购文件的商务要求；技术、服务应答内容没有完全响应招标文件的实质性要求的；未载明或者载明的招标项目履约时间、方式、数量及其他政府采购合同实质性内容与招标文件要求不一致，且采购单位无法接受的；不满足采购文件规定的其他实质性内容。</w:t>
            </w:r>
          </w:p>
        </w:tc>
        <w:tc>
          <w:tcPr>
            <w:tcW w:type="dxa" w:w="1661"/>
          </w:tcPr>
          <w:p>
            <w:pPr>
              <w:pStyle w:val="null3"/>
              <w:jc w:val="left"/>
            </w:pPr>
            <w:r>
              <w:rPr>
                <w:rFonts w:ascii="仿宋_GB2312" w:hAnsi="仿宋_GB2312" w:cs="仿宋_GB2312" w:eastAsia="仿宋_GB2312"/>
              </w:rPr>
              <w:t>技术、服务、商务应答表.docx,供应商应提交的相关证明材料,报价表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人员配备</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实施方案，其中方案需包含①前期受众需求分析、②放映计划、③放映服务、④放映宣传、⑤放映制度、⑥放映培训、⑦安全放映和应急管理措施，供应商提供的实施方案完全包含以上内容得42分；以上内容每缺一项扣6分 ；每有一项内容存在错误或有缺陷扣1.5分，直至该小项扣完为止。 注：上述所称内容存在错误或有缺陷是指： ①存在项目名称错误； ②项目地点区域错误；③内容与本项目需求无关；④方案内容矛盾或仅有框架或标题；每小项相同错误或缺陷不重复扣分。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项目重难点处理方案</w:t>
            </w:r>
          </w:p>
        </w:tc>
        <w:tc>
          <w:tcPr>
            <w:tcW w:type="dxa" w:w="2575"/>
          </w:tcPr>
          <w:p>
            <w:pPr>
              <w:pStyle w:val="null3"/>
              <w:jc w:val="left"/>
            </w:pPr>
            <w:r>
              <w:rPr>
                <w:rFonts w:ascii="仿宋_GB2312" w:hAnsi="仿宋_GB2312" w:cs="仿宋_GB2312" w:eastAsia="仿宋_GB2312"/>
              </w:rPr>
              <w:t>供应商提供项目重难点处理方案，其中方案需包含①技术性问题、②放映时间、③放映地点、④放映内容陈旧提供相应的解决方案， 供应商提供的项目重难点处理方案完全包含以上内容得24分；以上内容每缺一项扣6分；每有一项内容存在错误或有缺陷扣1.5分，直至该小项扣完为止。 注：上述所称内容存在错误或有缺陷是指： ①存在项目名称错误； ②项目地点区域错误；③内容与本项目需求无关；④方案内容矛盾或仅有框架或标题；每小项相同错误或缺陷不重复扣分。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供应商投入本项目的放映人员在40人的基础上，每增加5人得4分，最多得16分。 注：提供人员名单</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供应商2023年1月1日至今，具有类似业绩的，每有一个得4分，最多得8分。 类似业绩指：电影放映 注：提供中标（成交）通知书复印件或合同复印件</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