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版本号：N510001202600195420260710001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应用统计学实验室建设项目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N5100012026001954</w:t>
      </w:r>
    </w:p>
    <w:p>
      <w:pPr>
        <w:pStyle w:val="null3"/>
        <w:jc w:val="left"/>
        <w:outlineLvl w:val="2"/>
      </w:pPr>
      <w:r>
        <w:rPr>
          <w:rFonts w:ascii="仿宋_GB2312" w:hAnsi="仿宋_GB2312" w:cs="仿宋_GB2312" w:eastAsia="仿宋_GB2312"/>
          <w:sz w:val="28"/>
          <w:b/>
        </w:rPr>
        <w:t>阿坝师范学院</w:t>
      </w:r>
    </w:p>
    <w:p>
      <w:pPr>
        <w:pStyle w:val="null3"/>
        <w:jc w:val="center"/>
        <w:outlineLvl w:val="2"/>
      </w:pPr>
      <w:r>
        <w:rPr>
          <w:rFonts w:ascii="仿宋_GB2312" w:hAnsi="仿宋_GB2312" w:cs="仿宋_GB2312" w:eastAsia="仿宋_GB2312"/>
          <w:sz w:val="28"/>
          <w:b/>
        </w:rPr>
        <w:t>四川成与诚招标代理有限公司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四川成与诚招标代理有限公司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阿坝师范学院</w:t>
      </w:r>
      <w:r>
        <w:rPr>
          <w:rFonts w:ascii="仿宋_GB2312" w:hAnsi="仿宋_GB2312" w:cs="仿宋_GB2312" w:eastAsia="仿宋_GB2312"/>
        </w:rPr>
        <w:t xml:space="preserve"> 委托，拟对 </w:t>
      </w:r>
      <w:r>
        <w:rPr>
          <w:rFonts w:ascii="仿宋_GB2312" w:hAnsi="仿宋_GB2312" w:cs="仿宋_GB2312" w:eastAsia="仿宋_GB2312"/>
        </w:rPr>
        <w:t>应用统计学实验室建设项目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N5100012026001954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应用统计学实验室建设项目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本项目主要建设1间应用统计学专业实验实训室，采购应用统计学云系统（含终端硬件及软件系统）、数学科学计算与系统仿真软件系统等内容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阿坝师范学院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四川省阿坝州汶川县水磨镇佛山大道</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623002</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028-62332510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四川成与诚招标代理有限公司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四川省成都市武侯区中国(四川)自由贸易试验区成都高新区天府大道北段1700号7栋1单元16层1623、1625号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郑子钧、鲁雨薇、丁若清、敬芸芸、蒋德林、刘燕</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028-85259928、19102626145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采购包1：577,000.00元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收款单位：阿坝师范学院</w:t>
              <w:br/>
              <w:t>开户行：中国建设银行汶川支行</w:t>
              <w:br/>
              <w:t>银行账号：51001798708059000026</w:t>
              <w:br/>
              <w:t>交款时间：中标通知书发放后，采购合同签订前。供应商未按照招标文件的规定交纳履约保证金，且又无正当理由的，将视为放弃中标。</w:t>
              <w:br/>
              <w:t>注∶提供保函的担保机构必须是依法成立的具有相关资质和偿付能力的担保机构。保函是银行等金融机构出具的，保函必须要在中国人民银行征信系统能够进行查询，否则将取消成交资格，采购人将重新确定中标人，并依法追究法律责任。</w:t>
              <w:br/>
              <w:t>履约保证金退还方式、时间及退还情形∶以合同约定为准。供应商携带相关资料（如验收报告单、履约保证金退还申请等）到采购人处办理退还履约保证金的相关手续，采购人核实相关资料满足履约保证金退还条件和手续后一次性无息退还。</w:t>
              <w:br/>
              <w:t>履约保证金不予退还情形：验收结果不合格且拒不整改的。</w:t>
              <w:br/>
              <w:t>履约保证金不予退还的，将按照有关规定上缴国库。</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代理服务费收费标准：代理服务费参照原《招标代理服务收费管理暂行办法》（计价格〔2002〕1980号）和 原国家发展改革委办公厅《关于招标代理服务收费有关问题的通知》（发改办价格〔2003〕857号）文件规定的收费标准收取，不足5000元时，按照定额5000元收取。收款单位：四川成与诚招标代理有限公司；开户行：成都银行交子大道支行；银行账号：1001300001079875</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阿坝师范学院</w:t>
      </w:r>
      <w:r>
        <w:rPr>
          <w:rFonts w:ascii="仿宋_GB2312" w:hAnsi="仿宋_GB2312" w:cs="仿宋_GB2312" w:eastAsia="仿宋_GB2312"/>
        </w:rPr>
        <w:t xml:space="preserve"> 和 </w:t>
      </w:r>
      <w:r>
        <w:rPr>
          <w:rFonts w:ascii="仿宋_GB2312" w:hAnsi="仿宋_GB2312" w:cs="仿宋_GB2312" w:eastAsia="仿宋_GB2312"/>
        </w:rPr>
        <w:t>四川成与诚招标代理有限公司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阿坝师范学院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四川成与诚招标代理有限公司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全部设备运抵施工现场完成设备安装及调试工作完成，供应商提出验收申请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由采购人组织进行验收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按照本项目采购文件在“技术、服务要求”中的约定执行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按照本项目采购文件在“商务要求”中的约定执行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按照《财政部关于进一步加强政府采购需求和履约验收管理的指导意见》（财库〔2016〕205号）等政府采购相关法律法规的要求进行验收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阿坝师范学院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四川成与诚招标代理有限公司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四川成与诚招标代理有限公司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联系人：曾女士</w:t>
      </w:r>
    </w:p>
    <w:p>
      <w:pPr>
        <w:pStyle w:val="null3"/>
        <w:jc w:val="left"/>
      </w:pPr>
      <w:r>
        <w:rPr>
          <w:rFonts w:ascii="仿宋_GB2312" w:hAnsi="仿宋_GB2312" w:cs="仿宋_GB2312" w:eastAsia="仿宋_GB2312"/>
        </w:rPr>
        <w:t>联系电话：18080876747</w:t>
      </w:r>
    </w:p>
    <w:p>
      <w:pPr>
        <w:pStyle w:val="null3"/>
        <w:jc w:val="left"/>
      </w:pPr>
      <w:r>
        <w:rPr>
          <w:rFonts w:ascii="仿宋_GB2312" w:hAnsi="仿宋_GB2312" w:cs="仿宋_GB2312" w:eastAsia="仿宋_GB2312"/>
        </w:rPr>
        <w:t>地址：四川省成都市武侯区中国(四川)自由贸易试验区成都高新区天府大道北段1700号S1区16层1630号</w:t>
      </w:r>
    </w:p>
    <w:p>
      <w:pPr>
        <w:pStyle w:val="null3"/>
        <w:jc w:val="left"/>
      </w:pPr>
      <w:r>
        <w:rPr>
          <w:rFonts w:ascii="仿宋_GB2312" w:hAnsi="仿宋_GB2312" w:cs="仿宋_GB2312" w:eastAsia="仿宋_GB2312"/>
        </w:rPr>
        <w:t>邮编：610041</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联系人：曾女士</w:t>
      </w:r>
    </w:p>
    <w:p>
      <w:pPr>
        <w:pStyle w:val="null3"/>
        <w:jc w:val="left"/>
      </w:pPr>
      <w:r>
        <w:rPr>
          <w:rFonts w:ascii="仿宋_GB2312" w:hAnsi="仿宋_GB2312" w:cs="仿宋_GB2312" w:eastAsia="仿宋_GB2312"/>
        </w:rPr>
        <w:t>联系电话：18080876747</w:t>
      </w:r>
    </w:p>
    <w:p>
      <w:pPr>
        <w:pStyle w:val="null3"/>
        <w:jc w:val="left"/>
      </w:pPr>
      <w:r>
        <w:rPr>
          <w:rFonts w:ascii="仿宋_GB2312" w:hAnsi="仿宋_GB2312" w:cs="仿宋_GB2312" w:eastAsia="仿宋_GB2312"/>
        </w:rPr>
        <w:t>地址：中国（四川）自由贸易试验区成都高新区天府大道北段1700号新世纪环球中心S1区16楼1630号</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577,000.00</w:t>
      </w:r>
    </w:p>
    <w:p>
      <w:pPr>
        <w:pStyle w:val="null3"/>
        <w:jc w:val="left"/>
      </w:pPr>
      <w:r>
        <w:rPr>
          <w:rFonts w:ascii="仿宋_GB2312" w:hAnsi="仿宋_GB2312" w:cs="仿宋_GB2312" w:eastAsia="仿宋_GB2312"/>
        </w:rPr>
        <w:t>采购包最高限价（元）: 577,000.00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应用统计学云系统（软件+硬件）</w:t>
            </w:r>
          </w:p>
        </w:tc>
        <w:tc>
          <w:tcPr>
            <w:tcW w:type="dxa" w:w="821"/>
          </w:tcPr>
          <w:p>
            <w:pPr>
              <w:pStyle w:val="null3"/>
              <w:jc w:val="right"/>
            </w:pPr>
            <w:r>
              <w:rPr>
                <w:rFonts w:ascii="仿宋_GB2312" w:hAnsi="仿宋_GB2312" w:cs="仿宋_GB2312" w:eastAsia="仿宋_GB2312"/>
              </w:rPr>
              <w:t>51.00（套）</w:t>
            </w:r>
          </w:p>
        </w:tc>
        <w:tc>
          <w:tcPr>
            <w:tcW w:type="dxa" w:w="821"/>
          </w:tcPr>
          <w:p>
            <w:pPr>
              <w:pStyle w:val="null3"/>
              <w:jc w:val="right"/>
            </w:pPr>
            <w:r>
              <w:rPr>
                <w:rFonts w:ascii="仿宋_GB2312" w:hAnsi="仿宋_GB2312" w:cs="仿宋_GB2312" w:eastAsia="仿宋_GB2312"/>
              </w:rPr>
              <w:t>321,300.00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科学计算与系统仿真软件（软件）</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160,000.00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扩声系统</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鹅颈麦</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教学试验台</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3,280.00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数据交换器</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学生桌</w:t>
            </w:r>
          </w:p>
        </w:tc>
        <w:tc>
          <w:tcPr>
            <w:tcW w:type="dxa" w:w="821"/>
          </w:tcPr>
          <w:p>
            <w:pPr>
              <w:pStyle w:val="null3"/>
              <w:jc w:val="right"/>
            </w:pPr>
            <w:r>
              <w:rPr>
                <w:rFonts w:ascii="仿宋_GB2312" w:hAnsi="仿宋_GB2312" w:cs="仿宋_GB2312" w:eastAsia="仿宋_GB2312"/>
              </w:rPr>
              <w:t>25.00（张）</w:t>
            </w:r>
          </w:p>
        </w:tc>
        <w:tc>
          <w:tcPr>
            <w:tcW w:type="dxa" w:w="821"/>
          </w:tcPr>
          <w:p>
            <w:pPr>
              <w:pStyle w:val="null3"/>
              <w:jc w:val="right"/>
            </w:pPr>
            <w:r>
              <w:rPr>
                <w:rFonts w:ascii="仿宋_GB2312" w:hAnsi="仿宋_GB2312" w:cs="仿宋_GB2312" w:eastAsia="仿宋_GB2312"/>
              </w:rPr>
              <w:t>40,000.00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椅子</w:t>
            </w:r>
          </w:p>
        </w:tc>
        <w:tc>
          <w:tcPr>
            <w:tcW w:type="dxa" w:w="821"/>
          </w:tcPr>
          <w:p>
            <w:pPr>
              <w:pStyle w:val="null3"/>
              <w:jc w:val="right"/>
            </w:pPr>
            <w:r>
              <w:rPr>
                <w:rFonts w:ascii="仿宋_GB2312" w:hAnsi="仿宋_GB2312" w:cs="仿宋_GB2312" w:eastAsia="仿宋_GB2312"/>
              </w:rPr>
              <w:t>50.00（台）</w:t>
            </w:r>
          </w:p>
        </w:tc>
        <w:tc>
          <w:tcPr>
            <w:tcW w:type="dxa" w:w="821"/>
          </w:tcPr>
          <w:p>
            <w:pPr>
              <w:pStyle w:val="null3"/>
              <w:jc w:val="right"/>
            </w:pPr>
            <w:r>
              <w:rPr>
                <w:rFonts w:ascii="仿宋_GB2312" w:hAnsi="仿宋_GB2312" w:cs="仿宋_GB2312" w:eastAsia="仿宋_GB2312"/>
              </w:rPr>
              <w:t>15,500.00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静电地板</w:t>
            </w:r>
          </w:p>
        </w:tc>
        <w:tc>
          <w:tcPr>
            <w:tcW w:type="dxa" w:w="821"/>
          </w:tcPr>
          <w:p>
            <w:pPr>
              <w:pStyle w:val="null3"/>
              <w:jc w:val="right"/>
            </w:pPr>
            <w:r>
              <w:rPr>
                <w:rFonts w:ascii="仿宋_GB2312" w:hAnsi="仿宋_GB2312" w:cs="仿宋_GB2312" w:eastAsia="仿宋_GB2312"/>
              </w:rPr>
              <w:t>92.00（平方米）</w:t>
            </w:r>
          </w:p>
        </w:tc>
        <w:tc>
          <w:tcPr>
            <w:tcW w:type="dxa" w:w="821"/>
          </w:tcPr>
          <w:p>
            <w:pPr>
              <w:pStyle w:val="null3"/>
              <w:jc w:val="right"/>
            </w:pPr>
            <w:r>
              <w:rPr>
                <w:rFonts w:ascii="仿宋_GB2312" w:hAnsi="仿宋_GB2312" w:cs="仿宋_GB2312" w:eastAsia="仿宋_GB2312"/>
              </w:rPr>
              <w:t>23,920.00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应用统计学云系统（软件+硬件）</w:t>
            </w:r>
          </w:p>
        </w:tc>
        <w:tc>
          <w:tcPr>
            <w:tcW w:type="dxa" w:w="1138"/>
          </w:tcPr>
          <w:p>
            <w:pPr>
              <w:pStyle w:val="null3"/>
              <w:jc w:val="center"/>
            </w:pPr>
            <w:r>
              <w:rPr>
                <w:rFonts w:ascii="仿宋_GB2312" w:hAnsi="仿宋_GB2312" w:cs="仿宋_GB2312" w:eastAsia="仿宋_GB2312"/>
              </w:rPr>
              <w:t>51.00（套）</w:t>
            </w:r>
          </w:p>
        </w:tc>
        <w:tc>
          <w:tcPr>
            <w:tcW w:type="dxa" w:w="1365"/>
          </w:tcPr>
          <w:p>
            <w:pPr>
              <w:pStyle w:val="null3"/>
              <w:jc w:val="center"/>
            </w:pPr>
            <w:r>
              <w:rPr>
                <w:rFonts w:ascii="仿宋_GB2312" w:hAnsi="仿宋_GB2312" w:cs="仿宋_GB2312" w:eastAsia="仿宋_GB2312"/>
              </w:rPr>
              <w:t>321,300.00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科学计算与系统仿真软件（软件）</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扩声系统</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鹅颈麦</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教学试验台</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3,280.00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数据交换器</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学生桌</w:t>
            </w:r>
          </w:p>
        </w:tc>
        <w:tc>
          <w:tcPr>
            <w:tcW w:type="dxa" w:w="1138"/>
          </w:tcPr>
          <w:p>
            <w:pPr>
              <w:pStyle w:val="null3"/>
              <w:jc w:val="center"/>
            </w:pPr>
            <w:r>
              <w:rPr>
                <w:rFonts w:ascii="仿宋_GB2312" w:hAnsi="仿宋_GB2312" w:cs="仿宋_GB2312" w:eastAsia="仿宋_GB2312"/>
              </w:rPr>
              <w:t>25.00（张）</w:t>
            </w:r>
          </w:p>
        </w:tc>
        <w:tc>
          <w:tcPr>
            <w:tcW w:type="dxa" w:w="1365"/>
          </w:tcPr>
          <w:p>
            <w:pPr>
              <w:pStyle w:val="null3"/>
              <w:jc w:val="center"/>
            </w:pPr>
            <w:r>
              <w:rPr>
                <w:rFonts w:ascii="仿宋_GB2312" w:hAnsi="仿宋_GB2312" w:cs="仿宋_GB2312" w:eastAsia="仿宋_GB2312"/>
              </w:rPr>
              <w:t>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椅子</w:t>
            </w:r>
          </w:p>
        </w:tc>
        <w:tc>
          <w:tcPr>
            <w:tcW w:type="dxa" w:w="1138"/>
          </w:tcPr>
          <w:p>
            <w:pPr>
              <w:pStyle w:val="null3"/>
              <w:jc w:val="center"/>
            </w:pPr>
            <w:r>
              <w:rPr>
                <w:rFonts w:ascii="仿宋_GB2312" w:hAnsi="仿宋_GB2312" w:cs="仿宋_GB2312" w:eastAsia="仿宋_GB2312"/>
              </w:rPr>
              <w:t>50.00（台）</w:t>
            </w:r>
          </w:p>
        </w:tc>
        <w:tc>
          <w:tcPr>
            <w:tcW w:type="dxa" w:w="1365"/>
          </w:tcPr>
          <w:p>
            <w:pPr>
              <w:pStyle w:val="null3"/>
              <w:jc w:val="center"/>
            </w:pPr>
            <w:r>
              <w:rPr>
                <w:rFonts w:ascii="仿宋_GB2312" w:hAnsi="仿宋_GB2312" w:cs="仿宋_GB2312" w:eastAsia="仿宋_GB2312"/>
              </w:rPr>
              <w:t>15,500.00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静电地板</w:t>
            </w:r>
          </w:p>
        </w:tc>
        <w:tc>
          <w:tcPr>
            <w:tcW w:type="dxa" w:w="1138"/>
          </w:tcPr>
          <w:p>
            <w:pPr>
              <w:pStyle w:val="null3"/>
              <w:jc w:val="center"/>
            </w:pPr>
            <w:r>
              <w:rPr>
                <w:rFonts w:ascii="仿宋_GB2312" w:hAnsi="仿宋_GB2312" w:cs="仿宋_GB2312" w:eastAsia="仿宋_GB2312"/>
              </w:rPr>
              <w:t>92.00（平方米）</w:t>
            </w:r>
          </w:p>
        </w:tc>
        <w:tc>
          <w:tcPr>
            <w:tcW w:type="dxa" w:w="1365"/>
          </w:tcPr>
          <w:p>
            <w:pPr>
              <w:pStyle w:val="null3"/>
              <w:jc w:val="center"/>
            </w:pPr>
            <w:r>
              <w:rPr>
                <w:rFonts w:ascii="仿宋_GB2312" w:hAnsi="仿宋_GB2312" w:cs="仿宋_GB2312" w:eastAsia="仿宋_GB2312"/>
              </w:rPr>
              <w:t>23,920.00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A02102100 教学仪器</w:t>
            </w:r>
          </w:p>
        </w:tc>
        <w:tc>
          <w:tcPr>
            <w:tcW w:type="dxa" w:w="2492"/>
          </w:tcPr>
          <w:p>
            <w:pPr>
              <w:pStyle w:val="null3"/>
              <w:jc w:val="left"/>
            </w:pPr>
            <w:r>
              <w:rPr>
                <w:rFonts w:ascii="仿宋_GB2312" w:hAnsi="仿宋_GB2312" w:cs="仿宋_GB2312" w:eastAsia="仿宋_GB2312"/>
              </w:rPr>
              <w:t>应用统计学云系统（软件+硬件）</w:t>
            </w:r>
          </w:p>
        </w:tc>
        <w:tc>
          <w:tcPr>
            <w:tcW w:type="dxa" w:w="2492"/>
          </w:tcPr>
          <w:p>
            <w:pPr>
              <w:pStyle w:val="null3"/>
              <w:jc w:val="left"/>
            </w:pPr>
            <w:r>
              <w:rPr>
                <w:rFonts w:ascii="仿宋_GB2312" w:hAnsi="仿宋_GB2312" w:cs="仿宋_GB2312" w:eastAsia="仿宋_GB2312"/>
              </w:rPr>
              <w:t>应用统计学云系统（软件+硬件）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A02102100 教学仪器</w:t>
            </w:r>
          </w:p>
        </w:tc>
        <w:tc>
          <w:tcPr>
            <w:tcW w:type="dxa" w:w="2492"/>
          </w:tcPr>
          <w:p>
            <w:pPr>
              <w:pStyle w:val="null3"/>
              <w:jc w:val="left"/>
            </w:pPr>
            <w:r>
              <w:rPr>
                <w:rFonts w:ascii="仿宋_GB2312" w:hAnsi="仿宋_GB2312" w:cs="仿宋_GB2312" w:eastAsia="仿宋_GB2312"/>
              </w:rPr>
              <w:t>科学计算与系统仿真软件（软件）</w:t>
            </w:r>
          </w:p>
        </w:tc>
        <w:tc>
          <w:tcPr>
            <w:tcW w:type="dxa" w:w="2492"/>
          </w:tcPr>
          <w:p>
            <w:pPr>
              <w:pStyle w:val="null3"/>
              <w:jc w:val="left"/>
            </w:pPr>
            <w:r>
              <w:rPr>
                <w:rFonts w:ascii="仿宋_GB2312" w:hAnsi="仿宋_GB2312" w:cs="仿宋_GB2312" w:eastAsia="仿宋_GB2312"/>
              </w:rPr>
              <w:t>科学计算与系统仿真软件（软件）</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A02102100 教学仪器</w:t>
            </w:r>
          </w:p>
        </w:tc>
        <w:tc>
          <w:tcPr>
            <w:tcW w:type="dxa" w:w="2492"/>
          </w:tcPr>
          <w:p>
            <w:pPr>
              <w:pStyle w:val="null3"/>
              <w:jc w:val="left"/>
            </w:pPr>
            <w:r>
              <w:rPr>
                <w:rFonts w:ascii="仿宋_GB2312" w:hAnsi="仿宋_GB2312" w:cs="仿宋_GB2312" w:eastAsia="仿宋_GB2312"/>
              </w:rPr>
              <w:t>学生桌</w:t>
            </w:r>
          </w:p>
        </w:tc>
        <w:tc>
          <w:tcPr>
            <w:tcW w:type="dxa" w:w="2492"/>
          </w:tcPr>
          <w:p>
            <w:pPr>
              <w:pStyle w:val="null3"/>
              <w:jc w:val="left"/>
            </w:pPr>
            <w:r>
              <w:rPr>
                <w:rFonts w:ascii="仿宋_GB2312" w:hAnsi="仿宋_GB2312" w:cs="仿宋_GB2312" w:eastAsia="仿宋_GB2312"/>
              </w:rPr>
              <w:t>学生桌</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A02102100 教学仪器</w:t>
            </w:r>
          </w:p>
        </w:tc>
        <w:tc>
          <w:tcPr>
            <w:tcW w:type="dxa" w:w="2492"/>
          </w:tcPr>
          <w:p>
            <w:pPr>
              <w:pStyle w:val="null3"/>
              <w:jc w:val="left"/>
            </w:pPr>
            <w:r>
              <w:rPr>
                <w:rFonts w:ascii="仿宋_GB2312" w:hAnsi="仿宋_GB2312" w:cs="仿宋_GB2312" w:eastAsia="仿宋_GB2312"/>
              </w:rPr>
              <w:t>椅子</w:t>
            </w:r>
          </w:p>
        </w:tc>
        <w:tc>
          <w:tcPr>
            <w:tcW w:type="dxa" w:w="2492"/>
          </w:tcPr>
          <w:p>
            <w:pPr>
              <w:pStyle w:val="null3"/>
              <w:jc w:val="left"/>
            </w:pPr>
            <w:r>
              <w:rPr>
                <w:rFonts w:ascii="仿宋_GB2312" w:hAnsi="仿宋_GB2312" w:cs="仿宋_GB2312" w:eastAsia="仿宋_GB2312"/>
              </w:rPr>
              <w:t>椅子</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标的名称：应用统计学云系统（软件+硬件）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应用统计学云系统</w:t>
            </w:r>
          </w:p>
        </w:tc>
        <w:tc>
          <w:tcPr>
            <w:tcW w:type="dxa" w:w="5814"/>
          </w:tcPr>
          <w:p>
            <w:pPr>
              <w:pStyle w:val="null3"/>
              <w:jc w:val="left"/>
            </w:pPr>
            <w:r>
              <w:rPr>
                <w:rFonts w:ascii="仿宋_GB2312" w:hAnsi="仿宋_GB2312" w:cs="仿宋_GB2312" w:eastAsia="仿宋_GB2312"/>
              </w:rPr>
              <w:t>▲1、支持通过单一IP地址可访问Web 管理平台并管理所有区域对象，多区域之间可以进行切换:在系统设置页面，可设定默认访问的主区域:在区域管理页面，可新增、修改、删除子区域，新增区域时验证对应平台的账号和密码。（提供国家认可的第三方检测机构出具的检测报告复印件并加盖投标人公章）</w:t>
            </w:r>
          </w:p>
          <w:p>
            <w:pPr>
              <w:pStyle w:val="null3"/>
              <w:jc w:val="left"/>
            </w:pPr>
            <w:r>
              <w:rPr>
                <w:rFonts w:ascii="仿宋_GB2312" w:hAnsi="仿宋_GB2312" w:cs="仿宋_GB2312" w:eastAsia="仿宋_GB2312"/>
              </w:rPr>
              <w:t>▲2、在≥10GB教学模板的条件下，单用户进行完整克隆的平均响应时间≤300秒。（提供国家认可的第三方检测机构出具的检测报告复印件并加盖投标人公章）</w:t>
            </w:r>
          </w:p>
          <w:p>
            <w:pPr>
              <w:pStyle w:val="null3"/>
              <w:jc w:val="left"/>
            </w:pPr>
            <w:r>
              <w:rPr>
                <w:rFonts w:ascii="仿宋_GB2312" w:hAnsi="仿宋_GB2312" w:cs="仿宋_GB2312" w:eastAsia="仿宋_GB2312"/>
              </w:rPr>
              <w:t>▲3、在≥10GB教学模板的条件下，单用户进行链接克隆操作，完成时间≤50秒。（提供国家认可的第三方检测机构出具的检测报告复印件并加盖投标人公章）</w:t>
            </w:r>
          </w:p>
          <w:p>
            <w:pPr>
              <w:pStyle w:val="null3"/>
              <w:jc w:val="left"/>
            </w:pPr>
            <w:r>
              <w:rPr>
                <w:rFonts w:ascii="仿宋_GB2312" w:hAnsi="仿宋_GB2312" w:cs="仿宋_GB2312" w:eastAsia="仿宋_GB2312"/>
              </w:rPr>
              <w:t>▲4、支持本地存储及远端存储;支持Windows 客户端和 B/S 网页端两种模式访问;创建桌面账户时，同步生成网盘账号;启用网盘后，在教学桌面中通过账号登录网盘，在个人桌面中无需登录可直接访问网盘;可扩容不同账号的网盘空间容量;网盘支持文件夹上传，教师在本地同步目录下的文件可以自动同步至云端，多个用户可创建群组共享文件，可设置样组管理权限及对文件的读写权限;通过文件的共享链接可查看并下载文件。（提供国家认可的第三方检测机构出具的检测报告复印件并加盖投标人公章）</w:t>
            </w:r>
          </w:p>
          <w:p>
            <w:pPr>
              <w:pStyle w:val="null3"/>
              <w:jc w:val="left"/>
            </w:pPr>
            <w:r>
              <w:rPr>
                <w:rFonts w:ascii="仿宋_GB2312" w:hAnsi="仿宋_GB2312" w:cs="仿宋_GB2312" w:eastAsia="仿宋_GB2312"/>
              </w:rPr>
              <w:t>▲5、支持在管理平台对集群内的节点进行多个网卡的设置，可灵活设置不同网卡的bond模式，至少涵盖activebackup、broadcast、roundrobin、random、lacp和laodbalance等常用bond模式的选择。（提供国家认可的第三方检测机构出具的检测报告复印件并加盖投标人公章）</w:t>
            </w:r>
          </w:p>
          <w:p>
            <w:pPr>
              <w:pStyle w:val="null3"/>
              <w:jc w:val="left"/>
            </w:pPr>
            <w:r>
              <w:rPr>
                <w:rFonts w:ascii="仿宋_GB2312" w:hAnsi="仿宋_GB2312" w:cs="仿宋_GB2312" w:eastAsia="仿宋_GB2312"/>
              </w:rPr>
              <w:t>6、支持VOI教学桌面、个人桌面个性化数据漫游，桌面更新后个人数据包括桌面、浏览器、输入法、文件夹、文件、注册表等可保留不被还原，保障教学软件的个性化定义信息及数据，在每次系统下发之后仍能保留，不用重复设置。</w:t>
            </w:r>
          </w:p>
          <w:p>
            <w:pPr>
              <w:pStyle w:val="null3"/>
              <w:jc w:val="left"/>
            </w:pPr>
            <w:r>
              <w:rPr>
                <w:rFonts w:ascii="仿宋_GB2312" w:hAnsi="仿宋_GB2312" w:cs="仿宋_GB2312" w:eastAsia="仿宋_GB2312"/>
              </w:rPr>
              <w:t>▲7、在执行分布式存储节点替换、桌面数据同步、更新模板等操作时自动触发任务队列同一时间仅允许一个任务运行，其余任务处于等待执行状态，可针对等待执行状态的任务进行暂停、取消操作，可查看已结束的任务队列记录。（提供国家认可的第三方检测机构出具的检测报告复印件并加盖投标人公章）</w:t>
            </w:r>
          </w:p>
          <w:p>
            <w:pPr>
              <w:pStyle w:val="null3"/>
              <w:jc w:val="left"/>
            </w:pPr>
            <w:r>
              <w:rPr>
                <w:rFonts w:ascii="仿宋_GB2312" w:hAnsi="仿宋_GB2312" w:cs="仿宋_GB2312" w:eastAsia="仿宋_GB2312"/>
              </w:rPr>
              <w:t>▲8、可通过单双号方式筛选对应序号类型的终端;可通过Windows系统在线、Linux系统在线、底层选单在线、维护模式在线、部署模式在线、离线这六种终端运行状态选定位查看终端。（提供国家认可的第三方检测机构出具的检测报告复印件并加盖投标人公章）</w:t>
            </w:r>
          </w:p>
          <w:p>
            <w:pPr>
              <w:pStyle w:val="null3"/>
              <w:jc w:val="left"/>
            </w:pPr>
            <w:r>
              <w:rPr>
                <w:rFonts w:ascii="仿宋_GB2312" w:hAnsi="仿宋_GB2312" w:cs="仿宋_GB2312" w:eastAsia="仿宋_GB2312"/>
              </w:rPr>
              <w:t>●9、支持管理平台的暴力破解防护，管理员可设置一定时间内用户连续密码校验错误的次数，当输入账号密码错误时会提示剩余错误次数，密码错误数达到管理员设置的阈值时对应账号变为禁用状态即刻强制冻结，管理员可设定强制冻结后自动解禁的时间阈值，当自动解禁后对应账号状态变为正常方可正常登录，也可由管理员将对应冻结账号一键解锁。（需携带设备搭建真实的局域网环境(非远程)进行投标演示，需逐条演示出结果，未演示或演示与参数要求不一致则视为负偏离）</w:t>
            </w:r>
          </w:p>
          <w:p>
            <w:pPr>
              <w:pStyle w:val="null3"/>
              <w:jc w:val="left"/>
            </w:pPr>
            <w:r>
              <w:rPr>
                <w:rFonts w:ascii="仿宋_GB2312" w:hAnsi="仿宋_GB2312" w:cs="仿宋_GB2312" w:eastAsia="仿宋_GB2312"/>
              </w:rPr>
              <w:t>10、支持个人桌面重置功能，在个人桌面出现故障时，可将其立即重置为刚下发时的状态，及时恢复桌面系统环境。</w:t>
            </w:r>
          </w:p>
          <w:p>
            <w:pPr>
              <w:pStyle w:val="null3"/>
              <w:jc w:val="left"/>
            </w:pPr>
            <w:r>
              <w:rPr>
                <w:rFonts w:ascii="仿宋_GB2312" w:hAnsi="仿宋_GB2312" w:cs="仿宋_GB2312" w:eastAsia="仿宋_GB2312"/>
              </w:rPr>
              <w:t>11、支持屏幕水印功能，可设置水印显示位置、字体大小、颜色、透明度，可设置显示内容，包括桌面计算机名，终端序号，桌面IP地址，MAC地址，还原方式等信息，还可自定义显示内容，进入系统后，桌面右上角可置顶显示设置的信息水印。</w:t>
            </w:r>
          </w:p>
          <w:p>
            <w:pPr>
              <w:pStyle w:val="null3"/>
              <w:jc w:val="left"/>
            </w:pPr>
            <w:r>
              <w:rPr>
                <w:rFonts w:ascii="仿宋_GB2312" w:hAnsi="仿宋_GB2312" w:cs="仿宋_GB2312" w:eastAsia="仿宋_GB2312"/>
              </w:rPr>
              <w:t>●12、普通管理员可查看平台所有模板，但仅对有权限模板（所属模板及被共享模板）进行管理和设置，可一键隐藏无权限模板；管理用户可将所属权限下的模板共享给其他普通管理员，被共享的管理员拥有对模板的编辑和管理权但无对模板进行删除、转让及共享的权限，管理用户可查看模板所共享的账号范围并批量移除共享账号。（需携带设备搭建真实的局域网环境(非远程)进行投标演示，需逐条演示出结果，未演示或演示与参数要求不一致则视为负偏离）</w:t>
            </w:r>
          </w:p>
          <w:p>
            <w:pPr>
              <w:pStyle w:val="null3"/>
              <w:jc w:val="left"/>
            </w:pPr>
            <w:r>
              <w:rPr>
                <w:rFonts w:ascii="仿宋_GB2312" w:hAnsi="仿宋_GB2312" w:cs="仿宋_GB2312" w:eastAsia="仿宋_GB2312"/>
              </w:rPr>
              <w:t>●13、支持模板分享链接，管理员可为镜像生成共享编辑的链接地址，同一用户同一时刻可在同一浏览器下编辑≥3个不同的镜像共享链接，可设置链接的有效期为≥90天。（需携带设备搭建真实的局域网环境(非远程)进行投标演示，需逐条演示出结果，未演示或演示与参数要求不一致则视为负偏离）</w:t>
            </w:r>
          </w:p>
          <w:p>
            <w:pPr>
              <w:pStyle w:val="null3"/>
              <w:jc w:val="left"/>
            </w:pPr>
            <w:r>
              <w:rPr>
                <w:rFonts w:ascii="仿宋_GB2312" w:hAnsi="仿宋_GB2312" w:cs="仿宋_GB2312" w:eastAsia="仿宋_GB2312"/>
              </w:rPr>
              <w:t>▲14、支持在平台识别终端本地的桌面可将指定桌面进行清除，清除后该终端开机后无法看到被清除的桌面。（提供国家认可的第三方检测机构出具的检测报告复印件并加盖投标人公章）</w:t>
            </w:r>
          </w:p>
          <w:p>
            <w:pPr>
              <w:pStyle w:val="null3"/>
              <w:jc w:val="left"/>
            </w:pPr>
            <w:r>
              <w:rPr>
                <w:rFonts w:ascii="仿宋_GB2312" w:hAnsi="仿宋_GB2312" w:cs="仿宋_GB2312" w:eastAsia="仿宋_GB2312"/>
              </w:rPr>
              <w:t>●15、支持定时消息通知，可自定义通知内容、执行周期和执行的教室，执行时间精确到分钟，单间教室可设置多个定制消息通知计划，可一键开启或关闭定时计划。（需携带设备搭建真实的局域网环境(非远程)进行投标演示，需逐条演示出结果，未演示或演示与参数要求不一致则视为负偏离）</w:t>
            </w:r>
          </w:p>
          <w:p>
            <w:pPr>
              <w:pStyle w:val="null3"/>
              <w:jc w:val="both"/>
            </w:pPr>
            <w:r>
              <w:rPr>
                <w:rFonts w:ascii="仿宋_GB2312" w:hAnsi="仿宋_GB2312" w:cs="仿宋_GB2312" w:eastAsia="仿宋_GB2312"/>
                <w:sz w:val="21"/>
              </w:rPr>
              <w:t>★</w:t>
            </w:r>
            <w:r>
              <w:rPr>
                <w:rFonts w:ascii="仿宋_GB2312" w:hAnsi="仿宋_GB2312" w:cs="仿宋_GB2312" w:eastAsia="仿宋_GB2312"/>
              </w:rPr>
              <w:t>16、学院已部署一批桌面云设备（包含桌面云系统），为保护已有投资且简化管理，要求所投云系统必须能与学校现有的桌面云系统（噢易分布式桌面云V2.0）无缝对接（费用包含在报价中），将全新购置的软件与一期产品在同一集群同一平台下统一管理，已有数据要求保留。本对接与管理的实现可通过以下形式（以下 4 种形式均可接入平台管理和统一管控，投标人按自身情况进行选择任意一种方式进行对接）：</w:t>
            </w:r>
          </w:p>
          <w:p>
            <w:pPr>
              <w:pStyle w:val="null3"/>
              <w:jc w:val="both"/>
            </w:pPr>
            <w:r>
              <w:rPr>
                <w:rFonts w:ascii="仿宋_GB2312" w:hAnsi="仿宋_GB2312" w:cs="仿宋_GB2312" w:eastAsia="仿宋_GB2312"/>
              </w:rPr>
              <w:t>（1）原平台并入新建平台管理；</w:t>
            </w:r>
          </w:p>
          <w:p>
            <w:pPr>
              <w:pStyle w:val="null3"/>
              <w:jc w:val="both"/>
            </w:pPr>
            <w:r>
              <w:rPr>
                <w:rFonts w:ascii="仿宋_GB2312" w:hAnsi="仿宋_GB2312" w:cs="仿宋_GB2312" w:eastAsia="仿宋_GB2312"/>
              </w:rPr>
              <w:t>（2）新建平台接入原平台管理；</w:t>
            </w:r>
          </w:p>
          <w:p>
            <w:pPr>
              <w:pStyle w:val="null3"/>
              <w:jc w:val="both"/>
            </w:pPr>
            <w:r>
              <w:rPr>
                <w:rFonts w:ascii="仿宋_GB2312" w:hAnsi="仿宋_GB2312" w:cs="仿宋_GB2312" w:eastAsia="仿宋_GB2312"/>
              </w:rPr>
              <w:t>（3）采用第三方平台进行统一对接管控；</w:t>
            </w:r>
          </w:p>
          <w:p>
            <w:pPr>
              <w:pStyle w:val="null3"/>
              <w:jc w:val="both"/>
            </w:pPr>
            <w:r>
              <w:rPr>
                <w:rFonts w:ascii="仿宋_GB2312" w:hAnsi="仿宋_GB2312" w:cs="仿宋_GB2312" w:eastAsia="仿宋_GB2312"/>
              </w:rPr>
              <w:t>（4）可实现的具有成功案例的其他的对接与管理形式；投标时必须提供无缝对接承诺函并加盖投标人公章（承诺函格式自拟）</w:t>
            </w:r>
          </w:p>
          <w:p>
            <w:pPr>
              <w:pStyle w:val="null3"/>
              <w:jc w:val="left"/>
            </w:pPr>
            <w:r>
              <w:rPr>
                <w:rFonts w:ascii="仿宋_GB2312" w:hAnsi="仿宋_GB2312" w:cs="仿宋_GB2312" w:eastAsia="仿宋_GB2312"/>
              </w:rPr>
              <w:t>基于应用统计学云系统教学使用，为保证系统兼容性，教学管理系统需与云系统能够兼容。</w:t>
            </w:r>
          </w:p>
          <w:p>
            <w:pPr>
              <w:pStyle w:val="null3"/>
              <w:jc w:val="both"/>
            </w:pPr>
            <w:r>
              <w:rPr>
                <w:rFonts w:ascii="仿宋_GB2312" w:hAnsi="仿宋_GB2312" w:cs="仿宋_GB2312" w:eastAsia="仿宋_GB2312"/>
              </w:rPr>
              <w:t>▲17、具备多元化的广播教学方式，以下技术要求（①-④）需要逐条提供加盖投标人公章的软件详细操作界面截图，截图需详细标注每一项功能说明。</w:t>
            </w:r>
          </w:p>
          <w:p>
            <w:pPr>
              <w:pStyle w:val="null3"/>
              <w:jc w:val="both"/>
            </w:pPr>
            <w:r>
              <w:rPr>
                <w:rFonts w:ascii="仿宋_GB2312" w:hAnsi="仿宋_GB2312" w:cs="仿宋_GB2312" w:eastAsia="仿宋_GB2312"/>
              </w:rPr>
              <w:t xml:space="preserve"> ①屏幕广播至少实现两种接收模式，包括学生全屏和窗口模式接收教师机广播的画面，全屏状态锁定学生鼠标和键盘；</w:t>
            </w:r>
          </w:p>
          <w:p>
            <w:pPr>
              <w:pStyle w:val="null3"/>
              <w:jc w:val="both"/>
            </w:pPr>
            <w:r>
              <w:rPr>
                <w:rFonts w:ascii="仿宋_GB2312" w:hAnsi="仿宋_GB2312" w:cs="仿宋_GB2312" w:eastAsia="仿宋_GB2312"/>
              </w:rPr>
              <w:t xml:space="preserve"> ②屏幕广播支持区域广播方式，教师端可选取一块区域广播给学生机；在屏幕广播之后连接上来的终端可直接接收屏幕广播内容，用户终端关闭虚拟桌面仍可同步广播教师机屏幕和视频，不会中断教学；</w:t>
            </w:r>
          </w:p>
          <w:p>
            <w:pPr>
              <w:pStyle w:val="null3"/>
              <w:jc w:val="both"/>
            </w:pPr>
            <w:r>
              <w:rPr>
                <w:rFonts w:ascii="仿宋_GB2312" w:hAnsi="仿宋_GB2312" w:cs="仿宋_GB2312" w:eastAsia="仿宋_GB2312"/>
              </w:rPr>
              <w:t xml:space="preserve"> ③屏幕广播状态下，支持笔记截屏，教师机开启笔记截屏后，全屏广播时学生机可一键截取屏幕，保存上课重点信息；</w:t>
            </w:r>
          </w:p>
          <w:p>
            <w:pPr>
              <w:pStyle w:val="null3"/>
              <w:jc w:val="left"/>
            </w:pPr>
            <w:r>
              <w:rPr>
                <w:rFonts w:ascii="仿宋_GB2312" w:hAnsi="仿宋_GB2312" w:cs="仿宋_GB2312" w:eastAsia="仿宋_GB2312"/>
              </w:rPr>
              <w:t xml:space="preserve"> ④支持屏幕笔功能，教师可通过屏幕笔将屏幕当做画板进行绘制，便于教学互动。</w:t>
            </w:r>
          </w:p>
          <w:p>
            <w:pPr>
              <w:pStyle w:val="null3"/>
              <w:jc w:val="left"/>
            </w:pPr>
            <w:r>
              <w:rPr>
                <w:rFonts w:ascii="仿宋_GB2312" w:hAnsi="仿宋_GB2312" w:cs="仿宋_GB2312" w:eastAsia="仿宋_GB2312"/>
              </w:rPr>
              <w:t>●18、支持师生在屏幕广播期间发送弹幕进行双向互动，教师可将学生发送的弹幕进行置顶和引用，针对恶意弹幕教师可进行删除，在弹幕成员管理中可查看当前接入的所有学生以及发言状态，教师可将学生进行弹幕禁言及解禁操作，师生双方可发送指定表情进行更便捷的信息互动。退出屏幕广播后，教师可查看当前课程的所有弹幕记录。（需携带设备搭建真实的局域网环境(非远程)进行投标演示，需逐条演示出结果，未演示或演示与参数要求不一致则视为负偏离）</w:t>
            </w:r>
          </w:p>
          <w:p>
            <w:pPr>
              <w:pStyle w:val="null3"/>
              <w:jc w:val="left"/>
            </w:pPr>
            <w:r>
              <w:rPr>
                <w:rFonts w:ascii="仿宋_GB2312" w:hAnsi="仿宋_GB2312" w:cs="仿宋_GB2312" w:eastAsia="仿宋_GB2312"/>
              </w:rPr>
              <w:t>19、教师机可以连续监看所选学生机屏幕，每屏可监视多个学生，可设置每屏学生机的数量以及学生机屏幕轮循的时间间隔；支持黑屏肃静，教师可对学生执行黑屏肃静操作，能够自定义黑屏肃静的提示信息，支持手动解锁、按时解锁、按时长解锁；支持保存电子点名信息为班级座位信息，老师可导入班级座位信息，将机房上机机位与学生信息进行绑定，便于学生来机房后使用固定位置上机。</w:t>
            </w:r>
          </w:p>
          <w:p>
            <w:pPr>
              <w:pStyle w:val="null3"/>
              <w:jc w:val="both"/>
            </w:pPr>
            <w:r>
              <w:rPr>
                <w:rFonts w:ascii="仿宋_GB2312" w:hAnsi="仿宋_GB2312" w:cs="仿宋_GB2312" w:eastAsia="仿宋_GB2312"/>
              </w:rPr>
              <w:t>▲20、具备以下教学文件流转方式，以下技术要求（①-③）需要逐条提供加盖投标人公章的软件详细操作界面截图，截图需详细标注每一项功能说明。</w:t>
            </w:r>
          </w:p>
          <w:p>
            <w:pPr>
              <w:pStyle w:val="null3"/>
              <w:jc w:val="both"/>
            </w:pPr>
            <w:r>
              <w:rPr>
                <w:rFonts w:ascii="仿宋_GB2312" w:hAnsi="仿宋_GB2312" w:cs="仿宋_GB2312" w:eastAsia="仿宋_GB2312"/>
              </w:rPr>
              <w:t xml:space="preserve"> ①支持作业下发，教师机可将自己机器上的文件传输到学生机，支持一对多传输，当选中多台学生机执行下发文件时，教师端需选择其中一台学生机作为样本机，并选择存放路径，支持发送文件或文件夹；</w:t>
            </w:r>
          </w:p>
          <w:p>
            <w:pPr>
              <w:pStyle w:val="null3"/>
              <w:jc w:val="both"/>
            </w:pPr>
            <w:r>
              <w:rPr>
                <w:rFonts w:ascii="仿宋_GB2312" w:hAnsi="仿宋_GB2312" w:cs="仿宋_GB2312" w:eastAsia="仿宋_GB2312"/>
              </w:rPr>
              <w:t xml:space="preserve"> ②支持收取作业和一键收取指定路径的学生作业，教师可发起作业提交，学生提交作业后自动收取，默认将收取上来的作业存放在桌面，该路径可自定义更换；</w:t>
            </w:r>
          </w:p>
          <w:p>
            <w:pPr>
              <w:pStyle w:val="null3"/>
              <w:jc w:val="left"/>
            </w:pPr>
            <w:r>
              <w:rPr>
                <w:rFonts w:ascii="仿宋_GB2312" w:hAnsi="仿宋_GB2312" w:cs="仿宋_GB2312" w:eastAsia="仿宋_GB2312"/>
              </w:rPr>
              <w:t xml:space="preserve"> ③作业命名方式支持学生自定义和教师自定义，教师自定义命名支持加入学生姓名、学号、学生机器名或学生机IP地址中的一种方式。</w:t>
            </w:r>
          </w:p>
          <w:p>
            <w:pPr>
              <w:pStyle w:val="null3"/>
              <w:jc w:val="both"/>
            </w:pPr>
            <w:r>
              <w:rPr>
                <w:rFonts w:ascii="仿宋_GB2312" w:hAnsi="仿宋_GB2312" w:cs="仿宋_GB2312" w:eastAsia="仿宋_GB2312"/>
              </w:rPr>
              <w:t>★21、为保障正常使用和系统兼容性每个软件授权对应配置1套云系统接入器；需满足以下要求：</w:t>
            </w:r>
          </w:p>
          <w:p>
            <w:pPr>
              <w:pStyle w:val="null3"/>
              <w:jc w:val="both"/>
            </w:pPr>
            <w:r>
              <w:rPr>
                <w:rFonts w:ascii="仿宋_GB2312" w:hAnsi="仿宋_GB2312" w:cs="仿宋_GB2312" w:eastAsia="仿宋_GB2312"/>
              </w:rPr>
              <w:t>（1）云系统接入器具备≥8个独立运算单元，支持并行处理12个执行流的能力；</w:t>
            </w:r>
          </w:p>
          <w:p>
            <w:pPr>
              <w:pStyle w:val="null3"/>
              <w:jc w:val="both"/>
            </w:pPr>
            <w:r>
              <w:rPr>
                <w:rFonts w:ascii="仿宋_GB2312" w:hAnsi="仿宋_GB2312" w:cs="仿宋_GB2312" w:eastAsia="仿宋_GB2312"/>
              </w:rPr>
              <w:t>（2）≥8GB运行存储容量，≥512GB固态存储容量，后盖独立开盖设计，运行存储可拆可升级；</w:t>
            </w:r>
          </w:p>
          <w:p>
            <w:pPr>
              <w:pStyle w:val="null3"/>
              <w:jc w:val="both"/>
            </w:pPr>
            <w:r>
              <w:rPr>
                <w:rFonts w:ascii="仿宋_GB2312" w:hAnsi="仿宋_GB2312" w:cs="仿宋_GB2312" w:eastAsia="仿宋_GB2312"/>
              </w:rPr>
              <w:t>（3）图形处理：具备集成显示卡</w:t>
            </w:r>
          </w:p>
          <w:p>
            <w:pPr>
              <w:pStyle w:val="null3"/>
              <w:jc w:val="both"/>
            </w:pPr>
            <w:r>
              <w:rPr>
                <w:rFonts w:ascii="仿宋_GB2312" w:hAnsi="仿宋_GB2312" w:cs="仿宋_GB2312" w:eastAsia="仿宋_GB2312"/>
              </w:rPr>
              <w:t>（4）云系统接入器接口: ≥8个USB接口（至少含4个USB3.0接口），≥1个VGA，1个HDMI，1个COM（串口），≥2对音频输入输出接口；≥1个千兆速度网络交互接口。</w:t>
            </w:r>
          </w:p>
          <w:p>
            <w:pPr>
              <w:pStyle w:val="null3"/>
              <w:jc w:val="both"/>
            </w:pPr>
            <w:r>
              <w:rPr>
                <w:rFonts w:ascii="仿宋_GB2312" w:hAnsi="仿宋_GB2312" w:cs="仿宋_GB2312" w:eastAsia="仿宋_GB2312"/>
              </w:rPr>
              <w:t xml:space="preserve">（5）特性：支持上电自启动，支持远程唤醒；具备硬盘指示灯，以反应硬盘工作状态；  </w:t>
            </w:r>
          </w:p>
          <w:p>
            <w:pPr>
              <w:pStyle w:val="null3"/>
              <w:jc w:val="both"/>
            </w:pPr>
            <w:r>
              <w:rPr>
                <w:rFonts w:ascii="仿宋_GB2312" w:hAnsi="仿宋_GB2312" w:cs="仿宋_GB2312" w:eastAsia="仿宋_GB2312"/>
              </w:rPr>
              <w:t>（6）前置IR红外接收控制模块，支持红外遥控器控制开机、关机，便于物联网网关控制；</w:t>
            </w:r>
          </w:p>
          <w:p>
            <w:pPr>
              <w:pStyle w:val="null3"/>
              <w:jc w:val="both"/>
            </w:pPr>
            <w:r>
              <w:rPr>
                <w:rFonts w:ascii="仿宋_GB2312" w:hAnsi="仿宋_GB2312" w:cs="仿宋_GB2312" w:eastAsia="仿宋_GB2312"/>
              </w:rPr>
              <w:t>（7）板载标准SIM卡槽，支持不低于4G网络通讯SIM卡；</w:t>
            </w:r>
          </w:p>
          <w:p>
            <w:pPr>
              <w:pStyle w:val="null3"/>
              <w:jc w:val="both"/>
            </w:pPr>
            <w:r>
              <w:rPr>
                <w:rFonts w:ascii="仿宋_GB2312" w:hAnsi="仿宋_GB2312" w:cs="仿宋_GB2312" w:eastAsia="仿宋_GB2312"/>
              </w:rPr>
              <w:t>（8）安装方式：支持背挂/立式，带安全锁孔及标准VESA背挂;</w:t>
            </w:r>
          </w:p>
          <w:p>
            <w:pPr>
              <w:pStyle w:val="null3"/>
              <w:jc w:val="both"/>
            </w:pPr>
            <w:r>
              <w:rPr>
                <w:rFonts w:ascii="仿宋_GB2312" w:hAnsi="仿宋_GB2312" w:cs="仿宋_GB2312" w:eastAsia="仿宋_GB2312"/>
              </w:rPr>
              <w:t>（9）后置电源开关延长模块，可满足终端封闭式安装放置后的便捷式开关机操作；</w:t>
            </w:r>
          </w:p>
          <w:p>
            <w:pPr>
              <w:pStyle w:val="null3"/>
              <w:jc w:val="left"/>
            </w:pPr>
            <w:r>
              <w:rPr>
                <w:rFonts w:ascii="仿宋_GB2312" w:hAnsi="仿宋_GB2312" w:cs="仿宋_GB2312" w:eastAsia="仿宋_GB2312"/>
              </w:rPr>
              <w:t>（10）每个云系统接入器含画面显示设备及USB键鼠套装一套，保证正常使用。</w:t>
            </w:r>
          </w:p>
        </w:tc>
      </w:tr>
    </w:tbl>
    <w:p>
      <w:pPr>
        <w:pStyle w:val="null3"/>
        <w:jc w:val="left"/>
      </w:pPr>
      <w:r>
        <w:rPr>
          <w:rFonts w:ascii="仿宋_GB2312" w:hAnsi="仿宋_GB2312" w:cs="仿宋_GB2312" w:eastAsia="仿宋_GB2312"/>
        </w:rPr>
        <w:t>标的名称：科学计算与系统仿真软件（软件）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科学计算与系统仿真软件</w:t>
            </w:r>
          </w:p>
        </w:tc>
        <w:tc>
          <w:tcPr>
            <w:tcW w:type="dxa" w:w="5814"/>
          </w:tcPr>
          <w:p>
            <w:pPr>
              <w:pStyle w:val="null3"/>
              <w:jc w:val="left"/>
            </w:pPr>
            <w:r>
              <w:rPr>
                <w:rFonts w:ascii="仿宋_GB2312" w:hAnsi="仿宋_GB2312" w:cs="仿宋_GB2312" w:eastAsia="仿宋_GB2312"/>
                <w:color w:val="000000"/>
              </w:rPr>
              <w:t>一、通用科学计算平台</w:t>
            </w:r>
          </w:p>
          <w:p>
            <w:pPr>
              <w:pStyle w:val="null3"/>
              <w:jc w:val="left"/>
            </w:pPr>
            <w:r>
              <w:rPr>
                <w:rFonts w:ascii="仿宋_GB2312" w:hAnsi="仿宋_GB2312" w:cs="仿宋_GB2312" w:eastAsia="仿宋_GB2312"/>
              </w:rPr>
              <w:t>1、语言解释器：支持创建包文件夹、包成员定义及访问；支持函数参量验证语法；支持类定义（包括值类、句柄类）；支持类的继承（包括单一和多重继承）；支持类成员定义及访问（属性、方法）；支持类和类成员特性设置。</w:t>
            </w:r>
          </w:p>
          <w:p>
            <w:pPr>
              <w:pStyle w:val="null3"/>
              <w:jc w:val="left"/>
            </w:pPr>
            <w:r>
              <w:rPr>
                <w:rFonts w:ascii="仿宋_GB2312" w:hAnsi="仿宋_GB2312" w:cs="仿宋_GB2312" w:eastAsia="仿宋_GB2312"/>
              </w:rPr>
              <w:t>▲2、IDE：提供脚本编辑与代码调试环境；支持m脚本编写文件执行和命令行脚本执行；支持源代码管理工具Git；支持自定义界面布局。（提供软件页面截图</w:t>
            </w:r>
            <w:r>
              <w:rPr>
                <w:rFonts w:ascii="仿宋_GB2312" w:hAnsi="仿宋_GB2312" w:cs="仿宋_GB2312" w:eastAsia="仿宋_GB2312"/>
                <w:color w:val="000000"/>
              </w:rPr>
              <w:t>并加盖投标人公章</w:t>
            </w:r>
            <w:r>
              <w:rPr>
                <w:rFonts w:ascii="仿宋_GB2312" w:hAnsi="仿宋_GB2312" w:cs="仿宋_GB2312" w:eastAsia="仿宋_GB2312"/>
              </w:rPr>
              <w:t>）</w:t>
            </w:r>
          </w:p>
          <w:p>
            <w:pPr>
              <w:pStyle w:val="null3"/>
              <w:jc w:val="left"/>
            </w:pPr>
            <w:r>
              <w:rPr>
                <w:rFonts w:ascii="仿宋_GB2312" w:hAnsi="仿宋_GB2312" w:cs="仿宋_GB2312" w:eastAsia="仿宋_GB2312"/>
              </w:rPr>
              <w:t>3、数值类型：浮点数（稠密/稀疏、实数/复数）：single,double；有符号整数：int8,int16,int32,int64；无符号整数：uint8,uint16,uint32,uint64；逻辑值（稠密/稀疏）：logical</w:t>
            </w:r>
          </w:p>
          <w:p>
            <w:pPr>
              <w:pStyle w:val="null3"/>
              <w:jc w:val="left"/>
            </w:pPr>
            <w:r>
              <w:rPr>
                <w:rFonts w:ascii="仿宋_GB2312" w:hAnsi="仿宋_GB2312" w:cs="仿宋_GB2312" w:eastAsia="仿宋_GB2312"/>
              </w:rPr>
              <w:t>字符与字符串：字符：char；字符串：string</w:t>
            </w:r>
          </w:p>
          <w:p>
            <w:pPr>
              <w:pStyle w:val="null3"/>
              <w:jc w:val="left"/>
            </w:pPr>
            <w:r>
              <w:rPr>
                <w:rFonts w:ascii="仿宋_GB2312" w:hAnsi="仿宋_GB2312" w:cs="仿宋_GB2312" w:eastAsia="仿宋_GB2312"/>
              </w:rPr>
              <w:t>时间类型：日期时间：datetime,duration,calendarDuration</w:t>
            </w:r>
          </w:p>
          <w:p>
            <w:pPr>
              <w:pStyle w:val="null3"/>
              <w:jc w:val="left"/>
            </w:pPr>
            <w:r>
              <w:rPr>
                <w:rFonts w:ascii="仿宋_GB2312" w:hAnsi="仿宋_GB2312" w:cs="仿宋_GB2312" w:eastAsia="仿宋_GB2312"/>
              </w:rPr>
              <w:t>结构化数据：表：table,timetable；结构体：struct；元胞数组：cell</w:t>
            </w:r>
          </w:p>
          <w:p>
            <w:pPr>
              <w:pStyle w:val="null3"/>
              <w:jc w:val="left"/>
            </w:pPr>
            <w:r>
              <w:rPr>
                <w:rFonts w:ascii="仿宋_GB2312" w:hAnsi="仿宋_GB2312" w:cs="仿宋_GB2312" w:eastAsia="仿宋_GB2312"/>
              </w:rPr>
              <w:t>其他类型：函数句柄：function_handle；自定义类型（使用classdef）；分类数组：categorical。</w:t>
            </w:r>
          </w:p>
          <w:p>
            <w:pPr>
              <w:pStyle w:val="null3"/>
              <w:jc w:val="left"/>
            </w:pPr>
            <w:r>
              <w:rPr>
                <w:rFonts w:ascii="仿宋_GB2312" w:hAnsi="仿宋_GB2312" w:cs="仿宋_GB2312" w:eastAsia="仿宋_GB2312"/>
              </w:rPr>
              <w:t>▲4、图形函数：二维和三维绘图类型共不少于40种，含线图、散点图、曲面图、等高线图、极坐标图等常用图表；自定义绘图外观的函数≥80个；支持图形属性自定义、交互式操作（缩放、平移、旋转等），可兼容LaTeX命令插入专业数学符号与公式。（提供图形函数清单</w:t>
            </w:r>
            <w:r>
              <w:rPr>
                <w:rFonts w:ascii="仿宋_GB2312" w:hAnsi="仿宋_GB2312" w:cs="仿宋_GB2312" w:eastAsia="仿宋_GB2312"/>
                <w:color w:val="000000"/>
              </w:rPr>
              <w:t>并加盖投标人公章</w:t>
            </w:r>
            <w:r>
              <w:rPr>
                <w:rFonts w:ascii="仿宋_GB2312" w:hAnsi="仿宋_GB2312" w:cs="仿宋_GB2312" w:eastAsia="仿宋_GB2312"/>
              </w:rPr>
              <w:t>）</w:t>
            </w:r>
          </w:p>
          <w:p>
            <w:pPr>
              <w:pStyle w:val="null3"/>
              <w:jc w:val="left"/>
            </w:pPr>
            <w:r>
              <w:rPr>
                <w:rFonts w:ascii="仿宋_GB2312" w:hAnsi="仿宋_GB2312" w:cs="仿宋_GB2312" w:eastAsia="仿宋_GB2312"/>
              </w:rPr>
              <w:t>5、数学函数：包含初等数学函数≥170个；</w:t>
            </w:r>
          </w:p>
          <w:p>
            <w:pPr>
              <w:pStyle w:val="null3"/>
              <w:jc w:val="left"/>
            </w:pPr>
            <w:r>
              <w:rPr>
                <w:rFonts w:ascii="仿宋_GB2312" w:hAnsi="仿宋_GB2312" w:cs="仿宋_GB2312" w:eastAsia="仿宋_GB2312"/>
              </w:rPr>
              <w:t>计算几何学函数≥85个；</w:t>
            </w:r>
          </w:p>
          <w:p>
            <w:pPr>
              <w:pStyle w:val="null3"/>
              <w:jc w:val="left"/>
            </w:pPr>
            <w:r>
              <w:rPr>
                <w:rFonts w:ascii="仿宋_GB2312" w:hAnsi="仿宋_GB2312" w:cs="仿宋_GB2312" w:eastAsia="仿宋_GB2312"/>
              </w:rPr>
              <w:t>线性代数函数≥75个；</w:t>
            </w:r>
          </w:p>
          <w:p>
            <w:pPr>
              <w:pStyle w:val="null3"/>
              <w:jc w:val="left"/>
            </w:pPr>
            <w:r>
              <w:rPr>
                <w:rFonts w:ascii="仿宋_GB2312" w:hAnsi="仿宋_GB2312" w:cs="仿宋_GB2312" w:eastAsia="仿宋_GB2312"/>
              </w:rPr>
              <w:t>稀疏矩阵函数≥50个；</w:t>
            </w:r>
          </w:p>
          <w:p>
            <w:pPr>
              <w:pStyle w:val="null3"/>
              <w:jc w:val="left"/>
            </w:pPr>
            <w:r>
              <w:rPr>
                <w:rFonts w:ascii="仿宋_GB2312" w:hAnsi="仿宋_GB2312" w:cs="仿宋_GB2312" w:eastAsia="仿宋_GB2312"/>
              </w:rPr>
              <w:t>数值积分和微分方程函数≥35个；</w:t>
            </w:r>
          </w:p>
          <w:p>
            <w:pPr>
              <w:pStyle w:val="null3"/>
              <w:jc w:val="left"/>
            </w:pPr>
            <w:r>
              <w:rPr>
                <w:rFonts w:ascii="仿宋_GB2312" w:hAnsi="仿宋_GB2312" w:cs="仿宋_GB2312" w:eastAsia="仿宋_GB2312"/>
              </w:rPr>
              <w:t>傅里叶分析和滤波函数≥15个；</w:t>
            </w:r>
          </w:p>
          <w:p>
            <w:pPr>
              <w:pStyle w:val="null3"/>
              <w:jc w:val="left"/>
            </w:pPr>
            <w:r>
              <w:rPr>
                <w:rFonts w:ascii="仿宋_GB2312" w:hAnsi="仿宋_GB2312" w:cs="仿宋_GB2312" w:eastAsia="仿宋_GB2312"/>
              </w:rPr>
              <w:t>插值函数≥15个；</w:t>
            </w:r>
          </w:p>
          <w:p>
            <w:pPr>
              <w:pStyle w:val="null3"/>
              <w:jc w:val="left"/>
            </w:pPr>
            <w:r>
              <w:rPr>
                <w:rFonts w:ascii="仿宋_GB2312" w:hAnsi="仿宋_GB2312" w:cs="仿宋_GB2312" w:eastAsia="仿宋_GB2312"/>
              </w:rPr>
              <w:t>优化函数≥5个；</w:t>
            </w:r>
          </w:p>
          <w:p>
            <w:pPr>
              <w:pStyle w:val="null3"/>
              <w:jc w:val="left"/>
            </w:pPr>
            <w:r>
              <w:rPr>
                <w:rFonts w:ascii="仿宋_GB2312" w:hAnsi="仿宋_GB2312" w:cs="仿宋_GB2312" w:eastAsia="仿宋_GB2312"/>
              </w:rPr>
              <w:t>随机数生成函数≥5个；</w:t>
            </w:r>
          </w:p>
          <w:p>
            <w:pPr>
              <w:pStyle w:val="null3"/>
              <w:jc w:val="left"/>
            </w:pPr>
            <w:r>
              <w:rPr>
                <w:rFonts w:ascii="仿宋_GB2312" w:hAnsi="仿宋_GB2312" w:cs="仿宋_GB2312" w:eastAsia="仿宋_GB2312"/>
              </w:rPr>
              <w:t>图和网络算法≥45个。</w:t>
            </w:r>
          </w:p>
          <w:p>
            <w:pPr>
              <w:pStyle w:val="null3"/>
              <w:jc w:val="left"/>
            </w:pPr>
            <w:r>
              <w:rPr>
                <w:rFonts w:ascii="仿宋_GB2312" w:hAnsi="仿宋_GB2312" w:cs="仿宋_GB2312" w:eastAsia="仿宋_GB2312"/>
              </w:rPr>
              <w:t>6、数据导入和分析：数据分析及导入导出函数≥100个；导入导出格式：MATLAB格式化数据（MAT文件）；文本文件（.csv、.txt）；电子表格（.xlsx）。</w:t>
            </w:r>
          </w:p>
          <w:p>
            <w:pPr>
              <w:pStyle w:val="null3"/>
              <w:jc w:val="left"/>
            </w:pPr>
            <w:r>
              <w:rPr>
                <w:rFonts w:ascii="仿宋_GB2312" w:hAnsi="仿宋_GB2312" w:cs="仿宋_GB2312" w:eastAsia="仿宋_GB2312"/>
              </w:rPr>
              <w:t>7、外部语言支持：支持与 Python混合编程，或将C/C++、FORTRAN 等代码编译为插件使用。</w:t>
            </w:r>
          </w:p>
          <w:p>
            <w:pPr>
              <w:pStyle w:val="null3"/>
              <w:jc w:val="left"/>
            </w:pPr>
            <w:r>
              <w:rPr>
                <w:rFonts w:ascii="仿宋_GB2312" w:hAnsi="仿宋_GB2312" w:cs="仿宋_GB2312" w:eastAsia="仿宋_GB2312"/>
              </w:rPr>
              <w:t>8、智能辅助功能：智能助手：集成基于大模型的智能辅助工具，支持业务问题到数学模型、代码脚本的转化，提供代码优化、注释补充、问题修复等能力；兼容本地/云端多源模型；内置专有知识库。</w:t>
            </w:r>
          </w:p>
          <w:p>
            <w:pPr>
              <w:pStyle w:val="null3"/>
              <w:jc w:val="left"/>
            </w:pPr>
            <w:r>
              <w:rPr>
                <w:rFonts w:ascii="仿宋_GB2312" w:hAnsi="仿宋_GB2312" w:cs="仿宋_GB2312" w:eastAsia="仿宋_GB2312"/>
                <w:color w:val="000000"/>
              </w:rPr>
              <w:t>二、国产系统仿真平台</w:t>
            </w:r>
          </w:p>
          <w:p>
            <w:pPr>
              <w:pStyle w:val="null3"/>
              <w:jc w:val="left"/>
            </w:pPr>
            <w:r>
              <w:rPr>
                <w:rFonts w:ascii="仿宋_GB2312" w:hAnsi="仿宋_GB2312" w:cs="仿宋_GB2312" w:eastAsia="仿宋_GB2312"/>
              </w:rPr>
              <w:t>1、基础元件库：连续（continuous）：≥15个；非连续（discontinuous）：≥10个；离散（discretes）：≥20个；逻辑运算（LogicAndBitOperations）：≥25个；数学（math）：≥35个；插值运算（lookupTables）：≥15个；矩阵运算（matrixOperations）：≥15个；模型验证（ModelVerification）：≥10个；信号分配（signalAttributes）：≥10个；信号路由（signalRouting）：≥10个；输入（Sources）：≥25个；输出（Sinks）：≥10个；子系统（subsystems）：≥2个；状态机（StateEvo）：≥1个；字符处理（string）：≥10个；自定义（userDefinedFuncs）：≥2个；附加数学（AdditionalMath）：≥5个。</w:t>
            </w:r>
          </w:p>
          <w:p>
            <w:pPr>
              <w:pStyle w:val="null3"/>
              <w:jc w:val="left"/>
            </w:pPr>
            <w:r>
              <w:rPr>
                <w:rFonts w:ascii="仿宋_GB2312" w:hAnsi="仿宋_GB2312" w:cs="仿宋_GB2312" w:eastAsia="仿宋_GB2312"/>
              </w:rPr>
              <w:t>2、图形编辑器：核心功能提供图形化系统建模能力。</w:t>
            </w:r>
          </w:p>
          <w:p>
            <w:pPr>
              <w:pStyle w:val="null3"/>
              <w:jc w:val="left"/>
            </w:pPr>
            <w:r>
              <w:rPr>
                <w:rFonts w:ascii="仿宋_GB2312" w:hAnsi="仿宋_GB2312" w:cs="仿宋_GB2312" w:eastAsia="仿宋_GB2312"/>
              </w:rPr>
              <w:t>3、求解器：≥23个；</w:t>
            </w:r>
          </w:p>
          <w:p>
            <w:pPr>
              <w:pStyle w:val="null3"/>
              <w:jc w:val="left"/>
            </w:pPr>
            <w:r>
              <w:rPr>
                <w:rFonts w:ascii="仿宋_GB2312" w:hAnsi="仿宋_GB2312" w:cs="仿宋_GB2312" w:eastAsia="仿宋_GB2312"/>
              </w:rPr>
              <w:t>4、行业模块库：汽车制造：AUTOSAR：≥5个模块（支持AUTOSAR Classic/Adaptive软件开发）；动力系统：≥55个模块；车辆动力：≥40个模块；FMU：≥1个计算单元；航空航天：Aerospace Toolbox：≥115个模块；Flightgear：≥5个模块；军工行业：控制系统：≥5个模块，通信系统：≥20个。</w:t>
            </w:r>
          </w:p>
          <w:p>
            <w:pPr>
              <w:pStyle w:val="null3"/>
              <w:jc w:val="left"/>
            </w:pPr>
            <w:r>
              <w:rPr>
                <w:rFonts w:ascii="仿宋_GB2312" w:hAnsi="仿宋_GB2312" w:cs="仿宋_GB2312" w:eastAsia="仿宋_GB2312"/>
              </w:rPr>
              <w:t>5、半实物仿真：提供半实物仿真网络通信模块6个。</w:t>
            </w:r>
          </w:p>
          <w:p>
            <w:pPr>
              <w:pStyle w:val="null3"/>
              <w:jc w:val="left"/>
            </w:pPr>
            <w:r>
              <w:rPr>
                <w:rFonts w:ascii="仿宋_GB2312" w:hAnsi="仿宋_GB2312" w:cs="仿宋_GB2312" w:eastAsia="仿宋_GB2312"/>
                <w:color w:val="000000"/>
              </w:rPr>
              <w:t>三、工具箱</w:t>
            </w:r>
          </w:p>
          <w:p>
            <w:pPr>
              <w:pStyle w:val="null3"/>
              <w:jc w:val="left"/>
            </w:pPr>
            <w:r>
              <w:rPr>
                <w:rFonts w:ascii="仿宋_GB2312" w:hAnsi="仿宋_GB2312" w:cs="仿宋_GB2312" w:eastAsia="仿宋_GB2312"/>
              </w:rPr>
              <w:t>▲1、优化工具箱：核心功能描述：提供线性规划、混合整数线性规划、二次规划、锥规划、非线性优化等求解器，支持求解最小二乘、非线性方程组等问题。函数数量≥20个。（提供工具箱案例软件运行截图</w:t>
            </w:r>
            <w:r>
              <w:rPr>
                <w:rFonts w:ascii="仿宋_GB2312" w:hAnsi="仿宋_GB2312" w:cs="仿宋_GB2312" w:eastAsia="仿宋_GB2312"/>
                <w:color w:val="000000"/>
              </w:rPr>
              <w:t>并加盖投标人公章</w:t>
            </w:r>
            <w:r>
              <w:rPr>
                <w:rFonts w:ascii="仿宋_GB2312" w:hAnsi="仿宋_GB2312" w:cs="仿宋_GB2312" w:eastAsia="仿宋_GB2312"/>
              </w:rPr>
              <w:t>）</w:t>
            </w:r>
          </w:p>
          <w:p>
            <w:pPr>
              <w:pStyle w:val="null3"/>
              <w:jc w:val="left"/>
            </w:pPr>
            <w:r>
              <w:rPr>
                <w:rFonts w:ascii="仿宋_GB2312" w:hAnsi="仿宋_GB2312" w:cs="仿宋_GB2312" w:eastAsia="仿宋_GB2312"/>
              </w:rPr>
              <w:t>▲2、全局优化工具箱：核心功能描述：包括代理优化、直接搜索、粒子群算法、模拟退火、遗传算法等，可以求解连续的、不连续的、随机的函数的优化问题，也可以进行多目标优化。函数数量≥10个。（提供工具箱案例软件运行截图</w:t>
            </w:r>
            <w:r>
              <w:rPr>
                <w:rFonts w:ascii="仿宋_GB2312" w:hAnsi="仿宋_GB2312" w:cs="仿宋_GB2312" w:eastAsia="仿宋_GB2312"/>
                <w:color w:val="000000"/>
              </w:rPr>
              <w:t>并加盖投标人公章</w:t>
            </w:r>
            <w:r>
              <w:rPr>
                <w:rFonts w:ascii="仿宋_GB2312" w:hAnsi="仿宋_GB2312" w:cs="仿宋_GB2312" w:eastAsia="仿宋_GB2312"/>
              </w:rPr>
              <w:t>）</w:t>
            </w:r>
          </w:p>
          <w:p>
            <w:pPr>
              <w:pStyle w:val="null3"/>
              <w:jc w:val="left"/>
            </w:pPr>
            <w:r>
              <w:rPr>
                <w:rFonts w:ascii="仿宋_GB2312" w:hAnsi="仿宋_GB2312" w:cs="仿宋_GB2312" w:eastAsia="仿宋_GB2312"/>
              </w:rPr>
              <w:t>▲3、统计与机器学习工具箱：核心功能描述：涵盖数据统计、可视化、概率分布拟合、假设检验、分类聚类等功能，支持≥40种概率分布拟合及多种聚类评价方法。函数数量≥330个。（提供工具箱案例软件运行截图</w:t>
            </w:r>
            <w:r>
              <w:rPr>
                <w:rFonts w:ascii="仿宋_GB2312" w:hAnsi="仿宋_GB2312" w:cs="仿宋_GB2312" w:eastAsia="仿宋_GB2312"/>
                <w:color w:val="000000"/>
              </w:rPr>
              <w:t>并加盖投标人公章</w:t>
            </w:r>
            <w:r>
              <w:rPr>
                <w:rFonts w:ascii="仿宋_GB2312" w:hAnsi="仿宋_GB2312" w:cs="仿宋_GB2312" w:eastAsia="仿宋_GB2312"/>
              </w:rPr>
              <w:t>）</w:t>
            </w:r>
          </w:p>
          <w:p>
            <w:pPr>
              <w:pStyle w:val="null3"/>
              <w:jc w:val="left"/>
            </w:pPr>
            <w:r>
              <w:rPr>
                <w:rFonts w:ascii="仿宋_GB2312" w:hAnsi="仿宋_GB2312" w:cs="仿宋_GB2312" w:eastAsia="仿宋_GB2312"/>
              </w:rPr>
              <w:t>▲4、偏微分方程工具箱：核心功能描述：提供有限差分法和有限元法，支持一维和二维波动、泊松等方程、传热方程、对流方程等求解，可处理结构、传热等问题。函数数量≥110个。（提供工具箱案例软件运行截图</w:t>
            </w:r>
            <w:r>
              <w:rPr>
                <w:rFonts w:ascii="仿宋_GB2312" w:hAnsi="仿宋_GB2312" w:cs="仿宋_GB2312" w:eastAsia="仿宋_GB2312"/>
                <w:color w:val="000000"/>
              </w:rPr>
              <w:t>并加盖投标人公章</w:t>
            </w:r>
            <w:r>
              <w:rPr>
                <w:rFonts w:ascii="仿宋_GB2312" w:hAnsi="仿宋_GB2312" w:cs="仿宋_GB2312" w:eastAsia="仿宋_GB2312"/>
              </w:rPr>
              <w:t>）</w:t>
            </w:r>
          </w:p>
          <w:p>
            <w:pPr>
              <w:pStyle w:val="null3"/>
              <w:jc w:val="left"/>
            </w:pPr>
            <w:r>
              <w:rPr>
                <w:rFonts w:ascii="仿宋_GB2312" w:hAnsi="仿宋_GB2312" w:cs="仿宋_GB2312" w:eastAsia="仿宋_GB2312"/>
              </w:rPr>
              <w:t>▲5、曲线拟合工具箱：核心功能描述：提供样条曲线拟合函数，支持各类格式的样条函数的生成及后处理操作。函数数量≥15个。（提供工具箱案例软件运行截图</w:t>
            </w:r>
            <w:r>
              <w:rPr>
                <w:rFonts w:ascii="仿宋_GB2312" w:hAnsi="仿宋_GB2312" w:cs="仿宋_GB2312" w:eastAsia="仿宋_GB2312"/>
                <w:color w:val="000000"/>
              </w:rPr>
              <w:t>并加盖投标人公章</w:t>
            </w:r>
            <w:r>
              <w:rPr>
                <w:rFonts w:ascii="仿宋_GB2312" w:hAnsi="仿宋_GB2312" w:cs="仿宋_GB2312" w:eastAsia="仿宋_GB2312"/>
              </w:rPr>
              <w:t>）</w:t>
            </w:r>
          </w:p>
          <w:p>
            <w:pPr>
              <w:pStyle w:val="null3"/>
              <w:jc w:val="left"/>
            </w:pPr>
            <w:r>
              <w:rPr>
                <w:rFonts w:ascii="仿宋_GB2312" w:hAnsi="仿宋_GB2312" w:cs="仿宋_GB2312" w:eastAsia="仿宋_GB2312"/>
              </w:rPr>
              <w:t>6、代码生成工具箱：核心功能描述：可将软件内置或自定义函数转换为C++代码，适配多种软硬件环境，支持多数运算符操作。120+关键字、算符、函数支持C代码生成。函数数量：≥1个。</w:t>
            </w:r>
          </w:p>
          <w:p>
            <w:pPr>
              <w:pStyle w:val="null3"/>
              <w:jc w:val="left"/>
            </w:pPr>
            <w:r>
              <w:rPr>
                <w:rFonts w:ascii="仿宋_GB2312" w:hAnsi="仿宋_GB2312" w:cs="仿宋_GB2312" w:eastAsia="仿宋_GB2312"/>
              </w:rPr>
              <w:t>7、深度学习工具箱：核心功能描述：支持导入≥30种Pytorch预训练模型并执行预测；允许用户自定义神经网络并设置参数自主训练，含≥40基础网络层组件及≥15损失函数（含交叉熵损失、均方误差损失等）；支持迁移学习，含≥30迁移学习专用网络结构。函数数量≥35个。</w:t>
            </w:r>
          </w:p>
          <w:p>
            <w:pPr>
              <w:pStyle w:val="null3"/>
              <w:jc w:val="left"/>
            </w:pPr>
            <w:r>
              <w:rPr>
                <w:rFonts w:ascii="仿宋_GB2312" w:hAnsi="仿宋_GB2312" w:cs="仿宋_GB2312" w:eastAsia="仿宋_GB2312"/>
              </w:rPr>
              <w:t>8、控制系统工具箱：核心功能描述：提供工具和函数用于各类控制系统的设计、分析和调试，支持快速原型设计与仿真验证。函数数量：≥110个。</w:t>
            </w:r>
          </w:p>
          <w:p>
            <w:pPr>
              <w:pStyle w:val="null3"/>
              <w:jc w:val="left"/>
            </w:pPr>
            <w:r>
              <w:rPr>
                <w:rFonts w:ascii="仿宋_GB2312" w:hAnsi="仿宋_GB2312" w:cs="仿宋_GB2312" w:eastAsia="仿宋_GB2312"/>
              </w:rPr>
              <w:t>9、信号处理工具箱：核心功能描述：包含信号探查、预处理、特征提取等功能，支持时频分析、滤波器设计与实现等操作。函数数量：≥190个。</w:t>
            </w:r>
          </w:p>
          <w:p>
            <w:pPr>
              <w:pStyle w:val="null3"/>
              <w:jc w:val="left"/>
            </w:pPr>
            <w:r>
              <w:rPr>
                <w:rFonts w:ascii="仿宋_GB2312" w:hAnsi="仿宋_GB2312" w:cs="仿宋_GB2312" w:eastAsia="仿宋_GB2312"/>
              </w:rPr>
              <w:t>▲10、图像处理工具箱：核心功能描述：支持图像读写和转换、图像显示、几何变换和配准、图像滤波和增强、图像分割与分析、特征检测和提取等功能。函数数量≥380个。（提供工具箱案例软件运行截图</w:t>
            </w:r>
            <w:r>
              <w:rPr>
                <w:rFonts w:ascii="仿宋_GB2312" w:hAnsi="仿宋_GB2312" w:cs="仿宋_GB2312" w:eastAsia="仿宋_GB2312"/>
                <w:color w:val="000000"/>
              </w:rPr>
              <w:t>并加盖投标人公章</w:t>
            </w:r>
            <w:r>
              <w:rPr>
                <w:rFonts w:ascii="仿宋_GB2312" w:hAnsi="仿宋_GB2312" w:cs="仿宋_GB2312" w:eastAsia="仿宋_GB2312"/>
              </w:rPr>
              <w:t>）</w:t>
            </w:r>
          </w:p>
          <w:p>
            <w:pPr>
              <w:pStyle w:val="null3"/>
              <w:jc w:val="left"/>
            </w:pPr>
            <w:r>
              <w:rPr>
                <w:rFonts w:ascii="仿宋_GB2312" w:hAnsi="仿宋_GB2312" w:cs="仿宋_GB2312" w:eastAsia="仿宋_GB2312"/>
              </w:rPr>
              <w:t>11、脑电工具箱：核心功能描述：覆盖EEG处理、分析与解释，兼容主流数据格式，支持数据处理及ICA独立成分分析以鉴别脑电活动。函数数量：≥159个。</w:t>
            </w:r>
          </w:p>
          <w:p>
            <w:pPr>
              <w:pStyle w:val="null3"/>
              <w:jc w:val="left"/>
            </w:pPr>
            <w:r>
              <w:rPr>
                <w:rFonts w:ascii="仿宋_GB2312" w:hAnsi="仿宋_GB2312" w:cs="仿宋_GB2312" w:eastAsia="仿宋_GB2312"/>
              </w:rPr>
              <w:t>12、智能PNT工具箱：核心功能描述：提供全域多源PNT信息源，提升PNT服务的精确性与可用性，实现从深空到深海的无缝服务。函数数量：≥62个。</w:t>
            </w:r>
          </w:p>
          <w:p>
            <w:pPr>
              <w:pStyle w:val="null3"/>
              <w:jc w:val="left"/>
            </w:pPr>
            <w:r>
              <w:rPr>
                <w:rFonts w:ascii="仿宋_GB2312" w:hAnsi="仿宋_GB2312" w:cs="仿宋_GB2312" w:eastAsia="仿宋_GB2312"/>
              </w:rPr>
              <w:t>13、医学图像工具箱：核心功能描述：支持CT、MRI等医学图像的读写、可视化、预处理等操作，可用于设计测试诊断系统算法。函数数量：≥32个。</w:t>
            </w:r>
          </w:p>
          <w:p>
            <w:pPr>
              <w:pStyle w:val="null3"/>
              <w:jc w:val="left"/>
            </w:pPr>
            <w:r>
              <w:rPr>
                <w:rFonts w:ascii="仿宋_GB2312" w:hAnsi="仿宋_GB2312" w:cs="仿宋_GB2312" w:eastAsia="仿宋_GB2312"/>
              </w:rPr>
              <w:t>14、计算机视觉工具箱：核心功能描述：用于设计测试计算机视觉系统，包含特征检测、相机标定、目标检测跟踪等功能。函数数量：≥46个。</w:t>
            </w:r>
          </w:p>
          <w:p>
            <w:pPr>
              <w:pStyle w:val="null3"/>
              <w:jc w:val="left"/>
            </w:pPr>
            <w:r>
              <w:rPr>
                <w:rFonts w:ascii="仿宋_GB2312" w:hAnsi="仿宋_GB2312" w:cs="仿宋_GB2312" w:eastAsia="仿宋_GB2312"/>
              </w:rPr>
              <w:t>15、App构建工具箱：核心功能描述：支持编程开发App，涵盖框架搭建、交互组件生成，提供图窗、对话框、UI坐标区等多种组件。函数数量：≥50个。</w:t>
            </w:r>
          </w:p>
          <w:p>
            <w:pPr>
              <w:pStyle w:val="null3"/>
              <w:jc w:val="left"/>
            </w:pPr>
            <w:r>
              <w:rPr>
                <w:rFonts w:ascii="仿宋_GB2312" w:hAnsi="仿宋_GB2312" w:cs="仿宋_GB2312" w:eastAsia="仿宋_GB2312"/>
              </w:rPr>
              <w:t>16、并行计算工具箱：核心功能描述：支持基于GPU的并行计算，支持GPU并行的函数≥190个。函数数量≥10个。</w:t>
            </w:r>
          </w:p>
          <w:p>
            <w:pPr>
              <w:pStyle w:val="null3"/>
              <w:jc w:val="left"/>
            </w:pPr>
            <w:r>
              <w:rPr>
                <w:rFonts w:ascii="仿宋_GB2312" w:hAnsi="仿宋_GB2312" w:cs="仿宋_GB2312" w:eastAsia="仿宋_GB2312"/>
              </w:rPr>
              <w:t>17、小波工具箱：核心功能描述：支持基于小波变换的多分辨率分析、压缩和去噪。函数数量：≥65个。</w:t>
            </w:r>
          </w:p>
          <w:p>
            <w:pPr>
              <w:pStyle w:val="null3"/>
              <w:jc w:val="left"/>
            </w:pPr>
            <w:r>
              <w:rPr>
                <w:rFonts w:ascii="仿宋_GB2312" w:hAnsi="仿宋_GB2312" w:cs="仿宋_GB2312" w:eastAsia="仿宋_GB2312"/>
              </w:rPr>
              <w:t>18、模型降阶工具箱：核心功能描述：提供基于模型和基于数据的降阶方法。函数数量：≥40个。</w:t>
            </w:r>
          </w:p>
          <w:p>
            <w:pPr>
              <w:pStyle w:val="null3"/>
              <w:jc w:val="left"/>
            </w:pPr>
            <w:r>
              <w:rPr>
                <w:rFonts w:ascii="仿宋_GB2312" w:hAnsi="仿宋_GB2312" w:cs="仿宋_GB2312" w:eastAsia="仿宋_GB2312"/>
                <w:color w:val="000000"/>
              </w:rPr>
              <w:t>四、关键性能</w:t>
            </w:r>
          </w:p>
          <w:p>
            <w:pPr>
              <w:pStyle w:val="null3"/>
              <w:jc w:val="left"/>
            </w:pPr>
            <w:r>
              <w:rPr>
                <w:rFonts w:ascii="仿宋_GB2312" w:hAnsi="仿宋_GB2312" w:cs="仿宋_GB2312" w:eastAsia="仿宋_GB2312"/>
              </w:rPr>
              <w:t>1、计算能力：≥16G内存设备支持40000×40000稠密矩阵及千万非零元稀疏矩阵的分解、降维计算等功能。</w:t>
            </w:r>
          </w:p>
          <w:p>
            <w:pPr>
              <w:pStyle w:val="null3"/>
              <w:jc w:val="left"/>
            </w:pPr>
            <w:r>
              <w:rPr>
                <w:rFonts w:ascii="仿宋_GB2312" w:hAnsi="仿宋_GB2312" w:cs="仿宋_GB2312" w:eastAsia="仿宋_GB2312"/>
              </w:rPr>
              <w:t>2、可靠性：支持7×24小时连续安全运行；支持崩溃日志功能，记录崩溃堆栈信息。</w:t>
            </w:r>
          </w:p>
          <w:p>
            <w:pPr>
              <w:pStyle w:val="null3"/>
              <w:jc w:val="left"/>
            </w:pPr>
            <w:r>
              <w:rPr>
                <w:rFonts w:ascii="仿宋_GB2312" w:hAnsi="仿宋_GB2312" w:cs="仿宋_GB2312" w:eastAsia="仿宋_GB2312"/>
              </w:rPr>
              <w:t>3、易用性：图形化界面及详细帮助文档；帮助文档对总体界面功能项覆盖率≥90%。</w:t>
            </w:r>
          </w:p>
          <w:p>
            <w:pPr>
              <w:pStyle w:val="null3"/>
              <w:jc w:val="left"/>
            </w:pPr>
            <w:r>
              <w:rPr>
                <w:rFonts w:ascii="仿宋_GB2312" w:hAnsi="仿宋_GB2312" w:cs="仿宋_GB2312" w:eastAsia="仿宋_GB2312"/>
              </w:rPr>
              <w:t>4、开放性：二次开发接口（覆盖主要功能项）；支持与LAPACK、BLAS等科学计算库集成；支持用户个性化配置界面风格。</w:t>
            </w:r>
          </w:p>
          <w:p>
            <w:pPr>
              <w:pStyle w:val="null3"/>
              <w:jc w:val="left"/>
            </w:pPr>
            <w:r>
              <w:rPr>
                <w:rFonts w:ascii="仿宋_GB2312" w:hAnsi="仿宋_GB2312" w:cs="仿宋_GB2312" w:eastAsia="仿宋_GB2312"/>
              </w:rPr>
              <w:t>5、兼容性（操作系统）：至少兼容Windows10/11。</w:t>
            </w:r>
          </w:p>
          <w:p>
            <w:pPr>
              <w:pStyle w:val="null3"/>
              <w:jc w:val="left"/>
            </w:pPr>
            <w:r>
              <w:rPr>
                <w:rFonts w:ascii="仿宋_GB2312" w:hAnsi="仿宋_GB2312" w:cs="仿宋_GB2312" w:eastAsia="仿宋_GB2312"/>
              </w:rPr>
              <w:t>6、兼容性（代码）：支持兼容M脚本语法（计算符、循环/条件、函数、类）和mat数据文件。</w:t>
            </w:r>
          </w:p>
          <w:p>
            <w:pPr>
              <w:pStyle w:val="null3"/>
              <w:jc w:val="left"/>
            </w:pPr>
            <w:r>
              <w:rPr>
                <w:rFonts w:ascii="仿宋_GB2312" w:hAnsi="仿宋_GB2312" w:cs="仿宋_GB2312" w:eastAsia="仿宋_GB2312"/>
              </w:rPr>
              <w:t>7、兼容性（模型）：兼容2009a-2024b版本的Simulink模型文件（mdl、slx）。</w:t>
            </w:r>
          </w:p>
          <w:p>
            <w:pPr>
              <w:pStyle w:val="null3"/>
              <w:jc w:val="left"/>
            </w:pPr>
            <w:r>
              <w:rPr>
                <w:rFonts w:ascii="仿宋_GB2312" w:hAnsi="仿宋_GB2312" w:cs="仿宋_GB2312" w:eastAsia="仿宋_GB2312"/>
              </w:rPr>
              <w:t>8、国产环境适配：支持国产操作系统（至少包括麒麟、统信UOS、Deepin）；兼容国产芯片（至少包括飞腾、鲲鹏、兆芯、海光）；支持超算中心部署。</w:t>
            </w:r>
          </w:p>
          <w:p>
            <w:pPr>
              <w:pStyle w:val="null3"/>
              <w:jc w:val="left"/>
            </w:pPr>
            <w:r>
              <w:rPr>
                <w:rFonts w:ascii="仿宋_GB2312" w:hAnsi="仿宋_GB2312" w:cs="仿宋_GB2312" w:eastAsia="仿宋_GB2312"/>
              </w:rPr>
              <w:t>9、扩展性：提供标准化SDK及API接口，支持插件开发、二次开发；支持图形化App开发。</w:t>
            </w:r>
          </w:p>
        </w:tc>
      </w:tr>
    </w:tbl>
    <w:p>
      <w:pPr>
        <w:pStyle w:val="null3"/>
        <w:jc w:val="left"/>
      </w:pPr>
      <w:r>
        <w:rPr>
          <w:rFonts w:ascii="仿宋_GB2312" w:hAnsi="仿宋_GB2312" w:cs="仿宋_GB2312" w:eastAsia="仿宋_GB2312"/>
        </w:rPr>
        <w:t>标的名称：扩声系统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扩声系统</w:t>
            </w:r>
          </w:p>
        </w:tc>
        <w:tc>
          <w:tcPr>
            <w:tcW w:type="dxa" w:w="5814"/>
          </w:tcPr>
          <w:p>
            <w:pPr>
              <w:pStyle w:val="null3"/>
              <w:jc w:val="both"/>
            </w:pPr>
            <w:r>
              <w:rPr>
                <w:rFonts w:ascii="仿宋_GB2312" w:hAnsi="仿宋_GB2312" w:cs="仿宋_GB2312" w:eastAsia="仿宋_GB2312"/>
              </w:rPr>
              <w:t>1、一体化壁挂式设计，2.0有源音响系统。</w:t>
            </w:r>
          </w:p>
          <w:p>
            <w:pPr>
              <w:pStyle w:val="null3"/>
              <w:jc w:val="both"/>
            </w:pPr>
            <w:r>
              <w:rPr>
                <w:rFonts w:ascii="仿宋_GB2312" w:hAnsi="仿宋_GB2312" w:cs="仿宋_GB2312" w:eastAsia="仿宋_GB2312"/>
              </w:rPr>
              <w:t>2、内置≥1路线路输入，≥2路话筒输入，内置2.4G无线音频模块，内置数字功放。</w:t>
            </w:r>
          </w:p>
          <w:p>
            <w:pPr>
              <w:pStyle w:val="null3"/>
              <w:jc w:val="both"/>
            </w:pPr>
            <w:r>
              <w:rPr>
                <w:rFonts w:ascii="仿宋_GB2312" w:hAnsi="仿宋_GB2312" w:cs="仿宋_GB2312" w:eastAsia="仿宋_GB2312"/>
              </w:rPr>
              <w:t>3、具备智能电源管理功能，设备采用内置CPU判断功放的运行状态，在无工作状态时功放自动进入休眠状态，待机功率≤0.2W。</w:t>
            </w:r>
          </w:p>
          <w:p>
            <w:pPr>
              <w:pStyle w:val="null3"/>
              <w:jc w:val="both"/>
            </w:pPr>
            <w:r>
              <w:rPr>
                <w:rFonts w:ascii="仿宋_GB2312" w:hAnsi="仿宋_GB2312" w:cs="仿宋_GB2312" w:eastAsia="仿宋_GB2312"/>
              </w:rPr>
              <w:t>4、一线多用，充分利用校园网络资源，避免重复架设线路，有以太网接口的地方就可以接入。</w:t>
            </w:r>
          </w:p>
          <w:p>
            <w:pPr>
              <w:pStyle w:val="null3"/>
              <w:jc w:val="both"/>
            </w:pPr>
            <w:r>
              <w:rPr>
                <w:rFonts w:ascii="仿宋_GB2312" w:hAnsi="仿宋_GB2312" w:cs="仿宋_GB2312" w:eastAsia="仿宋_GB2312"/>
              </w:rPr>
              <w:t>5、内置市电宽电压供电和DC24V电源供电模式。</w:t>
            </w:r>
          </w:p>
          <w:p>
            <w:pPr>
              <w:pStyle w:val="null3"/>
              <w:jc w:val="both"/>
            </w:pPr>
            <w:r>
              <w:rPr>
                <w:rFonts w:ascii="仿宋_GB2312" w:hAnsi="仿宋_GB2312" w:cs="仿宋_GB2312" w:eastAsia="仿宋_GB2312"/>
              </w:rPr>
              <w:t>6、内置 100V 定压功放音频备用输入功能；用户可选择网络或 100V 输入优先功能。</w:t>
            </w:r>
          </w:p>
          <w:p>
            <w:pPr>
              <w:pStyle w:val="null3"/>
              <w:jc w:val="both"/>
            </w:pPr>
            <w:r>
              <w:rPr>
                <w:rFonts w:ascii="仿宋_GB2312" w:hAnsi="仿宋_GB2312" w:cs="仿宋_GB2312" w:eastAsia="仿宋_GB2312"/>
              </w:rPr>
              <w:t>7、技持升级内置嵌入式网络语音解码模块，支持跨交换机、路由器、互联网连接功能。</w:t>
            </w:r>
          </w:p>
          <w:p>
            <w:pPr>
              <w:pStyle w:val="null3"/>
              <w:jc w:val="both"/>
            </w:pPr>
            <w:r>
              <w:rPr>
                <w:rFonts w:ascii="仿宋_GB2312" w:hAnsi="仿宋_GB2312" w:cs="仿宋_GB2312" w:eastAsia="仿宋_GB2312"/>
              </w:rPr>
              <w:t>8、可自定义设定本地、网络音频的优先级等级。内嵌 HTTP 网页服务器，可通过 PC 软件或 HTTP 修改设备网络参数，支持网络远程升级。</w:t>
            </w:r>
          </w:p>
          <w:p>
            <w:pPr>
              <w:pStyle w:val="null3"/>
              <w:jc w:val="left"/>
            </w:pPr>
            <w:r>
              <w:rPr>
                <w:rFonts w:ascii="仿宋_GB2312" w:hAnsi="仿宋_GB2312" w:cs="仿宋_GB2312" w:eastAsia="仿宋_GB2312"/>
              </w:rPr>
              <w:t>9、支持升级POE网络模块，POE交换机直接供电。</w:t>
            </w:r>
          </w:p>
        </w:tc>
      </w:tr>
    </w:tbl>
    <w:p>
      <w:pPr>
        <w:pStyle w:val="null3"/>
        <w:jc w:val="left"/>
      </w:pPr>
      <w:r>
        <w:rPr>
          <w:rFonts w:ascii="仿宋_GB2312" w:hAnsi="仿宋_GB2312" w:cs="仿宋_GB2312" w:eastAsia="仿宋_GB2312"/>
        </w:rPr>
        <w:t>标的名称：鹅颈麦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鹅颈麦</w:t>
            </w:r>
          </w:p>
        </w:tc>
        <w:tc>
          <w:tcPr>
            <w:tcW w:type="dxa" w:w="5814"/>
          </w:tcPr>
          <w:p>
            <w:pPr>
              <w:pStyle w:val="null3"/>
              <w:jc w:val="both"/>
            </w:pPr>
            <w:r>
              <w:rPr>
                <w:rFonts w:ascii="仿宋_GB2312" w:hAnsi="仿宋_GB2312" w:cs="仿宋_GB2312" w:eastAsia="仿宋_GB2312"/>
              </w:rPr>
              <w:t>1、拾音方式：电容式。</w:t>
            </w:r>
          </w:p>
          <w:p>
            <w:pPr>
              <w:pStyle w:val="null3"/>
              <w:jc w:val="both"/>
            </w:pPr>
            <w:r>
              <w:rPr>
                <w:rFonts w:ascii="仿宋_GB2312" w:hAnsi="仿宋_GB2312" w:cs="仿宋_GB2312" w:eastAsia="仿宋_GB2312"/>
              </w:rPr>
              <w:t>2、指向性：超心型指向。</w:t>
            </w:r>
          </w:p>
          <w:p>
            <w:pPr>
              <w:pStyle w:val="null3"/>
              <w:jc w:val="both"/>
            </w:pPr>
            <w:r>
              <w:rPr>
                <w:rFonts w:ascii="仿宋_GB2312" w:hAnsi="仿宋_GB2312" w:cs="仿宋_GB2312" w:eastAsia="仿宋_GB2312"/>
              </w:rPr>
              <w:t>3、频率响应（Hz）：40Hz-16KHz。</w:t>
            </w:r>
          </w:p>
          <w:p>
            <w:pPr>
              <w:pStyle w:val="null3"/>
              <w:jc w:val="left"/>
            </w:pPr>
            <w:r>
              <w:rPr>
                <w:rFonts w:ascii="仿宋_GB2312" w:hAnsi="仿宋_GB2312" w:cs="仿宋_GB2312" w:eastAsia="仿宋_GB2312"/>
              </w:rPr>
              <w:t>4、灵敏度：-40dB±2dB。</w:t>
            </w:r>
          </w:p>
        </w:tc>
      </w:tr>
    </w:tbl>
    <w:p>
      <w:pPr>
        <w:pStyle w:val="null3"/>
        <w:jc w:val="left"/>
      </w:pPr>
      <w:r>
        <w:rPr>
          <w:rFonts w:ascii="仿宋_GB2312" w:hAnsi="仿宋_GB2312" w:cs="仿宋_GB2312" w:eastAsia="仿宋_GB2312"/>
        </w:rPr>
        <w:t>标的名称：教学试验台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教学试验台</w:t>
            </w:r>
          </w:p>
        </w:tc>
        <w:tc>
          <w:tcPr>
            <w:tcW w:type="dxa" w:w="5814"/>
          </w:tcPr>
          <w:p>
            <w:pPr>
              <w:pStyle w:val="null3"/>
              <w:jc w:val="both"/>
            </w:pPr>
            <w:r>
              <w:rPr>
                <w:rFonts w:ascii="仿宋_GB2312" w:hAnsi="仿宋_GB2312" w:cs="仿宋_GB2312" w:eastAsia="仿宋_GB2312"/>
              </w:rPr>
              <w:t>1、实验台采用钢木结合设计，采用冷轧钢板桌体，桌体金属板厚度≥1.2mm。</w:t>
            </w:r>
          </w:p>
          <w:p>
            <w:pPr>
              <w:pStyle w:val="null3"/>
              <w:jc w:val="both"/>
            </w:pPr>
            <w:r>
              <w:rPr>
                <w:rFonts w:ascii="仿宋_GB2312" w:hAnsi="仿宋_GB2312" w:cs="仿宋_GB2312" w:eastAsia="仿宋_GB2312"/>
              </w:rPr>
              <w:t>2、实验台尺寸：长×宽×高1100mm*580mm*1000mm（±2mm），环抱老师式设计，桌面防静电。</w:t>
            </w:r>
          </w:p>
          <w:p>
            <w:pPr>
              <w:pStyle w:val="null3"/>
              <w:jc w:val="both"/>
            </w:pPr>
            <w:r>
              <w:rPr>
                <w:rFonts w:ascii="仿宋_GB2312" w:hAnsi="仿宋_GB2312" w:cs="仿宋_GB2312" w:eastAsia="仿宋_GB2312"/>
              </w:rPr>
              <w:t>3、椅座外壳采用ABS材料经塑胶模具注塑而成。</w:t>
            </w:r>
          </w:p>
          <w:p>
            <w:pPr>
              <w:pStyle w:val="null3"/>
              <w:jc w:val="left"/>
            </w:pPr>
            <w:r>
              <w:rPr>
                <w:rFonts w:ascii="仿宋_GB2312" w:hAnsi="仿宋_GB2312" w:cs="仿宋_GB2312" w:eastAsia="仿宋_GB2312"/>
              </w:rPr>
              <w:t>4、椅背弧度设计符合人体工程学原理，贴合脊柱以及背部曲线，顺应背部受力点的支撑需求。</w:t>
            </w:r>
          </w:p>
        </w:tc>
      </w:tr>
    </w:tbl>
    <w:p>
      <w:pPr>
        <w:pStyle w:val="null3"/>
        <w:jc w:val="left"/>
      </w:pPr>
      <w:r>
        <w:rPr>
          <w:rFonts w:ascii="仿宋_GB2312" w:hAnsi="仿宋_GB2312" w:cs="仿宋_GB2312" w:eastAsia="仿宋_GB2312"/>
        </w:rPr>
        <w:t>标的名称：数据交换器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数据交换器</w:t>
            </w:r>
          </w:p>
        </w:tc>
        <w:tc>
          <w:tcPr>
            <w:tcW w:type="dxa" w:w="5814"/>
          </w:tcPr>
          <w:p>
            <w:pPr>
              <w:pStyle w:val="null3"/>
              <w:jc w:val="both"/>
            </w:pPr>
            <w:r>
              <w:rPr>
                <w:rFonts w:ascii="仿宋_GB2312" w:hAnsi="仿宋_GB2312" w:cs="仿宋_GB2312" w:eastAsia="仿宋_GB2312"/>
              </w:rPr>
              <w:t>1、万兆管理型交换机,交换容量≥432Gbps,≥48个千兆电口,≥4个万兆光口,VLAN:≥4K,MAC:≥16K。</w:t>
            </w:r>
          </w:p>
          <w:p>
            <w:pPr>
              <w:pStyle w:val="null3"/>
              <w:jc w:val="both"/>
            </w:pPr>
            <w:r>
              <w:rPr>
                <w:rFonts w:ascii="仿宋_GB2312" w:hAnsi="仿宋_GB2312" w:cs="仿宋_GB2312" w:eastAsia="仿宋_GB2312"/>
              </w:rPr>
              <w:t>2、工作温度-5～50℃,≥10KV防雷,支持以太环网标准ERPS。</w:t>
            </w:r>
          </w:p>
          <w:p>
            <w:pPr>
              <w:pStyle w:val="null3"/>
              <w:jc w:val="both"/>
            </w:pPr>
            <w:r>
              <w:rPr>
                <w:rFonts w:ascii="仿宋_GB2312" w:hAnsi="仿宋_GB2312" w:cs="仿宋_GB2312" w:eastAsia="仿宋_GB2312"/>
              </w:rPr>
              <w:t>3、1U标准机架。</w:t>
            </w:r>
          </w:p>
          <w:p>
            <w:pPr>
              <w:pStyle w:val="null3"/>
              <w:jc w:val="both"/>
            </w:pPr>
            <w:r>
              <w:rPr>
                <w:rFonts w:ascii="仿宋_GB2312" w:hAnsi="仿宋_GB2312" w:cs="仿宋_GB2312" w:eastAsia="仿宋_GB2312"/>
              </w:rPr>
              <w:t>4、包转发率:≥71.4Mpps。</w:t>
            </w:r>
          </w:p>
        </w:tc>
      </w:tr>
    </w:tbl>
    <w:p>
      <w:pPr>
        <w:pStyle w:val="null3"/>
        <w:jc w:val="left"/>
      </w:pPr>
      <w:r>
        <w:rPr>
          <w:rFonts w:ascii="仿宋_GB2312" w:hAnsi="仿宋_GB2312" w:cs="仿宋_GB2312" w:eastAsia="仿宋_GB2312"/>
        </w:rPr>
        <w:t>标的名称：学生桌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学生桌</w:t>
            </w:r>
          </w:p>
        </w:tc>
        <w:tc>
          <w:tcPr>
            <w:tcW w:type="dxa" w:w="5814"/>
          </w:tcPr>
          <w:p>
            <w:pPr>
              <w:pStyle w:val="null3"/>
              <w:jc w:val="left"/>
            </w:pPr>
            <w:r>
              <w:rPr>
                <w:rFonts w:ascii="仿宋_GB2312" w:hAnsi="仿宋_GB2312" w:cs="仿宋_GB2312" w:eastAsia="仿宋_GB2312"/>
              </w:rPr>
              <w:t>1、规格：1600（长）*600（宽）*750（高）mm（±5mm）。</w:t>
            </w:r>
          </w:p>
          <w:p>
            <w:pPr>
              <w:pStyle w:val="null3"/>
              <w:jc w:val="left"/>
            </w:pPr>
            <w:r>
              <w:rPr>
                <w:rFonts w:ascii="仿宋_GB2312" w:hAnsi="仿宋_GB2312" w:cs="仿宋_GB2312" w:eastAsia="仿宋_GB2312"/>
              </w:rPr>
              <w:t>2、台面材质：采用≥25mm 三聚氰胺板制作,台面承受 ≥2500N 静载荷。其截面采用 PVC封边，厚度≥1.2mm，前边为鸭嘴边造型。</w:t>
            </w:r>
          </w:p>
          <w:p>
            <w:pPr>
              <w:pStyle w:val="null3"/>
              <w:jc w:val="left"/>
            </w:pPr>
            <w:r>
              <w:rPr>
                <w:rFonts w:ascii="仿宋_GB2312" w:hAnsi="仿宋_GB2312" w:cs="仿宋_GB2312" w:eastAsia="仿宋_GB2312"/>
              </w:rPr>
              <w:t>3、边腿采用≥15*50*1.2mm方钢管折弯成型，桌腿内嵌及前后挡板采用≥0.8mm厚优质冷轧钢板，全钢一体设计带有云主机托。</w:t>
            </w:r>
          </w:p>
          <w:p>
            <w:pPr>
              <w:pStyle w:val="null3"/>
              <w:jc w:val="left"/>
            </w:pPr>
            <w:r>
              <w:rPr>
                <w:rFonts w:ascii="仿宋_GB2312" w:hAnsi="仿宋_GB2312" w:cs="仿宋_GB2312" w:eastAsia="仿宋_GB2312"/>
              </w:rPr>
              <w:t>4、边腿下方为保持平衡保证桌子不摇晃，与地面接触点必须配有胶垫或其他保护。</w:t>
            </w:r>
          </w:p>
          <w:p>
            <w:pPr>
              <w:pStyle w:val="null3"/>
              <w:jc w:val="left"/>
            </w:pPr>
            <w:r>
              <w:rPr>
                <w:rFonts w:ascii="仿宋_GB2312" w:hAnsi="仿宋_GB2312" w:cs="仿宋_GB2312" w:eastAsia="仿宋_GB2312"/>
              </w:rPr>
              <w:t>5、安装2个液晶屏翻转器，液晶屏尺寸：19-23英寸（背面有安装孔，下插线）。</w:t>
            </w:r>
          </w:p>
          <w:p>
            <w:pPr>
              <w:pStyle w:val="null3"/>
              <w:jc w:val="left"/>
            </w:pPr>
            <w:r>
              <w:rPr>
                <w:rFonts w:ascii="仿宋_GB2312" w:hAnsi="仿宋_GB2312" w:cs="仿宋_GB2312" w:eastAsia="仿宋_GB2312"/>
              </w:rPr>
              <w:t>6、翻转器采用冷轧钢板材料，钢板厚度≥1.1mm，采用全自动激光切割机、数控折弯成型。</w:t>
            </w:r>
          </w:p>
          <w:p>
            <w:pPr>
              <w:pStyle w:val="null3"/>
              <w:jc w:val="left"/>
            </w:pPr>
            <w:r>
              <w:rPr>
                <w:rFonts w:ascii="仿宋_GB2312" w:hAnsi="仿宋_GB2312" w:cs="仿宋_GB2312" w:eastAsia="仿宋_GB2312"/>
              </w:rPr>
              <w:t>7、翻转器上面为弹舌拉手，下面为钥匙，实行双重制动。能隐藏显示器，同时还可以隐藏键盘和鼠标。</w:t>
            </w:r>
          </w:p>
          <w:p>
            <w:pPr>
              <w:pStyle w:val="null3"/>
              <w:jc w:val="left"/>
            </w:pPr>
            <w:r>
              <w:rPr>
                <w:rFonts w:ascii="仿宋_GB2312" w:hAnsi="仿宋_GB2312" w:cs="仿宋_GB2312" w:eastAsia="仿宋_GB2312"/>
              </w:rPr>
              <w:t>8、翻转器打开时把自锁钮向外拉即可，关闭时只要把机箱盖压下,配有气杆，当开启自锁钮，屏幕安装板可翻转。</w:t>
            </w:r>
          </w:p>
        </w:tc>
      </w:tr>
    </w:tbl>
    <w:p>
      <w:pPr>
        <w:pStyle w:val="null3"/>
        <w:jc w:val="left"/>
      </w:pPr>
      <w:r>
        <w:rPr>
          <w:rFonts w:ascii="仿宋_GB2312" w:hAnsi="仿宋_GB2312" w:cs="仿宋_GB2312" w:eastAsia="仿宋_GB2312"/>
        </w:rPr>
        <w:t>标的名称：椅子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椅子</w:t>
            </w:r>
          </w:p>
        </w:tc>
        <w:tc>
          <w:tcPr>
            <w:tcW w:type="dxa" w:w="5814"/>
          </w:tcPr>
          <w:p>
            <w:pPr>
              <w:pStyle w:val="null3"/>
              <w:jc w:val="left"/>
            </w:pPr>
            <w:r>
              <w:rPr>
                <w:rFonts w:ascii="仿宋_GB2312" w:hAnsi="仿宋_GB2312" w:cs="仿宋_GB2312" w:eastAsia="仿宋_GB2312"/>
              </w:rPr>
              <w:t>1、规格尺寸：高900*座深500*座宽550mm（±1%）。</w:t>
            </w:r>
          </w:p>
          <w:p>
            <w:pPr>
              <w:pStyle w:val="null3"/>
              <w:jc w:val="left"/>
            </w:pPr>
            <w:r>
              <w:rPr>
                <w:rFonts w:ascii="仿宋_GB2312" w:hAnsi="仿宋_GB2312" w:cs="仿宋_GB2312" w:eastAsia="仿宋_GB2312"/>
              </w:rPr>
              <w:t>2、面料：采用PU皮革。</w:t>
            </w:r>
          </w:p>
          <w:p>
            <w:pPr>
              <w:pStyle w:val="null3"/>
              <w:jc w:val="left"/>
            </w:pPr>
            <w:r>
              <w:rPr>
                <w:rFonts w:ascii="仿宋_GB2312" w:hAnsi="仿宋_GB2312" w:cs="仿宋_GB2312" w:eastAsia="仿宋_GB2312"/>
              </w:rPr>
              <w:t>3、座板及靠背：采用阻燃回弹海绵+曲木板背板。</w:t>
            </w:r>
          </w:p>
          <w:p>
            <w:pPr>
              <w:pStyle w:val="null3"/>
              <w:jc w:val="left"/>
            </w:pPr>
            <w:r>
              <w:rPr>
                <w:rFonts w:ascii="仿宋_GB2312" w:hAnsi="仿宋_GB2312" w:cs="仿宋_GB2312" w:eastAsia="仿宋_GB2312"/>
              </w:rPr>
              <w:t>4、脚架：采用电镀弓形脚架，钢管厚度≥1.2mm，金属件外观电镀层表面。</w:t>
            </w:r>
          </w:p>
        </w:tc>
      </w:tr>
    </w:tbl>
    <w:p>
      <w:pPr>
        <w:pStyle w:val="null3"/>
        <w:jc w:val="left"/>
      </w:pPr>
      <w:r>
        <w:rPr>
          <w:rFonts w:ascii="仿宋_GB2312" w:hAnsi="仿宋_GB2312" w:cs="仿宋_GB2312" w:eastAsia="仿宋_GB2312"/>
        </w:rPr>
        <w:t>标的名称：静电地板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静电地板</w:t>
            </w:r>
          </w:p>
        </w:tc>
        <w:tc>
          <w:tcPr>
            <w:tcW w:type="dxa" w:w="5814"/>
          </w:tcPr>
          <w:p>
            <w:pPr>
              <w:pStyle w:val="null3"/>
              <w:jc w:val="left"/>
            </w:pPr>
            <w:r>
              <w:rPr>
                <w:rFonts w:ascii="仿宋_GB2312" w:hAnsi="仿宋_GB2312" w:cs="仿宋_GB2312" w:eastAsia="仿宋_GB2312"/>
              </w:rPr>
              <w:t>1、抗静电活动地板600*600mm，含辅材。</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rPr>
              <w:t>中标人需在中标后、接招标人通知3个工作日内配合招标人对投标文件中提供的所有检测报告进行验证，若中标人投标文件中所提供的检测报告不真实，采购人将上报财政管理机构，按相关法律法规处理。</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签订合同后60日内完成安装。</w:t>
            </w:r>
          </w:p>
        </w:tc>
      </w:tr>
      <w:tr>
        <w:tc>
          <w:tcPr>
            <w:tcW w:type="dxa" w:w="2076"/>
          </w:tcPr>
          <w:p>
            <w:pPr>
              <w:pStyle w:val="null3"/>
              <w:jc w:val="left"/>
            </w:pPr>
            <w:r>
              <w:rPr>
                <w:rFonts w:ascii="仿宋_GB2312" w:hAnsi="仿宋_GB2312" w:cs="仿宋_GB2312" w:eastAsia="仿宋_GB2312"/>
              </w:rPr>
              <w:t>2</w:t>
            </w:r>
          </w:p>
        </w:tc>
        <w:tc>
          <w:tcPr>
            <w:tcW w:type="dxa" w:w="2076"/>
          </w:tcP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阿坝师范学院</w:t>
            </w:r>
          </w:p>
        </w:tc>
      </w:tr>
      <w:tr>
        <w:tc>
          <w:tcPr>
            <w:tcW w:type="dxa" w:w="2076"/>
          </w:tcPr>
          <w:p>
            <w:pPr>
              <w:pStyle w:val="null3"/>
              <w:jc w:val="left"/>
            </w:pPr>
            <w:r>
              <w:rPr>
                <w:rFonts w:ascii="仿宋_GB2312" w:hAnsi="仿宋_GB2312" w:cs="仿宋_GB2312" w:eastAsia="仿宋_GB2312"/>
              </w:rPr>
              <w:t>3</w:t>
            </w:r>
          </w:p>
        </w:tc>
        <w:tc>
          <w:tcPr>
            <w:tcW w:type="dxa" w:w="2076"/>
          </w:tcP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进度款，验收合格并经学校相关会议审议通过，采购人收到中标人出具的合法、有效、完整的完税发票及相关凭证资料后;，达到付款条件起10个工作日内，支付合同总金额的100.0%</w:t>
            </w:r>
            <w:r>
              <w:br/>
            </w:r>
          </w:p>
        </w:tc>
      </w:tr>
      <w:tr>
        <w:tc>
          <w:tcPr>
            <w:tcW w:type="dxa" w:w="2076"/>
          </w:tcPr>
          <w:p>
            <w:pPr>
              <w:pStyle w:val="null3"/>
              <w:jc w:val="left"/>
            </w:pPr>
            <w:r>
              <w:rPr>
                <w:rFonts w:ascii="仿宋_GB2312" w:hAnsi="仿宋_GB2312" w:cs="仿宋_GB2312" w:eastAsia="仿宋_GB2312"/>
              </w:rPr>
              <w:t>5</w:t>
            </w:r>
          </w:p>
        </w:tc>
        <w:tc>
          <w:tcPr>
            <w:tcW w:type="dxa" w:w="2076"/>
          </w:tcP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 xml:space="preserve"> ①履约验收程序：由采购人组织一次性验收； ②验收时间：供应商提出验收申请，达到验收条件起15 日内，验收合同总金额的100%; ③采购人严格按照政府采购相关法律法规以及《财政部关于进一步加强政府采购需求和履约验收管理的指导意见》（财库〔2016〕205号）的要求进行验收； ④验收如不合格，采购人有权要求中标人限期整改，如果超过30个日历天整改仍不合格，采购人有权终止采购合同，所送货物由中标人自行收回，采购人保留追偿权利。</w:t>
            </w:r>
          </w:p>
        </w:tc>
      </w:tr>
      <w:tr>
        <w:tc>
          <w:tcPr>
            <w:tcW w:type="dxa" w:w="2076"/>
          </w:tcPr>
          <w:p>
            <w:pPr>
              <w:pStyle w:val="null3"/>
              <w:jc w:val="left"/>
            </w:pPr>
            <w:r>
              <w:rPr>
                <w:rFonts w:ascii="仿宋_GB2312" w:hAnsi="仿宋_GB2312" w:cs="仿宋_GB2312" w:eastAsia="仿宋_GB2312"/>
              </w:rPr>
              <w:t>6</w:t>
            </w:r>
          </w:p>
        </w:tc>
        <w:tc>
          <w:tcPr>
            <w:tcW w:type="dxa" w:w="2076"/>
          </w:tcP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1.保修时间：包含软件产品1年及硬件产品提供3年（含）的软件升级、硬件质保服务和原厂的技术支持服务； 2.保修内容与范围：设备保修期内提供技术培训及3年保修服务，保修响应时间为用户提出维修要求后2个小时内，24小时内排除故障如24小时内不能排除故障提供同档次备用设备或备用解决方案。 3.售后服务维修响应时间：2个小时内响应，24小时内排除故障。</w:t>
            </w:r>
          </w:p>
        </w:tc>
      </w:tr>
      <w:tr>
        <w:tc>
          <w:tcPr>
            <w:tcW w:type="dxa" w:w="2076"/>
          </w:tcPr>
          <w:p>
            <w:pPr>
              <w:pStyle w:val="null3"/>
              <w:jc w:val="left"/>
            </w:pPr>
            <w:r>
              <w:rPr>
                <w:rFonts w:ascii="仿宋_GB2312" w:hAnsi="仿宋_GB2312" w:cs="仿宋_GB2312" w:eastAsia="仿宋_GB2312"/>
              </w:rPr>
              <w:t>8</w:t>
            </w:r>
          </w:p>
        </w:tc>
        <w:tc>
          <w:tcPr>
            <w:tcW w:type="dxa" w:w="2076"/>
          </w:tcP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以合同约定为准</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★1、本项目商务要求以下述9项内容为准，原3.3.2.商务要求可不用响应。 商务要求： （1）交货时间：签订合同后60日内完成安装。 （2）交货地点：阿坝师范学院。 （3）付款方式及时间：验收合格并经学校相关会议审议通过，采购人收到中标人出具的合法、有效、完整的完税发票及相关凭证资料后，达到付款条件起10个工作日内支付合同总价的100%。 （4）验收标准： ①履约验收程序：由采购人组织一次性验收； ②验收时间：供应商提出验收申请，达到验收条件起15 日内，验收合同总金额的100%; ③采购人严格按照政府采购相关法律法规以及《财政部关于进一步加强政府采购需求和履约验收管理的指导意见》（财库〔2016〕205号）的要求进行验收； ④验收如不合格，采购人有权要求中标人限期整改，如果超过30个日历天整改仍不合格，采购人有权终止采购合同，所送货物由中标人自行收回，采购人保留追偿权利。 （5）保修时间：软件产品1年，硬件产品3年。 （6）保修内容与范围：①软件升级；②硬件质保服务；③软、硬件的原厂技术支持服务；④设备保修期内提供技术培训服务。 （7）维修响应时间：用户提出维修要求后2个小时内响应，24小时内排除故障。如24小时内不能排除故障，提供同档次备用设备或备用解决方案。 （8）包装方式及运输：涉及的商品包装和快递包装，均应符合《商品包装政府采购需求标准（试行）》《快递包装政府采购需求标准（试行）》的要求，包装应适应于远距离运输、防潮、防震、防锈和防野蛮装卸，以确保货物安全无损运抵指定地点。 （9）违约责任与解决争议的方法：以合同约定为准。 2、投标人根据自身情况提供有利于实施本项目的履约能力证明材料。 3、按照项目要求，结合项目实际情况提供售后服务方案，具体要求详见综合评分明细表。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2024年或2025年经审计的财务报告复印件（包含审计报告和审计报告中所涉及的财务报表和报表附注）；②也可提供2024年或2025年投标人内部的财务报表复印件（至少包含资产负债表和利润表）；③也可提供投标截止时间前一年内银行出具的有效资信证明；④投标人注册时间距投标截止时间不足一年的，也可提供在工商备案的公司章程复印件。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项目专门面向中小企业采购。注:监狱企业和残疾人福利性单位视同小微企业，符合中小企业划分标准的个体工商户视同中小企业。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针对第三章-技术、服务及其他要求中实质性要求的响应要求。</w:t>
            </w:r>
          </w:p>
        </w:tc>
        <w:tc>
          <w:tcPr>
            <w:tcW w:type="dxa" w:w="3322"/>
          </w:tcPr>
          <w:p>
            <w:pPr>
              <w:pStyle w:val="null3"/>
              <w:jc w:val="left"/>
            </w:pPr>
            <w:r>
              <w:rPr>
                <w:rFonts w:ascii="仿宋_GB2312" w:hAnsi="仿宋_GB2312" w:cs="仿宋_GB2312" w:eastAsia="仿宋_GB2312"/>
              </w:rPr>
              <w:t>针对第三章-技术、服务及其他要求中的实质性要求，供应商应在应答表中进行响应，如要求提供佐证材料的，应同时提供佐证材料。</w:t>
            </w:r>
          </w:p>
        </w:tc>
        <w:tc>
          <w:tcPr>
            <w:tcW w:type="dxa" w:w="1661"/>
          </w:tcPr>
          <w:p>
            <w:pPr>
              <w:pStyle w:val="null3"/>
              <w:jc w:val="left"/>
            </w:pPr>
            <w:r>
              <w:rPr>
                <w:rFonts w:ascii="仿宋_GB2312" w:hAnsi="仿宋_GB2312" w:cs="仿宋_GB2312" w:eastAsia="仿宋_GB2312"/>
              </w:rPr>
              <w:t>投标人应提交的相关证明材料,技术、服务要求响应表.docx,商务要求应答表.docx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w:t>
            </w:r>
          </w:p>
        </w:tc>
        <w:tc>
          <w:tcPr>
            <w:tcW w:type="dxa" w:w="2575"/>
          </w:tcPr>
          <w:p>
            <w:pPr>
              <w:pStyle w:val="null3"/>
              <w:jc w:val="left"/>
            </w:pPr>
            <w:r>
              <w:rPr>
                <w:rFonts w:ascii="仿宋_GB2312" w:hAnsi="仿宋_GB2312" w:cs="仿宋_GB2312" w:eastAsia="仿宋_GB2312"/>
              </w:rPr>
              <w:t>投标人技术参数（演示部分●除外）完全符合招标文件第三章“3.2.技术要求”，没有负偏离的总分得59分，其具体得分按以下方法计算得分： 1、除开带“★”作为实质性要求以外，其中不带“▲”符号的一般参数得分＝（投标人满足一般参数的数量÷一般参数的总数量）×15。 2、带“▲”符号的参数得分＝（投标人满足“▲”条款的数量”÷“▲”条款的总数量）×44。 注：①针对“▲”条款的技术响应，投标人需根据具体要求提供技术支撑材料，否则对应技术参数条款将视为不满足。②一般参数有明确要求提供佐证材料的以佐证材料为准，未按要求提供相关佐证材料或虽提供但无法佐证的，则不予认定。未要求提供佐证材料的以投标人响应为准，但供应商必须如实响应，否则自行承担相关法律责任。③技术参数以“1、”、“2、”的序号为一条技术参数计算。</w:t>
            </w:r>
          </w:p>
        </w:tc>
        <w:tc>
          <w:tcPr>
            <w:tcW w:type="dxa" w:w="831"/>
          </w:tcPr>
          <w:p>
            <w:pPr>
              <w:pStyle w:val="null3"/>
              <w:jc w:val="center"/>
            </w:pPr>
            <w:r>
              <w:rPr>
                <w:rFonts w:ascii="仿宋_GB2312" w:hAnsi="仿宋_GB2312" w:cs="仿宋_GB2312" w:eastAsia="仿宋_GB2312"/>
              </w:rPr>
              <w:t>59.0000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技术、服务要求响应表.docx</w:t>
            </w:r>
          </w:p>
        </w:tc>
      </w:tr>
      <w:tr>
        <w:tc>
          <w:tcPr>
            <w:tcW w:type="dxa" w:w="831"/>
            <w:vMerge/>
          </w:tcPr>
          <w:p/>
        </w:tc>
        <w:tc>
          <w:tcPr>
            <w:tcW w:type="dxa" w:w="1661"/>
          </w:tcPr>
          <w:p>
            <w:pPr>
              <w:pStyle w:val="null3"/>
              <w:jc w:val="left"/>
            </w:pPr>
            <w:r>
              <w:rPr>
                <w:rFonts w:ascii="仿宋_GB2312" w:hAnsi="仿宋_GB2312" w:cs="仿宋_GB2312" w:eastAsia="仿宋_GB2312"/>
              </w:rPr>
              <w:t>现场演示</w:t>
            </w:r>
          </w:p>
        </w:tc>
        <w:tc>
          <w:tcPr>
            <w:tcW w:type="dxa" w:w="2575"/>
          </w:tcPr>
          <w:p>
            <w:pPr>
              <w:pStyle w:val="null3"/>
              <w:jc w:val="left"/>
            </w:pPr>
            <w:r>
              <w:rPr>
                <w:rFonts w:ascii="仿宋_GB2312" w:hAnsi="仿宋_GB2312" w:cs="仿宋_GB2312" w:eastAsia="仿宋_GB2312"/>
              </w:rPr>
              <w:t>技术参数中带“●”符号的为演示参数，共5条，每条1分。演示内容应完全响应“●”项技术参数要求得5分。投标人需自备演示所需设备及工具，在开标现场对“●”标识的参数进行现场演示。每项功能演示点所有内容全部演示得1分，功能需全部演示，功能演示不完全或不演示该项不得分。 演示顺序现场随机抽签确定，每家投标人演示时间为20分钟，超时演示的内容不计入评分。涉及到软件系统演示，投标人自行搭建软件运行环境，凡是PPT、视频、静态页面等非真实软件系统演示不得分。</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根据投标人针对本项目提供的售后服务方案，方案中具有：①售后服务内容及措施；②设备日常巡检及保养；③售后人员配置；④能够提供服务支持，即实在线咨询、预约报修、保修期查询等移动端售后功能（第④项提供单独承诺函并加盖投标人公章）。以上4项内容每具有一项得1.5分，最多得6分。在此基础上，方案中存在错误或不足的，每1项中每有1处扣0.75分，每项最多扣1.5分；扣完为止。 注：(1)只是简单的复制采购需求内容而没有具体详细阐述的按照错误或不足处理。文不对题、表述不清等情形视为未提供该方面内容。(2)错误或不足是指：①内容生搬硬造，阐述存在前后矛盾的情形；②项目名称、采购人名称、实施地点、主管部门、政策法规、标准规范等与本项目实际不符的情形；③实施方法或内容与本项目要求不符或不可能实现等情形；④仅有标题无实际内容或照搬采购需求没有具体阐述；⑤存在套用其他项目方案但未根据本项目情况进行调整等任意一种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详见附件：技术、服务要求响应表.docx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